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63165FBB" w14:textId="77777777" w:rsidTr="00BF1190">
        <w:trPr>
          <w:trHeight w:val="1863"/>
        </w:trPr>
        <w:tc>
          <w:tcPr>
            <w:tcW w:w="3652" w:type="dxa"/>
            <w:tcBorders>
              <w:top w:val="nil"/>
              <w:left w:val="nil"/>
              <w:bottom w:val="nil"/>
              <w:right w:val="nil"/>
            </w:tcBorders>
          </w:tcPr>
          <w:p w14:paraId="335BC80D" w14:textId="5432680B" w:rsidR="008E7846" w:rsidRPr="00096AA7" w:rsidRDefault="00231243" w:rsidP="00096AA7">
            <w:pPr>
              <w:rPr>
                <w:rFonts w:ascii="Arial" w:hAnsi="Arial" w:cs="Arial"/>
                <w:b/>
                <w:color w:val="002C47"/>
                <w:sz w:val="36"/>
                <w:szCs w:val="36"/>
              </w:rPr>
            </w:pPr>
            <w:r>
              <w:rPr>
                <w:rFonts w:ascii="Arial" w:hAnsi="Arial" w:cs="Arial"/>
                <w:b/>
                <w:color w:val="002C47"/>
                <w:sz w:val="36"/>
                <w:szCs w:val="36"/>
              </w:rPr>
              <w:t xml:space="preserve">February </w:t>
            </w:r>
            <w:r w:rsidR="00B626C4">
              <w:rPr>
                <w:rFonts w:ascii="Arial" w:hAnsi="Arial" w:cs="Arial"/>
                <w:b/>
                <w:color w:val="002C47"/>
                <w:sz w:val="36"/>
                <w:szCs w:val="36"/>
              </w:rPr>
              <w:t>2021</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3D7D6455" w14:textId="77777777" w:rsidTr="0032583B">
        <w:trPr>
          <w:trHeight w:val="868"/>
        </w:trPr>
        <w:tc>
          <w:tcPr>
            <w:tcW w:w="9079" w:type="dxa"/>
          </w:tcPr>
          <w:p w14:paraId="6C636DEF" w14:textId="77777777" w:rsidR="0032583B" w:rsidRPr="00A964D1" w:rsidRDefault="0032583B" w:rsidP="00AF39D6">
            <w:pPr>
              <w:pStyle w:val="Title"/>
              <w:rPr>
                <w:color w:val="FFFFFF" w:themeColor="background1"/>
              </w:rPr>
            </w:pPr>
            <w:r w:rsidRPr="00A964D1">
              <w:rPr>
                <w:color w:val="FFFFFF" w:themeColor="background1"/>
              </w:rPr>
              <w:t>Australia</w:t>
            </w:r>
            <w:r w:rsidR="00AF39D6">
              <w:rPr>
                <w:color w:val="FFFFFF" w:themeColor="background1"/>
              </w:rPr>
              <w:t>n Public Assessment Report for Opicapone</w:t>
            </w:r>
          </w:p>
        </w:tc>
      </w:tr>
      <w:tr w:rsidR="0032583B" w:rsidRPr="00B64760" w14:paraId="35E8678D" w14:textId="77777777" w:rsidTr="0032583B">
        <w:tc>
          <w:tcPr>
            <w:tcW w:w="9079" w:type="dxa"/>
          </w:tcPr>
          <w:p w14:paraId="0E7EEA1F" w14:textId="77777777" w:rsidR="0032583B" w:rsidRPr="008E7846" w:rsidRDefault="00AF39D6" w:rsidP="00AF39D6">
            <w:pPr>
              <w:pStyle w:val="Subtitle"/>
              <w:rPr>
                <w:color w:val="FFFFFF" w:themeColor="background1"/>
              </w:rPr>
            </w:pPr>
            <w:r>
              <w:rPr>
                <w:color w:val="FFFFFF" w:themeColor="background1"/>
              </w:rPr>
              <w:t>Proprietary Product Name: Ongentys</w:t>
            </w:r>
          </w:p>
        </w:tc>
      </w:tr>
      <w:tr w:rsidR="0032583B" w:rsidRPr="00B64760" w14:paraId="414D0F92" w14:textId="77777777" w:rsidTr="0032583B">
        <w:trPr>
          <w:trHeight w:val="486"/>
        </w:trPr>
        <w:tc>
          <w:tcPr>
            <w:tcW w:w="9079" w:type="dxa"/>
          </w:tcPr>
          <w:p w14:paraId="2FD96038" w14:textId="77777777" w:rsidR="0032583B" w:rsidRPr="008E7846" w:rsidRDefault="00652F7C" w:rsidP="0032583B">
            <w:pPr>
              <w:pStyle w:val="Subtitle"/>
              <w:rPr>
                <w:color w:val="FFFFFF" w:themeColor="background1"/>
              </w:rPr>
            </w:pPr>
            <w:r>
              <w:rPr>
                <w:color w:val="FFFFFF" w:themeColor="background1"/>
              </w:rPr>
              <w:t>Sponsor:</w:t>
            </w:r>
            <w:r w:rsidR="00AF39D6" w:rsidRPr="00AF39D6">
              <w:rPr>
                <w:color w:val="FFFFFF" w:themeColor="background1"/>
              </w:rPr>
              <w:t xml:space="preserve"> </w:t>
            </w:r>
            <w:r w:rsidR="00AF39D6">
              <w:rPr>
                <w:color w:val="FFFFFF" w:themeColor="background1"/>
              </w:rPr>
              <w:t>Maxx Pharma Pty Ltd</w:t>
            </w:r>
          </w:p>
        </w:tc>
      </w:tr>
    </w:tbl>
    <w:p w14:paraId="445B3BF7" w14:textId="77777777" w:rsidR="008E7846" w:rsidRPr="0085156D" w:rsidRDefault="008E7846" w:rsidP="0085156D">
      <w:r w:rsidRPr="0085156D">
        <w:br w:type="page"/>
      </w:r>
    </w:p>
    <w:p w14:paraId="7B184A18" w14:textId="77777777" w:rsidR="008E7846" w:rsidRPr="001F6CBA" w:rsidRDefault="008E7846" w:rsidP="008E7846">
      <w:pPr>
        <w:pStyle w:val="NonTOCHeading2"/>
      </w:pPr>
      <w:r w:rsidRPr="001F6CBA">
        <w:lastRenderedPageBreak/>
        <w:t>About the Therapeutic Goods Administration (TGA)</w:t>
      </w:r>
    </w:p>
    <w:p w14:paraId="6DDF72FA"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304ACF31" w14:textId="77777777"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40FB53B5" w14:textId="77777777"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04C7167B"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64B62A59" w14:textId="77777777"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8" w:history="1">
        <w:r w:rsidR="00441C3F">
          <w:rPr>
            <w:rStyle w:val="Hyperlink"/>
          </w:rPr>
          <w:t>https://www.tga.gov.au</w:t>
        </w:r>
      </w:hyperlink>
      <w:r w:rsidR="00441C3F">
        <w:t>&gt;.</w:t>
      </w:r>
    </w:p>
    <w:p w14:paraId="3B8384FB" w14:textId="77777777" w:rsidR="008E7846" w:rsidRDefault="008E7846" w:rsidP="00875A6B">
      <w:pPr>
        <w:pStyle w:val="NonTOCHeading2"/>
      </w:pPr>
      <w:r>
        <w:t>About AusPARs</w:t>
      </w:r>
    </w:p>
    <w:p w14:paraId="3F915332" w14:textId="77777777" w:rsidR="008E7846" w:rsidRDefault="008E7846" w:rsidP="008E7846">
      <w:pPr>
        <w:pStyle w:val="ListBullet"/>
        <w:numPr>
          <w:ilvl w:val="0"/>
          <w:numId w:val="3"/>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45317FFA" w14:textId="77777777" w:rsidR="008E7846" w:rsidRDefault="008E7846" w:rsidP="008E7846">
      <w:pPr>
        <w:pStyle w:val="ListBullet"/>
        <w:numPr>
          <w:ilvl w:val="0"/>
          <w:numId w:val="3"/>
        </w:numPr>
        <w:ind w:left="357" w:hanging="357"/>
      </w:pPr>
      <w:r>
        <w:t>AusPARs are prepared and published by the TGA.</w:t>
      </w:r>
    </w:p>
    <w:p w14:paraId="1707795B" w14:textId="77777777"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14:paraId="14C7623E" w14:textId="77777777" w:rsidR="008E7846" w:rsidRDefault="008E7846" w:rsidP="008E7846">
      <w:pPr>
        <w:pStyle w:val="ListBullet"/>
        <w:numPr>
          <w:ilvl w:val="0"/>
          <w:numId w:val="3"/>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40109142" w14:textId="77777777"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14:paraId="56A1554F" w14:textId="77777777" w:rsidR="00924482" w:rsidRPr="00DF1D7F" w:rsidRDefault="00924482" w:rsidP="00F54B65">
      <w:pPr>
        <w:pStyle w:val="LegalSubheading"/>
        <w:spacing w:before="3120"/>
      </w:pPr>
      <w:r w:rsidRPr="00DF1D7F">
        <w:t>Copyright</w:t>
      </w:r>
    </w:p>
    <w:p w14:paraId="0652AAB8" w14:textId="1A9170BA" w:rsidR="00924482" w:rsidRDefault="00924482" w:rsidP="00924482">
      <w:pPr>
        <w:pStyle w:val="LegalCopy"/>
      </w:pPr>
      <w:r w:rsidRPr="00191B3B">
        <w:rPr>
          <w:rFonts w:cs="Arial"/>
          <w:lang w:val="en-GB"/>
        </w:rPr>
        <w:t>© Comm</w:t>
      </w:r>
      <w:r>
        <w:rPr>
          <w:rFonts w:cs="Arial"/>
          <w:lang w:val="en-GB"/>
        </w:rPr>
        <w:t>onwealth of Australia 20</w:t>
      </w:r>
      <w:r w:rsidR="00460036">
        <w:rPr>
          <w:rFonts w:cs="Arial"/>
          <w:lang w:val="en-GB"/>
        </w:rPr>
        <w:t>2</w:t>
      </w:r>
      <w:r w:rsidR="00231243">
        <w:rPr>
          <w:rFonts w:cs="Arial"/>
          <w:lang w:val="en-GB"/>
        </w:rPr>
        <w:t>1</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9" w:history="1">
        <w:r w:rsidRPr="00191B3B">
          <w:rPr>
            <w:rStyle w:val="Hyperlink"/>
            <w:rFonts w:cs="Arial"/>
            <w:lang w:val="en-GB"/>
          </w:rPr>
          <w:t>tga.copyright@tga.gov.au</w:t>
        </w:r>
      </w:hyperlink>
      <w:r w:rsidRPr="00191B3B">
        <w:rPr>
          <w:rFonts w:cs="Arial"/>
        </w:rPr>
        <w:t>&gt;.</w:t>
      </w:r>
    </w:p>
    <w:p w14:paraId="2C6C015A" w14:textId="77777777" w:rsidR="00924482" w:rsidRDefault="00924482" w:rsidP="00924482">
      <w:pPr>
        <w:pStyle w:val="LegalCopy"/>
        <w:sectPr w:rsidR="00924482" w:rsidSect="003D1E62">
          <w:headerReference w:type="even" r:id="rId10"/>
          <w:headerReference w:type="default" r:id="rId11"/>
          <w:footerReference w:type="even" r:id="rId12"/>
          <w:footerReference w:type="default" r:id="rId13"/>
          <w:headerReference w:type="first" r:id="rId14"/>
          <w:footerReference w:type="first" r:id="rId15"/>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467CAF7D" w14:textId="77777777" w:rsidR="0089635C" w:rsidRPr="0089635C" w:rsidRDefault="0089635C" w:rsidP="0010788A">
          <w:pPr>
            <w:pStyle w:val="Contents"/>
          </w:pPr>
          <w:r w:rsidRPr="0010788A">
            <w:t>Co</w:t>
          </w:r>
          <w:bookmarkStart w:id="2" w:name="_GoBack"/>
          <w:bookmarkEnd w:id="2"/>
          <w:r w:rsidRPr="0010788A">
            <w:t>ntents</w:t>
          </w:r>
        </w:p>
        <w:p w14:paraId="2C9C996B" w14:textId="24C0AA16" w:rsidR="00540B93" w:rsidRDefault="00C525A2">
          <w:pPr>
            <w:pStyle w:val="TOC1"/>
            <w:rPr>
              <w:rFonts w:asciiTheme="minorHAnsi" w:eastAsiaTheme="minorEastAsia" w:hAnsiTheme="minorHAnsi" w:cstheme="minorBidi"/>
              <w:b w:val="0"/>
              <w:noProof/>
              <w:sz w:val="22"/>
              <w:lang w:eastAsia="en-AU"/>
            </w:rPr>
          </w:pPr>
          <w:r>
            <w:fldChar w:fldCharType="begin"/>
          </w:r>
          <w:r>
            <w:instrText xml:space="preserve"> TOC \h \z \t "Heading 2,1,Heading 3,2" </w:instrText>
          </w:r>
          <w:r>
            <w:fldChar w:fldCharType="separate"/>
          </w:r>
          <w:hyperlink w:anchor="_Toc64901241" w:history="1">
            <w:r w:rsidR="00540B93" w:rsidRPr="00D37B5B">
              <w:rPr>
                <w:rStyle w:val="Hyperlink"/>
                <w:noProof/>
              </w:rPr>
              <w:t>Abbreviations</w:t>
            </w:r>
            <w:r w:rsidR="00540B93">
              <w:rPr>
                <w:noProof/>
                <w:webHidden/>
              </w:rPr>
              <w:tab/>
            </w:r>
            <w:r w:rsidR="00540B93">
              <w:rPr>
                <w:noProof/>
                <w:webHidden/>
              </w:rPr>
              <w:fldChar w:fldCharType="begin"/>
            </w:r>
            <w:r w:rsidR="00540B93">
              <w:rPr>
                <w:noProof/>
                <w:webHidden/>
              </w:rPr>
              <w:instrText xml:space="preserve"> PAGEREF _Toc64901241 \h </w:instrText>
            </w:r>
            <w:r w:rsidR="00540B93">
              <w:rPr>
                <w:noProof/>
                <w:webHidden/>
              </w:rPr>
            </w:r>
            <w:r w:rsidR="00540B93">
              <w:rPr>
                <w:noProof/>
                <w:webHidden/>
              </w:rPr>
              <w:fldChar w:fldCharType="separate"/>
            </w:r>
            <w:r w:rsidR="00540B93">
              <w:rPr>
                <w:noProof/>
                <w:webHidden/>
              </w:rPr>
              <w:t>4</w:t>
            </w:r>
            <w:r w:rsidR="00540B93">
              <w:rPr>
                <w:noProof/>
                <w:webHidden/>
              </w:rPr>
              <w:fldChar w:fldCharType="end"/>
            </w:r>
          </w:hyperlink>
        </w:p>
        <w:p w14:paraId="0EB66AD3" w14:textId="7B323DDF" w:rsidR="00540B93" w:rsidRDefault="00540B93">
          <w:pPr>
            <w:pStyle w:val="TOC1"/>
            <w:rPr>
              <w:rFonts w:asciiTheme="minorHAnsi" w:eastAsiaTheme="minorEastAsia" w:hAnsiTheme="minorHAnsi" w:cstheme="minorBidi"/>
              <w:b w:val="0"/>
              <w:noProof/>
              <w:sz w:val="22"/>
              <w:lang w:eastAsia="en-AU"/>
            </w:rPr>
          </w:pPr>
          <w:hyperlink w:anchor="_Toc64901242" w:history="1">
            <w:r w:rsidRPr="00D37B5B">
              <w:rPr>
                <w:rStyle w:val="Hyperlink"/>
                <w:noProof/>
              </w:rPr>
              <w:t>I. Introduction to product submission</w:t>
            </w:r>
            <w:r>
              <w:rPr>
                <w:noProof/>
                <w:webHidden/>
              </w:rPr>
              <w:tab/>
            </w:r>
            <w:r>
              <w:rPr>
                <w:noProof/>
                <w:webHidden/>
              </w:rPr>
              <w:fldChar w:fldCharType="begin"/>
            </w:r>
            <w:r>
              <w:rPr>
                <w:noProof/>
                <w:webHidden/>
              </w:rPr>
              <w:instrText xml:space="preserve"> PAGEREF _Toc64901242 \h </w:instrText>
            </w:r>
            <w:r>
              <w:rPr>
                <w:noProof/>
                <w:webHidden/>
              </w:rPr>
            </w:r>
            <w:r>
              <w:rPr>
                <w:noProof/>
                <w:webHidden/>
              </w:rPr>
              <w:fldChar w:fldCharType="separate"/>
            </w:r>
            <w:r>
              <w:rPr>
                <w:noProof/>
                <w:webHidden/>
              </w:rPr>
              <w:t>6</w:t>
            </w:r>
            <w:r>
              <w:rPr>
                <w:noProof/>
                <w:webHidden/>
              </w:rPr>
              <w:fldChar w:fldCharType="end"/>
            </w:r>
          </w:hyperlink>
        </w:p>
        <w:p w14:paraId="072CE909" w14:textId="2968B419" w:rsidR="00540B93" w:rsidRDefault="00540B93">
          <w:pPr>
            <w:pStyle w:val="TOC2"/>
            <w:rPr>
              <w:rFonts w:asciiTheme="minorHAnsi" w:eastAsiaTheme="minorEastAsia" w:hAnsiTheme="minorHAnsi" w:cstheme="minorBidi"/>
              <w:b w:val="0"/>
              <w:noProof/>
              <w:sz w:val="22"/>
              <w:lang w:eastAsia="en-AU"/>
            </w:rPr>
          </w:pPr>
          <w:hyperlink w:anchor="_Toc64901243" w:history="1">
            <w:r w:rsidRPr="00D37B5B">
              <w:rPr>
                <w:rStyle w:val="Hyperlink"/>
                <w:noProof/>
                <w:lang w:eastAsia="en-AU"/>
              </w:rPr>
              <w:t>Submission details</w:t>
            </w:r>
            <w:r>
              <w:rPr>
                <w:noProof/>
                <w:webHidden/>
              </w:rPr>
              <w:tab/>
            </w:r>
            <w:r>
              <w:rPr>
                <w:noProof/>
                <w:webHidden/>
              </w:rPr>
              <w:fldChar w:fldCharType="begin"/>
            </w:r>
            <w:r>
              <w:rPr>
                <w:noProof/>
                <w:webHidden/>
              </w:rPr>
              <w:instrText xml:space="preserve"> PAGEREF _Toc64901243 \h </w:instrText>
            </w:r>
            <w:r>
              <w:rPr>
                <w:noProof/>
                <w:webHidden/>
              </w:rPr>
            </w:r>
            <w:r>
              <w:rPr>
                <w:noProof/>
                <w:webHidden/>
              </w:rPr>
              <w:fldChar w:fldCharType="separate"/>
            </w:r>
            <w:r>
              <w:rPr>
                <w:noProof/>
                <w:webHidden/>
              </w:rPr>
              <w:t>6</w:t>
            </w:r>
            <w:r>
              <w:rPr>
                <w:noProof/>
                <w:webHidden/>
              </w:rPr>
              <w:fldChar w:fldCharType="end"/>
            </w:r>
          </w:hyperlink>
        </w:p>
        <w:p w14:paraId="60F4C394" w14:textId="519AB272" w:rsidR="00540B93" w:rsidRDefault="00540B93">
          <w:pPr>
            <w:pStyle w:val="TOC2"/>
            <w:rPr>
              <w:rFonts w:asciiTheme="minorHAnsi" w:eastAsiaTheme="minorEastAsia" w:hAnsiTheme="minorHAnsi" w:cstheme="minorBidi"/>
              <w:b w:val="0"/>
              <w:noProof/>
              <w:sz w:val="22"/>
              <w:lang w:eastAsia="en-AU"/>
            </w:rPr>
          </w:pPr>
          <w:hyperlink w:anchor="_Toc64901244" w:history="1">
            <w:r w:rsidRPr="00D37B5B">
              <w:rPr>
                <w:rStyle w:val="Hyperlink"/>
                <w:noProof/>
              </w:rPr>
              <w:t>Product background</w:t>
            </w:r>
            <w:r>
              <w:rPr>
                <w:noProof/>
                <w:webHidden/>
              </w:rPr>
              <w:tab/>
            </w:r>
            <w:r>
              <w:rPr>
                <w:noProof/>
                <w:webHidden/>
              </w:rPr>
              <w:fldChar w:fldCharType="begin"/>
            </w:r>
            <w:r>
              <w:rPr>
                <w:noProof/>
                <w:webHidden/>
              </w:rPr>
              <w:instrText xml:space="preserve"> PAGEREF _Toc64901244 \h </w:instrText>
            </w:r>
            <w:r>
              <w:rPr>
                <w:noProof/>
                <w:webHidden/>
              </w:rPr>
            </w:r>
            <w:r>
              <w:rPr>
                <w:noProof/>
                <w:webHidden/>
              </w:rPr>
              <w:fldChar w:fldCharType="separate"/>
            </w:r>
            <w:r>
              <w:rPr>
                <w:noProof/>
                <w:webHidden/>
              </w:rPr>
              <w:t>7</w:t>
            </w:r>
            <w:r>
              <w:rPr>
                <w:noProof/>
                <w:webHidden/>
              </w:rPr>
              <w:fldChar w:fldCharType="end"/>
            </w:r>
          </w:hyperlink>
        </w:p>
        <w:p w14:paraId="28FFDF48" w14:textId="0137BCEC" w:rsidR="00540B93" w:rsidRDefault="00540B93">
          <w:pPr>
            <w:pStyle w:val="TOC2"/>
            <w:rPr>
              <w:rFonts w:asciiTheme="minorHAnsi" w:eastAsiaTheme="minorEastAsia" w:hAnsiTheme="minorHAnsi" w:cstheme="minorBidi"/>
              <w:b w:val="0"/>
              <w:noProof/>
              <w:sz w:val="22"/>
              <w:lang w:eastAsia="en-AU"/>
            </w:rPr>
          </w:pPr>
          <w:hyperlink w:anchor="_Toc64901245" w:history="1">
            <w:r w:rsidRPr="00D37B5B">
              <w:rPr>
                <w:rStyle w:val="Hyperlink"/>
                <w:noProof/>
              </w:rPr>
              <w:t>Regulatory status</w:t>
            </w:r>
            <w:r>
              <w:rPr>
                <w:noProof/>
                <w:webHidden/>
              </w:rPr>
              <w:tab/>
            </w:r>
            <w:r>
              <w:rPr>
                <w:noProof/>
                <w:webHidden/>
              </w:rPr>
              <w:fldChar w:fldCharType="begin"/>
            </w:r>
            <w:r>
              <w:rPr>
                <w:noProof/>
                <w:webHidden/>
              </w:rPr>
              <w:instrText xml:space="preserve"> PAGEREF _Toc64901245 \h </w:instrText>
            </w:r>
            <w:r>
              <w:rPr>
                <w:noProof/>
                <w:webHidden/>
              </w:rPr>
            </w:r>
            <w:r>
              <w:rPr>
                <w:noProof/>
                <w:webHidden/>
              </w:rPr>
              <w:fldChar w:fldCharType="separate"/>
            </w:r>
            <w:r>
              <w:rPr>
                <w:noProof/>
                <w:webHidden/>
              </w:rPr>
              <w:t>8</w:t>
            </w:r>
            <w:r>
              <w:rPr>
                <w:noProof/>
                <w:webHidden/>
              </w:rPr>
              <w:fldChar w:fldCharType="end"/>
            </w:r>
          </w:hyperlink>
        </w:p>
        <w:p w14:paraId="7B2590D0" w14:textId="50D74BB2" w:rsidR="00540B93" w:rsidRDefault="00540B93">
          <w:pPr>
            <w:pStyle w:val="TOC2"/>
            <w:rPr>
              <w:rFonts w:asciiTheme="minorHAnsi" w:eastAsiaTheme="minorEastAsia" w:hAnsiTheme="minorHAnsi" w:cstheme="minorBidi"/>
              <w:b w:val="0"/>
              <w:noProof/>
              <w:sz w:val="22"/>
              <w:lang w:eastAsia="en-AU"/>
            </w:rPr>
          </w:pPr>
          <w:hyperlink w:anchor="_Toc64901246" w:history="1">
            <w:r w:rsidRPr="00D37B5B">
              <w:rPr>
                <w:rStyle w:val="Hyperlink"/>
                <w:noProof/>
              </w:rPr>
              <w:t>Product Information</w:t>
            </w:r>
            <w:r>
              <w:rPr>
                <w:noProof/>
                <w:webHidden/>
              </w:rPr>
              <w:tab/>
            </w:r>
            <w:r>
              <w:rPr>
                <w:noProof/>
                <w:webHidden/>
              </w:rPr>
              <w:fldChar w:fldCharType="begin"/>
            </w:r>
            <w:r>
              <w:rPr>
                <w:noProof/>
                <w:webHidden/>
              </w:rPr>
              <w:instrText xml:space="preserve"> PAGEREF _Toc64901246 \h </w:instrText>
            </w:r>
            <w:r>
              <w:rPr>
                <w:noProof/>
                <w:webHidden/>
              </w:rPr>
            </w:r>
            <w:r>
              <w:rPr>
                <w:noProof/>
                <w:webHidden/>
              </w:rPr>
              <w:fldChar w:fldCharType="separate"/>
            </w:r>
            <w:r>
              <w:rPr>
                <w:noProof/>
                <w:webHidden/>
              </w:rPr>
              <w:t>10</w:t>
            </w:r>
            <w:r>
              <w:rPr>
                <w:noProof/>
                <w:webHidden/>
              </w:rPr>
              <w:fldChar w:fldCharType="end"/>
            </w:r>
          </w:hyperlink>
        </w:p>
        <w:p w14:paraId="6B317C96" w14:textId="0654A148" w:rsidR="00540B93" w:rsidRDefault="00540B93">
          <w:pPr>
            <w:pStyle w:val="TOC1"/>
            <w:rPr>
              <w:rFonts w:asciiTheme="minorHAnsi" w:eastAsiaTheme="minorEastAsia" w:hAnsiTheme="minorHAnsi" w:cstheme="minorBidi"/>
              <w:b w:val="0"/>
              <w:noProof/>
              <w:sz w:val="22"/>
              <w:lang w:eastAsia="en-AU"/>
            </w:rPr>
          </w:pPr>
          <w:hyperlink w:anchor="_Toc64901247" w:history="1">
            <w:r w:rsidRPr="00D37B5B">
              <w:rPr>
                <w:rStyle w:val="Hyperlink"/>
                <w:noProof/>
              </w:rPr>
              <w:t>II. Registration timeline</w:t>
            </w:r>
            <w:r>
              <w:rPr>
                <w:noProof/>
                <w:webHidden/>
              </w:rPr>
              <w:tab/>
            </w:r>
            <w:r>
              <w:rPr>
                <w:noProof/>
                <w:webHidden/>
              </w:rPr>
              <w:fldChar w:fldCharType="begin"/>
            </w:r>
            <w:r>
              <w:rPr>
                <w:noProof/>
                <w:webHidden/>
              </w:rPr>
              <w:instrText xml:space="preserve"> PAGEREF _Toc64901247 \h </w:instrText>
            </w:r>
            <w:r>
              <w:rPr>
                <w:noProof/>
                <w:webHidden/>
              </w:rPr>
            </w:r>
            <w:r>
              <w:rPr>
                <w:noProof/>
                <w:webHidden/>
              </w:rPr>
              <w:fldChar w:fldCharType="separate"/>
            </w:r>
            <w:r>
              <w:rPr>
                <w:noProof/>
                <w:webHidden/>
              </w:rPr>
              <w:t>10</w:t>
            </w:r>
            <w:r>
              <w:rPr>
                <w:noProof/>
                <w:webHidden/>
              </w:rPr>
              <w:fldChar w:fldCharType="end"/>
            </w:r>
          </w:hyperlink>
        </w:p>
        <w:p w14:paraId="64857E9A" w14:textId="2E270DC4" w:rsidR="00540B93" w:rsidRDefault="00540B93">
          <w:pPr>
            <w:pStyle w:val="TOC1"/>
            <w:rPr>
              <w:rFonts w:asciiTheme="minorHAnsi" w:eastAsiaTheme="minorEastAsia" w:hAnsiTheme="minorHAnsi" w:cstheme="minorBidi"/>
              <w:b w:val="0"/>
              <w:noProof/>
              <w:sz w:val="22"/>
              <w:lang w:eastAsia="en-AU"/>
            </w:rPr>
          </w:pPr>
          <w:hyperlink w:anchor="_Toc64901248" w:history="1">
            <w:r w:rsidRPr="00D37B5B">
              <w:rPr>
                <w:rStyle w:val="Hyperlink"/>
                <w:noProof/>
              </w:rPr>
              <w:t>III. Submission overview and risk/benefit assessment</w:t>
            </w:r>
            <w:r>
              <w:rPr>
                <w:noProof/>
                <w:webHidden/>
              </w:rPr>
              <w:tab/>
            </w:r>
            <w:r>
              <w:rPr>
                <w:noProof/>
                <w:webHidden/>
              </w:rPr>
              <w:fldChar w:fldCharType="begin"/>
            </w:r>
            <w:r>
              <w:rPr>
                <w:noProof/>
                <w:webHidden/>
              </w:rPr>
              <w:instrText xml:space="preserve"> PAGEREF _Toc64901248 \h </w:instrText>
            </w:r>
            <w:r>
              <w:rPr>
                <w:noProof/>
                <w:webHidden/>
              </w:rPr>
            </w:r>
            <w:r>
              <w:rPr>
                <w:noProof/>
                <w:webHidden/>
              </w:rPr>
              <w:fldChar w:fldCharType="separate"/>
            </w:r>
            <w:r>
              <w:rPr>
                <w:noProof/>
                <w:webHidden/>
              </w:rPr>
              <w:t>11</w:t>
            </w:r>
            <w:r>
              <w:rPr>
                <w:noProof/>
                <w:webHidden/>
              </w:rPr>
              <w:fldChar w:fldCharType="end"/>
            </w:r>
          </w:hyperlink>
        </w:p>
        <w:p w14:paraId="7056BA60" w14:textId="16EFA391" w:rsidR="00540B93" w:rsidRDefault="00540B93">
          <w:pPr>
            <w:pStyle w:val="TOC2"/>
            <w:rPr>
              <w:rFonts w:asciiTheme="minorHAnsi" w:eastAsiaTheme="minorEastAsia" w:hAnsiTheme="minorHAnsi" w:cstheme="minorBidi"/>
              <w:b w:val="0"/>
              <w:noProof/>
              <w:sz w:val="22"/>
              <w:lang w:eastAsia="en-AU"/>
            </w:rPr>
          </w:pPr>
          <w:hyperlink w:anchor="_Toc64901249" w:history="1">
            <w:r w:rsidRPr="00D37B5B">
              <w:rPr>
                <w:rStyle w:val="Hyperlink"/>
                <w:noProof/>
              </w:rPr>
              <w:t>Quality</w:t>
            </w:r>
            <w:r>
              <w:rPr>
                <w:noProof/>
                <w:webHidden/>
              </w:rPr>
              <w:tab/>
            </w:r>
            <w:r>
              <w:rPr>
                <w:noProof/>
                <w:webHidden/>
              </w:rPr>
              <w:fldChar w:fldCharType="begin"/>
            </w:r>
            <w:r>
              <w:rPr>
                <w:noProof/>
                <w:webHidden/>
              </w:rPr>
              <w:instrText xml:space="preserve"> PAGEREF _Toc64901249 \h </w:instrText>
            </w:r>
            <w:r>
              <w:rPr>
                <w:noProof/>
                <w:webHidden/>
              </w:rPr>
            </w:r>
            <w:r>
              <w:rPr>
                <w:noProof/>
                <w:webHidden/>
              </w:rPr>
              <w:fldChar w:fldCharType="separate"/>
            </w:r>
            <w:r>
              <w:rPr>
                <w:noProof/>
                <w:webHidden/>
              </w:rPr>
              <w:t>11</w:t>
            </w:r>
            <w:r>
              <w:rPr>
                <w:noProof/>
                <w:webHidden/>
              </w:rPr>
              <w:fldChar w:fldCharType="end"/>
            </w:r>
          </w:hyperlink>
        </w:p>
        <w:p w14:paraId="4A38EC4F" w14:textId="749C6145" w:rsidR="00540B93" w:rsidRDefault="00540B93">
          <w:pPr>
            <w:pStyle w:val="TOC2"/>
            <w:rPr>
              <w:rFonts w:asciiTheme="minorHAnsi" w:eastAsiaTheme="minorEastAsia" w:hAnsiTheme="minorHAnsi" w:cstheme="minorBidi"/>
              <w:b w:val="0"/>
              <w:noProof/>
              <w:sz w:val="22"/>
              <w:lang w:eastAsia="en-AU"/>
            </w:rPr>
          </w:pPr>
          <w:hyperlink w:anchor="_Toc64901250" w:history="1">
            <w:r w:rsidRPr="00D37B5B">
              <w:rPr>
                <w:rStyle w:val="Hyperlink"/>
                <w:noProof/>
              </w:rPr>
              <w:t>Nonclinical</w:t>
            </w:r>
            <w:r>
              <w:rPr>
                <w:noProof/>
                <w:webHidden/>
              </w:rPr>
              <w:tab/>
            </w:r>
            <w:r>
              <w:rPr>
                <w:noProof/>
                <w:webHidden/>
              </w:rPr>
              <w:fldChar w:fldCharType="begin"/>
            </w:r>
            <w:r>
              <w:rPr>
                <w:noProof/>
                <w:webHidden/>
              </w:rPr>
              <w:instrText xml:space="preserve"> PAGEREF _Toc64901250 \h </w:instrText>
            </w:r>
            <w:r>
              <w:rPr>
                <w:noProof/>
                <w:webHidden/>
              </w:rPr>
            </w:r>
            <w:r>
              <w:rPr>
                <w:noProof/>
                <w:webHidden/>
              </w:rPr>
              <w:fldChar w:fldCharType="separate"/>
            </w:r>
            <w:r>
              <w:rPr>
                <w:noProof/>
                <w:webHidden/>
              </w:rPr>
              <w:t>12</w:t>
            </w:r>
            <w:r>
              <w:rPr>
                <w:noProof/>
                <w:webHidden/>
              </w:rPr>
              <w:fldChar w:fldCharType="end"/>
            </w:r>
          </w:hyperlink>
        </w:p>
        <w:p w14:paraId="04CE8139" w14:textId="00C552E1" w:rsidR="00540B93" w:rsidRDefault="00540B93">
          <w:pPr>
            <w:pStyle w:val="TOC2"/>
            <w:rPr>
              <w:rFonts w:asciiTheme="minorHAnsi" w:eastAsiaTheme="minorEastAsia" w:hAnsiTheme="minorHAnsi" w:cstheme="minorBidi"/>
              <w:b w:val="0"/>
              <w:noProof/>
              <w:sz w:val="22"/>
              <w:lang w:eastAsia="en-AU"/>
            </w:rPr>
          </w:pPr>
          <w:hyperlink w:anchor="_Toc64901251" w:history="1">
            <w:r w:rsidRPr="00D37B5B">
              <w:rPr>
                <w:rStyle w:val="Hyperlink"/>
                <w:noProof/>
              </w:rPr>
              <w:t>Clinical</w:t>
            </w:r>
            <w:r>
              <w:rPr>
                <w:noProof/>
                <w:webHidden/>
              </w:rPr>
              <w:tab/>
            </w:r>
            <w:r>
              <w:rPr>
                <w:noProof/>
                <w:webHidden/>
              </w:rPr>
              <w:fldChar w:fldCharType="begin"/>
            </w:r>
            <w:r>
              <w:rPr>
                <w:noProof/>
                <w:webHidden/>
              </w:rPr>
              <w:instrText xml:space="preserve"> PAGEREF _Toc64901251 \h </w:instrText>
            </w:r>
            <w:r>
              <w:rPr>
                <w:noProof/>
                <w:webHidden/>
              </w:rPr>
            </w:r>
            <w:r>
              <w:rPr>
                <w:noProof/>
                <w:webHidden/>
              </w:rPr>
              <w:fldChar w:fldCharType="separate"/>
            </w:r>
            <w:r>
              <w:rPr>
                <w:noProof/>
                <w:webHidden/>
              </w:rPr>
              <w:t>12</w:t>
            </w:r>
            <w:r>
              <w:rPr>
                <w:noProof/>
                <w:webHidden/>
              </w:rPr>
              <w:fldChar w:fldCharType="end"/>
            </w:r>
          </w:hyperlink>
        </w:p>
        <w:p w14:paraId="0140181D" w14:textId="03C79EE7" w:rsidR="00540B93" w:rsidRDefault="00540B93">
          <w:pPr>
            <w:pStyle w:val="TOC2"/>
            <w:rPr>
              <w:rFonts w:asciiTheme="minorHAnsi" w:eastAsiaTheme="minorEastAsia" w:hAnsiTheme="minorHAnsi" w:cstheme="minorBidi"/>
              <w:b w:val="0"/>
              <w:noProof/>
              <w:sz w:val="22"/>
              <w:lang w:eastAsia="en-AU"/>
            </w:rPr>
          </w:pPr>
          <w:hyperlink w:anchor="_Toc64901252" w:history="1">
            <w:r w:rsidRPr="00D37B5B">
              <w:rPr>
                <w:rStyle w:val="Hyperlink"/>
                <w:noProof/>
                <w:lang w:eastAsia="en-AU"/>
              </w:rPr>
              <w:t>Risk management plan</w:t>
            </w:r>
            <w:r>
              <w:rPr>
                <w:noProof/>
                <w:webHidden/>
              </w:rPr>
              <w:tab/>
            </w:r>
            <w:r>
              <w:rPr>
                <w:noProof/>
                <w:webHidden/>
              </w:rPr>
              <w:fldChar w:fldCharType="begin"/>
            </w:r>
            <w:r>
              <w:rPr>
                <w:noProof/>
                <w:webHidden/>
              </w:rPr>
              <w:instrText xml:space="preserve"> PAGEREF _Toc64901252 \h </w:instrText>
            </w:r>
            <w:r>
              <w:rPr>
                <w:noProof/>
                <w:webHidden/>
              </w:rPr>
            </w:r>
            <w:r>
              <w:rPr>
                <w:noProof/>
                <w:webHidden/>
              </w:rPr>
              <w:fldChar w:fldCharType="separate"/>
            </w:r>
            <w:r>
              <w:rPr>
                <w:noProof/>
                <w:webHidden/>
              </w:rPr>
              <w:t>25</w:t>
            </w:r>
            <w:r>
              <w:rPr>
                <w:noProof/>
                <w:webHidden/>
              </w:rPr>
              <w:fldChar w:fldCharType="end"/>
            </w:r>
          </w:hyperlink>
        </w:p>
        <w:p w14:paraId="12E9D10D" w14:textId="37A85CE5" w:rsidR="00540B93" w:rsidRDefault="00540B93">
          <w:pPr>
            <w:pStyle w:val="TOC2"/>
            <w:rPr>
              <w:rFonts w:asciiTheme="minorHAnsi" w:eastAsiaTheme="minorEastAsia" w:hAnsiTheme="minorHAnsi" w:cstheme="minorBidi"/>
              <w:b w:val="0"/>
              <w:noProof/>
              <w:sz w:val="22"/>
              <w:lang w:eastAsia="en-AU"/>
            </w:rPr>
          </w:pPr>
          <w:hyperlink w:anchor="_Toc64901253" w:history="1">
            <w:r w:rsidRPr="00D37B5B">
              <w:rPr>
                <w:rStyle w:val="Hyperlink"/>
                <w:noProof/>
              </w:rPr>
              <w:t>Risk-benefit analysis</w:t>
            </w:r>
            <w:r>
              <w:rPr>
                <w:noProof/>
                <w:webHidden/>
              </w:rPr>
              <w:tab/>
            </w:r>
            <w:r>
              <w:rPr>
                <w:noProof/>
                <w:webHidden/>
              </w:rPr>
              <w:fldChar w:fldCharType="begin"/>
            </w:r>
            <w:r>
              <w:rPr>
                <w:noProof/>
                <w:webHidden/>
              </w:rPr>
              <w:instrText xml:space="preserve"> PAGEREF _Toc64901253 \h </w:instrText>
            </w:r>
            <w:r>
              <w:rPr>
                <w:noProof/>
                <w:webHidden/>
              </w:rPr>
            </w:r>
            <w:r>
              <w:rPr>
                <w:noProof/>
                <w:webHidden/>
              </w:rPr>
              <w:fldChar w:fldCharType="separate"/>
            </w:r>
            <w:r>
              <w:rPr>
                <w:noProof/>
                <w:webHidden/>
              </w:rPr>
              <w:t>26</w:t>
            </w:r>
            <w:r>
              <w:rPr>
                <w:noProof/>
                <w:webHidden/>
              </w:rPr>
              <w:fldChar w:fldCharType="end"/>
            </w:r>
          </w:hyperlink>
        </w:p>
        <w:p w14:paraId="2F05A243" w14:textId="3E87FD42" w:rsidR="00540B93" w:rsidRDefault="00540B93">
          <w:pPr>
            <w:pStyle w:val="TOC2"/>
            <w:rPr>
              <w:rFonts w:asciiTheme="minorHAnsi" w:eastAsiaTheme="minorEastAsia" w:hAnsiTheme="minorHAnsi" w:cstheme="minorBidi"/>
              <w:b w:val="0"/>
              <w:noProof/>
              <w:sz w:val="22"/>
              <w:lang w:eastAsia="en-AU"/>
            </w:rPr>
          </w:pPr>
          <w:hyperlink w:anchor="_Toc64901254" w:history="1">
            <w:r w:rsidRPr="00D37B5B">
              <w:rPr>
                <w:rStyle w:val="Hyperlink"/>
                <w:noProof/>
              </w:rPr>
              <w:t>Outcome</w:t>
            </w:r>
            <w:r>
              <w:rPr>
                <w:noProof/>
                <w:webHidden/>
              </w:rPr>
              <w:tab/>
            </w:r>
            <w:r>
              <w:rPr>
                <w:noProof/>
                <w:webHidden/>
              </w:rPr>
              <w:fldChar w:fldCharType="begin"/>
            </w:r>
            <w:r>
              <w:rPr>
                <w:noProof/>
                <w:webHidden/>
              </w:rPr>
              <w:instrText xml:space="preserve"> PAGEREF _Toc64901254 \h </w:instrText>
            </w:r>
            <w:r>
              <w:rPr>
                <w:noProof/>
                <w:webHidden/>
              </w:rPr>
            </w:r>
            <w:r>
              <w:rPr>
                <w:noProof/>
                <w:webHidden/>
              </w:rPr>
              <w:fldChar w:fldCharType="separate"/>
            </w:r>
            <w:r>
              <w:rPr>
                <w:noProof/>
                <w:webHidden/>
              </w:rPr>
              <w:t>30</w:t>
            </w:r>
            <w:r>
              <w:rPr>
                <w:noProof/>
                <w:webHidden/>
              </w:rPr>
              <w:fldChar w:fldCharType="end"/>
            </w:r>
          </w:hyperlink>
        </w:p>
        <w:p w14:paraId="062EAEB6" w14:textId="63E7572A" w:rsidR="00540B93" w:rsidRDefault="00540B93">
          <w:pPr>
            <w:pStyle w:val="TOC1"/>
            <w:rPr>
              <w:rFonts w:asciiTheme="minorHAnsi" w:eastAsiaTheme="minorEastAsia" w:hAnsiTheme="minorHAnsi" w:cstheme="minorBidi"/>
              <w:b w:val="0"/>
              <w:noProof/>
              <w:sz w:val="22"/>
              <w:lang w:eastAsia="en-AU"/>
            </w:rPr>
          </w:pPr>
          <w:hyperlink w:anchor="_Toc64901255" w:history="1">
            <w:r w:rsidRPr="00D37B5B">
              <w:rPr>
                <w:rStyle w:val="Hyperlink"/>
                <w:noProof/>
              </w:rPr>
              <w:t>Attachment 1. Product Information</w:t>
            </w:r>
            <w:r>
              <w:rPr>
                <w:noProof/>
                <w:webHidden/>
              </w:rPr>
              <w:tab/>
            </w:r>
            <w:r>
              <w:rPr>
                <w:noProof/>
                <w:webHidden/>
              </w:rPr>
              <w:fldChar w:fldCharType="begin"/>
            </w:r>
            <w:r>
              <w:rPr>
                <w:noProof/>
                <w:webHidden/>
              </w:rPr>
              <w:instrText xml:space="preserve"> PAGEREF _Toc64901255 \h </w:instrText>
            </w:r>
            <w:r>
              <w:rPr>
                <w:noProof/>
                <w:webHidden/>
              </w:rPr>
            </w:r>
            <w:r>
              <w:rPr>
                <w:noProof/>
                <w:webHidden/>
              </w:rPr>
              <w:fldChar w:fldCharType="separate"/>
            </w:r>
            <w:r>
              <w:rPr>
                <w:noProof/>
                <w:webHidden/>
              </w:rPr>
              <w:t>30</w:t>
            </w:r>
            <w:r>
              <w:rPr>
                <w:noProof/>
                <w:webHidden/>
              </w:rPr>
              <w:fldChar w:fldCharType="end"/>
            </w:r>
          </w:hyperlink>
        </w:p>
        <w:p w14:paraId="5BFA54FF" w14:textId="1CB6D1D5" w:rsidR="003A7F6C" w:rsidRPr="00B811C6" w:rsidRDefault="00C525A2" w:rsidP="00B811C6">
          <w:pPr>
            <w:pStyle w:val="TOC2"/>
          </w:pPr>
          <w:r>
            <w:fldChar w:fldCharType="end"/>
          </w:r>
        </w:p>
      </w:sdtContent>
    </w:sdt>
    <w:bookmarkStart w:id="3" w:name="_Toc314842482" w:displacedByCustomXml="prev"/>
    <w:p w14:paraId="2D9B9560" w14:textId="77777777" w:rsidR="00FD119B" w:rsidRDefault="00FD119B">
      <w:pPr>
        <w:spacing w:before="0" w:after="200" w:line="0" w:lineRule="auto"/>
      </w:pPr>
      <w:r>
        <w:br w:type="page"/>
      </w:r>
    </w:p>
    <w:p w14:paraId="44BE5C71" w14:textId="77777777" w:rsidR="00C52E24" w:rsidRPr="00C52E24" w:rsidRDefault="008723AB" w:rsidP="00AF39D6">
      <w:pPr>
        <w:pStyle w:val="Heading2"/>
      </w:pPr>
      <w:bookmarkStart w:id="4" w:name="_Toc351716269"/>
      <w:bookmarkStart w:id="5" w:name="_Toc351718881"/>
      <w:bookmarkStart w:id="6" w:name="_Toc355338616"/>
      <w:bookmarkStart w:id="7" w:name="_Toc356306144"/>
      <w:bookmarkStart w:id="8" w:name="_Toc64901241"/>
      <w:r>
        <w:lastRenderedPageBreak/>
        <w:t>A</w:t>
      </w:r>
      <w:r w:rsidR="00FD119B" w:rsidRPr="00FD119B">
        <w:t>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1797"/>
        <w:gridCol w:w="6697"/>
      </w:tblGrid>
      <w:tr w:rsidR="00F20740" w:rsidRPr="00FD119B" w14:paraId="00DFB4BB" w14:textId="77777777" w:rsidTr="00155799">
        <w:trPr>
          <w:cnfStyle w:val="100000000000" w:firstRow="1" w:lastRow="0" w:firstColumn="0" w:lastColumn="0" w:oddVBand="0" w:evenVBand="0" w:oddHBand="0" w:evenHBand="0" w:firstRowFirstColumn="0" w:firstRowLastColumn="0" w:lastRowFirstColumn="0" w:lastRowLastColumn="0"/>
        </w:trPr>
        <w:tc>
          <w:tcPr>
            <w:tcW w:w="1797" w:type="dxa"/>
            <w:tcBorders>
              <w:top w:val="single" w:sz="4" w:space="0" w:color="auto"/>
              <w:left w:val="single" w:sz="4" w:space="0" w:color="auto"/>
              <w:bottom w:val="single" w:sz="4" w:space="0" w:color="auto"/>
              <w:right w:val="single" w:sz="4" w:space="0" w:color="auto"/>
            </w:tcBorders>
          </w:tcPr>
          <w:p w14:paraId="55ED295A" w14:textId="77777777" w:rsidR="00F20740" w:rsidRPr="00FD119B" w:rsidRDefault="00F20740" w:rsidP="00CF5DAD">
            <w:pPr>
              <w:keepNext w:val="0"/>
              <w:ind w:left="0" w:right="0"/>
              <w:rPr>
                <w:szCs w:val="22"/>
                <w:lang w:eastAsia="en-US"/>
              </w:rPr>
            </w:pPr>
            <w:r w:rsidRPr="00FD119B">
              <w:rPr>
                <w:szCs w:val="22"/>
                <w:lang w:eastAsia="en-US"/>
              </w:rPr>
              <w:t>Abbreviation</w:t>
            </w:r>
          </w:p>
        </w:tc>
        <w:tc>
          <w:tcPr>
            <w:tcW w:w="6697" w:type="dxa"/>
            <w:tcBorders>
              <w:top w:val="single" w:sz="4" w:space="0" w:color="auto"/>
              <w:left w:val="single" w:sz="4" w:space="0" w:color="auto"/>
              <w:bottom w:val="single" w:sz="4" w:space="0" w:color="auto"/>
              <w:right w:val="single" w:sz="4" w:space="0" w:color="auto"/>
            </w:tcBorders>
          </w:tcPr>
          <w:p w14:paraId="0658346C" w14:textId="77777777" w:rsidR="00F20740" w:rsidRPr="00FD119B" w:rsidRDefault="00F20740" w:rsidP="00CF5DAD">
            <w:pPr>
              <w:keepNext w:val="0"/>
              <w:ind w:left="0" w:right="0"/>
              <w:rPr>
                <w:szCs w:val="22"/>
                <w:lang w:eastAsia="en-US"/>
              </w:rPr>
            </w:pPr>
            <w:r w:rsidRPr="00FD119B">
              <w:rPr>
                <w:szCs w:val="22"/>
                <w:lang w:eastAsia="en-US"/>
              </w:rPr>
              <w:t>Meaning</w:t>
            </w:r>
          </w:p>
        </w:tc>
      </w:tr>
      <w:tr w:rsidR="00F20740" w:rsidRPr="00FD119B" w14:paraId="664127FE" w14:textId="77777777" w:rsidTr="00155799">
        <w:tc>
          <w:tcPr>
            <w:tcW w:w="1797" w:type="dxa"/>
          </w:tcPr>
          <w:p w14:paraId="212524D4" w14:textId="77777777" w:rsidR="00F20740" w:rsidRDefault="00F20740" w:rsidP="00D578F0">
            <w:pPr>
              <w:ind w:left="0"/>
            </w:pPr>
            <w:r w:rsidRPr="00D578F0">
              <w:t>3-OMD</w:t>
            </w:r>
          </w:p>
        </w:tc>
        <w:tc>
          <w:tcPr>
            <w:tcW w:w="6697" w:type="dxa"/>
          </w:tcPr>
          <w:p w14:paraId="2902AA04" w14:textId="0C912007" w:rsidR="00F20740" w:rsidRDefault="00F20740" w:rsidP="00231243">
            <w:pPr>
              <w:ind w:left="0"/>
            </w:pPr>
            <w:r w:rsidRPr="00D578F0">
              <w:t>3-O-methyldopa</w:t>
            </w:r>
          </w:p>
        </w:tc>
      </w:tr>
      <w:tr w:rsidR="00F20740" w:rsidRPr="00FD119B" w14:paraId="2E7EB203" w14:textId="77777777" w:rsidTr="00155799">
        <w:tc>
          <w:tcPr>
            <w:tcW w:w="1797" w:type="dxa"/>
            <w:tcBorders>
              <w:top w:val="single" w:sz="4" w:space="0" w:color="auto"/>
            </w:tcBorders>
          </w:tcPr>
          <w:p w14:paraId="6CA816DF" w14:textId="77777777" w:rsidR="00F20740" w:rsidRPr="00FD119B" w:rsidRDefault="00F20740" w:rsidP="00CF5DAD">
            <w:pPr>
              <w:ind w:left="0" w:right="0"/>
            </w:pPr>
            <w:r>
              <w:t>ACM</w:t>
            </w:r>
          </w:p>
        </w:tc>
        <w:tc>
          <w:tcPr>
            <w:tcW w:w="6697" w:type="dxa"/>
            <w:tcBorders>
              <w:top w:val="single" w:sz="4" w:space="0" w:color="auto"/>
            </w:tcBorders>
          </w:tcPr>
          <w:p w14:paraId="07825836" w14:textId="77777777" w:rsidR="00F20740" w:rsidRPr="00FD119B" w:rsidRDefault="00F20740" w:rsidP="00CF5DAD">
            <w:pPr>
              <w:ind w:left="0" w:right="0"/>
            </w:pPr>
            <w:r w:rsidRPr="00460036">
              <w:t>Advisory Committee on Medicines</w:t>
            </w:r>
          </w:p>
        </w:tc>
      </w:tr>
      <w:tr w:rsidR="00F20740" w:rsidRPr="00FD119B" w14:paraId="43E25CD7" w14:textId="77777777" w:rsidTr="00155799">
        <w:tc>
          <w:tcPr>
            <w:tcW w:w="1797" w:type="dxa"/>
          </w:tcPr>
          <w:p w14:paraId="4D7FDEE0" w14:textId="77777777" w:rsidR="00F20740" w:rsidRPr="00F471A0" w:rsidRDefault="00F20740" w:rsidP="00696DF5">
            <w:pPr>
              <w:ind w:left="0"/>
            </w:pPr>
            <w:r>
              <w:t>AE</w:t>
            </w:r>
          </w:p>
        </w:tc>
        <w:tc>
          <w:tcPr>
            <w:tcW w:w="6697" w:type="dxa"/>
          </w:tcPr>
          <w:p w14:paraId="3D9623A6" w14:textId="77777777" w:rsidR="00F20740" w:rsidRDefault="00F20740" w:rsidP="00696DF5">
            <w:pPr>
              <w:ind w:left="0"/>
            </w:pPr>
            <w:r>
              <w:t>Adverse event</w:t>
            </w:r>
          </w:p>
        </w:tc>
      </w:tr>
      <w:tr w:rsidR="00F20740" w:rsidRPr="00FD119B" w14:paraId="11B47260" w14:textId="77777777" w:rsidTr="00155799">
        <w:tc>
          <w:tcPr>
            <w:tcW w:w="1797" w:type="dxa"/>
          </w:tcPr>
          <w:p w14:paraId="5E106D29" w14:textId="77777777" w:rsidR="00F20740" w:rsidRDefault="00F20740" w:rsidP="00F471A0">
            <w:pPr>
              <w:ind w:left="0"/>
            </w:pPr>
            <w:r w:rsidRPr="00F471A0">
              <w:t>ANCOVA</w:t>
            </w:r>
          </w:p>
        </w:tc>
        <w:tc>
          <w:tcPr>
            <w:tcW w:w="6697" w:type="dxa"/>
          </w:tcPr>
          <w:p w14:paraId="37389B8E" w14:textId="77777777" w:rsidR="00F20740" w:rsidRDefault="00F20740" w:rsidP="00F471A0">
            <w:pPr>
              <w:ind w:left="0"/>
            </w:pPr>
            <w:r>
              <w:t>A</w:t>
            </w:r>
            <w:r w:rsidRPr="00F471A0">
              <w:t>nalysis of covariance</w:t>
            </w:r>
          </w:p>
        </w:tc>
      </w:tr>
      <w:tr w:rsidR="00F20740" w:rsidRPr="00FD119B" w14:paraId="421FBB00" w14:textId="77777777" w:rsidTr="00155799">
        <w:tc>
          <w:tcPr>
            <w:tcW w:w="1797" w:type="dxa"/>
          </w:tcPr>
          <w:p w14:paraId="529493E8" w14:textId="77777777" w:rsidR="00F20740" w:rsidRPr="00F471A0" w:rsidRDefault="00F20740" w:rsidP="00696DF5">
            <w:pPr>
              <w:ind w:left="0"/>
            </w:pPr>
            <w:r>
              <w:t>API</w:t>
            </w:r>
          </w:p>
        </w:tc>
        <w:tc>
          <w:tcPr>
            <w:tcW w:w="6697" w:type="dxa"/>
          </w:tcPr>
          <w:p w14:paraId="28FB0C9D" w14:textId="77777777" w:rsidR="00F20740" w:rsidRDefault="00F20740" w:rsidP="007A038A">
            <w:pPr>
              <w:ind w:left="0"/>
            </w:pPr>
            <w:r>
              <w:t>A</w:t>
            </w:r>
            <w:r w:rsidRPr="007A038A">
              <w:t>ctive pharmaceutical ingredient</w:t>
            </w:r>
          </w:p>
        </w:tc>
      </w:tr>
      <w:tr w:rsidR="00F20740" w:rsidRPr="00FD119B" w14:paraId="468716E8" w14:textId="77777777" w:rsidTr="00155799">
        <w:tc>
          <w:tcPr>
            <w:tcW w:w="1797" w:type="dxa"/>
          </w:tcPr>
          <w:p w14:paraId="5655D247" w14:textId="77777777" w:rsidR="00F20740" w:rsidRPr="00FD119B" w:rsidRDefault="00F20740" w:rsidP="00CF5DAD">
            <w:pPr>
              <w:ind w:left="0" w:right="0"/>
            </w:pPr>
            <w:r>
              <w:t>ARTG</w:t>
            </w:r>
          </w:p>
        </w:tc>
        <w:tc>
          <w:tcPr>
            <w:tcW w:w="6697" w:type="dxa"/>
          </w:tcPr>
          <w:p w14:paraId="3570E17C" w14:textId="77777777" w:rsidR="00F20740" w:rsidRPr="00FD119B" w:rsidRDefault="00F20740" w:rsidP="00CF5DAD">
            <w:pPr>
              <w:ind w:left="0" w:right="0"/>
            </w:pPr>
            <w:r w:rsidRPr="00460036">
              <w:t>Australian Register of Therapeutic Goods</w:t>
            </w:r>
          </w:p>
        </w:tc>
      </w:tr>
      <w:tr w:rsidR="00F20740" w:rsidRPr="00FD119B" w14:paraId="05BBB643" w14:textId="77777777" w:rsidTr="00155799">
        <w:tc>
          <w:tcPr>
            <w:tcW w:w="1797" w:type="dxa"/>
          </w:tcPr>
          <w:p w14:paraId="47869959" w14:textId="77777777" w:rsidR="00F20740" w:rsidRPr="00F471A0" w:rsidRDefault="00F20740" w:rsidP="00696DF5">
            <w:pPr>
              <w:ind w:left="0"/>
            </w:pPr>
            <w:r>
              <w:t>ASA</w:t>
            </w:r>
          </w:p>
        </w:tc>
        <w:tc>
          <w:tcPr>
            <w:tcW w:w="6697" w:type="dxa"/>
          </w:tcPr>
          <w:p w14:paraId="11B5C7B9" w14:textId="318B0501" w:rsidR="00F20740" w:rsidRDefault="00F20740" w:rsidP="00696DF5">
            <w:pPr>
              <w:ind w:left="0"/>
            </w:pPr>
            <w:r>
              <w:t>Australia</w:t>
            </w:r>
            <w:r w:rsidR="0050221F">
              <w:t>n</w:t>
            </w:r>
            <w:r>
              <w:t xml:space="preserve"> specific </w:t>
            </w:r>
            <w:r w:rsidR="0050221F">
              <w:t>A</w:t>
            </w:r>
            <w:r w:rsidRPr="00696DF5">
              <w:t>nnex</w:t>
            </w:r>
          </w:p>
        </w:tc>
      </w:tr>
      <w:tr w:rsidR="00F20740" w:rsidRPr="00FD119B" w14:paraId="74EB962A" w14:textId="77777777" w:rsidTr="00155799">
        <w:tc>
          <w:tcPr>
            <w:tcW w:w="1797" w:type="dxa"/>
          </w:tcPr>
          <w:p w14:paraId="0D4BE8B5" w14:textId="77777777" w:rsidR="00F20740" w:rsidRDefault="00F20740" w:rsidP="00F471A0">
            <w:pPr>
              <w:ind w:left="0"/>
            </w:pPr>
            <w:r w:rsidRPr="00F471A0">
              <w:t>AUC</w:t>
            </w:r>
          </w:p>
        </w:tc>
        <w:tc>
          <w:tcPr>
            <w:tcW w:w="6697" w:type="dxa"/>
          </w:tcPr>
          <w:p w14:paraId="342B1C5B" w14:textId="6F4281DB" w:rsidR="00F20740" w:rsidRDefault="00F20740" w:rsidP="00F471A0">
            <w:pPr>
              <w:ind w:left="0"/>
            </w:pPr>
            <w:r w:rsidRPr="00F471A0">
              <w:t>Area under the concentration time curve</w:t>
            </w:r>
          </w:p>
        </w:tc>
      </w:tr>
      <w:tr w:rsidR="00F20740" w:rsidRPr="00FD119B" w14:paraId="7FC6E566" w14:textId="77777777" w:rsidTr="00155799">
        <w:tc>
          <w:tcPr>
            <w:tcW w:w="1797" w:type="dxa"/>
          </w:tcPr>
          <w:p w14:paraId="0CECB190" w14:textId="77777777" w:rsidR="00F20740" w:rsidRDefault="00F20740" w:rsidP="00F471A0">
            <w:pPr>
              <w:ind w:left="0"/>
            </w:pPr>
            <w:r w:rsidRPr="00F471A0">
              <w:t>AUC0-24</w:t>
            </w:r>
          </w:p>
        </w:tc>
        <w:tc>
          <w:tcPr>
            <w:tcW w:w="6697" w:type="dxa"/>
          </w:tcPr>
          <w:p w14:paraId="6F648ECB" w14:textId="6F10CF3F" w:rsidR="00F20740" w:rsidRDefault="00F20740" w:rsidP="00495FF7">
            <w:pPr>
              <w:ind w:left="0"/>
            </w:pPr>
            <w:r>
              <w:t xml:space="preserve">Area under the </w:t>
            </w:r>
            <w:r w:rsidRPr="00F471A0">
              <w:t>concentration-time curve from time 0 to 24 hours</w:t>
            </w:r>
          </w:p>
        </w:tc>
      </w:tr>
      <w:tr w:rsidR="00F20740" w:rsidRPr="00FD119B" w14:paraId="41DB73BF" w14:textId="77777777" w:rsidTr="00155799">
        <w:tc>
          <w:tcPr>
            <w:tcW w:w="1797" w:type="dxa"/>
          </w:tcPr>
          <w:p w14:paraId="0C5B6A60" w14:textId="77777777" w:rsidR="00F20740" w:rsidRDefault="00F20740" w:rsidP="00F471A0">
            <w:pPr>
              <w:ind w:left="0"/>
            </w:pPr>
            <w:r w:rsidRPr="00F471A0">
              <w:t>AUC</w:t>
            </w:r>
            <w:r w:rsidRPr="00F471A0">
              <w:rPr>
                <w:vertAlign w:val="subscript"/>
              </w:rPr>
              <w:t>0-inf</w:t>
            </w:r>
          </w:p>
        </w:tc>
        <w:tc>
          <w:tcPr>
            <w:tcW w:w="6697" w:type="dxa"/>
          </w:tcPr>
          <w:p w14:paraId="2A0CA324" w14:textId="71B0643A" w:rsidR="00F20740" w:rsidRDefault="00F20740" w:rsidP="0050221F">
            <w:pPr>
              <w:ind w:left="0"/>
            </w:pPr>
            <w:r w:rsidRPr="00F471A0">
              <w:t xml:space="preserve">Area under </w:t>
            </w:r>
            <w:proofErr w:type="spellStart"/>
            <w:r w:rsidRPr="00F471A0">
              <w:t>theconcentration</w:t>
            </w:r>
            <w:proofErr w:type="spellEnd"/>
            <w:r w:rsidRPr="00F471A0">
              <w:t xml:space="preserve"> time curve </w:t>
            </w:r>
            <w:r w:rsidR="0050221F">
              <w:t>from time zero extrapolated to infinity</w:t>
            </w:r>
          </w:p>
        </w:tc>
      </w:tr>
      <w:tr w:rsidR="00F20740" w:rsidRPr="00FD119B" w14:paraId="68A20B4F" w14:textId="77777777" w:rsidTr="00155799">
        <w:tc>
          <w:tcPr>
            <w:tcW w:w="1797" w:type="dxa"/>
          </w:tcPr>
          <w:p w14:paraId="1AF42DCC" w14:textId="77777777" w:rsidR="00F20740" w:rsidRDefault="00F20740" w:rsidP="00F471A0">
            <w:pPr>
              <w:ind w:left="0"/>
            </w:pPr>
            <w:r>
              <w:t>A</w:t>
            </w:r>
            <w:r w:rsidRPr="00F471A0">
              <w:t>UC</w:t>
            </w:r>
            <w:r w:rsidRPr="00F471A0">
              <w:rPr>
                <w:vertAlign w:val="subscript"/>
              </w:rPr>
              <w:t>0-t</w:t>
            </w:r>
          </w:p>
        </w:tc>
        <w:tc>
          <w:tcPr>
            <w:tcW w:w="6697" w:type="dxa"/>
          </w:tcPr>
          <w:p w14:paraId="248DA28F" w14:textId="5303AA51" w:rsidR="00F20740" w:rsidRDefault="00F20740" w:rsidP="0050221F">
            <w:pPr>
              <w:ind w:left="0"/>
            </w:pPr>
            <w:r w:rsidRPr="00F471A0">
              <w:t xml:space="preserve">Area under the concentration time curve </w:t>
            </w:r>
            <w:r w:rsidR="0050221F">
              <w:t>from time zero to last measurable concentration</w:t>
            </w:r>
          </w:p>
        </w:tc>
      </w:tr>
      <w:tr w:rsidR="00F20740" w:rsidRPr="00FD119B" w14:paraId="7FCDB7B6" w14:textId="77777777" w:rsidTr="00155799">
        <w:tc>
          <w:tcPr>
            <w:tcW w:w="1797" w:type="dxa"/>
          </w:tcPr>
          <w:p w14:paraId="2B98BADB" w14:textId="77777777" w:rsidR="00F20740" w:rsidRDefault="00F20740" w:rsidP="00F471A0">
            <w:pPr>
              <w:ind w:left="0"/>
            </w:pPr>
            <w:proofErr w:type="spellStart"/>
            <w:r w:rsidRPr="00F471A0">
              <w:t>C</w:t>
            </w:r>
            <w:r w:rsidRPr="00F471A0">
              <w:rPr>
                <w:vertAlign w:val="subscript"/>
              </w:rPr>
              <w:t>max</w:t>
            </w:r>
            <w:proofErr w:type="spellEnd"/>
          </w:p>
        </w:tc>
        <w:tc>
          <w:tcPr>
            <w:tcW w:w="6697" w:type="dxa"/>
          </w:tcPr>
          <w:p w14:paraId="1D451F47" w14:textId="506DB759" w:rsidR="00F20740" w:rsidRDefault="00F20740" w:rsidP="00F471A0">
            <w:pPr>
              <w:ind w:left="0"/>
            </w:pPr>
            <w:r w:rsidRPr="00F471A0">
              <w:t>Maximum concentration</w:t>
            </w:r>
          </w:p>
        </w:tc>
      </w:tr>
      <w:tr w:rsidR="00F20740" w:rsidRPr="00FD119B" w14:paraId="68C02681" w14:textId="77777777" w:rsidTr="00155799">
        <w:tc>
          <w:tcPr>
            <w:tcW w:w="1797" w:type="dxa"/>
          </w:tcPr>
          <w:p w14:paraId="120DC7EB" w14:textId="77777777" w:rsidR="00F20740" w:rsidRPr="007B6BB9" w:rsidRDefault="00F20740" w:rsidP="00505537">
            <w:pPr>
              <w:ind w:left="0"/>
            </w:pPr>
            <w:r>
              <w:t>CMI</w:t>
            </w:r>
          </w:p>
        </w:tc>
        <w:tc>
          <w:tcPr>
            <w:tcW w:w="6697" w:type="dxa"/>
          </w:tcPr>
          <w:p w14:paraId="35BB2D28" w14:textId="77777777" w:rsidR="00F20740" w:rsidRDefault="00F20740" w:rsidP="00505537">
            <w:pPr>
              <w:ind w:left="0"/>
            </w:pPr>
            <w:r w:rsidRPr="000A2924">
              <w:t>Consumer Medicines Information</w:t>
            </w:r>
          </w:p>
        </w:tc>
      </w:tr>
      <w:tr w:rsidR="00F20740" w:rsidRPr="00FD119B" w14:paraId="4F93FD0E" w14:textId="77777777" w:rsidTr="00155799">
        <w:tc>
          <w:tcPr>
            <w:tcW w:w="1797" w:type="dxa"/>
          </w:tcPr>
          <w:p w14:paraId="2E920DF0" w14:textId="77777777" w:rsidR="00F20740" w:rsidRDefault="00F20740" w:rsidP="00F471A0">
            <w:pPr>
              <w:ind w:left="0"/>
            </w:pPr>
            <w:r w:rsidRPr="00F471A0">
              <w:t>CNS</w:t>
            </w:r>
          </w:p>
        </w:tc>
        <w:tc>
          <w:tcPr>
            <w:tcW w:w="6697" w:type="dxa"/>
          </w:tcPr>
          <w:p w14:paraId="342D7952" w14:textId="77777777" w:rsidR="00F20740" w:rsidRDefault="00F20740" w:rsidP="00F471A0">
            <w:pPr>
              <w:ind w:left="0"/>
            </w:pPr>
            <w:r w:rsidRPr="00F471A0">
              <w:t>Central nervous system</w:t>
            </w:r>
          </w:p>
        </w:tc>
      </w:tr>
      <w:tr w:rsidR="00F20740" w:rsidRPr="00FD119B" w14:paraId="324F3434" w14:textId="77777777" w:rsidTr="00155799">
        <w:tc>
          <w:tcPr>
            <w:tcW w:w="1797" w:type="dxa"/>
          </w:tcPr>
          <w:p w14:paraId="7B5FD9C0" w14:textId="77777777" w:rsidR="00F20740" w:rsidRDefault="00F20740" w:rsidP="00D578F0">
            <w:pPr>
              <w:ind w:left="0"/>
            </w:pPr>
            <w:r>
              <w:t>COMT</w:t>
            </w:r>
          </w:p>
        </w:tc>
        <w:tc>
          <w:tcPr>
            <w:tcW w:w="6697" w:type="dxa"/>
          </w:tcPr>
          <w:p w14:paraId="27318886" w14:textId="5C9D0792" w:rsidR="00F20740" w:rsidRDefault="00F20740" w:rsidP="00D578F0">
            <w:pPr>
              <w:ind w:left="0"/>
            </w:pPr>
            <w:r>
              <w:t>C</w:t>
            </w:r>
            <w:r w:rsidRPr="00D578F0">
              <w:t>atechol-o-</w:t>
            </w:r>
            <w:proofErr w:type="spellStart"/>
            <w:r w:rsidRPr="00D578F0">
              <w:t>methyltransferase</w:t>
            </w:r>
            <w:proofErr w:type="spellEnd"/>
          </w:p>
        </w:tc>
      </w:tr>
      <w:tr w:rsidR="00F20740" w:rsidRPr="00FD119B" w14:paraId="72695754" w14:textId="77777777" w:rsidTr="00155799">
        <w:tc>
          <w:tcPr>
            <w:tcW w:w="1797" w:type="dxa"/>
          </w:tcPr>
          <w:p w14:paraId="23927939" w14:textId="77777777" w:rsidR="00F20740" w:rsidRPr="00F471A0" w:rsidRDefault="00F20740" w:rsidP="00696DF5">
            <w:pPr>
              <w:ind w:left="0"/>
            </w:pPr>
            <w:r>
              <w:t>CPK</w:t>
            </w:r>
          </w:p>
        </w:tc>
        <w:tc>
          <w:tcPr>
            <w:tcW w:w="6697" w:type="dxa"/>
          </w:tcPr>
          <w:p w14:paraId="45413A60" w14:textId="77777777" w:rsidR="00F20740" w:rsidRDefault="00F20740" w:rsidP="00696DF5">
            <w:pPr>
              <w:ind w:left="0"/>
            </w:pPr>
            <w:proofErr w:type="spellStart"/>
            <w:r w:rsidRPr="00696DF5">
              <w:t>C</w:t>
            </w:r>
            <w:r>
              <w:t>reatine</w:t>
            </w:r>
            <w:proofErr w:type="spellEnd"/>
            <w:r>
              <w:t xml:space="preserve"> p</w:t>
            </w:r>
            <w:r w:rsidRPr="00696DF5">
              <w:t>hosphokinase</w:t>
            </w:r>
          </w:p>
        </w:tc>
      </w:tr>
      <w:tr w:rsidR="00F20740" w:rsidRPr="00FD119B" w14:paraId="47DAA45D" w14:textId="77777777" w:rsidTr="00155799">
        <w:tc>
          <w:tcPr>
            <w:tcW w:w="1797" w:type="dxa"/>
          </w:tcPr>
          <w:p w14:paraId="4E482547" w14:textId="77777777" w:rsidR="00F20740" w:rsidRDefault="00F20740" w:rsidP="00F471A0">
            <w:pPr>
              <w:ind w:left="0"/>
            </w:pPr>
            <w:r>
              <w:t>CR</w:t>
            </w:r>
          </w:p>
        </w:tc>
        <w:tc>
          <w:tcPr>
            <w:tcW w:w="6697" w:type="dxa"/>
          </w:tcPr>
          <w:p w14:paraId="40CB070F" w14:textId="77777777" w:rsidR="00F20740" w:rsidRDefault="00F20740" w:rsidP="00F471A0">
            <w:pPr>
              <w:ind w:left="0"/>
            </w:pPr>
            <w:r w:rsidRPr="00F471A0">
              <w:t>Controlled release</w:t>
            </w:r>
          </w:p>
        </w:tc>
      </w:tr>
      <w:tr w:rsidR="00F20740" w:rsidRPr="00FD119B" w14:paraId="7216913F" w14:textId="77777777" w:rsidTr="00155799">
        <w:tc>
          <w:tcPr>
            <w:tcW w:w="1797" w:type="dxa"/>
          </w:tcPr>
          <w:p w14:paraId="29E05C6D" w14:textId="77777777" w:rsidR="00F20740" w:rsidRDefault="00F20740" w:rsidP="007B6BB9">
            <w:pPr>
              <w:ind w:left="0"/>
            </w:pPr>
            <w:r w:rsidRPr="007B6BB9">
              <w:t>CYP2C8</w:t>
            </w:r>
          </w:p>
        </w:tc>
        <w:tc>
          <w:tcPr>
            <w:tcW w:w="6697" w:type="dxa"/>
          </w:tcPr>
          <w:p w14:paraId="1F4696DE" w14:textId="77777777" w:rsidR="00F20740" w:rsidRDefault="00F20740" w:rsidP="007B6BB9">
            <w:pPr>
              <w:ind w:left="0"/>
            </w:pPr>
            <w:r>
              <w:t>Cytochrome P450 family 2 subfamily C m</w:t>
            </w:r>
            <w:r w:rsidRPr="007B6BB9">
              <w:t>ember 8</w:t>
            </w:r>
          </w:p>
        </w:tc>
      </w:tr>
      <w:tr w:rsidR="00F20740" w:rsidRPr="00FD119B" w14:paraId="232FF3A1" w14:textId="77777777" w:rsidTr="00155799">
        <w:tc>
          <w:tcPr>
            <w:tcW w:w="1797" w:type="dxa"/>
          </w:tcPr>
          <w:p w14:paraId="66CF0C7B" w14:textId="77777777" w:rsidR="00F20740" w:rsidRPr="00FD119B" w:rsidRDefault="00F20740" w:rsidP="003E1E83">
            <w:pPr>
              <w:ind w:left="0" w:right="0"/>
              <w:rPr>
                <w:color w:val="auto"/>
                <w:szCs w:val="22"/>
                <w:lang w:eastAsia="en-US"/>
              </w:rPr>
            </w:pPr>
            <w:r>
              <w:rPr>
                <w:color w:val="auto"/>
                <w:szCs w:val="22"/>
                <w:lang w:eastAsia="en-US"/>
              </w:rPr>
              <w:t>DDCI</w:t>
            </w:r>
          </w:p>
        </w:tc>
        <w:tc>
          <w:tcPr>
            <w:tcW w:w="6697" w:type="dxa"/>
          </w:tcPr>
          <w:p w14:paraId="301EA86C" w14:textId="10DA92E2" w:rsidR="00F20740" w:rsidRPr="00FD119B" w:rsidRDefault="0050221F" w:rsidP="0050221F">
            <w:pPr>
              <w:ind w:left="0" w:right="0"/>
              <w:rPr>
                <w:color w:val="auto"/>
                <w:szCs w:val="22"/>
                <w:lang w:eastAsia="en-US"/>
              </w:rPr>
            </w:pPr>
            <w:proofErr w:type="spellStart"/>
            <w:r w:rsidRPr="003E1E83">
              <w:rPr>
                <w:color w:val="auto"/>
                <w:szCs w:val="22"/>
                <w:lang w:eastAsia="en-US"/>
              </w:rPr>
              <w:t>D</w:t>
            </w:r>
            <w:r>
              <w:rPr>
                <w:color w:val="auto"/>
                <w:szCs w:val="22"/>
                <w:lang w:eastAsia="en-US"/>
              </w:rPr>
              <w:t>opa</w:t>
            </w:r>
            <w:proofErr w:type="spellEnd"/>
            <w:r w:rsidRPr="003E1E83">
              <w:rPr>
                <w:color w:val="auto"/>
                <w:szCs w:val="22"/>
                <w:lang w:eastAsia="en-US"/>
              </w:rPr>
              <w:t xml:space="preserve"> </w:t>
            </w:r>
            <w:r w:rsidR="00F20740" w:rsidRPr="003E1E83">
              <w:rPr>
                <w:color w:val="auto"/>
                <w:szCs w:val="22"/>
                <w:lang w:eastAsia="en-US"/>
              </w:rPr>
              <w:t>decarboxylase inhibitors</w:t>
            </w:r>
          </w:p>
        </w:tc>
      </w:tr>
      <w:tr w:rsidR="00F20740" w:rsidRPr="00FD119B" w14:paraId="79F64948" w14:textId="77777777" w:rsidTr="00155799">
        <w:tc>
          <w:tcPr>
            <w:tcW w:w="1797" w:type="dxa"/>
          </w:tcPr>
          <w:p w14:paraId="01A22A67" w14:textId="77777777" w:rsidR="00F20740" w:rsidRPr="00F471A0" w:rsidRDefault="00F20740" w:rsidP="00696DF5">
            <w:pPr>
              <w:ind w:left="0"/>
            </w:pPr>
            <w:r w:rsidRPr="00696DF5">
              <w:t>DLP</w:t>
            </w:r>
          </w:p>
        </w:tc>
        <w:tc>
          <w:tcPr>
            <w:tcW w:w="6697" w:type="dxa"/>
          </w:tcPr>
          <w:p w14:paraId="45416CC3" w14:textId="77777777" w:rsidR="00F20740" w:rsidRDefault="00F20740" w:rsidP="00696DF5">
            <w:pPr>
              <w:ind w:left="0"/>
            </w:pPr>
            <w:r w:rsidRPr="00696DF5">
              <w:t>Data lock point</w:t>
            </w:r>
          </w:p>
        </w:tc>
      </w:tr>
      <w:tr w:rsidR="00F20740" w:rsidRPr="00FD119B" w14:paraId="21804F9E" w14:textId="77777777" w:rsidTr="00155799">
        <w:tc>
          <w:tcPr>
            <w:tcW w:w="1797" w:type="dxa"/>
          </w:tcPr>
          <w:p w14:paraId="78664FA8" w14:textId="77777777" w:rsidR="00F20740" w:rsidRDefault="00F20740" w:rsidP="007B6BB9">
            <w:pPr>
              <w:ind w:left="0"/>
            </w:pPr>
            <w:r w:rsidRPr="007B6BB9">
              <w:t>ED</w:t>
            </w:r>
            <w:r w:rsidRPr="00155799">
              <w:rPr>
                <w:vertAlign w:val="subscript"/>
              </w:rPr>
              <w:t>50</w:t>
            </w:r>
          </w:p>
        </w:tc>
        <w:tc>
          <w:tcPr>
            <w:tcW w:w="6697" w:type="dxa"/>
          </w:tcPr>
          <w:p w14:paraId="080ACDA8" w14:textId="0C2E9E32" w:rsidR="00F20740" w:rsidRDefault="0050221F" w:rsidP="007B6BB9">
            <w:pPr>
              <w:ind w:left="0"/>
            </w:pPr>
            <w:r>
              <w:t>Median effective dose</w:t>
            </w:r>
          </w:p>
        </w:tc>
      </w:tr>
      <w:tr w:rsidR="00F20740" w:rsidRPr="00FD119B" w14:paraId="5BEF316C" w14:textId="77777777" w:rsidTr="00155799">
        <w:tc>
          <w:tcPr>
            <w:tcW w:w="1797" w:type="dxa"/>
          </w:tcPr>
          <w:p w14:paraId="5471A31F" w14:textId="77777777" w:rsidR="00F20740" w:rsidRPr="00F471A0" w:rsidRDefault="00F20740" w:rsidP="00696DF5">
            <w:pPr>
              <w:ind w:left="0"/>
            </w:pPr>
            <w:r>
              <w:t>EU</w:t>
            </w:r>
          </w:p>
        </w:tc>
        <w:tc>
          <w:tcPr>
            <w:tcW w:w="6697" w:type="dxa"/>
          </w:tcPr>
          <w:p w14:paraId="268BCAC8" w14:textId="77777777" w:rsidR="00F20740" w:rsidRDefault="00F20740" w:rsidP="00696DF5">
            <w:pPr>
              <w:ind w:left="0"/>
            </w:pPr>
            <w:r>
              <w:t>European Union</w:t>
            </w:r>
          </w:p>
        </w:tc>
      </w:tr>
      <w:tr w:rsidR="00F20740" w:rsidRPr="00FD119B" w14:paraId="3450A1C5" w14:textId="77777777" w:rsidTr="00155799">
        <w:tc>
          <w:tcPr>
            <w:tcW w:w="1797" w:type="dxa"/>
          </w:tcPr>
          <w:p w14:paraId="0247E31D" w14:textId="77777777" w:rsidR="00F20740" w:rsidRPr="00F471A0" w:rsidRDefault="00F20740" w:rsidP="00696DF5">
            <w:pPr>
              <w:ind w:left="0"/>
            </w:pPr>
            <w:r>
              <w:t>FAS</w:t>
            </w:r>
          </w:p>
        </w:tc>
        <w:tc>
          <w:tcPr>
            <w:tcW w:w="6697" w:type="dxa"/>
          </w:tcPr>
          <w:p w14:paraId="1AE09213" w14:textId="77777777" w:rsidR="00F20740" w:rsidRDefault="00F20740" w:rsidP="00696DF5">
            <w:pPr>
              <w:ind w:left="0"/>
            </w:pPr>
            <w:r>
              <w:t>Full analysis set</w:t>
            </w:r>
          </w:p>
        </w:tc>
      </w:tr>
      <w:tr w:rsidR="00F20740" w:rsidRPr="00FD119B" w14:paraId="02EF8EC1" w14:textId="77777777" w:rsidTr="00155799">
        <w:tc>
          <w:tcPr>
            <w:tcW w:w="1797" w:type="dxa"/>
          </w:tcPr>
          <w:p w14:paraId="145ADC42" w14:textId="77777777" w:rsidR="00F20740" w:rsidRDefault="00F20740" w:rsidP="00F471A0">
            <w:pPr>
              <w:ind w:left="0"/>
            </w:pPr>
            <w:r w:rsidRPr="00F471A0">
              <w:t>FDC</w:t>
            </w:r>
          </w:p>
        </w:tc>
        <w:tc>
          <w:tcPr>
            <w:tcW w:w="6697" w:type="dxa"/>
          </w:tcPr>
          <w:p w14:paraId="7CC093B5" w14:textId="042B3EEE" w:rsidR="00F20740" w:rsidRDefault="00F20740" w:rsidP="00F471A0">
            <w:pPr>
              <w:ind w:left="0"/>
            </w:pPr>
            <w:r>
              <w:t>Fix</w:t>
            </w:r>
            <w:r w:rsidR="0050221F">
              <w:t>ed</w:t>
            </w:r>
            <w:r>
              <w:t xml:space="preserve"> dose c</w:t>
            </w:r>
            <w:r w:rsidRPr="00F471A0">
              <w:t>ombination</w:t>
            </w:r>
          </w:p>
        </w:tc>
      </w:tr>
      <w:tr w:rsidR="00F20740" w:rsidRPr="00FD119B" w14:paraId="03805C5F" w14:textId="77777777" w:rsidTr="00155799">
        <w:tc>
          <w:tcPr>
            <w:tcW w:w="1797" w:type="dxa"/>
          </w:tcPr>
          <w:p w14:paraId="3B44294D" w14:textId="77777777" w:rsidR="00F20740" w:rsidRPr="00F471A0" w:rsidRDefault="00F20740" w:rsidP="007A038A">
            <w:pPr>
              <w:ind w:left="0"/>
            </w:pPr>
            <w:r w:rsidRPr="007A038A">
              <w:t>GVP</w:t>
            </w:r>
          </w:p>
        </w:tc>
        <w:tc>
          <w:tcPr>
            <w:tcW w:w="6697" w:type="dxa"/>
          </w:tcPr>
          <w:p w14:paraId="40F148BD" w14:textId="7E2620D8" w:rsidR="00F20740" w:rsidRDefault="00F20740" w:rsidP="007A038A">
            <w:pPr>
              <w:ind w:left="0"/>
            </w:pPr>
            <w:r>
              <w:t xml:space="preserve">Good </w:t>
            </w:r>
            <w:r w:rsidR="0050221F">
              <w:t>P</w:t>
            </w:r>
            <w:r w:rsidRPr="007A038A">
              <w:t xml:space="preserve">harmacovigilance </w:t>
            </w:r>
            <w:r w:rsidR="0050221F">
              <w:t>P</w:t>
            </w:r>
            <w:r w:rsidRPr="007A038A">
              <w:t>ractices</w:t>
            </w:r>
          </w:p>
        </w:tc>
      </w:tr>
      <w:tr w:rsidR="00F20740" w:rsidRPr="00FD119B" w14:paraId="309EB95F" w14:textId="77777777" w:rsidTr="00155799">
        <w:tc>
          <w:tcPr>
            <w:tcW w:w="1797" w:type="dxa"/>
          </w:tcPr>
          <w:p w14:paraId="2616E0B0" w14:textId="77777777" w:rsidR="00F20740" w:rsidRDefault="00F20740" w:rsidP="00F471A0">
            <w:pPr>
              <w:ind w:left="0"/>
            </w:pPr>
            <w:r>
              <w:t>IR</w:t>
            </w:r>
          </w:p>
        </w:tc>
        <w:tc>
          <w:tcPr>
            <w:tcW w:w="6697" w:type="dxa"/>
          </w:tcPr>
          <w:p w14:paraId="56B67476" w14:textId="77777777" w:rsidR="00F20740" w:rsidRDefault="00F20740" w:rsidP="00F471A0">
            <w:pPr>
              <w:ind w:left="0"/>
            </w:pPr>
            <w:r>
              <w:t>I</w:t>
            </w:r>
            <w:r w:rsidRPr="00F471A0">
              <w:t>mmediate-release</w:t>
            </w:r>
          </w:p>
        </w:tc>
      </w:tr>
      <w:tr w:rsidR="00F20740" w:rsidRPr="00FD119B" w14:paraId="42C3F567" w14:textId="77777777" w:rsidTr="00155799">
        <w:tc>
          <w:tcPr>
            <w:tcW w:w="1797" w:type="dxa"/>
          </w:tcPr>
          <w:p w14:paraId="543A3792" w14:textId="77777777" w:rsidR="00F20740" w:rsidRDefault="00F20740" w:rsidP="00D578F0">
            <w:pPr>
              <w:ind w:left="0"/>
            </w:pPr>
            <w:r w:rsidRPr="00D578F0">
              <w:t>Ki</w:t>
            </w:r>
          </w:p>
        </w:tc>
        <w:tc>
          <w:tcPr>
            <w:tcW w:w="6697" w:type="dxa"/>
          </w:tcPr>
          <w:p w14:paraId="5872AF82" w14:textId="0D15C199" w:rsidR="00F20740" w:rsidRDefault="00F20740" w:rsidP="00D578F0">
            <w:pPr>
              <w:ind w:left="0"/>
            </w:pPr>
            <w:r>
              <w:t>I</w:t>
            </w:r>
            <w:r w:rsidRPr="00D578F0">
              <w:t>nhibit</w:t>
            </w:r>
            <w:r w:rsidR="0050221F">
              <w:t>ion</w:t>
            </w:r>
            <w:r w:rsidRPr="00D578F0">
              <w:t xml:space="preserve"> constant</w:t>
            </w:r>
          </w:p>
        </w:tc>
      </w:tr>
      <w:tr w:rsidR="00F20740" w:rsidRPr="00FD119B" w14:paraId="0E60D01A" w14:textId="77777777" w:rsidTr="00155799">
        <w:tc>
          <w:tcPr>
            <w:tcW w:w="1797" w:type="dxa"/>
          </w:tcPr>
          <w:p w14:paraId="72AA4ED3" w14:textId="77777777" w:rsidR="00F20740" w:rsidRPr="00F471A0" w:rsidRDefault="00F20740" w:rsidP="00696DF5">
            <w:pPr>
              <w:ind w:left="0"/>
            </w:pPr>
            <w:r>
              <w:t>LS</w:t>
            </w:r>
          </w:p>
        </w:tc>
        <w:tc>
          <w:tcPr>
            <w:tcW w:w="6697" w:type="dxa"/>
          </w:tcPr>
          <w:p w14:paraId="0A9EEFC3" w14:textId="77777777" w:rsidR="00F20740" w:rsidRDefault="00F20740" w:rsidP="00696DF5">
            <w:pPr>
              <w:ind w:left="0"/>
            </w:pPr>
            <w:r>
              <w:t>Least square</w:t>
            </w:r>
          </w:p>
        </w:tc>
      </w:tr>
      <w:tr w:rsidR="00F20740" w:rsidRPr="00FD119B" w14:paraId="12116D9B" w14:textId="77777777" w:rsidTr="00155799">
        <w:tc>
          <w:tcPr>
            <w:tcW w:w="1797" w:type="dxa"/>
          </w:tcPr>
          <w:p w14:paraId="331C3B21" w14:textId="77777777" w:rsidR="00F20740" w:rsidRDefault="00F20740" w:rsidP="00F471A0">
            <w:pPr>
              <w:ind w:left="0"/>
            </w:pPr>
            <w:r w:rsidRPr="00F471A0">
              <w:t>MAO</w:t>
            </w:r>
          </w:p>
        </w:tc>
        <w:tc>
          <w:tcPr>
            <w:tcW w:w="6697" w:type="dxa"/>
          </w:tcPr>
          <w:p w14:paraId="5D1537FB" w14:textId="77777777" w:rsidR="00F20740" w:rsidRDefault="00F20740" w:rsidP="00F471A0">
            <w:pPr>
              <w:ind w:left="0"/>
            </w:pPr>
            <w:r w:rsidRPr="00F471A0">
              <w:t>Monoamine oxidase</w:t>
            </w:r>
          </w:p>
        </w:tc>
      </w:tr>
      <w:tr w:rsidR="00F20740" w:rsidRPr="00FD119B" w14:paraId="51F4A9C1" w14:textId="77777777" w:rsidTr="00155799">
        <w:tc>
          <w:tcPr>
            <w:tcW w:w="1797" w:type="dxa"/>
          </w:tcPr>
          <w:p w14:paraId="41A6897B" w14:textId="77777777" w:rsidR="00F20740" w:rsidRPr="00F471A0" w:rsidRDefault="00F20740" w:rsidP="00696DF5">
            <w:pPr>
              <w:ind w:left="0"/>
            </w:pPr>
            <w:r w:rsidRPr="00696DF5">
              <w:t>NMSC</w:t>
            </w:r>
          </w:p>
        </w:tc>
        <w:tc>
          <w:tcPr>
            <w:tcW w:w="6697" w:type="dxa"/>
          </w:tcPr>
          <w:p w14:paraId="2CF51A0A" w14:textId="77777777" w:rsidR="00F20740" w:rsidRDefault="00F20740" w:rsidP="00696DF5">
            <w:pPr>
              <w:ind w:left="0"/>
            </w:pPr>
            <w:r>
              <w:t>N</w:t>
            </w:r>
            <w:r w:rsidRPr="00696DF5">
              <w:t>on-melanoma skin cancer</w:t>
            </w:r>
          </w:p>
        </w:tc>
      </w:tr>
      <w:tr w:rsidR="00F20740" w:rsidRPr="00FD119B" w14:paraId="4381C1B8" w14:textId="77777777" w:rsidTr="00155799">
        <w:tc>
          <w:tcPr>
            <w:tcW w:w="1797" w:type="dxa"/>
          </w:tcPr>
          <w:p w14:paraId="32212CD4" w14:textId="77777777" w:rsidR="00F20740" w:rsidRDefault="00F20740" w:rsidP="00F471A0">
            <w:pPr>
              <w:ind w:left="0"/>
            </w:pPr>
            <w:r w:rsidRPr="00F471A0">
              <w:t>OATP1B1</w:t>
            </w:r>
          </w:p>
        </w:tc>
        <w:tc>
          <w:tcPr>
            <w:tcW w:w="6697" w:type="dxa"/>
          </w:tcPr>
          <w:p w14:paraId="3DC18114" w14:textId="77777777" w:rsidR="00F20740" w:rsidRDefault="00F20740" w:rsidP="00F471A0">
            <w:pPr>
              <w:ind w:left="0"/>
            </w:pPr>
            <w:r w:rsidRPr="00F471A0">
              <w:t>Solute carrier organic anion transporter family member 1B1</w:t>
            </w:r>
          </w:p>
        </w:tc>
      </w:tr>
      <w:tr w:rsidR="00F20740" w:rsidRPr="00FD119B" w14:paraId="5970718E" w14:textId="2A2BCF8A" w:rsidTr="00155799">
        <w:tc>
          <w:tcPr>
            <w:tcW w:w="1797" w:type="dxa"/>
          </w:tcPr>
          <w:p w14:paraId="63F1876F" w14:textId="505B876C" w:rsidR="00F20740" w:rsidRDefault="00F20740" w:rsidP="00D578F0">
            <w:pPr>
              <w:ind w:left="0"/>
            </w:pPr>
            <w:r>
              <w:t>PD</w:t>
            </w:r>
          </w:p>
        </w:tc>
        <w:tc>
          <w:tcPr>
            <w:tcW w:w="6697" w:type="dxa"/>
          </w:tcPr>
          <w:p w14:paraId="43E59420" w14:textId="16870502" w:rsidR="00F20740" w:rsidRDefault="00F20740" w:rsidP="00D578F0">
            <w:pPr>
              <w:ind w:left="0"/>
            </w:pPr>
            <w:r>
              <w:t>Parkinson</w:t>
            </w:r>
            <w:r w:rsidR="0005617B">
              <w:t>’s</w:t>
            </w:r>
            <w:r>
              <w:t xml:space="preserve"> disease</w:t>
            </w:r>
          </w:p>
        </w:tc>
      </w:tr>
      <w:tr w:rsidR="00F20740" w:rsidRPr="00FD119B" w14:paraId="4D0B18D3" w14:textId="77777777" w:rsidTr="00155799">
        <w:tc>
          <w:tcPr>
            <w:tcW w:w="1797" w:type="dxa"/>
          </w:tcPr>
          <w:p w14:paraId="49C13DEF" w14:textId="77777777" w:rsidR="00F20740" w:rsidRPr="00F471A0" w:rsidRDefault="00F20740" w:rsidP="00696DF5">
            <w:pPr>
              <w:ind w:left="0"/>
            </w:pPr>
            <w:r w:rsidRPr="00696DF5">
              <w:t>PDQ-39</w:t>
            </w:r>
          </w:p>
        </w:tc>
        <w:tc>
          <w:tcPr>
            <w:tcW w:w="6697" w:type="dxa"/>
          </w:tcPr>
          <w:p w14:paraId="1571E281" w14:textId="58CE99E6" w:rsidR="00F20740" w:rsidRDefault="00F20740" w:rsidP="00696DF5">
            <w:pPr>
              <w:ind w:left="0"/>
            </w:pPr>
            <w:r>
              <w:t xml:space="preserve">Parkinson’s </w:t>
            </w:r>
            <w:r w:rsidR="0050221F">
              <w:t>D</w:t>
            </w:r>
            <w:r>
              <w:t xml:space="preserve">isease </w:t>
            </w:r>
            <w:r w:rsidR="0050221F">
              <w:t>Q</w:t>
            </w:r>
            <w:r>
              <w:t xml:space="preserve">uality of </w:t>
            </w:r>
            <w:r w:rsidR="0050221F">
              <w:t>L</w:t>
            </w:r>
            <w:r>
              <w:t xml:space="preserve">ife </w:t>
            </w:r>
            <w:r w:rsidR="0050221F">
              <w:t>Q</w:t>
            </w:r>
            <w:r w:rsidRPr="00696DF5">
              <w:t>uestionnaire</w:t>
            </w:r>
          </w:p>
        </w:tc>
      </w:tr>
      <w:tr w:rsidR="00F20740" w:rsidRPr="00FD119B" w14:paraId="4912158C" w14:textId="77777777" w:rsidTr="00155799">
        <w:tc>
          <w:tcPr>
            <w:tcW w:w="1797" w:type="dxa"/>
          </w:tcPr>
          <w:p w14:paraId="3DC425B4" w14:textId="77777777" w:rsidR="00F20740" w:rsidRPr="00F471A0" w:rsidRDefault="00F20740" w:rsidP="00696DF5">
            <w:pPr>
              <w:ind w:left="0"/>
            </w:pPr>
            <w:r>
              <w:t>PDSS</w:t>
            </w:r>
          </w:p>
        </w:tc>
        <w:tc>
          <w:tcPr>
            <w:tcW w:w="6697" w:type="dxa"/>
          </w:tcPr>
          <w:p w14:paraId="28E73612" w14:textId="2AEB4877" w:rsidR="00F20740" w:rsidRDefault="00F20740" w:rsidP="00696DF5">
            <w:pPr>
              <w:ind w:left="0"/>
            </w:pPr>
            <w:r>
              <w:t xml:space="preserve">Parkinson’s </w:t>
            </w:r>
            <w:r w:rsidR="0050221F">
              <w:t>D</w:t>
            </w:r>
            <w:r>
              <w:t xml:space="preserve">isease </w:t>
            </w:r>
            <w:r w:rsidR="0050221F">
              <w:t>S</w:t>
            </w:r>
            <w:r>
              <w:t xml:space="preserve">leep </w:t>
            </w:r>
            <w:r w:rsidR="0050221F">
              <w:t>S</w:t>
            </w:r>
            <w:r w:rsidRPr="00696DF5">
              <w:t>cale</w:t>
            </w:r>
          </w:p>
        </w:tc>
      </w:tr>
      <w:tr w:rsidR="00F20740" w:rsidRPr="00FD119B" w14:paraId="59B7BF20" w14:textId="77777777" w:rsidTr="00155799">
        <w:tc>
          <w:tcPr>
            <w:tcW w:w="1797" w:type="dxa"/>
          </w:tcPr>
          <w:p w14:paraId="55D180DD" w14:textId="77777777" w:rsidR="00F20740" w:rsidRPr="00F471A0" w:rsidRDefault="00F20740" w:rsidP="007A038A">
            <w:pPr>
              <w:ind w:left="0"/>
            </w:pPr>
            <w:r>
              <w:t>PE</w:t>
            </w:r>
          </w:p>
        </w:tc>
        <w:tc>
          <w:tcPr>
            <w:tcW w:w="6697" w:type="dxa"/>
          </w:tcPr>
          <w:p w14:paraId="6149726E" w14:textId="77777777" w:rsidR="00F20740" w:rsidRDefault="00F20740" w:rsidP="007A038A">
            <w:pPr>
              <w:ind w:left="0"/>
            </w:pPr>
            <w:r>
              <w:t>Plasma exposure</w:t>
            </w:r>
          </w:p>
        </w:tc>
      </w:tr>
      <w:tr w:rsidR="00F20740" w:rsidRPr="00FD119B" w14:paraId="38E450C8" w14:textId="77777777" w:rsidTr="00155799">
        <w:tc>
          <w:tcPr>
            <w:tcW w:w="1797" w:type="dxa"/>
          </w:tcPr>
          <w:p w14:paraId="792C0E4E" w14:textId="77777777" w:rsidR="00F20740" w:rsidRPr="00FD119B" w:rsidRDefault="00F20740" w:rsidP="00CF5DAD">
            <w:pPr>
              <w:ind w:left="0" w:right="0"/>
              <w:rPr>
                <w:color w:val="auto"/>
                <w:szCs w:val="22"/>
                <w:lang w:eastAsia="en-US"/>
              </w:rPr>
            </w:pPr>
            <w:r>
              <w:rPr>
                <w:color w:val="auto"/>
                <w:szCs w:val="22"/>
                <w:lang w:eastAsia="en-US"/>
              </w:rPr>
              <w:t>PI</w:t>
            </w:r>
          </w:p>
        </w:tc>
        <w:tc>
          <w:tcPr>
            <w:tcW w:w="6697" w:type="dxa"/>
          </w:tcPr>
          <w:p w14:paraId="2A2DC4D1" w14:textId="77777777" w:rsidR="00F20740" w:rsidRPr="00FD119B" w:rsidRDefault="00F20740" w:rsidP="00CF5DAD">
            <w:pPr>
              <w:ind w:left="0" w:right="0"/>
              <w:rPr>
                <w:color w:val="auto"/>
                <w:szCs w:val="22"/>
                <w:lang w:eastAsia="en-US"/>
              </w:rPr>
            </w:pPr>
            <w:r>
              <w:rPr>
                <w:color w:val="auto"/>
                <w:szCs w:val="22"/>
                <w:lang w:eastAsia="en-US"/>
              </w:rPr>
              <w:t>Product Information</w:t>
            </w:r>
          </w:p>
        </w:tc>
      </w:tr>
      <w:tr w:rsidR="00F20740" w:rsidRPr="00FD119B" w14:paraId="686191DF" w14:textId="77777777" w:rsidTr="00155799">
        <w:tc>
          <w:tcPr>
            <w:tcW w:w="1797" w:type="dxa"/>
          </w:tcPr>
          <w:p w14:paraId="29FBCDBE" w14:textId="77777777" w:rsidR="00F20740" w:rsidRDefault="00F20740" w:rsidP="00F471A0">
            <w:pPr>
              <w:ind w:left="0"/>
            </w:pPr>
            <w:r w:rsidRPr="00F471A0">
              <w:t>PK</w:t>
            </w:r>
          </w:p>
        </w:tc>
        <w:tc>
          <w:tcPr>
            <w:tcW w:w="6697" w:type="dxa"/>
          </w:tcPr>
          <w:p w14:paraId="3C10B7A2" w14:textId="77777777" w:rsidR="00F20740" w:rsidRDefault="00F20740" w:rsidP="00F471A0">
            <w:pPr>
              <w:ind w:left="0"/>
            </w:pPr>
            <w:r>
              <w:t>P</w:t>
            </w:r>
            <w:r w:rsidRPr="00F471A0">
              <w:t>harmacokinetic</w:t>
            </w:r>
            <w:r>
              <w:t xml:space="preserve"> (s)</w:t>
            </w:r>
          </w:p>
        </w:tc>
      </w:tr>
      <w:tr w:rsidR="00F20740" w:rsidRPr="00FD119B" w14:paraId="108D8380" w14:textId="77777777" w:rsidTr="00155799">
        <w:tc>
          <w:tcPr>
            <w:tcW w:w="1797" w:type="dxa"/>
          </w:tcPr>
          <w:p w14:paraId="022617EB" w14:textId="77777777" w:rsidR="00F20740" w:rsidRPr="00F471A0" w:rsidRDefault="00F20740" w:rsidP="00696DF5">
            <w:pPr>
              <w:ind w:left="0"/>
            </w:pPr>
            <w:r>
              <w:t>PP</w:t>
            </w:r>
          </w:p>
        </w:tc>
        <w:tc>
          <w:tcPr>
            <w:tcW w:w="6697" w:type="dxa"/>
          </w:tcPr>
          <w:p w14:paraId="0A70482C" w14:textId="77777777" w:rsidR="00F20740" w:rsidRDefault="00F20740" w:rsidP="00696DF5">
            <w:pPr>
              <w:ind w:left="0"/>
            </w:pPr>
            <w:r>
              <w:t>Per protocol</w:t>
            </w:r>
          </w:p>
        </w:tc>
      </w:tr>
      <w:tr w:rsidR="00F20740" w:rsidRPr="00FD119B" w14:paraId="4FDA437A" w14:textId="77777777" w:rsidTr="00155799">
        <w:tc>
          <w:tcPr>
            <w:tcW w:w="1797" w:type="dxa"/>
          </w:tcPr>
          <w:p w14:paraId="1FFA82DC" w14:textId="77777777" w:rsidR="00F20740" w:rsidRPr="00F471A0" w:rsidRDefault="00F20740" w:rsidP="00696DF5">
            <w:pPr>
              <w:ind w:left="0"/>
            </w:pPr>
            <w:r w:rsidRPr="00696DF5">
              <w:t>PSUR</w:t>
            </w:r>
          </w:p>
        </w:tc>
        <w:tc>
          <w:tcPr>
            <w:tcW w:w="6697" w:type="dxa"/>
          </w:tcPr>
          <w:p w14:paraId="687AF372" w14:textId="683BCB53" w:rsidR="00F20740" w:rsidRDefault="00F20740" w:rsidP="00696DF5">
            <w:pPr>
              <w:ind w:left="0"/>
            </w:pPr>
            <w:r w:rsidRPr="00696DF5">
              <w:t xml:space="preserve">Periodic </w:t>
            </w:r>
            <w:r w:rsidR="0050221F">
              <w:t>s</w:t>
            </w:r>
            <w:r w:rsidRPr="00696DF5">
              <w:t xml:space="preserve">afety </w:t>
            </w:r>
            <w:r w:rsidR="0050221F">
              <w:t>u</w:t>
            </w:r>
            <w:r w:rsidRPr="00696DF5">
              <w:t xml:space="preserve">pdate </w:t>
            </w:r>
            <w:r w:rsidR="0050221F">
              <w:t>r</w:t>
            </w:r>
            <w:r w:rsidRPr="00696DF5">
              <w:t>eport</w:t>
            </w:r>
          </w:p>
        </w:tc>
      </w:tr>
      <w:tr w:rsidR="00F20740" w:rsidRPr="00FD119B" w14:paraId="726029B6" w14:textId="77777777" w:rsidTr="00155799">
        <w:tc>
          <w:tcPr>
            <w:tcW w:w="1797" w:type="dxa"/>
          </w:tcPr>
          <w:p w14:paraId="035B866D" w14:textId="77777777" w:rsidR="00F20740" w:rsidRDefault="00F20740" w:rsidP="00F471A0">
            <w:pPr>
              <w:ind w:left="0"/>
            </w:pPr>
            <w:r w:rsidRPr="00F471A0">
              <w:t>QD</w:t>
            </w:r>
          </w:p>
        </w:tc>
        <w:tc>
          <w:tcPr>
            <w:tcW w:w="6697" w:type="dxa"/>
          </w:tcPr>
          <w:p w14:paraId="6940B4AC" w14:textId="77777777" w:rsidR="00F20740" w:rsidRDefault="00F20740" w:rsidP="00F471A0">
            <w:pPr>
              <w:ind w:left="0"/>
            </w:pPr>
            <w:r w:rsidRPr="00F471A0">
              <w:t xml:space="preserve">Once per day, Latin: </w:t>
            </w:r>
            <w:proofErr w:type="spellStart"/>
            <w:r w:rsidRPr="00F471A0">
              <w:rPr>
                <w:i/>
              </w:rPr>
              <w:t>quaque</w:t>
            </w:r>
            <w:proofErr w:type="spellEnd"/>
            <w:r w:rsidRPr="00F471A0">
              <w:rPr>
                <w:i/>
              </w:rPr>
              <w:t xml:space="preserve"> die</w:t>
            </w:r>
          </w:p>
        </w:tc>
      </w:tr>
      <w:tr w:rsidR="00F20740" w:rsidRPr="00FD119B" w14:paraId="779A5E58" w14:textId="77777777" w:rsidTr="00155799">
        <w:tc>
          <w:tcPr>
            <w:tcW w:w="1797" w:type="dxa"/>
          </w:tcPr>
          <w:p w14:paraId="6E2D154A" w14:textId="77777777" w:rsidR="00F20740" w:rsidRDefault="00F20740" w:rsidP="00F471A0">
            <w:pPr>
              <w:ind w:left="0"/>
            </w:pPr>
            <w:r>
              <w:t>RCT</w:t>
            </w:r>
          </w:p>
        </w:tc>
        <w:tc>
          <w:tcPr>
            <w:tcW w:w="6697" w:type="dxa"/>
          </w:tcPr>
          <w:p w14:paraId="5296A08F" w14:textId="77777777" w:rsidR="00F20740" w:rsidRDefault="00F20740" w:rsidP="00F471A0">
            <w:pPr>
              <w:ind w:left="0"/>
            </w:pPr>
            <w:r>
              <w:t>R</w:t>
            </w:r>
            <w:r w:rsidRPr="00F471A0">
              <w:t>andomised controlled trial</w:t>
            </w:r>
          </w:p>
        </w:tc>
      </w:tr>
      <w:tr w:rsidR="00F20740" w:rsidRPr="00FD119B" w14:paraId="31359913" w14:textId="77777777" w:rsidTr="00155799">
        <w:tc>
          <w:tcPr>
            <w:tcW w:w="1797" w:type="dxa"/>
          </w:tcPr>
          <w:p w14:paraId="78225259" w14:textId="77777777" w:rsidR="00F20740" w:rsidRPr="00F471A0" w:rsidRDefault="00F20740" w:rsidP="00696DF5">
            <w:pPr>
              <w:ind w:left="0"/>
            </w:pPr>
            <w:r>
              <w:t>RMP</w:t>
            </w:r>
          </w:p>
        </w:tc>
        <w:tc>
          <w:tcPr>
            <w:tcW w:w="6697" w:type="dxa"/>
          </w:tcPr>
          <w:p w14:paraId="57BE0E40" w14:textId="77777777" w:rsidR="00F20740" w:rsidRDefault="00F20740" w:rsidP="00696DF5">
            <w:pPr>
              <w:ind w:left="0"/>
            </w:pPr>
            <w:r>
              <w:t>Risk management p</w:t>
            </w:r>
            <w:r w:rsidRPr="00696DF5">
              <w:t>lan</w:t>
            </w:r>
          </w:p>
        </w:tc>
      </w:tr>
      <w:tr w:rsidR="00F20740" w:rsidRPr="00FD119B" w14:paraId="214307CA" w14:textId="77777777" w:rsidTr="00155799">
        <w:tc>
          <w:tcPr>
            <w:tcW w:w="1797" w:type="dxa"/>
          </w:tcPr>
          <w:p w14:paraId="703E2FFD" w14:textId="77777777" w:rsidR="00F20740" w:rsidRPr="00F471A0" w:rsidRDefault="00F20740" w:rsidP="00696DF5">
            <w:pPr>
              <w:ind w:left="0"/>
            </w:pPr>
            <w:r>
              <w:t>SMQ</w:t>
            </w:r>
          </w:p>
        </w:tc>
        <w:tc>
          <w:tcPr>
            <w:tcW w:w="6697" w:type="dxa"/>
          </w:tcPr>
          <w:p w14:paraId="1CC3DEB2" w14:textId="3755E9F3" w:rsidR="00F20740" w:rsidRDefault="00F20740" w:rsidP="00696DF5">
            <w:pPr>
              <w:ind w:left="0"/>
            </w:pPr>
            <w:r>
              <w:t xml:space="preserve">Standardised </w:t>
            </w:r>
            <w:r w:rsidR="0050221F">
              <w:t>M</w:t>
            </w:r>
            <w:r>
              <w:t xml:space="preserve">edDRA </w:t>
            </w:r>
            <w:r w:rsidR="0050221F">
              <w:t>Q</w:t>
            </w:r>
            <w:r w:rsidRPr="00696DF5">
              <w:t>uer</w:t>
            </w:r>
            <w:r w:rsidR="0050221F">
              <w:t>y</w:t>
            </w:r>
          </w:p>
        </w:tc>
      </w:tr>
      <w:tr w:rsidR="00F20740" w:rsidRPr="00FD119B" w14:paraId="61835EC3" w14:textId="77777777" w:rsidTr="00155799">
        <w:tc>
          <w:tcPr>
            <w:tcW w:w="1797" w:type="dxa"/>
          </w:tcPr>
          <w:p w14:paraId="238EA1E8" w14:textId="77777777" w:rsidR="00F20740" w:rsidRPr="00F471A0" w:rsidRDefault="00F20740" w:rsidP="004E77B4">
            <w:pPr>
              <w:ind w:left="0"/>
            </w:pPr>
            <w:r>
              <w:t>TBM</w:t>
            </w:r>
          </w:p>
        </w:tc>
        <w:tc>
          <w:tcPr>
            <w:tcW w:w="6697" w:type="dxa"/>
          </w:tcPr>
          <w:p w14:paraId="31E60CBC" w14:textId="59EC0251" w:rsidR="00F20740" w:rsidRDefault="00F20740" w:rsidP="004E77B4">
            <w:pPr>
              <w:ind w:left="0"/>
            </w:pPr>
            <w:r>
              <w:t>To be market</w:t>
            </w:r>
            <w:r w:rsidR="0050221F">
              <w:t>ed</w:t>
            </w:r>
          </w:p>
        </w:tc>
      </w:tr>
      <w:tr w:rsidR="00F20740" w:rsidRPr="00FD119B" w14:paraId="54D86529" w14:textId="77777777" w:rsidTr="00155799">
        <w:tc>
          <w:tcPr>
            <w:tcW w:w="1797" w:type="dxa"/>
          </w:tcPr>
          <w:p w14:paraId="07D75036" w14:textId="77777777" w:rsidR="00F20740" w:rsidRPr="00F471A0" w:rsidRDefault="00F20740" w:rsidP="00696DF5">
            <w:pPr>
              <w:ind w:left="0"/>
            </w:pPr>
            <w:r>
              <w:t>TEAE</w:t>
            </w:r>
          </w:p>
        </w:tc>
        <w:tc>
          <w:tcPr>
            <w:tcW w:w="6697" w:type="dxa"/>
          </w:tcPr>
          <w:p w14:paraId="6A2CD446" w14:textId="77777777" w:rsidR="00F20740" w:rsidRDefault="00F20740" w:rsidP="00696DF5">
            <w:pPr>
              <w:ind w:left="0"/>
            </w:pPr>
            <w:r w:rsidRPr="00696DF5">
              <w:t>Treatment emergent adverse event </w:t>
            </w:r>
          </w:p>
        </w:tc>
      </w:tr>
      <w:tr w:rsidR="00F20740" w:rsidRPr="00FD119B" w14:paraId="2EED46B7" w14:textId="77777777" w:rsidTr="00155799">
        <w:tc>
          <w:tcPr>
            <w:tcW w:w="1797" w:type="dxa"/>
          </w:tcPr>
          <w:p w14:paraId="0CADA6AC" w14:textId="77777777" w:rsidR="00F20740" w:rsidRDefault="00F20740" w:rsidP="00F471A0">
            <w:pPr>
              <w:ind w:left="0"/>
            </w:pPr>
            <w:proofErr w:type="spellStart"/>
            <w:r w:rsidRPr="00F471A0">
              <w:t>T</w:t>
            </w:r>
            <w:r w:rsidRPr="00F471A0">
              <w:rPr>
                <w:vertAlign w:val="subscript"/>
              </w:rPr>
              <w:t>max</w:t>
            </w:r>
            <w:proofErr w:type="spellEnd"/>
          </w:p>
        </w:tc>
        <w:tc>
          <w:tcPr>
            <w:tcW w:w="6697" w:type="dxa"/>
          </w:tcPr>
          <w:p w14:paraId="7CDFC09D" w14:textId="2BE72292" w:rsidR="00F20740" w:rsidRDefault="00F20740" w:rsidP="0050221F">
            <w:pPr>
              <w:ind w:left="0"/>
            </w:pPr>
            <w:r>
              <w:t>T</w:t>
            </w:r>
            <w:r w:rsidRPr="00F471A0">
              <w:t xml:space="preserve">ime take to reach </w:t>
            </w:r>
            <w:r w:rsidR="0050221F">
              <w:t>maximum concentration</w:t>
            </w:r>
          </w:p>
        </w:tc>
      </w:tr>
      <w:tr w:rsidR="00F20740" w:rsidRPr="00FD119B" w14:paraId="1CA81660" w14:textId="77777777" w:rsidTr="00155799">
        <w:tc>
          <w:tcPr>
            <w:tcW w:w="1797" w:type="dxa"/>
          </w:tcPr>
          <w:p w14:paraId="5FBEA1BC" w14:textId="77777777" w:rsidR="00F20740" w:rsidRDefault="00F20740" w:rsidP="00F471A0">
            <w:pPr>
              <w:ind w:left="0"/>
            </w:pPr>
            <w:r w:rsidRPr="00F471A0">
              <w:t>UK</w:t>
            </w:r>
          </w:p>
        </w:tc>
        <w:tc>
          <w:tcPr>
            <w:tcW w:w="6697" w:type="dxa"/>
          </w:tcPr>
          <w:p w14:paraId="2F4F9F89" w14:textId="77777777" w:rsidR="00F20740" w:rsidRDefault="00F20740" w:rsidP="00F471A0">
            <w:pPr>
              <w:ind w:left="0"/>
            </w:pPr>
            <w:r w:rsidRPr="00F471A0">
              <w:t>United Kingdom</w:t>
            </w:r>
          </w:p>
        </w:tc>
      </w:tr>
      <w:tr w:rsidR="00F20740" w:rsidRPr="00FD119B" w14:paraId="4C004C32" w14:textId="77777777" w:rsidTr="00155799">
        <w:tc>
          <w:tcPr>
            <w:tcW w:w="1797" w:type="dxa"/>
          </w:tcPr>
          <w:p w14:paraId="776F1EEA" w14:textId="77777777" w:rsidR="00F20740" w:rsidRDefault="00F20740" w:rsidP="00F471A0">
            <w:pPr>
              <w:ind w:left="0"/>
            </w:pPr>
            <w:r w:rsidRPr="00F471A0">
              <w:t>UPDRS</w:t>
            </w:r>
          </w:p>
        </w:tc>
        <w:tc>
          <w:tcPr>
            <w:tcW w:w="6697" w:type="dxa"/>
          </w:tcPr>
          <w:p w14:paraId="7D01E021" w14:textId="77777777" w:rsidR="00F20740" w:rsidRDefault="00F20740" w:rsidP="00F471A0">
            <w:pPr>
              <w:ind w:left="0"/>
            </w:pPr>
            <w:r w:rsidRPr="00F471A0">
              <w:t>Unified Parkinson's Disease Rating Scale</w:t>
            </w:r>
          </w:p>
        </w:tc>
      </w:tr>
      <w:tr w:rsidR="00F20740" w:rsidRPr="00FD119B" w14:paraId="0335783B" w14:textId="77777777" w:rsidTr="00155799">
        <w:tc>
          <w:tcPr>
            <w:tcW w:w="1797" w:type="dxa"/>
          </w:tcPr>
          <w:p w14:paraId="4277FDE5" w14:textId="77777777" w:rsidR="00F20740" w:rsidRDefault="00F20740" w:rsidP="004E77B4">
            <w:pPr>
              <w:ind w:left="0"/>
            </w:pPr>
            <w:r>
              <w:t>USA</w:t>
            </w:r>
          </w:p>
        </w:tc>
        <w:tc>
          <w:tcPr>
            <w:tcW w:w="6697" w:type="dxa"/>
          </w:tcPr>
          <w:p w14:paraId="10540AF8" w14:textId="77777777" w:rsidR="00F20740" w:rsidRDefault="00F20740" w:rsidP="004E77B4">
            <w:pPr>
              <w:ind w:left="0"/>
            </w:pPr>
            <w:r>
              <w:t xml:space="preserve">United States (of America) </w:t>
            </w:r>
          </w:p>
        </w:tc>
      </w:tr>
    </w:tbl>
    <w:p w14:paraId="35522263" w14:textId="77777777" w:rsidR="00FD119B" w:rsidRDefault="00FD119B" w:rsidP="00FD119B"/>
    <w:p w14:paraId="2AFDF73A" w14:textId="77777777" w:rsidR="00FD119B" w:rsidRPr="00FD119B" w:rsidRDefault="00FD119B" w:rsidP="00FD119B">
      <w:pPr>
        <w:spacing w:before="0" w:after="200" w:line="0" w:lineRule="auto"/>
        <w:rPr>
          <w:b/>
          <w:i/>
          <w:sz w:val="24"/>
          <w:szCs w:val="24"/>
        </w:rPr>
      </w:pPr>
      <w:r w:rsidRPr="00FD119B">
        <w:rPr>
          <w:b/>
          <w:i/>
          <w:sz w:val="24"/>
          <w:szCs w:val="24"/>
        </w:rPr>
        <w:br w:type="page"/>
      </w:r>
    </w:p>
    <w:p w14:paraId="6C022C95" w14:textId="77777777" w:rsidR="008E7846" w:rsidRDefault="00F53C07" w:rsidP="008E7846">
      <w:pPr>
        <w:pStyle w:val="Heading2"/>
      </w:pPr>
      <w:bookmarkStart w:id="9" w:name="_Toc64901242"/>
      <w:r>
        <w:t>I.</w:t>
      </w:r>
      <w:r w:rsidR="008E7846">
        <w:t xml:space="preserve"> Introduction to product submission</w:t>
      </w:r>
      <w:bookmarkEnd w:id="3"/>
      <w:bookmarkEnd w:id="0"/>
      <w:bookmarkEnd w:id="9"/>
    </w:p>
    <w:p w14:paraId="2A753908" w14:textId="77777777" w:rsidR="008E7846" w:rsidRDefault="008E7846" w:rsidP="008E7846">
      <w:pPr>
        <w:pStyle w:val="Heading3"/>
        <w:rPr>
          <w:lang w:eastAsia="en-AU"/>
        </w:rPr>
      </w:pPr>
      <w:bookmarkStart w:id="10" w:name="_Toc247691502"/>
      <w:bookmarkStart w:id="11" w:name="_Toc314842483"/>
      <w:bookmarkStart w:id="12" w:name="_Toc64901243"/>
      <w:r>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8E7846" w:rsidRPr="003D1E62" w14:paraId="0193C65B" w14:textId="77777777" w:rsidTr="003735BC">
        <w:tc>
          <w:tcPr>
            <w:tcW w:w="2907" w:type="dxa"/>
          </w:tcPr>
          <w:p w14:paraId="6E19A6C5" w14:textId="77777777" w:rsidR="008E7846" w:rsidRPr="003D1E62" w:rsidRDefault="001B5C90" w:rsidP="001B5C90">
            <w:pPr>
              <w:rPr>
                <w:i/>
              </w:rPr>
            </w:pPr>
            <w:r>
              <w:rPr>
                <w:i/>
              </w:rPr>
              <w:t>Type of s</w:t>
            </w:r>
            <w:r w:rsidR="008E7846" w:rsidRPr="003D1E62">
              <w:rPr>
                <w:i/>
              </w:rPr>
              <w:t>ubmission</w:t>
            </w:r>
            <w:r>
              <w:rPr>
                <w:i/>
              </w:rPr>
              <w:t>:</w:t>
            </w:r>
          </w:p>
        </w:tc>
        <w:tc>
          <w:tcPr>
            <w:tcW w:w="6307" w:type="dxa"/>
          </w:tcPr>
          <w:p w14:paraId="691FBC9D" w14:textId="77777777" w:rsidR="008E7846" w:rsidRPr="003D1E62" w:rsidRDefault="008E7846" w:rsidP="00AF39D6">
            <w:r w:rsidRPr="003D1E62">
              <w:t xml:space="preserve">New </w:t>
            </w:r>
            <w:r w:rsidR="001B5C90">
              <w:t>c</w:t>
            </w:r>
            <w:r w:rsidRPr="003D1E62">
              <w:t xml:space="preserve">hemical </w:t>
            </w:r>
            <w:r w:rsidR="001B5C90">
              <w:t>e</w:t>
            </w:r>
            <w:r w:rsidR="00AF39D6">
              <w:t>ntity</w:t>
            </w:r>
          </w:p>
        </w:tc>
      </w:tr>
      <w:tr w:rsidR="00460036" w:rsidRPr="003D1E62" w14:paraId="1B192C6B" w14:textId="77777777" w:rsidTr="003735BC">
        <w:tc>
          <w:tcPr>
            <w:tcW w:w="2907" w:type="dxa"/>
          </w:tcPr>
          <w:p w14:paraId="1D2D3314" w14:textId="77777777" w:rsidR="00460036" w:rsidRPr="003D1E62" w:rsidRDefault="008C63D7" w:rsidP="008C63D7">
            <w:pPr>
              <w:rPr>
                <w:i/>
              </w:rPr>
            </w:pPr>
            <w:r>
              <w:rPr>
                <w:i/>
              </w:rPr>
              <w:t>Product name</w:t>
            </w:r>
            <w:r w:rsidR="00460036" w:rsidRPr="00460036">
              <w:rPr>
                <w:i/>
              </w:rPr>
              <w:t>:</w:t>
            </w:r>
          </w:p>
        </w:tc>
        <w:tc>
          <w:tcPr>
            <w:tcW w:w="6307" w:type="dxa"/>
          </w:tcPr>
          <w:p w14:paraId="6A0D4B93" w14:textId="77777777" w:rsidR="00460036" w:rsidRPr="003D1E62" w:rsidRDefault="00AF39D6" w:rsidP="001B5C90">
            <w:r>
              <w:t>Ongentys</w:t>
            </w:r>
          </w:p>
        </w:tc>
      </w:tr>
      <w:tr w:rsidR="00460036" w:rsidRPr="003D1E62" w14:paraId="1AC300D1" w14:textId="77777777" w:rsidTr="003735BC">
        <w:tc>
          <w:tcPr>
            <w:tcW w:w="2907" w:type="dxa"/>
          </w:tcPr>
          <w:p w14:paraId="2FC9D725" w14:textId="77777777" w:rsidR="00460036" w:rsidRPr="003D1E62" w:rsidRDefault="008C63D7" w:rsidP="003D1E62">
            <w:pPr>
              <w:rPr>
                <w:i/>
              </w:rPr>
            </w:pPr>
            <w:r>
              <w:rPr>
                <w:i/>
              </w:rPr>
              <w:t>Active ingredient</w:t>
            </w:r>
            <w:r w:rsidR="00460036" w:rsidRPr="00460036">
              <w:rPr>
                <w:i/>
              </w:rPr>
              <w:t>:</w:t>
            </w:r>
          </w:p>
        </w:tc>
        <w:tc>
          <w:tcPr>
            <w:tcW w:w="6307" w:type="dxa"/>
          </w:tcPr>
          <w:p w14:paraId="6D4F6AD9" w14:textId="77777777" w:rsidR="00460036" w:rsidRPr="003D1E62" w:rsidRDefault="00AF39D6" w:rsidP="001B5C90">
            <w:r>
              <w:t>Opicapone</w:t>
            </w:r>
          </w:p>
        </w:tc>
      </w:tr>
      <w:tr w:rsidR="008E7846" w:rsidRPr="003D1E62" w14:paraId="602865F2" w14:textId="77777777" w:rsidTr="003735BC">
        <w:tc>
          <w:tcPr>
            <w:tcW w:w="2907" w:type="dxa"/>
          </w:tcPr>
          <w:p w14:paraId="460320AD" w14:textId="77777777" w:rsidR="008E7846" w:rsidRPr="003D1E62" w:rsidRDefault="008E7846" w:rsidP="003D1E62">
            <w:r w:rsidRPr="003D1E62">
              <w:rPr>
                <w:i/>
              </w:rPr>
              <w:t>Decision</w:t>
            </w:r>
            <w:r w:rsidRPr="003D1E62">
              <w:t>:</w:t>
            </w:r>
          </w:p>
        </w:tc>
        <w:tc>
          <w:tcPr>
            <w:tcW w:w="6307" w:type="dxa"/>
          </w:tcPr>
          <w:p w14:paraId="01096305" w14:textId="77777777" w:rsidR="008E7846" w:rsidRPr="003D1E62" w:rsidRDefault="00AF39D6" w:rsidP="00AF39D6">
            <w:r>
              <w:t>Approved</w:t>
            </w:r>
          </w:p>
        </w:tc>
      </w:tr>
      <w:tr w:rsidR="008E7846" w:rsidRPr="003D1E62" w14:paraId="2C408785" w14:textId="77777777" w:rsidTr="003735BC">
        <w:tc>
          <w:tcPr>
            <w:tcW w:w="2907" w:type="dxa"/>
          </w:tcPr>
          <w:p w14:paraId="08DBD86C"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14:paraId="750A6E90" w14:textId="77777777" w:rsidR="008E7846" w:rsidRPr="003D1E62" w:rsidRDefault="00AF39D6" w:rsidP="001B5C90">
            <w:r>
              <w:t>19 September 2020</w:t>
            </w:r>
          </w:p>
        </w:tc>
      </w:tr>
      <w:tr w:rsidR="00ED2922" w:rsidRPr="003D1E62" w14:paraId="64CCF1F5" w14:textId="77777777" w:rsidTr="003735BC">
        <w:tc>
          <w:tcPr>
            <w:tcW w:w="2907" w:type="dxa"/>
          </w:tcPr>
          <w:p w14:paraId="429BC0E0" w14:textId="77777777" w:rsidR="00ED2922" w:rsidRPr="00441C3F" w:rsidRDefault="00ED2922" w:rsidP="001B5C90">
            <w:pPr>
              <w:rPr>
                <w:i/>
              </w:rPr>
            </w:pPr>
            <w:r w:rsidRPr="00441C3F">
              <w:rPr>
                <w:i/>
              </w:rPr>
              <w:t>Date of entry onto ARTG</w:t>
            </w:r>
            <w:r w:rsidR="00500337">
              <w:rPr>
                <w:i/>
              </w:rPr>
              <w:t>:</w:t>
            </w:r>
          </w:p>
        </w:tc>
        <w:tc>
          <w:tcPr>
            <w:tcW w:w="6307" w:type="dxa"/>
          </w:tcPr>
          <w:p w14:paraId="6C4316C2" w14:textId="77777777" w:rsidR="00ED2922" w:rsidRPr="00441C3F" w:rsidRDefault="00AF39D6" w:rsidP="00AF39D6">
            <w:pPr>
              <w:rPr>
                <w:i/>
              </w:rPr>
            </w:pPr>
            <w:r>
              <w:t>23 September 2020</w:t>
            </w:r>
          </w:p>
        </w:tc>
      </w:tr>
      <w:tr w:rsidR="00500337" w:rsidRPr="003D1E62" w14:paraId="10AE75C2" w14:textId="77777777" w:rsidTr="003735BC">
        <w:tc>
          <w:tcPr>
            <w:tcW w:w="2907" w:type="dxa"/>
          </w:tcPr>
          <w:p w14:paraId="256B29FC" w14:textId="77777777" w:rsidR="00500337" w:rsidRPr="00441C3F" w:rsidRDefault="00AF39D6" w:rsidP="001B5C90">
            <w:pPr>
              <w:rPr>
                <w:i/>
              </w:rPr>
            </w:pPr>
            <w:r>
              <w:rPr>
                <w:i/>
              </w:rPr>
              <w:t>ARTG number</w:t>
            </w:r>
            <w:r w:rsidR="00500337">
              <w:rPr>
                <w:i/>
              </w:rPr>
              <w:t>:</w:t>
            </w:r>
          </w:p>
        </w:tc>
        <w:tc>
          <w:tcPr>
            <w:tcW w:w="6307" w:type="dxa"/>
          </w:tcPr>
          <w:p w14:paraId="1B366431" w14:textId="77777777" w:rsidR="00500337" w:rsidRPr="00441C3F" w:rsidRDefault="00AF39D6" w:rsidP="00EC463D">
            <w:r w:rsidRPr="00AF39D6">
              <w:t>321017</w:t>
            </w:r>
          </w:p>
        </w:tc>
      </w:tr>
      <w:tr w:rsidR="003735BC" w:rsidRPr="003D1E62" w14:paraId="5FE20B5C" w14:textId="77777777" w:rsidTr="003735BC">
        <w:tc>
          <w:tcPr>
            <w:tcW w:w="2907" w:type="dxa"/>
          </w:tcPr>
          <w:p w14:paraId="0FE851AC" w14:textId="77777777" w:rsidR="003735BC" w:rsidRDefault="00FA5069" w:rsidP="001B5C90">
            <w:pPr>
              <w:rPr>
                <w:i/>
              </w:rPr>
            </w:pPr>
            <w:r>
              <w:rPr>
                <w:rFonts w:ascii="Wingdings 3" w:hAnsi="Wingdings 3"/>
                <w:sz w:val="34"/>
                <w:szCs w:val="34"/>
                <w:lang w:eastAsia="en-AU"/>
              </w:rPr>
              <w:t></w:t>
            </w:r>
            <w:r w:rsidR="003735BC" w:rsidRPr="003735BC">
              <w:rPr>
                <w:i/>
              </w:rPr>
              <w:t>Black Triangle Scheme</w:t>
            </w:r>
            <w:r w:rsidR="004C4FBE">
              <w:rPr>
                <w:i/>
              </w:rPr>
              <w:t>:</w:t>
            </w:r>
            <w:r w:rsidR="00460036">
              <w:rPr>
                <w:rStyle w:val="FootnoteReference"/>
                <w:i/>
              </w:rPr>
              <w:footnoteReference w:id="1"/>
            </w:r>
          </w:p>
        </w:tc>
        <w:tc>
          <w:tcPr>
            <w:tcW w:w="6307" w:type="dxa"/>
          </w:tcPr>
          <w:p w14:paraId="5E91DDD1" w14:textId="77777777" w:rsidR="003735BC" w:rsidRDefault="00AF39D6" w:rsidP="003735BC">
            <w:r>
              <w:t>Yes</w:t>
            </w:r>
          </w:p>
          <w:p w14:paraId="1CF78CD2" w14:textId="77777777" w:rsidR="003735BC" w:rsidRPr="00487162" w:rsidRDefault="003735BC" w:rsidP="003735BC">
            <w:r>
              <w:t xml:space="preserve">This product will remain in the scheme for 5 years, starting on the date the product is first supplied in </w:t>
            </w:r>
            <w:r w:rsidR="00AF39D6">
              <w:t>Australia</w:t>
            </w:r>
          </w:p>
        </w:tc>
      </w:tr>
      <w:tr w:rsidR="008E7846" w:rsidRPr="00487162" w14:paraId="2BFC0ADC" w14:textId="77777777" w:rsidTr="00BF1190">
        <w:tc>
          <w:tcPr>
            <w:tcW w:w="2907" w:type="dxa"/>
          </w:tcPr>
          <w:p w14:paraId="4A783484"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00838C3D" w14:textId="77777777" w:rsidR="00AF39D6" w:rsidRDefault="00AF39D6" w:rsidP="00AF39D6">
            <w:r>
              <w:t>Maxx Pharma Pty Ltd</w:t>
            </w:r>
          </w:p>
          <w:p w14:paraId="7B4252C1" w14:textId="77777777" w:rsidR="00231243" w:rsidRDefault="00AF39D6" w:rsidP="00AF39D6">
            <w:r>
              <w:t>Level 11, 500 Collins Street</w:t>
            </w:r>
          </w:p>
          <w:p w14:paraId="51A7C34C" w14:textId="260C938C" w:rsidR="008E7846" w:rsidRPr="00487162" w:rsidRDefault="00AF39D6" w:rsidP="00AF39D6">
            <w:r>
              <w:t>Melbourne, VIC, 3000</w:t>
            </w:r>
          </w:p>
        </w:tc>
      </w:tr>
      <w:tr w:rsidR="008E7846" w:rsidRPr="00487162" w14:paraId="22C9A951" w14:textId="77777777" w:rsidTr="00BF1190">
        <w:tc>
          <w:tcPr>
            <w:tcW w:w="2907" w:type="dxa"/>
          </w:tcPr>
          <w:p w14:paraId="7F396D77" w14:textId="77777777" w:rsidR="008E7846" w:rsidRPr="00487162" w:rsidRDefault="00AF39D6" w:rsidP="00E45619">
            <w:pPr>
              <w:rPr>
                <w:i/>
              </w:rPr>
            </w:pPr>
            <w:r>
              <w:rPr>
                <w:i/>
              </w:rPr>
              <w:t>Dose form</w:t>
            </w:r>
            <w:r w:rsidR="001B5C90">
              <w:rPr>
                <w:i/>
              </w:rPr>
              <w:t>:</w:t>
            </w:r>
          </w:p>
        </w:tc>
        <w:tc>
          <w:tcPr>
            <w:tcW w:w="6307" w:type="dxa"/>
          </w:tcPr>
          <w:p w14:paraId="59295C60" w14:textId="77777777" w:rsidR="008E7846" w:rsidRPr="00487162" w:rsidRDefault="00AF39D6" w:rsidP="00E45619">
            <w:r>
              <w:t>Hard capsule</w:t>
            </w:r>
          </w:p>
        </w:tc>
      </w:tr>
      <w:tr w:rsidR="008E7846" w:rsidRPr="00487162" w14:paraId="4D2400CC" w14:textId="77777777" w:rsidTr="00BF1190">
        <w:tc>
          <w:tcPr>
            <w:tcW w:w="2907" w:type="dxa"/>
          </w:tcPr>
          <w:p w14:paraId="2D71451F" w14:textId="77777777" w:rsidR="008E7846" w:rsidRPr="00487162" w:rsidRDefault="00AF39D6" w:rsidP="00E45619">
            <w:pPr>
              <w:rPr>
                <w:i/>
              </w:rPr>
            </w:pPr>
            <w:r>
              <w:rPr>
                <w:i/>
              </w:rPr>
              <w:t>Strength</w:t>
            </w:r>
            <w:r w:rsidR="008E7846" w:rsidRPr="00487162">
              <w:rPr>
                <w:i/>
              </w:rPr>
              <w:t xml:space="preserve">: </w:t>
            </w:r>
          </w:p>
        </w:tc>
        <w:tc>
          <w:tcPr>
            <w:tcW w:w="6307" w:type="dxa"/>
          </w:tcPr>
          <w:p w14:paraId="6D756EAE" w14:textId="77777777" w:rsidR="008E7846" w:rsidRPr="00487162" w:rsidRDefault="00AF39D6" w:rsidP="00E45619">
            <w:r>
              <w:t>50 mg</w:t>
            </w:r>
          </w:p>
        </w:tc>
      </w:tr>
      <w:tr w:rsidR="008E7846" w:rsidRPr="00487162" w14:paraId="3E523381" w14:textId="77777777" w:rsidTr="00BF1190">
        <w:tc>
          <w:tcPr>
            <w:tcW w:w="2907" w:type="dxa"/>
          </w:tcPr>
          <w:p w14:paraId="793F680D" w14:textId="77777777" w:rsidR="008E7846" w:rsidRPr="00487162" w:rsidRDefault="00AF39D6" w:rsidP="00E45619">
            <w:pPr>
              <w:rPr>
                <w:i/>
              </w:rPr>
            </w:pPr>
            <w:r>
              <w:rPr>
                <w:i/>
              </w:rPr>
              <w:t>Container</w:t>
            </w:r>
            <w:r w:rsidR="008E7846" w:rsidRPr="00487162">
              <w:rPr>
                <w:i/>
              </w:rPr>
              <w:t>:</w:t>
            </w:r>
          </w:p>
        </w:tc>
        <w:tc>
          <w:tcPr>
            <w:tcW w:w="6307" w:type="dxa"/>
          </w:tcPr>
          <w:p w14:paraId="1087A1AD" w14:textId="77777777" w:rsidR="008E7846" w:rsidRPr="00487162" w:rsidRDefault="00AF39D6" w:rsidP="00E45619">
            <w:r>
              <w:t>Blister pack</w:t>
            </w:r>
          </w:p>
        </w:tc>
      </w:tr>
      <w:tr w:rsidR="008E7846" w:rsidRPr="00487162" w14:paraId="14566251" w14:textId="77777777" w:rsidTr="00BF1190">
        <w:tc>
          <w:tcPr>
            <w:tcW w:w="2907" w:type="dxa"/>
          </w:tcPr>
          <w:p w14:paraId="728EA48A" w14:textId="77777777" w:rsidR="008E7846" w:rsidRPr="00487162" w:rsidRDefault="00C750B6" w:rsidP="00E45619">
            <w:pPr>
              <w:rPr>
                <w:i/>
              </w:rPr>
            </w:pPr>
            <w:r>
              <w:rPr>
                <w:i/>
              </w:rPr>
              <w:t>Pack sizes</w:t>
            </w:r>
            <w:r w:rsidR="008E7846" w:rsidRPr="00487162">
              <w:rPr>
                <w:i/>
              </w:rPr>
              <w:t>:</w:t>
            </w:r>
          </w:p>
        </w:tc>
        <w:tc>
          <w:tcPr>
            <w:tcW w:w="6307" w:type="dxa"/>
          </w:tcPr>
          <w:p w14:paraId="654B49AD" w14:textId="77777777" w:rsidR="008E7846" w:rsidRPr="00487162" w:rsidRDefault="00C750B6" w:rsidP="00E45619">
            <w:r>
              <w:t>10, 30, 90 capsules</w:t>
            </w:r>
          </w:p>
        </w:tc>
      </w:tr>
      <w:tr w:rsidR="008E7846" w:rsidRPr="00487162" w14:paraId="2D14D346" w14:textId="77777777" w:rsidTr="00BF1190">
        <w:tc>
          <w:tcPr>
            <w:tcW w:w="2907" w:type="dxa"/>
          </w:tcPr>
          <w:p w14:paraId="5106898D"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02D7D50C" w14:textId="77777777" w:rsidR="008E7846" w:rsidRPr="00C750B6" w:rsidRDefault="00C750B6" w:rsidP="00C750B6">
            <w:pPr>
              <w:rPr>
                <w:i/>
              </w:rPr>
            </w:pPr>
            <w:r w:rsidRPr="00C750B6">
              <w:rPr>
                <w:i/>
              </w:rPr>
              <w:t>O</w:t>
            </w:r>
            <w:r>
              <w:rPr>
                <w:i/>
              </w:rPr>
              <w:t>ngentys</w:t>
            </w:r>
            <w:r w:rsidRPr="00C750B6">
              <w:rPr>
                <w:i/>
              </w:rPr>
              <w:t xml:space="preserve"> is indicated as adjunctive therapy to</w:t>
            </w:r>
            <w:r>
              <w:rPr>
                <w:i/>
              </w:rPr>
              <w:t xml:space="preserve"> preparations of </w:t>
            </w:r>
            <w:r w:rsidRPr="00C750B6">
              <w:rPr>
                <w:i/>
              </w:rPr>
              <w:t>levodopa/ DOPA decarboxylase inhibitors (DDCI) in adult patients with Parkinson’s disease and end-of-dose motor fluctuations who cannot be stabilised on those combinations</w:t>
            </w:r>
          </w:p>
        </w:tc>
      </w:tr>
      <w:tr w:rsidR="008E7846" w:rsidRPr="00487162" w14:paraId="0E1C9361" w14:textId="77777777" w:rsidTr="00BF1190">
        <w:tc>
          <w:tcPr>
            <w:tcW w:w="2907" w:type="dxa"/>
          </w:tcPr>
          <w:p w14:paraId="12F9FAD4" w14:textId="77777777" w:rsidR="008E7846" w:rsidRPr="00487162" w:rsidRDefault="00C750B6" w:rsidP="00E45619">
            <w:pPr>
              <w:rPr>
                <w:i/>
              </w:rPr>
            </w:pPr>
            <w:r>
              <w:rPr>
                <w:i/>
              </w:rPr>
              <w:t>Route</w:t>
            </w:r>
            <w:r w:rsidR="008E7846" w:rsidRPr="00487162">
              <w:rPr>
                <w:i/>
              </w:rPr>
              <w:t xml:space="preserve"> of administration:</w:t>
            </w:r>
          </w:p>
        </w:tc>
        <w:tc>
          <w:tcPr>
            <w:tcW w:w="6307" w:type="dxa"/>
          </w:tcPr>
          <w:p w14:paraId="1B184BB1" w14:textId="77777777" w:rsidR="008E7846" w:rsidRPr="00487162" w:rsidRDefault="00C750B6" w:rsidP="00E45619">
            <w:r>
              <w:t>Oral</w:t>
            </w:r>
          </w:p>
        </w:tc>
      </w:tr>
      <w:tr w:rsidR="008E7846" w:rsidRPr="00487162" w14:paraId="5A7AB105" w14:textId="77777777" w:rsidTr="00BF1190">
        <w:tc>
          <w:tcPr>
            <w:tcW w:w="2907" w:type="dxa"/>
          </w:tcPr>
          <w:p w14:paraId="794EAE0D" w14:textId="77777777" w:rsidR="008E7846" w:rsidRPr="00487162" w:rsidRDefault="008E7846" w:rsidP="00E45619">
            <w:pPr>
              <w:rPr>
                <w:i/>
              </w:rPr>
            </w:pPr>
            <w:r w:rsidRPr="00487162">
              <w:rPr>
                <w:i/>
              </w:rPr>
              <w:t>Dosage:</w:t>
            </w:r>
          </w:p>
        </w:tc>
        <w:tc>
          <w:tcPr>
            <w:tcW w:w="6307" w:type="dxa"/>
          </w:tcPr>
          <w:p w14:paraId="5A78234E" w14:textId="77777777" w:rsidR="00C750B6" w:rsidRDefault="00C750B6" w:rsidP="00C750B6">
            <w:r>
              <w:t>The recommended dose is 50 mg.</w:t>
            </w:r>
          </w:p>
          <w:p w14:paraId="4DEF4778" w14:textId="77777777" w:rsidR="00C750B6" w:rsidRDefault="00C750B6" w:rsidP="00C750B6">
            <w:r>
              <w:t>Ongentys should be taken once daily at bedtime, preferably without food, at least one hour before or after levodopa combinations.</w:t>
            </w:r>
          </w:p>
          <w:p w14:paraId="6F95A227" w14:textId="77777777" w:rsidR="00460036" w:rsidRPr="00487162" w:rsidRDefault="00460036" w:rsidP="00C750B6">
            <w:r w:rsidRPr="00460036">
              <w:t xml:space="preserve">For further information regarding dosage, refer to the Product </w:t>
            </w:r>
            <w:r w:rsidR="00F0570C">
              <w:t>Information (PI).</w:t>
            </w:r>
          </w:p>
        </w:tc>
      </w:tr>
      <w:tr w:rsidR="00460036" w:rsidRPr="00487162" w14:paraId="330763A6" w14:textId="77777777" w:rsidTr="00BF1190">
        <w:tc>
          <w:tcPr>
            <w:tcW w:w="2907" w:type="dxa"/>
          </w:tcPr>
          <w:p w14:paraId="2FE5FA96" w14:textId="77777777" w:rsidR="00460036" w:rsidRPr="00487162" w:rsidRDefault="00460036" w:rsidP="00E45619">
            <w:pPr>
              <w:rPr>
                <w:i/>
              </w:rPr>
            </w:pPr>
            <w:r w:rsidRPr="00460036">
              <w:rPr>
                <w:i/>
              </w:rPr>
              <w:t>Pregnancy category</w:t>
            </w:r>
            <w:r>
              <w:rPr>
                <w:i/>
              </w:rPr>
              <w:t>:</w:t>
            </w:r>
          </w:p>
        </w:tc>
        <w:tc>
          <w:tcPr>
            <w:tcW w:w="6307" w:type="dxa"/>
          </w:tcPr>
          <w:p w14:paraId="24CB2A4E" w14:textId="77777777" w:rsidR="00460036" w:rsidRDefault="00C750B6" w:rsidP="00C750B6">
            <w:r>
              <w:t>B2</w:t>
            </w:r>
          </w:p>
          <w:p w14:paraId="2122B5B3" w14:textId="77777777" w:rsidR="00C750B6" w:rsidRDefault="00C750B6" w:rsidP="00C750B6">
            <w:r>
              <w:t>Drugs which have been taken by only a limited number of pregnant women and women of childbearing age, without an increase in the frequency of malformation or other direct or indirect harmful effects on the human fetus having been observed.</w:t>
            </w:r>
          </w:p>
          <w:p w14:paraId="4BA152D1" w14:textId="77777777" w:rsidR="00C750B6" w:rsidRPr="00C750B6" w:rsidRDefault="00C750B6" w:rsidP="00C750B6">
            <w:r>
              <w:t>Studies in animals are inadequate or may be lacking, but available data show no evidence of an increased occurrence of fetal damage.</w:t>
            </w:r>
          </w:p>
          <w:p w14:paraId="06F2FE03" w14:textId="77777777" w:rsidR="00460036" w:rsidRPr="00487162" w:rsidRDefault="00460036" w:rsidP="00460036">
            <w:r>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w:t>
            </w:r>
            <w:r w:rsidR="00C750B6">
              <w:t>ces in your State or Territory.</w:t>
            </w:r>
          </w:p>
        </w:tc>
      </w:tr>
    </w:tbl>
    <w:p w14:paraId="3D86B7BD" w14:textId="77777777" w:rsidR="008E7846" w:rsidRDefault="008E7846" w:rsidP="008E7846">
      <w:pPr>
        <w:pStyle w:val="Heading3"/>
      </w:pPr>
      <w:bookmarkStart w:id="13" w:name="_Toc247691503"/>
      <w:bookmarkStart w:id="14" w:name="_Toc314842484"/>
      <w:bookmarkStart w:id="15" w:name="_Toc64901244"/>
      <w:r>
        <w:t>Product background</w:t>
      </w:r>
      <w:bookmarkEnd w:id="13"/>
      <w:bookmarkEnd w:id="14"/>
      <w:bookmarkEnd w:id="15"/>
    </w:p>
    <w:p w14:paraId="74439EBB" w14:textId="6EA928C1" w:rsidR="008E7846" w:rsidRDefault="00250271" w:rsidP="00940A89">
      <w:r w:rsidRPr="00250271">
        <w:t>This AusPA</w:t>
      </w:r>
      <w:r w:rsidR="00355B68">
        <w:t>R describes the application by Maxx Pharma Pty Ltd</w:t>
      </w:r>
      <w:r w:rsidRPr="00250271">
        <w:t xml:space="preserve"> (the sponsor) to register </w:t>
      </w:r>
      <w:r w:rsidR="00355B68" w:rsidRPr="00AF39D6">
        <w:t>O</w:t>
      </w:r>
      <w:r w:rsidR="00355B68">
        <w:t>ngentys (</w:t>
      </w:r>
      <w:r w:rsidR="00355B68" w:rsidRPr="00AF39D6">
        <w:t>opicapone</w:t>
      </w:r>
      <w:r w:rsidRPr="00250271">
        <w:t xml:space="preserve">) </w:t>
      </w:r>
      <w:r w:rsidR="00355B68">
        <w:t>50 mg hard capsule</w:t>
      </w:r>
      <w:r w:rsidR="00231243">
        <w:t>s</w:t>
      </w:r>
      <w:r w:rsidRPr="00250271">
        <w:t xml:space="preserve"> for the following proposed indication</w:t>
      </w:r>
      <w:r w:rsidR="00CF5DAD">
        <w:t>:</w:t>
      </w:r>
    </w:p>
    <w:p w14:paraId="612D5A4D" w14:textId="77777777" w:rsidR="00355B68" w:rsidRPr="00355B68" w:rsidRDefault="00355B68" w:rsidP="00355B68">
      <w:pPr>
        <w:ind w:left="720"/>
        <w:rPr>
          <w:i/>
        </w:rPr>
      </w:pPr>
      <w:r w:rsidRPr="00355B68">
        <w:rPr>
          <w:i/>
        </w:rPr>
        <w:t xml:space="preserve">Ongentys is indicated as adjunctive therapy to preparations of levodopa/ DOPA decarboxylase inhibitors (DDCI) in adult patients with Parkinson’s disease and end-of-dose motor fluctuations who cannot be stabilised on those combinations </w:t>
      </w:r>
    </w:p>
    <w:p w14:paraId="23EE2B3E" w14:textId="306B61DE" w:rsidR="004A5AF9" w:rsidRPr="004A5AF9" w:rsidRDefault="004A5AF9" w:rsidP="004A5AF9">
      <w:r w:rsidRPr="004A5AF9">
        <w:t>Parkinson’s disease currently affe</w:t>
      </w:r>
      <w:r>
        <w:t>cts about 40,000 Australians</w:t>
      </w:r>
      <w:r w:rsidRPr="004A5AF9">
        <w:t>.</w:t>
      </w:r>
      <w:r>
        <w:rPr>
          <w:rStyle w:val="FootnoteReference"/>
        </w:rPr>
        <w:footnoteReference w:id="2"/>
      </w:r>
      <w:r w:rsidRPr="004A5AF9">
        <w:t xml:space="preserve"> Approximately one to two people per 1,000 are estimated to have the disorder, with the incidence increasing to one in 100 of people over the age of 60. It is slightly more common in men than in women. Parkinsonism is a clinical syndrome presenting with any combination of bradykinesia, rest tremor, rigidity, and postural instability. The most common form of parkinsonism is Parkinson</w:t>
      </w:r>
      <w:r w:rsidR="0050221F">
        <w:t>’s</w:t>
      </w:r>
      <w:r w:rsidRPr="004A5AF9">
        <w:t xml:space="preserve"> disease , a chronic, progressive disorder caused by degenerative loss of dopaminergic neurons in the brain and characteri</w:t>
      </w:r>
      <w:r w:rsidR="002E02A5">
        <w:t>s</w:t>
      </w:r>
      <w:r w:rsidRPr="004A5AF9">
        <w:t>ed clinically by asymmetric parkinsonism and a clear benefit</w:t>
      </w:r>
      <w:r>
        <w:t xml:space="preserve"> from dopaminergic therapy.</w:t>
      </w:r>
      <w:r>
        <w:rPr>
          <w:rStyle w:val="FootnoteReference"/>
        </w:rPr>
        <w:footnoteReference w:id="3"/>
      </w:r>
    </w:p>
    <w:p w14:paraId="02FDB940" w14:textId="33C252E1" w:rsidR="004A5AF9" w:rsidRDefault="004A5AF9" w:rsidP="004A5AF9">
      <w:r w:rsidRPr="004A5AF9">
        <w:t>Levodopa (</w:t>
      </w:r>
      <w:r w:rsidR="0005617B">
        <w:t>L-DOPA</w:t>
      </w:r>
      <w:r w:rsidRPr="004A5AF9">
        <w:t>) continues to be the most efficacious thera</w:t>
      </w:r>
      <w:r>
        <w:t xml:space="preserve">peutic drug for </w:t>
      </w:r>
      <w:r w:rsidR="002E02A5">
        <w:t xml:space="preserve">the treatment of </w:t>
      </w:r>
      <w:r>
        <w:t>PD</w:t>
      </w:r>
      <w:r w:rsidRPr="004A5AF9">
        <w:t>.</w:t>
      </w:r>
      <w:bookmarkStart w:id="16" w:name="_Ref57897091"/>
      <w:r>
        <w:rPr>
          <w:rStyle w:val="FootnoteReference"/>
        </w:rPr>
        <w:footnoteReference w:id="4"/>
      </w:r>
      <w:bookmarkEnd w:id="16"/>
      <w:r w:rsidRPr="004A5AF9">
        <w:t xml:space="preserve"> </w:t>
      </w:r>
      <w:r w:rsidR="0005617B">
        <w:t>L-DOPA</w:t>
      </w:r>
      <w:r w:rsidRPr="004A5AF9">
        <w:t xml:space="preserve"> is rapidly metabolised by peripheral aromatic L-amino acid decarboxylase and</w:t>
      </w:r>
      <w:r w:rsidR="00F0570C">
        <w:t xml:space="preserve"> catechol-o-methyl transferase</w:t>
      </w:r>
      <w:r w:rsidRPr="004A5AF9">
        <w:t xml:space="preserve"> </w:t>
      </w:r>
      <w:r w:rsidR="00F0570C">
        <w:t>(</w:t>
      </w:r>
      <w:r w:rsidRPr="004A5AF9">
        <w:t>COMT</w:t>
      </w:r>
      <w:r w:rsidR="00F0570C">
        <w:t>)</w:t>
      </w:r>
      <w:r w:rsidRPr="004A5AF9">
        <w:t xml:space="preserve">. Hence, only 1% of an oral dose of </w:t>
      </w:r>
      <w:r w:rsidR="0005617B">
        <w:t>L-DOPA</w:t>
      </w:r>
      <w:r w:rsidRPr="004A5AF9">
        <w:t xml:space="preserve"> actually reaches the brain. COMT usually converts about 90% of </w:t>
      </w:r>
      <w:r w:rsidR="0005617B">
        <w:t>L-DOPA</w:t>
      </w:r>
      <w:r w:rsidRPr="004A5AF9">
        <w:t xml:space="preserve"> to 3</w:t>
      </w:r>
      <w:r w:rsidR="00CB4CA0">
        <w:noBreakHyphen/>
      </w:r>
      <w:r w:rsidRPr="004A5AF9">
        <w:t>O</w:t>
      </w:r>
      <w:r w:rsidR="00CB4CA0">
        <w:noBreakHyphen/>
      </w:r>
      <w:r w:rsidRPr="004A5AF9">
        <w:t xml:space="preserve">methyl-levodopa (3-OMD), which competes with </w:t>
      </w:r>
      <w:r w:rsidR="0005617B">
        <w:t>L-DOPA</w:t>
      </w:r>
      <w:r w:rsidRPr="004A5AF9">
        <w:t xml:space="preserve"> at the level of the blood</w:t>
      </w:r>
      <w:r>
        <w:t>-brain barrier for transport</w:t>
      </w:r>
      <w:r w:rsidRPr="004A5AF9">
        <w:t>.</w:t>
      </w:r>
      <w:r>
        <w:rPr>
          <w:rStyle w:val="FootnoteReference"/>
        </w:rPr>
        <w:footnoteReference w:id="5"/>
      </w:r>
      <w:r w:rsidRPr="004A5AF9">
        <w:t xml:space="preserve"> Thus, COMT inhibitors are usually used to peripherally inhibit L</w:t>
      </w:r>
      <w:r w:rsidR="00CB4CA0">
        <w:noBreakHyphen/>
      </w:r>
      <w:r w:rsidRPr="004A5AF9">
        <w:t>dopa metabolism by reducing levels of 3-OMD and increasing the del</w:t>
      </w:r>
      <w:r>
        <w:t xml:space="preserve">ivery of </w:t>
      </w:r>
      <w:r w:rsidR="0005617B">
        <w:t>L-DOPA</w:t>
      </w:r>
      <w:r>
        <w:t xml:space="preserve"> to the brain</w:t>
      </w:r>
      <w:r w:rsidRPr="004A5AF9">
        <w:t>.</w:t>
      </w:r>
      <w:r>
        <w:rPr>
          <w:rStyle w:val="FootnoteReference"/>
        </w:rPr>
        <w:footnoteReference w:id="6"/>
      </w:r>
      <w:r w:rsidRPr="004A5AF9">
        <w:t xml:space="preserve"> Opicapone is a COMT inhibitor. Other COMT inhibitor</w:t>
      </w:r>
      <w:r w:rsidR="00F0570C">
        <w:t xml:space="preserve">s are </w:t>
      </w:r>
      <w:proofErr w:type="spellStart"/>
      <w:r w:rsidR="00F0570C">
        <w:t>entacapone</w:t>
      </w:r>
      <w:proofErr w:type="spellEnd"/>
      <w:r w:rsidR="00F0570C">
        <w:t xml:space="preserve"> and </w:t>
      </w:r>
      <w:proofErr w:type="spellStart"/>
      <w:r w:rsidR="00F0570C">
        <w:t>t</w:t>
      </w:r>
      <w:r>
        <w:t>olcapone</w:t>
      </w:r>
      <w:proofErr w:type="spellEnd"/>
      <w:r>
        <w:t>.</w:t>
      </w:r>
    </w:p>
    <w:p w14:paraId="5AB889EA" w14:textId="77777777" w:rsidR="004A5AF9" w:rsidRDefault="004A5AF9" w:rsidP="004A5AF9">
      <w:pPr>
        <w:pStyle w:val="FigureTitle"/>
      </w:pPr>
      <w:r>
        <w:t xml:space="preserve">Figure </w:t>
      </w:r>
      <w:fldSimple w:instr=" SEQ Figure \* ARABIC ">
        <w:r w:rsidR="00A55428">
          <w:rPr>
            <w:noProof/>
          </w:rPr>
          <w:t>1</w:t>
        </w:r>
      </w:fldSimple>
      <w:r>
        <w:t>: Metabolic pathways of levodopa</w:t>
      </w:r>
    </w:p>
    <w:p w14:paraId="748FC2A7" w14:textId="4DD4A7CD" w:rsidR="004A5AF9" w:rsidRDefault="004A5AF9" w:rsidP="004A5AF9">
      <w:r w:rsidRPr="008E62DA">
        <w:rPr>
          <w:rFonts w:asciiTheme="minorHAnsi" w:hAnsiTheme="minorHAnsi"/>
          <w:noProof/>
          <w:lang w:eastAsia="en-AU"/>
        </w:rPr>
        <w:drawing>
          <wp:inline distT="0" distB="0" distL="0" distR="0" wp14:anchorId="457FCBE8" wp14:editId="52BE6E47">
            <wp:extent cx="3278038" cy="2400030"/>
            <wp:effectExtent l="0" t="0" r="0" b="635"/>
            <wp:docPr id="2" name="Picture 2" descr="Metabolic pathways of levod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nical Pharmacology, Therapeutic Use and Potential of COMT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99768" cy="2415939"/>
                    </a:xfrm>
                    <a:prstGeom prst="rect">
                      <a:avLst/>
                    </a:prstGeom>
                    <a:noFill/>
                    <a:ln>
                      <a:noFill/>
                    </a:ln>
                  </pic:spPr>
                </pic:pic>
              </a:graphicData>
            </a:graphic>
          </wp:inline>
        </w:drawing>
      </w:r>
    </w:p>
    <w:p w14:paraId="72364CBF" w14:textId="171D7071" w:rsidR="00CB4CA0" w:rsidRPr="00CB4CA0" w:rsidRDefault="00CB4CA0" w:rsidP="00155799">
      <w:pPr>
        <w:pStyle w:val="FigureDescription"/>
      </w:pPr>
      <w:r w:rsidRPr="00155799">
        <w:t xml:space="preserve">3-MT = </w:t>
      </w:r>
      <w:r w:rsidRPr="00CB4CA0">
        <w:t>3-m</w:t>
      </w:r>
      <w:r w:rsidRPr="00155799">
        <w:t xml:space="preserve">ethoxytyramine; </w:t>
      </w:r>
      <w:r w:rsidRPr="00CB4CA0">
        <w:t xml:space="preserve">3-OMD = </w:t>
      </w:r>
      <w:r>
        <w:t>3-O-m</w:t>
      </w:r>
      <w:r w:rsidRPr="00CB4CA0">
        <w:t>ethyldopa; COMT = cat</w:t>
      </w:r>
      <w:r>
        <w:t>echol-O-</w:t>
      </w:r>
      <w:proofErr w:type="spellStart"/>
      <w:r>
        <w:t>methyltransferase</w:t>
      </w:r>
      <w:proofErr w:type="spellEnd"/>
      <w:r>
        <w:t>; DDC = </w:t>
      </w:r>
      <w:proofErr w:type="spellStart"/>
      <w:r w:rsidRPr="00CB4CA0">
        <w:t>dopa</w:t>
      </w:r>
      <w:proofErr w:type="spellEnd"/>
      <w:r w:rsidRPr="00CB4CA0">
        <w:t xml:space="preserve">-decarboxylase; DOPAC =  3,4-dihydroxyphenylacetic acid; HVA = </w:t>
      </w:r>
      <w:proofErr w:type="spellStart"/>
      <w:r w:rsidRPr="00CB4CA0">
        <w:t>h</w:t>
      </w:r>
      <w:r w:rsidRPr="00155799">
        <w:t>omovanillic</w:t>
      </w:r>
      <w:proofErr w:type="spellEnd"/>
      <w:r w:rsidRPr="00155799">
        <w:t xml:space="preserve"> acid; </w:t>
      </w:r>
      <w:r>
        <w:t>MAO </w:t>
      </w:r>
      <w:r w:rsidRPr="00CB4CA0">
        <w:t>=</w:t>
      </w:r>
      <w:r>
        <w:t> </w:t>
      </w:r>
      <w:r w:rsidRPr="00CB4CA0">
        <w:t>monoamine oxidase.</w:t>
      </w:r>
    </w:p>
    <w:p w14:paraId="4A2B800C" w14:textId="6EF7ACC7" w:rsidR="004A5AF9" w:rsidRDefault="004A5AF9" w:rsidP="004A5AF9">
      <w:r w:rsidRPr="004A5AF9">
        <w:t xml:space="preserve">The long-term use of </w:t>
      </w:r>
      <w:r w:rsidR="0005617B">
        <w:t>L-DOPA</w:t>
      </w:r>
      <w:r w:rsidRPr="004A5AF9">
        <w:t xml:space="preserve"> is limited by the development of motor complications that affect the large majority of PD patients, particular</w:t>
      </w:r>
      <w:r>
        <w:t>ly those with young-onset PD</w:t>
      </w:r>
      <w:r w:rsidRPr="004A5AF9">
        <w:t>.</w:t>
      </w:r>
      <w:r>
        <w:rPr>
          <w:rStyle w:val="FootnoteReference"/>
        </w:rPr>
        <w:footnoteReference w:id="7"/>
      </w:r>
      <w:r w:rsidRPr="004A5AF9">
        <w:t xml:space="preserve"> These most often consist of the </w:t>
      </w:r>
      <w:r w:rsidR="00CB4CA0">
        <w:t>‘</w:t>
      </w:r>
      <w:r w:rsidRPr="004A5AF9">
        <w:t>wearing-off</w:t>
      </w:r>
      <w:r w:rsidR="00CB4CA0">
        <w:t>’</w:t>
      </w:r>
      <w:r w:rsidRPr="004A5AF9">
        <w:t xml:space="preserve"> effect (shortening of the duration of the motor response after a dose of levodopa) and </w:t>
      </w:r>
      <w:proofErr w:type="spellStart"/>
      <w:r w:rsidRPr="004A5AF9">
        <w:t>dyskinesias</w:t>
      </w:r>
      <w:proofErr w:type="spellEnd"/>
      <w:r w:rsidRPr="004A5AF9">
        <w:t xml:space="preserve"> (involuntary movements primarily consisting of </w:t>
      </w:r>
      <w:proofErr w:type="spellStart"/>
      <w:r w:rsidRPr="004A5AF9">
        <w:t>chore</w:t>
      </w:r>
      <w:r>
        <w:t>iform</w:t>
      </w:r>
      <w:proofErr w:type="spellEnd"/>
      <w:r>
        <w:t xml:space="preserve"> or dystonic movements)</w:t>
      </w:r>
      <w:r w:rsidRPr="004A5AF9">
        <w:t>.</w:t>
      </w:r>
      <w:r>
        <w:fldChar w:fldCharType="begin"/>
      </w:r>
      <w:r>
        <w:instrText xml:space="preserve"> NOTEREF _Ref57897091 \f \h </w:instrText>
      </w:r>
      <w:r>
        <w:fldChar w:fldCharType="separate"/>
      </w:r>
      <w:r w:rsidR="00A55428" w:rsidRPr="00A55428">
        <w:rPr>
          <w:rStyle w:val="FootnoteReference"/>
        </w:rPr>
        <w:t>4</w:t>
      </w:r>
      <w:r>
        <w:fldChar w:fldCharType="end"/>
      </w:r>
      <w:r w:rsidRPr="004A5AF9">
        <w:t xml:space="preserve"> In the extreme, patients can cycle between </w:t>
      </w:r>
      <w:r w:rsidR="00CB4CA0">
        <w:t>‘</w:t>
      </w:r>
      <w:r w:rsidRPr="004A5AF9">
        <w:t>on</w:t>
      </w:r>
      <w:r w:rsidR="00CB4CA0">
        <w:t>’</w:t>
      </w:r>
      <w:r w:rsidRPr="004A5AF9">
        <w:t xml:space="preserve"> periods, when they respond to levodopa but experience disabling </w:t>
      </w:r>
      <w:proofErr w:type="spellStart"/>
      <w:r w:rsidRPr="004A5AF9">
        <w:t>dyskinesias</w:t>
      </w:r>
      <w:proofErr w:type="spellEnd"/>
      <w:r w:rsidRPr="004A5AF9">
        <w:t xml:space="preserve">, and </w:t>
      </w:r>
      <w:r w:rsidR="00CB4CA0">
        <w:t>‘</w:t>
      </w:r>
      <w:r w:rsidRPr="004A5AF9">
        <w:t>off</w:t>
      </w:r>
      <w:r w:rsidR="00CB4CA0">
        <w:t>’</w:t>
      </w:r>
      <w:r w:rsidRPr="004A5AF9">
        <w:t xml:space="preserve"> periods, when they suffer severe parkinsonism. COMT inhibitors are currently used as add-on therapy to </w:t>
      </w:r>
      <w:r w:rsidR="0005617B">
        <w:t>L-DOPA</w:t>
      </w:r>
      <w:r w:rsidRPr="004A5AF9">
        <w:t xml:space="preserve"> for the betterment of end-of-dose motor fluctuations, as they inhibit peripheral </w:t>
      </w:r>
      <w:r w:rsidR="0005617B">
        <w:t>L-DOPA</w:t>
      </w:r>
      <w:r w:rsidRPr="004A5AF9">
        <w:t xml:space="preserve"> metabolism and increase the de</w:t>
      </w:r>
      <w:r>
        <w:t>livery of L</w:t>
      </w:r>
      <w:r w:rsidR="00CB4CA0">
        <w:noBreakHyphen/>
      </w:r>
      <w:r>
        <w:t>dopa to the brain</w:t>
      </w:r>
      <w:r w:rsidRPr="004A5AF9">
        <w:t>.</w:t>
      </w:r>
      <w:r>
        <w:fldChar w:fldCharType="begin"/>
      </w:r>
      <w:r>
        <w:instrText xml:space="preserve"> NOTEREF _Ref57897091 \f \h </w:instrText>
      </w:r>
      <w:r>
        <w:fldChar w:fldCharType="separate"/>
      </w:r>
      <w:r w:rsidR="00A55428" w:rsidRPr="00A55428">
        <w:rPr>
          <w:rStyle w:val="FootnoteReference"/>
        </w:rPr>
        <w:t>4</w:t>
      </w:r>
      <w:r>
        <w:fldChar w:fldCharType="end"/>
      </w:r>
      <w:r w:rsidRPr="004A5AF9">
        <w:rPr>
          <w:vertAlign w:val="superscript"/>
        </w:rPr>
        <w:t>,</w:t>
      </w:r>
      <w:bookmarkStart w:id="17" w:name="_Ref58245650"/>
      <w:r>
        <w:rPr>
          <w:rStyle w:val="FootnoteReference"/>
        </w:rPr>
        <w:footnoteReference w:id="8"/>
      </w:r>
      <w:bookmarkEnd w:id="17"/>
    </w:p>
    <w:p w14:paraId="01DC1E1C" w14:textId="77777777" w:rsidR="008E7846" w:rsidRPr="003F31A2" w:rsidRDefault="00386150" w:rsidP="008E7846">
      <w:pPr>
        <w:pStyle w:val="Heading3"/>
      </w:pPr>
      <w:bookmarkStart w:id="18" w:name="_Toc314842485"/>
      <w:bookmarkStart w:id="19" w:name="_Toc247691504"/>
      <w:bookmarkStart w:id="20" w:name="_Toc64901245"/>
      <w:r>
        <w:t>Regulatory s</w:t>
      </w:r>
      <w:r w:rsidR="008E7846">
        <w:t>tatus</w:t>
      </w:r>
      <w:bookmarkEnd w:id="18"/>
      <w:bookmarkEnd w:id="19"/>
      <w:bookmarkEnd w:id="20"/>
    </w:p>
    <w:p w14:paraId="747BD22A" w14:textId="77777777" w:rsidR="00940A89" w:rsidRDefault="00006FAB" w:rsidP="00940A89">
      <w:bookmarkStart w:id="21" w:name="_Toc247691505"/>
      <w:bookmarkStart w:id="22" w:name="_Toc314842486"/>
      <w:r w:rsidRPr="00057BD0">
        <w:t>This produ</w:t>
      </w:r>
      <w:r w:rsidR="006E1324" w:rsidRPr="00057BD0">
        <w:t>ct is considered a new chemical</w:t>
      </w:r>
      <w:r w:rsidR="006E1324">
        <w:t xml:space="preserve"> </w:t>
      </w:r>
      <w:r w:rsidRPr="00006FAB">
        <w:t>entity for Australian regulatory purposes.</w:t>
      </w:r>
    </w:p>
    <w:p w14:paraId="4D3A85BA" w14:textId="4C852207" w:rsidR="00006FAB" w:rsidRDefault="00006FAB" w:rsidP="00006FAB">
      <w:r>
        <w:t>At the time the TGA considered this application, similar application</w:t>
      </w:r>
      <w:r w:rsidR="00CB4CA0">
        <w:t>s</w:t>
      </w:r>
      <w:r>
        <w:t xml:space="preserve"> had been approved in </w:t>
      </w:r>
      <w:r w:rsidR="00CC779D">
        <w:t>the European Union</w:t>
      </w:r>
      <w:r w:rsidR="002C3C05">
        <w:t xml:space="preserve"> (EU)</w:t>
      </w:r>
      <w:r w:rsidR="00CC779D">
        <w:t xml:space="preserve"> on 24 June 2016, Switzerland on 26 April 2018, United States of America</w:t>
      </w:r>
      <w:r w:rsidR="002C3C05">
        <w:t xml:space="preserve"> (USA)</w:t>
      </w:r>
      <w:r w:rsidR="00CC779D">
        <w:t xml:space="preserve"> on 24 April 2020, Japan on 29 June 2020 and South Korea on 26</w:t>
      </w:r>
      <w:r w:rsidR="00CB4CA0">
        <w:t> </w:t>
      </w:r>
      <w:r w:rsidR="00CC779D">
        <w:t>November 2019</w:t>
      </w:r>
      <w:r>
        <w:t>.</w:t>
      </w:r>
    </w:p>
    <w:p w14:paraId="3778131A" w14:textId="14273BD7" w:rsidR="00CB4CA0" w:rsidRDefault="00CB4CA0" w:rsidP="00006FAB">
      <w:r>
        <w:t>Table 1, shown below, summarises these applications along with their approved indications.</w:t>
      </w:r>
    </w:p>
    <w:p w14:paraId="592913B3" w14:textId="77777777" w:rsidR="00940A89" w:rsidRDefault="006E1324" w:rsidP="006E1324">
      <w:pPr>
        <w:pStyle w:val="TableTitle"/>
      </w:pPr>
      <w:r w:rsidRPr="006E1324">
        <w:t xml:space="preserve">Table </w:t>
      </w:r>
      <w:fldSimple w:instr=" SEQ Table \* ARABIC ">
        <w:r w:rsidR="00A55428">
          <w:rPr>
            <w:noProof/>
          </w:rPr>
          <w:t>1</w:t>
        </w:r>
      </w:fldSimple>
      <w:r>
        <w:t>: International regulatory history for Ongentys</w:t>
      </w:r>
    </w:p>
    <w:tbl>
      <w:tblPr>
        <w:tblStyle w:val="TableTGAblue"/>
        <w:tblW w:w="0" w:type="auto"/>
        <w:tblLook w:val="04A0" w:firstRow="1" w:lastRow="0" w:firstColumn="1" w:lastColumn="0" w:noHBand="0" w:noVBand="1"/>
      </w:tblPr>
      <w:tblGrid>
        <w:gridCol w:w="2054"/>
        <w:gridCol w:w="2085"/>
        <w:gridCol w:w="2103"/>
        <w:gridCol w:w="2252"/>
      </w:tblGrid>
      <w:tr w:rsidR="00006FAB" w14:paraId="59E61C9C" w14:textId="77777777" w:rsidTr="00CF5DAD">
        <w:trPr>
          <w:cnfStyle w:val="100000000000" w:firstRow="1" w:lastRow="0" w:firstColumn="0" w:lastColumn="0" w:oddVBand="0" w:evenVBand="0" w:oddHBand="0" w:evenHBand="0" w:firstRowFirstColumn="0" w:firstRowLastColumn="0" w:lastRowFirstColumn="0" w:lastRowLastColumn="0"/>
        </w:trPr>
        <w:tc>
          <w:tcPr>
            <w:tcW w:w="2180" w:type="dxa"/>
            <w:tcBorders>
              <w:top w:val="single" w:sz="4" w:space="0" w:color="auto"/>
              <w:left w:val="single" w:sz="4" w:space="0" w:color="auto"/>
              <w:bottom w:val="single" w:sz="4" w:space="0" w:color="auto"/>
              <w:right w:val="single" w:sz="4" w:space="0" w:color="auto"/>
            </w:tcBorders>
          </w:tcPr>
          <w:p w14:paraId="17E59FC8" w14:textId="77777777" w:rsidR="00006FAB" w:rsidRDefault="00006FAB" w:rsidP="00006FAB">
            <w:pPr>
              <w:ind w:left="0" w:right="0"/>
            </w:pPr>
            <w:r>
              <w:t>Region</w:t>
            </w:r>
          </w:p>
        </w:tc>
        <w:tc>
          <w:tcPr>
            <w:tcW w:w="2180" w:type="dxa"/>
            <w:tcBorders>
              <w:top w:val="single" w:sz="4" w:space="0" w:color="auto"/>
              <w:left w:val="single" w:sz="4" w:space="0" w:color="auto"/>
              <w:bottom w:val="single" w:sz="4" w:space="0" w:color="auto"/>
              <w:right w:val="single" w:sz="4" w:space="0" w:color="auto"/>
            </w:tcBorders>
          </w:tcPr>
          <w:p w14:paraId="5F2F88C2" w14:textId="77777777" w:rsidR="00006FAB" w:rsidRDefault="00006FAB" w:rsidP="00006FAB">
            <w:pPr>
              <w:ind w:left="0" w:right="0"/>
            </w:pPr>
            <w:r>
              <w:t>Submission date</w:t>
            </w:r>
          </w:p>
        </w:tc>
        <w:tc>
          <w:tcPr>
            <w:tcW w:w="2180" w:type="dxa"/>
            <w:tcBorders>
              <w:top w:val="single" w:sz="4" w:space="0" w:color="auto"/>
              <w:left w:val="single" w:sz="4" w:space="0" w:color="auto"/>
              <w:bottom w:val="single" w:sz="4" w:space="0" w:color="auto"/>
              <w:right w:val="single" w:sz="4" w:space="0" w:color="auto"/>
            </w:tcBorders>
          </w:tcPr>
          <w:p w14:paraId="3D9E50CB" w14:textId="77777777" w:rsidR="00006FAB" w:rsidRDefault="00006FAB" w:rsidP="00006FAB">
            <w:pPr>
              <w:ind w:left="0" w:right="0"/>
            </w:pPr>
            <w:r>
              <w:t>Status</w:t>
            </w:r>
          </w:p>
        </w:tc>
        <w:tc>
          <w:tcPr>
            <w:tcW w:w="2180" w:type="dxa"/>
            <w:tcBorders>
              <w:top w:val="single" w:sz="4" w:space="0" w:color="auto"/>
              <w:left w:val="single" w:sz="4" w:space="0" w:color="auto"/>
              <w:bottom w:val="single" w:sz="4" w:space="0" w:color="auto"/>
              <w:right w:val="single" w:sz="4" w:space="0" w:color="auto"/>
            </w:tcBorders>
          </w:tcPr>
          <w:p w14:paraId="7D8E5F2C" w14:textId="77777777" w:rsidR="00006FAB" w:rsidRDefault="00006FAB" w:rsidP="00006FAB">
            <w:pPr>
              <w:ind w:left="0" w:right="0"/>
            </w:pPr>
            <w:r>
              <w:t>Approved indications</w:t>
            </w:r>
          </w:p>
        </w:tc>
      </w:tr>
      <w:tr w:rsidR="00006FAB" w14:paraId="075FDA30" w14:textId="77777777" w:rsidTr="00CF5DAD">
        <w:tc>
          <w:tcPr>
            <w:tcW w:w="2180" w:type="dxa"/>
            <w:tcBorders>
              <w:top w:val="single" w:sz="4" w:space="0" w:color="auto"/>
            </w:tcBorders>
          </w:tcPr>
          <w:p w14:paraId="6BE46FCD" w14:textId="77777777" w:rsidR="00CC779D" w:rsidRDefault="00CC779D" w:rsidP="00006FAB">
            <w:pPr>
              <w:ind w:left="0" w:right="0"/>
            </w:pPr>
            <w:r>
              <w:t>European Union centralised</w:t>
            </w:r>
          </w:p>
        </w:tc>
        <w:tc>
          <w:tcPr>
            <w:tcW w:w="2180" w:type="dxa"/>
            <w:tcBorders>
              <w:top w:val="single" w:sz="4" w:space="0" w:color="auto"/>
            </w:tcBorders>
          </w:tcPr>
          <w:p w14:paraId="35A1F13A" w14:textId="6AF8D4B6" w:rsidR="00006FAB" w:rsidRDefault="0024172C" w:rsidP="00006FAB">
            <w:pPr>
              <w:ind w:left="0" w:right="0"/>
            </w:pPr>
            <w:r>
              <w:t>25 </w:t>
            </w:r>
            <w:r w:rsidR="00CC779D">
              <w:t>November 2014</w:t>
            </w:r>
          </w:p>
        </w:tc>
        <w:tc>
          <w:tcPr>
            <w:tcW w:w="2180" w:type="dxa"/>
            <w:tcBorders>
              <w:top w:val="single" w:sz="4" w:space="0" w:color="auto"/>
            </w:tcBorders>
          </w:tcPr>
          <w:p w14:paraId="20B00B53" w14:textId="6B3028DA" w:rsidR="00006FAB" w:rsidRDefault="00CC779D" w:rsidP="00006FAB">
            <w:pPr>
              <w:ind w:left="0" w:right="0"/>
            </w:pPr>
            <w:r>
              <w:t>Approved on 24</w:t>
            </w:r>
            <w:r w:rsidR="0024172C">
              <w:t> </w:t>
            </w:r>
            <w:r>
              <w:t>June 2016</w:t>
            </w:r>
          </w:p>
        </w:tc>
        <w:tc>
          <w:tcPr>
            <w:tcW w:w="2180" w:type="dxa"/>
            <w:tcBorders>
              <w:top w:val="single" w:sz="4" w:space="0" w:color="auto"/>
            </w:tcBorders>
          </w:tcPr>
          <w:p w14:paraId="1CAF2D0C" w14:textId="77777777" w:rsidR="00006FAB" w:rsidRPr="00CC779D" w:rsidRDefault="00CC779D" w:rsidP="00CC779D">
            <w:pPr>
              <w:ind w:left="0" w:right="0"/>
              <w:rPr>
                <w:i/>
              </w:rPr>
            </w:pPr>
            <w:r w:rsidRPr="00CC779D">
              <w:rPr>
                <w:i/>
              </w:rPr>
              <w:t>Ongentys is indicated as adjunctive therapy to preparations of levodopa/ DOPA decarboxylase inhibitors (DDCI) in adult patients with Parkinson’s disease and end-of-dose motor fluctuations who cannot be stabilised on those combinations.</w:t>
            </w:r>
          </w:p>
        </w:tc>
      </w:tr>
      <w:tr w:rsidR="00006FAB" w14:paraId="666C07BC" w14:textId="77777777" w:rsidTr="00006FAB">
        <w:tc>
          <w:tcPr>
            <w:tcW w:w="2180" w:type="dxa"/>
          </w:tcPr>
          <w:p w14:paraId="03421917" w14:textId="77777777" w:rsidR="00006FAB" w:rsidRDefault="00CC779D" w:rsidP="00006FAB">
            <w:pPr>
              <w:ind w:left="0" w:right="0"/>
            </w:pPr>
            <w:r>
              <w:t>Switzerland</w:t>
            </w:r>
          </w:p>
        </w:tc>
        <w:tc>
          <w:tcPr>
            <w:tcW w:w="2180" w:type="dxa"/>
          </w:tcPr>
          <w:p w14:paraId="19C93CEF" w14:textId="3B414750" w:rsidR="00006FAB" w:rsidRDefault="0024172C" w:rsidP="00006FAB">
            <w:pPr>
              <w:ind w:left="0" w:right="0"/>
            </w:pPr>
            <w:r>
              <w:t>28 </w:t>
            </w:r>
            <w:r w:rsidR="00CC779D">
              <w:t>October 2016</w:t>
            </w:r>
          </w:p>
        </w:tc>
        <w:tc>
          <w:tcPr>
            <w:tcW w:w="2180" w:type="dxa"/>
          </w:tcPr>
          <w:p w14:paraId="58334B6E" w14:textId="6F55E038" w:rsidR="00006FAB" w:rsidRDefault="0024172C" w:rsidP="00006FAB">
            <w:pPr>
              <w:ind w:left="0" w:right="0"/>
            </w:pPr>
            <w:r>
              <w:t>Approved on 26 </w:t>
            </w:r>
            <w:r w:rsidR="00CC779D">
              <w:t>April 2018</w:t>
            </w:r>
          </w:p>
        </w:tc>
        <w:tc>
          <w:tcPr>
            <w:tcW w:w="2180" w:type="dxa"/>
          </w:tcPr>
          <w:p w14:paraId="42E1AB0E" w14:textId="77777777" w:rsidR="00006FAB" w:rsidRDefault="00CC779D" w:rsidP="00CC779D">
            <w:pPr>
              <w:ind w:left="0" w:right="0"/>
            </w:pPr>
            <w:r w:rsidRPr="00CC779D">
              <w:rPr>
                <w:i/>
              </w:rPr>
              <w:t>Ongentys is indicated as adjunctive therapy to preparations of levodopa/ DOPA decarboxylase inhibitors (DDCI) in adult patients with Parkinson’s disease and end-of-dose motor fluctuations who cannot be stabilised on those combinations</w:t>
            </w:r>
            <w:r w:rsidRPr="00CC779D">
              <w:t>.</w:t>
            </w:r>
          </w:p>
        </w:tc>
      </w:tr>
      <w:tr w:rsidR="00CC779D" w14:paraId="72550E23" w14:textId="77777777" w:rsidTr="00006FAB">
        <w:tc>
          <w:tcPr>
            <w:tcW w:w="2180" w:type="dxa"/>
          </w:tcPr>
          <w:p w14:paraId="5971945B" w14:textId="77777777" w:rsidR="00CC779D" w:rsidRDefault="00CC779D" w:rsidP="00CC779D">
            <w:pPr>
              <w:ind w:left="0"/>
            </w:pPr>
            <w:r>
              <w:t>United States of America</w:t>
            </w:r>
          </w:p>
        </w:tc>
        <w:tc>
          <w:tcPr>
            <w:tcW w:w="2180" w:type="dxa"/>
          </w:tcPr>
          <w:p w14:paraId="755557D3" w14:textId="09512B50" w:rsidR="00CC779D" w:rsidRDefault="0024172C" w:rsidP="00CC779D">
            <w:pPr>
              <w:ind w:left="0"/>
            </w:pPr>
            <w:r>
              <w:t>26 </w:t>
            </w:r>
            <w:r w:rsidR="00CC779D">
              <w:t>April 2019</w:t>
            </w:r>
          </w:p>
        </w:tc>
        <w:tc>
          <w:tcPr>
            <w:tcW w:w="2180" w:type="dxa"/>
          </w:tcPr>
          <w:p w14:paraId="661721A7" w14:textId="7BFD8470" w:rsidR="00CC779D" w:rsidRPr="00006FAB" w:rsidRDefault="0024172C" w:rsidP="00CC779D">
            <w:pPr>
              <w:ind w:left="0"/>
            </w:pPr>
            <w:r>
              <w:t>Approved on 24 </w:t>
            </w:r>
            <w:r w:rsidR="00CC779D">
              <w:t>April 2020</w:t>
            </w:r>
          </w:p>
        </w:tc>
        <w:tc>
          <w:tcPr>
            <w:tcW w:w="2180" w:type="dxa"/>
          </w:tcPr>
          <w:p w14:paraId="2072E201" w14:textId="670025DD" w:rsidR="00CC779D" w:rsidRPr="00CC779D" w:rsidRDefault="00CC779D" w:rsidP="00CC779D">
            <w:pPr>
              <w:ind w:left="0"/>
              <w:rPr>
                <w:i/>
              </w:rPr>
            </w:pPr>
            <w:r w:rsidRPr="00CC779D">
              <w:rPr>
                <w:i/>
              </w:rPr>
              <w:t>O</w:t>
            </w:r>
            <w:r>
              <w:rPr>
                <w:i/>
              </w:rPr>
              <w:t>ngentys</w:t>
            </w:r>
            <w:r w:rsidRPr="00CC779D">
              <w:rPr>
                <w:i/>
              </w:rPr>
              <w:t xml:space="preserve"> is a catechol-O-</w:t>
            </w:r>
            <w:proofErr w:type="spellStart"/>
            <w:r w:rsidRPr="00CC779D">
              <w:rPr>
                <w:i/>
              </w:rPr>
              <w:t>methyltransferase</w:t>
            </w:r>
            <w:proofErr w:type="spellEnd"/>
            <w:r w:rsidRPr="00CC779D">
              <w:rPr>
                <w:i/>
              </w:rPr>
              <w:t xml:space="preserve"> (COMT) inhibitor indicated as adjunctive treatment to levodopa/carbidopa in patients with Parkinson’s disease (PD) experiencing </w:t>
            </w:r>
            <w:r w:rsidR="008267DC">
              <w:rPr>
                <w:i/>
              </w:rPr>
              <w:t>‘</w:t>
            </w:r>
            <w:r w:rsidRPr="00CC779D">
              <w:rPr>
                <w:i/>
              </w:rPr>
              <w:t>off</w:t>
            </w:r>
            <w:r w:rsidR="008267DC">
              <w:rPr>
                <w:i/>
              </w:rPr>
              <w:t>’</w:t>
            </w:r>
            <w:r w:rsidRPr="00CC779D">
              <w:rPr>
                <w:i/>
              </w:rPr>
              <w:t xml:space="preserve"> episodes</w:t>
            </w:r>
          </w:p>
        </w:tc>
      </w:tr>
      <w:tr w:rsidR="00CC779D" w14:paraId="33B7A36A" w14:textId="77777777" w:rsidTr="00155799">
        <w:trPr>
          <w:cantSplit/>
        </w:trPr>
        <w:tc>
          <w:tcPr>
            <w:tcW w:w="2180" w:type="dxa"/>
          </w:tcPr>
          <w:p w14:paraId="440C4362" w14:textId="77777777" w:rsidR="00CC779D" w:rsidRDefault="00CC779D" w:rsidP="00CC779D">
            <w:pPr>
              <w:ind w:left="0"/>
            </w:pPr>
            <w:r>
              <w:t>Japan</w:t>
            </w:r>
          </w:p>
        </w:tc>
        <w:tc>
          <w:tcPr>
            <w:tcW w:w="2180" w:type="dxa"/>
          </w:tcPr>
          <w:p w14:paraId="2581EB62" w14:textId="032CC270" w:rsidR="00CC779D" w:rsidRDefault="0024172C" w:rsidP="00CC779D">
            <w:pPr>
              <w:ind w:left="0"/>
            </w:pPr>
            <w:r>
              <w:t>27 </w:t>
            </w:r>
            <w:r w:rsidR="00CC779D">
              <w:t>February 2019</w:t>
            </w:r>
          </w:p>
        </w:tc>
        <w:tc>
          <w:tcPr>
            <w:tcW w:w="2180" w:type="dxa"/>
          </w:tcPr>
          <w:p w14:paraId="042FCDD8" w14:textId="7EC8A980" w:rsidR="00CC779D" w:rsidRDefault="0024172C" w:rsidP="00CC779D">
            <w:pPr>
              <w:ind w:left="0"/>
            </w:pPr>
            <w:r>
              <w:t>Approved on 29 </w:t>
            </w:r>
            <w:r w:rsidR="00CC779D">
              <w:t>June 2020</w:t>
            </w:r>
          </w:p>
        </w:tc>
        <w:tc>
          <w:tcPr>
            <w:tcW w:w="2180" w:type="dxa"/>
          </w:tcPr>
          <w:p w14:paraId="38F896A2" w14:textId="77777777" w:rsidR="00CC779D" w:rsidRPr="00CC779D" w:rsidRDefault="00CC779D" w:rsidP="00CC779D">
            <w:pPr>
              <w:ind w:left="0"/>
              <w:rPr>
                <w:i/>
              </w:rPr>
            </w:pPr>
            <w:r w:rsidRPr="00CC779D">
              <w:rPr>
                <w:i/>
              </w:rPr>
              <w:t>Improvement of the end-of-dose motor fluctuations (wearing-off phenomenon) of Parkinson's disease in combin</w:t>
            </w:r>
            <w:r>
              <w:rPr>
                <w:i/>
              </w:rPr>
              <w:t>ation with levodopa–</w:t>
            </w:r>
            <w:r w:rsidRPr="00CC779D">
              <w:rPr>
                <w:i/>
              </w:rPr>
              <w:t>carbidopa or levodopa–</w:t>
            </w:r>
            <w:proofErr w:type="spellStart"/>
            <w:r w:rsidRPr="00CC779D">
              <w:rPr>
                <w:i/>
              </w:rPr>
              <w:t>benserazide</w:t>
            </w:r>
            <w:proofErr w:type="spellEnd"/>
            <w:r w:rsidRPr="00CC779D">
              <w:rPr>
                <w:i/>
              </w:rPr>
              <w:t xml:space="preserve"> hydrochloride.</w:t>
            </w:r>
          </w:p>
        </w:tc>
      </w:tr>
      <w:tr w:rsidR="00CC779D" w14:paraId="355F31D8" w14:textId="77777777" w:rsidTr="00006FAB">
        <w:tc>
          <w:tcPr>
            <w:tcW w:w="2180" w:type="dxa"/>
          </w:tcPr>
          <w:p w14:paraId="2704D5D4" w14:textId="77777777" w:rsidR="00CC779D" w:rsidRDefault="00CC779D" w:rsidP="00CC779D">
            <w:pPr>
              <w:ind w:left="0"/>
            </w:pPr>
            <w:r>
              <w:t>South Korea</w:t>
            </w:r>
          </w:p>
        </w:tc>
        <w:tc>
          <w:tcPr>
            <w:tcW w:w="2180" w:type="dxa"/>
          </w:tcPr>
          <w:p w14:paraId="7F8BE1F4" w14:textId="209446B9" w:rsidR="00CC779D" w:rsidRDefault="0024172C" w:rsidP="00CC779D">
            <w:pPr>
              <w:ind w:left="0"/>
            </w:pPr>
            <w:r>
              <w:t>1 </w:t>
            </w:r>
            <w:r w:rsidR="00CC779D">
              <w:t>August 2018</w:t>
            </w:r>
          </w:p>
        </w:tc>
        <w:tc>
          <w:tcPr>
            <w:tcW w:w="2180" w:type="dxa"/>
          </w:tcPr>
          <w:p w14:paraId="346859D5" w14:textId="78548419" w:rsidR="00CC779D" w:rsidRDefault="0024172C" w:rsidP="00CC779D">
            <w:pPr>
              <w:ind w:left="0"/>
            </w:pPr>
            <w:r>
              <w:t>Approved on 26 </w:t>
            </w:r>
            <w:r w:rsidR="00CC779D">
              <w:t>November 2019</w:t>
            </w:r>
          </w:p>
        </w:tc>
        <w:tc>
          <w:tcPr>
            <w:tcW w:w="2180" w:type="dxa"/>
          </w:tcPr>
          <w:p w14:paraId="224B1487" w14:textId="77777777" w:rsidR="00CC779D" w:rsidRPr="00CC779D" w:rsidRDefault="00CC779D" w:rsidP="00CC779D">
            <w:pPr>
              <w:ind w:left="0"/>
              <w:rPr>
                <w:i/>
              </w:rPr>
            </w:pPr>
            <w:r w:rsidRPr="00CC779D">
              <w:rPr>
                <w:i/>
              </w:rPr>
              <w:t>O</w:t>
            </w:r>
            <w:r>
              <w:rPr>
                <w:i/>
              </w:rPr>
              <w:t>ngentys</w:t>
            </w:r>
            <w:r w:rsidRPr="00CC779D">
              <w:rPr>
                <w:i/>
              </w:rPr>
              <w:t xml:space="preserve"> is indicated as adjunctive therapy to preparations of levodopa/ DOPA decarboxylase inhibitors (DDCI) in adult patients with Parkinson’s disease and end-of-dose motor fluctuations who cannot be stabilised on those combinations.</w:t>
            </w:r>
          </w:p>
        </w:tc>
      </w:tr>
    </w:tbl>
    <w:p w14:paraId="20080B28" w14:textId="77777777" w:rsidR="008E7846" w:rsidRDefault="008E7846" w:rsidP="00940A89">
      <w:pPr>
        <w:pStyle w:val="Heading3"/>
      </w:pPr>
      <w:bookmarkStart w:id="23" w:name="_Toc64901246"/>
      <w:r>
        <w:t>Product Information</w:t>
      </w:r>
      <w:bookmarkEnd w:id="21"/>
      <w:bookmarkEnd w:id="22"/>
      <w:bookmarkEnd w:id="23"/>
    </w:p>
    <w:p w14:paraId="6FA0AF48" w14:textId="77777777" w:rsidR="00940A89" w:rsidRDefault="00057BD0" w:rsidP="00940A89">
      <w:bookmarkStart w:id="24" w:name="_Toc247691506"/>
      <w:bookmarkStart w:id="25" w:name="_Toc314842487"/>
      <w:r>
        <w:t>The Product Information</w:t>
      </w:r>
      <w:r w:rsidR="006136D7" w:rsidRPr="00940A89">
        <w:t xml:space="preserve"> </w:t>
      </w:r>
      <w:r w:rsidR="006136D7">
        <w:t xml:space="preserve">approved with the submission which is described in </w:t>
      </w:r>
      <w:r w:rsidR="006136D7" w:rsidRPr="00940A89">
        <w:t xml:space="preserve">this AusPAR can be found as Attachment 1. For the most recent </w:t>
      </w:r>
      <w:r w:rsidR="006136D7">
        <w:t>PI,</w:t>
      </w:r>
      <w:r w:rsidR="006136D7" w:rsidRPr="00940A89">
        <w:t xml:space="preserve"> ple</w:t>
      </w:r>
      <w:r w:rsidR="006136D7">
        <w:t>ase refer to the TGA website</w:t>
      </w:r>
      <w:r w:rsidR="006136D7" w:rsidRPr="00441C3F">
        <w:t xml:space="preserve"> at </w:t>
      </w:r>
      <w:r w:rsidR="00441C3F" w:rsidRPr="00441C3F">
        <w:t>&lt;</w:t>
      </w:r>
      <w:hyperlink r:id="rId17" w:history="1">
        <w:r w:rsidR="00441C3F" w:rsidRPr="00441C3F">
          <w:rPr>
            <w:rStyle w:val="Hyperlink"/>
          </w:rPr>
          <w:t>https://www.tga.gov.au/product-information-pi</w:t>
        </w:r>
      </w:hyperlink>
      <w:r w:rsidR="00441C3F">
        <w:t>&gt;</w:t>
      </w:r>
      <w:r w:rsidR="00940A89" w:rsidRPr="00940A89">
        <w:t>.</w:t>
      </w:r>
    </w:p>
    <w:p w14:paraId="02714E61" w14:textId="77777777" w:rsidR="00500337" w:rsidRDefault="00500337" w:rsidP="00500337">
      <w:pPr>
        <w:pStyle w:val="Heading2"/>
      </w:pPr>
      <w:bookmarkStart w:id="26" w:name="_Toc504480011"/>
      <w:bookmarkStart w:id="27" w:name="_Toc64901247"/>
      <w:r>
        <w:t>II. Registration timeline</w:t>
      </w:r>
      <w:bookmarkEnd w:id="26"/>
      <w:bookmarkEnd w:id="27"/>
    </w:p>
    <w:p w14:paraId="4FD87E08" w14:textId="77777777" w:rsidR="00500337" w:rsidRDefault="00500337" w:rsidP="00500337">
      <w:r>
        <w:t>The following table captures the key steps and dates for this application and which are detailed and discussed in this AusPAR.</w:t>
      </w:r>
    </w:p>
    <w:p w14:paraId="3F67EBD9" w14:textId="77777777" w:rsidR="00500337" w:rsidRPr="00377BD4" w:rsidRDefault="00A44F00" w:rsidP="003B0693">
      <w:pPr>
        <w:pStyle w:val="TableTitle"/>
      </w:pPr>
      <w:r w:rsidRPr="00A44F00">
        <w:t xml:space="preserve">Table </w:t>
      </w:r>
      <w:fldSimple w:instr=" SEQ Table \* ARABIC ">
        <w:r w:rsidR="00A55428">
          <w:rPr>
            <w:noProof/>
          </w:rPr>
          <w:t>2</w:t>
        </w:r>
      </w:fldSimple>
      <w:r w:rsidR="00006FAB" w:rsidRPr="00A44F00">
        <w:t>:</w:t>
      </w:r>
      <w:r w:rsidR="006A58A8" w:rsidRPr="00A44F00">
        <w:t xml:space="preserve"> </w:t>
      </w:r>
      <w:r w:rsidR="003B0693">
        <w:t>Timeline for Submission PM-2019-03218-1-1</w:t>
      </w:r>
    </w:p>
    <w:tbl>
      <w:tblPr>
        <w:tblStyle w:val="TableTGAblue"/>
        <w:tblW w:w="0" w:type="auto"/>
        <w:tblLook w:val="04A0" w:firstRow="1" w:lastRow="0" w:firstColumn="1" w:lastColumn="0" w:noHBand="0" w:noVBand="1"/>
      </w:tblPr>
      <w:tblGrid>
        <w:gridCol w:w="5949"/>
        <w:gridCol w:w="2545"/>
      </w:tblGrid>
      <w:tr w:rsidR="00500337" w14:paraId="669481B0" w14:textId="77777777" w:rsidTr="00540B93">
        <w:trPr>
          <w:cnfStyle w:val="100000000000" w:firstRow="1" w:lastRow="0" w:firstColumn="0" w:lastColumn="0" w:oddVBand="0" w:evenVBand="0" w:oddHBand="0" w:evenHBand="0" w:firstRowFirstColumn="0" w:firstRowLastColumn="0" w:lastRowFirstColumn="0" w:lastRowLastColumn="0"/>
          <w:cantSplit/>
        </w:trPr>
        <w:tc>
          <w:tcPr>
            <w:tcW w:w="5949" w:type="dxa"/>
            <w:tcBorders>
              <w:top w:val="single" w:sz="4" w:space="0" w:color="auto"/>
              <w:left w:val="single" w:sz="4" w:space="0" w:color="auto"/>
              <w:bottom w:val="single" w:sz="4" w:space="0" w:color="auto"/>
              <w:right w:val="single" w:sz="4" w:space="0" w:color="auto"/>
            </w:tcBorders>
          </w:tcPr>
          <w:p w14:paraId="10CFC6BE" w14:textId="77777777" w:rsidR="00500337" w:rsidRDefault="00500337" w:rsidP="00500337">
            <w:pPr>
              <w:ind w:left="0" w:right="0"/>
            </w:pPr>
            <w:r>
              <w:t>Description</w:t>
            </w:r>
          </w:p>
        </w:tc>
        <w:tc>
          <w:tcPr>
            <w:tcW w:w="2545" w:type="dxa"/>
            <w:tcBorders>
              <w:top w:val="single" w:sz="4" w:space="0" w:color="auto"/>
              <w:left w:val="single" w:sz="4" w:space="0" w:color="auto"/>
              <w:bottom w:val="single" w:sz="4" w:space="0" w:color="auto"/>
              <w:right w:val="single" w:sz="4" w:space="0" w:color="auto"/>
            </w:tcBorders>
          </w:tcPr>
          <w:p w14:paraId="0E081183" w14:textId="77777777" w:rsidR="00500337" w:rsidRDefault="00500337" w:rsidP="00500337">
            <w:pPr>
              <w:ind w:left="0" w:right="0"/>
            </w:pPr>
            <w:r>
              <w:t>Date</w:t>
            </w:r>
          </w:p>
        </w:tc>
      </w:tr>
      <w:tr w:rsidR="00500337" w14:paraId="4C367CEB" w14:textId="77777777" w:rsidTr="00540B93">
        <w:tc>
          <w:tcPr>
            <w:tcW w:w="5949" w:type="dxa"/>
            <w:tcBorders>
              <w:top w:val="single" w:sz="4" w:space="0" w:color="auto"/>
            </w:tcBorders>
          </w:tcPr>
          <w:p w14:paraId="6A40387E" w14:textId="77777777" w:rsidR="00500337" w:rsidRDefault="00500337" w:rsidP="00500337">
            <w:pPr>
              <w:ind w:left="0" w:right="0"/>
            </w:pPr>
            <w:r>
              <w:t>Submission dossier accepted and first round evaluation commenced</w:t>
            </w:r>
          </w:p>
        </w:tc>
        <w:tc>
          <w:tcPr>
            <w:tcW w:w="2545" w:type="dxa"/>
            <w:tcBorders>
              <w:top w:val="single" w:sz="4" w:space="0" w:color="auto"/>
            </w:tcBorders>
          </w:tcPr>
          <w:p w14:paraId="3CC427C5" w14:textId="77777777" w:rsidR="00500337" w:rsidRDefault="003B0693" w:rsidP="00500337">
            <w:pPr>
              <w:ind w:left="0" w:right="0"/>
            </w:pPr>
            <w:r>
              <w:t>10 September 2019</w:t>
            </w:r>
          </w:p>
        </w:tc>
      </w:tr>
      <w:tr w:rsidR="00500337" w14:paraId="116ECB23" w14:textId="77777777" w:rsidTr="00540B93">
        <w:tc>
          <w:tcPr>
            <w:tcW w:w="5949" w:type="dxa"/>
          </w:tcPr>
          <w:p w14:paraId="616320BB" w14:textId="77777777" w:rsidR="00500337" w:rsidRDefault="00500337" w:rsidP="00500337">
            <w:pPr>
              <w:ind w:left="0" w:right="0"/>
            </w:pPr>
            <w:r>
              <w:t>First round evaluation completed</w:t>
            </w:r>
          </w:p>
        </w:tc>
        <w:tc>
          <w:tcPr>
            <w:tcW w:w="2545" w:type="dxa"/>
          </w:tcPr>
          <w:p w14:paraId="32EB8C36" w14:textId="77777777" w:rsidR="00500337" w:rsidRDefault="003B0693" w:rsidP="00500337">
            <w:pPr>
              <w:ind w:left="0" w:right="0"/>
            </w:pPr>
            <w:r>
              <w:t>23 March 2020</w:t>
            </w:r>
          </w:p>
        </w:tc>
      </w:tr>
      <w:tr w:rsidR="00500337" w14:paraId="2B0BF09A" w14:textId="77777777" w:rsidTr="00540B93">
        <w:tc>
          <w:tcPr>
            <w:tcW w:w="5949" w:type="dxa"/>
          </w:tcPr>
          <w:p w14:paraId="6273B72F" w14:textId="77777777" w:rsidR="00500337" w:rsidRDefault="00500337" w:rsidP="00500337">
            <w:pPr>
              <w:ind w:left="0" w:right="0"/>
            </w:pPr>
            <w:r>
              <w:t>Sponsor provides responses on questions raised in first round evaluation</w:t>
            </w:r>
          </w:p>
        </w:tc>
        <w:tc>
          <w:tcPr>
            <w:tcW w:w="2545" w:type="dxa"/>
          </w:tcPr>
          <w:p w14:paraId="0C476C21" w14:textId="77777777" w:rsidR="00500337" w:rsidRDefault="003B0693" w:rsidP="00500337">
            <w:pPr>
              <w:ind w:left="0" w:right="0"/>
            </w:pPr>
            <w:r>
              <w:t>11 May 2020</w:t>
            </w:r>
          </w:p>
        </w:tc>
      </w:tr>
      <w:tr w:rsidR="00500337" w14:paraId="78D9E3E1" w14:textId="77777777" w:rsidTr="00540B93">
        <w:tc>
          <w:tcPr>
            <w:tcW w:w="5949" w:type="dxa"/>
          </w:tcPr>
          <w:p w14:paraId="041A09C8" w14:textId="77777777" w:rsidR="00500337" w:rsidRDefault="00500337" w:rsidP="00500337">
            <w:pPr>
              <w:ind w:left="0" w:right="0"/>
            </w:pPr>
            <w:r>
              <w:t>Second round evaluation completed</w:t>
            </w:r>
          </w:p>
        </w:tc>
        <w:tc>
          <w:tcPr>
            <w:tcW w:w="2545" w:type="dxa"/>
          </w:tcPr>
          <w:p w14:paraId="75F5FC38" w14:textId="77777777" w:rsidR="00500337" w:rsidRDefault="003B0693" w:rsidP="00500337">
            <w:pPr>
              <w:ind w:left="0" w:right="0"/>
            </w:pPr>
            <w:r>
              <w:t>18 June 2020</w:t>
            </w:r>
          </w:p>
        </w:tc>
      </w:tr>
      <w:tr w:rsidR="00500337" w14:paraId="78EF0FB7" w14:textId="77777777" w:rsidTr="00540B93">
        <w:tc>
          <w:tcPr>
            <w:tcW w:w="5949" w:type="dxa"/>
          </w:tcPr>
          <w:p w14:paraId="5A083289" w14:textId="77777777" w:rsidR="00500337" w:rsidRDefault="00500337" w:rsidP="00500337">
            <w:pPr>
              <w:ind w:left="0" w:right="0"/>
            </w:pPr>
            <w:r>
              <w:t>Delegate’s Overall benefit-risk assessment and request for Advisory Committee advice</w:t>
            </w:r>
          </w:p>
        </w:tc>
        <w:tc>
          <w:tcPr>
            <w:tcW w:w="2545" w:type="dxa"/>
          </w:tcPr>
          <w:p w14:paraId="07879F18" w14:textId="77777777" w:rsidR="00500337" w:rsidRDefault="003B0693" w:rsidP="00500337">
            <w:pPr>
              <w:ind w:left="0" w:right="0"/>
            </w:pPr>
            <w:r>
              <w:t>2 July 2020</w:t>
            </w:r>
          </w:p>
        </w:tc>
      </w:tr>
      <w:tr w:rsidR="00500337" w14:paraId="6C06A8DD" w14:textId="77777777" w:rsidTr="00540B93">
        <w:tc>
          <w:tcPr>
            <w:tcW w:w="5949" w:type="dxa"/>
          </w:tcPr>
          <w:p w14:paraId="063AE1EF" w14:textId="77777777" w:rsidR="00500337" w:rsidRDefault="00500337" w:rsidP="00500337">
            <w:pPr>
              <w:ind w:left="0" w:right="0"/>
            </w:pPr>
            <w:r>
              <w:t>Sponsor’s pre-Advisory Committee response</w:t>
            </w:r>
          </w:p>
        </w:tc>
        <w:tc>
          <w:tcPr>
            <w:tcW w:w="2545" w:type="dxa"/>
          </w:tcPr>
          <w:p w14:paraId="1BFA4A72" w14:textId="77777777" w:rsidR="00500337" w:rsidRDefault="00A44F00" w:rsidP="00500337">
            <w:pPr>
              <w:ind w:left="0" w:right="0"/>
            </w:pPr>
            <w:r>
              <w:t>23 July 2020</w:t>
            </w:r>
          </w:p>
        </w:tc>
      </w:tr>
      <w:tr w:rsidR="00500337" w14:paraId="58B31C73" w14:textId="77777777" w:rsidTr="00540B93">
        <w:tc>
          <w:tcPr>
            <w:tcW w:w="5949" w:type="dxa"/>
          </w:tcPr>
          <w:p w14:paraId="568921FE" w14:textId="77777777" w:rsidR="00500337" w:rsidRDefault="00500337" w:rsidP="00500337">
            <w:pPr>
              <w:ind w:left="0" w:right="0"/>
            </w:pPr>
            <w:r>
              <w:t>Advisory Committee meeting</w:t>
            </w:r>
          </w:p>
        </w:tc>
        <w:tc>
          <w:tcPr>
            <w:tcW w:w="2545" w:type="dxa"/>
          </w:tcPr>
          <w:p w14:paraId="65E9E2EA" w14:textId="77777777" w:rsidR="00500337" w:rsidRDefault="003B0693" w:rsidP="00500337">
            <w:pPr>
              <w:ind w:left="0" w:right="0"/>
            </w:pPr>
            <w:r>
              <w:t>6 and 7 August 2020</w:t>
            </w:r>
          </w:p>
        </w:tc>
      </w:tr>
      <w:tr w:rsidR="00500337" w14:paraId="27378BB6" w14:textId="77777777" w:rsidTr="00540B93">
        <w:tc>
          <w:tcPr>
            <w:tcW w:w="5949" w:type="dxa"/>
          </w:tcPr>
          <w:p w14:paraId="6A5741C4" w14:textId="77777777" w:rsidR="00500337" w:rsidRDefault="00500337" w:rsidP="00500337">
            <w:pPr>
              <w:ind w:left="0" w:right="0"/>
            </w:pPr>
            <w:r>
              <w:t>Registration decision (Outcome)</w:t>
            </w:r>
          </w:p>
        </w:tc>
        <w:tc>
          <w:tcPr>
            <w:tcW w:w="2545" w:type="dxa"/>
          </w:tcPr>
          <w:p w14:paraId="3082DBD0" w14:textId="77777777" w:rsidR="00500337" w:rsidRDefault="003B0693" w:rsidP="00500337">
            <w:pPr>
              <w:ind w:left="0" w:right="0"/>
            </w:pPr>
            <w:r>
              <w:t>18 September 2020</w:t>
            </w:r>
          </w:p>
        </w:tc>
      </w:tr>
      <w:tr w:rsidR="00500337" w14:paraId="2C844218" w14:textId="77777777" w:rsidTr="00540B93">
        <w:tc>
          <w:tcPr>
            <w:tcW w:w="5949" w:type="dxa"/>
          </w:tcPr>
          <w:p w14:paraId="18F79418" w14:textId="77777777" w:rsidR="00500337" w:rsidRDefault="00500337" w:rsidP="00500337">
            <w:pPr>
              <w:ind w:left="0" w:right="0"/>
            </w:pPr>
            <w:r>
              <w:t xml:space="preserve">Completion of administrative activities and registration on </w:t>
            </w:r>
            <w:r w:rsidR="00006FAB">
              <w:t xml:space="preserve">the </w:t>
            </w:r>
            <w:r>
              <w:t>ARTG</w:t>
            </w:r>
          </w:p>
        </w:tc>
        <w:tc>
          <w:tcPr>
            <w:tcW w:w="2545" w:type="dxa"/>
          </w:tcPr>
          <w:p w14:paraId="6CF9216D" w14:textId="77777777" w:rsidR="00500337" w:rsidRDefault="003B0693" w:rsidP="00500337">
            <w:pPr>
              <w:ind w:left="0" w:right="0"/>
            </w:pPr>
            <w:r>
              <w:t>23 September 2020</w:t>
            </w:r>
          </w:p>
        </w:tc>
      </w:tr>
      <w:tr w:rsidR="00500337" w14:paraId="10F02464" w14:textId="77777777" w:rsidTr="00540B93">
        <w:tc>
          <w:tcPr>
            <w:tcW w:w="5949" w:type="dxa"/>
          </w:tcPr>
          <w:p w14:paraId="68E850FB" w14:textId="77777777" w:rsidR="00500337" w:rsidRDefault="00500337" w:rsidP="00500337">
            <w:pPr>
              <w:ind w:left="0" w:right="0"/>
            </w:pPr>
            <w:r>
              <w:t>Number of working days from submission dossier acceptance to registration decision*</w:t>
            </w:r>
          </w:p>
        </w:tc>
        <w:tc>
          <w:tcPr>
            <w:tcW w:w="2545" w:type="dxa"/>
          </w:tcPr>
          <w:p w14:paraId="3377AB37" w14:textId="77777777" w:rsidR="00500337" w:rsidRDefault="003B0693" w:rsidP="00500337">
            <w:pPr>
              <w:ind w:left="0" w:right="0"/>
            </w:pPr>
            <w:r>
              <w:t>222</w:t>
            </w:r>
          </w:p>
        </w:tc>
      </w:tr>
    </w:tbl>
    <w:p w14:paraId="67B0C7C6" w14:textId="77777777" w:rsidR="00500337" w:rsidRDefault="00500337" w:rsidP="00500337">
      <w:pPr>
        <w:pStyle w:val="TableDescription"/>
      </w:pPr>
      <w:r>
        <w:t>*</w:t>
      </w:r>
      <w:r w:rsidR="00BF3774" w:rsidRPr="00BF3774">
        <w:t xml:space="preserve">Statutory </w:t>
      </w:r>
      <w:r>
        <w:t>timeframe for standard applications is 2</w:t>
      </w:r>
      <w:r w:rsidR="00BF3774">
        <w:t>55</w:t>
      </w:r>
      <w:r w:rsidR="003B0693">
        <w:t xml:space="preserve"> working days</w:t>
      </w:r>
    </w:p>
    <w:p w14:paraId="03ECE0A8" w14:textId="77777777" w:rsidR="008E7846" w:rsidRPr="00792A32" w:rsidRDefault="00456765" w:rsidP="008E7846">
      <w:pPr>
        <w:pStyle w:val="Heading2"/>
      </w:pPr>
      <w:bookmarkStart w:id="28" w:name="_Toc196046504"/>
      <w:bookmarkStart w:id="29" w:name="_Toc247691527"/>
      <w:bookmarkStart w:id="30" w:name="_Toc314842510"/>
      <w:bookmarkStart w:id="31" w:name="_Toc163441390"/>
      <w:bookmarkStart w:id="32" w:name="_Toc64901248"/>
      <w:bookmarkEnd w:id="24"/>
      <w:bookmarkEnd w:id="25"/>
      <w:bookmarkEnd w:id="1"/>
      <w:r>
        <w:t>I</w:t>
      </w:r>
      <w:r w:rsidR="00DA64CB">
        <w:t>I</w:t>
      </w:r>
      <w:r w:rsidR="008E7846">
        <w:t xml:space="preserve">I. </w:t>
      </w:r>
      <w:r w:rsidR="00006FAB" w:rsidRPr="00006FAB">
        <w:t xml:space="preserve">Submission overview </w:t>
      </w:r>
      <w:r w:rsidR="008E7846" w:rsidRPr="00792A32">
        <w:t xml:space="preserve">and </w:t>
      </w:r>
      <w:r w:rsidR="008E7846">
        <w:t>r</w:t>
      </w:r>
      <w:r w:rsidR="008E7846" w:rsidRPr="00792A32">
        <w:t>isk/</w:t>
      </w:r>
      <w:r w:rsidR="008E7846">
        <w:t>b</w:t>
      </w:r>
      <w:r w:rsidR="008E7846" w:rsidRPr="00792A32">
        <w:t xml:space="preserve">enefit </w:t>
      </w:r>
      <w:r w:rsidR="008E7846">
        <w:t>a</w:t>
      </w:r>
      <w:r w:rsidR="008E7846" w:rsidRPr="00792A32">
        <w:t>ssessment</w:t>
      </w:r>
      <w:bookmarkEnd w:id="28"/>
      <w:bookmarkEnd w:id="29"/>
      <w:bookmarkEnd w:id="30"/>
      <w:bookmarkEnd w:id="32"/>
    </w:p>
    <w:p w14:paraId="31734BD3" w14:textId="77777777" w:rsidR="00006FAB" w:rsidRDefault="00006FAB" w:rsidP="00006FAB">
      <w:bookmarkStart w:id="33" w:name="_Toc247691528"/>
      <w:r>
        <w:t>The submission was summarised in the following Delegate’s overview and recommendations.</w:t>
      </w:r>
    </w:p>
    <w:p w14:paraId="2F30995F" w14:textId="77777777" w:rsidR="008E7846" w:rsidRDefault="008E7846" w:rsidP="008E7846">
      <w:pPr>
        <w:pStyle w:val="Heading3"/>
      </w:pPr>
      <w:bookmarkStart w:id="34" w:name="_Toc314842511"/>
      <w:bookmarkStart w:id="35" w:name="_Toc64901249"/>
      <w:r>
        <w:t>Quality</w:t>
      </w:r>
      <w:bookmarkEnd w:id="33"/>
      <w:bookmarkEnd w:id="34"/>
      <w:bookmarkEnd w:id="35"/>
    </w:p>
    <w:p w14:paraId="7678A26E" w14:textId="1E36A5FC" w:rsidR="003335D8" w:rsidRDefault="003335D8" w:rsidP="003335D8">
      <w:pPr>
        <w:rPr>
          <w:lang w:eastAsia="ja-JP"/>
        </w:rPr>
      </w:pPr>
      <w:bookmarkStart w:id="36" w:name="_Toc314842512"/>
      <w:r>
        <w:rPr>
          <w:lang w:eastAsia="ja-JP"/>
        </w:rPr>
        <w:t>Approval was recommended for registration</w:t>
      </w:r>
      <w:r w:rsidRPr="006D5471">
        <w:rPr>
          <w:lang w:eastAsia="ja-JP"/>
        </w:rPr>
        <w:t xml:space="preserve"> from a pharmaceutical chemistry perspective.</w:t>
      </w:r>
    </w:p>
    <w:p w14:paraId="318A89D1" w14:textId="352C7CDE" w:rsidR="008267DC" w:rsidRDefault="008267DC" w:rsidP="003335D8">
      <w:pPr>
        <w:rPr>
          <w:lang w:eastAsia="ja-JP"/>
        </w:rPr>
      </w:pPr>
      <w:r>
        <w:rPr>
          <w:lang w:eastAsia="ja-JP"/>
        </w:rPr>
        <w:t>The chemical structure of opicapone is shown in Figure 2, below.</w:t>
      </w:r>
    </w:p>
    <w:p w14:paraId="0CFC5CC3" w14:textId="77777777" w:rsidR="003335D8" w:rsidRDefault="003335D8" w:rsidP="003335D8">
      <w:pPr>
        <w:pStyle w:val="FigureTitle"/>
      </w:pPr>
      <w:r w:rsidRPr="003335D8">
        <w:t xml:space="preserve">Figure </w:t>
      </w:r>
      <w:fldSimple w:instr=" SEQ Figure \* ARABIC ">
        <w:r w:rsidR="00A55428">
          <w:rPr>
            <w:noProof/>
          </w:rPr>
          <w:t>2</w:t>
        </w:r>
      </w:fldSimple>
      <w:r w:rsidRPr="003335D8">
        <w:t>:</w:t>
      </w:r>
      <w:r>
        <w:t xml:space="preserve"> Chemical structure of opicapone</w:t>
      </w:r>
    </w:p>
    <w:p w14:paraId="487F4FA0" w14:textId="77777777" w:rsidR="003335D8" w:rsidRDefault="003335D8" w:rsidP="003335D8">
      <w:r w:rsidRPr="00ED023A">
        <w:rPr>
          <w:noProof/>
          <w:color w:val="FF0000"/>
          <w:lang w:eastAsia="en-AU"/>
        </w:rPr>
        <w:drawing>
          <wp:inline distT="0" distB="0" distL="0" distR="0" wp14:anchorId="6E998251" wp14:editId="1229462E">
            <wp:extent cx="2648309" cy="1217290"/>
            <wp:effectExtent l="0" t="0" r="0" b="2540"/>
            <wp:docPr id="3" name="Picture 3" descr="Chemical structure of opicap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0494" cy="1222891"/>
                    </a:xfrm>
                    <a:prstGeom prst="rect">
                      <a:avLst/>
                    </a:prstGeom>
                    <a:noFill/>
                    <a:ln>
                      <a:noFill/>
                    </a:ln>
                  </pic:spPr>
                </pic:pic>
              </a:graphicData>
            </a:graphic>
          </wp:inline>
        </w:drawing>
      </w:r>
    </w:p>
    <w:p w14:paraId="571E7C19" w14:textId="77777777" w:rsidR="003335D8" w:rsidRDefault="003335D8" w:rsidP="003335D8">
      <w:pPr>
        <w:rPr>
          <w:lang w:eastAsia="ja-JP"/>
        </w:rPr>
      </w:pPr>
      <w:r>
        <w:rPr>
          <w:lang w:eastAsia="ja-JP"/>
        </w:rPr>
        <w:t xml:space="preserve">Opicapone is manufactured by chemical synthesis using either </w:t>
      </w:r>
      <w:proofErr w:type="spellStart"/>
      <w:r>
        <w:rPr>
          <w:lang w:eastAsia="ja-JP"/>
        </w:rPr>
        <w:t>i</w:t>
      </w:r>
      <w:proofErr w:type="spellEnd"/>
      <w:r>
        <w:rPr>
          <w:lang w:eastAsia="ja-JP"/>
        </w:rPr>
        <w:t xml:space="preserve">) </w:t>
      </w:r>
      <w:r w:rsidRPr="004A2AC1">
        <w:rPr>
          <w:i/>
          <w:lang w:eastAsia="ja-JP"/>
        </w:rPr>
        <w:t xml:space="preserve">the standard process </w:t>
      </w:r>
      <w:r>
        <w:rPr>
          <w:lang w:eastAsia="ja-JP"/>
        </w:rPr>
        <w:t xml:space="preserve">(used in pivotal clinical batches of opicapone 50 mg capsule) or ii) </w:t>
      </w:r>
      <w:r w:rsidRPr="004A2AC1">
        <w:rPr>
          <w:i/>
          <w:lang w:eastAsia="ja-JP"/>
        </w:rPr>
        <w:t xml:space="preserve">the optimised process </w:t>
      </w:r>
      <w:r>
        <w:rPr>
          <w:lang w:eastAsia="ja-JP"/>
        </w:rPr>
        <w:t>(used in registration batches of opicapone 50 mg capsule).</w:t>
      </w:r>
    </w:p>
    <w:p w14:paraId="478BB628" w14:textId="77777777" w:rsidR="003335D8" w:rsidRDefault="003335D8" w:rsidP="003335D8">
      <w:pPr>
        <w:rPr>
          <w:lang w:eastAsia="ja-JP"/>
        </w:rPr>
      </w:pPr>
      <w:r>
        <w:rPr>
          <w:lang w:eastAsia="ja-JP"/>
        </w:rPr>
        <w:t>The difference between the standard process and optimised process relates to process parameters. The reagents and solvents used in both processes were the same. The qualities of opicapone obtained by both processes were comparable (including similar particle size distribution).</w:t>
      </w:r>
    </w:p>
    <w:p w14:paraId="55D7E5A9" w14:textId="77777777" w:rsidR="003335D8" w:rsidRDefault="003335D8" w:rsidP="003335D8">
      <w:pPr>
        <w:rPr>
          <w:lang w:eastAsia="ja-JP"/>
        </w:rPr>
      </w:pPr>
      <w:r>
        <w:rPr>
          <w:lang w:eastAsia="ja-JP"/>
        </w:rPr>
        <w:t>Opicapone manufactured by the optimised process will only be used in the finished product proposed for registration in Australia.</w:t>
      </w:r>
    </w:p>
    <w:p w14:paraId="56926906" w14:textId="77777777" w:rsidR="003335D8" w:rsidRPr="003335D8" w:rsidRDefault="003335D8" w:rsidP="003335D8">
      <w:pPr>
        <w:rPr>
          <w:lang w:eastAsia="ja-JP"/>
        </w:rPr>
      </w:pPr>
      <w:r>
        <w:rPr>
          <w:lang w:eastAsia="ja-JP"/>
        </w:rPr>
        <w:t>The Phase III</w:t>
      </w:r>
      <w:r w:rsidRPr="00356152">
        <w:rPr>
          <w:lang w:eastAsia="ja-JP"/>
        </w:rPr>
        <w:t xml:space="preserve"> formulation and the proposed formulation </w:t>
      </w:r>
      <w:r>
        <w:rPr>
          <w:lang w:eastAsia="ja-JP"/>
        </w:rPr>
        <w:t xml:space="preserve">for marketing were </w:t>
      </w:r>
      <w:r w:rsidRPr="00356152">
        <w:rPr>
          <w:lang w:eastAsia="ja-JP"/>
        </w:rPr>
        <w:t>demonstrated to be bioequivalent.</w:t>
      </w:r>
    </w:p>
    <w:p w14:paraId="49D3E2D8" w14:textId="77777777" w:rsidR="008E7846" w:rsidRDefault="008E7846" w:rsidP="008E7846">
      <w:pPr>
        <w:pStyle w:val="Heading3"/>
      </w:pPr>
      <w:bookmarkStart w:id="37" w:name="_Toc64901250"/>
      <w:r>
        <w:t>Nonclinical</w:t>
      </w:r>
      <w:bookmarkEnd w:id="36"/>
      <w:bookmarkEnd w:id="37"/>
    </w:p>
    <w:p w14:paraId="60B2663D" w14:textId="77777777" w:rsidR="003335D8" w:rsidRDefault="003335D8" w:rsidP="003335D8">
      <w:r>
        <w:t>There were no nonclinical objections to registration.</w:t>
      </w:r>
    </w:p>
    <w:p w14:paraId="37090FF9" w14:textId="551D3A8B" w:rsidR="003335D8" w:rsidRDefault="003335D8" w:rsidP="003335D8">
      <w:r>
        <w:t>There are no outstanding PI changes from a nonclinical perspective.</w:t>
      </w:r>
    </w:p>
    <w:p w14:paraId="71B686D1" w14:textId="6C01D6D9" w:rsidR="003335D8" w:rsidRDefault="005845BA" w:rsidP="00057BD0">
      <w:pPr>
        <w:pStyle w:val="ListBullet"/>
      </w:pPr>
      <w:r w:rsidRPr="00215489">
        <w:rPr>
          <w:lang w:val="en-US"/>
        </w:rPr>
        <w:t>Opicapone binds to human COMT with sub-</w:t>
      </w:r>
      <w:proofErr w:type="spellStart"/>
      <w:r w:rsidRPr="00215489">
        <w:rPr>
          <w:lang w:val="en-US"/>
        </w:rPr>
        <w:t>picomolar</w:t>
      </w:r>
      <w:proofErr w:type="spellEnd"/>
      <w:r w:rsidRPr="00215489">
        <w:rPr>
          <w:lang w:val="en-US"/>
        </w:rPr>
        <w:t xml:space="preserve"> affinity. </w:t>
      </w:r>
      <w:r w:rsidR="00651E60">
        <w:rPr>
          <w:lang w:val="en-US"/>
        </w:rPr>
        <w:t>Inhibition constant (</w:t>
      </w:r>
      <w:r w:rsidRPr="00215489">
        <w:rPr>
          <w:lang w:val="en-US"/>
        </w:rPr>
        <w:t>K</w:t>
      </w:r>
      <w:r w:rsidRPr="00215489">
        <w:rPr>
          <w:sz w:val="14"/>
          <w:szCs w:val="14"/>
          <w:lang w:val="en-US"/>
        </w:rPr>
        <w:t>i</w:t>
      </w:r>
      <w:r w:rsidR="00651E60">
        <w:rPr>
          <w:lang w:val="en-US"/>
        </w:rPr>
        <w:t>)) v</w:t>
      </w:r>
      <w:r w:rsidRPr="00215489">
        <w:rPr>
          <w:lang w:val="en-US"/>
        </w:rPr>
        <w:t xml:space="preserve">alues determined experimentally for human recombinant S-COMT were within the expected clinical plasma concentration range. </w:t>
      </w:r>
      <w:r w:rsidRPr="00215489">
        <w:rPr>
          <w:i/>
          <w:iCs/>
          <w:lang w:val="en-US"/>
        </w:rPr>
        <w:t>In vivo</w:t>
      </w:r>
      <w:r w:rsidRPr="00215489">
        <w:rPr>
          <w:lang w:val="en-US"/>
        </w:rPr>
        <w:t xml:space="preserve">, opicapone had a comparatively lower </w:t>
      </w:r>
      <w:r w:rsidR="00651E60">
        <w:rPr>
          <w:lang w:val="en-US"/>
        </w:rPr>
        <w:t xml:space="preserve">median </w:t>
      </w:r>
      <w:r w:rsidRPr="00215489">
        <w:rPr>
          <w:lang w:val="en-US"/>
        </w:rPr>
        <w:t>effective dose (ED</w:t>
      </w:r>
      <w:r w:rsidRPr="00155799">
        <w:rPr>
          <w:vertAlign w:val="subscript"/>
          <w:lang w:val="en-US"/>
        </w:rPr>
        <w:t>50</w:t>
      </w:r>
      <w:r w:rsidRPr="00215489">
        <w:rPr>
          <w:lang w:val="en-US"/>
        </w:rPr>
        <w:t>) of 0.9 mg/kg in rat liver COMT, longer recovery time of COMT activity, 48 h for hepatic COMT and 24 h for erythrocytes after single dosing than other approved COMT inhibitors</w:t>
      </w:r>
      <w:r>
        <w:rPr>
          <w:lang w:val="en-US"/>
        </w:rPr>
        <w:t>.</w:t>
      </w:r>
    </w:p>
    <w:p w14:paraId="025EE515" w14:textId="77777777" w:rsidR="003335D8" w:rsidRPr="00CC0673" w:rsidRDefault="003335D8" w:rsidP="00CC0673">
      <w:pPr>
        <w:pStyle w:val="ListBullet"/>
      </w:pPr>
      <w:r w:rsidRPr="00CC0673">
        <w:t xml:space="preserve">Based on </w:t>
      </w:r>
      <w:r w:rsidRPr="00CC0673">
        <w:rPr>
          <w:i/>
        </w:rPr>
        <w:t>in-vitro</w:t>
      </w:r>
      <w:r w:rsidRPr="00CC0673">
        <w:t xml:space="preserve"> studies, opicapone is a clinically relevant inhibitor of </w:t>
      </w:r>
      <w:r w:rsidR="00CC0673">
        <w:t>c</w:t>
      </w:r>
      <w:r w:rsidR="00CC0673" w:rsidRPr="00CC0673">
        <w:t>ytochrome P450</w:t>
      </w:r>
      <w:r w:rsidR="00CC0673">
        <w:t>;</w:t>
      </w:r>
      <w:bookmarkStart w:id="38" w:name="_Ref63826531"/>
      <w:r w:rsidR="00CC0673">
        <w:rPr>
          <w:rStyle w:val="FootnoteReference"/>
        </w:rPr>
        <w:footnoteReference w:id="9"/>
      </w:r>
      <w:bookmarkEnd w:id="38"/>
      <w:r w:rsidR="00CC0673">
        <w:t xml:space="preserve"> family 2 subfamily C m</w:t>
      </w:r>
      <w:r w:rsidR="00CC0673" w:rsidRPr="00CC0673">
        <w:t>ember 8 (</w:t>
      </w:r>
      <w:r w:rsidRPr="00CC0673">
        <w:t>CYP2C8</w:t>
      </w:r>
      <w:r w:rsidR="00CC0673" w:rsidRPr="00CC0673">
        <w:t>)</w:t>
      </w:r>
      <w:r w:rsidRPr="00CC0673">
        <w:t xml:space="preserve"> and </w:t>
      </w:r>
      <w:r w:rsidR="00CC0673" w:rsidRPr="00CC0673">
        <w:t>solute carrier organic anion transporter family member 1B1 (</w:t>
      </w:r>
      <w:r w:rsidRPr="00CC0673">
        <w:t>OATP1B1</w:t>
      </w:r>
      <w:r w:rsidR="00CC0673" w:rsidRPr="00CC0673">
        <w:t>)</w:t>
      </w:r>
      <w:r w:rsidRPr="00CC0673">
        <w:t>.</w:t>
      </w:r>
    </w:p>
    <w:p w14:paraId="0D871280" w14:textId="77777777" w:rsidR="003335D8" w:rsidRDefault="003335D8" w:rsidP="00CC0673">
      <w:pPr>
        <w:pStyle w:val="ListBullet"/>
      </w:pPr>
      <w:r>
        <w:t xml:space="preserve">No adverse effects on </w:t>
      </w:r>
      <w:r w:rsidR="00CC0673">
        <w:t>c</w:t>
      </w:r>
      <w:r w:rsidR="00CC0673" w:rsidRPr="00CC0673">
        <w:t>entral nervous system</w:t>
      </w:r>
      <w:r w:rsidR="00CC0673">
        <w:t xml:space="preserve"> (</w:t>
      </w:r>
      <w:r>
        <w:t>CNS</w:t>
      </w:r>
      <w:r w:rsidR="00CC0673">
        <w:t>)</w:t>
      </w:r>
      <w:r>
        <w:t>, respiratory, cardiovascular, gastrointestinal and renal systems were observed in the conducted safety pharmacology studies.</w:t>
      </w:r>
    </w:p>
    <w:p w14:paraId="11DD7100" w14:textId="77777777" w:rsidR="008E7846" w:rsidRDefault="003335D8" w:rsidP="003335D8">
      <w:pPr>
        <w:pStyle w:val="ListBullet"/>
      </w:pPr>
      <w:r>
        <w:t>The non-clinical studies predicted no effects on fertility and embryo-foetal toxicity in rats and rabbits.</w:t>
      </w:r>
      <w:r w:rsidR="00352881">
        <w:t xml:space="preserve"> However, Pregnancy Category B2;</w:t>
      </w:r>
      <w:r>
        <w:rPr>
          <w:rStyle w:val="FootnoteReference"/>
        </w:rPr>
        <w:footnoteReference w:id="10"/>
      </w:r>
      <w:r>
        <w:t xml:space="preserve"> was recommended as the rabbit study was not suitable for risk assessment due to higher sensitivity of maternal rabbits to low opicapone dosages.</w:t>
      </w:r>
    </w:p>
    <w:p w14:paraId="7744D5D4" w14:textId="77777777" w:rsidR="008E7846" w:rsidRDefault="008E7846" w:rsidP="008E7846">
      <w:pPr>
        <w:pStyle w:val="Heading3"/>
      </w:pPr>
      <w:bookmarkStart w:id="39" w:name="_Toc247691530"/>
      <w:bookmarkStart w:id="40" w:name="_Toc314842513"/>
      <w:bookmarkStart w:id="41" w:name="_Toc64901251"/>
      <w:r>
        <w:t>Clinical</w:t>
      </w:r>
      <w:bookmarkEnd w:id="39"/>
      <w:bookmarkEnd w:id="40"/>
      <w:bookmarkEnd w:id="41"/>
    </w:p>
    <w:p w14:paraId="26CC1523" w14:textId="65641BCE" w:rsidR="007B6132" w:rsidRPr="00774BDA" w:rsidRDefault="003335D8" w:rsidP="003335D8">
      <w:bookmarkStart w:id="42" w:name="_Toc314842514"/>
      <w:r w:rsidRPr="00774BDA">
        <w:t>The</w:t>
      </w:r>
      <w:r w:rsidR="00006FAB" w:rsidRPr="00774BDA">
        <w:t xml:space="preserve"> clinical dossier consisted </w:t>
      </w:r>
      <w:r w:rsidR="00652F7C" w:rsidRPr="00774BDA">
        <w:t>o</w:t>
      </w:r>
      <w:r w:rsidRPr="00774BDA">
        <w:t>f:</w:t>
      </w:r>
    </w:p>
    <w:p w14:paraId="7E53A193" w14:textId="21B23860" w:rsidR="00774BDA" w:rsidRPr="00774BDA" w:rsidRDefault="0024172C" w:rsidP="004A76DE">
      <w:pPr>
        <w:pStyle w:val="ListBullet"/>
      </w:pPr>
      <w:r>
        <w:t>t</w:t>
      </w:r>
      <w:r w:rsidR="00774BDA" w:rsidRPr="00774BDA">
        <w:t>wenty eight Phase I studies</w:t>
      </w:r>
      <w:r w:rsidR="007035BD">
        <w:t>;</w:t>
      </w:r>
    </w:p>
    <w:p w14:paraId="696A77A4" w14:textId="335C504F" w:rsidR="00774BDA" w:rsidRPr="00774BDA" w:rsidRDefault="0024172C" w:rsidP="00774BDA">
      <w:pPr>
        <w:pStyle w:val="ListBullet"/>
      </w:pPr>
      <w:r>
        <w:t>t</w:t>
      </w:r>
      <w:r w:rsidR="00352881">
        <w:t>wo Phase II studies</w:t>
      </w:r>
      <w:r w:rsidR="007035BD">
        <w:t>; and</w:t>
      </w:r>
    </w:p>
    <w:p w14:paraId="347CB681" w14:textId="1B245DEC" w:rsidR="00B7437F" w:rsidRPr="00774BDA" w:rsidRDefault="0024172C" w:rsidP="007035BD">
      <w:pPr>
        <w:pStyle w:val="ListBullet"/>
      </w:pPr>
      <w:r>
        <w:t>t</w:t>
      </w:r>
      <w:r w:rsidR="00774BDA" w:rsidRPr="00774BDA">
        <w:t>hree Phase III studies</w:t>
      </w:r>
      <w:r w:rsidR="007035BD">
        <w:t xml:space="preserve">, including </w:t>
      </w:r>
      <w:r w:rsidR="007035BD" w:rsidRPr="007035BD">
        <w:t>Study BIA-91067-301 and Study BIA- 91067-302, hereafter referred to as Study 301 and Study 302</w:t>
      </w:r>
      <w:r w:rsidR="007035BD">
        <w:t>.</w:t>
      </w:r>
    </w:p>
    <w:p w14:paraId="2F724A3B" w14:textId="77777777" w:rsidR="003335D8" w:rsidRDefault="003335D8" w:rsidP="003335D8">
      <w:pPr>
        <w:pStyle w:val="Heading4"/>
      </w:pPr>
      <w:r>
        <w:t>Pharmacology</w:t>
      </w:r>
    </w:p>
    <w:p w14:paraId="4E968B54" w14:textId="77777777" w:rsidR="003335D8" w:rsidRDefault="003335D8" w:rsidP="003335D8">
      <w:pPr>
        <w:pStyle w:val="Heading5"/>
      </w:pPr>
      <w:r>
        <w:t>Mechanism of action</w:t>
      </w:r>
    </w:p>
    <w:p w14:paraId="006C03D0" w14:textId="2E5C1139" w:rsidR="003335D8" w:rsidRDefault="0005617B" w:rsidP="003335D8">
      <w:r>
        <w:t>L-DOPA</w:t>
      </w:r>
      <w:r w:rsidR="003335D8">
        <w:t xml:space="preserve"> undergoes rapid metabolism by peripheral L-amino acid decarboxylase and COMT, and only 1% of an oral dose of </w:t>
      </w:r>
      <w:r>
        <w:t>L-DOPA</w:t>
      </w:r>
      <w:r w:rsidR="003335D8">
        <w:t xml:space="preserve"> actually reaches the brain. COMT usually converts about 90% of </w:t>
      </w:r>
      <w:r>
        <w:t>L-DOPA</w:t>
      </w:r>
      <w:r w:rsidR="003335D8">
        <w:t xml:space="preserve"> to </w:t>
      </w:r>
      <w:r w:rsidR="00CC0673">
        <w:t>3-OMD</w:t>
      </w:r>
      <w:r w:rsidR="003335D8">
        <w:t xml:space="preserve">, which competes with </w:t>
      </w:r>
      <w:r>
        <w:t>L-DOPA</w:t>
      </w:r>
      <w:r w:rsidR="003335D8">
        <w:t xml:space="preserve"> at the level of the blood-brain barrier for transport. Thus, COMT inhibitors are usually used to peripherally inhibit </w:t>
      </w:r>
      <w:r>
        <w:t>L-DOPA</w:t>
      </w:r>
      <w:r w:rsidR="003335D8">
        <w:t xml:space="preserve"> metabolism by reducing levels of 3-OMD and increasing the delivery of </w:t>
      </w:r>
      <w:r>
        <w:t>L-DOPA</w:t>
      </w:r>
      <w:r w:rsidR="003335D8">
        <w:t xml:space="preserve"> to the brain.</w:t>
      </w:r>
    </w:p>
    <w:p w14:paraId="4ADB046D" w14:textId="77777777" w:rsidR="003335D8" w:rsidRDefault="003335D8" w:rsidP="003335D8">
      <w:pPr>
        <w:pStyle w:val="Heading5"/>
      </w:pPr>
      <w:r>
        <w:t>Absorption</w:t>
      </w:r>
    </w:p>
    <w:p w14:paraId="4F45967A" w14:textId="37AC4AAC" w:rsidR="003335D8" w:rsidRDefault="003335D8" w:rsidP="003335D8">
      <w:r>
        <w:t xml:space="preserve">The </w:t>
      </w:r>
      <w:proofErr w:type="spellStart"/>
      <w:r>
        <w:t>micr</w:t>
      </w:r>
      <w:r w:rsidR="00CC0673">
        <w:t>onised</w:t>
      </w:r>
      <w:proofErr w:type="spellEnd"/>
      <w:r w:rsidR="00CC0673">
        <w:t xml:space="preserve"> formulation used in the Phase III</w:t>
      </w:r>
      <w:r>
        <w:t xml:space="preserve"> study was shown to have approximately twice the exposure of the non-</w:t>
      </w:r>
      <w:proofErr w:type="spellStart"/>
      <w:r>
        <w:t>micronised</w:t>
      </w:r>
      <w:proofErr w:type="spellEnd"/>
      <w:r>
        <w:t xml:space="preserve"> drug us</w:t>
      </w:r>
      <w:r w:rsidR="00CC0673">
        <w:t>ed in the vast majority of the Phase I and in the Phase II</w:t>
      </w:r>
      <w:r>
        <w:t xml:space="preserve"> study programme. Food was shown to have a large impact on the non</w:t>
      </w:r>
      <w:r w:rsidR="00A67A77">
        <w:noBreakHyphen/>
      </w:r>
      <w:proofErr w:type="spellStart"/>
      <w:r>
        <w:t>micronised</w:t>
      </w:r>
      <w:proofErr w:type="spellEnd"/>
      <w:r>
        <w:t xml:space="preserve"> formulation with a 68%, 53% and 51% decrease in </w:t>
      </w:r>
      <w:r w:rsidR="000808E7">
        <w:t>maximum</w:t>
      </w:r>
      <w:r w:rsidR="00A67A77">
        <w:t xml:space="preserve"> </w:t>
      </w:r>
      <w:r w:rsidR="000808E7">
        <w:t>concentration (</w:t>
      </w:r>
      <w:proofErr w:type="spellStart"/>
      <w:r>
        <w:t>C</w:t>
      </w:r>
      <w:r w:rsidRPr="00CC0673">
        <w:rPr>
          <w:vertAlign w:val="subscript"/>
        </w:rPr>
        <w:t>max</w:t>
      </w:r>
      <w:proofErr w:type="spellEnd"/>
      <w:r w:rsidR="000808E7">
        <w:t>)</w:t>
      </w:r>
      <w:r>
        <w:t xml:space="preserve">, </w:t>
      </w:r>
      <w:r w:rsidR="000808E7">
        <w:t>a</w:t>
      </w:r>
      <w:r w:rsidR="000808E7" w:rsidRPr="000808E7">
        <w:t xml:space="preserve">rea under the concentration time curve up to </w:t>
      </w:r>
      <w:r w:rsidR="00A67A77">
        <w:t>the last measurable concentration</w:t>
      </w:r>
      <w:r w:rsidR="000808E7" w:rsidRPr="000808E7">
        <w:t xml:space="preserve"> </w:t>
      </w:r>
      <w:r w:rsidR="000808E7">
        <w:t>(</w:t>
      </w:r>
      <w:r>
        <w:t>AUC</w:t>
      </w:r>
      <w:r w:rsidRPr="00CC0673">
        <w:rPr>
          <w:vertAlign w:val="subscript"/>
        </w:rPr>
        <w:t>0-t</w:t>
      </w:r>
      <w:r w:rsidR="000808E7">
        <w:t>)</w:t>
      </w:r>
      <w:r w:rsidRPr="00CC0673">
        <w:rPr>
          <w:vertAlign w:val="subscript"/>
        </w:rPr>
        <w:t xml:space="preserve"> </w:t>
      </w:r>
      <w:r>
        <w:t xml:space="preserve">and </w:t>
      </w:r>
      <w:r w:rsidR="00A67A77">
        <w:t xml:space="preserve">the </w:t>
      </w:r>
      <w:r w:rsidR="000808E7">
        <w:t>a</w:t>
      </w:r>
      <w:r w:rsidR="000808E7" w:rsidRPr="000808E7">
        <w:t xml:space="preserve">rea under the concentration time curve </w:t>
      </w:r>
      <w:r w:rsidR="00A67A77">
        <w:t>extrapolated to</w:t>
      </w:r>
      <w:r w:rsidR="000808E7" w:rsidRPr="000808E7">
        <w:t xml:space="preserve"> infinit</w:t>
      </w:r>
      <w:r w:rsidR="00A67A77">
        <w:t>y</w:t>
      </w:r>
      <w:r w:rsidR="000808E7" w:rsidRPr="000808E7">
        <w:t xml:space="preserve"> </w:t>
      </w:r>
      <w:r w:rsidR="000808E7">
        <w:t>(</w:t>
      </w:r>
      <w:r>
        <w:t>AUC</w:t>
      </w:r>
      <w:r w:rsidRPr="00CC0673">
        <w:rPr>
          <w:vertAlign w:val="subscript"/>
        </w:rPr>
        <w:t>0-∞</w:t>
      </w:r>
      <w:r w:rsidR="000808E7">
        <w:t>)</w:t>
      </w:r>
      <w:r>
        <w:t>, respectively, however there is no significant impact on efficacy.</w:t>
      </w:r>
    </w:p>
    <w:p w14:paraId="3BAA9333" w14:textId="721FC688" w:rsidR="003335D8" w:rsidRDefault="003335D8" w:rsidP="003335D8">
      <w:r>
        <w:t>A high and a moderate fat and calorie meal had a profound effect on the absorption of opicapone. Following administration of the capsule with non-</w:t>
      </w:r>
      <w:proofErr w:type="spellStart"/>
      <w:r w:rsidR="006B0838">
        <w:t>micronised</w:t>
      </w:r>
      <w:proofErr w:type="spellEnd"/>
      <w:r w:rsidR="0024172C">
        <w:t xml:space="preserve"> material 30 </w:t>
      </w:r>
      <w:r>
        <w:t xml:space="preserve">minutes after a high fat and calorie meal, the median </w:t>
      </w:r>
      <w:r w:rsidR="000808E7" w:rsidRPr="000808E7">
        <w:t>the time take</w:t>
      </w:r>
      <w:r w:rsidR="00A67A77">
        <w:t>n</w:t>
      </w:r>
      <w:r w:rsidR="000808E7" w:rsidRPr="000808E7">
        <w:t xml:space="preserve"> to reach </w:t>
      </w:r>
      <w:r w:rsidR="00A67A77">
        <w:t>maximum concentration</w:t>
      </w:r>
      <w:r w:rsidR="00A67A77" w:rsidRPr="000808E7">
        <w:t xml:space="preserve"> </w:t>
      </w:r>
      <w:r w:rsidR="000808E7">
        <w:t>(</w:t>
      </w:r>
      <w:proofErr w:type="spellStart"/>
      <w:r w:rsidR="006B0838">
        <w:t>T</w:t>
      </w:r>
      <w:r w:rsidRPr="000808E7">
        <w:rPr>
          <w:vertAlign w:val="subscript"/>
        </w:rPr>
        <w:t>max</w:t>
      </w:r>
      <w:proofErr w:type="spellEnd"/>
      <w:r w:rsidR="000808E7">
        <w:t>)</w:t>
      </w:r>
      <w:r>
        <w:t xml:space="preserve"> was prolonged from 1.5</w:t>
      </w:r>
      <w:r w:rsidR="000808E7">
        <w:t xml:space="preserve"> </w:t>
      </w:r>
      <w:r>
        <w:t>h</w:t>
      </w:r>
      <w:r w:rsidR="000808E7">
        <w:t>ours</w:t>
      </w:r>
      <w:r>
        <w:t xml:space="preserve"> to 4 h</w:t>
      </w:r>
      <w:r w:rsidR="000808E7">
        <w:t>ours</w:t>
      </w:r>
      <w:r>
        <w:t xml:space="preserve">. After administration in a fed state, the opicapone </w:t>
      </w:r>
      <w:proofErr w:type="spellStart"/>
      <w:r>
        <w:t>C</w:t>
      </w:r>
      <w:r w:rsidRPr="000808E7">
        <w:rPr>
          <w:vertAlign w:val="subscript"/>
        </w:rPr>
        <w:t>max</w:t>
      </w:r>
      <w:proofErr w:type="spellEnd"/>
      <w:r>
        <w:t xml:space="preserve"> was reduced by about 68% and the </w:t>
      </w:r>
      <w:r w:rsidR="000808E7">
        <w:t xml:space="preserve">area under the concentration time curve (AUC) </w:t>
      </w:r>
      <w:r>
        <w:t>by about 50%.</w:t>
      </w:r>
    </w:p>
    <w:p w14:paraId="19DDCCF1" w14:textId="77777777" w:rsidR="003335D8" w:rsidRDefault="003335D8" w:rsidP="003335D8">
      <w:pPr>
        <w:pStyle w:val="Heading5"/>
      </w:pPr>
      <w:r>
        <w:t>Bioavailability</w:t>
      </w:r>
    </w:p>
    <w:p w14:paraId="6D0C02FA" w14:textId="77777777" w:rsidR="003335D8" w:rsidRDefault="003335D8" w:rsidP="003335D8">
      <w:r>
        <w:t>The absolute bioavailability of opicapone has not been determined. After administrating it in a fasted state, the bioavailability of the non-</w:t>
      </w:r>
      <w:proofErr w:type="spellStart"/>
      <w:r w:rsidR="006B0838">
        <w:t>micronised</w:t>
      </w:r>
      <w:proofErr w:type="spellEnd"/>
      <w:r>
        <w:t xml:space="preserve"> formulation was approximately 50% (</w:t>
      </w:r>
      <w:proofErr w:type="spellStart"/>
      <w:r>
        <w:t>C</w:t>
      </w:r>
      <w:r w:rsidRPr="000808E7">
        <w:rPr>
          <w:vertAlign w:val="subscript"/>
        </w:rPr>
        <w:t>max</w:t>
      </w:r>
      <w:proofErr w:type="spellEnd"/>
      <w:r>
        <w:t xml:space="preserve"> 44%, AUC</w:t>
      </w:r>
      <w:r w:rsidRPr="000808E7">
        <w:rPr>
          <w:vertAlign w:val="subscript"/>
        </w:rPr>
        <w:t>0-∞</w:t>
      </w:r>
      <w:r>
        <w:t xml:space="preserve"> 57%) com</w:t>
      </w:r>
      <w:r w:rsidR="000808E7">
        <w:t xml:space="preserve">pared to the </w:t>
      </w:r>
      <w:proofErr w:type="spellStart"/>
      <w:r w:rsidR="006B0838">
        <w:t>micronised</w:t>
      </w:r>
      <w:proofErr w:type="spellEnd"/>
      <w:r w:rsidR="000808E7">
        <w:t xml:space="preserve"> Phase III</w:t>
      </w:r>
      <w:r>
        <w:t xml:space="preserve"> formulation.</w:t>
      </w:r>
    </w:p>
    <w:p w14:paraId="00DB3154" w14:textId="67BC530F" w:rsidR="003335D8" w:rsidRDefault="003335D8" w:rsidP="003335D8">
      <w:r>
        <w:t xml:space="preserve">For the </w:t>
      </w:r>
      <w:proofErr w:type="spellStart"/>
      <w:r>
        <w:t>micronised</w:t>
      </w:r>
      <w:proofErr w:type="spellEnd"/>
      <w:r>
        <w:t xml:space="preserve"> formulation, the </w:t>
      </w:r>
      <w:proofErr w:type="spellStart"/>
      <w:r w:rsidR="006B0838">
        <w:t>T</w:t>
      </w:r>
      <w:r w:rsidRPr="000808E7">
        <w:rPr>
          <w:vertAlign w:val="subscript"/>
        </w:rPr>
        <w:t>max</w:t>
      </w:r>
      <w:proofErr w:type="spellEnd"/>
      <w:r>
        <w:t xml:space="preserve"> was prolonged from 2</w:t>
      </w:r>
      <w:r w:rsidR="0024172C">
        <w:t> </w:t>
      </w:r>
      <w:r>
        <w:t>h</w:t>
      </w:r>
      <w:r w:rsidR="000808E7">
        <w:t>ours</w:t>
      </w:r>
      <w:r>
        <w:t xml:space="preserve"> to 6</w:t>
      </w:r>
      <w:r w:rsidR="0024172C">
        <w:t> </w:t>
      </w:r>
      <w:r>
        <w:t>h</w:t>
      </w:r>
      <w:r w:rsidR="000808E7">
        <w:t>ours</w:t>
      </w:r>
      <w:r>
        <w:t xml:space="preserve"> after administration in a fed state, </w:t>
      </w:r>
      <w:proofErr w:type="spellStart"/>
      <w:r>
        <w:t>C</w:t>
      </w:r>
      <w:r w:rsidRPr="000808E7">
        <w:rPr>
          <w:vertAlign w:val="subscript"/>
        </w:rPr>
        <w:t>max</w:t>
      </w:r>
      <w:proofErr w:type="spellEnd"/>
      <w:r>
        <w:t xml:space="preserve"> and AUC</w:t>
      </w:r>
      <w:r w:rsidRPr="000808E7">
        <w:rPr>
          <w:vertAlign w:val="subscript"/>
        </w:rPr>
        <w:t xml:space="preserve">0-t </w:t>
      </w:r>
      <w:r>
        <w:t xml:space="preserve">decreased by 62% and 31% respectively, while </w:t>
      </w:r>
      <w:r w:rsidR="00A67A77">
        <w:t xml:space="preserve">the area under the concentration time curve up to 24 hours </w:t>
      </w:r>
      <w:r>
        <w:t>AUC</w:t>
      </w:r>
      <w:r w:rsidRPr="000808E7">
        <w:rPr>
          <w:vertAlign w:val="subscript"/>
        </w:rPr>
        <w:t>0-24h</w:t>
      </w:r>
      <w:r>
        <w:t xml:space="preserve"> remained unchanged.</w:t>
      </w:r>
    </w:p>
    <w:p w14:paraId="74000468" w14:textId="77777777" w:rsidR="003335D8" w:rsidRDefault="003335D8" w:rsidP="003335D8">
      <w:r>
        <w:t xml:space="preserve">Dose proportionality was demonstrated for 25 and 50 mg </w:t>
      </w:r>
      <w:proofErr w:type="spellStart"/>
      <w:r w:rsidR="006B0838">
        <w:t>micronised</w:t>
      </w:r>
      <w:proofErr w:type="spellEnd"/>
      <w:r>
        <w:t xml:space="preserve"> formulations.</w:t>
      </w:r>
    </w:p>
    <w:p w14:paraId="3FB60005" w14:textId="77777777" w:rsidR="003335D8" w:rsidRDefault="003335D8" w:rsidP="003335D8">
      <w:pPr>
        <w:pStyle w:val="Heading5"/>
      </w:pPr>
      <w:r>
        <w:t>Distribution</w:t>
      </w:r>
    </w:p>
    <w:p w14:paraId="442B96F5" w14:textId="712DE189" w:rsidR="003335D8" w:rsidRDefault="003335D8" w:rsidP="003335D8">
      <w:r>
        <w:t xml:space="preserve">The plasma protein binding of opicapone is </w:t>
      </w:r>
      <w:r w:rsidR="000808E7">
        <w:t>high (99.9%, range of 0.3 to 30 µ</w:t>
      </w:r>
      <w:r>
        <w:t>M) and independent of concentration. There was no protein binding displacement between warfarin, diazepam, digoxin</w:t>
      </w:r>
      <w:r w:rsidR="00A67A77">
        <w:t>,</w:t>
      </w:r>
      <w:r>
        <w:t xml:space="preserve"> and </w:t>
      </w:r>
      <w:proofErr w:type="spellStart"/>
      <w:r>
        <w:t>tolbutamide</w:t>
      </w:r>
      <w:proofErr w:type="spellEnd"/>
      <w:r>
        <w:t>.</w:t>
      </w:r>
    </w:p>
    <w:p w14:paraId="574B185C" w14:textId="77777777" w:rsidR="003335D8" w:rsidRDefault="003335D8" w:rsidP="003335D8">
      <w:pPr>
        <w:pStyle w:val="Heading5"/>
      </w:pPr>
      <w:r>
        <w:t>Elimination</w:t>
      </w:r>
    </w:p>
    <w:p w14:paraId="76F255B7" w14:textId="77777777" w:rsidR="003335D8" w:rsidRDefault="003335D8" w:rsidP="003335D8">
      <w:r>
        <w:t>The terminal half-life of opicapone ranged from 1 h</w:t>
      </w:r>
      <w:r w:rsidR="000808E7">
        <w:t>our</w:t>
      </w:r>
      <w:r>
        <w:t xml:space="preserve"> to 1.4 h</w:t>
      </w:r>
      <w:r w:rsidR="000808E7">
        <w:t>ours.</w:t>
      </w:r>
      <w:r>
        <w:t xml:space="preserve"> The active metabolite BIA 9-1079 represented 20% of systemic exposure of opicapone and hence was not considered as a major det</w:t>
      </w:r>
      <w:r w:rsidR="000808E7">
        <w:t xml:space="preserve">erminant of </w:t>
      </w:r>
      <w:r w:rsidR="00B5637E" w:rsidRPr="000808E7">
        <w:t>pharmacokinetic</w:t>
      </w:r>
      <w:r w:rsidR="00B5637E">
        <w:t xml:space="preserve"> (PK)</w:t>
      </w:r>
      <w:r w:rsidR="000808E7">
        <w:t xml:space="preserve"> characteristics.</w:t>
      </w:r>
    </w:p>
    <w:p w14:paraId="49CF3495" w14:textId="77777777" w:rsidR="003335D8" w:rsidRDefault="003335D8" w:rsidP="003335D8">
      <w:r>
        <w:t>Opicapone is predominantly eliminated as metabolites in faeces.</w:t>
      </w:r>
    </w:p>
    <w:p w14:paraId="2D210F92" w14:textId="12A0B4FA" w:rsidR="003335D8" w:rsidRDefault="003335D8" w:rsidP="003335D8">
      <w:r>
        <w:t xml:space="preserve">There were two studies conducted to examine </w:t>
      </w:r>
      <w:r w:rsidR="000808E7">
        <w:t xml:space="preserve">the </w:t>
      </w:r>
      <w:r w:rsidR="00B5637E">
        <w:t>PK</w:t>
      </w:r>
      <w:r>
        <w:t xml:space="preserve"> of opicapone in patients with Parkinson's disease. The proposed dose (50</w:t>
      </w:r>
      <w:r w:rsidR="000808E7">
        <w:t xml:space="preserve"> </w:t>
      </w:r>
      <w:r>
        <w:t>mg)</w:t>
      </w:r>
      <w:r w:rsidR="000808E7">
        <w:t xml:space="preserve"> for marketing was examined in S</w:t>
      </w:r>
      <w:r w:rsidR="0024172C">
        <w:t>tudy </w:t>
      </w:r>
      <w:r>
        <w:t>201. The rate and extent of opicapone exposure was comparable between patients with Parkinson</w:t>
      </w:r>
      <w:r w:rsidR="000808E7">
        <w:t>'s disease and healthy adults (Study 101).</w:t>
      </w:r>
    </w:p>
    <w:p w14:paraId="685F2CE7" w14:textId="48FC3448" w:rsidR="003335D8" w:rsidRDefault="003335D8" w:rsidP="003335D8">
      <w:r>
        <w:t>Of note, compared to healthy volunteers, administration of a single 50</w:t>
      </w:r>
      <w:r w:rsidR="000808E7">
        <w:t xml:space="preserve"> </w:t>
      </w:r>
      <w:r>
        <w:t>mg dose of opicapone in subjects with moderate hepatic impairment (Child Pugh B)</w:t>
      </w:r>
      <w:r w:rsidR="000227C4">
        <w:rPr>
          <w:rStyle w:val="FootnoteReference"/>
        </w:rPr>
        <w:footnoteReference w:id="11"/>
      </w:r>
      <w:r>
        <w:t xml:space="preserve"> resulted in an increase in </w:t>
      </w:r>
      <w:proofErr w:type="spellStart"/>
      <w:r>
        <w:t>C</w:t>
      </w:r>
      <w:r w:rsidRPr="000808E7">
        <w:rPr>
          <w:vertAlign w:val="subscript"/>
        </w:rPr>
        <w:t>max</w:t>
      </w:r>
      <w:proofErr w:type="spellEnd"/>
      <w:r>
        <w:t xml:space="preserve"> and AUC by 89% and 87% respectively. Opicapone plasma protein binding was unchanged in subjects with moderate hepatic impairment. The plasma concentrations of the active metabolite BIA9-1079 were not measurable in the subjects with impaired liver function.</w:t>
      </w:r>
    </w:p>
    <w:p w14:paraId="264A8418" w14:textId="77777777" w:rsidR="003335D8" w:rsidRDefault="003335D8" w:rsidP="003335D8">
      <w:r>
        <w:t>There was no study of opicapone in renal impairment.</w:t>
      </w:r>
    </w:p>
    <w:p w14:paraId="13BA4EF5" w14:textId="14363E27" w:rsidR="003335D8" w:rsidRDefault="00A67A77" w:rsidP="003335D8">
      <w:r>
        <w:t>The AUC of l</w:t>
      </w:r>
      <w:r w:rsidR="003335D8">
        <w:t xml:space="preserve">evodopa increased with increasing opicapone dose in all three PK studies. Concentrations of the levodopa metabolite 3-OMD decreased as a function </w:t>
      </w:r>
      <w:r w:rsidR="000227C4">
        <w:t>of opicapone concentration. In S</w:t>
      </w:r>
      <w:r w:rsidR="003335D8">
        <w:t xml:space="preserve">tudy 107, there was an additional marked increase in </w:t>
      </w:r>
      <w:proofErr w:type="spellStart"/>
      <w:r w:rsidR="003335D8">
        <w:t>benserazide</w:t>
      </w:r>
      <w:proofErr w:type="spellEnd"/>
      <w:r w:rsidR="003335D8">
        <w:t xml:space="preserve"> exposure in response to opicapone concentration, while carbi</w:t>
      </w:r>
      <w:r w:rsidR="000227C4">
        <w:t>dopa exposure was unchanged in S</w:t>
      </w:r>
      <w:r w:rsidR="003335D8">
        <w:t>tudy 108 in the presence of opicapone.</w:t>
      </w:r>
    </w:p>
    <w:p w14:paraId="6D73D65B" w14:textId="77777777" w:rsidR="003335D8" w:rsidRDefault="003335D8" w:rsidP="003335D8">
      <w:r>
        <w:t>The increase in rate and extent of systemic levels of levodopa was comparable when opicapone was administered with levodopa/carbidopa and levodopa/</w:t>
      </w:r>
      <w:proofErr w:type="spellStart"/>
      <w:r>
        <w:t>benserazide</w:t>
      </w:r>
      <w:proofErr w:type="spellEnd"/>
      <w:r>
        <w:t xml:space="preserve"> combinations.</w:t>
      </w:r>
    </w:p>
    <w:p w14:paraId="0FF35A98" w14:textId="77777777" w:rsidR="003335D8" w:rsidRDefault="000227C4" w:rsidP="003335D8">
      <w:r>
        <w:t>Two studies (S</w:t>
      </w:r>
      <w:r w:rsidR="003335D8">
        <w:t>tudies 109 and 110) were c</w:t>
      </w:r>
      <w:r>
        <w:t xml:space="preserve">onducted for levodopa sustained </w:t>
      </w:r>
      <w:r w:rsidR="003335D8">
        <w:t xml:space="preserve">release formulations. An opicapone concentration-dependent reduction in levodopa </w:t>
      </w:r>
      <w:proofErr w:type="spellStart"/>
      <w:r w:rsidR="003335D8">
        <w:t>C</w:t>
      </w:r>
      <w:r w:rsidR="003335D8" w:rsidRPr="000227C4">
        <w:rPr>
          <w:vertAlign w:val="subscript"/>
        </w:rPr>
        <w:t>max</w:t>
      </w:r>
      <w:proofErr w:type="spellEnd"/>
      <w:r w:rsidR="003335D8">
        <w:t xml:space="preserve"> an</w:t>
      </w:r>
      <w:r w:rsidR="00352881">
        <w:t>d an increase in AUC occurred.</w:t>
      </w:r>
    </w:p>
    <w:p w14:paraId="05E744AD" w14:textId="77777777" w:rsidR="003335D8" w:rsidRDefault="00F6251A" w:rsidP="003335D8">
      <w:r>
        <w:t>The Delegate comments</w:t>
      </w:r>
      <w:r w:rsidR="000227C4">
        <w:t xml:space="preserve"> that the d</w:t>
      </w:r>
      <w:r w:rsidR="003335D8">
        <w:t xml:space="preserve">ata after multiple dosing and/or delayed administration is missing. In the absence of clinical data for levodopa sustained release formulations, this should be clarified in the </w:t>
      </w:r>
      <w:r w:rsidR="000227C4">
        <w:t>PI</w:t>
      </w:r>
      <w:r w:rsidR="003335D8">
        <w:t>.</w:t>
      </w:r>
    </w:p>
    <w:p w14:paraId="144250F4" w14:textId="4B35877A" w:rsidR="003335D8" w:rsidRDefault="00A67A77" w:rsidP="003335D8">
      <w:r>
        <w:t>The AUC of l</w:t>
      </w:r>
      <w:r w:rsidR="003335D8">
        <w:t xml:space="preserve">evodopa increased with increasing opicapone dose. </w:t>
      </w:r>
      <w:r>
        <w:t>The AUC of l</w:t>
      </w:r>
      <w:r w:rsidR="003335D8">
        <w:t>evodopa increased by 76% after administration of 50</w:t>
      </w:r>
      <w:r w:rsidR="000227C4">
        <w:t xml:space="preserve"> </w:t>
      </w:r>
      <w:r w:rsidR="003335D8">
        <w:t xml:space="preserve">mg opicapone </w:t>
      </w:r>
      <w:r w:rsidR="00EB5172">
        <w:t>once per day</w:t>
      </w:r>
      <w:r>
        <w:t xml:space="preserve"> </w:t>
      </w:r>
      <w:r w:rsidR="00EB5172">
        <w:t>(</w:t>
      </w:r>
      <w:r w:rsidR="003335D8">
        <w:t>QD</w:t>
      </w:r>
      <w:r w:rsidR="00EB5172">
        <w:t>)</w:t>
      </w:r>
      <w:r w:rsidR="003335D8">
        <w:t xml:space="preserve"> compared to placebo.</w:t>
      </w:r>
    </w:p>
    <w:p w14:paraId="4F286BA5" w14:textId="77777777" w:rsidR="003335D8" w:rsidRDefault="003335D8" w:rsidP="003335D8">
      <w:pPr>
        <w:pStyle w:val="Heading5"/>
      </w:pPr>
      <w:r>
        <w:t>Drug interactions</w:t>
      </w:r>
    </w:p>
    <w:p w14:paraId="5CB66BF6" w14:textId="46342518" w:rsidR="003335D8" w:rsidRDefault="003335D8" w:rsidP="003335D8">
      <w:r>
        <w:t xml:space="preserve">Opicapone and its metabolites inhibit CYP2C8 and the two transporters </w:t>
      </w:r>
      <w:r w:rsidRPr="00EB5172">
        <w:rPr>
          <w:i/>
        </w:rPr>
        <w:t>in vitro</w:t>
      </w:r>
      <w:r>
        <w:t>.</w:t>
      </w:r>
      <w:r w:rsidR="00A67A77" w:rsidRPr="00155799">
        <w:rPr>
          <w:vertAlign w:val="superscript"/>
        </w:rPr>
        <w:fldChar w:fldCharType="begin"/>
      </w:r>
      <w:r w:rsidR="00A67A77" w:rsidRPr="00155799">
        <w:rPr>
          <w:vertAlign w:val="superscript"/>
        </w:rPr>
        <w:instrText xml:space="preserve"> NOTEREF _Ref63826531 \h </w:instrText>
      </w:r>
      <w:r w:rsidR="00A67A77">
        <w:rPr>
          <w:vertAlign w:val="superscript"/>
        </w:rPr>
        <w:instrText xml:space="preserve"> \* MERGEFORMAT </w:instrText>
      </w:r>
      <w:r w:rsidR="00A67A77" w:rsidRPr="00155799">
        <w:rPr>
          <w:vertAlign w:val="superscript"/>
        </w:rPr>
      </w:r>
      <w:r w:rsidR="00A67A77" w:rsidRPr="00155799">
        <w:rPr>
          <w:vertAlign w:val="superscript"/>
        </w:rPr>
        <w:fldChar w:fldCharType="separate"/>
      </w:r>
      <w:r w:rsidR="00A67A77" w:rsidRPr="00155799">
        <w:rPr>
          <w:vertAlign w:val="superscript"/>
        </w:rPr>
        <w:t>9</w:t>
      </w:r>
      <w:r w:rsidR="00A67A77" w:rsidRPr="00155799">
        <w:rPr>
          <w:vertAlign w:val="superscript"/>
        </w:rPr>
        <w:fldChar w:fldCharType="end"/>
      </w:r>
      <w:r>
        <w:t xml:space="preserve"> It was noted that these inhibitions required very high concentrations of opicapone (supra</w:t>
      </w:r>
      <w:r w:rsidR="00A67A77">
        <w:noBreakHyphen/>
      </w:r>
      <w:r>
        <w:t>therapeutic doses)</w:t>
      </w:r>
      <w:r w:rsidR="00EB5172">
        <w:t>. Concomitant administration of</w:t>
      </w:r>
      <w:r>
        <w:t xml:space="preserve"> </w:t>
      </w:r>
      <w:proofErr w:type="spellStart"/>
      <w:r w:rsidR="00A67A77">
        <w:t>r</w:t>
      </w:r>
      <w:r>
        <w:t>epaglinide</w:t>
      </w:r>
      <w:proofErr w:type="spellEnd"/>
      <w:r>
        <w:t xml:space="preserve"> (</w:t>
      </w:r>
      <w:r w:rsidR="00A67A77">
        <w:t xml:space="preserve">an </w:t>
      </w:r>
      <w:r>
        <w:t xml:space="preserve">oral antidiabetic drug) and opicapone </w:t>
      </w:r>
      <w:r w:rsidR="00EB5172">
        <w:t xml:space="preserve">resulted in an increase in the </w:t>
      </w:r>
      <w:proofErr w:type="spellStart"/>
      <w:r w:rsidR="00A67A77">
        <w:t>r</w:t>
      </w:r>
      <w:r>
        <w:t>epaglinide</w:t>
      </w:r>
      <w:proofErr w:type="spellEnd"/>
      <w:r>
        <w:t xml:space="preserve"> </w:t>
      </w:r>
      <w:proofErr w:type="spellStart"/>
      <w:r>
        <w:t>C</w:t>
      </w:r>
      <w:r w:rsidRPr="00EB5172">
        <w:rPr>
          <w:vertAlign w:val="subscript"/>
        </w:rPr>
        <w:t>max</w:t>
      </w:r>
      <w:proofErr w:type="spellEnd"/>
      <w:r w:rsidRPr="00155799">
        <w:t xml:space="preserve"> </w:t>
      </w:r>
      <w:r>
        <w:t>and AUC by 31% and 10%, respectively.</w:t>
      </w:r>
    </w:p>
    <w:p w14:paraId="5D58A018" w14:textId="5FA8578F" w:rsidR="003335D8" w:rsidRDefault="003335D8" w:rsidP="003335D8">
      <w:r>
        <w:t xml:space="preserve">Opicapone appears to have effects on pathways responsible for the metabolism of </w:t>
      </w:r>
      <w:proofErr w:type="spellStart"/>
      <w:r>
        <w:t>catecholamines</w:t>
      </w:r>
      <w:proofErr w:type="spellEnd"/>
      <w:r>
        <w:t xml:space="preserve">. These effects are attributed to its mechanism of action. Concomitant administration of opicapone with </w:t>
      </w:r>
      <w:r w:rsidR="00EB5172">
        <w:t>m</w:t>
      </w:r>
      <w:r w:rsidR="00EB5172" w:rsidRPr="00EB5172">
        <w:t xml:space="preserve">onoamine oxidase </w:t>
      </w:r>
      <w:r w:rsidR="00947A5D">
        <w:t>(MAO)</w:t>
      </w:r>
      <w:r w:rsidR="00947A5D" w:rsidRPr="00EB5172">
        <w:t xml:space="preserve"> </w:t>
      </w:r>
      <w:r w:rsidR="00947A5D">
        <w:t>inhibitors</w:t>
      </w:r>
      <w:r w:rsidR="00EB5172">
        <w:t xml:space="preserve"> </w:t>
      </w:r>
      <w:r>
        <w:t xml:space="preserve">could result in inhibition of the majority of the pathways responsible for the metabolism of </w:t>
      </w:r>
      <w:proofErr w:type="spellStart"/>
      <w:r>
        <w:t>catecholamines</w:t>
      </w:r>
      <w:proofErr w:type="spellEnd"/>
      <w:r>
        <w:t xml:space="preserve">. </w:t>
      </w:r>
      <w:r w:rsidR="00EB5172">
        <w:t>Hence</w:t>
      </w:r>
      <w:r>
        <w:t>, concomitant use of opicapone with MAO inhibitors (</w:t>
      </w:r>
      <w:r w:rsidR="00836303">
        <w:t>for example</w:t>
      </w:r>
      <w:r>
        <w:t xml:space="preserve">. </w:t>
      </w:r>
      <w:proofErr w:type="spellStart"/>
      <w:r>
        <w:t>phenelzine</w:t>
      </w:r>
      <w:proofErr w:type="spellEnd"/>
      <w:r>
        <w:t xml:space="preserve">, tranylcypromine, </w:t>
      </w:r>
      <w:proofErr w:type="spellStart"/>
      <w:r>
        <w:t>linezolide</w:t>
      </w:r>
      <w:proofErr w:type="spellEnd"/>
      <w:r w:rsidR="00A67A77">
        <w:t>,</w:t>
      </w:r>
      <w:r>
        <w:t xml:space="preserve"> and </w:t>
      </w:r>
      <w:proofErr w:type="spellStart"/>
      <w:r>
        <w:t>moclobemide</w:t>
      </w:r>
      <w:proofErr w:type="spellEnd"/>
      <w:r>
        <w:t>) other than those for the treatment of Parkinson’s disease is contraindicated and it is described in the PI.</w:t>
      </w:r>
    </w:p>
    <w:p w14:paraId="2C02AFDB" w14:textId="75438BCF" w:rsidR="003335D8" w:rsidRDefault="003335D8" w:rsidP="003335D8">
      <w:r>
        <w:t>A reduction of 13.7% and 14.8% of the AUCs of warfarin S</w:t>
      </w:r>
      <w:r w:rsidR="00A67A77">
        <w:t>-</w:t>
      </w:r>
      <w:r>
        <w:t xml:space="preserve"> and R</w:t>
      </w:r>
      <w:r w:rsidR="00A67A77">
        <w:t>- enantiomers</w:t>
      </w:r>
      <w:r>
        <w:t xml:space="preserve"> (respectively) were observed in the presence of opicapone. </w:t>
      </w:r>
      <w:r w:rsidR="007035BD">
        <w:t xml:space="preserve">The </w:t>
      </w:r>
      <w:proofErr w:type="spellStart"/>
      <w:r>
        <w:t>C</w:t>
      </w:r>
      <w:r w:rsidRPr="00947A5D">
        <w:rPr>
          <w:vertAlign w:val="subscript"/>
        </w:rPr>
        <w:t>max</w:t>
      </w:r>
      <w:proofErr w:type="spellEnd"/>
      <w:r w:rsidR="00947A5D">
        <w:t xml:space="preserve"> of warfarin was un</w:t>
      </w:r>
      <w:r>
        <w:t>affected by the presence of opicapone.</w:t>
      </w:r>
    </w:p>
    <w:p w14:paraId="7E21370D" w14:textId="77777777" w:rsidR="00E83511" w:rsidRDefault="00E83511" w:rsidP="00E83511">
      <w:pPr>
        <w:pStyle w:val="Heading4"/>
      </w:pPr>
      <w:r w:rsidRPr="00E83511">
        <w:t>Pharmacodynamics</w:t>
      </w:r>
    </w:p>
    <w:p w14:paraId="5B49ED66" w14:textId="77777777" w:rsidR="00E83511" w:rsidRDefault="00E83511" w:rsidP="00E83511">
      <w:pPr>
        <w:rPr>
          <w:lang w:eastAsia="ja-JP"/>
        </w:rPr>
      </w:pPr>
      <w:r>
        <w:rPr>
          <w:lang w:eastAsia="ja-JP"/>
        </w:rPr>
        <w:t>Opicapone exerts a concentration-dependent inhibition of COMT activity in erythrocytes in healthy subjects. After administration of 50</w:t>
      </w:r>
      <w:r w:rsidR="00654DE0">
        <w:rPr>
          <w:lang w:eastAsia="ja-JP"/>
        </w:rPr>
        <w:t xml:space="preserve"> </w:t>
      </w:r>
      <w:r>
        <w:rPr>
          <w:lang w:eastAsia="ja-JP"/>
        </w:rPr>
        <w:t>mg once daily (</w:t>
      </w:r>
      <w:proofErr w:type="spellStart"/>
      <w:r w:rsidR="006B0838">
        <w:rPr>
          <w:lang w:eastAsia="ja-JP"/>
        </w:rPr>
        <w:t>micronised</w:t>
      </w:r>
      <w:proofErr w:type="spellEnd"/>
      <w:r>
        <w:rPr>
          <w:lang w:eastAsia="ja-JP"/>
        </w:rPr>
        <w:t xml:space="preserve"> formulation), full inhibition was achieved after the first </w:t>
      </w:r>
      <w:r w:rsidR="00654DE0">
        <w:rPr>
          <w:lang w:eastAsia="ja-JP"/>
        </w:rPr>
        <w:t xml:space="preserve">dose. The duration of opicapone </w:t>
      </w:r>
      <w:r>
        <w:rPr>
          <w:lang w:eastAsia="ja-JP"/>
        </w:rPr>
        <w:t xml:space="preserve">related COMT inhibition is determined by the (slow) dissociation of the enzyme/drug complex and not by the pharmacokinetic half-life of opicapone. As a result, COMT inhibition continues even after the disappearance of opicapone </w:t>
      </w:r>
      <w:r w:rsidR="00654DE0">
        <w:rPr>
          <w:lang w:eastAsia="ja-JP"/>
        </w:rPr>
        <w:t xml:space="preserve">from the plasma and allows once </w:t>
      </w:r>
      <w:r>
        <w:rPr>
          <w:lang w:eastAsia="ja-JP"/>
        </w:rPr>
        <w:t>daily dosing. This phenomenon will be important to consider when administering opicapone along with medicines that are metabolised via COMT pathway.</w:t>
      </w:r>
    </w:p>
    <w:p w14:paraId="3E254FAD" w14:textId="1D1D244D" w:rsidR="00E83511" w:rsidRDefault="0024172C" w:rsidP="00E83511">
      <w:pPr>
        <w:rPr>
          <w:lang w:eastAsia="ja-JP"/>
        </w:rPr>
      </w:pPr>
      <w:r>
        <w:rPr>
          <w:lang w:eastAsia="ja-JP"/>
        </w:rPr>
        <w:t>Study </w:t>
      </w:r>
      <w:r w:rsidR="00E83511">
        <w:rPr>
          <w:lang w:eastAsia="ja-JP"/>
        </w:rPr>
        <w:t xml:space="preserve">124 findings with the </w:t>
      </w:r>
      <w:proofErr w:type="spellStart"/>
      <w:r w:rsidR="006B0838">
        <w:rPr>
          <w:lang w:eastAsia="ja-JP"/>
        </w:rPr>
        <w:t>micronised</w:t>
      </w:r>
      <w:proofErr w:type="spellEnd"/>
      <w:r w:rsidR="00E83511">
        <w:rPr>
          <w:lang w:eastAsia="ja-JP"/>
        </w:rPr>
        <w:t xml:space="preserve"> formulation of opicapone suggests that op</w:t>
      </w:r>
      <w:r w:rsidR="00E83511" w:rsidRPr="008C7D3B">
        <w:rPr>
          <w:lang w:eastAsia="ja-JP"/>
        </w:rPr>
        <w:t xml:space="preserve">icapone at steady-state conditions significantly increased the </w:t>
      </w:r>
      <w:r w:rsidR="00E83511">
        <w:rPr>
          <w:lang w:eastAsia="ja-JP"/>
        </w:rPr>
        <w:t xml:space="preserve">mean </w:t>
      </w:r>
      <w:r w:rsidR="00E83511" w:rsidRPr="008C7D3B">
        <w:rPr>
          <w:lang w:eastAsia="ja-JP"/>
        </w:rPr>
        <w:t xml:space="preserve">levodopa </w:t>
      </w:r>
      <w:r w:rsidR="00654DE0">
        <w:rPr>
          <w:lang w:eastAsia="ja-JP"/>
        </w:rPr>
        <w:t>AUC</w:t>
      </w:r>
      <w:r w:rsidR="00654DE0" w:rsidRPr="00654DE0">
        <w:rPr>
          <w:vertAlign w:val="subscript"/>
          <w:lang w:eastAsia="ja-JP"/>
        </w:rPr>
        <w:t>0-24</w:t>
      </w:r>
      <w:r w:rsidR="00E83511">
        <w:rPr>
          <w:lang w:eastAsia="ja-JP"/>
        </w:rPr>
        <w:t xml:space="preserve"> up to 53</w:t>
      </w:r>
      <w:r w:rsidR="00E83511" w:rsidRPr="008C7D3B">
        <w:rPr>
          <w:lang w:eastAsia="ja-JP"/>
        </w:rPr>
        <w:t>% with 50</w:t>
      </w:r>
      <w:r>
        <w:rPr>
          <w:lang w:eastAsia="ja-JP"/>
        </w:rPr>
        <w:t> </w:t>
      </w:r>
      <w:r w:rsidR="00E83511" w:rsidRPr="008C7D3B">
        <w:rPr>
          <w:lang w:eastAsia="ja-JP"/>
        </w:rPr>
        <w:t xml:space="preserve">mg opicapone compared to placebo </w:t>
      </w:r>
      <w:r w:rsidR="00E83511">
        <w:rPr>
          <w:lang w:eastAsia="ja-JP"/>
        </w:rPr>
        <w:t>in healthy adults. In this study, the systemic levels of levodopa was assessed following multiple</w:t>
      </w:r>
      <w:r w:rsidR="00E83511" w:rsidRPr="008C7D3B">
        <w:rPr>
          <w:lang w:eastAsia="ja-JP"/>
        </w:rPr>
        <w:t xml:space="preserve"> oral </w:t>
      </w:r>
      <w:r w:rsidR="00E83511">
        <w:rPr>
          <w:lang w:eastAsia="ja-JP"/>
        </w:rPr>
        <w:t>administration of immediate release</w:t>
      </w:r>
      <w:r w:rsidR="00E83511" w:rsidRPr="008C7D3B">
        <w:rPr>
          <w:lang w:eastAsia="ja-JP"/>
        </w:rPr>
        <w:t xml:space="preserve"> 100</w:t>
      </w:r>
      <w:r w:rsidR="00962D7A">
        <w:rPr>
          <w:lang w:eastAsia="ja-JP"/>
        </w:rPr>
        <w:t> </w:t>
      </w:r>
      <w:r w:rsidR="00952FC2">
        <w:rPr>
          <w:lang w:eastAsia="ja-JP"/>
        </w:rPr>
        <w:t>mg</w:t>
      </w:r>
      <w:r w:rsidR="00E83511" w:rsidRPr="008C7D3B">
        <w:rPr>
          <w:lang w:eastAsia="ja-JP"/>
        </w:rPr>
        <w:t>/25</w:t>
      </w:r>
      <w:r w:rsidR="00952FC2">
        <w:rPr>
          <w:lang w:eastAsia="ja-JP"/>
        </w:rPr>
        <w:t xml:space="preserve"> </w:t>
      </w:r>
      <w:r w:rsidR="00E83511" w:rsidRPr="008C7D3B">
        <w:rPr>
          <w:lang w:eastAsia="ja-JP"/>
        </w:rPr>
        <w:t xml:space="preserve">mg levodopa/carbidopa </w:t>
      </w:r>
      <w:r>
        <w:rPr>
          <w:lang w:eastAsia="ja-JP"/>
        </w:rPr>
        <w:t>thrice daily, administered 10 </w:t>
      </w:r>
      <w:r w:rsidR="00952FC2">
        <w:rPr>
          <w:lang w:eastAsia="ja-JP"/>
        </w:rPr>
        <w:t>hours</w:t>
      </w:r>
      <w:r w:rsidR="00E83511" w:rsidRPr="008C7D3B">
        <w:rPr>
          <w:lang w:eastAsia="ja-JP"/>
        </w:rPr>
        <w:t xml:space="preserve"> after the opicapone </w:t>
      </w:r>
      <w:r w:rsidR="00E83511">
        <w:rPr>
          <w:lang w:eastAsia="ja-JP"/>
        </w:rPr>
        <w:t xml:space="preserve">evening </w:t>
      </w:r>
      <w:r w:rsidR="00E83511" w:rsidRPr="008C7D3B">
        <w:rPr>
          <w:lang w:eastAsia="ja-JP"/>
        </w:rPr>
        <w:t>dose.</w:t>
      </w:r>
    </w:p>
    <w:p w14:paraId="386E6FB9" w14:textId="77777777" w:rsidR="00E83511" w:rsidRDefault="00E83511" w:rsidP="00E83511">
      <w:pPr>
        <w:pStyle w:val="Heading5"/>
        <w:rPr>
          <w:lang w:eastAsia="ja-JP"/>
        </w:rPr>
      </w:pPr>
      <w:r w:rsidRPr="00CF1282">
        <w:rPr>
          <w:lang w:eastAsia="ja-JP"/>
        </w:rPr>
        <w:t>D</w:t>
      </w:r>
      <w:r>
        <w:rPr>
          <w:lang w:eastAsia="ja-JP"/>
        </w:rPr>
        <w:t>ose selection for pivotal study</w:t>
      </w:r>
    </w:p>
    <w:p w14:paraId="7FC0D7CE" w14:textId="10BD97CB" w:rsidR="00E83511" w:rsidRPr="008B42DF" w:rsidRDefault="00952FC2" w:rsidP="00E83511">
      <w:pPr>
        <w:rPr>
          <w:lang w:eastAsia="ja-JP"/>
        </w:rPr>
      </w:pPr>
      <w:r>
        <w:rPr>
          <w:lang w:eastAsia="ja-JP"/>
        </w:rPr>
        <w:t>In the single dose S</w:t>
      </w:r>
      <w:r w:rsidR="00E83511" w:rsidRPr="008C7D3B">
        <w:rPr>
          <w:lang w:eastAsia="ja-JP"/>
        </w:rPr>
        <w:t>tudy 201, an inhibition of COMT of</w:t>
      </w:r>
      <w:r w:rsidR="00E83511">
        <w:rPr>
          <w:lang w:eastAsia="ja-JP"/>
        </w:rPr>
        <w:t xml:space="preserve"> 67%, 87% and 80% was observed</w:t>
      </w:r>
      <w:r w:rsidR="00E83511" w:rsidRPr="008C7D3B">
        <w:rPr>
          <w:lang w:eastAsia="ja-JP"/>
        </w:rPr>
        <w:t xml:space="preserve"> for 25</w:t>
      </w:r>
      <w:r w:rsidR="00962D7A">
        <w:rPr>
          <w:lang w:eastAsia="ja-JP"/>
        </w:rPr>
        <w:t xml:space="preserve"> mg</w:t>
      </w:r>
      <w:r w:rsidR="00E83511" w:rsidRPr="008C7D3B">
        <w:rPr>
          <w:lang w:eastAsia="ja-JP"/>
        </w:rPr>
        <w:t>, 50</w:t>
      </w:r>
      <w:r w:rsidR="00962D7A">
        <w:rPr>
          <w:lang w:eastAsia="ja-JP"/>
        </w:rPr>
        <w:t xml:space="preserve"> mg</w:t>
      </w:r>
      <w:r w:rsidR="00E83511" w:rsidRPr="008C7D3B">
        <w:rPr>
          <w:lang w:eastAsia="ja-JP"/>
        </w:rPr>
        <w:t xml:space="preserve"> and 100</w:t>
      </w:r>
      <w:r>
        <w:rPr>
          <w:lang w:eastAsia="ja-JP"/>
        </w:rPr>
        <w:t xml:space="preserve"> </w:t>
      </w:r>
      <w:r w:rsidR="00E83511" w:rsidRPr="008C7D3B">
        <w:rPr>
          <w:lang w:eastAsia="ja-JP"/>
        </w:rPr>
        <w:t>mg, respectively.</w:t>
      </w:r>
      <w:r w:rsidR="00E83511">
        <w:rPr>
          <w:lang w:eastAsia="ja-JP"/>
        </w:rPr>
        <w:t xml:space="preserve"> In this study, </w:t>
      </w:r>
      <w:proofErr w:type="spellStart"/>
      <w:r w:rsidR="00CD2225">
        <w:rPr>
          <w:lang w:eastAsia="ja-JP"/>
        </w:rPr>
        <w:t>opicapone</w:t>
      </w:r>
      <w:r w:rsidR="00E83511">
        <w:rPr>
          <w:lang w:eastAsia="ja-JP"/>
        </w:rPr>
        <w:t>was</w:t>
      </w:r>
      <w:proofErr w:type="spellEnd"/>
      <w:r w:rsidR="00E83511">
        <w:rPr>
          <w:lang w:eastAsia="ja-JP"/>
        </w:rPr>
        <w:t xml:space="preserve"> co-administered with either immediate release 100 mg/</w:t>
      </w:r>
      <w:r w:rsidR="0024172C">
        <w:rPr>
          <w:lang w:eastAsia="ja-JP"/>
        </w:rPr>
        <w:t>25 mg levodopa/carbidopa or 100 </w:t>
      </w:r>
      <w:r w:rsidR="00E83511">
        <w:rPr>
          <w:lang w:eastAsia="ja-JP"/>
        </w:rPr>
        <w:t>mg/25 mg levodopa/</w:t>
      </w:r>
      <w:proofErr w:type="spellStart"/>
      <w:r w:rsidR="00E83511">
        <w:rPr>
          <w:lang w:eastAsia="ja-JP"/>
        </w:rPr>
        <w:t>benserazide</w:t>
      </w:r>
      <w:proofErr w:type="spellEnd"/>
      <w:r w:rsidR="00E83511">
        <w:rPr>
          <w:lang w:eastAsia="ja-JP"/>
        </w:rPr>
        <w:t xml:space="preserve"> </w:t>
      </w:r>
      <w:r>
        <w:rPr>
          <w:lang w:eastAsia="ja-JP"/>
        </w:rPr>
        <w:t>fixed dose combinations (FDC)</w:t>
      </w:r>
      <w:r w:rsidR="00E83511">
        <w:rPr>
          <w:lang w:eastAsia="ja-JP"/>
        </w:rPr>
        <w:t>.</w:t>
      </w:r>
    </w:p>
    <w:p w14:paraId="2424049B" w14:textId="77777777" w:rsidR="00E83511" w:rsidRDefault="00E83511" w:rsidP="00E83511">
      <w:pPr>
        <w:pStyle w:val="Heading4"/>
      </w:pPr>
      <w:r>
        <w:t>Efficacy</w:t>
      </w:r>
    </w:p>
    <w:p w14:paraId="14D17113" w14:textId="720BA472" w:rsidR="00E83511" w:rsidRDefault="00E83511" w:rsidP="00E83511">
      <w:pPr>
        <w:pStyle w:val="Heading5"/>
      </w:pPr>
      <w:r>
        <w:t>Study 301</w:t>
      </w:r>
    </w:p>
    <w:p w14:paraId="41EB934F" w14:textId="5631213D" w:rsidR="00E83511" w:rsidRDefault="007035BD" w:rsidP="00E83511">
      <w:r>
        <w:t xml:space="preserve">Study BIA </w:t>
      </w:r>
      <w:r w:rsidRPr="007035BD">
        <w:t>9</w:t>
      </w:r>
      <w:r>
        <w:t>-</w:t>
      </w:r>
      <w:r w:rsidRPr="007035BD">
        <w:t>1067-301 her</w:t>
      </w:r>
      <w:r>
        <w:t>eafter referred to as Study 301 was a</w:t>
      </w:r>
      <w:r w:rsidR="00F72F4C">
        <w:t xml:space="preserve"> </w:t>
      </w:r>
      <w:r w:rsidR="00E83511">
        <w:t xml:space="preserve">double blind, placebo- and active-controlled, parallel group </w:t>
      </w:r>
      <w:r w:rsidR="00952FC2">
        <w:t>randomised controlled trial (</w:t>
      </w:r>
      <w:r w:rsidR="00E83511">
        <w:t>RCT</w:t>
      </w:r>
      <w:r w:rsidR="00952FC2">
        <w:t>)</w:t>
      </w:r>
      <w:r w:rsidR="00E83511">
        <w:t>.</w:t>
      </w:r>
    </w:p>
    <w:p w14:paraId="057F1A64" w14:textId="64BE057E" w:rsidR="00E83511" w:rsidRDefault="00952FC2" w:rsidP="00E83511">
      <w:r>
        <w:t>The screening period was two</w:t>
      </w:r>
      <w:r w:rsidR="00E83511">
        <w:t xml:space="preserve"> weeks of duration. Eligible patients were randomised in a </w:t>
      </w:r>
      <w:r w:rsidR="007035BD">
        <w:t>1:</w:t>
      </w:r>
      <w:r w:rsidR="00E83511">
        <w:t>1:1:1:1 ratio in to opicapone 5 m</w:t>
      </w:r>
      <w:r w:rsidR="003B7CD2">
        <w:t xml:space="preserve">g, 25 mg, 50 mg, </w:t>
      </w:r>
      <w:proofErr w:type="spellStart"/>
      <w:r w:rsidR="003B7CD2">
        <w:t>entacapone</w:t>
      </w:r>
      <w:proofErr w:type="spellEnd"/>
      <w:r w:rsidR="003B7CD2">
        <w:t xml:space="preserve"> 200 </w:t>
      </w:r>
      <w:r w:rsidR="00E83511">
        <w:t>mg and placebo grou</w:t>
      </w:r>
      <w:r>
        <w:t>ps. Th</w:t>
      </w:r>
      <w:r w:rsidR="003B7CD2">
        <w:t>e treatment period was 14 to 15 </w:t>
      </w:r>
      <w:r>
        <w:t>weeks.</w:t>
      </w:r>
    </w:p>
    <w:p w14:paraId="782415E3" w14:textId="77777777" w:rsidR="00E83511" w:rsidRDefault="00E83511" w:rsidP="00E83511">
      <w:r>
        <w:t xml:space="preserve">An </w:t>
      </w:r>
      <w:r w:rsidR="00952FC2">
        <w:t>open label treatment period of one</w:t>
      </w:r>
      <w:r>
        <w:t xml:space="preserve"> year followed the double blind phase of the study. Patients were treated with 5</w:t>
      </w:r>
      <w:r w:rsidR="00962D7A">
        <w:t xml:space="preserve"> mg</w:t>
      </w:r>
      <w:r>
        <w:t>, 25</w:t>
      </w:r>
      <w:r w:rsidR="00962D7A">
        <w:t xml:space="preserve"> mg</w:t>
      </w:r>
      <w:r>
        <w:t xml:space="preserve"> and 50 mg of opicapone during the open label phase, based on treatment response.</w:t>
      </w:r>
    </w:p>
    <w:p w14:paraId="1B68A213" w14:textId="77777777" w:rsidR="00E83511" w:rsidRDefault="00E83511" w:rsidP="00E83511">
      <w:pPr>
        <w:pStyle w:val="FigureTitle"/>
      </w:pPr>
      <w:r w:rsidRPr="00E83511">
        <w:t xml:space="preserve">Figure </w:t>
      </w:r>
      <w:fldSimple w:instr=" SEQ Figure \* ARABIC ">
        <w:r w:rsidR="00A55428">
          <w:rPr>
            <w:noProof/>
          </w:rPr>
          <w:t>3</w:t>
        </w:r>
      </w:fldSimple>
      <w:r>
        <w:t>: Study 301 design</w:t>
      </w:r>
    </w:p>
    <w:p w14:paraId="181E6914" w14:textId="77777777" w:rsidR="00E83511" w:rsidRDefault="00E83511" w:rsidP="00E83511">
      <w:r>
        <w:rPr>
          <w:rFonts w:asciiTheme="minorHAnsi" w:hAnsiTheme="minorHAnsi"/>
          <w:b/>
          <w:noProof/>
          <w:lang w:eastAsia="en-AU"/>
        </w:rPr>
        <w:drawing>
          <wp:inline distT="0" distB="0" distL="0" distR="0" wp14:anchorId="547603CA" wp14:editId="4E7C353F">
            <wp:extent cx="5374256" cy="3027630"/>
            <wp:effectExtent l="0" t="0" r="0" b="1905"/>
            <wp:docPr id="4" name="Picture 4" descr="Study 301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53869" cy="3072481"/>
                    </a:xfrm>
                    <a:prstGeom prst="rect">
                      <a:avLst/>
                    </a:prstGeom>
                    <a:noFill/>
                  </pic:spPr>
                </pic:pic>
              </a:graphicData>
            </a:graphic>
          </wp:inline>
        </w:drawing>
      </w:r>
    </w:p>
    <w:p w14:paraId="61B1E441" w14:textId="0C7AC0D8" w:rsidR="00E83511" w:rsidRDefault="00E83511" w:rsidP="00E83511">
      <w:r>
        <w:t xml:space="preserve">Primary objective: </w:t>
      </w:r>
      <w:r w:rsidR="00952FC2">
        <w:t>To investigate the efficacy of three</w:t>
      </w:r>
      <w:r>
        <w:t xml:space="preserve"> doses of opicapone (5</w:t>
      </w:r>
      <w:r w:rsidR="00952FC2">
        <w:t xml:space="preserve"> </w:t>
      </w:r>
      <w:r>
        <w:t>mg, 25</w:t>
      </w:r>
      <w:r w:rsidR="003B7CD2">
        <w:t> </w:t>
      </w:r>
      <w:r>
        <w:t>mg, and 50</w:t>
      </w:r>
      <w:r w:rsidR="003B7CD2">
        <w:t> </w:t>
      </w:r>
      <w:r>
        <w:t>mg) administered once daily, compared with placebo or 200</w:t>
      </w:r>
      <w:r w:rsidR="00952FC2">
        <w:t xml:space="preserve"> mg of </w:t>
      </w:r>
      <w:proofErr w:type="spellStart"/>
      <w:r w:rsidR="00952FC2">
        <w:t>entacapone</w:t>
      </w:r>
      <w:proofErr w:type="spellEnd"/>
      <w:r w:rsidR="00952FC2">
        <w:t xml:space="preserve">. </w:t>
      </w:r>
      <w:r>
        <w:t>These treatments were administered as adjunctive therapy to the existing treatment of levodopa plus a DDCI.</w:t>
      </w:r>
    </w:p>
    <w:p w14:paraId="008E701A" w14:textId="7284A66D" w:rsidR="00E83511" w:rsidRDefault="00E83511" w:rsidP="00E83511">
      <w:r>
        <w:t>The study was designed to assess whether treatment with opicapone as an adjuvant to L</w:t>
      </w:r>
      <w:r w:rsidR="00F13BDC">
        <w:noBreakHyphen/>
      </w:r>
      <w:r>
        <w:t xml:space="preserve">dopa/DDCI is superior to treatment with </w:t>
      </w:r>
      <w:r w:rsidR="0005617B">
        <w:t>L-DOPA</w:t>
      </w:r>
      <w:r>
        <w:t>/DDCI combination alone and non</w:t>
      </w:r>
      <w:r w:rsidR="00F13BDC">
        <w:noBreakHyphen/>
      </w:r>
      <w:r>
        <w:t xml:space="preserve">inferior to </w:t>
      </w:r>
      <w:proofErr w:type="spellStart"/>
      <w:r w:rsidR="00CD2225">
        <w:t>entacapone</w:t>
      </w:r>
      <w:proofErr w:type="spellEnd"/>
      <w:r w:rsidR="00CD2225">
        <w:t xml:space="preserve"> </w:t>
      </w:r>
      <w:r>
        <w:t xml:space="preserve">as an adjuvant therapy to </w:t>
      </w:r>
      <w:r w:rsidR="0005617B">
        <w:t>L-DOPA</w:t>
      </w:r>
      <w:r>
        <w:t>/DDCI combination.</w:t>
      </w:r>
    </w:p>
    <w:p w14:paraId="736F4ACB" w14:textId="4C2BFB6A" w:rsidR="00E83511" w:rsidRDefault="00E83511" w:rsidP="00E83511">
      <w:pPr>
        <w:pStyle w:val="Heading6"/>
      </w:pPr>
      <w:r>
        <w:t xml:space="preserve">Key </w:t>
      </w:r>
      <w:r w:rsidR="00F13BDC">
        <w:t>i</w:t>
      </w:r>
      <w:r>
        <w:t>nclusion criteria</w:t>
      </w:r>
    </w:p>
    <w:p w14:paraId="0F95342D" w14:textId="77777777" w:rsidR="00E83511" w:rsidRDefault="00065585" w:rsidP="00E83511">
      <w:pPr>
        <w:pStyle w:val="ListBullet"/>
      </w:pPr>
      <w:r>
        <w:t>d</w:t>
      </w:r>
      <w:r w:rsidR="00E83511">
        <w:t>iagnosed with idiopathic Parkinson’s disease accordin</w:t>
      </w:r>
      <w:r>
        <w:t>g to the United Kingdom (UK)</w:t>
      </w:r>
      <w:r w:rsidR="00E83511">
        <w:t xml:space="preserve"> Parkinson’s Disease Society Brain Bank Di</w:t>
      </w:r>
      <w:r>
        <w:t>agnostic Criteria for at least three</w:t>
      </w:r>
      <w:r w:rsidR="00E83511">
        <w:t xml:space="preserve"> years.</w:t>
      </w:r>
    </w:p>
    <w:p w14:paraId="69FF6D0D" w14:textId="5B25938B" w:rsidR="00E83511" w:rsidRDefault="00065585" w:rsidP="00E83511">
      <w:pPr>
        <w:pStyle w:val="ListBullet"/>
      </w:pPr>
      <w:r>
        <w:t xml:space="preserve">modified </w:t>
      </w:r>
      <w:proofErr w:type="spellStart"/>
      <w:r>
        <w:t>Hoehn</w:t>
      </w:r>
      <w:proofErr w:type="spellEnd"/>
      <w:r>
        <w:t xml:space="preserve"> </w:t>
      </w:r>
      <w:r w:rsidR="00F13BDC">
        <w:t>and</w:t>
      </w:r>
      <w:r>
        <w:t xml:space="preserve"> </w:t>
      </w:r>
      <w:proofErr w:type="spellStart"/>
      <w:r>
        <w:t>Yahr</w:t>
      </w:r>
      <w:proofErr w:type="spellEnd"/>
      <w:r>
        <w:t xml:space="preserve"> st</w:t>
      </w:r>
      <w:r w:rsidR="00962D7A">
        <w:t xml:space="preserve">aging disease severity Stages I to </w:t>
      </w:r>
      <w:r>
        <w:t>III;</w:t>
      </w:r>
      <w:bookmarkStart w:id="43" w:name="_Ref58833141"/>
      <w:r>
        <w:rPr>
          <w:rStyle w:val="FootnoteReference"/>
        </w:rPr>
        <w:footnoteReference w:id="12"/>
      </w:r>
      <w:bookmarkEnd w:id="43"/>
      <w:r w:rsidR="00E83511">
        <w:t xml:space="preserve"> at </w:t>
      </w:r>
      <w:r w:rsidR="00F13BDC">
        <w:t>‘on’</w:t>
      </w:r>
      <w:r w:rsidR="00E83511">
        <w:t xml:space="preserve"> period.</w:t>
      </w:r>
    </w:p>
    <w:p w14:paraId="0707693D" w14:textId="77777777" w:rsidR="00E83511" w:rsidRDefault="00065585" w:rsidP="00E83511">
      <w:pPr>
        <w:pStyle w:val="ListBullet"/>
      </w:pPr>
      <w:r>
        <w:t>treated with three to eight</w:t>
      </w:r>
      <w:r w:rsidR="00E83511">
        <w:t xml:space="preserve"> daily doses of L-DOPA/DDCI, which could have included a slow release formulation.</w:t>
      </w:r>
    </w:p>
    <w:p w14:paraId="425CF0A6" w14:textId="77777777" w:rsidR="00E83511" w:rsidRDefault="00065585" w:rsidP="00E83511">
      <w:pPr>
        <w:pStyle w:val="ListBullet"/>
      </w:pPr>
      <w:r>
        <w:t>signs of ‘wearing-off’</w:t>
      </w:r>
      <w:r w:rsidR="00E83511">
        <w:t xml:space="preserve"> phenomenon (end-of-dose de</w:t>
      </w:r>
      <w:r>
        <w:t>terioration) for a minimum of four weeks before screening.</w:t>
      </w:r>
    </w:p>
    <w:p w14:paraId="0288DF95" w14:textId="475675E6" w:rsidR="00E83511" w:rsidRDefault="00E83511" w:rsidP="00E83511">
      <w:pPr>
        <w:pStyle w:val="Heading6"/>
      </w:pPr>
      <w:r>
        <w:t xml:space="preserve">Key </w:t>
      </w:r>
      <w:r w:rsidR="00F13BDC">
        <w:t>e</w:t>
      </w:r>
      <w:r>
        <w:t>xclusion criteria</w:t>
      </w:r>
    </w:p>
    <w:p w14:paraId="57F61159" w14:textId="689F8F47" w:rsidR="00E83511" w:rsidRDefault="00065585" w:rsidP="00E83511">
      <w:pPr>
        <w:pStyle w:val="ListBullet"/>
      </w:pPr>
      <w:r>
        <w:t>d</w:t>
      </w:r>
      <w:r w:rsidR="00E83511">
        <w:t>yskinesia disability score &gt;</w:t>
      </w:r>
      <w:r w:rsidR="003B7CD2">
        <w:t> </w:t>
      </w:r>
      <w:r w:rsidR="00E83511">
        <w:t>3 in the Unified Parkinson's Disease Rating Scale (UPDRS)</w:t>
      </w:r>
      <w:bookmarkStart w:id="44" w:name="_Ref58833956"/>
      <w:r w:rsidR="00F13BDC">
        <w:t>.</w:t>
      </w:r>
      <w:r w:rsidR="00480685">
        <w:rPr>
          <w:rStyle w:val="FootnoteReference"/>
        </w:rPr>
        <w:footnoteReference w:id="13"/>
      </w:r>
      <w:bookmarkEnd w:id="44"/>
    </w:p>
    <w:p w14:paraId="16046259" w14:textId="351D5B96" w:rsidR="00E83511" w:rsidRDefault="00480685" w:rsidP="00E83511">
      <w:pPr>
        <w:pStyle w:val="ListBullet"/>
      </w:pPr>
      <w:r>
        <w:t>s</w:t>
      </w:r>
      <w:r w:rsidR="00E83511">
        <w:t>evere and/or unpredictab</w:t>
      </w:r>
      <w:r>
        <w:t xml:space="preserve">le </w:t>
      </w:r>
      <w:r w:rsidR="00F13BDC">
        <w:t>‘off’</w:t>
      </w:r>
      <w:r>
        <w:t xml:space="preserve"> periods</w:t>
      </w:r>
    </w:p>
    <w:p w14:paraId="413DA0BC" w14:textId="77777777" w:rsidR="00E83511" w:rsidRDefault="00480685" w:rsidP="00E83511">
      <w:pPr>
        <w:pStyle w:val="ListBullet"/>
      </w:pPr>
      <w:r>
        <w:t>p</w:t>
      </w:r>
      <w:r w:rsidR="00E83511">
        <w:t xml:space="preserve">revious use of </w:t>
      </w:r>
      <w:proofErr w:type="spellStart"/>
      <w:r w:rsidR="00E83511">
        <w:t>entacapone</w:t>
      </w:r>
      <w:proofErr w:type="spellEnd"/>
    </w:p>
    <w:p w14:paraId="744C332C" w14:textId="77777777" w:rsidR="00E83511" w:rsidRDefault="00E83511" w:rsidP="00E83511">
      <w:pPr>
        <w:pStyle w:val="Heading6"/>
      </w:pPr>
      <w:r>
        <w:t>Study treatments</w:t>
      </w:r>
    </w:p>
    <w:p w14:paraId="2A5407E3" w14:textId="57E70FD7" w:rsidR="00E83511" w:rsidRDefault="00E83511" w:rsidP="00E83511">
      <w:r>
        <w:t xml:space="preserve">The existing treatment of </w:t>
      </w:r>
      <w:r w:rsidR="0005617B">
        <w:t>L-DOPA</w:t>
      </w:r>
      <w:r>
        <w:t>/</w:t>
      </w:r>
      <w:r w:rsidR="00F13BDC">
        <w:t xml:space="preserve">DDCI </w:t>
      </w:r>
      <w:r>
        <w:t>was continued during the double blind period of the study w</w:t>
      </w:r>
      <w:r w:rsidR="00652F7C">
        <w:t>hich also had 5 treatment arms:</w:t>
      </w:r>
    </w:p>
    <w:p w14:paraId="74BF4E54" w14:textId="22C9B8CB" w:rsidR="00E83511" w:rsidRDefault="00E83511" w:rsidP="00E83511">
      <w:pPr>
        <w:pStyle w:val="ListBullet"/>
      </w:pPr>
      <w:r>
        <w:t>3 op</w:t>
      </w:r>
      <w:r w:rsidR="00480685">
        <w:t>icapone groups, each receiving one of three</w:t>
      </w:r>
      <w:r>
        <w:t xml:space="preserve"> different doses (5</w:t>
      </w:r>
      <w:r w:rsidR="00480685">
        <w:t xml:space="preserve"> </w:t>
      </w:r>
      <w:r>
        <w:t>mg, 25</w:t>
      </w:r>
      <w:r w:rsidR="003B7CD2">
        <w:t> </w:t>
      </w:r>
      <w:r>
        <w:t>mg, or 50</w:t>
      </w:r>
      <w:r w:rsidR="00962D7A">
        <w:t> </w:t>
      </w:r>
      <w:r w:rsidR="00352881">
        <w:t>mg);</w:t>
      </w:r>
    </w:p>
    <w:p w14:paraId="6A2CD590" w14:textId="04E0E716" w:rsidR="00E83511" w:rsidRDefault="00E83511" w:rsidP="00E83511">
      <w:pPr>
        <w:pStyle w:val="ListBullet"/>
      </w:pPr>
      <w:r>
        <w:t>an active comparator group receiving 200</w:t>
      </w:r>
      <w:r w:rsidR="003B7CD2">
        <w:t> </w:t>
      </w:r>
      <w:r w:rsidR="00352881">
        <w:t xml:space="preserve">mg of </w:t>
      </w:r>
      <w:proofErr w:type="spellStart"/>
      <w:r w:rsidR="00352881">
        <w:t>entacapone</w:t>
      </w:r>
      <w:proofErr w:type="spellEnd"/>
      <w:r w:rsidR="00352881">
        <w:t>; and</w:t>
      </w:r>
    </w:p>
    <w:p w14:paraId="5509E8A0" w14:textId="77777777" w:rsidR="00E83511" w:rsidRDefault="00480685" w:rsidP="00E83511">
      <w:pPr>
        <w:pStyle w:val="ListBullet"/>
      </w:pPr>
      <w:r>
        <w:t>a placebo group.</w:t>
      </w:r>
    </w:p>
    <w:p w14:paraId="782E30DE" w14:textId="3279CD42" w:rsidR="00E83511" w:rsidRDefault="00E83511" w:rsidP="00E83511">
      <w:r>
        <w:t>I</w:t>
      </w:r>
      <w:r w:rsidR="00480685">
        <w:t>n the first two to three</w:t>
      </w:r>
      <w:r>
        <w:t xml:space="preserve"> weeks (</w:t>
      </w:r>
      <w:r w:rsidRPr="002C3C05">
        <w:t>V2 to V4</w:t>
      </w:r>
      <w:r>
        <w:t>)</w:t>
      </w:r>
      <w:r w:rsidR="008359FC">
        <w:rPr>
          <w:rStyle w:val="FootnoteReference"/>
        </w:rPr>
        <w:footnoteReference w:id="14"/>
      </w:r>
      <w:r>
        <w:t xml:space="preserve"> of the double-blind study phase, the investigator was able to reduce the dose of levodopa/</w:t>
      </w:r>
      <w:r w:rsidR="00F13BDC">
        <w:t xml:space="preserve">DDCI </w:t>
      </w:r>
      <w:r>
        <w:t>after the patient responded to the treatment, while the number of doses per day had to remain the same. In the double-blind study phase from V4 onwards, the dose of levodopa/</w:t>
      </w:r>
      <w:r w:rsidR="008359FC">
        <w:t>DDCI</w:t>
      </w:r>
      <w:r>
        <w:t xml:space="preserve"> had to be maintained.</w:t>
      </w:r>
    </w:p>
    <w:p w14:paraId="1F15A053" w14:textId="77777777" w:rsidR="00E83511" w:rsidRDefault="00E83511" w:rsidP="00E83511">
      <w:r>
        <w:t>The primary efficacy endpoint was the ch</w:t>
      </w:r>
      <w:r w:rsidR="00021039">
        <w:t>ange in absolute off</w:t>
      </w:r>
      <w:r w:rsidR="00FB3DAD">
        <w:t xml:space="preserve"> time from B</w:t>
      </w:r>
      <w:r>
        <w:t>aseline.</w:t>
      </w:r>
    </w:p>
    <w:p w14:paraId="1BB44461" w14:textId="77777777" w:rsidR="00E83511" w:rsidRDefault="00E83511" w:rsidP="00E83511">
      <w:r>
        <w:t>Key secondary endpoints in this study:</w:t>
      </w:r>
    </w:p>
    <w:p w14:paraId="6DB007DD" w14:textId="77777777" w:rsidR="00E83511" w:rsidRDefault="00021039" w:rsidP="00E83511">
      <w:pPr>
        <w:pStyle w:val="ListBullet"/>
      </w:pPr>
      <w:r>
        <w:t>Off</w:t>
      </w:r>
      <w:r w:rsidR="00E83511">
        <w:t xml:space="preserve"> time responders: 1 hour or more reduc</w:t>
      </w:r>
      <w:r>
        <w:t>tion in absolute off</w:t>
      </w:r>
      <w:r w:rsidR="00FB3DAD">
        <w:t xml:space="preserve"> time from B</w:t>
      </w:r>
      <w:r w:rsidR="00E83511">
        <w:t>aseline to endpoint.</w:t>
      </w:r>
    </w:p>
    <w:p w14:paraId="152AA632" w14:textId="77777777" w:rsidR="00E83511" w:rsidRDefault="00021039" w:rsidP="00E83511">
      <w:pPr>
        <w:pStyle w:val="ListBullet"/>
      </w:pPr>
      <w:r>
        <w:t>On</w:t>
      </w:r>
      <w:r w:rsidR="00E83511">
        <w:t xml:space="preserve"> time responders: 1 hou</w:t>
      </w:r>
      <w:r>
        <w:t>r or more increase in absolute on</w:t>
      </w:r>
      <w:r w:rsidR="00FB3DAD">
        <w:t xml:space="preserve"> time from B</w:t>
      </w:r>
      <w:r w:rsidR="00E83511">
        <w:t>aseline to endpoint.</w:t>
      </w:r>
    </w:p>
    <w:p w14:paraId="203677D9" w14:textId="77777777" w:rsidR="00E83511" w:rsidRDefault="00E83511" w:rsidP="00E83511">
      <w:pPr>
        <w:pStyle w:val="Heading6"/>
      </w:pPr>
      <w:r>
        <w:t>Baseline demographics</w:t>
      </w:r>
    </w:p>
    <w:p w14:paraId="64A095B3" w14:textId="45DA369D" w:rsidR="00E83511" w:rsidRDefault="00E83511" w:rsidP="00E83511">
      <w:r>
        <w:t>In the opicapone 50 mg group, the mean age was around 63 years. Majority of the patients (69.7%) were &lt;</w:t>
      </w:r>
      <w:r w:rsidR="003B7CD2">
        <w:t> </w:t>
      </w:r>
      <w:r>
        <w:t>70 years of age and 60% of patients were males. Around 44% of patients had dyskinesia. Mean absolute off and on times were 6.2 and 9.9</w:t>
      </w:r>
      <w:r w:rsidR="003B7CD2">
        <w:t> </w:t>
      </w:r>
      <w:r w:rsidR="00021039">
        <w:t>hours respectively. The mean on</w:t>
      </w:r>
      <w:r>
        <w:t xml:space="preserve"> time with troub</w:t>
      </w:r>
      <w:r w:rsidR="00836303">
        <w:t xml:space="preserve">lesome dyskinesia was around 20 to </w:t>
      </w:r>
      <w:r w:rsidR="003B7CD2">
        <w:t>30 </w:t>
      </w:r>
      <w:r w:rsidR="00836303">
        <w:t>minutes</w:t>
      </w:r>
      <w:r>
        <w:t xml:space="preserve"> and with non-troublesome dyskinesia was 1 hour. Mean </w:t>
      </w:r>
      <w:r w:rsidR="002C3C05">
        <w:t xml:space="preserve">modified </w:t>
      </w:r>
      <w:proofErr w:type="spellStart"/>
      <w:r w:rsidR="002C3C05">
        <w:t>Hoehn</w:t>
      </w:r>
      <w:proofErr w:type="spellEnd"/>
      <w:r w:rsidR="002C3C05">
        <w:t xml:space="preserve"> </w:t>
      </w:r>
      <w:r w:rsidR="008359FC">
        <w:t>and</w:t>
      </w:r>
      <w:r w:rsidR="002C3C05">
        <w:t xml:space="preserve"> </w:t>
      </w:r>
      <w:proofErr w:type="spellStart"/>
      <w:r w:rsidR="002C3C05">
        <w:t>Yahr</w:t>
      </w:r>
      <w:proofErr w:type="spellEnd"/>
      <w:r w:rsidR="002C3C05">
        <w:t xml:space="preserve"> staging disease severity </w:t>
      </w:r>
      <w:r>
        <w:t>score</w:t>
      </w:r>
      <w:r w:rsidR="00480685">
        <w:t>;</w:t>
      </w:r>
      <w:r w:rsidR="00480685" w:rsidRPr="00480685">
        <w:rPr>
          <w:vertAlign w:val="superscript"/>
        </w:rPr>
        <w:fldChar w:fldCharType="begin"/>
      </w:r>
      <w:r w:rsidR="00480685" w:rsidRPr="00480685">
        <w:rPr>
          <w:vertAlign w:val="superscript"/>
        </w:rPr>
        <w:instrText xml:space="preserve"> NOTEREF _Ref58833141 \h </w:instrText>
      </w:r>
      <w:r w:rsidR="00480685">
        <w:rPr>
          <w:vertAlign w:val="superscript"/>
        </w:rPr>
        <w:instrText xml:space="preserve"> \* MERGEFORMAT </w:instrText>
      </w:r>
      <w:r w:rsidR="00480685" w:rsidRPr="00480685">
        <w:rPr>
          <w:vertAlign w:val="superscript"/>
        </w:rPr>
      </w:r>
      <w:r w:rsidR="00480685" w:rsidRPr="00480685">
        <w:rPr>
          <w:vertAlign w:val="superscript"/>
        </w:rPr>
        <w:fldChar w:fldCharType="separate"/>
      </w:r>
      <w:r w:rsidR="00A55428">
        <w:rPr>
          <w:vertAlign w:val="superscript"/>
        </w:rPr>
        <w:t>12</w:t>
      </w:r>
      <w:r w:rsidR="00480685" w:rsidRPr="00480685">
        <w:rPr>
          <w:vertAlign w:val="superscript"/>
        </w:rPr>
        <w:fldChar w:fldCharType="end"/>
      </w:r>
      <w:r w:rsidR="00021039">
        <w:t xml:space="preserve"> during on</w:t>
      </w:r>
      <w:r w:rsidR="00836303">
        <w:t xml:space="preserve"> time was around 2.4.</w:t>
      </w:r>
    </w:p>
    <w:p w14:paraId="7F9BD402" w14:textId="77777777" w:rsidR="00E83511" w:rsidRDefault="00E83511" w:rsidP="00E83511">
      <w:r>
        <w:t xml:space="preserve">Around 97% and 30% of patients were using the </w:t>
      </w:r>
      <w:r w:rsidR="00480685" w:rsidRPr="00480685">
        <w:t xml:space="preserve">immediate-release </w:t>
      </w:r>
      <w:r w:rsidR="00480685">
        <w:t>(</w:t>
      </w:r>
      <w:r>
        <w:t>IR</w:t>
      </w:r>
      <w:r w:rsidR="00480685">
        <w:t>)</w:t>
      </w:r>
      <w:r>
        <w:t xml:space="preserve"> and </w:t>
      </w:r>
      <w:r w:rsidR="003259CC">
        <w:t>c</w:t>
      </w:r>
      <w:r w:rsidR="00480685" w:rsidRPr="00480685">
        <w:t xml:space="preserve">ontrolled release </w:t>
      </w:r>
      <w:r w:rsidR="00480685">
        <w:t>(</w:t>
      </w:r>
      <w:r>
        <w:t>CR</w:t>
      </w:r>
      <w:r w:rsidR="00480685">
        <w:t>)</w:t>
      </w:r>
      <w:r>
        <w:t xml:space="preserve"> formulations of L-DOPA respectively.</w:t>
      </w:r>
    </w:p>
    <w:p w14:paraId="182144B8" w14:textId="77777777" w:rsidR="00E83511" w:rsidRDefault="00E83511" w:rsidP="00E83511">
      <w:r>
        <w:t>The baseline demographics were comparable across treatment groups.</w:t>
      </w:r>
    </w:p>
    <w:p w14:paraId="4F560136" w14:textId="77777777" w:rsidR="00E83511" w:rsidRDefault="00E83511" w:rsidP="00E83511">
      <w:pPr>
        <w:pStyle w:val="Heading6"/>
      </w:pPr>
      <w:r>
        <w:t>Statistical methods</w:t>
      </w:r>
    </w:p>
    <w:p w14:paraId="31796190" w14:textId="248C97A2" w:rsidR="00E83511" w:rsidRDefault="00E83511" w:rsidP="00E83511">
      <w:r>
        <w:t xml:space="preserve">Multiple 1-sided tests based on an analysis of covariance (ANCOVA) were used to test superiority </w:t>
      </w:r>
      <w:r w:rsidR="00836303">
        <w:t>verse</w:t>
      </w:r>
      <w:r>
        <w:t xml:space="preserve">. placebo in the </w:t>
      </w:r>
      <w:r w:rsidR="00306193">
        <w:t>full analysis s</w:t>
      </w:r>
      <w:r w:rsidR="00306193" w:rsidRPr="00306193">
        <w:t>e</w:t>
      </w:r>
      <w:r w:rsidR="00306193">
        <w:t>t (</w:t>
      </w:r>
      <w:r>
        <w:t>FAS</w:t>
      </w:r>
      <w:r w:rsidR="00306193">
        <w:t>)</w:t>
      </w:r>
      <w:r>
        <w:t xml:space="preserve"> and non-inferiority </w:t>
      </w:r>
      <w:r w:rsidR="00836303">
        <w:t>verse</w:t>
      </w:r>
      <w:r w:rsidR="00480685">
        <w:t xml:space="preserve"> </w:t>
      </w:r>
      <w:proofErr w:type="spellStart"/>
      <w:r w:rsidR="00480685">
        <w:t>entacapone</w:t>
      </w:r>
      <w:proofErr w:type="spellEnd"/>
      <w:r w:rsidR="00480685">
        <w:t xml:space="preserve"> in the per protocol (PP)</w:t>
      </w:r>
      <w:r>
        <w:t xml:space="preserve"> set. In order to control for multiplicity, a sequential gatekeeping procedure was used. The family-wise error rate (joint level of significance of all tests) was 0.025 (corresponding to 0.05 for 2-sided tests). A </w:t>
      </w:r>
      <w:proofErr w:type="spellStart"/>
      <w:r>
        <w:t>Bonferroni</w:t>
      </w:r>
      <w:proofErr w:type="spellEnd"/>
      <w:r>
        <w:t xml:space="preserve">-adjustment was used to adjust the </w:t>
      </w:r>
      <w:r w:rsidR="00306193">
        <w:t>levels of significance for the three</w:t>
      </w:r>
      <w:r>
        <w:t xml:space="preserve"> tests to ensure that the family-wise error rate and all comparisons </w:t>
      </w:r>
      <w:r w:rsidR="00836303">
        <w:t>vers</w:t>
      </w:r>
      <w:r w:rsidR="008359FC">
        <w:t>us</w:t>
      </w:r>
      <w:r>
        <w:t xml:space="preserve"> placebo were treated equally. For each dose of opicapone, non-inferiority </w:t>
      </w:r>
      <w:r w:rsidR="00836303">
        <w:t>vers</w:t>
      </w:r>
      <w:r w:rsidR="008359FC">
        <w:t>us</w:t>
      </w:r>
      <w:r>
        <w:t xml:space="preserve"> </w:t>
      </w:r>
      <w:proofErr w:type="spellStart"/>
      <w:r>
        <w:t>entacapone</w:t>
      </w:r>
      <w:proofErr w:type="spellEnd"/>
      <w:r>
        <w:t xml:space="preserve"> was tested only if the efficacy of opicapone </w:t>
      </w:r>
      <w:r w:rsidR="00836303">
        <w:t>verse</w:t>
      </w:r>
      <w:r>
        <w:t>. placebo had been established. The non-inferiority m</w:t>
      </w:r>
      <w:r w:rsidR="00306193">
        <w:t>argin was chosen as 30 minutes.</w:t>
      </w:r>
    </w:p>
    <w:p w14:paraId="18A0AF33" w14:textId="77777777" w:rsidR="00E83511" w:rsidRDefault="00E83511" w:rsidP="00E83511">
      <w:pPr>
        <w:pStyle w:val="Heading6"/>
      </w:pPr>
      <w:r>
        <w:t>Results</w:t>
      </w:r>
    </w:p>
    <w:p w14:paraId="676E01DB" w14:textId="5AA46498" w:rsidR="00E83511" w:rsidRDefault="00E83511" w:rsidP="00E83511">
      <w:r>
        <w:t>A tot</w:t>
      </w:r>
      <w:r w:rsidR="00306193">
        <w:t>al of 600 patients were randomis</w:t>
      </w:r>
      <w:r>
        <w:t xml:space="preserve">ed: 121 to placebo, 122 to </w:t>
      </w:r>
      <w:proofErr w:type="spellStart"/>
      <w:r>
        <w:t>entacapone</w:t>
      </w:r>
      <w:proofErr w:type="spellEnd"/>
      <w:r>
        <w:t>, 122 to opi</w:t>
      </w:r>
      <w:r w:rsidR="003B7CD2">
        <w:t>capone 5 </w:t>
      </w:r>
      <w:r>
        <w:t>mg, 119 to opicapone</w:t>
      </w:r>
      <w:r w:rsidR="003B7CD2">
        <w:t xml:space="preserve"> 25 mg, and 116 to opicapone 50 </w:t>
      </w:r>
      <w:r>
        <w:t>mg.</w:t>
      </w:r>
    </w:p>
    <w:p w14:paraId="024A0F98" w14:textId="77777777" w:rsidR="00E83511" w:rsidRDefault="00E83511" w:rsidP="00E83511">
      <w:r>
        <w:t xml:space="preserve">The completion rate was high and comparable across all treatment groups: 90.9% for placebo, 87.7% for </w:t>
      </w:r>
      <w:proofErr w:type="spellStart"/>
      <w:r>
        <w:t>entacapone</w:t>
      </w:r>
      <w:proofErr w:type="spellEnd"/>
      <w:r>
        <w:t>, and b</w:t>
      </w:r>
      <w:r w:rsidR="00306193">
        <w:t>etween 90.2% and 92.2% for the three</w:t>
      </w:r>
      <w:r>
        <w:t xml:space="preserve"> opicapone doses.</w:t>
      </w:r>
    </w:p>
    <w:p w14:paraId="6E44F64F" w14:textId="2B4D1C30" w:rsidR="00E83511" w:rsidRDefault="00E83511" w:rsidP="00E83511">
      <w:r>
        <w:t>The most common reason for di</w:t>
      </w:r>
      <w:r w:rsidR="00306193">
        <w:t>scontinuation was a</w:t>
      </w:r>
      <w:r w:rsidR="00306193" w:rsidRPr="00306193">
        <w:t>dverse event</w:t>
      </w:r>
      <w:r w:rsidR="00306193">
        <w:t>s (AE)</w:t>
      </w:r>
      <w:r>
        <w:t xml:space="preserve"> and was lowest in opicapone 50 mg group: 6.6% for placebo, 6.6% for </w:t>
      </w:r>
      <w:proofErr w:type="spellStart"/>
      <w:r>
        <w:t>e</w:t>
      </w:r>
      <w:r w:rsidR="003B7CD2">
        <w:t>ntacapone</w:t>
      </w:r>
      <w:proofErr w:type="spellEnd"/>
      <w:r w:rsidR="003B7CD2">
        <w:t>, 5.7% for opicapone 5 </w:t>
      </w:r>
      <w:r>
        <w:t>mg, 6.7% for opicapone 2</w:t>
      </w:r>
      <w:r w:rsidR="003B7CD2">
        <w:t>5 mg, and 4.3% for opicapone 50 </w:t>
      </w:r>
      <w:r>
        <w:t>mg.</w:t>
      </w:r>
    </w:p>
    <w:p w14:paraId="66AA2877" w14:textId="77777777" w:rsidR="000D19D4" w:rsidRDefault="00E83511" w:rsidP="00652F7C">
      <w:pPr>
        <w:pStyle w:val="Heading6"/>
      </w:pPr>
      <w:r>
        <w:t>Primary endpoint</w:t>
      </w:r>
    </w:p>
    <w:p w14:paraId="28DF4010" w14:textId="1EA7ED15" w:rsidR="00E83511" w:rsidRDefault="00E83511" w:rsidP="00E83511">
      <w:r>
        <w:t>The estimated mean reduction (</w:t>
      </w:r>
      <w:r w:rsidR="00306193">
        <w:t>l</w:t>
      </w:r>
      <w:r w:rsidR="00306193" w:rsidRPr="00306193">
        <w:t>east square</w:t>
      </w:r>
      <w:r w:rsidR="00FB3DAD">
        <w:t xml:space="preserve"> means) from B</w:t>
      </w:r>
      <w:r w:rsidR="00021039">
        <w:t>aseline in absolute off</w:t>
      </w:r>
      <w:r>
        <w:t xml:space="preserve"> time at </w:t>
      </w:r>
      <w:r w:rsidR="00E05121">
        <w:t>E</w:t>
      </w:r>
      <w:r>
        <w:t>ndpoint was largest in the opicapone 50</w:t>
      </w:r>
      <w:r w:rsidR="00306193">
        <w:t xml:space="preserve"> </w:t>
      </w:r>
      <w:r>
        <w:t>mg group (-</w:t>
      </w:r>
      <w:r w:rsidR="00962D7A">
        <w:t xml:space="preserve"> </w:t>
      </w:r>
      <w:r>
        <w:t xml:space="preserve">116.8 minutes), followed by </w:t>
      </w:r>
      <w:proofErr w:type="spellStart"/>
      <w:r>
        <w:t>entacapone</w:t>
      </w:r>
      <w:proofErr w:type="spellEnd"/>
      <w:r>
        <w:t xml:space="preserve"> (-</w:t>
      </w:r>
      <w:r w:rsidR="00962D7A">
        <w:t xml:space="preserve"> </w:t>
      </w:r>
      <w:r>
        <w:t>96.3 minutes)</w:t>
      </w:r>
    </w:p>
    <w:p w14:paraId="17A96FB2" w14:textId="77777777" w:rsidR="00E83511" w:rsidRDefault="00E83511" w:rsidP="00E83511">
      <w:r>
        <w:t xml:space="preserve">Opicapone was superior to placebo and non-inferior to </w:t>
      </w:r>
      <w:proofErr w:type="spellStart"/>
      <w:r>
        <w:t>entacapone</w:t>
      </w:r>
      <w:proofErr w:type="spellEnd"/>
      <w:r>
        <w:t>, in terms o</w:t>
      </w:r>
      <w:r w:rsidR="00021039">
        <w:t>f mean change in off</w:t>
      </w:r>
      <w:r w:rsidR="00FB3DAD">
        <w:t xml:space="preserve"> time from B</w:t>
      </w:r>
      <w:r>
        <w:t>aseline. The non-inferiority was concluded based on the non-inferiority margin of 30 minutes that was chosen by the sponsor.</w:t>
      </w:r>
    </w:p>
    <w:p w14:paraId="5A2EB6E3" w14:textId="69608EC4" w:rsidR="00E83511" w:rsidRDefault="00F6251A" w:rsidP="00E83511">
      <w:r>
        <w:t>The Delegate comments</w:t>
      </w:r>
      <w:r w:rsidR="00306193">
        <w:t xml:space="preserve"> that </w:t>
      </w:r>
      <w:r w:rsidR="008359FC">
        <w:t xml:space="preserve">regarding </w:t>
      </w:r>
      <w:r w:rsidR="00306193">
        <w:t>the handling of missing data</w:t>
      </w:r>
      <w:r w:rsidR="008359FC">
        <w:t>, d</w:t>
      </w:r>
      <w:r w:rsidR="00E83511">
        <w:t>ifferent methods of imputation as sensitivity analyses on the primary endpoint were undertaken and resulted in comparable primary results.</w:t>
      </w:r>
    </w:p>
    <w:p w14:paraId="4D2AF748" w14:textId="3B124BFF" w:rsidR="000744E5" w:rsidRDefault="00F675B9" w:rsidP="00F675B9">
      <w:pPr>
        <w:pStyle w:val="TableTitle"/>
      </w:pPr>
      <w:r>
        <w:t xml:space="preserve">Table </w:t>
      </w:r>
      <w:fldSimple w:instr=" SEQ Table \* ARABIC ">
        <w:r w:rsidR="00A55428">
          <w:rPr>
            <w:noProof/>
          </w:rPr>
          <w:t>3</w:t>
        </w:r>
      </w:fldSimple>
      <w:r>
        <w:t>: Study 301 Primary endpoint</w:t>
      </w:r>
      <w:r w:rsidR="00E05121">
        <w:t>, change from Baseline to Endpoint in absolute off time (minutes)</w:t>
      </w:r>
    </w:p>
    <w:p w14:paraId="453D9786" w14:textId="77777777" w:rsidR="00E05121" w:rsidRDefault="00F675B9" w:rsidP="00F675B9">
      <w:r w:rsidRPr="00144C89">
        <w:rPr>
          <w:noProof/>
          <w:sz w:val="16"/>
          <w:lang w:eastAsia="en-AU"/>
        </w:rPr>
        <w:drawing>
          <wp:inline distT="0" distB="0" distL="0" distR="0" wp14:anchorId="0E139C10" wp14:editId="2156D40D">
            <wp:extent cx="5319490" cy="2858947"/>
            <wp:effectExtent l="0" t="0" r="0" b="0"/>
            <wp:docPr id="136" name="Picture 136" descr="Study 301 Primary end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54939" cy="2877999"/>
                    </a:xfrm>
                    <a:prstGeom prst="rect">
                      <a:avLst/>
                    </a:prstGeom>
                  </pic:spPr>
                </pic:pic>
              </a:graphicData>
            </a:graphic>
          </wp:inline>
        </w:drawing>
      </w:r>
    </w:p>
    <w:p w14:paraId="258AB3D7" w14:textId="3A1E6EA3" w:rsidR="00DF226E" w:rsidRDefault="00E05121" w:rsidP="00155799">
      <w:pPr>
        <w:pStyle w:val="TableDescription"/>
      </w:pPr>
      <w:r>
        <w:t xml:space="preserve">N = number of subjects; LS = least squares; SE = standard </w:t>
      </w:r>
      <w:proofErr w:type="spellStart"/>
      <w:r>
        <w:t>effor</w:t>
      </w:r>
      <w:proofErr w:type="spellEnd"/>
      <w:r>
        <w:t>; CI = confidence interval; FAS = full analysis set population; PP set = per protocol set population; OPC = opicapone.</w:t>
      </w:r>
    </w:p>
    <w:p w14:paraId="3C8728E6" w14:textId="70F63234" w:rsidR="00DF226E" w:rsidRDefault="00DF226E" w:rsidP="00155799">
      <w:pPr>
        <w:pStyle w:val="TableDescription"/>
      </w:pPr>
      <w:r>
        <w:t>Note: p-values are 1-sided and based on Type III sums of squares.</w:t>
      </w:r>
    </w:p>
    <w:p w14:paraId="0B5AD04C" w14:textId="77777777" w:rsidR="00DF226E" w:rsidRDefault="00DF226E" w:rsidP="00155799">
      <w:pPr>
        <w:pStyle w:val="TableDescription"/>
      </w:pPr>
      <w:r>
        <w:t>a) upper bound of the 2-sided unadjusted 95% confidence interval.</w:t>
      </w:r>
    </w:p>
    <w:p w14:paraId="045D76AD" w14:textId="74189852" w:rsidR="00F675B9" w:rsidRDefault="00DF226E" w:rsidP="00155799">
      <w:pPr>
        <w:pStyle w:val="TableDescription"/>
      </w:pPr>
      <w:r>
        <w:t>b) calculated using Graph Based Multiple Comparison procedure (</w:t>
      </w:r>
      <w:proofErr w:type="spellStart"/>
      <w:r>
        <w:t>gMCP</w:t>
      </w:r>
      <w:proofErr w:type="spellEnd"/>
      <w:r>
        <w:t>; CRAN)</w:t>
      </w:r>
    </w:p>
    <w:p w14:paraId="109E8572" w14:textId="77777777" w:rsidR="00F675B9" w:rsidRPr="00DF226E" w:rsidRDefault="00F675B9">
      <w:pPr>
        <w:pStyle w:val="Heading6"/>
      </w:pPr>
      <w:r w:rsidRPr="00155799">
        <w:rPr>
          <w:rStyle w:val="Heading6Char"/>
          <w:bCs/>
          <w:i/>
        </w:rPr>
        <w:t>Secondary endpoints</w:t>
      </w:r>
    </w:p>
    <w:p w14:paraId="2C721B8A" w14:textId="3EABD5BF" w:rsidR="00F675B9" w:rsidRDefault="00F675B9" w:rsidP="00F675B9">
      <w:r w:rsidRPr="00FE5DE2">
        <w:t>Respon</w:t>
      </w:r>
      <w:r w:rsidR="00021039">
        <w:t>der rates for on and off</w:t>
      </w:r>
      <w:r>
        <w:t xml:space="preserve"> times:</w:t>
      </w:r>
      <w:r w:rsidR="00DF226E">
        <w:t xml:space="preserve"> Off time and on time responders were defined as follows:</w:t>
      </w:r>
    </w:p>
    <w:p w14:paraId="30974EA8" w14:textId="59888BC4" w:rsidR="00F675B9" w:rsidRDefault="00F675B9" w:rsidP="00155799">
      <w:pPr>
        <w:pStyle w:val="ListBullet"/>
      </w:pPr>
      <w:r w:rsidRPr="00FE5DE2">
        <w:t xml:space="preserve">An </w:t>
      </w:r>
      <w:r w:rsidR="003259CC">
        <w:t>off time</w:t>
      </w:r>
      <w:r w:rsidRPr="00FE5DE2">
        <w:t xml:space="preserve"> responder was defined as a subject who had a </w:t>
      </w:r>
      <w:r w:rsidR="003B7CD2">
        <w:t>reduction of at least 1 </w:t>
      </w:r>
      <w:r>
        <w:t xml:space="preserve">hour in </w:t>
      </w:r>
      <w:r w:rsidRPr="00FE5DE2">
        <w:t xml:space="preserve">absolute </w:t>
      </w:r>
      <w:r w:rsidR="003259CC">
        <w:t xml:space="preserve">off </w:t>
      </w:r>
      <w:r w:rsidR="00FB3DAD">
        <w:t>time from B</w:t>
      </w:r>
      <w:r w:rsidR="00352881">
        <w:t xml:space="preserve">aseline to </w:t>
      </w:r>
      <w:r w:rsidR="00DF226E">
        <w:t>E</w:t>
      </w:r>
      <w:r w:rsidR="00352881">
        <w:t>ndpoint.</w:t>
      </w:r>
    </w:p>
    <w:p w14:paraId="37B14E7C" w14:textId="7DD48EF1" w:rsidR="00F675B9" w:rsidRDefault="003259CC" w:rsidP="00155799">
      <w:pPr>
        <w:pStyle w:val="ListBullet"/>
      </w:pPr>
      <w:r>
        <w:t xml:space="preserve">An on </w:t>
      </w:r>
      <w:r w:rsidR="00F675B9" w:rsidRPr="00FE5DE2">
        <w:t>time responder was defined as a</w:t>
      </w:r>
      <w:r w:rsidR="00F675B9">
        <w:t xml:space="preserve"> </w:t>
      </w:r>
      <w:r w:rsidR="00F675B9" w:rsidRPr="00FE5DE2">
        <w:t>subject who had an increase of at le</w:t>
      </w:r>
      <w:r w:rsidR="003B7CD2">
        <w:t>ast 1 </w:t>
      </w:r>
      <w:r>
        <w:t xml:space="preserve">hour in absolute total on </w:t>
      </w:r>
      <w:r w:rsidR="00F675B9" w:rsidRPr="00FE5DE2">
        <w:t>time.</w:t>
      </w:r>
    </w:p>
    <w:p w14:paraId="281CC184" w14:textId="493695B2" w:rsidR="00F675B9" w:rsidRDefault="00F675B9" w:rsidP="00F675B9">
      <w:pPr>
        <w:pStyle w:val="TableTitle"/>
      </w:pPr>
      <w:r w:rsidRPr="00F675B9">
        <w:t xml:space="preserve">Table </w:t>
      </w:r>
      <w:fldSimple w:instr=" SEQ Table \* ARABIC ">
        <w:r w:rsidR="00A55428">
          <w:rPr>
            <w:noProof/>
          </w:rPr>
          <w:t>4</w:t>
        </w:r>
      </w:fldSimple>
      <w:r>
        <w:t>: Study 301 Secondary endpoint</w:t>
      </w:r>
      <w:r w:rsidR="00DF226E">
        <w:t>, proportion of off-time and on-time responders</w:t>
      </w:r>
    </w:p>
    <w:p w14:paraId="7238AFF4" w14:textId="28B70EC0" w:rsidR="00F675B9" w:rsidRDefault="00F675B9" w:rsidP="00F675B9">
      <w:r>
        <w:rPr>
          <w:i/>
          <w:noProof/>
          <w:lang w:eastAsia="en-AU"/>
        </w:rPr>
        <w:drawing>
          <wp:inline distT="0" distB="0" distL="0" distR="0" wp14:anchorId="1B11C014" wp14:editId="13029270">
            <wp:extent cx="5306992" cy="4155035"/>
            <wp:effectExtent l="0" t="0" r="8255" b="0"/>
            <wp:docPr id="6" name="Picture 6" descr="Study 301 Secondary end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23831" cy="4168219"/>
                    </a:xfrm>
                    <a:prstGeom prst="rect">
                      <a:avLst/>
                    </a:prstGeom>
                    <a:noFill/>
                  </pic:spPr>
                </pic:pic>
              </a:graphicData>
            </a:graphic>
          </wp:inline>
        </w:drawing>
      </w:r>
    </w:p>
    <w:p w14:paraId="11BD92D3" w14:textId="1468762C" w:rsidR="00DF226E" w:rsidRDefault="00DF226E" w:rsidP="00155799">
      <w:pPr>
        <w:pStyle w:val="TableDescription"/>
      </w:pPr>
      <w:r>
        <w:t>N = number of subjects; OPC = opicapone; CMH = Cochrane-Mantel-</w:t>
      </w:r>
      <w:proofErr w:type="spellStart"/>
      <w:r>
        <w:t>Haenszel</w:t>
      </w:r>
      <w:proofErr w:type="spellEnd"/>
      <w:r>
        <w:t xml:space="preserve"> test, stratified by region.</w:t>
      </w:r>
    </w:p>
    <w:p w14:paraId="03C31D07" w14:textId="1086987C" w:rsidR="00F675B9" w:rsidRDefault="003259CC" w:rsidP="00F675B9">
      <w:r>
        <w:t>The proportion of off</w:t>
      </w:r>
      <w:r w:rsidR="0003112C">
        <w:t xml:space="preserve"> </w:t>
      </w:r>
      <w:r w:rsidR="00F675B9">
        <w:t>time responders in the FAS was significa</w:t>
      </w:r>
      <w:r w:rsidR="003B7CD2">
        <w:t>ntly higher in the opicapone 25 </w:t>
      </w:r>
      <w:r w:rsidR="00F675B9">
        <w:t>mg group (60.3%, p</w:t>
      </w:r>
      <w:r w:rsidR="00836303">
        <w:t xml:space="preserve"> = </w:t>
      </w:r>
      <w:r w:rsidR="00F675B9">
        <w:t>0.0464) and the opicapone 50 mg group (69.6%, p</w:t>
      </w:r>
      <w:r w:rsidR="00836303">
        <w:t xml:space="preserve"> = </w:t>
      </w:r>
      <w:r w:rsidR="00F675B9">
        <w:t>0.0011), compared to placebo (47.5%).</w:t>
      </w:r>
    </w:p>
    <w:p w14:paraId="6F3D52E8" w14:textId="33ABDBAA" w:rsidR="00F675B9" w:rsidRDefault="003259CC" w:rsidP="00F675B9">
      <w:r>
        <w:t xml:space="preserve">The proportion of on </w:t>
      </w:r>
      <w:r w:rsidR="00F675B9">
        <w:t>time responders was significa</w:t>
      </w:r>
      <w:r w:rsidR="00962D7A">
        <w:t>ntly higher in the opicapone 50 </w:t>
      </w:r>
      <w:r w:rsidR="00F675B9">
        <w:t xml:space="preserve">mg group than in the placebo group (65.2% </w:t>
      </w:r>
      <w:r w:rsidR="00836303">
        <w:t>vers</w:t>
      </w:r>
      <w:r w:rsidR="007C09B3">
        <w:t>us</w:t>
      </w:r>
      <w:r w:rsidR="00F675B9">
        <w:t xml:space="preserve"> 45.8%, p</w:t>
      </w:r>
      <w:r w:rsidR="00836303">
        <w:t xml:space="preserve"> = </w:t>
      </w:r>
      <w:r w:rsidR="00F675B9">
        <w:t>0.0028).</w:t>
      </w:r>
    </w:p>
    <w:p w14:paraId="1EA2856B" w14:textId="28738C9F" w:rsidR="00F675B9" w:rsidRDefault="00F675B9" w:rsidP="00F675B9">
      <w:r>
        <w:t>The opicapone 50 mg group</w:t>
      </w:r>
      <w:r w:rsidR="003259CC">
        <w:t xml:space="preserve"> had a higher proportion of off </w:t>
      </w:r>
      <w:r>
        <w:t>time</w:t>
      </w:r>
      <w:r w:rsidR="00836303">
        <w:t xml:space="preserve"> responders (69.6% vers</w:t>
      </w:r>
      <w:r w:rsidR="007C09B3">
        <w:t>us</w:t>
      </w:r>
      <w:r w:rsidR="00836303">
        <w:t xml:space="preserve"> 58.3%, p = </w:t>
      </w:r>
      <w:r w:rsidR="003259CC">
        <w:t xml:space="preserve">0.0626) and on </w:t>
      </w:r>
      <w:r>
        <w:t xml:space="preserve">time responders (65.2% </w:t>
      </w:r>
      <w:r w:rsidR="00836303">
        <w:t>vers</w:t>
      </w:r>
      <w:r w:rsidR="007C09B3">
        <w:t>us</w:t>
      </w:r>
      <w:r>
        <w:t xml:space="preserve"> 57.5%, p</w:t>
      </w:r>
      <w:r w:rsidR="00836303">
        <w:t xml:space="preserve"> = </w:t>
      </w:r>
      <w:r>
        <w:t xml:space="preserve">0.1479) compared to the </w:t>
      </w:r>
      <w:proofErr w:type="spellStart"/>
      <w:r>
        <w:t>entacapone</w:t>
      </w:r>
      <w:proofErr w:type="spellEnd"/>
      <w:r>
        <w:t xml:space="preserve"> group. The differences in the proportion of responders were not statistically significant.</w:t>
      </w:r>
    </w:p>
    <w:p w14:paraId="5BE52C84" w14:textId="77777777" w:rsidR="00F675B9" w:rsidRDefault="00F675B9" w:rsidP="00F675B9">
      <w:r>
        <w:t>L</w:t>
      </w:r>
      <w:r w:rsidR="00306193">
        <w:t>east square (LS)</w:t>
      </w:r>
      <w:r w:rsidR="003259CC">
        <w:t xml:space="preserve"> mean change in total on </w:t>
      </w:r>
      <w:r>
        <w:t xml:space="preserve">time was not significantly different between opicapone and </w:t>
      </w:r>
      <w:proofErr w:type="spellStart"/>
      <w:r>
        <w:t>entacapone</w:t>
      </w:r>
      <w:proofErr w:type="spellEnd"/>
      <w:r>
        <w:t>.</w:t>
      </w:r>
    </w:p>
    <w:p w14:paraId="01E9AB35" w14:textId="19908D57" w:rsidR="00F675B9" w:rsidRDefault="00F675B9" w:rsidP="00F675B9">
      <w:r>
        <w:t>In the opi</w:t>
      </w:r>
      <w:r w:rsidR="00FB3DAD">
        <w:t>capone groups, the change from B</w:t>
      </w:r>
      <w:r>
        <w:t xml:space="preserve">aseline to </w:t>
      </w:r>
      <w:r w:rsidR="007C09B3">
        <w:t>E</w:t>
      </w:r>
      <w:r>
        <w:t xml:space="preserve">ndpoint in </w:t>
      </w:r>
      <w:r w:rsidR="003259CC">
        <w:t xml:space="preserve">LS mean on </w:t>
      </w:r>
      <w:r>
        <w:t>time without troublesome dyskinesia ranged from 84.7 minu</w:t>
      </w:r>
      <w:r w:rsidR="003B7CD2">
        <w:t>tes in the 25 mg group to 109.1 minutes in the 50 </w:t>
      </w:r>
      <w:r>
        <w:t xml:space="preserve">mg group, compared to </w:t>
      </w:r>
      <w:r w:rsidR="00306193">
        <w:t xml:space="preserve">93 minutes in </w:t>
      </w:r>
      <w:proofErr w:type="spellStart"/>
      <w:r w:rsidR="00306193">
        <w:t>entacapone</w:t>
      </w:r>
      <w:proofErr w:type="spellEnd"/>
      <w:r w:rsidR="00306193">
        <w:t xml:space="preserve"> group.</w:t>
      </w:r>
    </w:p>
    <w:p w14:paraId="7C59CF44" w14:textId="19F4C55D" w:rsidR="00F675B9" w:rsidRDefault="00F675B9" w:rsidP="00F675B9">
      <w:r>
        <w:t>The ove</w:t>
      </w:r>
      <w:r w:rsidR="00021039">
        <w:t>rall reduction in percentage off</w:t>
      </w:r>
      <w:r>
        <w:t xml:space="preserve"> time was </w:t>
      </w:r>
      <w:r w:rsidR="003B7CD2">
        <w:t>comparable between opicapone 50 </w:t>
      </w:r>
      <w:r>
        <w:t xml:space="preserve">mg group (-12.1%) and </w:t>
      </w:r>
      <w:proofErr w:type="spellStart"/>
      <w:r>
        <w:t>entacapone</w:t>
      </w:r>
      <w:proofErr w:type="spellEnd"/>
      <w:r>
        <w:t xml:space="preserve"> group (-10.3%). Both groups </w:t>
      </w:r>
      <w:r w:rsidR="00021039">
        <w:t>had significant reduction in off</w:t>
      </w:r>
      <w:r>
        <w:t xml:space="preserve"> time, when compared to placebo.</w:t>
      </w:r>
    </w:p>
    <w:p w14:paraId="1C715AB2" w14:textId="77777777" w:rsidR="00F675B9" w:rsidRDefault="00F675B9" w:rsidP="00F675B9">
      <w:pPr>
        <w:pStyle w:val="Heading6"/>
      </w:pPr>
      <w:r>
        <w:t>Total Unified Parkinson's Disease Rating Scale (UPDRS)</w:t>
      </w:r>
    </w:p>
    <w:p w14:paraId="43B113F0" w14:textId="77777777" w:rsidR="00F675B9" w:rsidRDefault="00F675B9" w:rsidP="00F675B9">
      <w:r>
        <w:t>The mean reduction in total UPDRS</w:t>
      </w:r>
      <w:r w:rsidR="005960AF">
        <w:t>;</w:t>
      </w:r>
      <w:r w:rsidR="005960AF" w:rsidRPr="005960AF">
        <w:rPr>
          <w:vertAlign w:val="superscript"/>
        </w:rPr>
        <w:fldChar w:fldCharType="begin"/>
      </w:r>
      <w:r w:rsidR="005960AF" w:rsidRPr="005960AF">
        <w:rPr>
          <w:vertAlign w:val="superscript"/>
        </w:rPr>
        <w:instrText xml:space="preserve"> NOTEREF _Ref58833956 \h </w:instrText>
      </w:r>
      <w:r w:rsidR="005960AF">
        <w:rPr>
          <w:vertAlign w:val="superscript"/>
        </w:rPr>
        <w:instrText xml:space="preserve"> \* MERGEFORMAT </w:instrText>
      </w:r>
      <w:r w:rsidR="005960AF" w:rsidRPr="005960AF">
        <w:rPr>
          <w:vertAlign w:val="superscript"/>
        </w:rPr>
      </w:r>
      <w:r w:rsidR="005960AF" w:rsidRPr="005960AF">
        <w:rPr>
          <w:vertAlign w:val="superscript"/>
        </w:rPr>
        <w:fldChar w:fldCharType="separate"/>
      </w:r>
      <w:r w:rsidR="00A55428">
        <w:rPr>
          <w:vertAlign w:val="superscript"/>
        </w:rPr>
        <w:t>13</w:t>
      </w:r>
      <w:r w:rsidR="005960AF" w:rsidRPr="005960AF">
        <w:rPr>
          <w:vertAlign w:val="superscript"/>
        </w:rPr>
        <w:fldChar w:fldCharType="end"/>
      </w:r>
      <w:r w:rsidR="00FB3DAD">
        <w:t xml:space="preserve"> from B</w:t>
      </w:r>
      <w:r>
        <w:t>aseline were similar across all treatment groups. The LS mean change was -</w:t>
      </w:r>
      <w:r w:rsidR="005960AF">
        <w:t xml:space="preserve"> </w:t>
      </w:r>
      <w:r>
        <w:t>5.4 for placebo, -</w:t>
      </w:r>
      <w:r w:rsidR="005960AF">
        <w:t xml:space="preserve"> </w:t>
      </w:r>
      <w:r>
        <w:t xml:space="preserve">6.1 for </w:t>
      </w:r>
      <w:proofErr w:type="spellStart"/>
      <w:r>
        <w:t>entacapone</w:t>
      </w:r>
      <w:proofErr w:type="spellEnd"/>
      <w:r>
        <w:t>, -</w:t>
      </w:r>
      <w:r w:rsidR="005960AF">
        <w:t xml:space="preserve"> </w:t>
      </w:r>
      <w:r w:rsidR="00962D7A">
        <w:t>7.3 for opicapone 5 </w:t>
      </w:r>
      <w:r>
        <w:t>mg, -</w:t>
      </w:r>
      <w:r w:rsidR="005960AF">
        <w:t xml:space="preserve"> </w:t>
      </w:r>
      <w:r>
        <w:t>7.0 for opicapone 25 mg, and -</w:t>
      </w:r>
      <w:r w:rsidR="005960AF">
        <w:t xml:space="preserve"> </w:t>
      </w:r>
      <w:r>
        <w:t>6.1 for opicapone 50 mg.</w:t>
      </w:r>
    </w:p>
    <w:p w14:paraId="7B56BDA5" w14:textId="77777777" w:rsidR="00F675B9" w:rsidRDefault="00F675B9" w:rsidP="00F675B9">
      <w:r>
        <w:t>None of the differences between the active groups and placebo were statistically significant.</w:t>
      </w:r>
    </w:p>
    <w:p w14:paraId="49B64C84" w14:textId="77777777" w:rsidR="00F675B9" w:rsidRDefault="00F675B9" w:rsidP="00F675B9">
      <w:pPr>
        <w:pStyle w:val="Heading6"/>
      </w:pPr>
      <w:r>
        <w:t>Parkinson’s Disease Sl</w:t>
      </w:r>
      <w:r w:rsidR="001421DD">
        <w:t>eep Scale</w:t>
      </w:r>
    </w:p>
    <w:p w14:paraId="71A23B3E" w14:textId="7625AFD2" w:rsidR="00F675B9" w:rsidRDefault="00F675B9" w:rsidP="001421DD">
      <w:r>
        <w:t>The post-</w:t>
      </w:r>
      <w:r w:rsidR="007C09B3">
        <w:t>b</w:t>
      </w:r>
      <w:r>
        <w:t xml:space="preserve">aseline </w:t>
      </w:r>
      <w:r w:rsidR="001421DD">
        <w:t xml:space="preserve">Parkinson’s </w:t>
      </w:r>
      <w:r w:rsidR="007C09B3">
        <w:t>D</w:t>
      </w:r>
      <w:r w:rsidR="001421DD">
        <w:t xml:space="preserve">isease </w:t>
      </w:r>
      <w:r w:rsidR="007C09B3">
        <w:t>S</w:t>
      </w:r>
      <w:r w:rsidR="001421DD">
        <w:t xml:space="preserve">leep </w:t>
      </w:r>
      <w:r w:rsidR="007C09B3">
        <w:t>S</w:t>
      </w:r>
      <w:r w:rsidR="001421DD" w:rsidRPr="001421DD">
        <w:t xml:space="preserve">cale </w:t>
      </w:r>
      <w:r w:rsidR="001421DD">
        <w:t>(</w:t>
      </w:r>
      <w:r>
        <w:t>PDSS</w:t>
      </w:r>
      <w:r w:rsidR="001421DD">
        <w:t>)</w:t>
      </w:r>
      <w:r w:rsidR="007C09B3">
        <w:rPr>
          <w:rStyle w:val="FootnoteReference"/>
        </w:rPr>
        <w:footnoteReference w:id="15"/>
      </w:r>
      <w:r>
        <w:t xml:space="preserve"> total scores improved across all treatment groups. The magnitude of changes observed fo</w:t>
      </w:r>
      <w:r w:rsidR="00962D7A">
        <w:t>r the opicapone (2.89 in the 50 </w:t>
      </w:r>
      <w:r>
        <w:t xml:space="preserve">mg, 5.51 in the 25 mg, and 5.19 in the 5 mg groups) and </w:t>
      </w:r>
      <w:proofErr w:type="spellStart"/>
      <w:r>
        <w:t>entacapone</w:t>
      </w:r>
      <w:proofErr w:type="spellEnd"/>
      <w:r>
        <w:t xml:space="preserve"> groups (2.86) were greater than placebo (1.04). There were no statistically significant differences between any of the groups.</w:t>
      </w:r>
    </w:p>
    <w:p w14:paraId="77C7AAD0" w14:textId="77777777" w:rsidR="00F675B9" w:rsidRDefault="00F675B9" w:rsidP="00F675B9">
      <w:pPr>
        <w:pStyle w:val="Heading6"/>
      </w:pPr>
      <w:r>
        <w:t>Parkinson’s Disease</w:t>
      </w:r>
      <w:r w:rsidR="001421DD">
        <w:t xml:space="preserve"> Quality of Life Questionnaire</w:t>
      </w:r>
    </w:p>
    <w:p w14:paraId="41F0DFFA" w14:textId="0FA44D40" w:rsidR="00F675B9" w:rsidRDefault="00F675B9" w:rsidP="00F675B9">
      <w:r>
        <w:t xml:space="preserve">The post-baseline </w:t>
      </w:r>
      <w:r w:rsidR="001421DD">
        <w:t xml:space="preserve">Parkinson’s </w:t>
      </w:r>
      <w:r w:rsidR="00F40C3E">
        <w:t>D</w:t>
      </w:r>
      <w:r w:rsidR="001421DD">
        <w:t xml:space="preserve">isease </w:t>
      </w:r>
      <w:r w:rsidR="00F40C3E">
        <w:t>Q</w:t>
      </w:r>
      <w:r w:rsidR="001421DD">
        <w:t xml:space="preserve">uality of </w:t>
      </w:r>
      <w:r w:rsidR="00F40C3E">
        <w:t>L</w:t>
      </w:r>
      <w:r w:rsidR="001421DD">
        <w:t xml:space="preserve">ife </w:t>
      </w:r>
      <w:r w:rsidR="00F40C3E">
        <w:t>Q</w:t>
      </w:r>
      <w:r w:rsidR="001421DD" w:rsidRPr="001421DD">
        <w:t xml:space="preserve">uestionnaire </w:t>
      </w:r>
      <w:r w:rsidR="001421DD">
        <w:t>(</w:t>
      </w:r>
      <w:r>
        <w:t>PDQ-39</w:t>
      </w:r>
      <w:r w:rsidR="001421DD">
        <w:t>)</w:t>
      </w:r>
      <w:r w:rsidR="00F40C3E">
        <w:rPr>
          <w:rStyle w:val="FootnoteReference"/>
        </w:rPr>
        <w:footnoteReference w:id="16"/>
      </w:r>
      <w:r>
        <w:t xml:space="preserve"> total scores decreased in all groups. At </w:t>
      </w:r>
      <w:r w:rsidR="00FB3DAD">
        <w:t>endpoint, LS mean changes from B</w:t>
      </w:r>
      <w:r>
        <w:t>aseline were -4.1 for the opicapone 5 mg treatment group, -2.5 for opicapone 25 mg, -</w:t>
      </w:r>
      <w:r w:rsidR="003B7CD2">
        <w:t>2.8 for opicapone 50 </w:t>
      </w:r>
      <w:r>
        <w:t xml:space="preserve">mg, and -4.0 for </w:t>
      </w:r>
      <w:proofErr w:type="spellStart"/>
      <w:r>
        <w:t>entacapone</w:t>
      </w:r>
      <w:proofErr w:type="spellEnd"/>
      <w:r>
        <w:t>, and -2.6 for placebo. No significant differences between treatment groups were observed.</w:t>
      </w:r>
    </w:p>
    <w:p w14:paraId="50CD61BF" w14:textId="588A22B8" w:rsidR="00F675B9" w:rsidRDefault="001421DD" w:rsidP="00F675B9">
      <w:pPr>
        <w:pStyle w:val="Heading6"/>
      </w:pPr>
      <w:r>
        <w:t>Non-Motor Symptoms Scale</w:t>
      </w:r>
    </w:p>
    <w:p w14:paraId="722BB3C0" w14:textId="7D8F9090" w:rsidR="00F675B9" w:rsidRDefault="00F675B9" w:rsidP="00F675B9">
      <w:r>
        <w:t>Th</w:t>
      </w:r>
      <w:r w:rsidR="00FB3DAD">
        <w:t>e LS mean changes from B</w:t>
      </w:r>
      <w:r>
        <w:t>aseline</w:t>
      </w:r>
      <w:r w:rsidR="00352221">
        <w:t xml:space="preserve"> for Non-Motor </w:t>
      </w:r>
      <w:proofErr w:type="spellStart"/>
      <w:r w:rsidR="00352221">
        <w:t>Symtoms</w:t>
      </w:r>
      <w:proofErr w:type="spellEnd"/>
      <w:r w:rsidR="00352221">
        <w:t xml:space="preserve"> Scale (NMSS)</w:t>
      </w:r>
      <w:r w:rsidR="00352221">
        <w:rPr>
          <w:rStyle w:val="FootnoteReference"/>
        </w:rPr>
        <w:footnoteReference w:id="17"/>
      </w:r>
      <w:r w:rsidR="00352221">
        <w:t xml:space="preserve"> scores</w:t>
      </w:r>
      <w:r>
        <w:t xml:space="preserve"> were </w:t>
      </w:r>
      <w:r w:rsidR="00F72F4C">
        <w:noBreakHyphen/>
      </w:r>
      <w:r>
        <w:t>5.6 for the o</w:t>
      </w:r>
      <w:r w:rsidR="001421DD">
        <w:t xml:space="preserve">picapone 5 mg treatment group, </w:t>
      </w:r>
      <w:r w:rsidR="00352221">
        <w:noBreakHyphen/>
      </w:r>
      <w:r>
        <w:t xml:space="preserve">4.2 for opicapone 25 mg, -2.0 for opicapone 50 mg, -4.7 for </w:t>
      </w:r>
      <w:proofErr w:type="spellStart"/>
      <w:r>
        <w:t>entacapone</w:t>
      </w:r>
      <w:proofErr w:type="spellEnd"/>
      <w:r>
        <w:t>, and -5.7 for placebo. No significant differences between treatment groups were observed</w:t>
      </w:r>
      <w:r w:rsidR="00352881">
        <w:t>.</w:t>
      </w:r>
    </w:p>
    <w:p w14:paraId="119BC503" w14:textId="171C2B3D" w:rsidR="00F675B9" w:rsidRDefault="00F675B9" w:rsidP="00F675B9">
      <w:r>
        <w:t xml:space="preserve">The efficacy results were comparable across sub groups, based on disease duration, </w:t>
      </w:r>
      <w:r w:rsidR="00352221">
        <w:t>UPDRS score</w:t>
      </w:r>
      <w:r>
        <w:t xml:space="preserve"> and levodopa daily dose.</w:t>
      </w:r>
    </w:p>
    <w:p w14:paraId="1FE1CC19" w14:textId="77777777" w:rsidR="00F675B9" w:rsidRDefault="00F675B9" w:rsidP="00F675B9">
      <w:pPr>
        <w:pStyle w:val="Heading5"/>
      </w:pPr>
      <w:r>
        <w:t>Study 302</w:t>
      </w:r>
    </w:p>
    <w:p w14:paraId="345FA3EA" w14:textId="55682B60" w:rsidR="00F675B9" w:rsidRDefault="00F72F4C" w:rsidP="00F675B9">
      <w:r>
        <w:t xml:space="preserve">Study BIA </w:t>
      </w:r>
      <w:r w:rsidRPr="007035BD">
        <w:t>9</w:t>
      </w:r>
      <w:r>
        <w:t>-1067-302,</w:t>
      </w:r>
      <w:r w:rsidRPr="007035BD">
        <w:t xml:space="preserve"> her</w:t>
      </w:r>
      <w:r>
        <w:t xml:space="preserve">eafter referred to as Study 302 had an </w:t>
      </w:r>
      <w:r w:rsidR="001421DD">
        <w:t xml:space="preserve">identical </w:t>
      </w:r>
      <w:r>
        <w:t>study design as</w:t>
      </w:r>
      <w:r w:rsidR="001421DD">
        <w:t xml:space="preserve"> S</w:t>
      </w:r>
      <w:r w:rsidR="00F675B9">
        <w:t>tudy 301</w:t>
      </w:r>
      <w:r>
        <w:t xml:space="preserve"> (described above)</w:t>
      </w:r>
      <w:r w:rsidR="001421DD">
        <w:t>. The key difference being the three</w:t>
      </w:r>
      <w:r w:rsidR="00F675B9">
        <w:t xml:space="preserve"> treatment groups (</w:t>
      </w:r>
      <w:r w:rsidR="00256128">
        <w:t xml:space="preserve">randomised to </w:t>
      </w:r>
      <w:r w:rsidR="00F675B9">
        <w:t>opicapone 25</w:t>
      </w:r>
      <w:r w:rsidR="00256128">
        <w:t xml:space="preserve"> mg</w:t>
      </w:r>
      <w:r w:rsidR="00F675B9">
        <w:t xml:space="preserve">, 50 </w:t>
      </w:r>
      <w:r w:rsidR="001421DD">
        <w:t>mg</w:t>
      </w:r>
      <w:r w:rsidR="00256128">
        <w:t>, or</w:t>
      </w:r>
      <w:r w:rsidR="001421DD">
        <w:t xml:space="preserve"> placebo) instead of five treatment groups in S</w:t>
      </w:r>
      <w:r w:rsidR="003B7CD2">
        <w:t>tudy </w:t>
      </w:r>
      <w:r w:rsidR="00F675B9">
        <w:t>301.</w:t>
      </w:r>
    </w:p>
    <w:p w14:paraId="542010C3" w14:textId="77777777" w:rsidR="00F675B9" w:rsidRDefault="00F675B9" w:rsidP="00F675B9">
      <w:r>
        <w:t>The primary efficac</w:t>
      </w:r>
      <w:r w:rsidR="00FB3DAD">
        <w:t>y variable was the change from B</w:t>
      </w:r>
      <w:r w:rsidR="00021039">
        <w:t>aseline in absolute off</w:t>
      </w:r>
      <w:r>
        <w:t xml:space="preserve"> time at the end of the double blind period.</w:t>
      </w:r>
    </w:p>
    <w:p w14:paraId="6D2FF0FD" w14:textId="77777777" w:rsidR="00F675B9" w:rsidRDefault="00F675B9" w:rsidP="00F675B9">
      <w:pPr>
        <w:pStyle w:val="Heading6"/>
      </w:pPr>
      <w:r>
        <w:t>Statistical methods</w:t>
      </w:r>
    </w:p>
    <w:p w14:paraId="633D062E" w14:textId="31ECC822" w:rsidR="00F675B9" w:rsidRDefault="00F675B9" w:rsidP="00F675B9">
      <w:r>
        <w:t>Efficacy analysis between treatment groups was performed with an ANCOVA model. A</w:t>
      </w:r>
      <w:r w:rsidR="00256128">
        <w:t> </w:t>
      </w:r>
      <w:r>
        <w:t>hierarchical approach to statistical analysis of secondary endpoints was carried out to avoid inflation of type-1 errors due to multiple endpoints testing.</w:t>
      </w:r>
    </w:p>
    <w:p w14:paraId="3722FEAF" w14:textId="308EF149" w:rsidR="00F675B9" w:rsidRDefault="00F675B9" w:rsidP="00F675B9">
      <w:r>
        <w:t>The base</w:t>
      </w:r>
      <w:r w:rsidR="001421DD">
        <w:t>line characteristics and anti-Parkinson’s disease</w:t>
      </w:r>
      <w:r>
        <w:t xml:space="preserve"> medications were comparable to</w:t>
      </w:r>
      <w:r w:rsidR="001421DD">
        <w:t xml:space="preserve"> S</w:t>
      </w:r>
      <w:r w:rsidR="003B7CD2">
        <w:t>tudy </w:t>
      </w:r>
      <w:r>
        <w:t>301.</w:t>
      </w:r>
    </w:p>
    <w:p w14:paraId="54914F99" w14:textId="77777777" w:rsidR="00F675B9" w:rsidRDefault="00F675B9" w:rsidP="00F675B9">
      <w:pPr>
        <w:pStyle w:val="Heading6"/>
      </w:pPr>
      <w:r>
        <w:t>Primary endpoint</w:t>
      </w:r>
    </w:p>
    <w:p w14:paraId="65A77A1F" w14:textId="6002D181" w:rsidR="00F675B9" w:rsidRDefault="003B7CD2" w:rsidP="00F675B9">
      <w:r>
        <w:t>The opicapone 50 </w:t>
      </w:r>
      <w:r w:rsidR="00F675B9">
        <w:t xml:space="preserve">mg achieved a greater reduction in absolute </w:t>
      </w:r>
      <w:r w:rsidR="00021039">
        <w:t>off</w:t>
      </w:r>
      <w:r>
        <w:t xml:space="preserve"> time, compared to opicapone 25 </w:t>
      </w:r>
      <w:r w:rsidR="00F675B9">
        <w:t>mg group. The treatment difference was statistically significant. The magnit</w:t>
      </w:r>
      <w:r w:rsidR="00021039">
        <w:t>ude of reduction in absolute off</w:t>
      </w:r>
      <w:r w:rsidR="00F675B9">
        <w:t xml:space="preserve"> time was comparable to</w:t>
      </w:r>
      <w:r w:rsidR="001421DD">
        <w:t xml:space="preserve"> S</w:t>
      </w:r>
      <w:r>
        <w:t>tudy </w:t>
      </w:r>
      <w:r w:rsidR="00F675B9">
        <w:t xml:space="preserve">301. </w:t>
      </w:r>
      <w:r w:rsidR="00256128">
        <w:t xml:space="preserve">Results for the full analysis set are shown in Table 5, below. </w:t>
      </w:r>
      <w:r w:rsidR="00F675B9">
        <w:t>Similar results were reported for the PP population set.</w:t>
      </w:r>
    </w:p>
    <w:p w14:paraId="6504D36C" w14:textId="36CC7443" w:rsidR="00F675B9" w:rsidRPr="00F675B9" w:rsidRDefault="00F675B9" w:rsidP="00F675B9">
      <w:pPr>
        <w:pStyle w:val="TableTitle"/>
      </w:pPr>
      <w:r w:rsidRPr="00F675B9">
        <w:t xml:space="preserve">Table </w:t>
      </w:r>
      <w:fldSimple w:instr=" SEQ Table \* ARABIC ">
        <w:r w:rsidR="00A55428">
          <w:rPr>
            <w:noProof/>
          </w:rPr>
          <w:t>5</w:t>
        </w:r>
      </w:fldSimple>
      <w:r>
        <w:t>: Study 302 Primary endpoint</w:t>
      </w:r>
      <w:r w:rsidR="00256128">
        <w:t xml:space="preserve"> change from Baseline to Endpoint in absolute off time (minutes)</w:t>
      </w:r>
    </w:p>
    <w:p w14:paraId="052FC01D" w14:textId="66C44493" w:rsidR="00F675B9" w:rsidRDefault="00F675B9" w:rsidP="00F675B9">
      <w:r w:rsidRPr="00496BBF">
        <w:rPr>
          <w:noProof/>
          <w:sz w:val="16"/>
          <w:lang w:eastAsia="en-AU"/>
        </w:rPr>
        <w:drawing>
          <wp:inline distT="0" distB="0" distL="0" distR="0" wp14:anchorId="64B89DFD" wp14:editId="1991E1CF">
            <wp:extent cx="5011838" cy="2128336"/>
            <wp:effectExtent l="0" t="0" r="0" b="5715"/>
            <wp:docPr id="159" name="Picture 159" descr="Study 302 Primary end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68168" cy="2152257"/>
                    </a:xfrm>
                    <a:prstGeom prst="rect">
                      <a:avLst/>
                    </a:prstGeom>
                  </pic:spPr>
                </pic:pic>
              </a:graphicData>
            </a:graphic>
          </wp:inline>
        </w:drawing>
      </w:r>
    </w:p>
    <w:p w14:paraId="1287AB6C" w14:textId="39E2DE96" w:rsidR="00256128" w:rsidRDefault="00256128" w:rsidP="00155799">
      <w:pPr>
        <w:pStyle w:val="TableDescription"/>
      </w:pPr>
      <w:r>
        <w:t>N = number of subjects; OPC = opicapone; SD = standard deviation; ANCOVA = analysis of covariance; LS = least squares; SE = standard error; CI = confidence interval.</w:t>
      </w:r>
    </w:p>
    <w:p w14:paraId="13E9BEE7" w14:textId="77777777" w:rsidR="00F675B9" w:rsidRDefault="00F675B9" w:rsidP="00F675B9">
      <w:pPr>
        <w:pStyle w:val="Heading6"/>
      </w:pPr>
      <w:r>
        <w:t>Key secondary endpoint</w:t>
      </w:r>
    </w:p>
    <w:p w14:paraId="094D5766" w14:textId="78B19FE4" w:rsidR="00F675B9" w:rsidRDefault="00F675B9" w:rsidP="00F675B9">
      <w:r>
        <w:t xml:space="preserve">The proportion of </w:t>
      </w:r>
      <w:r w:rsidR="003259CC">
        <w:t>off time</w:t>
      </w:r>
      <w:r>
        <w:t xml:space="preserve"> responders were 50.4% in the placebo group, 62.4% in the </w:t>
      </w:r>
      <w:r w:rsidR="001421DD">
        <w:t>opicapone</w:t>
      </w:r>
      <w:r w:rsidR="003B7CD2">
        <w:t xml:space="preserve"> 25 </w:t>
      </w:r>
      <w:r>
        <w:t xml:space="preserve">mg group, and 66.0% in the </w:t>
      </w:r>
      <w:r w:rsidR="001421DD">
        <w:t>opicapone</w:t>
      </w:r>
      <w:r>
        <w:t xml:space="preserve"> 50 mg group, while the proportion of </w:t>
      </w:r>
      <w:r w:rsidR="003259CC">
        <w:t>on time</w:t>
      </w:r>
      <w:r>
        <w:t xml:space="preserve"> responders were 45.2%, 63.2%, and 61.9%, respectively. The treatment differences between opicapone and placebo groups were statistically significant.</w:t>
      </w:r>
      <w:r w:rsidR="00256128">
        <w:t xml:space="preserve"> Results for the key secondary endpoint are shown below in Table 6.</w:t>
      </w:r>
    </w:p>
    <w:p w14:paraId="771E8F5C" w14:textId="34F403A3" w:rsidR="00F675B9" w:rsidRDefault="00F675B9" w:rsidP="00F675B9">
      <w:pPr>
        <w:pStyle w:val="TableTitle"/>
      </w:pPr>
      <w:r w:rsidRPr="00F675B9">
        <w:t xml:space="preserve">Table </w:t>
      </w:r>
      <w:fldSimple w:instr=" SEQ Table \* ARABIC ">
        <w:r w:rsidR="00A55428">
          <w:rPr>
            <w:noProof/>
          </w:rPr>
          <w:t>6</w:t>
        </w:r>
      </w:fldSimple>
      <w:r>
        <w:t>: Study 302 Secondary endpoint</w:t>
      </w:r>
      <w:r w:rsidR="00256128">
        <w:t>, proportion of off-time and on-time responders</w:t>
      </w:r>
    </w:p>
    <w:p w14:paraId="6A6EBC2C" w14:textId="67E9939B" w:rsidR="00F675B9" w:rsidRDefault="00F675B9" w:rsidP="00F675B9">
      <w:r w:rsidRPr="003C6FDA">
        <w:rPr>
          <w:noProof/>
          <w:sz w:val="16"/>
          <w:lang w:eastAsia="en-AU"/>
        </w:rPr>
        <w:drawing>
          <wp:inline distT="0" distB="0" distL="0" distR="0" wp14:anchorId="0C906F16" wp14:editId="1C024AE7">
            <wp:extent cx="5069711" cy="2473633"/>
            <wp:effectExtent l="0" t="0" r="0" b="3175"/>
            <wp:docPr id="161" name="Picture 161" descr="Study 302 Secondary end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097098" cy="2486996"/>
                    </a:xfrm>
                    <a:prstGeom prst="rect">
                      <a:avLst/>
                    </a:prstGeom>
                  </pic:spPr>
                </pic:pic>
              </a:graphicData>
            </a:graphic>
          </wp:inline>
        </w:drawing>
      </w:r>
    </w:p>
    <w:p w14:paraId="06D08425" w14:textId="623264E7" w:rsidR="00256128" w:rsidRDefault="00256128" w:rsidP="00155799">
      <w:pPr>
        <w:pStyle w:val="TableDescription"/>
      </w:pPr>
      <w:r>
        <w:t>N = number of subjects; CI = confidence intervals.</w:t>
      </w:r>
    </w:p>
    <w:p w14:paraId="3535D8A6" w14:textId="50FB48A4" w:rsidR="00F675B9" w:rsidRDefault="00FB3DAD" w:rsidP="00F675B9">
      <w:pPr>
        <w:pStyle w:val="Heading6"/>
      </w:pPr>
      <w:r>
        <w:t>Change from B</w:t>
      </w:r>
      <w:r w:rsidR="00021039">
        <w:t>aseline in absolute on</w:t>
      </w:r>
      <w:r w:rsidR="00256128">
        <w:t>-</w:t>
      </w:r>
      <w:r w:rsidR="00F675B9">
        <w:t>time</w:t>
      </w:r>
    </w:p>
    <w:p w14:paraId="6DC52B06" w14:textId="3F56416A" w:rsidR="00F675B9" w:rsidRDefault="00F675B9" w:rsidP="00F675B9">
      <w:r>
        <w:t xml:space="preserve">The LS mean changes for total </w:t>
      </w:r>
      <w:r w:rsidR="003259CC">
        <w:t>on time</w:t>
      </w:r>
      <w:r>
        <w:t xml:space="preserve"> were 58.57 </w:t>
      </w:r>
      <w:r w:rsidR="00836303">
        <w:t>minutes</w:t>
      </w:r>
      <w:r w:rsidR="003B7CD2">
        <w:t xml:space="preserve"> for the placebo group,104.09 </w:t>
      </w:r>
      <w:r w:rsidR="00836303">
        <w:t>minutes</w:t>
      </w:r>
      <w:r>
        <w:t xml:space="preserve"> for the o</w:t>
      </w:r>
      <w:r w:rsidR="003B7CD2">
        <w:t>picapone 25 mg group and 111.26 </w:t>
      </w:r>
      <w:r w:rsidR="00836303">
        <w:t>minutes</w:t>
      </w:r>
      <w:r w:rsidR="003B7CD2">
        <w:t xml:space="preserve"> for the opicapone 50 </w:t>
      </w:r>
      <w:r>
        <w:t>mg group. The treatment diff</w:t>
      </w:r>
      <w:r w:rsidR="003B7CD2">
        <w:t>erence between the opicapone 25 </w:t>
      </w:r>
      <w:r>
        <w:t xml:space="preserve">mg and placebo groups were 45.42 </w:t>
      </w:r>
      <w:r w:rsidR="00836303">
        <w:t>minutes</w:t>
      </w:r>
      <w:r>
        <w:t xml:space="preserve"> and 52.59 </w:t>
      </w:r>
      <w:r w:rsidR="00836303">
        <w:t>minutes</w:t>
      </w:r>
      <w:r w:rsidR="003B7CD2">
        <w:t xml:space="preserve"> between the opicapone 50 </w:t>
      </w:r>
      <w:r>
        <w:t>mg and placebo groups. The treatment difference was statistically significant.</w:t>
      </w:r>
    </w:p>
    <w:p w14:paraId="40107366" w14:textId="291F9CCD" w:rsidR="00F675B9" w:rsidRDefault="00F675B9" w:rsidP="00F675B9">
      <w:r>
        <w:t xml:space="preserve">For the </w:t>
      </w:r>
      <w:r w:rsidR="003259CC">
        <w:t xml:space="preserve">on time </w:t>
      </w:r>
      <w:r>
        <w:t xml:space="preserve">with non-troublesome dyskinesia, the LS mean changes were </w:t>
      </w:r>
      <w:r w:rsidR="00256128">
        <w:noBreakHyphen/>
      </w:r>
      <w:r w:rsidR="003B7CD2">
        <w:t>2.24 </w:t>
      </w:r>
      <w:r w:rsidR="00836303">
        <w:t>minutes</w:t>
      </w:r>
      <w:r>
        <w:t xml:space="preserve"> for the placebo group, 37.31 </w:t>
      </w:r>
      <w:r w:rsidR="00836303">
        <w:t>minutes</w:t>
      </w:r>
      <w:r>
        <w:t xml:space="preserve"> for the </w:t>
      </w:r>
      <w:r w:rsidR="003B7CD2">
        <w:t>opicapone 25 mg group and 38.60 </w:t>
      </w:r>
      <w:r w:rsidR="00836303">
        <w:t>minutes</w:t>
      </w:r>
      <w:r>
        <w:t xml:space="preserve"> for opicapone 50 mg group. The treatment difference</w:t>
      </w:r>
      <w:r w:rsidR="001421DD">
        <w:t xml:space="preserve"> was statistically significant.</w:t>
      </w:r>
    </w:p>
    <w:p w14:paraId="5227F163" w14:textId="77777777" w:rsidR="00F675B9" w:rsidRDefault="00FB3DAD" w:rsidP="00F675B9">
      <w:pPr>
        <w:pStyle w:val="Heading6"/>
      </w:pPr>
      <w:r>
        <w:t>Change from B</w:t>
      </w:r>
      <w:r w:rsidR="00021039">
        <w:t>aseline in absolute off</w:t>
      </w:r>
      <w:r w:rsidR="00F675B9">
        <w:t xml:space="preserve"> time</w:t>
      </w:r>
    </w:p>
    <w:p w14:paraId="61643AEE" w14:textId="5D814EF3" w:rsidR="00F675B9" w:rsidRDefault="00F675B9" w:rsidP="00F675B9">
      <w:r>
        <w:t>The LS means were -</w:t>
      </w:r>
      <w:r w:rsidR="001421DD">
        <w:t xml:space="preserve"> </w:t>
      </w:r>
      <w:r>
        <w:t>6.67% for the placebo group, and -</w:t>
      </w:r>
      <w:r w:rsidR="001421DD">
        <w:t xml:space="preserve"> </w:t>
      </w:r>
      <w:r>
        <w:t xml:space="preserve">10.97% for the </w:t>
      </w:r>
      <w:r w:rsidR="001421DD">
        <w:t>opicapone</w:t>
      </w:r>
      <w:r w:rsidR="003B7CD2">
        <w:t xml:space="preserve"> 25 </w:t>
      </w:r>
      <w:r>
        <w:t>mg group and -</w:t>
      </w:r>
      <w:r w:rsidR="001421DD">
        <w:t xml:space="preserve"> </w:t>
      </w:r>
      <w:r>
        <w:t xml:space="preserve">12.12% for the </w:t>
      </w:r>
      <w:r w:rsidR="001421DD">
        <w:t xml:space="preserve">opicapone </w:t>
      </w:r>
      <w:r>
        <w:t>50 mg group. The treatment difference</w:t>
      </w:r>
      <w:r w:rsidR="00352881">
        <w:t xml:space="preserve"> was statistically significant.</w:t>
      </w:r>
    </w:p>
    <w:p w14:paraId="5D359FBD" w14:textId="7CF13B8C" w:rsidR="00F675B9" w:rsidRDefault="00FB3DAD" w:rsidP="00F675B9">
      <w:r>
        <w:t>The changes from B</w:t>
      </w:r>
      <w:r w:rsidR="00F675B9">
        <w:t xml:space="preserve">aseline to </w:t>
      </w:r>
      <w:r w:rsidR="00F675B9" w:rsidRPr="00021039">
        <w:t>V7 in UPDRS Part III were</w:t>
      </w:r>
      <w:r w:rsidR="00F675B9">
        <w:t xml:space="preserve"> minimal and similar across all three treatment gr</w:t>
      </w:r>
      <w:r>
        <w:t>oups</w:t>
      </w:r>
      <w:r w:rsidR="000C2B58">
        <w:rPr>
          <w:rStyle w:val="FootnoteReference"/>
        </w:rPr>
        <w:footnoteReference w:id="18"/>
      </w:r>
      <w:r w:rsidR="000C2B58">
        <w:rPr>
          <w:vertAlign w:val="superscript"/>
        </w:rPr>
        <w:t>,</w:t>
      </w:r>
      <w:r w:rsidR="000C2B58">
        <w:rPr>
          <w:rStyle w:val="FootnoteReference"/>
        </w:rPr>
        <w:footnoteReference w:id="19"/>
      </w:r>
      <w:r>
        <w:t xml:space="preserve"> LS means for change from B</w:t>
      </w:r>
      <w:r w:rsidR="00F675B9">
        <w:t xml:space="preserve">aseline were -2.12 for placebo, </w:t>
      </w:r>
      <w:r w:rsidR="000C2B58">
        <w:noBreakHyphen/>
      </w:r>
      <w:r w:rsidR="00F675B9">
        <w:t>2.94 for opicapone 25</w:t>
      </w:r>
      <w:r w:rsidR="001421DD">
        <w:t xml:space="preserve"> </w:t>
      </w:r>
      <w:r w:rsidR="00F675B9">
        <w:t>mg and -1.95 for opicapone 50</w:t>
      </w:r>
      <w:r w:rsidR="001421DD">
        <w:t xml:space="preserve"> </w:t>
      </w:r>
      <w:r w:rsidR="00F675B9">
        <w:t xml:space="preserve">mg. The </w:t>
      </w:r>
      <w:r w:rsidR="000C2B58">
        <w:t>p</w:t>
      </w:r>
      <w:r w:rsidR="00F675B9">
        <w:t>-values were &gt;</w:t>
      </w:r>
      <w:r w:rsidR="001421DD">
        <w:t xml:space="preserve"> </w:t>
      </w:r>
      <w:r w:rsidR="00F675B9">
        <w:t>0.05 for the comparisons between the opicapone groups and placebo.</w:t>
      </w:r>
    </w:p>
    <w:p w14:paraId="6D3E0959" w14:textId="77777777" w:rsidR="00F675B9" w:rsidRDefault="00F675B9" w:rsidP="00F675B9">
      <w:pPr>
        <w:pStyle w:val="Heading5"/>
      </w:pPr>
      <w:r>
        <w:t>Study 301 and 302 open-label phase results</w:t>
      </w:r>
    </w:p>
    <w:p w14:paraId="7FF9868D" w14:textId="143F5F4E" w:rsidR="00F675B9" w:rsidRDefault="001421DD" w:rsidP="00F675B9">
      <w:r>
        <w:t>Both P</w:t>
      </w:r>
      <w:r w:rsidR="00F675B9">
        <w:t>hase III studies were followed by a 52 weeks open label treatment period. 4</w:t>
      </w:r>
      <w:r>
        <w:t>95</w:t>
      </w:r>
      <w:r w:rsidR="000C2B58">
        <w:t> </w:t>
      </w:r>
      <w:r>
        <w:t>patients were randomised in S</w:t>
      </w:r>
      <w:r w:rsidR="00F675B9">
        <w:t>tudy 301 open l</w:t>
      </w:r>
      <w:r>
        <w:t>abel phase and 427 patients in S</w:t>
      </w:r>
      <w:r w:rsidR="00F675B9">
        <w:t>tudy</w:t>
      </w:r>
      <w:r w:rsidR="000C2B58">
        <w:t> </w:t>
      </w:r>
      <w:r w:rsidR="00F675B9">
        <w:t>302.</w:t>
      </w:r>
    </w:p>
    <w:p w14:paraId="22ABCCBB" w14:textId="564D9622" w:rsidR="00F675B9" w:rsidRDefault="00F675B9" w:rsidP="00F675B9">
      <w:r>
        <w:t xml:space="preserve">Overall, at the end of the 52 weeks treatment period, </w:t>
      </w:r>
      <w:r w:rsidR="003259CC">
        <w:t>off time</w:t>
      </w:r>
      <w:r>
        <w:t xml:space="preserve"> had decreased by </w:t>
      </w:r>
      <w:r w:rsidR="000C2B58">
        <w:noBreakHyphen/>
      </w:r>
      <w:r w:rsidR="003B7CD2">
        <w:t>126.9 </w:t>
      </w:r>
      <w:r>
        <w:t>minutes relative to double blind bas</w:t>
      </w:r>
      <w:r w:rsidR="003B7CD2">
        <w:t>eline and by an additional 33.8 </w:t>
      </w:r>
      <w:r>
        <w:t xml:space="preserve">minutes relative to open-label baseline. There was an increase in total </w:t>
      </w:r>
      <w:r w:rsidR="003259CC">
        <w:t>on time</w:t>
      </w:r>
      <w:r w:rsidR="003B7CD2">
        <w:t xml:space="preserve"> by 119.7 </w:t>
      </w:r>
      <w:r>
        <w:t xml:space="preserve">minutes relative to double blind baseline and 32.0 minutes relative to open-label baseline. There was an improvement of 3.6 minutes in the </w:t>
      </w:r>
      <w:r w:rsidR="003259CC">
        <w:t>on time</w:t>
      </w:r>
      <w:r>
        <w:t xml:space="preserve"> with non-troublesome dyskinesia and </w:t>
      </w:r>
      <w:r w:rsidR="000C2B58">
        <w:noBreakHyphen/>
      </w:r>
      <w:r>
        <w:t>0.3 min</w:t>
      </w:r>
      <w:r w:rsidR="00352881">
        <w:t>utes in troublesome dyskinesia.</w:t>
      </w:r>
    </w:p>
    <w:p w14:paraId="33D9DF00" w14:textId="69A41CB1" w:rsidR="00F675B9" w:rsidRDefault="00F675B9" w:rsidP="00F675B9">
      <w:r>
        <w:t>Greater improvement</w:t>
      </w:r>
      <w:r w:rsidR="000C2B58">
        <w:t>s</w:t>
      </w:r>
      <w:r>
        <w:t xml:space="preserve"> were observed with patients switching from placebo and </w:t>
      </w:r>
      <w:proofErr w:type="spellStart"/>
      <w:r>
        <w:t>entacapone</w:t>
      </w:r>
      <w:proofErr w:type="spellEnd"/>
      <w:r>
        <w:t xml:space="preserve"> to opicapone. Patients who were treated with opicapone during double blind phase were reported to maintain their treatment benefit during the open label phase.</w:t>
      </w:r>
    </w:p>
    <w:p w14:paraId="484CDE43" w14:textId="77777777" w:rsidR="00F675B9" w:rsidRDefault="00FC447E" w:rsidP="00FC447E">
      <w:pPr>
        <w:pStyle w:val="Heading6"/>
      </w:pPr>
      <w:r>
        <w:t xml:space="preserve">Study </w:t>
      </w:r>
      <w:r w:rsidR="00F675B9">
        <w:t>302 open label study results</w:t>
      </w:r>
    </w:p>
    <w:p w14:paraId="47F79352" w14:textId="77777777" w:rsidR="00F675B9" w:rsidRDefault="00F675B9" w:rsidP="00F675B9">
      <w:r>
        <w:t xml:space="preserve">Overall, </w:t>
      </w:r>
      <w:r w:rsidR="00FC447E">
        <w:t>the results were comparable to S</w:t>
      </w:r>
      <w:r>
        <w:t>tudy 301 open label phase.</w:t>
      </w:r>
    </w:p>
    <w:p w14:paraId="7FDB889A" w14:textId="58AFE021" w:rsidR="00F675B9" w:rsidRDefault="00F675B9" w:rsidP="00F675B9">
      <w:r>
        <w:t xml:space="preserve">At 52 weeks of treatment period, the reduction in </w:t>
      </w:r>
      <w:r w:rsidR="003259CC">
        <w:t>off time</w:t>
      </w:r>
      <w:r>
        <w:t xml:space="preserve"> reduction relative to the double blind baseline was </w:t>
      </w:r>
      <w:r w:rsidR="000C2B58">
        <w:noBreakHyphen/>
      </w:r>
      <w:r>
        <w:t xml:space="preserve">126.2 </w:t>
      </w:r>
      <w:r w:rsidR="00836303">
        <w:t>minutes</w:t>
      </w:r>
      <w:r>
        <w:t xml:space="preserve">. The improvement in </w:t>
      </w:r>
      <w:r w:rsidR="003259CC">
        <w:t>on time</w:t>
      </w:r>
      <w:r>
        <w:t xml:space="preserve"> without troublesome dyskinesia from double blind baseline was 109.6 </w:t>
      </w:r>
      <w:r w:rsidR="00836303">
        <w:t>minutes</w:t>
      </w:r>
      <w:r w:rsidR="003259CC">
        <w:t xml:space="preserve">. The proportion of off and on </w:t>
      </w:r>
      <w:r>
        <w:t>time responders (relative to double blind baseline) was 68.4% and 65.8%, respectively.</w:t>
      </w:r>
    </w:p>
    <w:p w14:paraId="241477A7" w14:textId="77777777" w:rsidR="00F675B9" w:rsidRDefault="00F675B9" w:rsidP="00F675B9">
      <w:pPr>
        <w:pStyle w:val="Heading4"/>
      </w:pPr>
      <w:r>
        <w:t>Safety</w:t>
      </w:r>
    </w:p>
    <w:p w14:paraId="403F1750" w14:textId="77777777" w:rsidR="00F675B9" w:rsidRDefault="00F675B9" w:rsidP="00F675B9">
      <w:r>
        <w:t>Patient exposure: 1</w:t>
      </w:r>
      <w:r w:rsidR="00FC447E">
        <w:t>651 patients received at least one</w:t>
      </w:r>
      <w:r>
        <w:t xml:space="preserve"> dose of opicapone (859 healthy subjects and 792 patients with Parkinson's disease) in the clinical trials. 631 patients received up to 50</w:t>
      </w:r>
      <w:r w:rsidR="00FC447E">
        <w:t xml:space="preserve"> </w:t>
      </w:r>
      <w:r>
        <w:t>mg</w:t>
      </w:r>
      <w:r w:rsidR="00FC447E">
        <w:t xml:space="preserve"> of opicapone daily in pivotal Studies 301 and 302 for 14 to </w:t>
      </w:r>
      <w:r>
        <w:t>15 weeks.</w:t>
      </w:r>
    </w:p>
    <w:p w14:paraId="4F6E2324" w14:textId="77777777" w:rsidR="00F675B9" w:rsidRDefault="00F675B9" w:rsidP="00F675B9">
      <w:pPr>
        <w:pStyle w:val="Heading5"/>
      </w:pPr>
      <w:r>
        <w:t>Adverse event</w:t>
      </w:r>
    </w:p>
    <w:p w14:paraId="4F46F611" w14:textId="77777777" w:rsidR="00F675B9" w:rsidRDefault="00F675B9" w:rsidP="00F675B9">
      <w:r>
        <w:t xml:space="preserve">Dyskinesia had a higher incidence in opicapone 50 mg group (15.7%), compared to </w:t>
      </w:r>
      <w:proofErr w:type="spellStart"/>
      <w:r>
        <w:t>entacapone</w:t>
      </w:r>
      <w:proofErr w:type="spellEnd"/>
      <w:r>
        <w:t xml:space="preserve"> (8.2%) and placebo (4.1%) an AE. A higher incidence for treatment-related dyskinesia was also reported in opicapone 50 mg group, compared to other groups. These events were mild-moderate in severity.</w:t>
      </w:r>
    </w:p>
    <w:p w14:paraId="705AC9C8" w14:textId="77777777" w:rsidR="00F675B9" w:rsidRDefault="00F675B9" w:rsidP="00F675B9">
      <w:pPr>
        <w:pStyle w:val="Heading5"/>
      </w:pPr>
      <w:r>
        <w:t>Serious adverse events</w:t>
      </w:r>
    </w:p>
    <w:p w14:paraId="65FBF52A" w14:textId="5365D15D" w:rsidR="00F675B9" w:rsidRDefault="00F675B9" w:rsidP="00F675B9">
      <w:r>
        <w:t xml:space="preserve">Serious adverse events were reported less frequently in the pivotal studies with opicapone (3.5%) than with placebo (4.3%) and </w:t>
      </w:r>
      <w:proofErr w:type="spellStart"/>
      <w:r>
        <w:t>entacapone</w:t>
      </w:r>
      <w:proofErr w:type="spellEnd"/>
      <w:r>
        <w:t xml:space="preserve"> (6.6%). Study discontinuations due to AEs occurred more often under 50</w:t>
      </w:r>
      <w:r w:rsidR="007E445A">
        <w:t xml:space="preserve"> mg opicapone (8.7%) in Phase III</w:t>
      </w:r>
      <w:r>
        <w:t xml:space="preserve"> studies than under 25</w:t>
      </w:r>
      <w:r w:rsidR="003B7CD2">
        <w:t> </w:t>
      </w:r>
      <w:r>
        <w:t>mg (5.3%) and placebo (7%). Dyskinesia and vomiting were the most common causes of AE-based discontinuations.</w:t>
      </w:r>
    </w:p>
    <w:p w14:paraId="0DF941AC" w14:textId="75D001A2" w:rsidR="00F675B9" w:rsidRDefault="00F675B9" w:rsidP="00F675B9">
      <w:r>
        <w:t>Higher incidence for depressive and self-injurious behaviour were</w:t>
      </w:r>
      <w:r w:rsidR="003B7CD2">
        <w:t xml:space="preserve"> noted under opicapone in Study </w:t>
      </w:r>
      <w:r>
        <w:t xml:space="preserve">301. Impulse control disorders were more common under </w:t>
      </w:r>
      <w:proofErr w:type="spellStart"/>
      <w:r>
        <w:t>entacapone</w:t>
      </w:r>
      <w:proofErr w:type="spellEnd"/>
      <w:r>
        <w:t xml:space="preserve"> (8.2%) and opicapone (6.2%) compared to placebo (4.1%). Higher rates of ischaemic heart disease were observed under opicapone, 5.3% with 50</w:t>
      </w:r>
      <w:r w:rsidR="007E445A">
        <w:t xml:space="preserve"> </w:t>
      </w:r>
      <w:r>
        <w:t>mg, 2.9% with 25</w:t>
      </w:r>
      <w:r w:rsidR="007E445A">
        <w:t xml:space="preserve"> </w:t>
      </w:r>
      <w:r>
        <w:t>mg and 2.3% with placebo. In the EU evaluation procedure, these cases (n = 21 under opicapone) were analysed and then attributed to underlying diseases.</w:t>
      </w:r>
    </w:p>
    <w:p w14:paraId="2E592F2A" w14:textId="77777777" w:rsidR="00F675B9" w:rsidRDefault="00F675B9" w:rsidP="00F675B9">
      <w:r>
        <w:t>In both Study 301 and 302, most of treatment-emergent dyskinesia reported occurred in subjects alre</w:t>
      </w:r>
      <w:r w:rsidR="00FB3DAD">
        <w:t>ady experiencing dyskinesia at B</w:t>
      </w:r>
      <w:r>
        <w:t>aseline.</w:t>
      </w:r>
    </w:p>
    <w:p w14:paraId="2E732345" w14:textId="77777777" w:rsidR="00F675B9" w:rsidRDefault="00F675B9" w:rsidP="00F675B9">
      <w:r>
        <w:t xml:space="preserve">The results for the integrated population matched those of the individual studies. The incidence for dyskinesia was 18.3% in total opicapone </w:t>
      </w:r>
      <w:r w:rsidR="00836303">
        <w:t>verse</w:t>
      </w:r>
      <w:r>
        <w:t xml:space="preserve"> 6.2% in the placebo group. In the active treatment groups the incidence increased with increasing dose (16.0% at 25</w:t>
      </w:r>
      <w:r w:rsidR="00F6251A">
        <w:t> </w:t>
      </w:r>
      <w:r>
        <w:t>mg and 20.4% at 50</w:t>
      </w:r>
      <w:r w:rsidR="007E445A">
        <w:t xml:space="preserve"> </w:t>
      </w:r>
      <w:r>
        <w:t>mg).</w:t>
      </w:r>
    </w:p>
    <w:p w14:paraId="121CCCB6" w14:textId="5754F152" w:rsidR="00F675B9" w:rsidRDefault="00F675B9" w:rsidP="00F675B9">
      <w:r>
        <w:t>In the integrated results, incidence of psychosis and psychotic disorders at the SMQ</w:t>
      </w:r>
      <w:r w:rsidR="00715A77">
        <w:rPr>
          <w:rStyle w:val="FootnoteReference"/>
        </w:rPr>
        <w:footnoteReference w:id="20"/>
      </w:r>
      <w:r>
        <w:t xml:space="preserve"> level ‘</w:t>
      </w:r>
      <w:r w:rsidRPr="00F675B9">
        <w:rPr>
          <w:i/>
        </w:rPr>
        <w:t>Psychosis and psychotic disorders</w:t>
      </w:r>
      <w:r>
        <w:t>’ were higher in the opicapone groups (5.7% in 25</w:t>
      </w:r>
      <w:r w:rsidR="007E445A">
        <w:t xml:space="preserve"> </w:t>
      </w:r>
      <w:r>
        <w:t>mg and 5.3% in 50</w:t>
      </w:r>
      <w:r w:rsidR="007E445A">
        <w:t xml:space="preserve"> </w:t>
      </w:r>
      <w:r>
        <w:t>mg) compared to the placebo group (1.2%).</w:t>
      </w:r>
    </w:p>
    <w:p w14:paraId="75E60FE5" w14:textId="182DB98D" w:rsidR="00F675B9" w:rsidRDefault="007E445A" w:rsidP="00F675B9">
      <w:r>
        <w:t>In the combined Phase III</w:t>
      </w:r>
      <w:r w:rsidR="00F675B9">
        <w:t xml:space="preserve"> study analysis among the safety set population, the incidence of </w:t>
      </w:r>
      <w:r w:rsidR="00715A77">
        <w:t>t</w:t>
      </w:r>
      <w:r w:rsidR="00715A77" w:rsidRPr="007E445A">
        <w:t xml:space="preserve">reatment </w:t>
      </w:r>
      <w:r w:rsidRPr="007E445A">
        <w:t>emergent adverse event</w:t>
      </w:r>
      <w:r>
        <w:t>s (TEAE)</w:t>
      </w:r>
      <w:r w:rsidR="00F675B9">
        <w:t xml:space="preserve"> of depression and suicide/self</w:t>
      </w:r>
      <w:r w:rsidR="00715A77">
        <w:noBreakHyphen/>
      </w:r>
      <w:r w:rsidR="00F675B9">
        <w:t xml:space="preserve">injury in the total opicapone group was </w:t>
      </w:r>
      <w:r>
        <w:t xml:space="preserve">3.3% compared to placebo 2.3%. </w:t>
      </w:r>
      <w:r w:rsidR="00F675B9">
        <w:t>No dose relationship was observed.</w:t>
      </w:r>
    </w:p>
    <w:p w14:paraId="15FCC3B9" w14:textId="77777777" w:rsidR="00F675B9" w:rsidRDefault="00F675B9" w:rsidP="00F675B9">
      <w:r>
        <w:t xml:space="preserve">Dyskinesia (12.4% </w:t>
      </w:r>
      <w:r w:rsidR="00836303">
        <w:t>verse</w:t>
      </w:r>
      <w:r>
        <w:t xml:space="preserve">. 4.1%), insomnia (4.5% </w:t>
      </w:r>
      <w:r w:rsidR="00836303">
        <w:t>verse</w:t>
      </w:r>
      <w:r>
        <w:t xml:space="preserve">. 0.8%), and dizziness (3.1% </w:t>
      </w:r>
      <w:r w:rsidR="00836303">
        <w:t>verse</w:t>
      </w:r>
      <w:r>
        <w:t>. 0.8%) were the TEAEs that had a higher frequency in the opicapone groups compared to the placebo group.</w:t>
      </w:r>
    </w:p>
    <w:p w14:paraId="1CED49AE" w14:textId="77777777" w:rsidR="00F675B9" w:rsidRDefault="00F675B9" w:rsidP="00F675B9">
      <w:r>
        <w:t xml:space="preserve">Compared to </w:t>
      </w:r>
      <w:proofErr w:type="spellStart"/>
      <w:r>
        <w:t>entacapone</w:t>
      </w:r>
      <w:proofErr w:type="spellEnd"/>
      <w:r>
        <w:t xml:space="preserve">, dyskinesia was more common in opicapone (12.4% </w:t>
      </w:r>
      <w:r w:rsidR="00836303">
        <w:t>verse</w:t>
      </w:r>
      <w:r>
        <w:t xml:space="preserve">. 8.2%), while nausea and falls were slightly more common with </w:t>
      </w:r>
      <w:proofErr w:type="spellStart"/>
      <w:r>
        <w:t>entacapone</w:t>
      </w:r>
      <w:proofErr w:type="spellEnd"/>
      <w:r>
        <w:t xml:space="preserve"> (nausea: 6.6% </w:t>
      </w:r>
      <w:r w:rsidR="00836303">
        <w:t>verse</w:t>
      </w:r>
      <w:r>
        <w:t xml:space="preserve">. 2.2%; falls: 4.1% </w:t>
      </w:r>
      <w:r w:rsidR="00836303">
        <w:t>verse</w:t>
      </w:r>
      <w:r>
        <w:t>. 2.0%). There was no apparent dose-relationship for the majority of TEAEs with opicapone.</w:t>
      </w:r>
    </w:p>
    <w:p w14:paraId="563057E6" w14:textId="35B28425" w:rsidR="00F675B9" w:rsidRDefault="00F675B9" w:rsidP="00F675B9">
      <w:r>
        <w:t xml:space="preserve">Shifts in </w:t>
      </w:r>
      <w:r w:rsidR="00715A77">
        <w:t>haemoglobin</w:t>
      </w:r>
      <w:r>
        <w:t xml:space="preserve"> to below the normal range were more frequent with opicapone compared to the placebo. These shifts were also seen in the open extension phases. Lower haemoglobin levels and haematocrit were observed under opicapone, this is classified as a class effect (known for </w:t>
      </w:r>
      <w:proofErr w:type="spellStart"/>
      <w:r>
        <w:t>entacapone</w:t>
      </w:r>
      <w:proofErr w:type="spellEnd"/>
      <w:r>
        <w:t>).</w:t>
      </w:r>
    </w:p>
    <w:p w14:paraId="17A8FB88" w14:textId="20A7FDF9" w:rsidR="00F675B9" w:rsidRDefault="00F675B9" w:rsidP="00F675B9">
      <w:r>
        <w:t>Ischaemic heart disease was higher in the total opicapone group (4.1%) compared to placebo (2.3%), and in the active treatment groups the incidence increased with dose (2.9% for 25</w:t>
      </w:r>
      <w:r w:rsidR="007E445A">
        <w:t xml:space="preserve"> </w:t>
      </w:r>
      <w:r>
        <w:t>mg opicapone, 5.3% for 50</w:t>
      </w:r>
      <w:r w:rsidR="007E445A">
        <w:t xml:space="preserve"> </w:t>
      </w:r>
      <w:r>
        <w:t>mg opicapone). Out of the 21 subjects identified as having ischaemic heart disease in the SMQs searched, 20</w:t>
      </w:r>
      <w:r w:rsidR="007E445A">
        <w:t xml:space="preserve"> patients</w:t>
      </w:r>
      <w:r>
        <w:t xml:space="preserve"> had</w:t>
      </w:r>
      <w:r w:rsidR="007E445A">
        <w:t xml:space="preserve"> an increase in </w:t>
      </w:r>
      <w:proofErr w:type="spellStart"/>
      <w:r w:rsidR="007E445A">
        <w:t>creatine</w:t>
      </w:r>
      <w:proofErr w:type="spellEnd"/>
      <w:r w:rsidR="007E445A">
        <w:t xml:space="preserve"> p</w:t>
      </w:r>
      <w:r w:rsidR="007E445A" w:rsidRPr="007E445A">
        <w:t xml:space="preserve">hosphokinase </w:t>
      </w:r>
      <w:r w:rsidR="007E445A">
        <w:t xml:space="preserve">(CPK) levels and </w:t>
      </w:r>
      <w:r w:rsidR="00715A77">
        <w:t>one</w:t>
      </w:r>
      <w:r>
        <w:t xml:space="preserve"> had coronary artery disease. These events of increased CPK levels were thought to be related to other causes (</w:t>
      </w:r>
      <w:r w:rsidR="00836303">
        <w:t>for example</w:t>
      </w:r>
      <w:r w:rsidR="00715A77">
        <w:t>,</w:t>
      </w:r>
      <w:r>
        <w:t xml:space="preserve"> muscular lesions due to falls or accidents, dyskinesia,</w:t>
      </w:r>
      <w:r w:rsidR="007E445A">
        <w:t xml:space="preserve"> </w:t>
      </w:r>
      <w:r w:rsidR="00715A77">
        <w:t xml:space="preserve">or </w:t>
      </w:r>
      <w:r w:rsidR="007E445A">
        <w:t>Parkinson’s disease in general</w:t>
      </w:r>
      <w:r>
        <w:t>) and are not necessarily a reflection of heart disease.</w:t>
      </w:r>
    </w:p>
    <w:p w14:paraId="48C6563D" w14:textId="271246E0" w:rsidR="00F675B9" w:rsidRDefault="007E445A" w:rsidP="00F675B9">
      <w:r>
        <w:t xml:space="preserve">The </w:t>
      </w:r>
      <w:r w:rsidR="00F6251A">
        <w:t>Delegate comments</w:t>
      </w:r>
      <w:r>
        <w:t xml:space="preserve"> that i</w:t>
      </w:r>
      <w:r w:rsidR="00F675B9">
        <w:t xml:space="preserve">schaemic heart disease is included as a potential risk in the </w:t>
      </w:r>
      <w:r w:rsidR="00715A77">
        <w:t>r</w:t>
      </w:r>
      <w:r w:rsidR="00F675B9">
        <w:t xml:space="preserve">isk </w:t>
      </w:r>
      <w:r w:rsidR="00715A77">
        <w:t>m</w:t>
      </w:r>
      <w:r w:rsidR="00F675B9">
        <w:t xml:space="preserve">anagement </w:t>
      </w:r>
      <w:r w:rsidR="00715A77">
        <w:t>p</w:t>
      </w:r>
      <w:r w:rsidR="00F675B9">
        <w:t>lan (RMP) because insufficient patients were included to properly assess this risk.</w:t>
      </w:r>
    </w:p>
    <w:p w14:paraId="7BE74716" w14:textId="77777777" w:rsidR="00F675B9" w:rsidRDefault="00F675B9" w:rsidP="00F675B9">
      <w:pPr>
        <w:pStyle w:val="Heading4"/>
      </w:pPr>
      <w:r>
        <w:t>Post market data</w:t>
      </w:r>
    </w:p>
    <w:p w14:paraId="729F0A87" w14:textId="77777777" w:rsidR="00F675B9" w:rsidRDefault="00F675B9" w:rsidP="00F675B9">
      <w:r>
        <w:t xml:space="preserve">A </w:t>
      </w:r>
      <w:r w:rsidR="007E445A">
        <w:t>periodic safety update r</w:t>
      </w:r>
      <w:r w:rsidR="007E445A" w:rsidRPr="007E445A">
        <w:t>eport</w:t>
      </w:r>
      <w:r w:rsidR="007E445A">
        <w:t xml:space="preserve"> (PSUR)</w:t>
      </w:r>
      <w:r>
        <w:t xml:space="preserve"> from 25 December 2016 to 24 June 2017 reviewed the incidence of skin cancer among patients treated with opicapone.</w:t>
      </w:r>
    </w:p>
    <w:p w14:paraId="5A63E0D7" w14:textId="77777777" w:rsidR="00F675B9" w:rsidRDefault="00F675B9" w:rsidP="00F675B9">
      <w:r>
        <w:t>A review from 26 March 2</w:t>
      </w:r>
      <w:r w:rsidR="004314DA">
        <w:t>015 to 25 June 2015 identified six</w:t>
      </w:r>
      <w:r>
        <w:t xml:space="preserve"> clinical study c</w:t>
      </w:r>
      <w:r w:rsidR="004314DA">
        <w:t>ases of skin cancer, including seven</w:t>
      </w:r>
      <w:r>
        <w:t xml:space="preserve"> non-serious events considered possibly related to opicapone by the investigator or the sponsor.</w:t>
      </w:r>
    </w:p>
    <w:p w14:paraId="44B5856D" w14:textId="30405FB8" w:rsidR="00F675B9" w:rsidRDefault="00F675B9" w:rsidP="00F675B9">
      <w:r>
        <w:t>Cumulative up to 21 January 2016, 24 clinical study ca</w:t>
      </w:r>
      <w:r w:rsidR="003B7CD2">
        <w:t>ses were medically reviewed; 22 </w:t>
      </w:r>
      <w:r>
        <w:t>cases corresponded to patients treated with opicapone and 2 cases to patients treated with placebo. The signal evaluation was finalised on 23 February 2016.</w:t>
      </w:r>
    </w:p>
    <w:p w14:paraId="02CC80F7" w14:textId="77777777" w:rsidR="00F675B9" w:rsidRDefault="00F675B9" w:rsidP="00F675B9">
      <w:r>
        <w:t>Most of the patients were ≥ 60 years, (19 of 22 opicapo</w:t>
      </w:r>
      <w:r w:rsidR="004314DA">
        <w:t xml:space="preserve">ne </w:t>
      </w:r>
      <w:r>
        <w:t>exposed cases). For most of the cases, basal cell carcinoma w</w:t>
      </w:r>
      <w:r w:rsidR="004314DA">
        <w:t xml:space="preserve">as reported (13 of 22 opicapone </w:t>
      </w:r>
      <w:r>
        <w:t>exposed cases). Five (suspected) melanoma cases were identified. Other diagnoses comprised Bowen’s diseas</w:t>
      </w:r>
      <w:r w:rsidR="00F6251A">
        <w:t>e (three</w:t>
      </w:r>
      <w:r>
        <w:t xml:space="preserve"> cases), and 1 case each of squamous cell carcinoma, and not further specified skin cancer</w:t>
      </w:r>
      <w:r w:rsidR="00352881">
        <w:t>.</w:t>
      </w:r>
    </w:p>
    <w:p w14:paraId="7A7C3973" w14:textId="268AA4A4" w:rsidR="00F675B9" w:rsidRDefault="00F675B9" w:rsidP="00F675B9">
      <w:r>
        <w:t>If cases with short duration of exposure to opicapone treatment (&lt; 4 months) and cases with predisposing lesions were excluded, 5 cases remained for which a causal or contributory role of opicapone cannot be excluded. Detailed review of</w:t>
      </w:r>
      <w:r w:rsidR="004314DA">
        <w:t xml:space="preserve"> these cases revealed that for one</w:t>
      </w:r>
      <w:r>
        <w:t xml:space="preserve"> case the type of skin cancer was unspecifi</w:t>
      </w:r>
      <w:r w:rsidR="004314DA">
        <w:t>ed; the diagnosis of the other four</w:t>
      </w:r>
      <w:r>
        <w:t xml:space="preserve"> cases refers to non-me</w:t>
      </w:r>
      <w:r w:rsidR="004314DA">
        <w:t>lanoma skin cancer (NMSC) with three</w:t>
      </w:r>
      <w:r>
        <w:t xml:space="preserve"> even</w:t>
      </w:r>
      <w:r w:rsidR="004314DA">
        <w:t>ts of basal cell carcinoma and two</w:t>
      </w:r>
      <w:r>
        <w:t xml:space="preserve"> events of Bowen’s disease. No histopathology r</w:t>
      </w:r>
      <w:r w:rsidR="004314DA">
        <w:t>eports are available for these five cases, three</w:t>
      </w:r>
      <w:r>
        <w:t xml:space="preserve"> case reports are from patients living in countries with </w:t>
      </w:r>
      <w:r w:rsidR="004314DA">
        <w:t>intense ultraviolet radiation (two from Australia; one</w:t>
      </w:r>
      <w:r>
        <w:t xml:space="preserve"> from South Africa). The highest worldwide incidence of NMSC is in Australia. Four case reports refer to patients who are at least 65</w:t>
      </w:r>
      <w:r w:rsidR="00715A77">
        <w:t> </w:t>
      </w:r>
      <w:r>
        <w:t>years old (cumula</w:t>
      </w:r>
      <w:r w:rsidR="00352881">
        <w:t>tive exposure to risk factors).</w:t>
      </w:r>
    </w:p>
    <w:p w14:paraId="0AB4FA0D" w14:textId="77777777" w:rsidR="00F675B9" w:rsidRPr="00F675B9" w:rsidRDefault="00F675B9" w:rsidP="00F675B9">
      <w:r>
        <w:t>Considering these confounding factors and the increasing incidence of this cancer, the evaluator concluded that a relationship of NMSC with opicapone treatment as not suspected at this time.</w:t>
      </w:r>
    </w:p>
    <w:p w14:paraId="5BE98649" w14:textId="77777777" w:rsidR="008E7846" w:rsidRDefault="00386150" w:rsidP="007B6132">
      <w:pPr>
        <w:pStyle w:val="Heading3"/>
        <w:rPr>
          <w:lang w:eastAsia="en-AU"/>
        </w:rPr>
      </w:pPr>
      <w:bookmarkStart w:id="45" w:name="_Toc64901252"/>
      <w:r>
        <w:rPr>
          <w:lang w:eastAsia="en-AU"/>
        </w:rPr>
        <w:t>Risk m</w:t>
      </w:r>
      <w:r w:rsidR="008E7846">
        <w:rPr>
          <w:lang w:eastAsia="en-AU"/>
        </w:rPr>
        <w:t xml:space="preserve">anagement </w:t>
      </w:r>
      <w:r>
        <w:rPr>
          <w:lang w:eastAsia="en-AU"/>
        </w:rPr>
        <w:t>p</w:t>
      </w:r>
      <w:r w:rsidR="008E7846">
        <w:rPr>
          <w:lang w:eastAsia="en-AU"/>
        </w:rPr>
        <w:t>lan</w:t>
      </w:r>
      <w:bookmarkEnd w:id="42"/>
      <w:bookmarkEnd w:id="45"/>
    </w:p>
    <w:p w14:paraId="28D175E3" w14:textId="4D64B227" w:rsidR="007D53B6" w:rsidRPr="00F675B9" w:rsidRDefault="004314DA" w:rsidP="00F675B9">
      <w:pPr>
        <w:rPr>
          <w:kern w:val="16"/>
          <w:szCs w:val="24"/>
        </w:rPr>
      </w:pPr>
      <w:r>
        <w:rPr>
          <w:rStyle w:val="BulletlistChar"/>
          <w:rFonts w:eastAsia="Cambria"/>
        </w:rPr>
        <w:t>The sponsor</w:t>
      </w:r>
      <w:r w:rsidR="00F675B9" w:rsidRPr="004314DA">
        <w:t xml:space="preserve"> submitted EU-RMP version 3.0 (dated 15 October 2015; </w:t>
      </w:r>
      <w:r w:rsidR="00715A77" w:rsidRPr="004314DA">
        <w:t>d</w:t>
      </w:r>
      <w:r w:rsidR="00715A77">
        <w:t xml:space="preserve">ata </w:t>
      </w:r>
      <w:r w:rsidR="00715A77" w:rsidRPr="004314DA">
        <w:t>l</w:t>
      </w:r>
      <w:r w:rsidR="00715A77">
        <w:t xml:space="preserve">ock </w:t>
      </w:r>
      <w:r w:rsidR="00715A77" w:rsidRPr="004314DA">
        <w:t>p</w:t>
      </w:r>
      <w:r w:rsidR="00715A77">
        <w:t xml:space="preserve">oint </w:t>
      </w:r>
      <w:r>
        <w:t>(DLP)</w:t>
      </w:r>
      <w:r w:rsidR="00F675B9" w:rsidRPr="004314DA">
        <w:t xml:space="preserve"> 30 April 2015) and </w:t>
      </w:r>
      <w:r w:rsidRPr="004314DA">
        <w:t>Australia</w:t>
      </w:r>
      <w:r w:rsidR="00715A77">
        <w:t>n-</w:t>
      </w:r>
      <w:r w:rsidRPr="004314DA">
        <w:t xml:space="preserve">specific </w:t>
      </w:r>
      <w:r w:rsidR="00715A77">
        <w:t>A</w:t>
      </w:r>
      <w:r w:rsidRPr="004314DA">
        <w:t xml:space="preserve">nnex </w:t>
      </w:r>
      <w:r>
        <w:t>(</w:t>
      </w:r>
      <w:r w:rsidR="00F675B9" w:rsidRPr="004314DA">
        <w:t>ASA</w:t>
      </w:r>
      <w:r>
        <w:t>)</w:t>
      </w:r>
      <w:r w:rsidR="00F675B9" w:rsidRPr="004314DA">
        <w:t xml:space="preserve"> version 1.0 (dated 30</w:t>
      </w:r>
      <w:r w:rsidR="00715A77">
        <w:t> </w:t>
      </w:r>
      <w:r w:rsidR="00F675B9" w:rsidRPr="004314DA">
        <w:t>July</w:t>
      </w:r>
      <w:r w:rsidR="00715A77">
        <w:t> </w:t>
      </w:r>
      <w:r w:rsidR="00F675B9" w:rsidRPr="004314DA">
        <w:t xml:space="preserve">2019) in the initial submission. </w:t>
      </w:r>
      <w:r>
        <w:t>T</w:t>
      </w:r>
      <w:r w:rsidR="00F675B9" w:rsidRPr="004314DA">
        <w:t>he sponsor has provided an updated ASA version</w:t>
      </w:r>
      <w:r w:rsidR="00715A77">
        <w:t> </w:t>
      </w:r>
      <w:r w:rsidR="00F675B9" w:rsidRPr="004314DA">
        <w:t>2.0 (dated 6 May 2020) only.</w:t>
      </w:r>
      <w:r w:rsidR="00F675B9" w:rsidRPr="004314DA">
        <w:rPr>
          <w:kern w:val="16"/>
          <w:szCs w:val="24"/>
        </w:rPr>
        <w:t xml:space="preserve"> </w:t>
      </w:r>
      <w:r w:rsidR="00F675B9" w:rsidRPr="004314DA">
        <w:t xml:space="preserve">In response to the two recommendations in the </w:t>
      </w:r>
      <w:r w:rsidR="00715A77">
        <w:t>second round</w:t>
      </w:r>
      <w:r w:rsidR="00F675B9" w:rsidRPr="004314DA">
        <w:t xml:space="preserve"> RMP evaluation report, the sponsor provided amended proposed PI and </w:t>
      </w:r>
      <w:r w:rsidR="000A2924" w:rsidRPr="000A2924">
        <w:t xml:space="preserve">Consumer Medicines Information </w:t>
      </w:r>
      <w:r w:rsidR="000A2924">
        <w:t>(</w:t>
      </w:r>
      <w:r w:rsidR="00F675B9" w:rsidRPr="004314DA">
        <w:t>CMI</w:t>
      </w:r>
      <w:r w:rsidR="000A2924">
        <w:t>)</w:t>
      </w:r>
      <w:r w:rsidR="00F675B9" w:rsidRPr="004314DA">
        <w:t>. No further updates to the EU-RMP or ASA were submitted.</w:t>
      </w:r>
      <w:r w:rsidR="00F675B9" w:rsidRPr="004314DA">
        <w:rPr>
          <w:kern w:val="16"/>
          <w:szCs w:val="24"/>
        </w:rPr>
        <w:t xml:space="preserve"> </w:t>
      </w:r>
      <w:r w:rsidR="00F675B9" w:rsidRPr="004314DA">
        <w:t>In response to the round 2 clinical evaluation report, the sponsor has updated the ASA to ASA version 3.0 and amended the draft PI and CMI. These documents have been submitted for evaluation.</w:t>
      </w:r>
    </w:p>
    <w:p w14:paraId="06A4575E" w14:textId="77777777" w:rsidR="00F675B9" w:rsidRDefault="007D53B6" w:rsidP="007D53B6">
      <w:r>
        <w:t>The summary of safety concerns and their associated risk monitoring and mitigation strat</w:t>
      </w:r>
      <w:r w:rsidR="00F675B9">
        <w:t xml:space="preserve">egies are summarised in </w:t>
      </w:r>
      <w:r w:rsidR="00F675B9">
        <w:fldChar w:fldCharType="begin"/>
      </w:r>
      <w:r w:rsidR="00F675B9">
        <w:instrText xml:space="preserve"> REF _Ref58233994 \h </w:instrText>
      </w:r>
      <w:r w:rsidR="00F675B9">
        <w:fldChar w:fldCharType="separate"/>
      </w:r>
      <w:r w:rsidR="00A55428" w:rsidRPr="00F675B9">
        <w:t xml:space="preserve">Table </w:t>
      </w:r>
      <w:r w:rsidR="00A55428">
        <w:rPr>
          <w:noProof/>
        </w:rPr>
        <w:t>7</w:t>
      </w:r>
      <w:r w:rsidR="00F675B9">
        <w:fldChar w:fldCharType="end"/>
      </w:r>
      <w:r>
        <w:t>.</w:t>
      </w:r>
      <w:r>
        <w:rPr>
          <w:rStyle w:val="FootnoteReference"/>
        </w:rPr>
        <w:footnoteReference w:id="21"/>
      </w:r>
    </w:p>
    <w:p w14:paraId="69B852B7" w14:textId="77777777" w:rsidR="00F675B9" w:rsidRDefault="00F675B9" w:rsidP="00F675B9">
      <w:pPr>
        <w:pStyle w:val="TableTitle"/>
      </w:pPr>
      <w:bookmarkStart w:id="46" w:name="_Ref58233994"/>
      <w:r w:rsidRPr="00F675B9">
        <w:t xml:space="preserve">Table </w:t>
      </w:r>
      <w:fldSimple w:instr=" SEQ Table \* ARABIC ">
        <w:r w:rsidR="00A55428">
          <w:rPr>
            <w:noProof/>
          </w:rPr>
          <w:t>7</w:t>
        </w:r>
      </w:fldSimple>
      <w:bookmarkEnd w:id="46"/>
      <w:r>
        <w:t>: S</w:t>
      </w:r>
      <w:r w:rsidRPr="00F675B9">
        <w:t>ummary of safety concerns and their associated risk monitoring and mitigation strategie</w:t>
      </w:r>
      <w:r>
        <w:t>s</w:t>
      </w:r>
    </w:p>
    <w:tbl>
      <w:tblPr>
        <w:tblStyle w:val="TableTGAblue"/>
        <w:tblW w:w="8625" w:type="dxa"/>
        <w:tblLayout w:type="fixed"/>
        <w:tblLook w:val="04A0" w:firstRow="1" w:lastRow="0" w:firstColumn="1" w:lastColumn="0" w:noHBand="0" w:noVBand="1"/>
      </w:tblPr>
      <w:tblGrid>
        <w:gridCol w:w="1525"/>
        <w:gridCol w:w="2520"/>
        <w:gridCol w:w="990"/>
        <w:gridCol w:w="1260"/>
        <w:gridCol w:w="1080"/>
        <w:gridCol w:w="1250"/>
      </w:tblGrid>
      <w:tr w:rsidR="00F675B9" w:rsidRPr="00856A6F" w14:paraId="5431C422" w14:textId="77777777" w:rsidTr="00155799">
        <w:trPr>
          <w:cnfStyle w:val="100000000000" w:firstRow="1" w:lastRow="0" w:firstColumn="0" w:lastColumn="0" w:oddVBand="0" w:evenVBand="0" w:oddHBand="0" w:evenHBand="0" w:firstRowFirstColumn="0" w:firstRowLastColumn="0" w:lastRowFirstColumn="0" w:lastRowLastColumn="0"/>
          <w:trHeight w:val="131"/>
        </w:trPr>
        <w:tc>
          <w:tcPr>
            <w:tcW w:w="4045" w:type="dxa"/>
            <w:gridSpan w:val="2"/>
            <w:vMerge w:val="restart"/>
            <w:tcBorders>
              <w:top w:val="single" w:sz="4" w:space="0" w:color="auto"/>
              <w:left w:val="single" w:sz="4" w:space="0" w:color="auto"/>
              <w:bottom w:val="single" w:sz="4" w:space="0" w:color="auto"/>
              <w:right w:val="single" w:sz="4" w:space="0" w:color="auto"/>
            </w:tcBorders>
          </w:tcPr>
          <w:p w14:paraId="5F4A1EB4" w14:textId="77777777" w:rsidR="00F675B9" w:rsidRPr="00856A6F" w:rsidRDefault="00F675B9" w:rsidP="00F675B9">
            <w:pPr>
              <w:pStyle w:val="Tabletext"/>
              <w:rPr>
                <w:b w:val="0"/>
              </w:rPr>
            </w:pPr>
            <w:r w:rsidRPr="00155799">
              <w:rPr>
                <w:sz w:val="20"/>
              </w:rPr>
              <w:t>Summary of safety concerns</w:t>
            </w:r>
          </w:p>
        </w:tc>
        <w:tc>
          <w:tcPr>
            <w:tcW w:w="2250" w:type="dxa"/>
            <w:gridSpan w:val="2"/>
            <w:tcBorders>
              <w:top w:val="single" w:sz="4" w:space="0" w:color="auto"/>
              <w:left w:val="single" w:sz="4" w:space="0" w:color="auto"/>
              <w:bottom w:val="single" w:sz="4" w:space="0" w:color="auto"/>
              <w:right w:val="single" w:sz="4" w:space="0" w:color="auto"/>
            </w:tcBorders>
          </w:tcPr>
          <w:p w14:paraId="3988D2A2" w14:textId="77777777" w:rsidR="00F675B9" w:rsidRPr="00155799" w:rsidRDefault="00F675B9" w:rsidP="00155799">
            <w:pPr>
              <w:pStyle w:val="Tabletext"/>
              <w:ind w:left="0"/>
              <w:rPr>
                <w:b w:val="0"/>
                <w:sz w:val="20"/>
              </w:rPr>
            </w:pPr>
            <w:r w:rsidRPr="00155799">
              <w:rPr>
                <w:sz w:val="20"/>
              </w:rPr>
              <w:t>Pharmacovigilance</w:t>
            </w:r>
          </w:p>
        </w:tc>
        <w:tc>
          <w:tcPr>
            <w:tcW w:w="2330" w:type="dxa"/>
            <w:gridSpan w:val="2"/>
            <w:tcBorders>
              <w:top w:val="single" w:sz="4" w:space="0" w:color="auto"/>
              <w:left w:val="single" w:sz="4" w:space="0" w:color="auto"/>
              <w:bottom w:val="single" w:sz="4" w:space="0" w:color="auto"/>
              <w:right w:val="single" w:sz="4" w:space="0" w:color="auto"/>
            </w:tcBorders>
          </w:tcPr>
          <w:p w14:paraId="51055243" w14:textId="77777777" w:rsidR="00F675B9" w:rsidRPr="00155799" w:rsidRDefault="00F675B9" w:rsidP="00155799">
            <w:pPr>
              <w:pStyle w:val="Tabletext"/>
              <w:ind w:left="0"/>
              <w:rPr>
                <w:b w:val="0"/>
                <w:sz w:val="20"/>
              </w:rPr>
            </w:pPr>
            <w:r w:rsidRPr="00155799">
              <w:rPr>
                <w:sz w:val="20"/>
              </w:rPr>
              <w:t>Risk Minimisation</w:t>
            </w:r>
          </w:p>
        </w:tc>
      </w:tr>
      <w:tr w:rsidR="00155799" w:rsidRPr="00856A6F" w14:paraId="46D857FE" w14:textId="77777777" w:rsidTr="00155799">
        <w:trPr>
          <w:trHeight w:val="150"/>
        </w:trPr>
        <w:tc>
          <w:tcPr>
            <w:tcW w:w="4045" w:type="dxa"/>
            <w:gridSpan w:val="2"/>
            <w:vMerge/>
            <w:tcBorders>
              <w:top w:val="single" w:sz="4" w:space="0" w:color="auto"/>
              <w:left w:val="single" w:sz="4" w:space="0" w:color="auto"/>
              <w:bottom w:val="single" w:sz="4" w:space="0" w:color="auto"/>
              <w:right w:val="single" w:sz="4" w:space="0" w:color="auto"/>
            </w:tcBorders>
          </w:tcPr>
          <w:p w14:paraId="143E267E" w14:textId="77777777" w:rsidR="00F675B9" w:rsidRPr="00856A6F" w:rsidRDefault="00F675B9" w:rsidP="00F675B9">
            <w:pPr>
              <w:pStyle w:val="Tabletext"/>
              <w:keepNext/>
              <w:rPr>
                <w:b/>
              </w:rPr>
            </w:pPr>
          </w:p>
        </w:tc>
        <w:tc>
          <w:tcPr>
            <w:tcW w:w="990" w:type="dxa"/>
            <w:tcBorders>
              <w:top w:val="single" w:sz="4" w:space="0" w:color="auto"/>
              <w:left w:val="single" w:sz="4" w:space="0" w:color="auto"/>
              <w:bottom w:val="single" w:sz="4" w:space="0" w:color="auto"/>
              <w:right w:val="single" w:sz="4" w:space="0" w:color="auto"/>
            </w:tcBorders>
            <w:shd w:val="clear" w:color="auto" w:fill="006DA7"/>
          </w:tcPr>
          <w:p w14:paraId="2F5776F5" w14:textId="77777777" w:rsidR="00F675B9" w:rsidRPr="00155799" w:rsidRDefault="00F675B9" w:rsidP="00155799">
            <w:pPr>
              <w:pStyle w:val="Tabletext"/>
              <w:keepNext/>
              <w:spacing w:before="0" w:after="0"/>
              <w:ind w:left="0" w:right="0"/>
              <w:rPr>
                <w:b/>
                <w:color w:val="FFFFFF" w:themeColor="background1"/>
                <w:sz w:val="20"/>
              </w:rPr>
            </w:pPr>
            <w:r w:rsidRPr="00155799">
              <w:rPr>
                <w:b/>
                <w:color w:val="FFFFFF" w:themeColor="background1"/>
                <w:sz w:val="20"/>
              </w:rPr>
              <w:t>Routine</w:t>
            </w:r>
          </w:p>
        </w:tc>
        <w:tc>
          <w:tcPr>
            <w:tcW w:w="1260" w:type="dxa"/>
            <w:tcBorders>
              <w:top w:val="single" w:sz="4" w:space="0" w:color="auto"/>
              <w:left w:val="single" w:sz="4" w:space="0" w:color="auto"/>
              <w:bottom w:val="single" w:sz="4" w:space="0" w:color="auto"/>
              <w:right w:val="single" w:sz="4" w:space="0" w:color="auto"/>
            </w:tcBorders>
            <w:shd w:val="clear" w:color="auto" w:fill="006DA7"/>
          </w:tcPr>
          <w:p w14:paraId="497B5DE9" w14:textId="77777777" w:rsidR="00F675B9" w:rsidRPr="00155799" w:rsidRDefault="00F675B9" w:rsidP="00155799">
            <w:pPr>
              <w:pStyle w:val="Tabletext"/>
              <w:keepNext/>
              <w:spacing w:before="0" w:after="0"/>
              <w:ind w:left="0" w:right="0"/>
              <w:rPr>
                <w:b/>
                <w:color w:val="FFFFFF" w:themeColor="background1"/>
                <w:sz w:val="20"/>
              </w:rPr>
            </w:pPr>
            <w:r w:rsidRPr="00155799">
              <w:rPr>
                <w:b/>
                <w:color w:val="FFFFFF" w:themeColor="background1"/>
                <w:sz w:val="20"/>
              </w:rPr>
              <w:t>Additional</w:t>
            </w:r>
          </w:p>
        </w:tc>
        <w:tc>
          <w:tcPr>
            <w:tcW w:w="1080" w:type="dxa"/>
            <w:tcBorders>
              <w:top w:val="single" w:sz="4" w:space="0" w:color="auto"/>
              <w:left w:val="single" w:sz="4" w:space="0" w:color="auto"/>
              <w:bottom w:val="single" w:sz="4" w:space="0" w:color="auto"/>
              <w:right w:val="single" w:sz="4" w:space="0" w:color="auto"/>
            </w:tcBorders>
            <w:shd w:val="clear" w:color="auto" w:fill="006DA7"/>
          </w:tcPr>
          <w:p w14:paraId="1CCE835F" w14:textId="77777777" w:rsidR="00F675B9" w:rsidRPr="00155799" w:rsidRDefault="00F675B9" w:rsidP="00155799">
            <w:pPr>
              <w:pStyle w:val="Tabletext"/>
              <w:keepNext/>
              <w:spacing w:before="0" w:after="0"/>
              <w:ind w:left="0" w:right="0"/>
              <w:rPr>
                <w:b/>
                <w:color w:val="FFFFFF" w:themeColor="background1"/>
                <w:sz w:val="20"/>
              </w:rPr>
            </w:pPr>
            <w:r w:rsidRPr="00155799">
              <w:rPr>
                <w:b/>
                <w:color w:val="FFFFFF" w:themeColor="background1"/>
                <w:sz w:val="20"/>
              </w:rPr>
              <w:t>Routine</w:t>
            </w:r>
          </w:p>
        </w:tc>
        <w:tc>
          <w:tcPr>
            <w:tcW w:w="1250" w:type="dxa"/>
            <w:tcBorders>
              <w:top w:val="single" w:sz="4" w:space="0" w:color="auto"/>
              <w:left w:val="single" w:sz="4" w:space="0" w:color="auto"/>
              <w:bottom w:val="single" w:sz="4" w:space="0" w:color="auto"/>
              <w:right w:val="single" w:sz="4" w:space="0" w:color="auto"/>
            </w:tcBorders>
            <w:shd w:val="clear" w:color="auto" w:fill="006DA7"/>
          </w:tcPr>
          <w:p w14:paraId="3992912E" w14:textId="77777777" w:rsidR="00F675B9" w:rsidRPr="00155799" w:rsidRDefault="00F675B9" w:rsidP="00155799">
            <w:pPr>
              <w:pStyle w:val="Tabletext"/>
              <w:keepNext/>
              <w:spacing w:before="0" w:after="0"/>
              <w:ind w:left="0" w:right="0"/>
              <w:rPr>
                <w:b/>
                <w:color w:val="FFFFFF" w:themeColor="background1"/>
                <w:sz w:val="20"/>
              </w:rPr>
            </w:pPr>
            <w:r w:rsidRPr="00155799">
              <w:rPr>
                <w:b/>
                <w:color w:val="FFFFFF" w:themeColor="background1"/>
                <w:sz w:val="20"/>
              </w:rPr>
              <w:t>Additional</w:t>
            </w:r>
          </w:p>
        </w:tc>
      </w:tr>
      <w:tr w:rsidR="00F675B9" w:rsidRPr="00856A6F" w14:paraId="4766360B" w14:textId="77777777" w:rsidTr="00155799">
        <w:trPr>
          <w:trHeight w:val="137"/>
        </w:trPr>
        <w:tc>
          <w:tcPr>
            <w:tcW w:w="1525" w:type="dxa"/>
            <w:vMerge w:val="restart"/>
            <w:tcBorders>
              <w:top w:val="single" w:sz="4" w:space="0" w:color="auto"/>
            </w:tcBorders>
          </w:tcPr>
          <w:p w14:paraId="74B493A5" w14:textId="77777777" w:rsidR="00F675B9" w:rsidRPr="00155799" w:rsidRDefault="00F675B9" w:rsidP="00155799">
            <w:pPr>
              <w:pStyle w:val="Tabletext"/>
              <w:keepNext/>
              <w:ind w:left="0"/>
              <w:rPr>
                <w:b/>
                <w:sz w:val="20"/>
              </w:rPr>
            </w:pPr>
            <w:r w:rsidRPr="00155799">
              <w:rPr>
                <w:b/>
                <w:sz w:val="20"/>
              </w:rPr>
              <w:t>Important identified risks</w:t>
            </w:r>
          </w:p>
        </w:tc>
        <w:tc>
          <w:tcPr>
            <w:tcW w:w="2520" w:type="dxa"/>
            <w:tcBorders>
              <w:top w:val="single" w:sz="4" w:space="0" w:color="auto"/>
            </w:tcBorders>
          </w:tcPr>
          <w:p w14:paraId="4E91221E" w14:textId="77777777" w:rsidR="00F675B9" w:rsidRPr="00155799" w:rsidRDefault="00F675B9" w:rsidP="00155799">
            <w:pPr>
              <w:pStyle w:val="Tabletext"/>
              <w:keepNext/>
              <w:ind w:left="0"/>
              <w:rPr>
                <w:sz w:val="20"/>
              </w:rPr>
            </w:pPr>
            <w:r w:rsidRPr="00155799">
              <w:rPr>
                <w:sz w:val="20"/>
              </w:rPr>
              <w:t>Dyskinesia</w:t>
            </w:r>
          </w:p>
        </w:tc>
        <w:tc>
          <w:tcPr>
            <w:tcW w:w="990" w:type="dxa"/>
            <w:tcBorders>
              <w:top w:val="single" w:sz="4" w:space="0" w:color="auto"/>
            </w:tcBorders>
          </w:tcPr>
          <w:p w14:paraId="30D6B86F" w14:textId="77777777" w:rsidR="00F675B9" w:rsidRPr="00155799" w:rsidRDefault="00F675B9" w:rsidP="00F675B9">
            <w:pPr>
              <w:pStyle w:val="Tabletext"/>
              <w:keepNext/>
              <w:jc w:val="center"/>
              <w:rPr>
                <w:sz w:val="20"/>
                <w:vertAlign w:val="superscript"/>
              </w:rPr>
            </w:pPr>
            <w:r w:rsidRPr="00155799">
              <w:rPr>
                <w:sz w:val="20"/>
              </w:rPr>
              <w:sym w:font="Wingdings" w:char="F0FC"/>
            </w:r>
            <w:r w:rsidRPr="00155799">
              <w:rPr>
                <w:sz w:val="20"/>
                <w:vertAlign w:val="superscript"/>
              </w:rPr>
              <w:t>1</w:t>
            </w:r>
          </w:p>
        </w:tc>
        <w:tc>
          <w:tcPr>
            <w:tcW w:w="1260" w:type="dxa"/>
            <w:tcBorders>
              <w:top w:val="single" w:sz="4" w:space="0" w:color="auto"/>
            </w:tcBorders>
          </w:tcPr>
          <w:p w14:paraId="386E4481" w14:textId="77777777" w:rsidR="00F675B9" w:rsidRPr="00155799" w:rsidRDefault="00F675B9" w:rsidP="00F675B9">
            <w:pPr>
              <w:pStyle w:val="Tabletext"/>
              <w:keepNext/>
              <w:jc w:val="center"/>
              <w:rPr>
                <w:sz w:val="20"/>
              </w:rPr>
            </w:pPr>
            <w:r w:rsidRPr="00155799">
              <w:rPr>
                <w:sz w:val="20"/>
              </w:rPr>
              <w:t>–</w:t>
            </w:r>
          </w:p>
        </w:tc>
        <w:tc>
          <w:tcPr>
            <w:tcW w:w="1080" w:type="dxa"/>
            <w:tcBorders>
              <w:top w:val="single" w:sz="4" w:space="0" w:color="auto"/>
            </w:tcBorders>
          </w:tcPr>
          <w:p w14:paraId="7946DBF5" w14:textId="77777777" w:rsidR="00F675B9" w:rsidRPr="00155799" w:rsidRDefault="00F675B9" w:rsidP="00F675B9">
            <w:pPr>
              <w:pStyle w:val="Tabletext"/>
              <w:keepNext/>
              <w:jc w:val="center"/>
              <w:rPr>
                <w:sz w:val="20"/>
              </w:rPr>
            </w:pPr>
            <w:r w:rsidRPr="00155799">
              <w:rPr>
                <w:sz w:val="20"/>
              </w:rPr>
              <w:sym w:font="Wingdings" w:char="F0FC"/>
            </w:r>
          </w:p>
        </w:tc>
        <w:tc>
          <w:tcPr>
            <w:tcW w:w="1250" w:type="dxa"/>
            <w:tcBorders>
              <w:top w:val="single" w:sz="4" w:space="0" w:color="auto"/>
            </w:tcBorders>
          </w:tcPr>
          <w:p w14:paraId="2E7130B4" w14:textId="77777777" w:rsidR="00F675B9" w:rsidRPr="00155799" w:rsidRDefault="00F675B9" w:rsidP="00F675B9">
            <w:pPr>
              <w:pStyle w:val="Tabletext"/>
              <w:keepNext/>
              <w:jc w:val="center"/>
              <w:rPr>
                <w:sz w:val="20"/>
              </w:rPr>
            </w:pPr>
            <w:r w:rsidRPr="00155799">
              <w:rPr>
                <w:sz w:val="20"/>
              </w:rPr>
              <w:t>–</w:t>
            </w:r>
          </w:p>
        </w:tc>
      </w:tr>
      <w:tr w:rsidR="00F675B9" w:rsidRPr="00856A6F" w14:paraId="39CC03DB" w14:textId="77777777" w:rsidTr="00155799">
        <w:trPr>
          <w:trHeight w:val="187"/>
        </w:trPr>
        <w:tc>
          <w:tcPr>
            <w:tcW w:w="1525" w:type="dxa"/>
            <w:vMerge/>
          </w:tcPr>
          <w:p w14:paraId="373416DE" w14:textId="77777777" w:rsidR="00F675B9" w:rsidRPr="00155799" w:rsidRDefault="00F675B9" w:rsidP="00F675B9">
            <w:pPr>
              <w:pStyle w:val="Tabletext"/>
              <w:keepNext/>
              <w:rPr>
                <w:b/>
                <w:sz w:val="20"/>
              </w:rPr>
            </w:pPr>
          </w:p>
        </w:tc>
        <w:tc>
          <w:tcPr>
            <w:tcW w:w="2520" w:type="dxa"/>
          </w:tcPr>
          <w:p w14:paraId="645E1870" w14:textId="77777777" w:rsidR="00F675B9" w:rsidRPr="00155799" w:rsidRDefault="00F675B9" w:rsidP="00155799">
            <w:pPr>
              <w:pStyle w:val="Tabletext"/>
              <w:keepNext/>
              <w:ind w:left="0"/>
              <w:rPr>
                <w:sz w:val="20"/>
              </w:rPr>
            </w:pPr>
            <w:r w:rsidRPr="00155799">
              <w:rPr>
                <w:sz w:val="20"/>
              </w:rPr>
              <w:t>Hallucinations</w:t>
            </w:r>
          </w:p>
        </w:tc>
        <w:tc>
          <w:tcPr>
            <w:tcW w:w="990" w:type="dxa"/>
          </w:tcPr>
          <w:p w14:paraId="08DC8012" w14:textId="77777777" w:rsidR="00F675B9" w:rsidRPr="00155799" w:rsidRDefault="00F675B9" w:rsidP="00F675B9">
            <w:pPr>
              <w:pStyle w:val="Tabletext"/>
              <w:keepNext/>
              <w:jc w:val="center"/>
              <w:rPr>
                <w:sz w:val="20"/>
                <w:vertAlign w:val="superscript"/>
              </w:rPr>
            </w:pPr>
            <w:r w:rsidRPr="00155799">
              <w:rPr>
                <w:sz w:val="20"/>
              </w:rPr>
              <w:sym w:font="Wingdings" w:char="F0FC"/>
            </w:r>
            <w:r w:rsidRPr="00155799">
              <w:rPr>
                <w:sz w:val="20"/>
                <w:vertAlign w:val="superscript"/>
              </w:rPr>
              <w:t>1</w:t>
            </w:r>
          </w:p>
        </w:tc>
        <w:tc>
          <w:tcPr>
            <w:tcW w:w="1260" w:type="dxa"/>
          </w:tcPr>
          <w:p w14:paraId="0E29DDED" w14:textId="77777777" w:rsidR="00F675B9" w:rsidRPr="00155799" w:rsidRDefault="00F675B9" w:rsidP="00F675B9">
            <w:pPr>
              <w:pStyle w:val="Tabletext"/>
              <w:keepNext/>
              <w:jc w:val="center"/>
              <w:rPr>
                <w:sz w:val="20"/>
              </w:rPr>
            </w:pPr>
            <w:r w:rsidRPr="00155799">
              <w:rPr>
                <w:sz w:val="20"/>
              </w:rPr>
              <w:t>–</w:t>
            </w:r>
          </w:p>
        </w:tc>
        <w:tc>
          <w:tcPr>
            <w:tcW w:w="1080" w:type="dxa"/>
          </w:tcPr>
          <w:p w14:paraId="77338717" w14:textId="77777777" w:rsidR="00F675B9" w:rsidRPr="00155799" w:rsidRDefault="00F675B9" w:rsidP="00F675B9">
            <w:pPr>
              <w:pStyle w:val="Tabletext"/>
              <w:keepNext/>
              <w:jc w:val="center"/>
              <w:rPr>
                <w:sz w:val="20"/>
              </w:rPr>
            </w:pPr>
            <w:r w:rsidRPr="00155799">
              <w:rPr>
                <w:sz w:val="20"/>
              </w:rPr>
              <w:sym w:font="Wingdings" w:char="F0FC"/>
            </w:r>
          </w:p>
        </w:tc>
        <w:tc>
          <w:tcPr>
            <w:tcW w:w="1250" w:type="dxa"/>
          </w:tcPr>
          <w:p w14:paraId="0ED26DD3" w14:textId="77777777" w:rsidR="00F675B9" w:rsidRPr="00155799" w:rsidRDefault="00F675B9" w:rsidP="00F675B9">
            <w:pPr>
              <w:pStyle w:val="Tabletext"/>
              <w:keepNext/>
              <w:jc w:val="center"/>
              <w:rPr>
                <w:sz w:val="20"/>
              </w:rPr>
            </w:pPr>
            <w:r w:rsidRPr="00155799">
              <w:rPr>
                <w:sz w:val="20"/>
              </w:rPr>
              <w:t>–</w:t>
            </w:r>
          </w:p>
        </w:tc>
      </w:tr>
      <w:tr w:rsidR="00F675B9" w:rsidRPr="00856A6F" w14:paraId="278CEEE3" w14:textId="77777777" w:rsidTr="00155799">
        <w:trPr>
          <w:trHeight w:val="159"/>
        </w:trPr>
        <w:tc>
          <w:tcPr>
            <w:tcW w:w="1525" w:type="dxa"/>
            <w:vMerge w:val="restart"/>
          </w:tcPr>
          <w:p w14:paraId="62BCB7FB" w14:textId="77777777" w:rsidR="00F675B9" w:rsidRPr="00155799" w:rsidRDefault="00F675B9" w:rsidP="00155799">
            <w:pPr>
              <w:pStyle w:val="Tabletext"/>
              <w:keepNext/>
              <w:ind w:left="0"/>
              <w:rPr>
                <w:b/>
                <w:sz w:val="20"/>
              </w:rPr>
            </w:pPr>
            <w:r w:rsidRPr="00155799">
              <w:rPr>
                <w:b/>
                <w:sz w:val="20"/>
              </w:rPr>
              <w:t>Important potential risks</w:t>
            </w:r>
          </w:p>
        </w:tc>
        <w:tc>
          <w:tcPr>
            <w:tcW w:w="2520" w:type="dxa"/>
          </w:tcPr>
          <w:p w14:paraId="7CEB06B3" w14:textId="77777777" w:rsidR="00F675B9" w:rsidRPr="00155799" w:rsidRDefault="00F675B9" w:rsidP="00155799">
            <w:pPr>
              <w:pStyle w:val="Tabletext"/>
              <w:keepNext/>
              <w:ind w:left="0"/>
              <w:rPr>
                <w:sz w:val="20"/>
              </w:rPr>
            </w:pPr>
            <w:r w:rsidRPr="00155799">
              <w:rPr>
                <w:sz w:val="20"/>
              </w:rPr>
              <w:t>Ischaemic heart disease</w:t>
            </w:r>
          </w:p>
        </w:tc>
        <w:tc>
          <w:tcPr>
            <w:tcW w:w="990" w:type="dxa"/>
          </w:tcPr>
          <w:p w14:paraId="5F6CFE28" w14:textId="77777777" w:rsidR="00F675B9" w:rsidRPr="00155799" w:rsidRDefault="00F675B9" w:rsidP="00F675B9">
            <w:pPr>
              <w:pStyle w:val="Tabletext"/>
              <w:keepNext/>
              <w:jc w:val="center"/>
              <w:rPr>
                <w:sz w:val="20"/>
                <w:vertAlign w:val="superscript"/>
              </w:rPr>
            </w:pPr>
            <w:r w:rsidRPr="00155799">
              <w:rPr>
                <w:sz w:val="20"/>
              </w:rPr>
              <w:sym w:font="Wingdings" w:char="F0FC"/>
            </w:r>
            <w:r w:rsidRPr="00155799">
              <w:rPr>
                <w:sz w:val="20"/>
                <w:vertAlign w:val="superscript"/>
              </w:rPr>
              <w:t>1</w:t>
            </w:r>
          </w:p>
        </w:tc>
        <w:tc>
          <w:tcPr>
            <w:tcW w:w="1260" w:type="dxa"/>
          </w:tcPr>
          <w:p w14:paraId="735F2B8E" w14:textId="77777777" w:rsidR="00F675B9" w:rsidRPr="00155799" w:rsidRDefault="00F675B9" w:rsidP="00F675B9">
            <w:pPr>
              <w:pStyle w:val="Tabletext"/>
              <w:keepNext/>
              <w:jc w:val="center"/>
              <w:rPr>
                <w:sz w:val="20"/>
              </w:rPr>
            </w:pPr>
            <w:r w:rsidRPr="00155799">
              <w:rPr>
                <w:sz w:val="20"/>
              </w:rPr>
              <w:t>–</w:t>
            </w:r>
          </w:p>
        </w:tc>
        <w:tc>
          <w:tcPr>
            <w:tcW w:w="1080" w:type="dxa"/>
          </w:tcPr>
          <w:p w14:paraId="2516DD6D" w14:textId="77777777" w:rsidR="00F675B9" w:rsidRPr="00155799" w:rsidRDefault="00F675B9" w:rsidP="00F675B9">
            <w:pPr>
              <w:pStyle w:val="Tabletext"/>
              <w:keepNext/>
              <w:jc w:val="center"/>
              <w:rPr>
                <w:sz w:val="20"/>
              </w:rPr>
            </w:pPr>
            <w:r w:rsidRPr="00155799">
              <w:rPr>
                <w:sz w:val="20"/>
              </w:rPr>
              <w:t>–</w:t>
            </w:r>
          </w:p>
        </w:tc>
        <w:tc>
          <w:tcPr>
            <w:tcW w:w="1250" w:type="dxa"/>
          </w:tcPr>
          <w:p w14:paraId="7939555E" w14:textId="77777777" w:rsidR="00F675B9" w:rsidRPr="00155799" w:rsidRDefault="00F675B9" w:rsidP="00F675B9">
            <w:pPr>
              <w:pStyle w:val="Tabletext"/>
              <w:keepNext/>
              <w:jc w:val="center"/>
              <w:rPr>
                <w:sz w:val="20"/>
              </w:rPr>
            </w:pPr>
            <w:r w:rsidRPr="00155799">
              <w:rPr>
                <w:sz w:val="20"/>
              </w:rPr>
              <w:t>–</w:t>
            </w:r>
          </w:p>
        </w:tc>
      </w:tr>
      <w:tr w:rsidR="00F675B9" w:rsidRPr="00856A6F" w14:paraId="041369CA" w14:textId="77777777" w:rsidTr="00155799">
        <w:trPr>
          <w:trHeight w:val="122"/>
        </w:trPr>
        <w:tc>
          <w:tcPr>
            <w:tcW w:w="1525" w:type="dxa"/>
            <w:vMerge/>
          </w:tcPr>
          <w:p w14:paraId="64B53821" w14:textId="77777777" w:rsidR="00F675B9" w:rsidRPr="00155799" w:rsidRDefault="00F675B9" w:rsidP="00F675B9">
            <w:pPr>
              <w:pStyle w:val="Tabletext"/>
              <w:keepNext/>
              <w:rPr>
                <w:b/>
                <w:sz w:val="20"/>
              </w:rPr>
            </w:pPr>
          </w:p>
        </w:tc>
        <w:tc>
          <w:tcPr>
            <w:tcW w:w="2520" w:type="dxa"/>
          </w:tcPr>
          <w:p w14:paraId="173736A3" w14:textId="77777777" w:rsidR="00F675B9" w:rsidRPr="00155799" w:rsidRDefault="00F675B9" w:rsidP="00155799">
            <w:pPr>
              <w:pStyle w:val="Tabletext"/>
              <w:keepNext/>
              <w:ind w:left="0"/>
              <w:rPr>
                <w:sz w:val="20"/>
              </w:rPr>
            </w:pPr>
            <w:r w:rsidRPr="00155799">
              <w:rPr>
                <w:sz w:val="20"/>
              </w:rPr>
              <w:t>Neuroleptic malignant syndrome</w:t>
            </w:r>
          </w:p>
        </w:tc>
        <w:tc>
          <w:tcPr>
            <w:tcW w:w="990" w:type="dxa"/>
          </w:tcPr>
          <w:p w14:paraId="3C37CD3A" w14:textId="77777777" w:rsidR="00F675B9" w:rsidRPr="00155799" w:rsidRDefault="00F675B9" w:rsidP="00F675B9">
            <w:pPr>
              <w:pStyle w:val="Tabletext"/>
              <w:keepNext/>
              <w:jc w:val="center"/>
              <w:rPr>
                <w:sz w:val="20"/>
                <w:vertAlign w:val="superscript"/>
              </w:rPr>
            </w:pPr>
            <w:r w:rsidRPr="00155799">
              <w:rPr>
                <w:sz w:val="20"/>
              </w:rPr>
              <w:sym w:font="Wingdings" w:char="F0FC"/>
            </w:r>
            <w:r w:rsidRPr="00155799">
              <w:rPr>
                <w:sz w:val="20"/>
                <w:vertAlign w:val="superscript"/>
              </w:rPr>
              <w:t>1</w:t>
            </w:r>
          </w:p>
        </w:tc>
        <w:tc>
          <w:tcPr>
            <w:tcW w:w="1260" w:type="dxa"/>
          </w:tcPr>
          <w:p w14:paraId="43C904E2" w14:textId="77777777" w:rsidR="00F675B9" w:rsidRPr="00155799" w:rsidRDefault="00F675B9" w:rsidP="00F675B9">
            <w:pPr>
              <w:pStyle w:val="Tabletext"/>
              <w:keepNext/>
              <w:jc w:val="center"/>
              <w:rPr>
                <w:sz w:val="20"/>
              </w:rPr>
            </w:pPr>
            <w:r w:rsidRPr="00155799">
              <w:rPr>
                <w:sz w:val="20"/>
              </w:rPr>
              <w:t>–</w:t>
            </w:r>
          </w:p>
        </w:tc>
        <w:tc>
          <w:tcPr>
            <w:tcW w:w="1080" w:type="dxa"/>
          </w:tcPr>
          <w:p w14:paraId="11CD31A3" w14:textId="77777777" w:rsidR="00F675B9" w:rsidRPr="00155799" w:rsidRDefault="00F675B9" w:rsidP="00F675B9">
            <w:pPr>
              <w:pStyle w:val="Tabletext"/>
              <w:keepNext/>
              <w:jc w:val="center"/>
              <w:rPr>
                <w:sz w:val="20"/>
              </w:rPr>
            </w:pPr>
            <w:r w:rsidRPr="00155799">
              <w:rPr>
                <w:sz w:val="20"/>
              </w:rPr>
              <w:sym w:font="Wingdings" w:char="F0FC"/>
            </w:r>
          </w:p>
        </w:tc>
        <w:tc>
          <w:tcPr>
            <w:tcW w:w="1250" w:type="dxa"/>
          </w:tcPr>
          <w:p w14:paraId="07F60466" w14:textId="77777777" w:rsidR="00F675B9" w:rsidRPr="00155799" w:rsidRDefault="00F675B9" w:rsidP="00F675B9">
            <w:pPr>
              <w:pStyle w:val="Tabletext"/>
              <w:keepNext/>
              <w:jc w:val="center"/>
              <w:rPr>
                <w:sz w:val="20"/>
              </w:rPr>
            </w:pPr>
            <w:r w:rsidRPr="00155799">
              <w:rPr>
                <w:sz w:val="20"/>
              </w:rPr>
              <w:t>–</w:t>
            </w:r>
          </w:p>
        </w:tc>
      </w:tr>
      <w:tr w:rsidR="00F675B9" w:rsidRPr="00856A6F" w14:paraId="5E606CDA" w14:textId="77777777" w:rsidTr="00155799">
        <w:trPr>
          <w:trHeight w:val="122"/>
        </w:trPr>
        <w:tc>
          <w:tcPr>
            <w:tcW w:w="1525" w:type="dxa"/>
            <w:vMerge/>
          </w:tcPr>
          <w:p w14:paraId="77CE2EB7" w14:textId="77777777" w:rsidR="00F675B9" w:rsidRPr="00155799" w:rsidRDefault="00F675B9" w:rsidP="00F675B9">
            <w:pPr>
              <w:pStyle w:val="Tabletext"/>
              <w:keepNext/>
              <w:rPr>
                <w:b/>
                <w:sz w:val="20"/>
              </w:rPr>
            </w:pPr>
          </w:p>
        </w:tc>
        <w:tc>
          <w:tcPr>
            <w:tcW w:w="2520" w:type="dxa"/>
          </w:tcPr>
          <w:p w14:paraId="3BE3157F" w14:textId="77777777" w:rsidR="00F675B9" w:rsidRPr="00155799" w:rsidRDefault="00F675B9" w:rsidP="00155799">
            <w:pPr>
              <w:pStyle w:val="Tabletext"/>
              <w:keepNext/>
              <w:ind w:left="0"/>
              <w:rPr>
                <w:sz w:val="20"/>
              </w:rPr>
            </w:pPr>
            <w:r w:rsidRPr="00155799">
              <w:rPr>
                <w:sz w:val="20"/>
              </w:rPr>
              <w:t>Impulse control disorders and other related behaviours</w:t>
            </w:r>
          </w:p>
        </w:tc>
        <w:tc>
          <w:tcPr>
            <w:tcW w:w="990" w:type="dxa"/>
          </w:tcPr>
          <w:p w14:paraId="11BC7C16" w14:textId="77777777" w:rsidR="00F675B9" w:rsidRPr="00155799" w:rsidRDefault="00F675B9" w:rsidP="00F675B9">
            <w:pPr>
              <w:pStyle w:val="Tabletext"/>
              <w:keepNext/>
              <w:jc w:val="center"/>
              <w:rPr>
                <w:sz w:val="20"/>
                <w:vertAlign w:val="superscript"/>
              </w:rPr>
            </w:pPr>
            <w:r w:rsidRPr="00155799">
              <w:rPr>
                <w:sz w:val="20"/>
              </w:rPr>
              <w:sym w:font="Wingdings" w:char="F0FC"/>
            </w:r>
            <w:r w:rsidRPr="00155799">
              <w:rPr>
                <w:sz w:val="20"/>
                <w:vertAlign w:val="superscript"/>
              </w:rPr>
              <w:t>1</w:t>
            </w:r>
          </w:p>
        </w:tc>
        <w:tc>
          <w:tcPr>
            <w:tcW w:w="1260" w:type="dxa"/>
          </w:tcPr>
          <w:p w14:paraId="06F10E65" w14:textId="77777777" w:rsidR="00F675B9" w:rsidRPr="00155799" w:rsidRDefault="00F675B9" w:rsidP="00F675B9">
            <w:pPr>
              <w:pStyle w:val="Tabletext"/>
              <w:keepNext/>
              <w:jc w:val="center"/>
              <w:rPr>
                <w:sz w:val="20"/>
              </w:rPr>
            </w:pPr>
            <w:r w:rsidRPr="00155799">
              <w:rPr>
                <w:sz w:val="20"/>
              </w:rPr>
              <w:t>–</w:t>
            </w:r>
          </w:p>
        </w:tc>
        <w:tc>
          <w:tcPr>
            <w:tcW w:w="1080" w:type="dxa"/>
          </w:tcPr>
          <w:p w14:paraId="68C1E738" w14:textId="77777777" w:rsidR="00F675B9" w:rsidRPr="00155799" w:rsidRDefault="00F675B9" w:rsidP="00F675B9">
            <w:pPr>
              <w:pStyle w:val="Tabletext"/>
              <w:keepNext/>
              <w:jc w:val="center"/>
              <w:rPr>
                <w:sz w:val="20"/>
              </w:rPr>
            </w:pPr>
            <w:r w:rsidRPr="00155799">
              <w:rPr>
                <w:sz w:val="20"/>
              </w:rPr>
              <w:sym w:font="Wingdings" w:char="F0FC"/>
            </w:r>
          </w:p>
        </w:tc>
        <w:tc>
          <w:tcPr>
            <w:tcW w:w="1250" w:type="dxa"/>
          </w:tcPr>
          <w:p w14:paraId="71D047D3" w14:textId="77777777" w:rsidR="00F675B9" w:rsidRPr="00155799" w:rsidRDefault="00F675B9" w:rsidP="00F675B9">
            <w:pPr>
              <w:pStyle w:val="Tabletext"/>
              <w:keepNext/>
              <w:jc w:val="center"/>
              <w:rPr>
                <w:sz w:val="20"/>
              </w:rPr>
            </w:pPr>
            <w:r w:rsidRPr="00155799">
              <w:rPr>
                <w:sz w:val="20"/>
              </w:rPr>
              <w:t>–</w:t>
            </w:r>
          </w:p>
        </w:tc>
      </w:tr>
      <w:tr w:rsidR="00F675B9" w:rsidRPr="00856A6F" w14:paraId="0E8B369A" w14:textId="77777777" w:rsidTr="00155799">
        <w:trPr>
          <w:trHeight w:val="122"/>
        </w:trPr>
        <w:tc>
          <w:tcPr>
            <w:tcW w:w="1525" w:type="dxa"/>
            <w:vMerge/>
          </w:tcPr>
          <w:p w14:paraId="343CC322" w14:textId="77777777" w:rsidR="00F675B9" w:rsidRPr="00155799" w:rsidRDefault="00F675B9" w:rsidP="00F675B9">
            <w:pPr>
              <w:pStyle w:val="Tabletext"/>
              <w:keepNext/>
              <w:rPr>
                <w:b/>
                <w:sz w:val="20"/>
              </w:rPr>
            </w:pPr>
          </w:p>
        </w:tc>
        <w:tc>
          <w:tcPr>
            <w:tcW w:w="2520" w:type="dxa"/>
          </w:tcPr>
          <w:p w14:paraId="1A16C453" w14:textId="77777777" w:rsidR="00F675B9" w:rsidRPr="00155799" w:rsidRDefault="00F675B9" w:rsidP="00155799">
            <w:pPr>
              <w:pStyle w:val="Tabletext"/>
              <w:keepNext/>
              <w:ind w:left="0"/>
              <w:rPr>
                <w:sz w:val="20"/>
              </w:rPr>
            </w:pPr>
            <w:r w:rsidRPr="00155799">
              <w:rPr>
                <w:sz w:val="20"/>
              </w:rPr>
              <w:t>Drug-related hepatic injury</w:t>
            </w:r>
          </w:p>
        </w:tc>
        <w:tc>
          <w:tcPr>
            <w:tcW w:w="990" w:type="dxa"/>
          </w:tcPr>
          <w:p w14:paraId="767656E0" w14:textId="77777777" w:rsidR="00F675B9" w:rsidRPr="00155799" w:rsidRDefault="00F675B9" w:rsidP="00F675B9">
            <w:pPr>
              <w:pStyle w:val="Tabletext"/>
              <w:keepNext/>
              <w:jc w:val="center"/>
              <w:rPr>
                <w:sz w:val="20"/>
                <w:vertAlign w:val="superscript"/>
              </w:rPr>
            </w:pPr>
            <w:r w:rsidRPr="00155799">
              <w:rPr>
                <w:sz w:val="20"/>
              </w:rPr>
              <w:sym w:font="Wingdings" w:char="F0FC"/>
            </w:r>
            <w:r w:rsidRPr="00155799">
              <w:rPr>
                <w:sz w:val="20"/>
                <w:vertAlign w:val="superscript"/>
              </w:rPr>
              <w:t>1</w:t>
            </w:r>
          </w:p>
        </w:tc>
        <w:tc>
          <w:tcPr>
            <w:tcW w:w="1260" w:type="dxa"/>
          </w:tcPr>
          <w:p w14:paraId="34EFCE74" w14:textId="77777777" w:rsidR="00F675B9" w:rsidRPr="00155799" w:rsidRDefault="00F675B9" w:rsidP="00F675B9">
            <w:pPr>
              <w:pStyle w:val="Tabletext"/>
              <w:keepNext/>
              <w:jc w:val="center"/>
              <w:rPr>
                <w:sz w:val="20"/>
              </w:rPr>
            </w:pPr>
            <w:r w:rsidRPr="00155799">
              <w:rPr>
                <w:sz w:val="20"/>
              </w:rPr>
              <w:t>–</w:t>
            </w:r>
          </w:p>
        </w:tc>
        <w:tc>
          <w:tcPr>
            <w:tcW w:w="1080" w:type="dxa"/>
          </w:tcPr>
          <w:p w14:paraId="6ED01460" w14:textId="77777777" w:rsidR="00F675B9" w:rsidRPr="00155799" w:rsidRDefault="00F675B9" w:rsidP="00F675B9">
            <w:pPr>
              <w:pStyle w:val="Tabletext"/>
              <w:keepNext/>
              <w:jc w:val="center"/>
              <w:rPr>
                <w:sz w:val="20"/>
              </w:rPr>
            </w:pPr>
            <w:r w:rsidRPr="00155799">
              <w:rPr>
                <w:sz w:val="20"/>
              </w:rPr>
              <w:sym w:font="Wingdings" w:char="F0FC"/>
            </w:r>
          </w:p>
        </w:tc>
        <w:tc>
          <w:tcPr>
            <w:tcW w:w="1250" w:type="dxa"/>
          </w:tcPr>
          <w:p w14:paraId="3FAA97B8" w14:textId="77777777" w:rsidR="00F675B9" w:rsidRPr="00155799" w:rsidRDefault="00F675B9" w:rsidP="00F675B9">
            <w:pPr>
              <w:pStyle w:val="Tabletext"/>
              <w:keepNext/>
              <w:jc w:val="center"/>
              <w:rPr>
                <w:sz w:val="20"/>
              </w:rPr>
            </w:pPr>
            <w:r w:rsidRPr="00155799">
              <w:rPr>
                <w:sz w:val="20"/>
              </w:rPr>
              <w:t>–</w:t>
            </w:r>
          </w:p>
        </w:tc>
      </w:tr>
      <w:tr w:rsidR="00F675B9" w:rsidRPr="00856A6F" w14:paraId="0B060D4C" w14:textId="77777777" w:rsidTr="00155799">
        <w:trPr>
          <w:trHeight w:val="592"/>
        </w:trPr>
        <w:tc>
          <w:tcPr>
            <w:tcW w:w="1525" w:type="dxa"/>
            <w:vMerge/>
          </w:tcPr>
          <w:p w14:paraId="0DBA73BC" w14:textId="77777777" w:rsidR="00F675B9" w:rsidRPr="00155799" w:rsidRDefault="00F675B9" w:rsidP="00F675B9">
            <w:pPr>
              <w:pStyle w:val="Tabletext"/>
              <w:keepNext/>
              <w:rPr>
                <w:b/>
                <w:sz w:val="20"/>
              </w:rPr>
            </w:pPr>
          </w:p>
        </w:tc>
        <w:tc>
          <w:tcPr>
            <w:tcW w:w="2520" w:type="dxa"/>
          </w:tcPr>
          <w:p w14:paraId="44F6B934" w14:textId="77777777" w:rsidR="00F675B9" w:rsidRPr="00155799" w:rsidRDefault="00F675B9" w:rsidP="00155799">
            <w:pPr>
              <w:pStyle w:val="Tabletext"/>
              <w:keepNext/>
              <w:ind w:left="0"/>
              <w:rPr>
                <w:sz w:val="20"/>
              </w:rPr>
            </w:pPr>
            <w:r w:rsidRPr="00155799">
              <w:rPr>
                <w:sz w:val="20"/>
              </w:rPr>
              <w:t>Interactions with drugs metabolised by CYP2C8 (</w:t>
            </w:r>
            <w:r w:rsidR="00836303" w:rsidRPr="00155799">
              <w:rPr>
                <w:sz w:val="20"/>
              </w:rPr>
              <w:t>for example</w:t>
            </w:r>
            <w:r w:rsidRPr="00155799">
              <w:rPr>
                <w:sz w:val="20"/>
              </w:rPr>
              <w:t xml:space="preserve">. hypoglycaemia risk with </w:t>
            </w:r>
            <w:proofErr w:type="spellStart"/>
            <w:r w:rsidRPr="00155799">
              <w:rPr>
                <w:sz w:val="20"/>
              </w:rPr>
              <w:t>repaglinide</w:t>
            </w:r>
            <w:proofErr w:type="spellEnd"/>
            <w:r w:rsidRPr="00155799">
              <w:rPr>
                <w:sz w:val="20"/>
              </w:rPr>
              <w:t>)</w:t>
            </w:r>
          </w:p>
        </w:tc>
        <w:tc>
          <w:tcPr>
            <w:tcW w:w="990" w:type="dxa"/>
          </w:tcPr>
          <w:p w14:paraId="482BEBCA" w14:textId="77777777" w:rsidR="00F675B9" w:rsidRPr="00155799" w:rsidRDefault="00F675B9" w:rsidP="00F675B9">
            <w:pPr>
              <w:pStyle w:val="Tabletext"/>
              <w:keepNext/>
              <w:jc w:val="center"/>
              <w:rPr>
                <w:sz w:val="20"/>
                <w:vertAlign w:val="superscript"/>
              </w:rPr>
            </w:pPr>
            <w:r w:rsidRPr="00155799">
              <w:rPr>
                <w:sz w:val="20"/>
              </w:rPr>
              <w:sym w:font="Wingdings" w:char="F0FC"/>
            </w:r>
            <w:r w:rsidRPr="00155799">
              <w:rPr>
                <w:sz w:val="20"/>
                <w:vertAlign w:val="superscript"/>
              </w:rPr>
              <w:t>1</w:t>
            </w:r>
          </w:p>
        </w:tc>
        <w:tc>
          <w:tcPr>
            <w:tcW w:w="1260" w:type="dxa"/>
          </w:tcPr>
          <w:p w14:paraId="58016D70" w14:textId="77777777" w:rsidR="00F675B9" w:rsidRPr="00155799" w:rsidRDefault="00F675B9" w:rsidP="00F675B9">
            <w:pPr>
              <w:pStyle w:val="Tabletext"/>
              <w:keepNext/>
              <w:jc w:val="center"/>
              <w:rPr>
                <w:sz w:val="20"/>
              </w:rPr>
            </w:pPr>
            <w:r w:rsidRPr="00155799">
              <w:rPr>
                <w:sz w:val="20"/>
              </w:rPr>
              <w:t>–</w:t>
            </w:r>
          </w:p>
        </w:tc>
        <w:tc>
          <w:tcPr>
            <w:tcW w:w="1080" w:type="dxa"/>
          </w:tcPr>
          <w:p w14:paraId="49D03F59" w14:textId="77777777" w:rsidR="00F675B9" w:rsidRPr="00155799" w:rsidRDefault="00F675B9" w:rsidP="00F675B9">
            <w:pPr>
              <w:pStyle w:val="Tabletext"/>
              <w:keepNext/>
              <w:jc w:val="center"/>
              <w:rPr>
                <w:sz w:val="20"/>
              </w:rPr>
            </w:pPr>
            <w:r w:rsidRPr="00155799">
              <w:rPr>
                <w:sz w:val="20"/>
              </w:rPr>
              <w:sym w:font="Wingdings" w:char="F0FC"/>
            </w:r>
          </w:p>
        </w:tc>
        <w:tc>
          <w:tcPr>
            <w:tcW w:w="1250" w:type="dxa"/>
          </w:tcPr>
          <w:p w14:paraId="551B151E" w14:textId="77777777" w:rsidR="00F675B9" w:rsidRPr="00155799" w:rsidRDefault="00F675B9" w:rsidP="00F675B9">
            <w:pPr>
              <w:pStyle w:val="Tabletext"/>
              <w:keepNext/>
              <w:jc w:val="center"/>
              <w:rPr>
                <w:sz w:val="20"/>
              </w:rPr>
            </w:pPr>
            <w:r w:rsidRPr="00155799">
              <w:rPr>
                <w:sz w:val="20"/>
              </w:rPr>
              <w:t>–</w:t>
            </w:r>
          </w:p>
        </w:tc>
      </w:tr>
      <w:tr w:rsidR="00F675B9" w:rsidRPr="00856A6F" w14:paraId="387E7817" w14:textId="77777777" w:rsidTr="00155799">
        <w:trPr>
          <w:trHeight w:val="178"/>
        </w:trPr>
        <w:tc>
          <w:tcPr>
            <w:tcW w:w="1525" w:type="dxa"/>
            <w:vMerge w:val="restart"/>
          </w:tcPr>
          <w:p w14:paraId="0238D795" w14:textId="77777777" w:rsidR="00F675B9" w:rsidRPr="00155799" w:rsidRDefault="00F675B9" w:rsidP="00155799">
            <w:pPr>
              <w:pStyle w:val="Tabletext"/>
              <w:keepNext/>
              <w:ind w:left="0"/>
              <w:rPr>
                <w:b/>
                <w:sz w:val="20"/>
              </w:rPr>
            </w:pPr>
            <w:r w:rsidRPr="00155799">
              <w:rPr>
                <w:b/>
                <w:sz w:val="20"/>
              </w:rPr>
              <w:t>Missing information</w:t>
            </w:r>
          </w:p>
        </w:tc>
        <w:tc>
          <w:tcPr>
            <w:tcW w:w="2520" w:type="dxa"/>
          </w:tcPr>
          <w:p w14:paraId="59B320BB" w14:textId="77777777" w:rsidR="00F675B9" w:rsidRPr="00155799" w:rsidRDefault="00F675B9" w:rsidP="00155799">
            <w:pPr>
              <w:pStyle w:val="Tabletext"/>
              <w:keepNext/>
              <w:ind w:left="0"/>
              <w:rPr>
                <w:sz w:val="20"/>
              </w:rPr>
            </w:pPr>
            <w:r w:rsidRPr="00155799">
              <w:rPr>
                <w:sz w:val="20"/>
              </w:rPr>
              <w:t>Use in patients with moderate/severe hepatic impairment</w:t>
            </w:r>
          </w:p>
        </w:tc>
        <w:tc>
          <w:tcPr>
            <w:tcW w:w="990" w:type="dxa"/>
          </w:tcPr>
          <w:p w14:paraId="47FB8937" w14:textId="77777777" w:rsidR="00F675B9" w:rsidRPr="00155799" w:rsidRDefault="00F675B9" w:rsidP="00F675B9">
            <w:pPr>
              <w:pStyle w:val="Tabletext"/>
              <w:keepNext/>
              <w:jc w:val="center"/>
              <w:rPr>
                <w:sz w:val="20"/>
                <w:vertAlign w:val="superscript"/>
              </w:rPr>
            </w:pPr>
            <w:r w:rsidRPr="00155799">
              <w:rPr>
                <w:sz w:val="20"/>
              </w:rPr>
              <w:sym w:font="Wingdings" w:char="F0FC"/>
            </w:r>
            <w:r w:rsidRPr="00155799">
              <w:rPr>
                <w:sz w:val="20"/>
                <w:vertAlign w:val="superscript"/>
              </w:rPr>
              <w:t>1</w:t>
            </w:r>
          </w:p>
        </w:tc>
        <w:tc>
          <w:tcPr>
            <w:tcW w:w="1260" w:type="dxa"/>
          </w:tcPr>
          <w:p w14:paraId="17CBE750" w14:textId="77777777" w:rsidR="00F675B9" w:rsidRPr="00155799" w:rsidRDefault="00F675B9" w:rsidP="00F675B9">
            <w:pPr>
              <w:pStyle w:val="Tabletext"/>
              <w:keepNext/>
              <w:jc w:val="center"/>
              <w:rPr>
                <w:sz w:val="20"/>
              </w:rPr>
            </w:pPr>
            <w:r w:rsidRPr="00155799">
              <w:rPr>
                <w:sz w:val="20"/>
              </w:rPr>
              <w:t>–</w:t>
            </w:r>
          </w:p>
        </w:tc>
        <w:tc>
          <w:tcPr>
            <w:tcW w:w="1080" w:type="dxa"/>
          </w:tcPr>
          <w:p w14:paraId="0475A3DC" w14:textId="77777777" w:rsidR="00F675B9" w:rsidRPr="00155799" w:rsidRDefault="00F675B9" w:rsidP="00F675B9">
            <w:pPr>
              <w:pStyle w:val="Tabletext"/>
              <w:keepNext/>
              <w:jc w:val="center"/>
              <w:rPr>
                <w:sz w:val="20"/>
              </w:rPr>
            </w:pPr>
            <w:r w:rsidRPr="00155799">
              <w:rPr>
                <w:sz w:val="20"/>
              </w:rPr>
              <w:sym w:font="Wingdings" w:char="F0FC"/>
            </w:r>
          </w:p>
        </w:tc>
        <w:tc>
          <w:tcPr>
            <w:tcW w:w="1250" w:type="dxa"/>
          </w:tcPr>
          <w:p w14:paraId="301BE073" w14:textId="77777777" w:rsidR="00F675B9" w:rsidRPr="00155799" w:rsidRDefault="00F675B9" w:rsidP="00F675B9">
            <w:pPr>
              <w:pStyle w:val="Tabletext"/>
              <w:keepNext/>
              <w:jc w:val="center"/>
              <w:rPr>
                <w:sz w:val="20"/>
              </w:rPr>
            </w:pPr>
            <w:r w:rsidRPr="00155799">
              <w:rPr>
                <w:sz w:val="20"/>
              </w:rPr>
              <w:t>–</w:t>
            </w:r>
          </w:p>
        </w:tc>
      </w:tr>
      <w:tr w:rsidR="00F675B9" w:rsidRPr="00856A6F" w14:paraId="50135833" w14:textId="77777777" w:rsidTr="00155799">
        <w:trPr>
          <w:trHeight w:val="103"/>
        </w:trPr>
        <w:tc>
          <w:tcPr>
            <w:tcW w:w="1525" w:type="dxa"/>
            <w:vMerge/>
          </w:tcPr>
          <w:p w14:paraId="66D1DBCD" w14:textId="77777777" w:rsidR="00F675B9" w:rsidRPr="00856A6F" w:rsidRDefault="00F675B9" w:rsidP="00F675B9">
            <w:pPr>
              <w:pStyle w:val="Tabletext"/>
              <w:keepNext/>
            </w:pPr>
          </w:p>
        </w:tc>
        <w:tc>
          <w:tcPr>
            <w:tcW w:w="2520" w:type="dxa"/>
          </w:tcPr>
          <w:p w14:paraId="1BEA3253" w14:textId="77777777" w:rsidR="00F675B9" w:rsidRPr="00155799" w:rsidRDefault="00F675B9" w:rsidP="00155799">
            <w:pPr>
              <w:pStyle w:val="Tabletext"/>
              <w:keepNext/>
              <w:ind w:left="0"/>
              <w:rPr>
                <w:sz w:val="20"/>
              </w:rPr>
            </w:pPr>
            <w:r w:rsidRPr="00155799">
              <w:rPr>
                <w:sz w:val="20"/>
              </w:rPr>
              <w:t>Use in pregnancy and lactation</w:t>
            </w:r>
          </w:p>
        </w:tc>
        <w:tc>
          <w:tcPr>
            <w:tcW w:w="990" w:type="dxa"/>
          </w:tcPr>
          <w:p w14:paraId="02994E62" w14:textId="77777777" w:rsidR="00F675B9" w:rsidRPr="00155799" w:rsidRDefault="00F675B9" w:rsidP="00F675B9">
            <w:pPr>
              <w:pStyle w:val="Tabletext"/>
              <w:keepNext/>
              <w:jc w:val="center"/>
              <w:rPr>
                <w:sz w:val="20"/>
                <w:vertAlign w:val="superscript"/>
              </w:rPr>
            </w:pPr>
            <w:r w:rsidRPr="00155799">
              <w:rPr>
                <w:sz w:val="20"/>
              </w:rPr>
              <w:sym w:font="Wingdings" w:char="F0FC"/>
            </w:r>
            <w:r w:rsidRPr="00155799">
              <w:rPr>
                <w:sz w:val="20"/>
                <w:vertAlign w:val="superscript"/>
              </w:rPr>
              <w:t>2</w:t>
            </w:r>
          </w:p>
        </w:tc>
        <w:tc>
          <w:tcPr>
            <w:tcW w:w="1260" w:type="dxa"/>
          </w:tcPr>
          <w:p w14:paraId="4E60A9DE" w14:textId="77777777" w:rsidR="00F675B9" w:rsidRPr="00155799" w:rsidRDefault="00F675B9" w:rsidP="00F675B9">
            <w:pPr>
              <w:pStyle w:val="Tabletext"/>
              <w:keepNext/>
              <w:jc w:val="center"/>
              <w:rPr>
                <w:sz w:val="20"/>
              </w:rPr>
            </w:pPr>
            <w:r w:rsidRPr="00155799">
              <w:rPr>
                <w:sz w:val="20"/>
              </w:rPr>
              <w:t>–</w:t>
            </w:r>
          </w:p>
        </w:tc>
        <w:tc>
          <w:tcPr>
            <w:tcW w:w="1080" w:type="dxa"/>
          </w:tcPr>
          <w:p w14:paraId="6D618031" w14:textId="77777777" w:rsidR="00F675B9" w:rsidRPr="00155799" w:rsidRDefault="00F675B9" w:rsidP="00F675B9">
            <w:pPr>
              <w:pStyle w:val="Tabletext"/>
              <w:keepNext/>
              <w:jc w:val="center"/>
              <w:rPr>
                <w:sz w:val="20"/>
              </w:rPr>
            </w:pPr>
            <w:r w:rsidRPr="00155799">
              <w:rPr>
                <w:sz w:val="20"/>
              </w:rPr>
              <w:sym w:font="Wingdings" w:char="F0FC"/>
            </w:r>
          </w:p>
        </w:tc>
        <w:tc>
          <w:tcPr>
            <w:tcW w:w="1250" w:type="dxa"/>
          </w:tcPr>
          <w:p w14:paraId="507FC0C6" w14:textId="77777777" w:rsidR="00F675B9" w:rsidRPr="00155799" w:rsidRDefault="00F675B9" w:rsidP="00F675B9">
            <w:pPr>
              <w:pStyle w:val="Tabletext"/>
              <w:keepNext/>
              <w:jc w:val="center"/>
              <w:rPr>
                <w:sz w:val="20"/>
              </w:rPr>
            </w:pPr>
            <w:r w:rsidRPr="00155799">
              <w:rPr>
                <w:sz w:val="20"/>
              </w:rPr>
              <w:t>–</w:t>
            </w:r>
          </w:p>
        </w:tc>
      </w:tr>
      <w:tr w:rsidR="00F675B9" w:rsidRPr="00856A6F" w14:paraId="6E9CDCA6" w14:textId="77777777" w:rsidTr="00155799">
        <w:trPr>
          <w:trHeight w:val="103"/>
        </w:trPr>
        <w:tc>
          <w:tcPr>
            <w:tcW w:w="1525" w:type="dxa"/>
            <w:vMerge/>
          </w:tcPr>
          <w:p w14:paraId="112B886D" w14:textId="77777777" w:rsidR="00F675B9" w:rsidRPr="00856A6F" w:rsidRDefault="00F675B9" w:rsidP="00F675B9">
            <w:pPr>
              <w:pStyle w:val="Tabletext"/>
              <w:keepNext/>
            </w:pPr>
          </w:p>
        </w:tc>
        <w:tc>
          <w:tcPr>
            <w:tcW w:w="2520" w:type="dxa"/>
          </w:tcPr>
          <w:p w14:paraId="4E1D86A7" w14:textId="77777777" w:rsidR="00F675B9" w:rsidRPr="00155799" w:rsidRDefault="00F675B9" w:rsidP="00155799">
            <w:pPr>
              <w:pStyle w:val="Tabletext"/>
              <w:keepNext/>
              <w:ind w:left="0"/>
              <w:rPr>
                <w:sz w:val="20"/>
              </w:rPr>
            </w:pPr>
            <w:r w:rsidRPr="00155799">
              <w:rPr>
                <w:sz w:val="20"/>
              </w:rPr>
              <w:t>Long-term safety</w:t>
            </w:r>
          </w:p>
        </w:tc>
        <w:tc>
          <w:tcPr>
            <w:tcW w:w="990" w:type="dxa"/>
          </w:tcPr>
          <w:p w14:paraId="5DC39254" w14:textId="77777777" w:rsidR="00F675B9" w:rsidRPr="00155799" w:rsidRDefault="00F675B9" w:rsidP="00F675B9">
            <w:pPr>
              <w:pStyle w:val="Tabletext"/>
              <w:keepNext/>
              <w:jc w:val="center"/>
              <w:rPr>
                <w:sz w:val="20"/>
                <w:vertAlign w:val="superscript"/>
              </w:rPr>
            </w:pPr>
            <w:r w:rsidRPr="00155799">
              <w:rPr>
                <w:sz w:val="20"/>
              </w:rPr>
              <w:sym w:font="Wingdings" w:char="F0FC"/>
            </w:r>
            <w:r w:rsidRPr="00155799">
              <w:rPr>
                <w:sz w:val="20"/>
                <w:vertAlign w:val="superscript"/>
              </w:rPr>
              <w:t>1</w:t>
            </w:r>
          </w:p>
        </w:tc>
        <w:tc>
          <w:tcPr>
            <w:tcW w:w="1260" w:type="dxa"/>
          </w:tcPr>
          <w:p w14:paraId="32D17C4E" w14:textId="77777777" w:rsidR="00F675B9" w:rsidRPr="00155799" w:rsidRDefault="00F675B9" w:rsidP="00F675B9">
            <w:pPr>
              <w:pStyle w:val="Tabletext"/>
              <w:keepNext/>
              <w:jc w:val="center"/>
              <w:rPr>
                <w:sz w:val="20"/>
              </w:rPr>
            </w:pPr>
            <w:r w:rsidRPr="00155799">
              <w:rPr>
                <w:sz w:val="20"/>
              </w:rPr>
              <w:t>–</w:t>
            </w:r>
          </w:p>
        </w:tc>
        <w:tc>
          <w:tcPr>
            <w:tcW w:w="1080" w:type="dxa"/>
          </w:tcPr>
          <w:p w14:paraId="299A835F" w14:textId="77777777" w:rsidR="00F675B9" w:rsidRPr="00155799" w:rsidRDefault="00F675B9" w:rsidP="00F675B9">
            <w:pPr>
              <w:pStyle w:val="Tabletext"/>
              <w:keepNext/>
              <w:jc w:val="center"/>
              <w:rPr>
                <w:sz w:val="20"/>
              </w:rPr>
            </w:pPr>
            <w:r w:rsidRPr="00155799">
              <w:rPr>
                <w:sz w:val="20"/>
              </w:rPr>
              <w:t>–</w:t>
            </w:r>
          </w:p>
        </w:tc>
        <w:tc>
          <w:tcPr>
            <w:tcW w:w="1250" w:type="dxa"/>
          </w:tcPr>
          <w:p w14:paraId="27AE8E7B" w14:textId="77777777" w:rsidR="00F675B9" w:rsidRPr="00155799" w:rsidRDefault="00F675B9" w:rsidP="00F675B9">
            <w:pPr>
              <w:pStyle w:val="Tabletext"/>
              <w:keepNext/>
              <w:jc w:val="center"/>
              <w:rPr>
                <w:sz w:val="20"/>
              </w:rPr>
            </w:pPr>
            <w:r w:rsidRPr="00155799">
              <w:rPr>
                <w:sz w:val="20"/>
              </w:rPr>
              <w:t>–</w:t>
            </w:r>
          </w:p>
        </w:tc>
      </w:tr>
      <w:tr w:rsidR="00F675B9" w:rsidRPr="00856A6F" w14:paraId="70A171FC" w14:textId="77777777" w:rsidTr="00155799">
        <w:trPr>
          <w:trHeight w:val="140"/>
        </w:trPr>
        <w:tc>
          <w:tcPr>
            <w:tcW w:w="1525" w:type="dxa"/>
            <w:vMerge/>
          </w:tcPr>
          <w:p w14:paraId="12C9AF96" w14:textId="77777777" w:rsidR="00F675B9" w:rsidRPr="00856A6F" w:rsidRDefault="00F675B9" w:rsidP="00F675B9">
            <w:pPr>
              <w:pStyle w:val="Tabletext"/>
              <w:keepNext/>
            </w:pPr>
          </w:p>
        </w:tc>
        <w:tc>
          <w:tcPr>
            <w:tcW w:w="2520" w:type="dxa"/>
          </w:tcPr>
          <w:p w14:paraId="5E61DAE4" w14:textId="77777777" w:rsidR="00F675B9" w:rsidRPr="00155799" w:rsidRDefault="00F675B9" w:rsidP="00155799">
            <w:pPr>
              <w:pStyle w:val="Tabletext"/>
              <w:keepNext/>
              <w:ind w:left="0"/>
              <w:rPr>
                <w:sz w:val="20"/>
              </w:rPr>
            </w:pPr>
            <w:r w:rsidRPr="00155799">
              <w:rPr>
                <w:sz w:val="20"/>
              </w:rPr>
              <w:t>*Very elderly population (</w:t>
            </w:r>
            <w:r w:rsidRPr="00155799">
              <w:rPr>
                <w:sz w:val="20"/>
                <w:u w:val="single"/>
              </w:rPr>
              <w:t>&gt;</w:t>
            </w:r>
            <w:r w:rsidRPr="00155799">
              <w:rPr>
                <w:sz w:val="20"/>
              </w:rPr>
              <w:t xml:space="preserve"> 75 years)</w:t>
            </w:r>
          </w:p>
        </w:tc>
        <w:tc>
          <w:tcPr>
            <w:tcW w:w="990" w:type="dxa"/>
          </w:tcPr>
          <w:p w14:paraId="6B174F04" w14:textId="77777777" w:rsidR="00F675B9" w:rsidRPr="00155799" w:rsidRDefault="00F675B9" w:rsidP="00F675B9">
            <w:pPr>
              <w:pStyle w:val="Tabletext"/>
              <w:keepNext/>
              <w:jc w:val="center"/>
              <w:rPr>
                <w:sz w:val="20"/>
                <w:vertAlign w:val="superscript"/>
              </w:rPr>
            </w:pPr>
            <w:r w:rsidRPr="00155799">
              <w:rPr>
                <w:sz w:val="20"/>
              </w:rPr>
              <w:sym w:font="Wingdings" w:char="F0FC"/>
            </w:r>
            <w:r w:rsidRPr="00155799">
              <w:rPr>
                <w:sz w:val="20"/>
                <w:vertAlign w:val="superscript"/>
              </w:rPr>
              <w:t>1</w:t>
            </w:r>
          </w:p>
        </w:tc>
        <w:tc>
          <w:tcPr>
            <w:tcW w:w="1260" w:type="dxa"/>
          </w:tcPr>
          <w:p w14:paraId="783F45C2" w14:textId="77777777" w:rsidR="00F675B9" w:rsidRPr="00155799" w:rsidRDefault="00F675B9" w:rsidP="00F675B9">
            <w:pPr>
              <w:pStyle w:val="Tabletext"/>
              <w:keepNext/>
              <w:jc w:val="center"/>
              <w:rPr>
                <w:sz w:val="20"/>
              </w:rPr>
            </w:pPr>
            <w:r w:rsidRPr="00155799">
              <w:rPr>
                <w:sz w:val="20"/>
              </w:rPr>
              <w:t>–</w:t>
            </w:r>
          </w:p>
        </w:tc>
        <w:tc>
          <w:tcPr>
            <w:tcW w:w="1080" w:type="dxa"/>
          </w:tcPr>
          <w:p w14:paraId="2E6426AD" w14:textId="77777777" w:rsidR="00F675B9" w:rsidRPr="00155799" w:rsidRDefault="00F675B9" w:rsidP="00F675B9">
            <w:pPr>
              <w:pStyle w:val="Tabletext"/>
              <w:keepNext/>
              <w:jc w:val="center"/>
              <w:rPr>
                <w:sz w:val="20"/>
              </w:rPr>
            </w:pPr>
            <w:r w:rsidRPr="00155799">
              <w:rPr>
                <w:sz w:val="20"/>
              </w:rPr>
              <w:sym w:font="Wingdings" w:char="F0FC"/>
            </w:r>
          </w:p>
        </w:tc>
        <w:tc>
          <w:tcPr>
            <w:tcW w:w="1250" w:type="dxa"/>
          </w:tcPr>
          <w:p w14:paraId="532C96C9" w14:textId="77777777" w:rsidR="00F675B9" w:rsidRPr="00155799" w:rsidRDefault="00F675B9" w:rsidP="00F675B9">
            <w:pPr>
              <w:pStyle w:val="Tabletext"/>
              <w:keepNext/>
              <w:jc w:val="center"/>
              <w:rPr>
                <w:sz w:val="20"/>
              </w:rPr>
            </w:pPr>
            <w:r w:rsidRPr="00155799">
              <w:rPr>
                <w:sz w:val="20"/>
              </w:rPr>
              <w:t>–</w:t>
            </w:r>
          </w:p>
        </w:tc>
      </w:tr>
    </w:tbl>
    <w:p w14:paraId="7C9ECFFF" w14:textId="77777777" w:rsidR="00F675B9" w:rsidRDefault="00F675B9" w:rsidP="00F675B9">
      <w:pPr>
        <w:pStyle w:val="TableDescription"/>
      </w:pPr>
      <w:r>
        <w:t xml:space="preserve">*The highlighted section of this safety concern is Australia-specific. </w:t>
      </w:r>
      <w:r>
        <w:rPr>
          <w:vertAlign w:val="superscript"/>
        </w:rPr>
        <w:t>1</w:t>
      </w:r>
      <w:r>
        <w:t xml:space="preserve">Standard adverse event targeted follow-up questionnaire. </w:t>
      </w:r>
      <w:r>
        <w:rPr>
          <w:vertAlign w:val="superscript"/>
        </w:rPr>
        <w:t>2</w:t>
      </w:r>
      <w:r>
        <w:t>Pregnancy targeted follow-up questionnaire</w:t>
      </w:r>
    </w:p>
    <w:p w14:paraId="739E68CA" w14:textId="77777777" w:rsidR="00F167FE" w:rsidRPr="00F167FE" w:rsidRDefault="00F167FE" w:rsidP="00F167FE">
      <w:r w:rsidRPr="00C52097">
        <w:t xml:space="preserve">The </w:t>
      </w:r>
      <w:r>
        <w:t>pharmacovigilance plan was considered satisfactory, which included</w:t>
      </w:r>
      <w:r w:rsidRPr="00C52097">
        <w:t xml:space="preserve"> targeted follow-up questionnaires, for all safety concerns. </w:t>
      </w:r>
      <w:r>
        <w:t>There are no outstanding issues from RMP perspective.</w:t>
      </w:r>
    </w:p>
    <w:p w14:paraId="1F26F0AA" w14:textId="77777777" w:rsidR="008E7846" w:rsidRDefault="00AA0ED0" w:rsidP="008E7846">
      <w:pPr>
        <w:pStyle w:val="Heading3"/>
      </w:pPr>
      <w:bookmarkStart w:id="47" w:name="_Toc247691531"/>
      <w:bookmarkStart w:id="48" w:name="_Toc314842515"/>
      <w:bookmarkStart w:id="49" w:name="_Toc196046505"/>
      <w:bookmarkStart w:id="50" w:name="_Toc196046949"/>
      <w:bookmarkStart w:id="51" w:name="_Toc64901253"/>
      <w:r>
        <w:t>Risk-benefit a</w:t>
      </w:r>
      <w:r w:rsidR="008E7846">
        <w:t>nalysis</w:t>
      </w:r>
      <w:bookmarkEnd w:id="47"/>
      <w:bookmarkEnd w:id="48"/>
      <w:bookmarkEnd w:id="51"/>
    </w:p>
    <w:p w14:paraId="33EB7729" w14:textId="77777777" w:rsidR="00D23139" w:rsidRDefault="007D53B6" w:rsidP="00D23139">
      <w:pPr>
        <w:pStyle w:val="Heading4"/>
      </w:pPr>
      <w:r>
        <w:t>Delegate’s considerations</w:t>
      </w:r>
    </w:p>
    <w:p w14:paraId="6B472BB8" w14:textId="36037FB0" w:rsidR="00F167FE" w:rsidRDefault="00F167FE" w:rsidP="00F167FE">
      <w:pPr>
        <w:rPr>
          <w:lang w:eastAsia="ja-JP"/>
        </w:rPr>
      </w:pPr>
      <w:r w:rsidRPr="00480570">
        <w:rPr>
          <w:lang w:eastAsia="ja-JP"/>
        </w:rPr>
        <w:t>Clinical effi</w:t>
      </w:r>
      <w:r>
        <w:rPr>
          <w:lang w:eastAsia="ja-JP"/>
        </w:rPr>
        <w:t>cacy of opicapone</w:t>
      </w:r>
      <w:r w:rsidRPr="00480570">
        <w:rPr>
          <w:lang w:eastAsia="ja-JP"/>
        </w:rPr>
        <w:t xml:space="preserve"> was evaluated</w:t>
      </w:r>
      <w:r>
        <w:rPr>
          <w:lang w:eastAsia="ja-JP"/>
        </w:rPr>
        <w:t xml:space="preserve"> in two </w:t>
      </w:r>
      <w:r w:rsidR="004314DA">
        <w:rPr>
          <w:lang w:eastAsia="ja-JP"/>
        </w:rPr>
        <w:t>Phase III</w:t>
      </w:r>
      <w:r w:rsidRPr="00480570">
        <w:rPr>
          <w:lang w:eastAsia="ja-JP"/>
        </w:rPr>
        <w:t xml:space="preserve"> studies for up to 15 weeks of double blind, placebo-controlled and partially actively controlle</w:t>
      </w:r>
      <w:r w:rsidR="003B7CD2">
        <w:rPr>
          <w:lang w:eastAsia="ja-JP"/>
        </w:rPr>
        <w:t>d treatment and 52 </w:t>
      </w:r>
      <w:r>
        <w:rPr>
          <w:lang w:eastAsia="ja-JP"/>
        </w:rPr>
        <w:t>weeks of open-label treatment period. Across studies, patients treated with opicapone 50</w:t>
      </w:r>
      <w:r w:rsidR="003B7CD2">
        <w:rPr>
          <w:lang w:eastAsia="ja-JP"/>
        </w:rPr>
        <w:t> </w:t>
      </w:r>
      <w:r>
        <w:rPr>
          <w:lang w:eastAsia="ja-JP"/>
        </w:rPr>
        <w:t>mg ac</w:t>
      </w:r>
      <w:r w:rsidR="003259CC">
        <w:rPr>
          <w:lang w:eastAsia="ja-JP"/>
        </w:rPr>
        <w:t xml:space="preserve">hieved maximal reduction in off </w:t>
      </w:r>
      <w:r>
        <w:rPr>
          <w:lang w:eastAsia="ja-JP"/>
        </w:rPr>
        <w:t xml:space="preserve">time </w:t>
      </w:r>
      <w:r w:rsidR="00FB3DAD">
        <w:rPr>
          <w:lang w:eastAsia="ja-JP"/>
        </w:rPr>
        <w:t>from B</w:t>
      </w:r>
      <w:r>
        <w:rPr>
          <w:lang w:eastAsia="ja-JP"/>
        </w:rPr>
        <w:t>aseline. This outcome was al</w:t>
      </w:r>
      <w:r w:rsidR="003259CC">
        <w:rPr>
          <w:lang w:eastAsia="ja-JP"/>
        </w:rPr>
        <w:t xml:space="preserve">so associated with increased on </w:t>
      </w:r>
      <w:r>
        <w:rPr>
          <w:lang w:eastAsia="ja-JP"/>
        </w:rPr>
        <w:t xml:space="preserve">time without troublesome dyskinesia. </w:t>
      </w:r>
      <w:r w:rsidRPr="00480570">
        <w:rPr>
          <w:lang w:eastAsia="ja-JP"/>
        </w:rPr>
        <w:t>The results showed statistical superiority of the 50</w:t>
      </w:r>
      <w:r w:rsidR="004314DA">
        <w:rPr>
          <w:lang w:eastAsia="ja-JP"/>
        </w:rPr>
        <w:t xml:space="preserve"> </w:t>
      </w:r>
      <w:r>
        <w:rPr>
          <w:lang w:eastAsia="ja-JP"/>
        </w:rPr>
        <w:t>mg/</w:t>
      </w:r>
      <w:r w:rsidRPr="00480570">
        <w:rPr>
          <w:lang w:eastAsia="ja-JP"/>
        </w:rPr>
        <w:t>dose over placebo in both studies, wh</w:t>
      </w:r>
      <w:r w:rsidR="004314DA">
        <w:rPr>
          <w:lang w:eastAsia="ja-JP"/>
        </w:rPr>
        <w:t>ile in the actively controlled S</w:t>
      </w:r>
      <w:r w:rsidR="003B7CD2">
        <w:rPr>
          <w:lang w:eastAsia="ja-JP"/>
        </w:rPr>
        <w:t>tudy </w:t>
      </w:r>
      <w:r w:rsidRPr="00480570">
        <w:rPr>
          <w:lang w:eastAsia="ja-JP"/>
        </w:rPr>
        <w:t xml:space="preserve">301 non-inferiority over the comparator </w:t>
      </w:r>
      <w:proofErr w:type="spellStart"/>
      <w:r w:rsidRPr="00480570">
        <w:rPr>
          <w:lang w:eastAsia="ja-JP"/>
        </w:rPr>
        <w:t>ent</w:t>
      </w:r>
      <w:r w:rsidR="003B7CD2">
        <w:rPr>
          <w:lang w:eastAsia="ja-JP"/>
        </w:rPr>
        <w:t>acapone</w:t>
      </w:r>
      <w:proofErr w:type="spellEnd"/>
      <w:r w:rsidR="003B7CD2">
        <w:rPr>
          <w:lang w:eastAsia="ja-JP"/>
        </w:rPr>
        <w:t xml:space="preserve"> was shown (based on 30 </w:t>
      </w:r>
      <w:r>
        <w:rPr>
          <w:lang w:eastAsia="ja-JP"/>
        </w:rPr>
        <w:t xml:space="preserve">minutes as the non-inferiority margin) in terms of </w:t>
      </w:r>
      <w:r w:rsidRPr="00480570">
        <w:rPr>
          <w:lang w:eastAsia="ja-JP"/>
        </w:rPr>
        <w:t xml:space="preserve">reduction of the </w:t>
      </w:r>
      <w:r w:rsidR="003259CC">
        <w:rPr>
          <w:lang w:eastAsia="ja-JP"/>
        </w:rPr>
        <w:t>absolute off t</w:t>
      </w:r>
      <w:r>
        <w:rPr>
          <w:lang w:eastAsia="ja-JP"/>
        </w:rPr>
        <w:t>ime from</w:t>
      </w:r>
      <w:r w:rsidR="00FB3DAD">
        <w:rPr>
          <w:lang w:eastAsia="ja-JP"/>
        </w:rPr>
        <w:t xml:space="preserve"> B</w:t>
      </w:r>
      <w:r w:rsidR="00DC766F">
        <w:rPr>
          <w:lang w:eastAsia="ja-JP"/>
        </w:rPr>
        <w:t>aseline.</w:t>
      </w:r>
    </w:p>
    <w:p w14:paraId="24652B28" w14:textId="6A3DADC6" w:rsidR="00F167FE" w:rsidRDefault="00F167FE" w:rsidP="00F167FE">
      <w:pPr>
        <w:rPr>
          <w:lang w:eastAsia="ja-JP"/>
        </w:rPr>
      </w:pPr>
      <w:r>
        <w:rPr>
          <w:lang w:eastAsia="ja-JP"/>
        </w:rPr>
        <w:t xml:space="preserve">A significantly greater proportion of patients in opicapone 50 mg group were responders, when compared </w:t>
      </w:r>
      <w:r w:rsidR="004314DA">
        <w:rPr>
          <w:lang w:eastAsia="ja-JP"/>
        </w:rPr>
        <w:t>to placebo in both S</w:t>
      </w:r>
      <w:r>
        <w:rPr>
          <w:lang w:eastAsia="ja-JP"/>
        </w:rPr>
        <w:t>tudies 301 and 302 and numerically gr</w:t>
      </w:r>
      <w:r w:rsidR="004314DA">
        <w:rPr>
          <w:lang w:eastAsia="ja-JP"/>
        </w:rPr>
        <w:t xml:space="preserve">eater than </w:t>
      </w:r>
      <w:proofErr w:type="spellStart"/>
      <w:r w:rsidR="004314DA">
        <w:rPr>
          <w:lang w:eastAsia="ja-JP"/>
        </w:rPr>
        <w:t>entacapone</w:t>
      </w:r>
      <w:proofErr w:type="spellEnd"/>
      <w:r w:rsidR="004314DA">
        <w:rPr>
          <w:lang w:eastAsia="ja-JP"/>
        </w:rPr>
        <w:t xml:space="preserve"> group in S</w:t>
      </w:r>
      <w:r>
        <w:rPr>
          <w:lang w:eastAsia="ja-JP"/>
        </w:rPr>
        <w:t xml:space="preserve">tudy 301 (did not achieve statistical significance). There was no significant difference between opicapone 50 mg and </w:t>
      </w:r>
      <w:proofErr w:type="spellStart"/>
      <w:r>
        <w:rPr>
          <w:lang w:eastAsia="ja-JP"/>
        </w:rPr>
        <w:t>entacap</w:t>
      </w:r>
      <w:r w:rsidR="003259CC">
        <w:rPr>
          <w:lang w:eastAsia="ja-JP"/>
        </w:rPr>
        <w:t>one</w:t>
      </w:r>
      <w:proofErr w:type="spellEnd"/>
      <w:r w:rsidR="003259CC">
        <w:rPr>
          <w:lang w:eastAsia="ja-JP"/>
        </w:rPr>
        <w:t xml:space="preserve"> groups in terms of total on </w:t>
      </w:r>
      <w:r>
        <w:rPr>
          <w:lang w:eastAsia="ja-JP"/>
        </w:rPr>
        <w:t>time a</w:t>
      </w:r>
      <w:r w:rsidR="00021039">
        <w:rPr>
          <w:lang w:eastAsia="ja-JP"/>
        </w:rPr>
        <w:t>nd reduction in off time. The on</w:t>
      </w:r>
      <w:r>
        <w:rPr>
          <w:lang w:eastAsia="ja-JP"/>
        </w:rPr>
        <w:t xml:space="preserve"> time without troublesome dyskinesia was marginally higher for opicapone 50</w:t>
      </w:r>
      <w:r w:rsidR="004314DA">
        <w:rPr>
          <w:lang w:eastAsia="ja-JP"/>
        </w:rPr>
        <w:t xml:space="preserve"> </w:t>
      </w:r>
      <w:r>
        <w:rPr>
          <w:lang w:eastAsia="ja-JP"/>
        </w:rPr>
        <w:t xml:space="preserve">mg group (16 </w:t>
      </w:r>
      <w:r w:rsidR="00836303">
        <w:rPr>
          <w:lang w:eastAsia="ja-JP"/>
        </w:rPr>
        <w:t>minutes</w:t>
      </w:r>
      <w:r>
        <w:rPr>
          <w:lang w:eastAsia="ja-JP"/>
        </w:rPr>
        <w:t xml:space="preserve"> greater than </w:t>
      </w:r>
      <w:proofErr w:type="spellStart"/>
      <w:r>
        <w:rPr>
          <w:lang w:eastAsia="ja-JP"/>
        </w:rPr>
        <w:t>entacapone</w:t>
      </w:r>
      <w:proofErr w:type="spellEnd"/>
      <w:r>
        <w:rPr>
          <w:lang w:eastAsia="ja-JP"/>
        </w:rPr>
        <w:t xml:space="preserve"> and 2</w:t>
      </w:r>
      <w:r w:rsidR="003B7CD2">
        <w:rPr>
          <w:lang w:eastAsia="ja-JP"/>
        </w:rPr>
        <w:t>5 </w:t>
      </w:r>
      <w:r w:rsidR="00836303">
        <w:rPr>
          <w:lang w:eastAsia="ja-JP"/>
        </w:rPr>
        <w:t>minutes</w:t>
      </w:r>
      <w:r>
        <w:rPr>
          <w:lang w:eastAsia="ja-JP"/>
        </w:rPr>
        <w:t xml:space="preserve"> greater than 25 mg opicapone group), compared to other treatment groups. The clinical significance this treatment difference is marginal.</w:t>
      </w:r>
    </w:p>
    <w:p w14:paraId="58355401" w14:textId="77777777" w:rsidR="00F167FE" w:rsidRDefault="00F167FE" w:rsidP="00F167FE">
      <w:pPr>
        <w:rPr>
          <w:lang w:eastAsia="ja-JP"/>
        </w:rPr>
      </w:pPr>
      <w:r>
        <w:rPr>
          <w:lang w:eastAsia="ja-JP"/>
        </w:rPr>
        <w:t xml:space="preserve">Patients treated with 50 mg opicapone did not achieve significant treatment benefit in terms of quality of life measures and non-motor symptom scale, compared to those in </w:t>
      </w:r>
      <w:proofErr w:type="spellStart"/>
      <w:r>
        <w:rPr>
          <w:lang w:eastAsia="ja-JP"/>
        </w:rPr>
        <w:t>entacapone</w:t>
      </w:r>
      <w:proofErr w:type="spellEnd"/>
      <w:r>
        <w:rPr>
          <w:lang w:eastAsia="ja-JP"/>
        </w:rPr>
        <w:t xml:space="preserve"> and placebo groups. T</w:t>
      </w:r>
      <w:r w:rsidR="00021039">
        <w:rPr>
          <w:lang w:eastAsia="ja-JP"/>
        </w:rPr>
        <w:t>he significant improvement in on</w:t>
      </w:r>
      <w:r>
        <w:rPr>
          <w:lang w:eastAsia="ja-JP"/>
        </w:rPr>
        <w:t xml:space="preserve"> time and reduction in troublesome dyskinesia for the opicapone 50 mg group does not appear to have resulted in a significant treatment difference in quality of life measures and improvement in non-motor symptoms of Parkinson's disease, when compared to other treatment groups, including placebo.</w:t>
      </w:r>
    </w:p>
    <w:p w14:paraId="10E4863B" w14:textId="77777777" w:rsidR="00F167FE" w:rsidRDefault="00F167FE" w:rsidP="00F167FE">
      <w:pPr>
        <w:rPr>
          <w:lang w:eastAsia="ja-JP"/>
        </w:rPr>
      </w:pPr>
      <w:r>
        <w:rPr>
          <w:lang w:eastAsia="ja-JP"/>
        </w:rPr>
        <w:t>The results of long term open label treatment phase indicates a sustained treatment benefit for patients treated with opicapone 50</w:t>
      </w:r>
      <w:r w:rsidR="004314DA">
        <w:rPr>
          <w:lang w:eastAsia="ja-JP"/>
        </w:rPr>
        <w:t xml:space="preserve"> </w:t>
      </w:r>
      <w:r>
        <w:rPr>
          <w:lang w:eastAsia="ja-JP"/>
        </w:rPr>
        <w:t>mg.</w:t>
      </w:r>
    </w:p>
    <w:p w14:paraId="3E7F1CDA" w14:textId="23FB7AA5" w:rsidR="00A35F73" w:rsidRDefault="004314DA" w:rsidP="00F167FE">
      <w:pPr>
        <w:rPr>
          <w:lang w:eastAsia="ja-JP"/>
        </w:rPr>
      </w:pPr>
      <w:r>
        <w:rPr>
          <w:lang w:eastAsia="ja-JP"/>
        </w:rPr>
        <w:t>The D</w:t>
      </w:r>
      <w:r w:rsidR="00F167FE">
        <w:rPr>
          <w:lang w:eastAsia="ja-JP"/>
        </w:rPr>
        <w:t xml:space="preserve">elegate considers that the clinical utility of opicapone in the treatment paradigm of Parkinson's disease is unclear. The proposed indication is to treat </w:t>
      </w:r>
      <w:r w:rsidR="00857D6D" w:rsidRPr="00155799">
        <w:rPr>
          <w:i/>
          <w:lang w:eastAsia="ja-JP"/>
        </w:rPr>
        <w:t>all</w:t>
      </w:r>
      <w:r w:rsidR="00F167FE">
        <w:rPr>
          <w:lang w:eastAsia="ja-JP"/>
        </w:rPr>
        <w:t xml:space="preserve"> patients who are still experiencing end-of-motor fluctuations in spite of being treated with levodopa/DDCI therapy. Patients requiring opicapone as a COMT inhibitor in addition to levodopa and DDCI to achieve adequate control over motor functions are more likely to have moderate to severe motor disability.</w:t>
      </w:r>
      <w:r w:rsidR="00DC766F" w:rsidRPr="00DC766F">
        <w:rPr>
          <w:vertAlign w:val="superscript"/>
          <w:lang w:eastAsia="ja-JP"/>
        </w:rPr>
        <w:fldChar w:fldCharType="begin"/>
      </w:r>
      <w:r w:rsidR="00DC766F" w:rsidRPr="00DC766F">
        <w:rPr>
          <w:vertAlign w:val="superscript"/>
          <w:lang w:eastAsia="ja-JP"/>
        </w:rPr>
        <w:instrText xml:space="preserve"> NOTEREF _Ref57897091 \h </w:instrText>
      </w:r>
      <w:r w:rsidR="00DC766F">
        <w:rPr>
          <w:vertAlign w:val="superscript"/>
          <w:lang w:eastAsia="ja-JP"/>
        </w:rPr>
        <w:instrText xml:space="preserve"> \* MERGEFORMAT </w:instrText>
      </w:r>
      <w:r w:rsidR="00DC766F" w:rsidRPr="00DC766F">
        <w:rPr>
          <w:vertAlign w:val="superscript"/>
          <w:lang w:eastAsia="ja-JP"/>
        </w:rPr>
      </w:r>
      <w:r w:rsidR="00DC766F" w:rsidRPr="00DC766F">
        <w:rPr>
          <w:vertAlign w:val="superscript"/>
          <w:lang w:eastAsia="ja-JP"/>
        </w:rPr>
        <w:fldChar w:fldCharType="separate"/>
      </w:r>
      <w:r w:rsidR="00A55428">
        <w:rPr>
          <w:vertAlign w:val="superscript"/>
          <w:lang w:eastAsia="ja-JP"/>
        </w:rPr>
        <w:t>4</w:t>
      </w:r>
      <w:r w:rsidR="00DC766F" w:rsidRPr="00DC766F">
        <w:rPr>
          <w:vertAlign w:val="superscript"/>
          <w:lang w:eastAsia="ja-JP"/>
        </w:rPr>
        <w:fldChar w:fldCharType="end"/>
      </w:r>
      <w:r w:rsidR="00DC766F" w:rsidRPr="00DC766F">
        <w:rPr>
          <w:vertAlign w:val="superscript"/>
          <w:lang w:eastAsia="ja-JP"/>
        </w:rPr>
        <w:t>,</w:t>
      </w:r>
      <w:r w:rsidR="00DC766F" w:rsidRPr="00DC766F">
        <w:rPr>
          <w:vertAlign w:val="superscript"/>
          <w:lang w:eastAsia="ja-JP"/>
        </w:rPr>
        <w:fldChar w:fldCharType="begin"/>
      </w:r>
      <w:r w:rsidR="00DC766F" w:rsidRPr="00DC766F">
        <w:rPr>
          <w:vertAlign w:val="superscript"/>
          <w:lang w:eastAsia="ja-JP"/>
        </w:rPr>
        <w:instrText xml:space="preserve"> NOTEREF _Ref58245650 \h </w:instrText>
      </w:r>
      <w:r w:rsidR="00DC766F">
        <w:rPr>
          <w:vertAlign w:val="superscript"/>
          <w:lang w:eastAsia="ja-JP"/>
        </w:rPr>
        <w:instrText xml:space="preserve"> \* MERGEFORMAT </w:instrText>
      </w:r>
      <w:r w:rsidR="00DC766F" w:rsidRPr="00DC766F">
        <w:rPr>
          <w:vertAlign w:val="superscript"/>
          <w:lang w:eastAsia="ja-JP"/>
        </w:rPr>
      </w:r>
      <w:r w:rsidR="00DC766F" w:rsidRPr="00DC766F">
        <w:rPr>
          <w:vertAlign w:val="superscript"/>
          <w:lang w:eastAsia="ja-JP"/>
        </w:rPr>
        <w:fldChar w:fldCharType="separate"/>
      </w:r>
      <w:r w:rsidR="00A55428">
        <w:rPr>
          <w:vertAlign w:val="superscript"/>
          <w:lang w:eastAsia="ja-JP"/>
        </w:rPr>
        <w:t>8</w:t>
      </w:r>
      <w:r w:rsidR="00DC766F" w:rsidRPr="00DC766F">
        <w:rPr>
          <w:vertAlign w:val="superscript"/>
          <w:lang w:eastAsia="ja-JP"/>
        </w:rPr>
        <w:fldChar w:fldCharType="end"/>
      </w:r>
      <w:r w:rsidR="00F167FE">
        <w:rPr>
          <w:lang w:eastAsia="ja-JP"/>
        </w:rPr>
        <w:t xml:space="preserve"> However, patients at the severe end on motor dysfunction (as per </w:t>
      </w:r>
      <w:r w:rsidR="00857D6D">
        <w:rPr>
          <w:lang w:eastAsia="ja-JP"/>
        </w:rPr>
        <w:t>S</w:t>
      </w:r>
      <w:r w:rsidR="00F167FE">
        <w:rPr>
          <w:lang w:eastAsia="ja-JP"/>
        </w:rPr>
        <w:t xml:space="preserve">tage IV of modified </w:t>
      </w:r>
      <w:proofErr w:type="spellStart"/>
      <w:r w:rsidR="00F167FE">
        <w:rPr>
          <w:lang w:eastAsia="ja-JP"/>
        </w:rPr>
        <w:t>Hoehn</w:t>
      </w:r>
      <w:proofErr w:type="spellEnd"/>
      <w:r w:rsidR="00F167FE">
        <w:rPr>
          <w:lang w:eastAsia="ja-JP"/>
        </w:rPr>
        <w:t xml:space="preserve"> and </w:t>
      </w:r>
      <w:proofErr w:type="spellStart"/>
      <w:r w:rsidR="00F167FE">
        <w:rPr>
          <w:lang w:eastAsia="ja-JP"/>
        </w:rPr>
        <w:t>Yahr</w:t>
      </w:r>
      <w:proofErr w:type="spellEnd"/>
      <w:r w:rsidR="00F167FE">
        <w:rPr>
          <w:lang w:eastAsia="ja-JP"/>
        </w:rPr>
        <w:t xml:space="preserve"> sta</w:t>
      </w:r>
      <w:r>
        <w:rPr>
          <w:lang w:eastAsia="ja-JP"/>
        </w:rPr>
        <w:t>ging)</w:t>
      </w:r>
      <w:r w:rsidRPr="004314DA">
        <w:rPr>
          <w:vertAlign w:val="superscript"/>
          <w:lang w:eastAsia="ja-JP"/>
        </w:rPr>
        <w:fldChar w:fldCharType="begin"/>
      </w:r>
      <w:r w:rsidRPr="004314DA">
        <w:rPr>
          <w:vertAlign w:val="superscript"/>
          <w:lang w:eastAsia="ja-JP"/>
        </w:rPr>
        <w:instrText xml:space="preserve"> NOTEREF _Ref58833141 \h </w:instrText>
      </w:r>
      <w:r>
        <w:rPr>
          <w:vertAlign w:val="superscript"/>
          <w:lang w:eastAsia="ja-JP"/>
        </w:rPr>
        <w:instrText xml:space="preserve"> \* MERGEFORMAT </w:instrText>
      </w:r>
      <w:r w:rsidRPr="004314DA">
        <w:rPr>
          <w:vertAlign w:val="superscript"/>
          <w:lang w:eastAsia="ja-JP"/>
        </w:rPr>
      </w:r>
      <w:r w:rsidRPr="004314DA">
        <w:rPr>
          <w:vertAlign w:val="superscript"/>
          <w:lang w:eastAsia="ja-JP"/>
        </w:rPr>
        <w:fldChar w:fldCharType="separate"/>
      </w:r>
      <w:r w:rsidR="00A55428">
        <w:rPr>
          <w:vertAlign w:val="superscript"/>
          <w:lang w:eastAsia="ja-JP"/>
        </w:rPr>
        <w:t>12</w:t>
      </w:r>
      <w:r w:rsidRPr="004314DA">
        <w:rPr>
          <w:vertAlign w:val="superscript"/>
          <w:lang w:eastAsia="ja-JP"/>
        </w:rPr>
        <w:fldChar w:fldCharType="end"/>
      </w:r>
      <w:r>
        <w:rPr>
          <w:lang w:eastAsia="ja-JP"/>
        </w:rPr>
        <w:t xml:space="preserve"> were not included in the S</w:t>
      </w:r>
      <w:r w:rsidR="00F167FE">
        <w:rPr>
          <w:lang w:eastAsia="ja-JP"/>
        </w:rPr>
        <w:t>tudy 301. Around 65% of patients di</w:t>
      </w:r>
      <w:r>
        <w:rPr>
          <w:lang w:eastAsia="ja-JP"/>
        </w:rPr>
        <w:t>d not experience dyskinesia at B</w:t>
      </w:r>
      <w:r w:rsidR="00F167FE">
        <w:rPr>
          <w:lang w:eastAsia="ja-JP"/>
        </w:rPr>
        <w:t>aseline. Hence, the utility of opicapone in patients with moderate to severe motor dysfunc</w:t>
      </w:r>
      <w:r>
        <w:rPr>
          <w:lang w:eastAsia="ja-JP"/>
        </w:rPr>
        <w:t>tion has not been demonstrated.</w:t>
      </w:r>
    </w:p>
    <w:p w14:paraId="1713E8C1" w14:textId="77777777" w:rsidR="00F167FE" w:rsidRDefault="00F167FE" w:rsidP="00F167FE">
      <w:pPr>
        <w:rPr>
          <w:lang w:eastAsia="ja-JP"/>
        </w:rPr>
      </w:pPr>
      <w:r>
        <w:rPr>
          <w:lang w:eastAsia="ja-JP"/>
        </w:rPr>
        <w:t>Patients who were previously treated with</w:t>
      </w:r>
      <w:r w:rsidR="00FB3DAD">
        <w:rPr>
          <w:lang w:eastAsia="ja-JP"/>
        </w:rPr>
        <w:t xml:space="preserve"> </w:t>
      </w:r>
      <w:proofErr w:type="spellStart"/>
      <w:r w:rsidR="00FB3DAD">
        <w:rPr>
          <w:lang w:eastAsia="ja-JP"/>
        </w:rPr>
        <w:t>entacapone</w:t>
      </w:r>
      <w:proofErr w:type="spellEnd"/>
      <w:r w:rsidR="00FB3DAD">
        <w:rPr>
          <w:lang w:eastAsia="ja-JP"/>
        </w:rPr>
        <w:t xml:space="preserve"> were excluded from S</w:t>
      </w:r>
      <w:r>
        <w:rPr>
          <w:lang w:eastAsia="ja-JP"/>
        </w:rPr>
        <w:t xml:space="preserve">tudy 301. Around 20% of patients with Parkinson's disease are considered to be refractory to treatment with </w:t>
      </w:r>
      <w:proofErr w:type="spellStart"/>
      <w:r>
        <w:rPr>
          <w:lang w:eastAsia="ja-JP"/>
        </w:rPr>
        <w:t>entacapone</w:t>
      </w:r>
      <w:proofErr w:type="spellEnd"/>
      <w:r>
        <w:rPr>
          <w:lang w:eastAsia="ja-JP"/>
        </w:rPr>
        <w:t>. The potential utility of opicapone as a treatment option in those patients is unknown. The once daily dose of opicapone could contribute towards improving trea</w:t>
      </w:r>
      <w:r w:rsidR="00FB3DAD">
        <w:rPr>
          <w:lang w:eastAsia="ja-JP"/>
        </w:rPr>
        <w:t>tment compliance. However, the D</w:t>
      </w:r>
      <w:r>
        <w:rPr>
          <w:lang w:eastAsia="ja-JP"/>
        </w:rPr>
        <w:t xml:space="preserve">elegate considers that it could also restrict the ability to titrate the dose of both COMT inhibitor </w:t>
      </w:r>
      <w:r w:rsidRPr="00E6110C">
        <w:rPr>
          <w:i/>
          <w:lang w:eastAsia="ja-JP"/>
        </w:rPr>
        <w:t>and</w:t>
      </w:r>
      <w:r>
        <w:rPr>
          <w:lang w:eastAsia="ja-JP"/>
        </w:rPr>
        <w:t xml:space="preserve"> levodopa to achieve o</w:t>
      </w:r>
      <w:r w:rsidR="00FB3DAD">
        <w:rPr>
          <w:lang w:eastAsia="ja-JP"/>
        </w:rPr>
        <w:t>ptimal treatment outcomes. The D</w:t>
      </w:r>
      <w:r>
        <w:rPr>
          <w:lang w:eastAsia="ja-JP"/>
        </w:rPr>
        <w:t>elegate's conclusion is based on the fact that the objective of adding a COMT inhibitor is to achieve optimal symptom control at the lowest feasible dose of levodopa; rather than solely to reduce the dose of levodopa.</w:t>
      </w:r>
      <w:r w:rsidR="00DC766F" w:rsidRPr="00DC766F">
        <w:rPr>
          <w:vertAlign w:val="superscript"/>
          <w:lang w:eastAsia="ja-JP"/>
        </w:rPr>
        <w:fldChar w:fldCharType="begin"/>
      </w:r>
      <w:r w:rsidR="00DC766F" w:rsidRPr="00DC766F">
        <w:rPr>
          <w:vertAlign w:val="superscript"/>
          <w:lang w:eastAsia="ja-JP"/>
        </w:rPr>
        <w:instrText xml:space="preserve"> NOTEREF _Ref58245650 \h </w:instrText>
      </w:r>
      <w:r w:rsidR="00DC766F">
        <w:rPr>
          <w:vertAlign w:val="superscript"/>
          <w:lang w:eastAsia="ja-JP"/>
        </w:rPr>
        <w:instrText xml:space="preserve"> \* MERGEFORMAT </w:instrText>
      </w:r>
      <w:r w:rsidR="00DC766F" w:rsidRPr="00DC766F">
        <w:rPr>
          <w:vertAlign w:val="superscript"/>
          <w:lang w:eastAsia="ja-JP"/>
        </w:rPr>
      </w:r>
      <w:r w:rsidR="00DC766F" w:rsidRPr="00DC766F">
        <w:rPr>
          <w:vertAlign w:val="superscript"/>
          <w:lang w:eastAsia="ja-JP"/>
        </w:rPr>
        <w:fldChar w:fldCharType="separate"/>
      </w:r>
      <w:r w:rsidR="00A55428">
        <w:rPr>
          <w:vertAlign w:val="superscript"/>
          <w:lang w:eastAsia="ja-JP"/>
        </w:rPr>
        <w:t>8</w:t>
      </w:r>
      <w:r w:rsidR="00DC766F" w:rsidRPr="00DC766F">
        <w:rPr>
          <w:vertAlign w:val="superscript"/>
          <w:lang w:eastAsia="ja-JP"/>
        </w:rPr>
        <w:fldChar w:fldCharType="end"/>
      </w:r>
    </w:p>
    <w:p w14:paraId="71D4E616" w14:textId="77777777" w:rsidR="00F167FE" w:rsidRDefault="00F167FE" w:rsidP="00F167FE">
      <w:pPr>
        <w:rPr>
          <w:lang w:eastAsia="ja-JP"/>
        </w:rPr>
      </w:pPr>
      <w:r>
        <w:rPr>
          <w:lang w:eastAsia="ja-JP"/>
        </w:rPr>
        <w:t xml:space="preserve">Overall, the safety events were known </w:t>
      </w:r>
      <w:r w:rsidR="00DC766F">
        <w:rPr>
          <w:lang w:eastAsia="ja-JP"/>
        </w:rPr>
        <w:t>class effects of COMT inhibitors</w:t>
      </w:r>
      <w:r>
        <w:rPr>
          <w:lang w:eastAsia="ja-JP"/>
        </w:rPr>
        <w:t>.</w:t>
      </w:r>
      <w:r w:rsidR="00DC766F">
        <w:rPr>
          <w:lang w:eastAsia="ja-JP"/>
        </w:rPr>
        <w:fldChar w:fldCharType="begin"/>
      </w:r>
      <w:r w:rsidR="00DC766F">
        <w:rPr>
          <w:lang w:eastAsia="ja-JP"/>
        </w:rPr>
        <w:instrText xml:space="preserve"> NOTEREF _Ref58245650 \f \h </w:instrText>
      </w:r>
      <w:r w:rsidR="00DC766F">
        <w:rPr>
          <w:lang w:eastAsia="ja-JP"/>
        </w:rPr>
      </w:r>
      <w:r w:rsidR="00DC766F">
        <w:rPr>
          <w:lang w:eastAsia="ja-JP"/>
        </w:rPr>
        <w:fldChar w:fldCharType="separate"/>
      </w:r>
      <w:r w:rsidR="00A55428" w:rsidRPr="00A55428">
        <w:rPr>
          <w:rStyle w:val="FootnoteReference"/>
        </w:rPr>
        <w:t>8</w:t>
      </w:r>
      <w:r w:rsidR="00DC766F">
        <w:rPr>
          <w:lang w:eastAsia="ja-JP"/>
        </w:rPr>
        <w:fldChar w:fldCharType="end"/>
      </w:r>
      <w:r w:rsidR="00FB3DAD">
        <w:rPr>
          <w:lang w:eastAsia="ja-JP"/>
        </w:rPr>
        <w:t xml:space="preserve"> The D</w:t>
      </w:r>
      <w:r>
        <w:rPr>
          <w:lang w:eastAsia="ja-JP"/>
        </w:rPr>
        <w:t>elegate has noted the higher incidence for treatment-related dyskinesia in the opicapone group, compared to other groups. These events were mild to moderate in severity and most of th</w:t>
      </w:r>
      <w:r w:rsidR="00FB3DAD">
        <w:rPr>
          <w:lang w:eastAsia="ja-JP"/>
        </w:rPr>
        <w:t>ese patients had dyskinesia at B</w:t>
      </w:r>
      <w:r>
        <w:rPr>
          <w:lang w:eastAsia="ja-JP"/>
        </w:rPr>
        <w:t>asel</w:t>
      </w:r>
      <w:r w:rsidR="00021039">
        <w:rPr>
          <w:lang w:eastAsia="ja-JP"/>
        </w:rPr>
        <w:t>ine. A greater improvement in on</w:t>
      </w:r>
      <w:r>
        <w:rPr>
          <w:lang w:eastAsia="ja-JP"/>
        </w:rPr>
        <w:t xml:space="preserve"> time without troublesome dyskinesia was also reported in opicapone group, compared to other groups. No hepatotoxic effects were reported.</w:t>
      </w:r>
    </w:p>
    <w:p w14:paraId="0F8BE01E" w14:textId="77777777" w:rsidR="00F167FE" w:rsidRDefault="00F167FE" w:rsidP="00F167FE">
      <w:pPr>
        <w:rPr>
          <w:lang w:eastAsia="ja-JP"/>
        </w:rPr>
      </w:pPr>
      <w:r>
        <w:rPr>
          <w:lang w:eastAsia="ja-JP"/>
        </w:rPr>
        <w:t>The clinical evaluator recommended approval conditional to PI changes by the sponsor. Those recommended changes have now been addressed by the sponsor.</w:t>
      </w:r>
    </w:p>
    <w:p w14:paraId="042197C6" w14:textId="59C80DFC" w:rsidR="00F167FE" w:rsidRDefault="00F167FE" w:rsidP="00F167FE">
      <w:pPr>
        <w:rPr>
          <w:lang w:eastAsia="ja-JP"/>
        </w:rPr>
      </w:pPr>
      <w:r>
        <w:rPr>
          <w:lang w:eastAsia="ja-JP"/>
        </w:rPr>
        <w:t xml:space="preserve">In conclusion, the evidence based on the clinical data in the dossier suggest that adjunctive treatment with opicapone with levodopa/DDCI was associated with significantly reduced </w:t>
      </w:r>
      <w:r w:rsidR="00021039">
        <w:rPr>
          <w:lang w:eastAsia="ja-JP"/>
        </w:rPr>
        <w:t>off time and on</w:t>
      </w:r>
      <w:r>
        <w:rPr>
          <w:lang w:eastAsia="ja-JP"/>
        </w:rPr>
        <w:t xml:space="preserve"> time without troublesome dyskinesia in patients with Parkinson's disease, when compared to treatment with levodopa/DDCI. This finding was not associated with a significant improvement in quality of life measures and non-motor symptoms. The overall treatment benefit with opicapone was comparable to </w:t>
      </w:r>
      <w:proofErr w:type="spellStart"/>
      <w:r>
        <w:rPr>
          <w:lang w:eastAsia="ja-JP"/>
        </w:rPr>
        <w:t>entacapone</w:t>
      </w:r>
      <w:proofErr w:type="spellEnd"/>
      <w:r>
        <w:rPr>
          <w:lang w:eastAsia="ja-JP"/>
        </w:rPr>
        <w:t>. Safety events were largely previously known class effects. No new safety signals were noted.</w:t>
      </w:r>
    </w:p>
    <w:p w14:paraId="17C8353D" w14:textId="77777777" w:rsidR="00D23139" w:rsidRDefault="00D23139" w:rsidP="00D23139">
      <w:pPr>
        <w:pStyle w:val="Heading4"/>
      </w:pPr>
      <w:r w:rsidRPr="00D23139">
        <w:t>Proposed action</w:t>
      </w:r>
    </w:p>
    <w:p w14:paraId="76AF2260" w14:textId="77777777" w:rsidR="00456765" w:rsidRPr="00456765" w:rsidRDefault="00D72B2C" w:rsidP="00D72B2C">
      <w:r>
        <w:rPr>
          <w:bCs/>
        </w:rPr>
        <w:t>The Delegate have no reason to say, at this time, that the application for O</w:t>
      </w:r>
      <w:r w:rsidR="00D331CA">
        <w:rPr>
          <w:bCs/>
        </w:rPr>
        <w:t>ngentys</w:t>
      </w:r>
      <w:r>
        <w:rPr>
          <w:bCs/>
        </w:rPr>
        <w:t xml:space="preserve"> (opicapone) should not be approved for registration</w:t>
      </w:r>
      <w:r w:rsidR="00D331CA">
        <w:rPr>
          <w:bCs/>
        </w:rPr>
        <w:t>.</w:t>
      </w:r>
    </w:p>
    <w:p w14:paraId="37C6A613" w14:textId="77777777" w:rsidR="007D53B6" w:rsidRDefault="007D53B6" w:rsidP="007D53B6">
      <w:pPr>
        <w:pStyle w:val="Heading4"/>
      </w:pPr>
      <w:r>
        <w:t>Questions for sponsor</w:t>
      </w:r>
    </w:p>
    <w:p w14:paraId="5ADE01A4" w14:textId="77777777" w:rsidR="00D72B2C" w:rsidRDefault="00D72B2C" w:rsidP="008723AB">
      <w:pPr>
        <w:pStyle w:val="Numberbullet0"/>
        <w:numPr>
          <w:ilvl w:val="0"/>
          <w:numId w:val="26"/>
        </w:numPr>
        <w:rPr>
          <w:b/>
          <w:i/>
        </w:rPr>
      </w:pPr>
      <w:r w:rsidRPr="00D72B2C">
        <w:rPr>
          <w:b/>
          <w:i/>
        </w:rPr>
        <w:t>Please clarify whether the food effect was evaluated for the formulation that is proposed for marketing.</w:t>
      </w:r>
      <w:r>
        <w:rPr>
          <w:b/>
          <w:i/>
        </w:rPr>
        <w:t xml:space="preserve"> If so, what were the findings?</w:t>
      </w:r>
      <w:r w:rsidR="001D0E34">
        <w:rPr>
          <w:b/>
          <w:i/>
        </w:rPr>
        <w:t xml:space="preserve"> What is the rationale for the re</w:t>
      </w:r>
      <w:r w:rsidR="00E32223">
        <w:rPr>
          <w:b/>
          <w:i/>
        </w:rPr>
        <w:t>commendation to take opicapone?</w:t>
      </w:r>
    </w:p>
    <w:p w14:paraId="11F1C926" w14:textId="77777777" w:rsidR="001D0E34" w:rsidRDefault="001D0E34" w:rsidP="001D0E34">
      <w:r w:rsidRPr="003D7A76">
        <w:t>Two food effect</w:t>
      </w:r>
      <w:r>
        <w:t xml:space="preserve"> studies were conducted: a single-dose Study, BIA-91067-104, conducted to explore the </w:t>
      </w:r>
      <w:r w:rsidR="003D7A76">
        <w:t xml:space="preserve">food effect on </w:t>
      </w:r>
      <w:proofErr w:type="spellStart"/>
      <w:r w:rsidR="003D7A76">
        <w:t>opicapone’s</w:t>
      </w:r>
      <w:proofErr w:type="spellEnd"/>
      <w:r>
        <w:t xml:space="preserve"> </w:t>
      </w:r>
      <w:r w:rsidR="003D7A76">
        <w:t>PK</w:t>
      </w:r>
      <w:r>
        <w:t xml:space="preserve"> using </w:t>
      </w:r>
      <w:r w:rsidR="003D7A76">
        <w:t>opicapone</w:t>
      </w:r>
      <w:r>
        <w:t xml:space="preserve"> 50 mg non-</w:t>
      </w:r>
      <w:proofErr w:type="spellStart"/>
      <w:r w:rsidR="006B0838">
        <w:t>micronised</w:t>
      </w:r>
      <w:proofErr w:type="spellEnd"/>
      <w:r>
        <w:t xml:space="preserve"> active pharmaceutical ingredient (API); and a second Study, BIA-91067-128, conducted to overcome t</w:t>
      </w:r>
      <w:r w:rsidR="003D7A76">
        <w:t>he limitations of the previous s</w:t>
      </w:r>
      <w:r>
        <w:t xml:space="preserve">tudy, and therefore following a multiple-dose administration of </w:t>
      </w:r>
      <w:r w:rsidR="00BC6F48">
        <w:t>opicapone</w:t>
      </w:r>
      <w:r>
        <w:t xml:space="preserve"> 50 mg </w:t>
      </w:r>
      <w:proofErr w:type="spellStart"/>
      <w:r w:rsidR="006B0838">
        <w:t>micronised</w:t>
      </w:r>
      <w:proofErr w:type="spellEnd"/>
      <w:r>
        <w:t xml:space="preserve"> API to explore the food effect on both </w:t>
      </w:r>
      <w:proofErr w:type="spellStart"/>
      <w:r w:rsidR="00BC6F48">
        <w:t>opicapone</w:t>
      </w:r>
      <w:r>
        <w:t>’s</w:t>
      </w:r>
      <w:proofErr w:type="spellEnd"/>
      <w:r>
        <w:t xml:space="preserve"> PK and its pharmacodynamic efficacy through its surrogate marker (</w:t>
      </w:r>
      <w:r w:rsidR="00BC6F48">
        <w:t>COMT</w:t>
      </w:r>
      <w:r>
        <w:t xml:space="preserve"> inhibition). This second study was not directly conducted using the </w:t>
      </w:r>
      <w:r w:rsidR="00BC6F48">
        <w:t>opicapone</w:t>
      </w:r>
      <w:r>
        <w:t xml:space="preserve"> formulation that was proposed for marketing (to</w:t>
      </w:r>
      <w:r w:rsidR="00F6251A">
        <w:t xml:space="preserve"> be </w:t>
      </w:r>
      <w:r>
        <w:t>market (TBM) formulation). Nonetheless, the formulatio</w:t>
      </w:r>
      <w:r w:rsidR="00BC6F48">
        <w:t>n used was the same of pivotal P</w:t>
      </w:r>
      <w:r>
        <w:t>hase III clinical studies, which was shown to be bioequivalent to the TBM formulation (Study BIA-91067-119).</w:t>
      </w:r>
    </w:p>
    <w:p w14:paraId="03BE5EBF" w14:textId="28A452B6" w:rsidR="001D0E34" w:rsidRDefault="001D0E34" w:rsidP="001D0E34">
      <w:r>
        <w:t xml:space="preserve">The main findings of these food effect studies are that food was found to have a relevant effect on </w:t>
      </w:r>
      <w:r w:rsidR="00BC6F48">
        <w:t xml:space="preserve">opicapone </w:t>
      </w:r>
      <w:r>
        <w:t xml:space="preserve">´s PK by decreasing the peak plasma exposure (PE) of </w:t>
      </w:r>
      <w:r w:rsidR="00BC6F48">
        <w:t>opicapone</w:t>
      </w:r>
      <w:r>
        <w:t xml:space="preserve">. Yet, in Study BIA-91067-128, no significant impact was found on the total plasma exposure of </w:t>
      </w:r>
      <w:r w:rsidR="00BC6F48">
        <w:t>opicapone</w:t>
      </w:r>
      <w:r>
        <w:t xml:space="preserve"> nor on COMT inhibition itself. Specifically, the minimum threshold of pharmacodynamic efficacy, </w:t>
      </w:r>
      <w:r w:rsidR="004E77B4">
        <w:t>minimum inhibitory effect</w:t>
      </w:r>
      <w:r>
        <w:t xml:space="preserve"> on</w:t>
      </w:r>
      <w:r w:rsidR="00BC6F48">
        <w:t xml:space="preserve"> the COMT activity over the 24</w:t>
      </w:r>
      <w:r w:rsidR="00857D6D">
        <w:t> </w:t>
      </w:r>
      <w:r w:rsidR="00BC6F48">
        <w:t xml:space="preserve">hours </w:t>
      </w:r>
      <w:r>
        <w:t>dosing interval, was sustained. Considering that COMT inhibition is a pharmacodynami</w:t>
      </w:r>
      <w:r w:rsidR="006B0838">
        <w:t>c efficacy surrogate marker, for example</w:t>
      </w:r>
      <w:r>
        <w:t xml:space="preserve">. the efficacy of </w:t>
      </w:r>
      <w:r w:rsidR="00BC6F48">
        <w:t>opicapone</w:t>
      </w:r>
      <w:r>
        <w:t xml:space="preserve"> directly depends on this, no impact on the clinical efficacy profile is expected.</w:t>
      </w:r>
    </w:p>
    <w:p w14:paraId="394571BF" w14:textId="77777777" w:rsidR="00D72B2C" w:rsidRDefault="00D72B2C" w:rsidP="008723AB">
      <w:pPr>
        <w:pStyle w:val="Numberbullet0"/>
        <w:numPr>
          <w:ilvl w:val="0"/>
          <w:numId w:val="26"/>
        </w:numPr>
        <w:rPr>
          <w:b/>
          <w:i/>
        </w:rPr>
      </w:pPr>
      <w:r w:rsidRPr="00D72B2C">
        <w:rPr>
          <w:b/>
          <w:i/>
        </w:rPr>
        <w:t>The proposed PI (Section 4.2) instructs to take opicapone 1 hour before or after levodopa combinations. In the pivotal study, opicapone was taken 1 hour after the levodopa combination. What is the rationale for the recommendation in the PI?</w:t>
      </w:r>
    </w:p>
    <w:p w14:paraId="3829743E" w14:textId="4305D6DA" w:rsidR="001D0E34" w:rsidRDefault="001D0E34" w:rsidP="00BC6F48">
      <w:pPr>
        <w:spacing w:before="240"/>
      </w:pPr>
      <w:r>
        <w:t>The rationale behind the posology proposed</w:t>
      </w:r>
      <w:r w:rsidR="00C026A2">
        <w:t xml:space="preserve"> in the product information</w:t>
      </w:r>
      <w:r>
        <w:t xml:space="preserve"> is related with the therapeutic goal of the </w:t>
      </w:r>
      <w:r w:rsidR="00BC6F48">
        <w:t>opicapone</w:t>
      </w:r>
      <w:r>
        <w:t xml:space="preserve"> treatment in </w:t>
      </w:r>
      <w:r w:rsidR="00495FF7">
        <w:t>pharmacodynamics</w:t>
      </w:r>
      <w:r>
        <w:t xml:space="preserve"> patients, which is to optimi</w:t>
      </w:r>
      <w:r w:rsidR="00857D6D">
        <w:t>s</w:t>
      </w:r>
      <w:r>
        <w:t>e the PK profile and the dosing regimens of levodopa by inhibiting its COMT-mediated metabolism.</w:t>
      </w:r>
    </w:p>
    <w:p w14:paraId="295D4FC8" w14:textId="77777777" w:rsidR="000A2924" w:rsidRDefault="001D0E34" w:rsidP="001D0E34">
      <w:r>
        <w:t xml:space="preserve">In human pharmacology single-dose studies conducted with concomitant administration between </w:t>
      </w:r>
      <w:r w:rsidR="00BC6F48">
        <w:t>opicapone</w:t>
      </w:r>
      <w:r>
        <w:t xml:space="preserve"> and levodopa/DDCI (either immediate release or controlled release), a potential absorption-related interaction was found. In Study BIA-91067-117, when levodopa/carbidopa was administered 1 hour before </w:t>
      </w:r>
      <w:r w:rsidR="00BC6F48">
        <w:t>opicapone</w:t>
      </w:r>
      <w:r>
        <w:t xml:space="preserve">, this potential absorption-related interaction was minimized. Furthermore, median levodopa </w:t>
      </w:r>
      <w:proofErr w:type="spellStart"/>
      <w:r>
        <w:t>T</w:t>
      </w:r>
      <w:r w:rsidRPr="000A2924">
        <w:rPr>
          <w:vertAlign w:val="subscript"/>
        </w:rPr>
        <w:t>max</w:t>
      </w:r>
      <w:proofErr w:type="spellEnd"/>
      <w:r>
        <w:t xml:space="preserve"> is normally below or equal to 1 hour (administered alone/with placebo), meaning that when </w:t>
      </w:r>
      <w:r w:rsidR="00BC6F48">
        <w:t>opicapone</w:t>
      </w:r>
      <w:r>
        <w:t xml:space="preserve"> is administered 1 hour after the administration of levodopa/DDCI, most of levodopa is already absorbed. Thus, although this scheme of administration has not been specifically evaluated in a dedicated PK study (no plasma concentrations available), it should decrease the potential of the absorption of levodopa to be affected by </w:t>
      </w:r>
      <w:r w:rsidR="00BC6F48">
        <w:t>opicapone</w:t>
      </w:r>
      <w:r w:rsidR="000A2924">
        <w:t>.</w:t>
      </w:r>
    </w:p>
    <w:p w14:paraId="7BCA7CA7" w14:textId="52102EA7" w:rsidR="001D0E34" w:rsidRDefault="001D0E34" w:rsidP="001D0E34">
      <w:r>
        <w:t xml:space="preserve">In Study BIA-91067-301, due to its double-blind nature and presence of </w:t>
      </w:r>
      <w:proofErr w:type="spellStart"/>
      <w:r>
        <w:t>entacapone</w:t>
      </w:r>
      <w:proofErr w:type="spellEnd"/>
      <w:r>
        <w:t xml:space="preserve"> and lev</w:t>
      </w:r>
      <w:r w:rsidR="00F6251A">
        <w:t>odopa possible regimen between three to eight</w:t>
      </w:r>
      <w:r>
        <w:t xml:space="preserve"> daily intakes, a 1 hour before approach would have been an impracticable operational scheme to implement. As such, a </w:t>
      </w:r>
      <w:proofErr w:type="spellStart"/>
      <w:r>
        <w:t>pragmatical</w:t>
      </w:r>
      <w:proofErr w:type="spellEnd"/>
      <w:r>
        <w:t xml:space="preserve"> 1 hour after the levodopa combination was implemented. Study BIA-91067-302 followed the same approach to allow data integration from both studies.</w:t>
      </w:r>
    </w:p>
    <w:p w14:paraId="221CFA12" w14:textId="77777777" w:rsidR="001D0E34" w:rsidRPr="00D72B2C" w:rsidRDefault="001D0E34" w:rsidP="001D0E34">
      <w:r>
        <w:t>Therefore, the 1 hour separation is recommended either before or after levodopa combinations to overcome the potential absorption-related interaction.</w:t>
      </w:r>
    </w:p>
    <w:p w14:paraId="4CB2517D" w14:textId="77777777" w:rsidR="008E7846" w:rsidRDefault="008E7846" w:rsidP="007D53B6">
      <w:pPr>
        <w:pStyle w:val="Heading4"/>
      </w:pPr>
      <w:r>
        <w:t xml:space="preserve">Advisory Committee </w:t>
      </w:r>
      <w:r w:rsidR="007D53B6">
        <w:t>c</w:t>
      </w:r>
      <w:r>
        <w:t>onsiderations</w:t>
      </w:r>
      <w:r w:rsidR="00456765">
        <w:rPr>
          <w:rStyle w:val="FootnoteReference"/>
        </w:rPr>
        <w:footnoteReference w:id="22"/>
      </w:r>
    </w:p>
    <w:p w14:paraId="6FED1727" w14:textId="77777777" w:rsidR="00D72B2C" w:rsidRPr="00D72B2C" w:rsidRDefault="00456765" w:rsidP="00D72B2C">
      <w:pPr>
        <w:rPr>
          <w:bCs/>
        </w:rPr>
      </w:pPr>
      <w:r w:rsidRPr="00456765">
        <w:rPr>
          <w:bCs/>
        </w:rPr>
        <w:t>The Advisory Committee on Medicines (ACM), having considered the evaluations and the Delegate’s overview, as well as the sponsor’s response to these documents, advised the following:</w:t>
      </w:r>
    </w:p>
    <w:p w14:paraId="759E1ED6" w14:textId="77777777" w:rsidR="00D72B2C" w:rsidRPr="00D331CA" w:rsidRDefault="00D72B2C" w:rsidP="00D72B2C">
      <w:pPr>
        <w:pStyle w:val="Numberbullet0"/>
        <w:numPr>
          <w:ilvl w:val="0"/>
          <w:numId w:val="35"/>
        </w:numPr>
        <w:rPr>
          <w:rFonts w:eastAsia="MS Mincho"/>
          <w:b/>
          <w:i/>
          <w:lang w:eastAsia="ja-JP"/>
        </w:rPr>
      </w:pPr>
      <w:r w:rsidRPr="00D72B2C">
        <w:rPr>
          <w:b/>
          <w:i/>
        </w:rPr>
        <w:t xml:space="preserve">What are the ACM's view on opicapone as an alternative to </w:t>
      </w:r>
      <w:proofErr w:type="spellStart"/>
      <w:r w:rsidRPr="00D72B2C">
        <w:rPr>
          <w:b/>
          <w:i/>
        </w:rPr>
        <w:t>entacapone</w:t>
      </w:r>
      <w:proofErr w:type="spellEnd"/>
      <w:r w:rsidRPr="00D72B2C">
        <w:rPr>
          <w:b/>
          <w:i/>
        </w:rPr>
        <w:t xml:space="preserve"> as adjuvant to L-Dopa/DDCI in the treatment of patients with Parkinson's Disease?</w:t>
      </w:r>
    </w:p>
    <w:p w14:paraId="4E11F8B1" w14:textId="26B93AE0" w:rsidR="00D331CA" w:rsidRDefault="00D331CA" w:rsidP="00D331CA">
      <w:pPr>
        <w:rPr>
          <w:lang w:eastAsia="ja-JP"/>
        </w:rPr>
      </w:pPr>
      <w:r w:rsidRPr="00D331CA">
        <w:rPr>
          <w:lang w:eastAsia="ja-JP"/>
        </w:rPr>
        <w:t xml:space="preserve">The ACM advised that the overall treatment benefit with opicapone was comparable to </w:t>
      </w:r>
      <w:proofErr w:type="spellStart"/>
      <w:r w:rsidRPr="00D331CA">
        <w:rPr>
          <w:lang w:eastAsia="ja-JP"/>
        </w:rPr>
        <w:t>entacapone</w:t>
      </w:r>
      <w:proofErr w:type="spellEnd"/>
      <w:r w:rsidRPr="00D331CA">
        <w:rPr>
          <w:lang w:eastAsia="ja-JP"/>
        </w:rPr>
        <w:t>.</w:t>
      </w:r>
    </w:p>
    <w:p w14:paraId="51190E46" w14:textId="77777777" w:rsidR="00AF667A" w:rsidRPr="00D72B2C" w:rsidRDefault="00AF667A" w:rsidP="00D331CA">
      <w:pPr>
        <w:rPr>
          <w:lang w:eastAsia="ja-JP"/>
        </w:rPr>
      </w:pPr>
    </w:p>
    <w:p w14:paraId="227E8F5F" w14:textId="77777777" w:rsidR="00D72B2C" w:rsidRDefault="00D72B2C" w:rsidP="00D72B2C">
      <w:pPr>
        <w:pStyle w:val="Numberbullet0"/>
        <w:rPr>
          <w:b/>
          <w:i/>
        </w:rPr>
      </w:pPr>
      <w:r w:rsidRPr="00D72B2C">
        <w:rPr>
          <w:b/>
          <w:i/>
        </w:rPr>
        <w:t>Please comment on the clinical relevance of 30 minutes as the non-inferiority margin for comparison betwe</w:t>
      </w:r>
      <w:r w:rsidR="006B0838">
        <w:rPr>
          <w:b/>
          <w:i/>
        </w:rPr>
        <w:t xml:space="preserve">en opicapone and </w:t>
      </w:r>
      <w:proofErr w:type="spellStart"/>
      <w:r w:rsidR="006B0838">
        <w:rPr>
          <w:b/>
          <w:i/>
        </w:rPr>
        <w:t>entacapone</w:t>
      </w:r>
      <w:proofErr w:type="spellEnd"/>
      <w:r w:rsidR="006B0838">
        <w:rPr>
          <w:b/>
          <w:i/>
        </w:rPr>
        <w:t xml:space="preserve"> in S</w:t>
      </w:r>
      <w:r w:rsidRPr="00D72B2C">
        <w:rPr>
          <w:b/>
          <w:i/>
        </w:rPr>
        <w:t>tudy 301</w:t>
      </w:r>
      <w:r w:rsidR="00D331CA">
        <w:rPr>
          <w:b/>
          <w:i/>
        </w:rPr>
        <w:t>.</w:t>
      </w:r>
    </w:p>
    <w:p w14:paraId="6C4EE6A8" w14:textId="77777777" w:rsidR="00D331CA" w:rsidRPr="00D72B2C" w:rsidRDefault="00D331CA" w:rsidP="00D331CA">
      <w:pPr>
        <w:rPr>
          <w:b/>
          <w:i/>
        </w:rPr>
      </w:pPr>
      <w:r>
        <w:t>The ACM advised that the minimal clinically important difference is around 60 minutes, but that 30 minutes was relevant for many patients. In this aspect, the 30 minutes as non-inferiority margin was considered as acceptable.</w:t>
      </w:r>
    </w:p>
    <w:p w14:paraId="29F3AF3F" w14:textId="77777777" w:rsidR="00D72B2C" w:rsidRDefault="00D72B2C" w:rsidP="00D72B2C">
      <w:pPr>
        <w:pStyle w:val="Numberbullet0"/>
        <w:rPr>
          <w:b/>
          <w:i/>
        </w:rPr>
      </w:pPr>
      <w:r w:rsidRPr="00D72B2C">
        <w:rPr>
          <w:b/>
          <w:i/>
        </w:rPr>
        <w:t>From a clinical perspective, which group of patients with Parkinson's disease will benefit the most from treatment with opicapone?</w:t>
      </w:r>
    </w:p>
    <w:p w14:paraId="0496D33D" w14:textId="1C815BD2" w:rsidR="00D331CA" w:rsidRPr="00D72B2C" w:rsidRDefault="00D331CA" w:rsidP="00D331CA">
      <w:r w:rsidRPr="00D331CA">
        <w:t xml:space="preserve">The ACM advised that long-term use of </w:t>
      </w:r>
      <w:r w:rsidR="0005617B">
        <w:t>L-DOPA</w:t>
      </w:r>
      <w:r w:rsidRPr="00D331CA">
        <w:t xml:space="preserve"> is limited by the development of motor complications that affect the large majority of Parkinson's disease patients, particularly those with young-onset Parkinson's disease. They stated that t</w:t>
      </w:r>
      <w:r w:rsidR="000A2924">
        <w:t>hese most often consist of the ‘wearing-off’</w:t>
      </w:r>
      <w:r w:rsidRPr="00D331CA">
        <w:t xml:space="preserve"> effect (shortening of the duration of the motor response after a dose of levodopa) and </w:t>
      </w:r>
      <w:proofErr w:type="spellStart"/>
      <w:r w:rsidRPr="00D331CA">
        <w:t>dyskinesias</w:t>
      </w:r>
      <w:proofErr w:type="spellEnd"/>
      <w:r w:rsidRPr="00D331CA">
        <w:t xml:space="preserve"> (involuntary movements primarily consisting of </w:t>
      </w:r>
      <w:proofErr w:type="spellStart"/>
      <w:r w:rsidRPr="00D331CA">
        <w:t>choreiform</w:t>
      </w:r>
      <w:proofErr w:type="spellEnd"/>
      <w:r w:rsidRPr="00D331CA">
        <w:t xml:space="preserve"> or dystonic movements). In the extreme, patient</w:t>
      </w:r>
      <w:r w:rsidR="000A2924">
        <w:t>s can cycle between ‘on’</w:t>
      </w:r>
      <w:r w:rsidRPr="00D331CA">
        <w:t xml:space="preserve"> periods, when they respond to levodopa but experience </w:t>
      </w:r>
      <w:r w:rsidR="000A2924">
        <w:t xml:space="preserve">disabling </w:t>
      </w:r>
      <w:proofErr w:type="spellStart"/>
      <w:r w:rsidR="000A2924">
        <w:t>dyskinesias</w:t>
      </w:r>
      <w:proofErr w:type="spellEnd"/>
      <w:r w:rsidR="000A2924">
        <w:t>, and ‘off’</w:t>
      </w:r>
      <w:r w:rsidRPr="00D331CA">
        <w:t xml:space="preserve"> periods, when they suffer severe parkinsonism. It was of the opinion of the ACM that the patients who will most benefit from the medicine are th</w:t>
      </w:r>
      <w:r w:rsidR="000A2924">
        <w:t>ose who are ‘wearing off’</w:t>
      </w:r>
      <w:r w:rsidRPr="00D331CA">
        <w:t>.</w:t>
      </w:r>
    </w:p>
    <w:p w14:paraId="29328C59" w14:textId="77777777" w:rsidR="00D72B2C" w:rsidRDefault="00D72B2C" w:rsidP="00D72B2C">
      <w:pPr>
        <w:pStyle w:val="Numberbullet0"/>
        <w:rPr>
          <w:b/>
          <w:i/>
        </w:rPr>
      </w:pPr>
      <w:r w:rsidRPr="00D72B2C">
        <w:rPr>
          <w:b/>
          <w:i/>
        </w:rPr>
        <w:t>From a safety perspective, please comment on the adequacy of the section on drug-drug interactions in the PI.</w:t>
      </w:r>
    </w:p>
    <w:p w14:paraId="133F0D39" w14:textId="77777777" w:rsidR="00D331CA" w:rsidRPr="00D72B2C" w:rsidRDefault="00D331CA" w:rsidP="00D331CA">
      <w:pPr>
        <w:rPr>
          <w:b/>
          <w:i/>
        </w:rPr>
      </w:pPr>
      <w:r>
        <w:t xml:space="preserve">The ACM discussed some potential for drug interactions, however noted that these are outlined in the PI. The ACM did, however, recommend the </w:t>
      </w:r>
      <w:r w:rsidR="00F6251A">
        <w:t>relevant</w:t>
      </w:r>
      <w:r>
        <w:t xml:space="preserve"> patient groups utilise non-hormonal contraceptives and that this should be included within the PI.</w:t>
      </w:r>
    </w:p>
    <w:p w14:paraId="74EB03D8" w14:textId="29AC452E" w:rsidR="00D72B2C" w:rsidRDefault="00D72B2C" w:rsidP="00D72B2C">
      <w:pPr>
        <w:pStyle w:val="Numberbullet0"/>
        <w:rPr>
          <w:b/>
          <w:i/>
        </w:rPr>
      </w:pPr>
      <w:r w:rsidRPr="00D72B2C">
        <w:rPr>
          <w:b/>
          <w:i/>
        </w:rPr>
        <w:t xml:space="preserve">Opicapone is presented as a capsule, in contrast to </w:t>
      </w:r>
      <w:proofErr w:type="spellStart"/>
      <w:r w:rsidRPr="00D72B2C">
        <w:rPr>
          <w:b/>
          <w:i/>
        </w:rPr>
        <w:t>entacapone</w:t>
      </w:r>
      <w:proofErr w:type="spellEnd"/>
      <w:r w:rsidRPr="00D72B2C">
        <w:rPr>
          <w:b/>
          <w:i/>
        </w:rPr>
        <w:t xml:space="preserve"> and most of the </w:t>
      </w:r>
      <w:r w:rsidR="0005617B">
        <w:rPr>
          <w:b/>
          <w:i/>
        </w:rPr>
        <w:t>L-DOPA</w:t>
      </w:r>
      <w:r w:rsidRPr="00D72B2C">
        <w:rPr>
          <w:b/>
          <w:i/>
        </w:rPr>
        <w:t xml:space="preserve"> products that are tablets. Does the ACM consider this as an issue that could affect treatment compliance in patients with Parkinson's disease, particularly in the elderly age group?</w:t>
      </w:r>
    </w:p>
    <w:p w14:paraId="76FF61E3" w14:textId="5138B0B8" w:rsidR="00D331CA" w:rsidRDefault="00D331CA" w:rsidP="00D331CA">
      <w:r>
        <w:t xml:space="preserve">The ACM advised that they do not </w:t>
      </w:r>
      <w:r w:rsidR="00C026A2">
        <w:t>foresee</w:t>
      </w:r>
      <w:r>
        <w:t xml:space="preserve"> an issue with the capsule formation, however they raised concerns as to adherence due to separation in timing and absence of co-formulated presentation.</w:t>
      </w:r>
    </w:p>
    <w:p w14:paraId="3E5B3B60" w14:textId="77777777" w:rsidR="00D72B2C" w:rsidRDefault="00D72B2C" w:rsidP="008E7846">
      <w:pPr>
        <w:pStyle w:val="Numberbullet0"/>
        <w:rPr>
          <w:b/>
          <w:i/>
        </w:rPr>
      </w:pPr>
      <w:r w:rsidRPr="00D72B2C">
        <w:rPr>
          <w:b/>
          <w:i/>
        </w:rPr>
        <w:t>The committee is (also) requested to provide advice on any other issues that it thinks may be relevant to a decision on whether or not to approve this application.</w:t>
      </w:r>
    </w:p>
    <w:p w14:paraId="4D0199BB" w14:textId="77777777" w:rsidR="00D331CA" w:rsidRPr="00D72B2C" w:rsidRDefault="00D331CA" w:rsidP="00D331CA">
      <w:pPr>
        <w:rPr>
          <w:b/>
          <w:i/>
        </w:rPr>
      </w:pPr>
      <w:r>
        <w:t>The ACM advised that a high and a moderate fat and calorie meal had a profound effect on the absorption of opicapone. The ACM recommended this be included in the PI.</w:t>
      </w:r>
    </w:p>
    <w:p w14:paraId="51737C31" w14:textId="77777777" w:rsidR="008E7846" w:rsidRPr="002E238E" w:rsidRDefault="008E7846" w:rsidP="008E7846">
      <w:pPr>
        <w:pStyle w:val="Heading3"/>
      </w:pPr>
      <w:bookmarkStart w:id="52" w:name="_Toc247691532"/>
      <w:bookmarkStart w:id="53" w:name="_Toc314842516"/>
      <w:bookmarkStart w:id="54" w:name="_Toc64901254"/>
      <w:bookmarkEnd w:id="31"/>
      <w:bookmarkEnd w:id="49"/>
      <w:bookmarkEnd w:id="50"/>
      <w:r>
        <w:t>Outcome</w:t>
      </w:r>
      <w:bookmarkEnd w:id="52"/>
      <w:bookmarkEnd w:id="53"/>
      <w:bookmarkEnd w:id="54"/>
    </w:p>
    <w:p w14:paraId="567034CC" w14:textId="4A2FE417" w:rsidR="007D53B6" w:rsidRDefault="007D53B6" w:rsidP="007D53B6">
      <w:bookmarkStart w:id="55" w:name="_Toc247691533"/>
      <w:bookmarkStart w:id="56" w:name="_Toc314842517"/>
      <w:r>
        <w:t xml:space="preserve">Based on a review of quality, safety and efficacy, </w:t>
      </w:r>
      <w:r w:rsidR="00857D6D">
        <w:t xml:space="preserve">the </w:t>
      </w:r>
      <w:r>
        <w:t>TG</w:t>
      </w:r>
      <w:r w:rsidR="00AA715F">
        <w:t xml:space="preserve">A approved the registration of </w:t>
      </w:r>
      <w:r w:rsidR="00AA715F" w:rsidRPr="00AA715F">
        <w:t>O</w:t>
      </w:r>
      <w:r w:rsidR="00AA715F">
        <w:t>ngentys (</w:t>
      </w:r>
      <w:r w:rsidR="00AA715F" w:rsidRPr="00AA715F">
        <w:t>opicapone</w:t>
      </w:r>
      <w:r w:rsidR="00AA715F">
        <w:t>) for</w:t>
      </w:r>
      <w:r w:rsidR="00AA715F" w:rsidRPr="00AA715F">
        <w:t xml:space="preserve"> 50 mg hard capsule</w:t>
      </w:r>
      <w:r>
        <w:t>, indicated</w:t>
      </w:r>
      <w:r w:rsidR="00AA715F">
        <w:t xml:space="preserve"> for</w:t>
      </w:r>
      <w:r>
        <w:t>:</w:t>
      </w:r>
    </w:p>
    <w:p w14:paraId="29A65D83" w14:textId="77777777" w:rsidR="009C1E0A" w:rsidRPr="009C1E0A" w:rsidRDefault="009C1E0A" w:rsidP="009C1E0A">
      <w:pPr>
        <w:ind w:left="720"/>
        <w:rPr>
          <w:b/>
          <w:bCs/>
          <w:i/>
        </w:rPr>
      </w:pPr>
      <w:r w:rsidRPr="009C1E0A">
        <w:rPr>
          <w:i/>
        </w:rPr>
        <w:t>O</w:t>
      </w:r>
      <w:r>
        <w:rPr>
          <w:i/>
        </w:rPr>
        <w:t>ngentys</w:t>
      </w:r>
      <w:r w:rsidRPr="009C1E0A">
        <w:rPr>
          <w:i/>
        </w:rPr>
        <w:t xml:space="preserve"> is indicated as adjunctive therapy to preparations of levodopa/ DOPA</w:t>
      </w:r>
      <w:r w:rsidRPr="009C1E0A">
        <w:rPr>
          <w:b/>
          <w:bCs/>
          <w:i/>
        </w:rPr>
        <w:t xml:space="preserve"> </w:t>
      </w:r>
      <w:r w:rsidRPr="009C1E0A">
        <w:rPr>
          <w:i/>
        </w:rPr>
        <w:t>decarboxylase inhibitors (DDCI) in adult patients with Parkinson’s disease and end-of-dose</w:t>
      </w:r>
      <w:r w:rsidRPr="009C1E0A">
        <w:rPr>
          <w:b/>
          <w:bCs/>
          <w:i/>
        </w:rPr>
        <w:t xml:space="preserve"> </w:t>
      </w:r>
      <w:r w:rsidRPr="009C1E0A">
        <w:rPr>
          <w:i/>
        </w:rPr>
        <w:t>motor fluctuations who cannot be stabilised on those combinations</w:t>
      </w:r>
      <w:r w:rsidR="002C676F">
        <w:rPr>
          <w:i/>
        </w:rPr>
        <w:t>.</w:t>
      </w:r>
    </w:p>
    <w:p w14:paraId="6E5E378A" w14:textId="77777777" w:rsidR="00D23139" w:rsidRPr="009C1E0A" w:rsidRDefault="00D23139" w:rsidP="009C1E0A">
      <w:pPr>
        <w:pStyle w:val="Heading4"/>
        <w:rPr>
          <w:b w:val="0"/>
          <w:bCs w:val="0"/>
          <w:szCs w:val="22"/>
        </w:rPr>
      </w:pPr>
      <w:r w:rsidRPr="00D23139">
        <w:t>Specific conditions of registration applying to these goods</w:t>
      </w:r>
    </w:p>
    <w:p w14:paraId="2F8597E1" w14:textId="77777777" w:rsidR="00AA715F" w:rsidRDefault="00AA715F" w:rsidP="00AA715F">
      <w:pPr>
        <w:pStyle w:val="ListBullet"/>
      </w:pPr>
      <w:r>
        <w:t>O</w:t>
      </w:r>
      <w:r w:rsidR="00737DB9">
        <w:t>ngentys</w:t>
      </w:r>
      <w:r>
        <w:t xml:space="preserve"> (opicapone) is to be included in the Black Triangle Scheme. The PI and CMI for </w:t>
      </w:r>
      <w:r w:rsidR="00996FA5">
        <w:t>Ongentys</w:t>
      </w:r>
      <w:r>
        <w:t xml:space="preserve"> must include the black triangle symbol and mandatory accompanying text for five years, which starts from the date that the sponsor notifies the TGA of supply of the product.</w:t>
      </w:r>
    </w:p>
    <w:p w14:paraId="33205833" w14:textId="77777777" w:rsidR="00AA715F" w:rsidRPr="00AA715F" w:rsidRDefault="00AA715F" w:rsidP="00AA715F">
      <w:pPr>
        <w:pStyle w:val="ListBullet"/>
      </w:pPr>
      <w:r w:rsidRPr="00AA715F">
        <w:rPr>
          <w:rFonts w:eastAsiaTheme="minorHAnsi" w:cs="Cambria"/>
        </w:rPr>
        <w:t>The O</w:t>
      </w:r>
      <w:r w:rsidR="00737DB9">
        <w:rPr>
          <w:rFonts w:eastAsiaTheme="minorHAnsi" w:cs="Cambria"/>
        </w:rPr>
        <w:t>ngentys</w:t>
      </w:r>
      <w:r w:rsidRPr="00AA715F">
        <w:rPr>
          <w:rFonts w:eastAsiaTheme="minorHAnsi" w:cs="Cambria"/>
        </w:rPr>
        <w:t xml:space="preserve"> EU-</w:t>
      </w:r>
      <w:r w:rsidR="000A2924" w:rsidRPr="00AA715F">
        <w:rPr>
          <w:rFonts w:eastAsiaTheme="minorHAnsi" w:cs="Cambria"/>
        </w:rPr>
        <w:t xml:space="preserve"> </w:t>
      </w:r>
      <w:r w:rsidR="000A2924">
        <w:rPr>
          <w:rFonts w:eastAsiaTheme="minorHAnsi" w:cs="Cambria"/>
        </w:rPr>
        <w:t>RMP</w:t>
      </w:r>
      <w:r w:rsidRPr="00AA715F">
        <w:rPr>
          <w:rFonts w:eastAsiaTheme="minorHAnsi" w:cs="Cambria"/>
        </w:rPr>
        <w:t xml:space="preserve"> (version 3.0, dated 15 October 2015,</w:t>
      </w:r>
      <w:r>
        <w:rPr>
          <w:rFonts w:eastAsiaTheme="minorHAnsi" w:cs="Cambria"/>
        </w:rPr>
        <w:t xml:space="preserve"> </w:t>
      </w:r>
      <w:r w:rsidR="000A2924">
        <w:rPr>
          <w:rFonts w:eastAsiaTheme="minorHAnsi" w:cs="Cambria"/>
        </w:rPr>
        <w:t>DLP</w:t>
      </w:r>
      <w:r w:rsidRPr="00AA715F">
        <w:rPr>
          <w:rFonts w:eastAsiaTheme="minorHAnsi" w:cs="Cambria"/>
        </w:rPr>
        <w:t xml:space="preserve"> 30 April 2015), with </w:t>
      </w:r>
      <w:r w:rsidR="000A2924">
        <w:rPr>
          <w:rFonts w:eastAsiaTheme="minorHAnsi" w:cs="Cambria"/>
        </w:rPr>
        <w:t>ASA</w:t>
      </w:r>
      <w:r w:rsidRPr="00AA715F">
        <w:rPr>
          <w:rFonts w:eastAsiaTheme="minorHAnsi" w:cs="Cambria"/>
        </w:rPr>
        <w:t xml:space="preserve"> (version 3.0, dated 29</w:t>
      </w:r>
      <w:r>
        <w:rPr>
          <w:rFonts w:eastAsiaTheme="minorHAnsi" w:cs="Cambria"/>
        </w:rPr>
        <w:t xml:space="preserve"> </w:t>
      </w:r>
      <w:r w:rsidRPr="00AA715F">
        <w:rPr>
          <w:rFonts w:eastAsiaTheme="minorHAnsi" w:cs="Cambria"/>
        </w:rPr>
        <w:t>June 2020), included with submission PM-2019-03218-1-1, and any subsequent</w:t>
      </w:r>
      <w:r>
        <w:rPr>
          <w:rFonts w:eastAsiaTheme="minorHAnsi" w:cs="Cambria"/>
        </w:rPr>
        <w:t xml:space="preserve"> </w:t>
      </w:r>
      <w:r w:rsidRPr="00AA715F">
        <w:rPr>
          <w:rFonts w:eastAsiaTheme="minorHAnsi" w:cs="Cambria"/>
        </w:rPr>
        <w:t>revisions, as agreed with the TGA will be implemented in Australia.</w:t>
      </w:r>
    </w:p>
    <w:p w14:paraId="7AE45E9C" w14:textId="77777777" w:rsidR="00AA715F" w:rsidRDefault="00AA715F" w:rsidP="00AA715F">
      <w:pPr>
        <w:pStyle w:val="ListBullet"/>
        <w:numPr>
          <w:ilvl w:val="0"/>
          <w:numId w:val="0"/>
        </w:numPr>
        <w:ind w:left="360"/>
        <w:rPr>
          <w:rFonts w:eastAsiaTheme="minorHAnsi" w:cs="Cambria"/>
        </w:rPr>
      </w:pPr>
      <w:r w:rsidRPr="00AA715F">
        <w:rPr>
          <w:rFonts w:eastAsiaTheme="minorHAnsi" w:cs="Cambria"/>
        </w:rPr>
        <w:t>An obligatory component of risk management plans is routine pharmacovigilance.</w:t>
      </w:r>
      <w:r>
        <w:rPr>
          <w:rFonts w:eastAsiaTheme="minorHAnsi" w:cs="Cambria"/>
        </w:rPr>
        <w:t xml:space="preserve"> Routine pharmacovigilance includes the submission of </w:t>
      </w:r>
      <w:r w:rsidR="000A2924">
        <w:rPr>
          <w:rFonts w:eastAsiaTheme="minorHAnsi" w:cs="Cambria"/>
        </w:rPr>
        <w:t>PSURs</w:t>
      </w:r>
      <w:r>
        <w:rPr>
          <w:rFonts w:eastAsiaTheme="minorHAnsi" w:cs="Cambria"/>
        </w:rPr>
        <w:t>.</w:t>
      </w:r>
    </w:p>
    <w:p w14:paraId="260E8ED2" w14:textId="77777777" w:rsidR="00AA715F" w:rsidRPr="00AA715F" w:rsidRDefault="00AA715F" w:rsidP="00AA715F">
      <w:pPr>
        <w:pStyle w:val="ListBullet"/>
        <w:numPr>
          <w:ilvl w:val="0"/>
          <w:numId w:val="0"/>
        </w:numPr>
        <w:ind w:left="360"/>
      </w:pPr>
      <w:r>
        <w:t xml:space="preserve">Reports are to be provided in line with the current published list of EU reference </w:t>
      </w:r>
      <w:r w:rsidRPr="00AA715F">
        <w:rPr>
          <w:rFonts w:eastAsiaTheme="minorHAnsi" w:cs="Cambria"/>
        </w:rPr>
        <w:t>dates and frequency of submission of PSURs until the period covered by such reports</w:t>
      </w:r>
      <w:r>
        <w:rPr>
          <w:rFonts w:eastAsiaTheme="minorHAnsi" w:cs="Cambria"/>
        </w:rPr>
        <w:t xml:space="preserve"> </w:t>
      </w:r>
      <w:r w:rsidRPr="00AA715F">
        <w:rPr>
          <w:rFonts w:eastAsiaTheme="minorHAnsi" w:cs="Cambria"/>
        </w:rPr>
        <w:t>is not less than three years from the date of this approval letter.</w:t>
      </w:r>
    </w:p>
    <w:p w14:paraId="1789C36B" w14:textId="77777777" w:rsidR="00AA715F" w:rsidRPr="00AA715F" w:rsidRDefault="00AA715F" w:rsidP="00AA715F">
      <w:pPr>
        <w:pStyle w:val="ListBullet"/>
        <w:numPr>
          <w:ilvl w:val="0"/>
          <w:numId w:val="0"/>
        </w:numPr>
        <w:ind w:left="360"/>
      </w:pPr>
      <w:r w:rsidRPr="00AA715F">
        <w:rPr>
          <w:rFonts w:eastAsiaTheme="minorHAnsi" w:cs="Cambria"/>
        </w:rPr>
        <w:t>The reports are to at least meet the requirements for PSURs as described in the</w:t>
      </w:r>
      <w:r>
        <w:rPr>
          <w:rFonts w:eastAsiaTheme="minorHAnsi" w:cs="Cambria"/>
        </w:rPr>
        <w:t xml:space="preserve"> European Medicines Agency’s Guideline on good pharmacovigilance practices (GVP) Module VII-periodic safety update report (Rev 1), Part VII.B Structures and processes. Note that submission of a PSUR does not constitute an application to vary</w:t>
      </w:r>
      <w:r>
        <w:t xml:space="preserve"> </w:t>
      </w:r>
      <w:r>
        <w:rPr>
          <w:rFonts w:eastAsiaTheme="minorHAnsi" w:cs="Cambria"/>
        </w:rPr>
        <w:t>the registration.</w:t>
      </w:r>
    </w:p>
    <w:p w14:paraId="1B1A8B08" w14:textId="77777777" w:rsidR="008E7846" w:rsidRDefault="00A80B5B" w:rsidP="00D23139">
      <w:pPr>
        <w:pStyle w:val="Heading2"/>
      </w:pPr>
      <w:bookmarkStart w:id="57" w:name="_Toc64901255"/>
      <w:r>
        <w:t xml:space="preserve">Attachment 1. </w:t>
      </w:r>
      <w:r w:rsidR="008E7846">
        <w:t xml:space="preserve">Product </w:t>
      </w:r>
      <w:r w:rsidR="00AA0ED0">
        <w:t>I</w:t>
      </w:r>
      <w:r w:rsidR="008E7846">
        <w:t>nformation</w:t>
      </w:r>
      <w:bookmarkEnd w:id="55"/>
      <w:bookmarkEnd w:id="56"/>
      <w:bookmarkEnd w:id="57"/>
    </w:p>
    <w:p w14:paraId="64547D5B" w14:textId="77777777" w:rsidR="00291957" w:rsidRPr="007F652D" w:rsidRDefault="006136D7" w:rsidP="007F652D">
      <w:pPr>
        <w:rPr>
          <w:color w:val="000000"/>
          <w:lang w:eastAsia="en-AU"/>
        </w:rPr>
      </w:pPr>
      <w:r w:rsidRPr="002B3624">
        <w:t xml:space="preserve">The </w:t>
      </w:r>
      <w:r>
        <w:t>PI</w:t>
      </w:r>
      <w:r w:rsidRPr="002B3624">
        <w:t xml:space="preserve"> for</w:t>
      </w:r>
      <w:r w:rsidR="00737DB9">
        <w:t xml:space="preserve"> Ongentys</w:t>
      </w:r>
      <w:r w:rsidRPr="002B3624">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7C6B9B" w:rsidRPr="007C6B9B">
        <w:t>&lt;</w:t>
      </w:r>
      <w:hyperlink r:id="rId24" w:history="1">
        <w:r w:rsidR="007C6B9B" w:rsidRPr="007C6B9B">
          <w:rPr>
            <w:rStyle w:val="Hyperlink"/>
          </w:rPr>
          <w:t>https://www.tga.gov.au/product-information-pi</w:t>
        </w:r>
      </w:hyperlink>
      <w:r w:rsidR="00737DB9">
        <w:t>&gt;.</w:t>
      </w:r>
    </w:p>
    <w:p w14:paraId="185A08E4" w14:textId="77777777" w:rsidR="00C80137" w:rsidRPr="001D043B" w:rsidRDefault="00C80137" w:rsidP="003A7F6C">
      <w:pPr>
        <w:pStyle w:val="TableTitle"/>
        <w:sectPr w:rsidR="00C80137" w:rsidRPr="001D043B" w:rsidSect="00B452CE">
          <w:headerReference w:type="even" r:id="rId25"/>
          <w:headerReference w:type="default" r:id="rId26"/>
          <w:headerReference w:type="first" r:id="rId27"/>
          <w:footerReference w:type="first" r:id="rId28"/>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02320767" w14:textId="77777777" w:rsidTr="00A05FA4">
        <w:trPr>
          <w:trHeight w:hRule="exact" w:val="704"/>
        </w:trPr>
        <w:tc>
          <w:tcPr>
            <w:tcW w:w="9175" w:type="dxa"/>
          </w:tcPr>
          <w:p w14:paraId="5113DDD5" w14:textId="77777777" w:rsidR="001C32CD" w:rsidRPr="00487162" w:rsidRDefault="001C32CD" w:rsidP="00A05FA4">
            <w:pPr>
              <w:pStyle w:val="TGASignoff"/>
            </w:pPr>
            <w:r w:rsidRPr="00487162">
              <w:t>Therapeutic Goods Administration</w:t>
            </w:r>
          </w:p>
        </w:tc>
      </w:tr>
      <w:tr w:rsidR="001C32CD" w:rsidRPr="00DE2CF4" w14:paraId="5A305C22" w14:textId="77777777" w:rsidTr="00A05FA4">
        <w:trPr>
          <w:trHeight w:val="1221"/>
        </w:trPr>
        <w:tc>
          <w:tcPr>
            <w:tcW w:w="9175" w:type="dxa"/>
            <w:tcMar>
              <w:top w:w="28" w:type="dxa"/>
            </w:tcMar>
          </w:tcPr>
          <w:p w14:paraId="5452B7C9" w14:textId="77777777" w:rsidR="001C32CD" w:rsidRPr="00487162" w:rsidRDefault="001C32CD" w:rsidP="00A05FA4">
            <w:pPr>
              <w:pStyle w:val="Address"/>
            </w:pPr>
            <w:r w:rsidRPr="00487162">
              <w:t>PO Box 100 Woden ACT 2606 Australia</w:t>
            </w:r>
          </w:p>
          <w:p w14:paraId="04616ACC" w14:textId="77777777" w:rsidR="001C32CD" w:rsidRPr="00155799" w:rsidRDefault="001C32CD" w:rsidP="00A05FA4">
            <w:pPr>
              <w:pStyle w:val="Address"/>
              <w:rPr>
                <w:lang w:val="fr-CH"/>
              </w:rPr>
            </w:pPr>
            <w:r w:rsidRPr="00155799">
              <w:rPr>
                <w:lang w:val="fr-CH"/>
              </w:rPr>
              <w:t xml:space="preserve">Email: </w:t>
            </w:r>
            <w:hyperlink r:id="rId29" w:history="1">
              <w:r w:rsidRPr="00155799">
                <w:rPr>
                  <w:rStyle w:val="Hyperlink"/>
                  <w:lang w:val="fr-CH"/>
                </w:rPr>
                <w:t>info@tga.gov.au</w:t>
              </w:r>
            </w:hyperlink>
            <w:r w:rsidRPr="00155799">
              <w:rPr>
                <w:lang w:val="fr-CH"/>
              </w:rPr>
              <w:t xml:space="preserve">  Phone: 1800 020 653  Fax: 02 6232 8605</w:t>
            </w:r>
          </w:p>
          <w:p w14:paraId="284AD73F" w14:textId="77777777" w:rsidR="001C32CD" w:rsidRPr="00155799" w:rsidRDefault="00540B93" w:rsidP="00A05FA4">
            <w:pPr>
              <w:pStyle w:val="Address"/>
              <w:spacing w:line="260" w:lineRule="atLeast"/>
              <w:rPr>
                <w:b/>
                <w:color w:val="0000FF"/>
                <w:u w:val="single"/>
                <w:lang w:val="fr-CH"/>
              </w:rPr>
            </w:pPr>
            <w:hyperlink r:id="rId30" w:history="1">
              <w:r w:rsidR="007C6B9B" w:rsidRPr="00155799">
                <w:rPr>
                  <w:rStyle w:val="Hyperlink"/>
                  <w:b/>
                  <w:lang w:val="fr-CH"/>
                </w:rPr>
                <w:t>https://www.tga.gov.au</w:t>
              </w:r>
            </w:hyperlink>
          </w:p>
        </w:tc>
      </w:tr>
    </w:tbl>
    <w:p w14:paraId="0C4B72CD" w14:textId="77777777" w:rsidR="00774E1D" w:rsidRPr="00155799" w:rsidRDefault="00774E1D" w:rsidP="004C239D">
      <w:pPr>
        <w:rPr>
          <w:lang w:val="fr-CH"/>
        </w:rPr>
      </w:pPr>
    </w:p>
    <w:sectPr w:rsidR="00774E1D" w:rsidRPr="00155799" w:rsidSect="001C32CD">
      <w:headerReference w:type="even" r:id="rId31"/>
      <w:headerReference w:type="default" r:id="rId32"/>
      <w:footerReference w:type="default" r:id="rId33"/>
      <w:headerReference w:type="first" r:id="rId34"/>
      <w:footerReference w:type="first" r:id="rId35"/>
      <w:pgSz w:w="11906" w:h="16838" w:code="9"/>
      <w:pgMar w:top="13467" w:right="1701" w:bottom="426" w:left="1701" w:header="907" w:footer="0"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7CD046A" w16cid:durableId="239D917F"/>
  <w16cid:commentId w16cid:paraId="30F1BE85" w16cid:durableId="23A16289"/>
  <w16cid:commentId w16cid:paraId="17DFFDBB" w16cid:durableId="23A16401"/>
  <w16cid:commentId w16cid:paraId="10E47BF3" w16cid:durableId="23A16A8B"/>
  <w16cid:commentId w16cid:paraId="7F6BEEA5" w16cid:durableId="23A16893"/>
  <w16cid:commentId w16cid:paraId="0FE54A61" w16cid:durableId="23A16AB1"/>
  <w16cid:commentId w16cid:paraId="2383CBCA" w16cid:durableId="23A16ACA"/>
  <w16cid:commentId w16cid:paraId="68C64A49" w16cid:durableId="23A16D5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EFDA64" w14:textId="77777777" w:rsidR="0050221F" w:rsidRDefault="0050221F" w:rsidP="00C40A36">
      <w:pPr>
        <w:spacing w:after="0"/>
      </w:pPr>
      <w:r>
        <w:separator/>
      </w:r>
    </w:p>
  </w:endnote>
  <w:endnote w:type="continuationSeparator" w:id="0">
    <w:p w14:paraId="4C8138A1" w14:textId="77777777" w:rsidR="0050221F" w:rsidRDefault="0050221F"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jaya">
    <w:charset w:val="00"/>
    <w:family w:val="roman"/>
    <w:pitch w:val="variable"/>
    <w:sig w:usb0="001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PMingLiU">
    <w:altName w:val="新細明體"/>
    <w:panose1 w:val="02020500000000000000"/>
    <w:charset w:val="88"/>
    <w:family w:val="roman"/>
    <w:pitch w:val="variable"/>
    <w:sig w:usb0="A00002FF" w:usb1="2ACFFCFA"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A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339CA8" w14:textId="77777777" w:rsidR="00C8605C" w:rsidRDefault="00C860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50221F" w:rsidRPr="00487162" w14:paraId="7AD17F7E" w14:textId="77777777" w:rsidTr="00DB750B">
      <w:trPr>
        <w:trHeight w:val="269"/>
      </w:trPr>
      <w:tc>
        <w:tcPr>
          <w:tcW w:w="7371" w:type="dxa"/>
          <w:tcMar>
            <w:top w:w="142" w:type="dxa"/>
            <w:bottom w:w="0" w:type="dxa"/>
          </w:tcMar>
        </w:tcPr>
        <w:p w14:paraId="76284628" w14:textId="65F23653" w:rsidR="0050221F" w:rsidRPr="00487162" w:rsidRDefault="0050221F" w:rsidP="00786553">
          <w:pPr>
            <w:pStyle w:val="Footer"/>
          </w:pPr>
          <w:r w:rsidRPr="00487162">
            <w:t>AusPA</w:t>
          </w:r>
          <w:r>
            <w:t xml:space="preserve">R – </w:t>
          </w:r>
          <w:r w:rsidRPr="00AF39D6">
            <w:t>O</w:t>
          </w:r>
          <w:r>
            <w:t xml:space="preserve">ngentys </w:t>
          </w:r>
          <w:r w:rsidRPr="00AF39D6">
            <w:t>- opicapone - Maxx Pharma Pty Ltd - PM-2019-03218-1-1</w:t>
          </w:r>
          <w:r>
            <w:br/>
          </w:r>
          <w:r w:rsidR="00786553">
            <w:t>FINAL 10</w:t>
          </w:r>
          <w:r>
            <w:t xml:space="preserve"> February 2021</w:t>
          </w:r>
        </w:p>
      </w:tc>
      <w:tc>
        <w:tcPr>
          <w:tcW w:w="1490" w:type="dxa"/>
          <w:tcMar>
            <w:top w:w="142" w:type="dxa"/>
            <w:bottom w:w="0" w:type="dxa"/>
          </w:tcMar>
        </w:tcPr>
        <w:p w14:paraId="02185715" w14:textId="7D8F0A09" w:rsidR="0050221F" w:rsidRPr="00487162" w:rsidRDefault="0050221F" w:rsidP="00DB750B">
          <w:pPr>
            <w:pStyle w:val="Footer"/>
            <w:jc w:val="right"/>
          </w:pPr>
          <w:r w:rsidRPr="00487162">
            <w:t xml:space="preserve">Page </w:t>
          </w:r>
          <w:r>
            <w:fldChar w:fldCharType="begin"/>
          </w:r>
          <w:r>
            <w:instrText xml:space="preserve"> PAGE  \* Arabic </w:instrText>
          </w:r>
          <w:r>
            <w:fldChar w:fldCharType="separate"/>
          </w:r>
          <w:r w:rsidR="00540B93">
            <w:rPr>
              <w:noProof/>
            </w:rPr>
            <w:t>21</w:t>
          </w:r>
          <w:r>
            <w:fldChar w:fldCharType="end"/>
          </w:r>
          <w:r w:rsidRPr="00487162">
            <w:t xml:space="preserve"> of </w:t>
          </w:r>
          <w:r w:rsidR="00540B93">
            <w:fldChar w:fldCharType="begin"/>
          </w:r>
          <w:r w:rsidR="00540B93">
            <w:instrText xml:space="preserve"> NUMPAGES  \* Arabic </w:instrText>
          </w:r>
          <w:r w:rsidR="00540B93">
            <w:fldChar w:fldCharType="separate"/>
          </w:r>
          <w:r w:rsidR="00540B93">
            <w:rPr>
              <w:noProof/>
            </w:rPr>
            <w:t>31</w:t>
          </w:r>
          <w:r w:rsidR="00540B93">
            <w:rPr>
              <w:noProof/>
            </w:rPr>
            <w:fldChar w:fldCharType="end"/>
          </w:r>
        </w:p>
      </w:tc>
    </w:tr>
  </w:tbl>
  <w:p w14:paraId="5214EDD3" w14:textId="77777777" w:rsidR="0050221F" w:rsidRDefault="0050221F" w:rsidP="003D1E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7D3EBE" w14:textId="77777777" w:rsidR="00C8605C" w:rsidRDefault="00C8605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50221F" w:rsidRPr="00487162" w14:paraId="3CFD54B7" w14:textId="77777777" w:rsidTr="00E45619">
      <w:trPr>
        <w:trHeight w:val="269"/>
      </w:trPr>
      <w:tc>
        <w:tcPr>
          <w:tcW w:w="4519" w:type="dxa"/>
          <w:tcBorders>
            <w:top w:val="single" w:sz="4" w:space="0" w:color="auto"/>
          </w:tcBorders>
          <w:tcMar>
            <w:top w:w="142" w:type="dxa"/>
            <w:bottom w:w="0" w:type="dxa"/>
          </w:tcMar>
        </w:tcPr>
        <w:p w14:paraId="3FBE2857" w14:textId="77777777" w:rsidR="0050221F" w:rsidRPr="00487162" w:rsidRDefault="0050221F" w:rsidP="00FE1DEE">
          <w:pPr>
            <w:pStyle w:val="Footer"/>
          </w:pPr>
          <w:r w:rsidRPr="00487162">
            <w:t>Document title, Part #, Section # - Section title</w:t>
          </w:r>
        </w:p>
        <w:p w14:paraId="7D1E6526" w14:textId="77777777" w:rsidR="0050221F" w:rsidRPr="00487162" w:rsidRDefault="0050221F" w:rsidP="00FE1DEE">
          <w:pPr>
            <w:pStyle w:val="Footer"/>
          </w:pPr>
          <w:r w:rsidRPr="00487162">
            <w:t>V1.0 October 2010</w:t>
          </w:r>
        </w:p>
      </w:tc>
      <w:tc>
        <w:tcPr>
          <w:tcW w:w="4342" w:type="dxa"/>
          <w:tcBorders>
            <w:top w:val="single" w:sz="4" w:space="0" w:color="auto"/>
          </w:tcBorders>
          <w:tcMar>
            <w:top w:w="142" w:type="dxa"/>
            <w:bottom w:w="0" w:type="dxa"/>
          </w:tcMar>
        </w:tcPr>
        <w:p w14:paraId="121B50F4" w14:textId="77777777" w:rsidR="0050221F" w:rsidRPr="00487162" w:rsidRDefault="0050221F"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540B93">
            <w:fldChar w:fldCharType="begin"/>
          </w:r>
          <w:r w:rsidR="00540B93">
            <w:instrText xml:space="preserve"> NUMPAGES  </w:instrText>
          </w:r>
          <w:r w:rsidR="00540B93">
            <w:fldChar w:fldCharType="separate"/>
          </w:r>
          <w:r>
            <w:rPr>
              <w:noProof/>
            </w:rPr>
            <w:t>3</w:t>
          </w:r>
          <w:r w:rsidR="00540B93">
            <w:rPr>
              <w:noProof/>
            </w:rPr>
            <w:fldChar w:fldCharType="end"/>
          </w:r>
        </w:p>
      </w:tc>
    </w:tr>
  </w:tbl>
  <w:p w14:paraId="5DA7D389" w14:textId="77777777" w:rsidR="0050221F" w:rsidRDefault="0050221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307D12" w14:textId="77777777" w:rsidR="0050221F" w:rsidRPr="001C32CD" w:rsidRDefault="0050221F" w:rsidP="001C32C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50221F" w14:paraId="32F6B283" w14:textId="77777777" w:rsidTr="0010601F">
      <w:trPr>
        <w:trHeight w:val="108"/>
      </w:trPr>
      <w:tc>
        <w:tcPr>
          <w:tcW w:w="8875" w:type="dxa"/>
          <w:gridSpan w:val="2"/>
          <w:tcBorders>
            <w:bottom w:val="single" w:sz="4" w:space="0" w:color="auto"/>
          </w:tcBorders>
          <w:tcMar>
            <w:right w:w="284" w:type="dxa"/>
          </w:tcMar>
        </w:tcPr>
        <w:p w14:paraId="36229C71" w14:textId="77777777" w:rsidR="0050221F" w:rsidRDefault="0050221F" w:rsidP="006E08B3">
          <w:pPr>
            <w:pStyle w:val="Heading3"/>
          </w:pPr>
          <w:r>
            <w:t>Copyright</w:t>
          </w:r>
        </w:p>
        <w:p w14:paraId="68D876D6" w14:textId="77777777" w:rsidR="0050221F" w:rsidRDefault="0050221F" w:rsidP="006E08B3">
          <w:r>
            <w:rPr>
              <w:rFonts w:cs="Arial"/>
            </w:rPr>
            <w:t>©</w:t>
          </w:r>
          <w:r>
            <w:t xml:space="preserve"> Commonwealth of Australia [add year]</w:t>
          </w:r>
        </w:p>
        <w:p w14:paraId="5353DD23" w14:textId="77777777" w:rsidR="0050221F" w:rsidRDefault="0050221F" w:rsidP="006E08B3"/>
        <w:p w14:paraId="5357690C" w14:textId="77777777" w:rsidR="0050221F" w:rsidRDefault="0050221F"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5B65C953" w14:textId="77777777" w:rsidR="0050221F" w:rsidRDefault="0050221F" w:rsidP="006E08B3"/>
        <w:p w14:paraId="6AE9586E" w14:textId="77777777" w:rsidR="0050221F" w:rsidRDefault="0050221F" w:rsidP="006E08B3">
          <w:pPr>
            <w:pStyle w:val="Heading3"/>
          </w:pPr>
          <w:r>
            <w:t>Confidentiality</w:t>
          </w:r>
        </w:p>
        <w:p w14:paraId="14F267A7" w14:textId="77777777" w:rsidR="0050221F" w:rsidRDefault="0050221F"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327F3687" w14:textId="77777777" w:rsidR="0050221F" w:rsidRDefault="0050221F" w:rsidP="006E08B3"/>
        <w:p w14:paraId="555BB01C" w14:textId="77777777" w:rsidR="0050221F" w:rsidRDefault="0050221F" w:rsidP="006E08B3">
          <w:r>
            <w:t>For submission made by individuals, all personal details, other than your name, will be removed from your submission before it is published on the TGA’s Internet site.</w:t>
          </w:r>
        </w:p>
        <w:p w14:paraId="397FFE8F" w14:textId="77777777" w:rsidR="0050221F" w:rsidRDefault="0050221F" w:rsidP="006E08B3"/>
        <w:p w14:paraId="7E558C5C" w14:textId="77777777" w:rsidR="0050221F" w:rsidRDefault="0050221F"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50221F" w14:paraId="73B1E9FD" w14:textId="77777777" w:rsidTr="0010601F">
      <w:trPr>
        <w:trHeight w:val="417"/>
      </w:trPr>
      <w:tc>
        <w:tcPr>
          <w:tcW w:w="4519" w:type="dxa"/>
          <w:tcBorders>
            <w:top w:val="single" w:sz="4" w:space="0" w:color="auto"/>
          </w:tcBorders>
          <w:tcMar>
            <w:top w:w="142" w:type="dxa"/>
            <w:bottom w:w="0" w:type="dxa"/>
          </w:tcMar>
        </w:tcPr>
        <w:p w14:paraId="3D2B26A1" w14:textId="77777777" w:rsidR="0050221F" w:rsidRDefault="0050221F" w:rsidP="006E08B3">
          <w:r>
            <w:t>Document title, Part #, Section # - Section title</w:t>
          </w:r>
        </w:p>
        <w:p w14:paraId="3B75BC90" w14:textId="77777777" w:rsidR="0050221F" w:rsidRDefault="0050221F" w:rsidP="006E08B3">
          <w:r>
            <w:t>V1.0 October 2010</w:t>
          </w:r>
        </w:p>
      </w:tc>
      <w:tc>
        <w:tcPr>
          <w:tcW w:w="4356" w:type="dxa"/>
          <w:tcBorders>
            <w:top w:val="single" w:sz="4" w:space="0" w:color="auto"/>
          </w:tcBorders>
          <w:tcMar>
            <w:top w:w="142" w:type="dxa"/>
            <w:bottom w:w="0" w:type="dxa"/>
          </w:tcMar>
        </w:tcPr>
        <w:p w14:paraId="2ECFC47E" w14:textId="77777777" w:rsidR="0050221F" w:rsidRDefault="0050221F"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540B93">
            <w:fldChar w:fldCharType="begin"/>
          </w:r>
          <w:r w:rsidR="00540B93">
            <w:instrText xml:space="preserve"> NUMPAGES  \* Arabic </w:instrText>
          </w:r>
          <w:r w:rsidR="00540B93">
            <w:fldChar w:fldCharType="separate"/>
          </w:r>
          <w:r>
            <w:rPr>
              <w:noProof/>
            </w:rPr>
            <w:t>3</w:t>
          </w:r>
          <w:r w:rsidR="00540B93">
            <w:rPr>
              <w:noProof/>
            </w:rPr>
            <w:fldChar w:fldCharType="end"/>
          </w:r>
          <w:r>
            <w:t xml:space="preserve">  </w:t>
          </w:r>
        </w:p>
      </w:tc>
    </w:tr>
  </w:tbl>
  <w:p w14:paraId="0B6A9569" w14:textId="77777777" w:rsidR="0050221F" w:rsidRDefault="0050221F"/>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BA90E2" w14:textId="77777777" w:rsidR="0050221F" w:rsidRDefault="0050221F" w:rsidP="00C40A36">
      <w:pPr>
        <w:spacing w:after="0"/>
      </w:pPr>
      <w:r>
        <w:separator/>
      </w:r>
    </w:p>
  </w:footnote>
  <w:footnote w:type="continuationSeparator" w:id="0">
    <w:p w14:paraId="697F87C9" w14:textId="77777777" w:rsidR="0050221F" w:rsidRDefault="0050221F" w:rsidP="00C40A36">
      <w:pPr>
        <w:spacing w:after="0"/>
      </w:pPr>
      <w:r>
        <w:continuationSeparator/>
      </w:r>
    </w:p>
  </w:footnote>
  <w:footnote w:id="1">
    <w:p w14:paraId="7EDDABAE" w14:textId="77777777" w:rsidR="0050221F" w:rsidRDefault="0050221F">
      <w:pPr>
        <w:pStyle w:val="FootnoteText"/>
      </w:pPr>
      <w:r>
        <w:rPr>
          <w:rStyle w:val="FootnoteReference"/>
        </w:rPr>
        <w:footnoteRef/>
      </w:r>
      <w:r>
        <w:t xml:space="preserve"> </w:t>
      </w:r>
      <w:r w:rsidRPr="00460036">
        <w:t xml:space="preserve">The </w:t>
      </w:r>
      <w:r w:rsidRPr="00460036">
        <w:rPr>
          <w:b/>
        </w:rPr>
        <w:t>Black Triangle Scheme</w:t>
      </w:r>
      <w:r w:rsidRPr="00460036">
        <w:t xml:space="preserve"> provides a simple means for practitioners and patients to identify certain types of new prescription medicines, including those being used in new ways and to encourage the reporting of adverse events associated with their use. The Black Triangle does not denote that there are known safety problems, just that the TGA is encouraging adverse event reporting to help us build up the full picture of a medicine's safety profile.</w:t>
      </w:r>
    </w:p>
  </w:footnote>
  <w:footnote w:id="2">
    <w:p w14:paraId="19102920" w14:textId="77777777" w:rsidR="0050221F" w:rsidRPr="004A5AF9" w:rsidRDefault="0050221F">
      <w:pPr>
        <w:pStyle w:val="FootnoteText"/>
      </w:pPr>
      <w:r>
        <w:rPr>
          <w:rStyle w:val="FootnoteReference"/>
        </w:rPr>
        <w:footnoteRef/>
      </w:r>
      <w:r>
        <w:t xml:space="preserve"> </w:t>
      </w:r>
      <w:r w:rsidRPr="004A5AF9">
        <w:t xml:space="preserve">Parkinson’s Disease The Brain Foundation </w:t>
      </w:r>
      <w:r>
        <w:t xml:space="preserve">Access via </w:t>
      </w:r>
      <w:r w:rsidRPr="004A5AF9">
        <w:t>brainfoundation.org.au</w:t>
      </w:r>
    </w:p>
  </w:footnote>
  <w:footnote w:id="3">
    <w:p w14:paraId="1C066E4B" w14:textId="77777777" w:rsidR="0050221F" w:rsidRDefault="0050221F">
      <w:pPr>
        <w:pStyle w:val="FootnoteText"/>
      </w:pPr>
      <w:r>
        <w:rPr>
          <w:rStyle w:val="FootnoteReference"/>
        </w:rPr>
        <w:footnoteRef/>
      </w:r>
      <w:r>
        <w:t xml:space="preserve"> </w:t>
      </w:r>
      <w:proofErr w:type="spellStart"/>
      <w:r w:rsidRPr="004A5AF9">
        <w:t>Cacabelos</w:t>
      </w:r>
      <w:proofErr w:type="spellEnd"/>
      <w:r w:rsidRPr="004A5AF9">
        <w:t>, R., Parkinson's Disease: From Pathogenesis to Pharmacogenomics</w:t>
      </w:r>
      <w:r w:rsidRPr="004A5AF9">
        <w:rPr>
          <w:i/>
        </w:rPr>
        <w:t xml:space="preserve">. </w:t>
      </w:r>
      <w:proofErr w:type="spellStart"/>
      <w:r w:rsidRPr="004A5AF9">
        <w:rPr>
          <w:i/>
        </w:rPr>
        <w:t>Int</w:t>
      </w:r>
      <w:proofErr w:type="spellEnd"/>
      <w:r w:rsidRPr="004A5AF9">
        <w:rPr>
          <w:i/>
        </w:rPr>
        <w:t xml:space="preserve"> J </w:t>
      </w:r>
      <w:proofErr w:type="spellStart"/>
      <w:r w:rsidRPr="004A5AF9">
        <w:rPr>
          <w:i/>
        </w:rPr>
        <w:t>Mol</w:t>
      </w:r>
      <w:proofErr w:type="spellEnd"/>
      <w:r w:rsidRPr="004A5AF9">
        <w:rPr>
          <w:i/>
        </w:rPr>
        <w:t xml:space="preserve"> </w:t>
      </w:r>
      <w:proofErr w:type="spellStart"/>
      <w:r w:rsidRPr="004A5AF9">
        <w:rPr>
          <w:i/>
        </w:rPr>
        <w:t>Sci</w:t>
      </w:r>
      <w:proofErr w:type="spellEnd"/>
      <w:r w:rsidRPr="004A5AF9">
        <w:t>, 2017. 18(3).</w:t>
      </w:r>
    </w:p>
  </w:footnote>
  <w:footnote w:id="4">
    <w:p w14:paraId="3DC1F987" w14:textId="77777777" w:rsidR="0050221F" w:rsidRDefault="0050221F">
      <w:pPr>
        <w:pStyle w:val="FootnoteText"/>
      </w:pPr>
      <w:r>
        <w:rPr>
          <w:rStyle w:val="FootnoteReference"/>
        </w:rPr>
        <w:footnoteRef/>
      </w:r>
      <w:r>
        <w:t xml:space="preserve"> </w:t>
      </w:r>
      <w:r w:rsidRPr="004A5AF9">
        <w:t xml:space="preserve">Armstrong, M.J. and M.S. </w:t>
      </w:r>
      <w:proofErr w:type="spellStart"/>
      <w:r w:rsidRPr="004A5AF9">
        <w:t>Okun</w:t>
      </w:r>
      <w:proofErr w:type="spellEnd"/>
      <w:r w:rsidRPr="004A5AF9">
        <w:t xml:space="preserve">, Diagnosis and Treatment of Parkinson Disease: A Review. </w:t>
      </w:r>
      <w:proofErr w:type="spellStart"/>
      <w:r w:rsidRPr="004A5AF9">
        <w:rPr>
          <w:i/>
        </w:rPr>
        <w:t>Jama</w:t>
      </w:r>
      <w:proofErr w:type="spellEnd"/>
      <w:r w:rsidRPr="004A5AF9">
        <w:t>, 2020. 323(6): p. 548-560.</w:t>
      </w:r>
    </w:p>
  </w:footnote>
  <w:footnote w:id="5">
    <w:p w14:paraId="558E986B" w14:textId="77777777" w:rsidR="0050221F" w:rsidRDefault="0050221F">
      <w:pPr>
        <w:pStyle w:val="FootnoteText"/>
      </w:pPr>
      <w:r>
        <w:rPr>
          <w:rStyle w:val="FootnoteReference"/>
        </w:rPr>
        <w:footnoteRef/>
      </w:r>
      <w:r>
        <w:t xml:space="preserve"> </w:t>
      </w:r>
      <w:proofErr w:type="spellStart"/>
      <w:r w:rsidRPr="004A5AF9">
        <w:t>Kaakkola</w:t>
      </w:r>
      <w:proofErr w:type="spellEnd"/>
      <w:r w:rsidRPr="004A5AF9">
        <w:t xml:space="preserve">, S., Clinical pharmacology, therapeutic use and potential of COMT inhibitors in Parkinson's disease. </w:t>
      </w:r>
      <w:r w:rsidRPr="004A5AF9">
        <w:rPr>
          <w:i/>
        </w:rPr>
        <w:t>Drugs</w:t>
      </w:r>
      <w:r w:rsidRPr="004A5AF9">
        <w:t>, 2000. 59(6): p. 1233-50.</w:t>
      </w:r>
    </w:p>
  </w:footnote>
  <w:footnote w:id="6">
    <w:p w14:paraId="5A7A1BAF" w14:textId="77777777" w:rsidR="0050221F" w:rsidRDefault="0050221F">
      <w:pPr>
        <w:pStyle w:val="FootnoteText"/>
      </w:pPr>
      <w:r>
        <w:rPr>
          <w:rStyle w:val="FootnoteReference"/>
        </w:rPr>
        <w:footnoteRef/>
      </w:r>
      <w:r>
        <w:t xml:space="preserve"> </w:t>
      </w:r>
      <w:proofErr w:type="spellStart"/>
      <w:r w:rsidRPr="004A5AF9">
        <w:t>Fabbri</w:t>
      </w:r>
      <w:proofErr w:type="spellEnd"/>
      <w:r w:rsidRPr="004A5AF9">
        <w:t xml:space="preserve">, M., et al., Opicapone for the treatment of Parkinson's disease: A review of a new licensed medicine. </w:t>
      </w:r>
      <w:proofErr w:type="spellStart"/>
      <w:r w:rsidRPr="004A5AF9">
        <w:rPr>
          <w:i/>
        </w:rPr>
        <w:t>Mov</w:t>
      </w:r>
      <w:proofErr w:type="spellEnd"/>
      <w:r w:rsidRPr="004A5AF9">
        <w:rPr>
          <w:i/>
        </w:rPr>
        <w:t xml:space="preserve"> </w:t>
      </w:r>
      <w:proofErr w:type="spellStart"/>
      <w:r w:rsidRPr="004A5AF9">
        <w:rPr>
          <w:i/>
        </w:rPr>
        <w:t>Disord</w:t>
      </w:r>
      <w:proofErr w:type="spellEnd"/>
      <w:r w:rsidRPr="004A5AF9">
        <w:t>, 2018. 33(10): p. 1528-1539.</w:t>
      </w:r>
    </w:p>
  </w:footnote>
  <w:footnote w:id="7">
    <w:p w14:paraId="1984E81C" w14:textId="77777777" w:rsidR="0050221F" w:rsidRDefault="0050221F">
      <w:pPr>
        <w:pStyle w:val="FootnoteText"/>
      </w:pPr>
      <w:r>
        <w:rPr>
          <w:rStyle w:val="FootnoteReference"/>
        </w:rPr>
        <w:footnoteRef/>
      </w:r>
      <w:r>
        <w:t xml:space="preserve"> </w:t>
      </w:r>
      <w:proofErr w:type="spellStart"/>
      <w:r w:rsidRPr="004A5AF9">
        <w:t>Jankovic</w:t>
      </w:r>
      <w:proofErr w:type="spellEnd"/>
      <w:r w:rsidRPr="004A5AF9">
        <w:t xml:space="preserve">, J. and M. Stacy, Medical management of levodopa-associated motor complications in patients with Parkinson's disease. </w:t>
      </w:r>
      <w:r w:rsidRPr="004A5AF9">
        <w:rPr>
          <w:i/>
        </w:rPr>
        <w:t>CNS Drugs</w:t>
      </w:r>
      <w:r w:rsidRPr="004A5AF9">
        <w:t>, 2007. 21(8): p. 677-92.</w:t>
      </w:r>
    </w:p>
  </w:footnote>
  <w:footnote w:id="8">
    <w:p w14:paraId="1AC9445A" w14:textId="77777777" w:rsidR="0050221F" w:rsidRDefault="0050221F">
      <w:pPr>
        <w:pStyle w:val="FootnoteText"/>
      </w:pPr>
      <w:r>
        <w:rPr>
          <w:rStyle w:val="FootnoteReference"/>
        </w:rPr>
        <w:footnoteRef/>
      </w:r>
      <w:r>
        <w:t xml:space="preserve"> </w:t>
      </w:r>
      <w:proofErr w:type="spellStart"/>
      <w:r w:rsidRPr="004A5AF9">
        <w:t>Olanow</w:t>
      </w:r>
      <w:proofErr w:type="spellEnd"/>
      <w:r w:rsidRPr="004A5AF9">
        <w:t xml:space="preserve">, C.W. and F. </w:t>
      </w:r>
      <w:proofErr w:type="spellStart"/>
      <w:r w:rsidRPr="004A5AF9">
        <w:t>Stocchi</w:t>
      </w:r>
      <w:proofErr w:type="spellEnd"/>
      <w:r w:rsidRPr="004A5AF9">
        <w:t xml:space="preserve">, COMT inhibitors in Parkinson's disease: can they prevent and/or reverse levodopa-induced motor complications? </w:t>
      </w:r>
      <w:r w:rsidRPr="004A5AF9">
        <w:rPr>
          <w:i/>
        </w:rPr>
        <w:t>Neurology</w:t>
      </w:r>
      <w:r w:rsidRPr="004A5AF9">
        <w:t xml:space="preserve">, 2004. 62(1 </w:t>
      </w:r>
      <w:proofErr w:type="spellStart"/>
      <w:r w:rsidRPr="004A5AF9">
        <w:t>Suppl</w:t>
      </w:r>
      <w:proofErr w:type="spellEnd"/>
      <w:r w:rsidRPr="004A5AF9">
        <w:t xml:space="preserve"> 1): p. S72-81.</w:t>
      </w:r>
    </w:p>
  </w:footnote>
  <w:footnote w:id="9">
    <w:p w14:paraId="365003CB" w14:textId="77777777" w:rsidR="0050221F" w:rsidRPr="00CC0673" w:rsidRDefault="0050221F" w:rsidP="00CC0673">
      <w:pPr>
        <w:pStyle w:val="FootnoteText"/>
        <w:rPr>
          <w:b/>
          <w:bCs/>
          <w:lang w:eastAsia="en-AU"/>
        </w:rPr>
      </w:pPr>
      <w:r>
        <w:rPr>
          <w:rStyle w:val="FootnoteReference"/>
        </w:rPr>
        <w:footnoteRef/>
      </w:r>
      <w:r>
        <w:t xml:space="preserve"> </w:t>
      </w:r>
      <w:r w:rsidRPr="00CC0673">
        <w:rPr>
          <w:b/>
          <w:bCs/>
          <w:lang w:eastAsia="en-AU"/>
        </w:rPr>
        <w:t xml:space="preserve">Cytochrome P450 (CYP) enzymes: </w:t>
      </w:r>
      <w:r w:rsidRPr="00CC0673">
        <w:rPr>
          <w:lang w:eastAsia="en-AU"/>
        </w:rPr>
        <w:t xml:space="preserve">CYPs are the major enzymes involved in drug metabolism, accounting for large part of the total metabolism. Most drugs undergo deactivation by CYPs, either directly or by facilitated excretion from the body. Also, many substances are </w:t>
      </w:r>
      <w:proofErr w:type="spellStart"/>
      <w:r w:rsidRPr="00CC0673">
        <w:rPr>
          <w:lang w:eastAsia="en-AU"/>
        </w:rPr>
        <w:t>bioactivated</w:t>
      </w:r>
      <w:proofErr w:type="spellEnd"/>
      <w:r w:rsidRPr="00CC0673">
        <w:rPr>
          <w:lang w:eastAsia="en-AU"/>
        </w:rPr>
        <w:t xml:space="preserve"> by CYPs </w:t>
      </w:r>
      <w:r>
        <w:rPr>
          <w:lang w:eastAsia="en-AU"/>
        </w:rPr>
        <w:t>to form their active compounds.</w:t>
      </w:r>
      <w:r w:rsidRPr="00CC0673">
        <w:rPr>
          <w:lang w:eastAsia="en-AU"/>
        </w:rPr>
        <w:br/>
        <w:t>Many drugs may increase or decrease the activity of various CYP isozymes either by inducing the biosynthesis of an isozyme (enzyme induction) or by directly inhibiting the activity of the CYP (enzyme inhibition). This is a major source of adverse drug interactions, since changes in CYP enzyme activity may affect the metabolism and clearance of various drugs. Such drug interactions are especially important to take into account when using drugs of vital importance to the patient, drugs with important side-effects and drugs with small therapeutic windows, but any drug may be subject to an altered plasma concentration due to altered drug metabolism.</w:t>
      </w:r>
    </w:p>
  </w:footnote>
  <w:footnote w:id="10">
    <w:p w14:paraId="36AE4715" w14:textId="77777777" w:rsidR="0050221F" w:rsidRDefault="0050221F" w:rsidP="003335D8">
      <w:pPr>
        <w:pStyle w:val="FootnoteText"/>
      </w:pPr>
      <w:r>
        <w:rPr>
          <w:rStyle w:val="FootnoteReference"/>
        </w:rPr>
        <w:footnoteRef/>
      </w:r>
      <w:r>
        <w:t xml:space="preserve"> </w:t>
      </w:r>
      <w:r w:rsidRPr="003335D8">
        <w:rPr>
          <w:b/>
        </w:rPr>
        <w:t>Pregnancy Category B2</w:t>
      </w:r>
      <w:r>
        <w:t>: Drugs which have been taken by only a limited number of pregnant women and women of childbearing age, without an increase in the frequency of malformation or other direct or indirect harmful effects on the human fetus having been observed.</w:t>
      </w:r>
    </w:p>
    <w:p w14:paraId="56E9BD48" w14:textId="77777777" w:rsidR="0050221F" w:rsidRDefault="0050221F" w:rsidP="003335D8">
      <w:pPr>
        <w:pStyle w:val="FootnoteText"/>
      </w:pPr>
      <w:r>
        <w:t>Studies in animals are inadequate or may be lacking, but available data show no evidence of an increased occurrence of fetal damage.</w:t>
      </w:r>
    </w:p>
  </w:footnote>
  <w:footnote w:id="11">
    <w:p w14:paraId="600F4606" w14:textId="77777777" w:rsidR="0050221F" w:rsidRDefault="0050221F">
      <w:pPr>
        <w:pStyle w:val="FootnoteText"/>
      </w:pPr>
      <w:r>
        <w:rPr>
          <w:rStyle w:val="FootnoteReference"/>
        </w:rPr>
        <w:footnoteRef/>
      </w:r>
      <w:r>
        <w:t xml:space="preserve"> </w:t>
      </w:r>
      <w:r w:rsidRPr="000227C4">
        <w:t xml:space="preserve">The </w:t>
      </w:r>
      <w:r w:rsidRPr="000227C4">
        <w:rPr>
          <w:b/>
        </w:rPr>
        <w:t>Child-Pugh score</w:t>
      </w:r>
      <w:r w:rsidRPr="000227C4">
        <w:t xml:space="preserve"> is a syst</w:t>
      </w:r>
      <w:r>
        <w:t>em for assessing the prognosis of hepatic impairment,</w:t>
      </w:r>
      <w:r w:rsidRPr="000227C4">
        <w:t xml:space="preserve"> including the required strength of treatment and</w:t>
      </w:r>
      <w:r>
        <w:t xml:space="preserve"> necessity of liver transplant</w:t>
      </w:r>
      <w:r w:rsidRPr="000227C4">
        <w:t xml:space="preserve"> of chronic liver disease, primarily cirrhosis. It provides a forecast of the increasing severity of liver disease and expected survival rate.</w:t>
      </w:r>
      <w:r>
        <w:t xml:space="preserve"> </w:t>
      </w:r>
      <w:r w:rsidRPr="000227C4">
        <w:t>The Pugh-Child score is determined by scoring five clinical measures of liver disease. A score of 1, 2, or 3 is given to each measure, with 3 being the most severe.</w:t>
      </w:r>
      <w:r>
        <w:t xml:space="preserve"> Class B is between 7 to 9 points, indicative of moderately severe liver disease and one to five year survival rate of 75%.</w:t>
      </w:r>
    </w:p>
  </w:footnote>
  <w:footnote w:id="12">
    <w:p w14:paraId="44FE5056" w14:textId="77777777" w:rsidR="0050221F" w:rsidRDefault="0050221F" w:rsidP="00065585">
      <w:pPr>
        <w:pStyle w:val="FootnoteText"/>
      </w:pPr>
      <w:r>
        <w:rPr>
          <w:rStyle w:val="FootnoteReference"/>
        </w:rPr>
        <w:footnoteRef/>
      </w:r>
      <w:r>
        <w:t xml:space="preserve"> </w:t>
      </w:r>
      <w:r w:rsidRPr="00065585">
        <w:rPr>
          <w:b/>
        </w:rPr>
        <w:t xml:space="preserve">Modified </w:t>
      </w:r>
      <w:proofErr w:type="spellStart"/>
      <w:r w:rsidRPr="00065585">
        <w:rPr>
          <w:b/>
        </w:rPr>
        <w:t>Hoehn</w:t>
      </w:r>
      <w:proofErr w:type="spellEnd"/>
      <w:r w:rsidRPr="00065585">
        <w:rPr>
          <w:b/>
        </w:rPr>
        <w:t xml:space="preserve"> and </w:t>
      </w:r>
      <w:proofErr w:type="spellStart"/>
      <w:r w:rsidRPr="00065585">
        <w:rPr>
          <w:b/>
        </w:rPr>
        <w:t>Yahr</w:t>
      </w:r>
      <w:proofErr w:type="spellEnd"/>
      <w:r w:rsidRPr="00065585">
        <w:rPr>
          <w:b/>
        </w:rPr>
        <w:t xml:space="preserve"> Scale</w:t>
      </w:r>
      <w:r>
        <w:t xml:space="preserve"> is used to describe the symptom progression of Parkinson disease. It was designed to be a descriptive staging scale to evaluate both disability and impairment related to clinical disease progression. Stage 1: Unilateral involvement only; Stage 1.5: Unilateral and axial involvement; Stage 2: </w:t>
      </w:r>
      <w:proofErr w:type="spellStart"/>
      <w:r>
        <w:t>Bilaternal</w:t>
      </w:r>
      <w:proofErr w:type="spellEnd"/>
      <w:r>
        <w:t xml:space="preserve"> involvement without impairment of balance; Stage 2.5: Mild bilateral disease with recovery on pull test; Stage 3: Mild to moderate bilateral disease;</w:t>
      </w:r>
      <w:r w:rsidRPr="00065585">
        <w:t xml:space="preserve"> </w:t>
      </w:r>
      <w:r>
        <w:t>some postural instability; physically independent; Stage 4: Severe disability; still able to walk or stand unassisted; Stage 5: Wheelchair bound or bedridden unless aided.</w:t>
      </w:r>
    </w:p>
  </w:footnote>
  <w:footnote w:id="13">
    <w:p w14:paraId="6B5CCC41" w14:textId="77777777" w:rsidR="0050221F" w:rsidRDefault="0050221F">
      <w:pPr>
        <w:pStyle w:val="FootnoteText"/>
      </w:pPr>
      <w:r>
        <w:rPr>
          <w:rStyle w:val="FootnoteReference"/>
        </w:rPr>
        <w:footnoteRef/>
      </w:r>
      <w:r>
        <w:t xml:space="preserve"> </w:t>
      </w:r>
      <w:r w:rsidRPr="00155799">
        <w:rPr>
          <w:b/>
        </w:rPr>
        <w:t>Unified Parkinson's Disease Rating Scale</w:t>
      </w:r>
      <w:r>
        <w:t xml:space="preserve"> </w:t>
      </w:r>
      <w:r w:rsidRPr="00480685">
        <w:t>is a comprehensive 50 question assessment of both motor and non-motor symptoms associated with Parkinson's.</w:t>
      </w:r>
    </w:p>
  </w:footnote>
  <w:footnote w:id="14">
    <w:p w14:paraId="6FFDEE77" w14:textId="1F71B199" w:rsidR="0050221F" w:rsidRPr="00155799" w:rsidRDefault="0050221F">
      <w:pPr>
        <w:pStyle w:val="FootnoteText"/>
        <w:rPr>
          <w:lang w:val="en-US"/>
        </w:rPr>
      </w:pPr>
      <w:r>
        <w:rPr>
          <w:rStyle w:val="FootnoteReference"/>
        </w:rPr>
        <w:footnoteRef/>
      </w:r>
      <w:r>
        <w:t xml:space="preserve"> </w:t>
      </w:r>
      <w:r w:rsidRPr="008359FC">
        <w:t>V2 = randomisation/start of</w:t>
      </w:r>
      <w:r>
        <w:t xml:space="preserve"> double blind phase (Day 0); </w:t>
      </w:r>
      <w:r w:rsidRPr="008359FC">
        <w:t>V4 = Day 14 or 21 +/- 3 days</w:t>
      </w:r>
      <w:r>
        <w:t>.</w:t>
      </w:r>
    </w:p>
  </w:footnote>
  <w:footnote w:id="15">
    <w:p w14:paraId="52C28A2A" w14:textId="7264521A" w:rsidR="0050221F" w:rsidRPr="00155799" w:rsidRDefault="0050221F">
      <w:pPr>
        <w:pStyle w:val="FootnoteText"/>
        <w:rPr>
          <w:lang w:val="en-US"/>
        </w:rPr>
      </w:pPr>
      <w:r>
        <w:rPr>
          <w:rStyle w:val="FootnoteReference"/>
        </w:rPr>
        <w:footnoteRef/>
      </w:r>
      <w:r>
        <w:t xml:space="preserve"> </w:t>
      </w:r>
      <w:r w:rsidRPr="007C09B3">
        <w:t xml:space="preserve">The </w:t>
      </w:r>
      <w:r w:rsidRPr="00155799">
        <w:rPr>
          <w:b/>
        </w:rPr>
        <w:t>Parkinson's Disease Sleep Scale</w:t>
      </w:r>
      <w:r>
        <w:t xml:space="preserve"> (</w:t>
      </w:r>
      <w:r w:rsidRPr="00155799">
        <w:rPr>
          <w:b/>
        </w:rPr>
        <w:t>PDSS</w:t>
      </w:r>
      <w:r w:rsidRPr="007C09B3">
        <w:t>) allows health and social care professionals and people with Parkinson's to self-rate and quantify the level of sleep disruption being experienced in order to target treatment appropriately.</w:t>
      </w:r>
      <w:r>
        <w:t xml:space="preserve"> The PDSS is patient reported outcome measure comprised of a 15-item visual analogue scale that asks a patient (or caregiver, by proxy) to rate 15 common aspects of sleep disruption in Parkinson’s disease on a 10 cm scale from 0 (worst possible score) to 10 (excellent/never experienced).</w:t>
      </w:r>
    </w:p>
  </w:footnote>
  <w:footnote w:id="16">
    <w:p w14:paraId="26EC066A" w14:textId="478692C1" w:rsidR="0050221F" w:rsidRPr="00F40C3E" w:rsidRDefault="0050221F" w:rsidP="00F40C3E">
      <w:pPr>
        <w:pStyle w:val="FootnoteText"/>
      </w:pPr>
      <w:r>
        <w:rPr>
          <w:rStyle w:val="FootnoteReference"/>
        </w:rPr>
        <w:footnoteRef/>
      </w:r>
      <w:r>
        <w:t xml:space="preserve"> The </w:t>
      </w:r>
      <w:r w:rsidRPr="00155799">
        <w:rPr>
          <w:b/>
        </w:rPr>
        <w:t>Parkinson’s Disease Quality of Life Questionnaire</w:t>
      </w:r>
      <w:r>
        <w:t xml:space="preserve"> (</w:t>
      </w:r>
      <w:r w:rsidRPr="00155799">
        <w:rPr>
          <w:b/>
        </w:rPr>
        <w:t>PDQ-3</w:t>
      </w:r>
      <w:r w:rsidRPr="00F40C3E">
        <w:rPr>
          <w:b/>
        </w:rPr>
        <w:t>9</w:t>
      </w:r>
      <w:r>
        <w:t xml:space="preserve">) </w:t>
      </w:r>
      <w:r w:rsidRPr="00F40C3E">
        <w:t>assesses how often people affected by Parkinson's experience difficulties acro</w:t>
      </w:r>
      <w:r>
        <w:t xml:space="preserve">ss 8 dimensions of daily living, including relationships, social situations and communication. It also assesses the impact of Parkinson's on specific dimensions of functioning and wellbeing. Each dimension has a set of items scored with its own discrete scale. Each item is scored on a 5-option Likert scale of 0 = never, to 4 = </w:t>
      </w:r>
      <w:r w:rsidRPr="00EF184E">
        <w:t>always or cannot do at all.</w:t>
      </w:r>
      <w:r>
        <w:t xml:space="preserve"> Dimension scores are calculated the sum of all dimension item scores, divided by the maximum possible score for those items, multiplied by 100. Total PDQ</w:t>
      </w:r>
      <w:r>
        <w:noBreakHyphen/>
        <w:t xml:space="preserve">39 scores can range from 0 to 800, calculated by the sum of all dimension scores, and can be summarised </w:t>
      </w:r>
      <w:r w:rsidRPr="00352221">
        <w:t>into the PDQ-39 summary index score</w:t>
      </w:r>
      <w:r>
        <w:t>, with scores ranging from 0 to 100. Lower scores are indicative of better health related quality of life.</w:t>
      </w:r>
    </w:p>
  </w:footnote>
  <w:footnote w:id="17">
    <w:p w14:paraId="00B69642" w14:textId="40515B9F" w:rsidR="0050221F" w:rsidRPr="00155799" w:rsidRDefault="0050221F">
      <w:pPr>
        <w:pStyle w:val="FootnoteText"/>
        <w:rPr>
          <w:lang w:val="en-US"/>
        </w:rPr>
      </w:pPr>
      <w:r>
        <w:rPr>
          <w:rStyle w:val="FootnoteReference"/>
        </w:rPr>
        <w:footnoteRef/>
      </w:r>
      <w:r>
        <w:t xml:space="preserve"> </w:t>
      </w:r>
      <w:r w:rsidRPr="00352221">
        <w:t xml:space="preserve">The </w:t>
      </w:r>
      <w:r w:rsidRPr="00155799">
        <w:rPr>
          <w:b/>
        </w:rPr>
        <w:t>Non-Motor Symptoms Scale</w:t>
      </w:r>
      <w:r w:rsidRPr="00352221">
        <w:t xml:space="preserve"> (</w:t>
      </w:r>
      <w:r w:rsidRPr="00155799">
        <w:rPr>
          <w:b/>
        </w:rPr>
        <w:t>NMSS</w:t>
      </w:r>
      <w:r w:rsidRPr="00352221">
        <w:t xml:space="preserve">) is a 30-item </w:t>
      </w:r>
      <w:r>
        <w:t xml:space="preserve">clinician rated </w:t>
      </w:r>
      <w:r w:rsidRPr="00352221">
        <w:t>scal</w:t>
      </w:r>
      <w:r>
        <w:t>e to assess a range of non</w:t>
      </w:r>
      <w:r>
        <w:noBreakHyphen/>
      </w:r>
      <w:r w:rsidRPr="00352221">
        <w:t>motor symptoms in patien</w:t>
      </w:r>
      <w:r>
        <w:t>ts with Parkinson's disease over 9 domains</w:t>
      </w:r>
      <w:r w:rsidRPr="00352221">
        <w:t>. The NMSS measures the severity and frequency of non-motor s</w:t>
      </w:r>
      <w:r>
        <w:t>ymptoms across nine dimensions over the previous month. Each item is scored according to severity (0 to 3) and frequency (1 to 4). Total score is calculated by multiplying the severity and frequency score for each item, and adding each item score together. Total NMSS scores range from 0 to 360, with higher scores indicative of a greater health burden of non-motor symptoms.</w:t>
      </w:r>
    </w:p>
  </w:footnote>
  <w:footnote w:id="18">
    <w:p w14:paraId="39943F3A" w14:textId="77777777" w:rsidR="0050221F" w:rsidRPr="000C2B58" w:rsidRDefault="0050221F" w:rsidP="000C2B58">
      <w:pPr>
        <w:pStyle w:val="FootnoteText"/>
      </w:pPr>
      <w:r>
        <w:rPr>
          <w:rStyle w:val="FootnoteReference"/>
        </w:rPr>
        <w:footnoteRef/>
      </w:r>
      <w:r>
        <w:t xml:space="preserve"> V7 = end of double-blind period, 84 days +/- 3 days from V4. V4 = Day 14 or 21 +/- 3 days from randomisation/start of double-blind treatment.</w:t>
      </w:r>
    </w:p>
  </w:footnote>
  <w:footnote w:id="19">
    <w:p w14:paraId="34FAB7EB" w14:textId="2DDBF254" w:rsidR="0050221F" w:rsidRPr="00155799" w:rsidRDefault="0050221F">
      <w:pPr>
        <w:pStyle w:val="FootnoteText"/>
        <w:rPr>
          <w:lang w:val="en-US"/>
        </w:rPr>
      </w:pPr>
      <w:r>
        <w:rPr>
          <w:rStyle w:val="FootnoteReference"/>
        </w:rPr>
        <w:footnoteRef/>
      </w:r>
      <w:r>
        <w:t xml:space="preserve"> UPDRS Part III = </w:t>
      </w:r>
      <w:r w:rsidRPr="000C2B58">
        <w:t>Unified Parkinson's Disease Rating Scale</w:t>
      </w:r>
      <w:r>
        <w:t xml:space="preserve">, </w:t>
      </w:r>
      <w:proofErr w:type="spellStart"/>
      <w:r>
        <w:t>MotorExaminationn</w:t>
      </w:r>
      <w:proofErr w:type="spellEnd"/>
      <w:r>
        <w:t>.</w:t>
      </w:r>
    </w:p>
  </w:footnote>
  <w:footnote w:id="20">
    <w:p w14:paraId="1A560E54" w14:textId="5DE0D2EC" w:rsidR="0050221F" w:rsidRPr="00155799" w:rsidRDefault="0050221F">
      <w:pPr>
        <w:pStyle w:val="FootnoteText"/>
        <w:rPr>
          <w:lang w:val="en-US"/>
        </w:rPr>
      </w:pPr>
      <w:r>
        <w:rPr>
          <w:rStyle w:val="FootnoteReference"/>
        </w:rPr>
        <w:footnoteRef/>
      </w:r>
      <w:r>
        <w:t xml:space="preserve"> </w:t>
      </w:r>
      <w:r>
        <w:rPr>
          <w:lang w:val="en-US"/>
        </w:rPr>
        <w:t xml:space="preserve">SMQ = </w:t>
      </w:r>
      <w:proofErr w:type="spellStart"/>
      <w:r>
        <w:rPr>
          <w:lang w:val="en-US"/>
        </w:rPr>
        <w:t>Standardised</w:t>
      </w:r>
      <w:proofErr w:type="spellEnd"/>
      <w:r>
        <w:rPr>
          <w:lang w:val="en-US"/>
        </w:rPr>
        <w:t xml:space="preserve"> MedDRA Query; MedDRA = Medical Dictionary for Regulatory Activities.</w:t>
      </w:r>
    </w:p>
  </w:footnote>
  <w:footnote w:id="21">
    <w:p w14:paraId="6214D1B9" w14:textId="6928C692" w:rsidR="0050221F" w:rsidRDefault="0050221F" w:rsidP="007D53B6">
      <w:pPr>
        <w:pStyle w:val="FootnoteText"/>
      </w:pPr>
      <w:r>
        <w:rPr>
          <w:rStyle w:val="FootnoteReference"/>
        </w:rPr>
        <w:footnoteRef/>
      </w:r>
      <w:r>
        <w:t xml:space="preserve">  </w:t>
      </w:r>
      <w:r w:rsidRPr="007D53B6">
        <w:rPr>
          <w:i/>
        </w:rPr>
        <w:t xml:space="preserve">Routine risk minimisation </w:t>
      </w:r>
      <w:r>
        <w:t>activities may be limited to ensuring that suitable warnings are included in the product information or by careful use of labelling and packaging.</w:t>
      </w:r>
    </w:p>
    <w:p w14:paraId="53BE86A4" w14:textId="77777777" w:rsidR="0050221F" w:rsidRDefault="0050221F" w:rsidP="007D53B6">
      <w:pPr>
        <w:pStyle w:val="FootnoteText"/>
      </w:pPr>
      <w:r w:rsidRPr="007D53B6">
        <w:rPr>
          <w:i/>
        </w:rPr>
        <w:t>Routine pharmacovigilance</w:t>
      </w:r>
      <w:r>
        <w:t xml:space="preserve"> practices involve the following activities:</w:t>
      </w:r>
    </w:p>
    <w:p w14:paraId="4F4012A6" w14:textId="77777777" w:rsidR="0050221F" w:rsidRDefault="0050221F" w:rsidP="007D53B6">
      <w:pPr>
        <w:pStyle w:val="FootnoteText"/>
        <w:numPr>
          <w:ilvl w:val="0"/>
          <w:numId w:val="32"/>
        </w:numPr>
        <w:ind w:left="284" w:hanging="284"/>
      </w:pPr>
      <w:r>
        <w:t>All suspected adverse reactions that are reported to the personnel of the company are collected and collated in an accessible manner;</w:t>
      </w:r>
    </w:p>
    <w:p w14:paraId="681858AC" w14:textId="77777777" w:rsidR="0050221F" w:rsidRDefault="0050221F" w:rsidP="007D53B6">
      <w:pPr>
        <w:pStyle w:val="FootnoteText"/>
        <w:numPr>
          <w:ilvl w:val="0"/>
          <w:numId w:val="32"/>
        </w:numPr>
        <w:ind w:left="284" w:hanging="284"/>
      </w:pPr>
      <w:r>
        <w:t>Reporting to regulatory authorities;</w:t>
      </w:r>
    </w:p>
    <w:p w14:paraId="090EADAE" w14:textId="77777777" w:rsidR="0050221F" w:rsidRDefault="0050221F" w:rsidP="007D53B6">
      <w:pPr>
        <w:pStyle w:val="FootnoteText"/>
        <w:numPr>
          <w:ilvl w:val="0"/>
          <w:numId w:val="32"/>
        </w:numPr>
        <w:ind w:left="284" w:hanging="284"/>
      </w:pPr>
      <w:r>
        <w:t>Continuous monitoring of the safety profiles of approved products including signal detection and updating of labelling;</w:t>
      </w:r>
    </w:p>
    <w:p w14:paraId="1329B4F8" w14:textId="77777777" w:rsidR="0050221F" w:rsidRDefault="0050221F" w:rsidP="007D53B6">
      <w:pPr>
        <w:pStyle w:val="FootnoteText"/>
        <w:numPr>
          <w:ilvl w:val="0"/>
          <w:numId w:val="32"/>
        </w:numPr>
        <w:ind w:left="284" w:hanging="284"/>
      </w:pPr>
      <w:r>
        <w:t>Submission of PSURs;</w:t>
      </w:r>
    </w:p>
    <w:p w14:paraId="42104FE2" w14:textId="77777777" w:rsidR="0050221F" w:rsidRDefault="0050221F" w:rsidP="007D53B6">
      <w:pPr>
        <w:pStyle w:val="FootnoteText"/>
        <w:numPr>
          <w:ilvl w:val="0"/>
          <w:numId w:val="32"/>
        </w:numPr>
        <w:ind w:left="284" w:hanging="284"/>
      </w:pPr>
      <w:r>
        <w:t>Meeting other local regulatory agency requirements.</w:t>
      </w:r>
    </w:p>
  </w:footnote>
  <w:footnote w:id="22">
    <w:p w14:paraId="06D55703" w14:textId="77777777" w:rsidR="0050221F" w:rsidRDefault="0050221F" w:rsidP="00456765">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4177D3A0" w14:textId="77777777" w:rsidR="0050221F" w:rsidRPr="00456765" w:rsidRDefault="0050221F" w:rsidP="00456765">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BCB436" w14:textId="77777777" w:rsidR="00C8605C" w:rsidRDefault="00C860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4D2ED4" w14:textId="77777777" w:rsidR="0050221F" w:rsidRDefault="0050221F" w:rsidP="00E45619">
    <w:pPr>
      <w:pStyle w:val="Header"/>
    </w:pPr>
    <w:r>
      <w:t>Therapeutic Goods Administration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F8F1D" w14:textId="77777777" w:rsidR="0050221F" w:rsidRDefault="0050221F">
    <w:pPr>
      <w:rPr>
        <w:noProof/>
        <w:lang w:eastAsia="en-AU"/>
      </w:rPr>
    </w:pPr>
    <w:r w:rsidRPr="00347824">
      <w:rPr>
        <w:noProof/>
        <w:lang w:eastAsia="en-AU"/>
      </w:rPr>
      <w:drawing>
        <wp:anchor distT="0" distB="0" distL="114300" distR="114300" simplePos="0" relativeHeight="251659264" behindDoc="1" locked="0" layoutInCell="1" allowOverlap="1" wp14:anchorId="23486A17" wp14:editId="2C1ACBA6">
          <wp:simplePos x="0" y="0"/>
          <wp:positionH relativeFrom="column">
            <wp:posOffset>-1089660</wp:posOffset>
          </wp:positionH>
          <wp:positionV relativeFrom="paragraph">
            <wp:posOffset>-585470</wp:posOffset>
          </wp:positionV>
          <wp:extent cx="7572375" cy="10706100"/>
          <wp:effectExtent l="19050" t="0" r="0" b="0"/>
          <wp:wrapNone/>
          <wp:docPr id="7"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60223C27" w14:textId="40B70176" w:rsidR="0050221F" w:rsidRDefault="0050221F" w:rsidP="00593AD1">
    <w:pPr>
      <w:pStyle w:val="HeaderNoLin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798403" w14:textId="77777777" w:rsidR="0050221F" w:rsidRDefault="0050221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3E3240" w14:textId="77777777" w:rsidR="0050221F" w:rsidRDefault="0050221F">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ADD93" w14:textId="77777777" w:rsidR="0050221F" w:rsidRDefault="0050221F">
    <w:pPr>
      <w:pStyle w:val="Header"/>
    </w:pPr>
    <w:r>
      <w:t>Therapeutic Goods Administration</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3D1CF" w14:textId="77777777" w:rsidR="0050221F" w:rsidRDefault="0050221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3EF407" w14:textId="77777777" w:rsidR="0050221F" w:rsidRDefault="0050221F" w:rsidP="004C239D">
    <w:pPr>
      <w:pStyle w:val="HeaderNoLin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49A56C" w14:textId="77777777" w:rsidR="0050221F" w:rsidRDefault="0050221F" w:rsidP="006E08B3">
    <w:r>
      <w:t>Therapeutic Goods Administration</w:t>
    </w:r>
  </w:p>
  <w:p w14:paraId="055C0C23" w14:textId="77777777" w:rsidR="0050221F" w:rsidRDefault="0050221F" w:rsidP="006D03E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80017AB"/>
    <w:multiLevelType w:val="hybridMultilevel"/>
    <w:tmpl w:val="7FB83D2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7" w15:restartNumberingAfterBreak="0">
    <w:nsid w:val="11F3578D"/>
    <w:multiLevelType w:val="hybridMultilevel"/>
    <w:tmpl w:val="1D92B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8F13E9"/>
    <w:multiLevelType w:val="multilevel"/>
    <w:tmpl w:val="3A1237DC"/>
    <w:styleLink w:val="ListBullets"/>
    <w:lvl w:ilvl="0">
      <w:start w:val="1"/>
      <w:numFmt w:val="bullet"/>
      <w:pStyle w:val="ListBullet"/>
      <w:lvlText w:val="•"/>
      <w:lvlJc w:val="left"/>
      <w:pPr>
        <w:ind w:left="360" w:hanging="360"/>
      </w:pPr>
      <w:rPr>
        <w:rFonts w:ascii="Arial" w:hAnsi="Aria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15:restartNumberingAfterBreak="0">
    <w:nsid w:val="1E723D32"/>
    <w:multiLevelType w:val="hybridMultilevel"/>
    <w:tmpl w:val="D1568D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A2F5CDC"/>
    <w:multiLevelType w:val="hybridMultilevel"/>
    <w:tmpl w:val="CB4A66D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D870414"/>
    <w:multiLevelType w:val="hybridMultilevel"/>
    <w:tmpl w:val="50C89812"/>
    <w:lvl w:ilvl="0" w:tplc="1C5C58F4">
      <w:start w:val="1"/>
      <w:numFmt w:val="bullet"/>
      <w:lvlText w:val="-"/>
      <w:lvlJc w:val="left"/>
      <w:pPr>
        <w:ind w:left="720" w:hanging="360"/>
      </w:pPr>
      <w:rPr>
        <w:rFonts w:ascii="Vijaya" w:hAnsi="Vijaya"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1C411AD"/>
    <w:multiLevelType w:val="hybridMultilevel"/>
    <w:tmpl w:val="8728B41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5"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8"/>
  </w:num>
  <w:num w:numId="4">
    <w:abstractNumId w:val="8"/>
  </w:num>
  <w:num w:numId="5">
    <w:abstractNumId w:val="0"/>
  </w:num>
  <w:num w:numId="6">
    <w:abstractNumId w:val="8"/>
  </w:num>
  <w:num w:numId="7">
    <w:abstractNumId w:val="8"/>
  </w:num>
  <w:num w:numId="8">
    <w:abstractNumId w:val="6"/>
  </w:num>
  <w:num w:numId="9">
    <w:abstractNumId w:val="6"/>
  </w:num>
  <w:num w:numId="10">
    <w:abstractNumId w:val="6"/>
  </w:num>
  <w:num w:numId="11">
    <w:abstractNumId w:val="6"/>
  </w:num>
  <w:num w:numId="12">
    <w:abstractNumId w:val="3"/>
    <w:lvlOverride w:ilvl="0">
      <w:lvl w:ilvl="0">
        <w:numFmt w:val="bullet"/>
        <w:lvlText w:val="•"/>
        <w:legacy w:legacy="1" w:legacySpace="0" w:legacyIndent="0"/>
        <w:lvlJc w:val="left"/>
        <w:rPr>
          <w:rFonts w:ascii="Helv" w:hAnsi="Helv" w:hint="default"/>
        </w:rPr>
      </w:lvl>
    </w:lvlOverride>
  </w:num>
  <w:num w:numId="13">
    <w:abstractNumId w:val="8"/>
  </w:num>
  <w:num w:numId="14">
    <w:abstractNumId w:val="8"/>
  </w:num>
  <w:num w:numId="15">
    <w:abstractNumId w:val="8"/>
  </w:num>
  <w:num w:numId="16">
    <w:abstractNumId w:val="6"/>
  </w:num>
  <w:num w:numId="17">
    <w:abstractNumId w:val="6"/>
  </w:num>
  <w:num w:numId="18">
    <w:abstractNumId w:val="6"/>
  </w:num>
  <w:num w:numId="19">
    <w:abstractNumId w:val="8"/>
  </w:num>
  <w:num w:numId="20">
    <w:abstractNumId w:val="8"/>
  </w:num>
  <w:num w:numId="21">
    <w:abstractNumId w:val="8"/>
  </w:num>
  <w:num w:numId="22">
    <w:abstractNumId w:val="6"/>
  </w:num>
  <w:num w:numId="23">
    <w:abstractNumId w:val="6"/>
  </w:num>
  <w:num w:numId="24">
    <w:abstractNumId w:val="6"/>
  </w:num>
  <w:num w:numId="25">
    <w:abstractNumId w:val="6"/>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2"/>
  </w:num>
  <w:num w:numId="28">
    <w:abstractNumId w:val="15"/>
  </w:num>
  <w:num w:numId="29">
    <w:abstractNumId w:val="7"/>
  </w:num>
  <w:num w:numId="30">
    <w:abstractNumId w:val="10"/>
  </w:num>
  <w:num w:numId="31">
    <w:abstractNumId w:val="4"/>
  </w:num>
  <w:num w:numId="32">
    <w:abstractNumId w:val="13"/>
  </w:num>
  <w:num w:numId="33">
    <w:abstractNumId w:val="9"/>
  </w:num>
  <w:num w:numId="34">
    <w:abstractNumId w:val="5"/>
  </w:num>
  <w:num w:numId="35">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6">
    <w:abstractNumId w:val="14"/>
  </w:num>
  <w:num w:numId="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39D6"/>
    <w:rsid w:val="00002031"/>
    <w:rsid w:val="00004734"/>
    <w:rsid w:val="00006B22"/>
    <w:rsid w:val="00006FAB"/>
    <w:rsid w:val="0001276A"/>
    <w:rsid w:val="0001550E"/>
    <w:rsid w:val="00021039"/>
    <w:rsid w:val="000227C4"/>
    <w:rsid w:val="000246AE"/>
    <w:rsid w:val="00025C67"/>
    <w:rsid w:val="0003112C"/>
    <w:rsid w:val="00044772"/>
    <w:rsid w:val="0004541C"/>
    <w:rsid w:val="0005559E"/>
    <w:rsid w:val="0005617B"/>
    <w:rsid w:val="00057BD0"/>
    <w:rsid w:val="000604D6"/>
    <w:rsid w:val="00065585"/>
    <w:rsid w:val="00070A00"/>
    <w:rsid w:val="000734D8"/>
    <w:rsid w:val="000744E5"/>
    <w:rsid w:val="00077775"/>
    <w:rsid w:val="000808E7"/>
    <w:rsid w:val="00090471"/>
    <w:rsid w:val="00096AA7"/>
    <w:rsid w:val="000A2924"/>
    <w:rsid w:val="000A3AED"/>
    <w:rsid w:val="000B3532"/>
    <w:rsid w:val="000B3A75"/>
    <w:rsid w:val="000C00C2"/>
    <w:rsid w:val="000C2B58"/>
    <w:rsid w:val="000C690F"/>
    <w:rsid w:val="000D1295"/>
    <w:rsid w:val="000D19D4"/>
    <w:rsid w:val="000D391B"/>
    <w:rsid w:val="000D3D6D"/>
    <w:rsid w:val="000D4FC7"/>
    <w:rsid w:val="000D5D31"/>
    <w:rsid w:val="000E6196"/>
    <w:rsid w:val="000F1C12"/>
    <w:rsid w:val="000F4869"/>
    <w:rsid w:val="000F5B42"/>
    <w:rsid w:val="000F6E6F"/>
    <w:rsid w:val="0010601F"/>
    <w:rsid w:val="0010788A"/>
    <w:rsid w:val="00107A31"/>
    <w:rsid w:val="00110EA5"/>
    <w:rsid w:val="001126F0"/>
    <w:rsid w:val="00112F56"/>
    <w:rsid w:val="00124ACD"/>
    <w:rsid w:val="00125318"/>
    <w:rsid w:val="001305A2"/>
    <w:rsid w:val="00133238"/>
    <w:rsid w:val="00133A1B"/>
    <w:rsid w:val="0014197B"/>
    <w:rsid w:val="001421DD"/>
    <w:rsid w:val="001447CD"/>
    <w:rsid w:val="001516B1"/>
    <w:rsid w:val="00154EBB"/>
    <w:rsid w:val="00155799"/>
    <w:rsid w:val="00156316"/>
    <w:rsid w:val="00161181"/>
    <w:rsid w:val="00162D14"/>
    <w:rsid w:val="00163780"/>
    <w:rsid w:val="00165389"/>
    <w:rsid w:val="0017693F"/>
    <w:rsid w:val="0018110E"/>
    <w:rsid w:val="00181684"/>
    <w:rsid w:val="001843C6"/>
    <w:rsid w:val="001846F7"/>
    <w:rsid w:val="001850E0"/>
    <w:rsid w:val="001A03AF"/>
    <w:rsid w:val="001A2158"/>
    <w:rsid w:val="001A525F"/>
    <w:rsid w:val="001B09F9"/>
    <w:rsid w:val="001B5C90"/>
    <w:rsid w:val="001B6448"/>
    <w:rsid w:val="001C32CD"/>
    <w:rsid w:val="001C3C1C"/>
    <w:rsid w:val="001D0E34"/>
    <w:rsid w:val="001D2984"/>
    <w:rsid w:val="001E07CF"/>
    <w:rsid w:val="001E59F1"/>
    <w:rsid w:val="001F2CEE"/>
    <w:rsid w:val="001F49EB"/>
    <w:rsid w:val="001F6CBA"/>
    <w:rsid w:val="00201D4E"/>
    <w:rsid w:val="002043BB"/>
    <w:rsid w:val="0020690E"/>
    <w:rsid w:val="002076C9"/>
    <w:rsid w:val="00215489"/>
    <w:rsid w:val="00220B8A"/>
    <w:rsid w:val="002257F3"/>
    <w:rsid w:val="00231243"/>
    <w:rsid w:val="00233456"/>
    <w:rsid w:val="002339A5"/>
    <w:rsid w:val="0024172C"/>
    <w:rsid w:val="00250271"/>
    <w:rsid w:val="00256128"/>
    <w:rsid w:val="00257848"/>
    <w:rsid w:val="002578E8"/>
    <w:rsid w:val="0027084A"/>
    <w:rsid w:val="00280265"/>
    <w:rsid w:val="00286434"/>
    <w:rsid w:val="00286C59"/>
    <w:rsid w:val="00291957"/>
    <w:rsid w:val="002942D1"/>
    <w:rsid w:val="0029501A"/>
    <w:rsid w:val="002A0115"/>
    <w:rsid w:val="002A3721"/>
    <w:rsid w:val="002B1638"/>
    <w:rsid w:val="002B3624"/>
    <w:rsid w:val="002C3C05"/>
    <w:rsid w:val="002C676F"/>
    <w:rsid w:val="002D0952"/>
    <w:rsid w:val="002E02A5"/>
    <w:rsid w:val="002E40B3"/>
    <w:rsid w:val="002E4C9A"/>
    <w:rsid w:val="002F11F8"/>
    <w:rsid w:val="002F3F56"/>
    <w:rsid w:val="002F44B5"/>
    <w:rsid w:val="002F5122"/>
    <w:rsid w:val="00306193"/>
    <w:rsid w:val="00311AC0"/>
    <w:rsid w:val="003176FC"/>
    <w:rsid w:val="0032583B"/>
    <w:rsid w:val="003259CC"/>
    <w:rsid w:val="00327883"/>
    <w:rsid w:val="003335D8"/>
    <w:rsid w:val="00335504"/>
    <w:rsid w:val="00340C18"/>
    <w:rsid w:val="003442FD"/>
    <w:rsid w:val="00347824"/>
    <w:rsid w:val="00350567"/>
    <w:rsid w:val="003521E8"/>
    <w:rsid w:val="00352221"/>
    <w:rsid w:val="00352881"/>
    <w:rsid w:val="00355B68"/>
    <w:rsid w:val="00370CE3"/>
    <w:rsid w:val="003728F3"/>
    <w:rsid w:val="003735BC"/>
    <w:rsid w:val="0037496E"/>
    <w:rsid w:val="00383221"/>
    <w:rsid w:val="00386150"/>
    <w:rsid w:val="003874CE"/>
    <w:rsid w:val="00390900"/>
    <w:rsid w:val="003A7F6C"/>
    <w:rsid w:val="003B0693"/>
    <w:rsid w:val="003B4D60"/>
    <w:rsid w:val="003B7CD2"/>
    <w:rsid w:val="003B7E39"/>
    <w:rsid w:val="003C017C"/>
    <w:rsid w:val="003C58DC"/>
    <w:rsid w:val="003D1E62"/>
    <w:rsid w:val="003D7A76"/>
    <w:rsid w:val="003E0B99"/>
    <w:rsid w:val="003E1E83"/>
    <w:rsid w:val="003E2486"/>
    <w:rsid w:val="003E3208"/>
    <w:rsid w:val="003F0B04"/>
    <w:rsid w:val="0040134E"/>
    <w:rsid w:val="004314DA"/>
    <w:rsid w:val="004334C7"/>
    <w:rsid w:val="00440A2D"/>
    <w:rsid w:val="00441C3F"/>
    <w:rsid w:val="00444D1A"/>
    <w:rsid w:val="0045186A"/>
    <w:rsid w:val="004564A7"/>
    <w:rsid w:val="00456765"/>
    <w:rsid w:val="00460036"/>
    <w:rsid w:val="004617BF"/>
    <w:rsid w:val="00463658"/>
    <w:rsid w:val="004637A0"/>
    <w:rsid w:val="004722CC"/>
    <w:rsid w:val="00480685"/>
    <w:rsid w:val="00490483"/>
    <w:rsid w:val="004936E4"/>
    <w:rsid w:val="00494E60"/>
    <w:rsid w:val="00495FF7"/>
    <w:rsid w:val="00497487"/>
    <w:rsid w:val="004A06F7"/>
    <w:rsid w:val="004A2771"/>
    <w:rsid w:val="004A5AF9"/>
    <w:rsid w:val="004A6189"/>
    <w:rsid w:val="004A7390"/>
    <w:rsid w:val="004A76DE"/>
    <w:rsid w:val="004B7B76"/>
    <w:rsid w:val="004C239D"/>
    <w:rsid w:val="004C2DCA"/>
    <w:rsid w:val="004C4FBE"/>
    <w:rsid w:val="004C61D2"/>
    <w:rsid w:val="004E77B4"/>
    <w:rsid w:val="004F0C4A"/>
    <w:rsid w:val="004F0F38"/>
    <w:rsid w:val="004F1378"/>
    <w:rsid w:val="004F47D6"/>
    <w:rsid w:val="00500337"/>
    <w:rsid w:val="00501921"/>
    <w:rsid w:val="0050221F"/>
    <w:rsid w:val="00505537"/>
    <w:rsid w:val="00516AAF"/>
    <w:rsid w:val="00530354"/>
    <w:rsid w:val="0053625B"/>
    <w:rsid w:val="00540B93"/>
    <w:rsid w:val="005434C6"/>
    <w:rsid w:val="00543B39"/>
    <w:rsid w:val="00546154"/>
    <w:rsid w:val="00550096"/>
    <w:rsid w:val="00555280"/>
    <w:rsid w:val="00557FF9"/>
    <w:rsid w:val="00562327"/>
    <w:rsid w:val="005711D5"/>
    <w:rsid w:val="00576378"/>
    <w:rsid w:val="00577130"/>
    <w:rsid w:val="00577945"/>
    <w:rsid w:val="00577E38"/>
    <w:rsid w:val="005845BA"/>
    <w:rsid w:val="00585322"/>
    <w:rsid w:val="005857C6"/>
    <w:rsid w:val="00592F6E"/>
    <w:rsid w:val="00593AD1"/>
    <w:rsid w:val="005960AF"/>
    <w:rsid w:val="005A68B6"/>
    <w:rsid w:val="005C5570"/>
    <w:rsid w:val="005C5B66"/>
    <w:rsid w:val="005C79A4"/>
    <w:rsid w:val="005D5442"/>
    <w:rsid w:val="00603F32"/>
    <w:rsid w:val="00605AD4"/>
    <w:rsid w:val="006136D7"/>
    <w:rsid w:val="00625A6E"/>
    <w:rsid w:val="00632398"/>
    <w:rsid w:val="00640FC3"/>
    <w:rsid w:val="00642020"/>
    <w:rsid w:val="006430EE"/>
    <w:rsid w:val="00645472"/>
    <w:rsid w:val="00651E60"/>
    <w:rsid w:val="00652F7C"/>
    <w:rsid w:val="0065337B"/>
    <w:rsid w:val="0065419D"/>
    <w:rsid w:val="00654DE0"/>
    <w:rsid w:val="006603BC"/>
    <w:rsid w:val="006604D8"/>
    <w:rsid w:val="00664A5B"/>
    <w:rsid w:val="0066735C"/>
    <w:rsid w:val="006763D2"/>
    <w:rsid w:val="00680C08"/>
    <w:rsid w:val="006863AB"/>
    <w:rsid w:val="006916A0"/>
    <w:rsid w:val="006931B1"/>
    <w:rsid w:val="00696DF5"/>
    <w:rsid w:val="006A15C0"/>
    <w:rsid w:val="006A58A8"/>
    <w:rsid w:val="006B0838"/>
    <w:rsid w:val="006C3E2A"/>
    <w:rsid w:val="006C642F"/>
    <w:rsid w:val="006D03E5"/>
    <w:rsid w:val="006D5D3E"/>
    <w:rsid w:val="006E08B3"/>
    <w:rsid w:val="006E1324"/>
    <w:rsid w:val="006E29AC"/>
    <w:rsid w:val="006F17AC"/>
    <w:rsid w:val="006F25B8"/>
    <w:rsid w:val="006F572E"/>
    <w:rsid w:val="007035BD"/>
    <w:rsid w:val="007046D6"/>
    <w:rsid w:val="00705AA4"/>
    <w:rsid w:val="00705DB0"/>
    <w:rsid w:val="00715A77"/>
    <w:rsid w:val="00722B57"/>
    <w:rsid w:val="00730F8A"/>
    <w:rsid w:val="00735A8C"/>
    <w:rsid w:val="00737DB9"/>
    <w:rsid w:val="0074253D"/>
    <w:rsid w:val="0074429B"/>
    <w:rsid w:val="007615BC"/>
    <w:rsid w:val="00762F05"/>
    <w:rsid w:val="007652FF"/>
    <w:rsid w:val="00770CAC"/>
    <w:rsid w:val="00770EF1"/>
    <w:rsid w:val="00773EF7"/>
    <w:rsid w:val="00774BDA"/>
    <w:rsid w:val="00774E1D"/>
    <w:rsid w:val="007765D8"/>
    <w:rsid w:val="0077675A"/>
    <w:rsid w:val="00780355"/>
    <w:rsid w:val="007819FD"/>
    <w:rsid w:val="00785717"/>
    <w:rsid w:val="00785721"/>
    <w:rsid w:val="00786553"/>
    <w:rsid w:val="00793A59"/>
    <w:rsid w:val="007A038A"/>
    <w:rsid w:val="007A46F5"/>
    <w:rsid w:val="007A6505"/>
    <w:rsid w:val="007B6132"/>
    <w:rsid w:val="007B6BB9"/>
    <w:rsid w:val="007B6E9F"/>
    <w:rsid w:val="007B77A8"/>
    <w:rsid w:val="007C09B3"/>
    <w:rsid w:val="007C1216"/>
    <w:rsid w:val="007C1AF7"/>
    <w:rsid w:val="007C6B9B"/>
    <w:rsid w:val="007D53B6"/>
    <w:rsid w:val="007E445A"/>
    <w:rsid w:val="007E533D"/>
    <w:rsid w:val="007E5565"/>
    <w:rsid w:val="007F652D"/>
    <w:rsid w:val="00805D27"/>
    <w:rsid w:val="00806DCB"/>
    <w:rsid w:val="00821776"/>
    <w:rsid w:val="00824B3A"/>
    <w:rsid w:val="00825FD3"/>
    <w:rsid w:val="008267DC"/>
    <w:rsid w:val="008321F5"/>
    <w:rsid w:val="00832369"/>
    <w:rsid w:val="00834660"/>
    <w:rsid w:val="008359FC"/>
    <w:rsid w:val="00836303"/>
    <w:rsid w:val="00836BC2"/>
    <w:rsid w:val="0085156D"/>
    <w:rsid w:val="00852B28"/>
    <w:rsid w:val="0085641B"/>
    <w:rsid w:val="00857136"/>
    <w:rsid w:val="00857D6D"/>
    <w:rsid w:val="008723AB"/>
    <w:rsid w:val="00875A6B"/>
    <w:rsid w:val="00885B11"/>
    <w:rsid w:val="00886D15"/>
    <w:rsid w:val="00887DD8"/>
    <w:rsid w:val="0089175A"/>
    <w:rsid w:val="00891BA9"/>
    <w:rsid w:val="00896018"/>
    <w:rsid w:val="008960DD"/>
    <w:rsid w:val="0089635C"/>
    <w:rsid w:val="008A2B9D"/>
    <w:rsid w:val="008A3D9F"/>
    <w:rsid w:val="008A5E0B"/>
    <w:rsid w:val="008A6D59"/>
    <w:rsid w:val="008B4B03"/>
    <w:rsid w:val="008B596F"/>
    <w:rsid w:val="008C159F"/>
    <w:rsid w:val="008C1623"/>
    <w:rsid w:val="008C1850"/>
    <w:rsid w:val="008C28DE"/>
    <w:rsid w:val="008C51A9"/>
    <w:rsid w:val="008C63D7"/>
    <w:rsid w:val="008D4EAF"/>
    <w:rsid w:val="008E7846"/>
    <w:rsid w:val="008F02E5"/>
    <w:rsid w:val="008F1CCC"/>
    <w:rsid w:val="008F2967"/>
    <w:rsid w:val="008F6943"/>
    <w:rsid w:val="00902A21"/>
    <w:rsid w:val="00905139"/>
    <w:rsid w:val="0091523F"/>
    <w:rsid w:val="00920330"/>
    <w:rsid w:val="009219D7"/>
    <w:rsid w:val="00922D53"/>
    <w:rsid w:val="00923B70"/>
    <w:rsid w:val="00924482"/>
    <w:rsid w:val="00930237"/>
    <w:rsid w:val="00937C17"/>
    <w:rsid w:val="00937D9D"/>
    <w:rsid w:val="00940A89"/>
    <w:rsid w:val="00941F77"/>
    <w:rsid w:val="00946EA5"/>
    <w:rsid w:val="00947A5D"/>
    <w:rsid w:val="00952FC2"/>
    <w:rsid w:val="009552DC"/>
    <w:rsid w:val="00960520"/>
    <w:rsid w:val="00962D7A"/>
    <w:rsid w:val="00962F56"/>
    <w:rsid w:val="00963C08"/>
    <w:rsid w:val="009752A5"/>
    <w:rsid w:val="00976A35"/>
    <w:rsid w:val="0098585A"/>
    <w:rsid w:val="00996FA5"/>
    <w:rsid w:val="009A4CED"/>
    <w:rsid w:val="009A690D"/>
    <w:rsid w:val="009B1D12"/>
    <w:rsid w:val="009B416B"/>
    <w:rsid w:val="009C1E0A"/>
    <w:rsid w:val="009C4BD5"/>
    <w:rsid w:val="009C7133"/>
    <w:rsid w:val="009D7B77"/>
    <w:rsid w:val="009E0BB0"/>
    <w:rsid w:val="009E3FBB"/>
    <w:rsid w:val="009F7353"/>
    <w:rsid w:val="00A04F85"/>
    <w:rsid w:val="00A05FA4"/>
    <w:rsid w:val="00A102E4"/>
    <w:rsid w:val="00A1219C"/>
    <w:rsid w:val="00A12C42"/>
    <w:rsid w:val="00A14DF7"/>
    <w:rsid w:val="00A22D57"/>
    <w:rsid w:val="00A315C5"/>
    <w:rsid w:val="00A3246D"/>
    <w:rsid w:val="00A35F73"/>
    <w:rsid w:val="00A36FA7"/>
    <w:rsid w:val="00A40E3F"/>
    <w:rsid w:val="00A44DDB"/>
    <w:rsid w:val="00A44F00"/>
    <w:rsid w:val="00A475B7"/>
    <w:rsid w:val="00A47AF7"/>
    <w:rsid w:val="00A47C3E"/>
    <w:rsid w:val="00A50226"/>
    <w:rsid w:val="00A55428"/>
    <w:rsid w:val="00A60BAD"/>
    <w:rsid w:val="00A67A77"/>
    <w:rsid w:val="00A77F87"/>
    <w:rsid w:val="00A80B5B"/>
    <w:rsid w:val="00A84E36"/>
    <w:rsid w:val="00A964D1"/>
    <w:rsid w:val="00AA0ED0"/>
    <w:rsid w:val="00AA715F"/>
    <w:rsid w:val="00AC2B40"/>
    <w:rsid w:val="00AC2BB2"/>
    <w:rsid w:val="00AC2C3C"/>
    <w:rsid w:val="00AC512D"/>
    <w:rsid w:val="00AD0083"/>
    <w:rsid w:val="00AD3935"/>
    <w:rsid w:val="00AD476E"/>
    <w:rsid w:val="00AE65EB"/>
    <w:rsid w:val="00AE67A7"/>
    <w:rsid w:val="00AF1D94"/>
    <w:rsid w:val="00AF39D6"/>
    <w:rsid w:val="00AF60C5"/>
    <w:rsid w:val="00AF667A"/>
    <w:rsid w:val="00B009C6"/>
    <w:rsid w:val="00B01548"/>
    <w:rsid w:val="00B130C5"/>
    <w:rsid w:val="00B13EBD"/>
    <w:rsid w:val="00B21D29"/>
    <w:rsid w:val="00B25034"/>
    <w:rsid w:val="00B27D57"/>
    <w:rsid w:val="00B33588"/>
    <w:rsid w:val="00B33863"/>
    <w:rsid w:val="00B37D17"/>
    <w:rsid w:val="00B4175E"/>
    <w:rsid w:val="00B41C85"/>
    <w:rsid w:val="00B452CE"/>
    <w:rsid w:val="00B52CC4"/>
    <w:rsid w:val="00B54C25"/>
    <w:rsid w:val="00B5637E"/>
    <w:rsid w:val="00B626C4"/>
    <w:rsid w:val="00B7437F"/>
    <w:rsid w:val="00B76B91"/>
    <w:rsid w:val="00B77EB1"/>
    <w:rsid w:val="00B811C6"/>
    <w:rsid w:val="00B855B0"/>
    <w:rsid w:val="00B92E08"/>
    <w:rsid w:val="00BC622A"/>
    <w:rsid w:val="00BC6F48"/>
    <w:rsid w:val="00BE0A78"/>
    <w:rsid w:val="00BE79F0"/>
    <w:rsid w:val="00BF046D"/>
    <w:rsid w:val="00BF1190"/>
    <w:rsid w:val="00BF3774"/>
    <w:rsid w:val="00BF5D04"/>
    <w:rsid w:val="00C009AA"/>
    <w:rsid w:val="00C026A2"/>
    <w:rsid w:val="00C1164D"/>
    <w:rsid w:val="00C16861"/>
    <w:rsid w:val="00C346AB"/>
    <w:rsid w:val="00C404A6"/>
    <w:rsid w:val="00C40A36"/>
    <w:rsid w:val="00C44419"/>
    <w:rsid w:val="00C45E7B"/>
    <w:rsid w:val="00C471B1"/>
    <w:rsid w:val="00C525A2"/>
    <w:rsid w:val="00C52E24"/>
    <w:rsid w:val="00C6316B"/>
    <w:rsid w:val="00C634A9"/>
    <w:rsid w:val="00C64586"/>
    <w:rsid w:val="00C70A36"/>
    <w:rsid w:val="00C70D53"/>
    <w:rsid w:val="00C73D0B"/>
    <w:rsid w:val="00C74F5C"/>
    <w:rsid w:val="00C750B6"/>
    <w:rsid w:val="00C772FF"/>
    <w:rsid w:val="00C80137"/>
    <w:rsid w:val="00C801AF"/>
    <w:rsid w:val="00C80256"/>
    <w:rsid w:val="00C8605C"/>
    <w:rsid w:val="00C94CD4"/>
    <w:rsid w:val="00C9747E"/>
    <w:rsid w:val="00CB4CA0"/>
    <w:rsid w:val="00CB6BC0"/>
    <w:rsid w:val="00CC0673"/>
    <w:rsid w:val="00CC1B7C"/>
    <w:rsid w:val="00CC727F"/>
    <w:rsid w:val="00CC779D"/>
    <w:rsid w:val="00CD2225"/>
    <w:rsid w:val="00CF15C3"/>
    <w:rsid w:val="00CF2B6F"/>
    <w:rsid w:val="00CF2F3E"/>
    <w:rsid w:val="00CF58B6"/>
    <w:rsid w:val="00CF5DAD"/>
    <w:rsid w:val="00D0062D"/>
    <w:rsid w:val="00D017ED"/>
    <w:rsid w:val="00D040D3"/>
    <w:rsid w:val="00D04C65"/>
    <w:rsid w:val="00D153D8"/>
    <w:rsid w:val="00D201D2"/>
    <w:rsid w:val="00D224FE"/>
    <w:rsid w:val="00D23139"/>
    <w:rsid w:val="00D331CA"/>
    <w:rsid w:val="00D425BB"/>
    <w:rsid w:val="00D453FA"/>
    <w:rsid w:val="00D578F0"/>
    <w:rsid w:val="00D6493E"/>
    <w:rsid w:val="00D7195D"/>
    <w:rsid w:val="00D72B2C"/>
    <w:rsid w:val="00D7301E"/>
    <w:rsid w:val="00D83AE1"/>
    <w:rsid w:val="00D855D4"/>
    <w:rsid w:val="00D902C9"/>
    <w:rsid w:val="00D93466"/>
    <w:rsid w:val="00DA1124"/>
    <w:rsid w:val="00DA64CB"/>
    <w:rsid w:val="00DB06B8"/>
    <w:rsid w:val="00DB1F32"/>
    <w:rsid w:val="00DB6124"/>
    <w:rsid w:val="00DB750B"/>
    <w:rsid w:val="00DB75B7"/>
    <w:rsid w:val="00DC0A2F"/>
    <w:rsid w:val="00DC1948"/>
    <w:rsid w:val="00DC6E02"/>
    <w:rsid w:val="00DC766F"/>
    <w:rsid w:val="00DD28CD"/>
    <w:rsid w:val="00DE02AE"/>
    <w:rsid w:val="00DE2CF4"/>
    <w:rsid w:val="00DE39D1"/>
    <w:rsid w:val="00DF1D7F"/>
    <w:rsid w:val="00DF226E"/>
    <w:rsid w:val="00DF4BE4"/>
    <w:rsid w:val="00DF52F2"/>
    <w:rsid w:val="00E02382"/>
    <w:rsid w:val="00E02FB4"/>
    <w:rsid w:val="00E05121"/>
    <w:rsid w:val="00E05299"/>
    <w:rsid w:val="00E13FC7"/>
    <w:rsid w:val="00E20571"/>
    <w:rsid w:val="00E235F7"/>
    <w:rsid w:val="00E23659"/>
    <w:rsid w:val="00E239D4"/>
    <w:rsid w:val="00E26130"/>
    <w:rsid w:val="00E32223"/>
    <w:rsid w:val="00E40B22"/>
    <w:rsid w:val="00E44ED1"/>
    <w:rsid w:val="00E45619"/>
    <w:rsid w:val="00E4588F"/>
    <w:rsid w:val="00E46DA3"/>
    <w:rsid w:val="00E51BB1"/>
    <w:rsid w:val="00E55CB0"/>
    <w:rsid w:val="00E624A5"/>
    <w:rsid w:val="00E64BA4"/>
    <w:rsid w:val="00E72289"/>
    <w:rsid w:val="00E7344E"/>
    <w:rsid w:val="00E82665"/>
    <w:rsid w:val="00E83511"/>
    <w:rsid w:val="00EA3D6F"/>
    <w:rsid w:val="00EB0798"/>
    <w:rsid w:val="00EB40AD"/>
    <w:rsid w:val="00EB5172"/>
    <w:rsid w:val="00EB586E"/>
    <w:rsid w:val="00EB5FC8"/>
    <w:rsid w:val="00EC463D"/>
    <w:rsid w:val="00EC7A85"/>
    <w:rsid w:val="00ED2922"/>
    <w:rsid w:val="00ED2D65"/>
    <w:rsid w:val="00ED3CAD"/>
    <w:rsid w:val="00ED5A41"/>
    <w:rsid w:val="00ED6F20"/>
    <w:rsid w:val="00EE183F"/>
    <w:rsid w:val="00EE1DE8"/>
    <w:rsid w:val="00EE27C2"/>
    <w:rsid w:val="00EF184E"/>
    <w:rsid w:val="00EF4BAD"/>
    <w:rsid w:val="00EF59DC"/>
    <w:rsid w:val="00F033EC"/>
    <w:rsid w:val="00F04F68"/>
    <w:rsid w:val="00F0570C"/>
    <w:rsid w:val="00F12670"/>
    <w:rsid w:val="00F13BDC"/>
    <w:rsid w:val="00F14B27"/>
    <w:rsid w:val="00F167FE"/>
    <w:rsid w:val="00F20740"/>
    <w:rsid w:val="00F30284"/>
    <w:rsid w:val="00F3148D"/>
    <w:rsid w:val="00F325C5"/>
    <w:rsid w:val="00F32FE0"/>
    <w:rsid w:val="00F35298"/>
    <w:rsid w:val="00F40C3E"/>
    <w:rsid w:val="00F471A0"/>
    <w:rsid w:val="00F47333"/>
    <w:rsid w:val="00F47E37"/>
    <w:rsid w:val="00F53C07"/>
    <w:rsid w:val="00F54B65"/>
    <w:rsid w:val="00F6251A"/>
    <w:rsid w:val="00F640B6"/>
    <w:rsid w:val="00F66DF2"/>
    <w:rsid w:val="00F675B9"/>
    <w:rsid w:val="00F72F4C"/>
    <w:rsid w:val="00F80E40"/>
    <w:rsid w:val="00F848D9"/>
    <w:rsid w:val="00FA5069"/>
    <w:rsid w:val="00FA5B82"/>
    <w:rsid w:val="00FA639E"/>
    <w:rsid w:val="00FB3DAD"/>
    <w:rsid w:val="00FC1FCA"/>
    <w:rsid w:val="00FC25E4"/>
    <w:rsid w:val="00FC447E"/>
    <w:rsid w:val="00FC4EF7"/>
    <w:rsid w:val="00FD0824"/>
    <w:rsid w:val="00FD119B"/>
    <w:rsid w:val="00FD1EDC"/>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8A8A4A1"/>
  <w15:docId w15:val="{721B39D3-7860-4BC8-A4E4-33FB37D89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1">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540B93"/>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C74F5C"/>
    <w:pPr>
      <w:spacing w:after="480" w:line="240" w:lineRule="auto"/>
      <w:contextualSpacing/>
      <w:outlineLvl w:val="0"/>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C74F5C"/>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3335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line="240" w:lineRule="auto"/>
      <w:ind w:left="720"/>
    </w:pPr>
    <w:rPr>
      <w:rFonts w:eastAsia="Times New Roman"/>
      <w:kern w:val="16"/>
      <w:szCs w:val="24"/>
      <w:lang w:eastAsia="en-AU"/>
    </w:rPr>
  </w:style>
  <w:style w:type="paragraph" w:customStyle="1" w:styleId="BOLD">
    <w:name w:val="BOLD"/>
    <w:basedOn w:val="Normal"/>
    <w:link w:val="BOLDChar"/>
    <w:qFormat/>
    <w:rsid w:val="00F675B9"/>
    <w:pPr>
      <w:spacing w:before="0" w:after="0" w:line="240" w:lineRule="auto"/>
    </w:pPr>
    <w:rPr>
      <w:b/>
    </w:rPr>
  </w:style>
  <w:style w:type="character" w:customStyle="1" w:styleId="BOLDChar">
    <w:name w:val="BOLD Char"/>
    <w:basedOn w:val="DefaultParagraphFont"/>
    <w:link w:val="BOLD"/>
    <w:rsid w:val="00F675B9"/>
    <w:rPr>
      <w:rFonts w:ascii="Cambria" w:eastAsia="Cambria" w:hAnsi="Cambria" w:cs="Times New Roman"/>
      <w:b/>
    </w:rPr>
  </w:style>
  <w:style w:type="paragraph" w:customStyle="1" w:styleId="Bulletlist">
    <w:name w:val="Bullet list"/>
    <w:basedOn w:val="Normal"/>
    <w:link w:val="BulletlistChar"/>
    <w:qFormat/>
    <w:rsid w:val="00F675B9"/>
    <w:pPr>
      <w:numPr>
        <w:numId w:val="34"/>
      </w:numPr>
      <w:spacing w:before="0" w:after="180" w:line="252" w:lineRule="auto"/>
      <w:ind w:left="426" w:hanging="284"/>
    </w:pPr>
    <w:rPr>
      <w:rFonts w:eastAsia="Times New Roman"/>
      <w:snapToGrid w:val="0"/>
      <w:kern w:val="2"/>
      <w:sz w:val="23"/>
    </w:rPr>
  </w:style>
  <w:style w:type="character" w:customStyle="1" w:styleId="BulletlistChar">
    <w:name w:val="Bullet list Char"/>
    <w:basedOn w:val="DefaultParagraphFont"/>
    <w:link w:val="Bulletlist"/>
    <w:rsid w:val="00F675B9"/>
    <w:rPr>
      <w:rFonts w:ascii="Cambria" w:eastAsia="Times New Roman" w:hAnsi="Cambria" w:cs="Times New Roman"/>
      <w:snapToGrid w:val="0"/>
      <w:kern w:val="2"/>
      <w:sz w:val="23"/>
    </w:rPr>
  </w:style>
  <w:style w:type="character" w:customStyle="1" w:styleId="TabletextChar">
    <w:name w:val="Table text Char"/>
    <w:basedOn w:val="DefaultParagraphFont"/>
    <w:link w:val="Tabletext"/>
    <w:rsid w:val="00F675B9"/>
    <w:rPr>
      <w:rFonts w:ascii="Cambria" w:eastAsia="Cambria" w:hAnsi="Cambria" w:cs="Times New Roman"/>
      <w:sz w:val="19"/>
    </w:rPr>
  </w:style>
  <w:style w:type="paragraph" w:customStyle="1" w:styleId="Default">
    <w:name w:val="Default"/>
    <w:rsid w:val="004A76DE"/>
    <w:pPr>
      <w:autoSpaceDE w:val="0"/>
      <w:autoSpaceDN w:val="0"/>
      <w:adjustRightInd w:val="0"/>
      <w:spacing w:after="0" w:line="240" w:lineRule="auto"/>
    </w:pPr>
    <w:rPr>
      <w:rFonts w:ascii="Times New Roman" w:hAnsi="Times New Roman" w:cs="Times New Roman"/>
      <w:color w:val="000000"/>
      <w:sz w:val="24"/>
      <w:szCs w:val="24"/>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088596">
      <w:bodyDiv w:val="1"/>
      <w:marLeft w:val="0"/>
      <w:marRight w:val="0"/>
      <w:marTop w:val="0"/>
      <w:marBottom w:val="0"/>
      <w:divBdr>
        <w:top w:val="none" w:sz="0" w:space="0" w:color="auto"/>
        <w:left w:val="none" w:sz="0" w:space="0" w:color="auto"/>
        <w:bottom w:val="none" w:sz="0" w:space="0" w:color="auto"/>
        <w:right w:val="none" w:sz="0" w:space="0" w:color="auto"/>
      </w:divBdr>
    </w:div>
    <w:div w:id="516505081">
      <w:bodyDiv w:val="1"/>
      <w:marLeft w:val="0"/>
      <w:marRight w:val="0"/>
      <w:marTop w:val="0"/>
      <w:marBottom w:val="0"/>
      <w:divBdr>
        <w:top w:val="none" w:sz="0" w:space="0" w:color="auto"/>
        <w:left w:val="none" w:sz="0" w:space="0" w:color="auto"/>
        <w:bottom w:val="none" w:sz="0" w:space="0" w:color="auto"/>
        <w:right w:val="none" w:sz="0" w:space="0" w:color="auto"/>
      </w:divBdr>
    </w:div>
    <w:div w:id="1443502108">
      <w:bodyDiv w:val="1"/>
      <w:marLeft w:val="0"/>
      <w:marRight w:val="0"/>
      <w:marTop w:val="0"/>
      <w:marBottom w:val="0"/>
      <w:divBdr>
        <w:top w:val="none" w:sz="0" w:space="0" w:color="auto"/>
        <w:left w:val="none" w:sz="0" w:space="0" w:color="auto"/>
        <w:bottom w:val="none" w:sz="0" w:space="0" w:color="auto"/>
        <w:right w:val="none" w:sz="0" w:space="0" w:color="auto"/>
      </w:divBdr>
    </w:div>
    <w:div w:id="1537428109">
      <w:bodyDiv w:val="1"/>
      <w:marLeft w:val="0"/>
      <w:marRight w:val="0"/>
      <w:marTop w:val="0"/>
      <w:marBottom w:val="0"/>
      <w:divBdr>
        <w:top w:val="none" w:sz="0" w:space="0" w:color="auto"/>
        <w:left w:val="none" w:sz="0" w:space="0" w:color="auto"/>
        <w:bottom w:val="none" w:sz="0" w:space="0" w:color="auto"/>
        <w:right w:val="none" w:sz="0" w:space="0" w:color="auto"/>
      </w:divBdr>
    </w:div>
    <w:div w:id="1749378776">
      <w:bodyDiv w:val="1"/>
      <w:marLeft w:val="0"/>
      <w:marRight w:val="0"/>
      <w:marTop w:val="0"/>
      <w:marBottom w:val="0"/>
      <w:divBdr>
        <w:top w:val="none" w:sz="0" w:space="0" w:color="auto"/>
        <w:left w:val="none" w:sz="0" w:space="0" w:color="auto"/>
        <w:bottom w:val="none" w:sz="0" w:space="0" w:color="auto"/>
        <w:right w:val="none" w:sz="0" w:space="0" w:color="auto"/>
      </w:divBdr>
      <w:divsChild>
        <w:div w:id="13408936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tga.gov.au" TargetMode="External"/><Relationship Id="rId13" Type="http://schemas.openxmlformats.org/officeDocument/2006/relationships/footer" Target="footer2.xml"/><Relationship Id="rId18" Type="http://schemas.openxmlformats.org/officeDocument/2006/relationships/image" Target="media/image3.emf"/><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tga.gov.au/product-information-pi" TargetMode="External"/><Relationship Id="rId25" Type="http://schemas.openxmlformats.org/officeDocument/2006/relationships/header" Target="header4.xml"/><Relationship Id="rId33" Type="http://schemas.openxmlformats.org/officeDocument/2006/relationships/footer" Target="footer5.xml"/><Relationship Id="rId38"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5.png"/><Relationship Id="rId29" Type="http://schemas.openxmlformats.org/officeDocument/2006/relationships/hyperlink" Target="mailto:info@tga.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ww.tga.gov.au/product-information-pi" TargetMode="External"/><Relationship Id="rId32" Type="http://schemas.openxmlformats.org/officeDocument/2006/relationships/header" Target="header8.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footer" Target="footer4.xm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header" Target="header6.xml"/><Relationship Id="rId30" Type="http://schemas.openxmlformats.org/officeDocument/2006/relationships/hyperlink" Target="https://www.tga.gov.au" TargetMode="External"/><Relationship Id="rId35" Type="http://schemas.openxmlformats.org/officeDocument/2006/relationships/footer" Target="footer6.xml"/></Relationships>
</file>

<file path=word/_rels/header3.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YYIN\AppData\Local\Hewlett-Packard\HP%20TRIM\TEMP\HPTRIM.968\D19-5975236%20%20AusPAR%20-%20template%20-%20streamlined.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EC621F-207E-4E9E-B399-F0A4B9239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D19-5975236  AusPAR - template - streamlined.DOTX</Template>
  <TotalTime>8</TotalTime>
  <Pages>31</Pages>
  <Words>8881</Words>
  <Characters>51427</Characters>
  <Application>Microsoft Office Word</Application>
  <DocSecurity>0</DocSecurity>
  <Lines>1224</Lines>
  <Paragraphs>655</Paragraphs>
  <ScaleCrop>false</ScaleCrop>
  <HeadingPairs>
    <vt:vector size="2" baseType="variant">
      <vt:variant>
        <vt:lpstr>Title</vt:lpstr>
      </vt:variant>
      <vt:variant>
        <vt:i4>1</vt:i4>
      </vt:variant>
    </vt:vector>
  </HeadingPairs>
  <TitlesOfParts>
    <vt:vector size="1" baseType="lpstr">
      <vt:lpstr>Australian public assessment report for Opicapone</vt:lpstr>
    </vt:vector>
  </TitlesOfParts>
  <Company>Department of Health Therapeutic Goods Administration</Company>
  <LinksUpToDate>false</LinksUpToDate>
  <CharactersWithSpaces>59653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Opicapone</dc:title>
  <dc:subject>prescription medicines</dc:subject>
  <dc:creator>Therapeutic Goods Administration</dc:creator>
  <cp:keywords/>
  <cp:lastPrinted>2019-08-14T04:30:00Z</cp:lastPrinted>
  <dcterms:created xsi:type="dcterms:W3CDTF">2021-02-22T04:38:00Z</dcterms:created>
  <dcterms:modified xsi:type="dcterms:W3CDTF">2021-02-22T04:47:00Z</dcterms:modified>
  <cp:category/>
</cp:coreProperties>
</file>