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06A2B" w14:textId="062D577C" w:rsidR="002546A3" w:rsidRDefault="00676519" w:rsidP="00A457B2">
      <w:pPr>
        <w:spacing w:before="600"/>
      </w:pPr>
      <w:r>
        <w:rPr>
          <w:noProof/>
          <w:sz w:val="56"/>
          <w:szCs w:val="56"/>
        </w:rPr>
        <w:t xml:space="preserve"> </w:t>
      </w:r>
      <w:r w:rsidR="00506A32" w:rsidRPr="00506A32">
        <w:rPr>
          <w:noProof/>
          <w:sz w:val="56"/>
          <w:szCs w:val="56"/>
        </w:rPr>
        <w:t>▼</w:t>
      </w:r>
      <w:r w:rsidR="006B21E9" w:rsidRPr="00332E9D">
        <w:t>This medicinal product is subject to additional monitoring</w:t>
      </w:r>
      <w:r w:rsidR="00B47785">
        <w:t xml:space="preserve"> in Australia</w:t>
      </w:r>
      <w:r w:rsidR="006B21E9" w:rsidRPr="00332E9D">
        <w:t>. This will allow quick identification of new safety information. Healthcare professionals are asked to report any suspected adverse reactions</w:t>
      </w:r>
      <w:r w:rsidR="00B47785">
        <w:t xml:space="preserve"> at </w:t>
      </w:r>
      <w:hyperlink r:id="rId12" w:history="1">
        <w:r w:rsidR="00D54E59" w:rsidRPr="00453ED9">
          <w:rPr>
            <w:rStyle w:val="Hyperlink"/>
          </w:rPr>
          <w:t>https://www.tga.gov.au/reporting-problems</w:t>
        </w:r>
      </w:hyperlink>
      <w:r w:rsidR="00B47785" w:rsidRPr="00B47785">
        <w:t>.</w:t>
      </w:r>
    </w:p>
    <w:p w14:paraId="05FF6C85" w14:textId="77777777" w:rsidR="00506A32" w:rsidRDefault="00506A32" w:rsidP="00A457B2">
      <w:pPr>
        <w:spacing w:before="100" w:beforeAutospacing="1"/>
      </w:pPr>
    </w:p>
    <w:p w14:paraId="09EAC5EF" w14:textId="77777777" w:rsidR="00B47785" w:rsidRDefault="00B47785" w:rsidP="00A457B2">
      <w:pPr>
        <w:pStyle w:val="Heading1"/>
        <w:numPr>
          <w:ilvl w:val="0"/>
          <w:numId w:val="0"/>
        </w:numPr>
      </w:pPr>
      <w:r w:rsidRPr="00B47785">
        <w:t xml:space="preserve">AUSTRALIAN PRODUCT INFORMATION – ONGENTYS (OPICAPONE) </w:t>
      </w:r>
      <w:r>
        <w:t xml:space="preserve">HARD </w:t>
      </w:r>
      <w:r w:rsidRPr="00B47785">
        <w:t>CAPSULES</w:t>
      </w:r>
    </w:p>
    <w:p w14:paraId="6B73FB72" w14:textId="0E7CE226" w:rsidR="006B21E9" w:rsidRPr="007F7205" w:rsidRDefault="006B21E9" w:rsidP="00A457B2">
      <w:pPr>
        <w:pStyle w:val="Heading1"/>
        <w:rPr>
          <w:szCs w:val="28"/>
        </w:rPr>
      </w:pPr>
      <w:r w:rsidRPr="002546A3">
        <w:t>N</w:t>
      </w:r>
      <w:r w:rsidRPr="007F7205">
        <w:t>AME OF THE MEDICIN</w:t>
      </w:r>
      <w:r w:rsidR="00F35EEB" w:rsidRPr="007B4D22">
        <w:t>E</w:t>
      </w:r>
      <w:r w:rsidRPr="007F7205">
        <w:rPr>
          <w:szCs w:val="28"/>
        </w:rPr>
        <w:t xml:space="preserve"> </w:t>
      </w:r>
    </w:p>
    <w:p w14:paraId="5B82479D" w14:textId="77777777" w:rsidR="006B21E9" w:rsidRPr="00332E9D" w:rsidRDefault="006B21E9" w:rsidP="00A457B2">
      <w:pPr>
        <w:rPr>
          <w:iCs/>
          <w:szCs w:val="22"/>
        </w:rPr>
      </w:pPr>
    </w:p>
    <w:p w14:paraId="30022DF9" w14:textId="3DB74607" w:rsidR="006B21E9" w:rsidRPr="0023450C" w:rsidRDefault="00F35EEB" w:rsidP="00A457B2">
      <w:pPr>
        <w:widowControl w:val="0"/>
        <w:rPr>
          <w:szCs w:val="24"/>
        </w:rPr>
      </w:pPr>
      <w:r w:rsidRPr="0023450C">
        <w:rPr>
          <w:szCs w:val="24"/>
        </w:rPr>
        <w:t>Opicapone</w:t>
      </w:r>
    </w:p>
    <w:p w14:paraId="7E77DCA6" w14:textId="52025604" w:rsidR="006B21E9" w:rsidRPr="007F7205" w:rsidRDefault="006B21E9" w:rsidP="00A457B2">
      <w:pPr>
        <w:pStyle w:val="Heading1"/>
      </w:pPr>
      <w:r w:rsidRPr="007F7205">
        <w:t>QUALITATIVE AND QUANTITATIVE COMPOSITION</w:t>
      </w:r>
    </w:p>
    <w:p w14:paraId="5758CEE7" w14:textId="77777777" w:rsidR="006B21E9" w:rsidRPr="00332E9D" w:rsidRDefault="006B21E9" w:rsidP="00A457B2">
      <w:pPr>
        <w:rPr>
          <w:iCs/>
          <w:szCs w:val="22"/>
        </w:rPr>
      </w:pPr>
    </w:p>
    <w:p w14:paraId="050664D7" w14:textId="4544C4F9" w:rsidR="006B21E9" w:rsidRPr="0023450C" w:rsidRDefault="006B21E9" w:rsidP="00A457B2">
      <w:pPr>
        <w:rPr>
          <w:szCs w:val="24"/>
        </w:rPr>
      </w:pPr>
      <w:r w:rsidRPr="0023450C">
        <w:rPr>
          <w:szCs w:val="24"/>
        </w:rPr>
        <w:t>Each hard capsule contains 50 mg of opicapone</w:t>
      </w:r>
      <w:r w:rsidR="00201A02">
        <w:rPr>
          <w:szCs w:val="24"/>
        </w:rPr>
        <w:t xml:space="preserve"> as active substance</w:t>
      </w:r>
      <w:r w:rsidRPr="0023450C">
        <w:rPr>
          <w:szCs w:val="24"/>
        </w:rPr>
        <w:t>.</w:t>
      </w:r>
    </w:p>
    <w:p w14:paraId="61573550" w14:textId="77777777" w:rsidR="006B21E9" w:rsidRPr="0023450C" w:rsidRDefault="006B21E9" w:rsidP="00A457B2">
      <w:pPr>
        <w:rPr>
          <w:szCs w:val="24"/>
        </w:rPr>
      </w:pPr>
    </w:p>
    <w:p w14:paraId="69A53A84" w14:textId="2EEBB842" w:rsidR="006B21E9" w:rsidRPr="0023450C" w:rsidRDefault="006B21E9" w:rsidP="00A457B2">
      <w:pPr>
        <w:rPr>
          <w:szCs w:val="24"/>
        </w:rPr>
      </w:pPr>
      <w:r w:rsidRPr="0023450C">
        <w:rPr>
          <w:szCs w:val="24"/>
          <w:u w:val="single"/>
        </w:rPr>
        <w:t xml:space="preserve">Excipients </w:t>
      </w:r>
      <w:r w:rsidR="00201A02" w:rsidRPr="0023450C">
        <w:rPr>
          <w:szCs w:val="24"/>
          <w:u w:val="single"/>
        </w:rPr>
        <w:t>with known effect</w:t>
      </w:r>
    </w:p>
    <w:p w14:paraId="5C30E8CA" w14:textId="6E19C780" w:rsidR="006B21E9" w:rsidRDefault="006B21E9" w:rsidP="00A457B2">
      <w:pPr>
        <w:rPr>
          <w:szCs w:val="24"/>
        </w:rPr>
      </w:pPr>
    </w:p>
    <w:p w14:paraId="771142A7" w14:textId="7925B0B9" w:rsidR="00201A02" w:rsidRPr="0023450C" w:rsidRDefault="00201A02" w:rsidP="00A457B2">
      <w:r>
        <w:t xml:space="preserve">Each hard capsule contains </w:t>
      </w:r>
      <w:r w:rsidRPr="117A356B">
        <w:rPr>
          <w:noProof/>
        </w:rPr>
        <w:t xml:space="preserve">156 mg </w:t>
      </w:r>
      <w:r>
        <w:t>of lactose monohydrat</w:t>
      </w:r>
      <w:r w:rsidRPr="00655681">
        <w:t>e</w:t>
      </w:r>
      <w:r>
        <w:t xml:space="preserve"> and </w:t>
      </w:r>
      <w:r w:rsidR="00D04341">
        <w:t xml:space="preserve">approximately </w:t>
      </w:r>
      <w:r w:rsidR="00007852">
        <w:t>76</w:t>
      </w:r>
      <w:r>
        <w:t xml:space="preserve"> mg </w:t>
      </w:r>
      <w:r w:rsidR="00D04341">
        <w:t xml:space="preserve">of </w:t>
      </w:r>
      <w:r>
        <w:t>gelatin</w:t>
      </w:r>
      <w:r w:rsidR="00CE5EDE">
        <w:t>e</w:t>
      </w:r>
      <w:r w:rsidR="001A2D55">
        <w:t xml:space="preserve"> which contain</w:t>
      </w:r>
      <w:r w:rsidR="00D04341">
        <w:t>s</w:t>
      </w:r>
      <w:r w:rsidR="001A2D55">
        <w:t xml:space="preserve"> </w:t>
      </w:r>
      <w:proofErr w:type="spellStart"/>
      <w:r w:rsidR="00D04341">
        <w:t>sulfites</w:t>
      </w:r>
      <w:proofErr w:type="spellEnd"/>
      <w:r w:rsidR="00D04341">
        <w:t xml:space="preserve"> as a residue</w:t>
      </w:r>
      <w:r>
        <w:t xml:space="preserve">. </w:t>
      </w:r>
    </w:p>
    <w:p w14:paraId="191BC3D4" w14:textId="439E2FC1" w:rsidR="00D04341" w:rsidRPr="0023450C" w:rsidRDefault="00D04341" w:rsidP="00A457B2">
      <w:pPr>
        <w:rPr>
          <w:szCs w:val="24"/>
        </w:rPr>
      </w:pPr>
    </w:p>
    <w:p w14:paraId="5B5F86C2" w14:textId="77777777" w:rsidR="006B21E9" w:rsidRPr="00332E9D" w:rsidRDefault="006B21E9" w:rsidP="00A457B2">
      <w:r w:rsidRPr="0023450C">
        <w:rPr>
          <w:szCs w:val="24"/>
        </w:rPr>
        <w:t>For the full list of excipients, see section 6.1</w:t>
      </w:r>
      <w:r w:rsidR="003614D8" w:rsidRPr="0023450C">
        <w:rPr>
          <w:szCs w:val="24"/>
        </w:rPr>
        <w:t xml:space="preserve"> List of excipients</w:t>
      </w:r>
      <w:r w:rsidRPr="00BC7E99">
        <w:t>.</w:t>
      </w:r>
    </w:p>
    <w:p w14:paraId="5A65BB7E" w14:textId="35A558D1" w:rsidR="006B21E9" w:rsidRPr="007F7205" w:rsidRDefault="006B21E9" w:rsidP="00A457B2">
      <w:pPr>
        <w:pStyle w:val="Heading1"/>
        <w:rPr>
          <w:szCs w:val="28"/>
        </w:rPr>
      </w:pPr>
      <w:r w:rsidRPr="007F7205">
        <w:t xml:space="preserve">PHARMACEUTICAL </w:t>
      </w:r>
      <w:r w:rsidRPr="006138FD">
        <w:t>FORM</w:t>
      </w:r>
    </w:p>
    <w:p w14:paraId="0BD6B867" w14:textId="77777777" w:rsidR="006B21E9" w:rsidRPr="00332E9D" w:rsidRDefault="006B21E9" w:rsidP="00A457B2">
      <w:pPr>
        <w:rPr>
          <w:szCs w:val="22"/>
        </w:rPr>
      </w:pPr>
    </w:p>
    <w:p w14:paraId="7D615BCB" w14:textId="46F8E67A" w:rsidR="00664E04" w:rsidRPr="0023450C" w:rsidRDefault="00024E34" w:rsidP="00A457B2">
      <w:pPr>
        <w:rPr>
          <w:szCs w:val="24"/>
        </w:rPr>
      </w:pPr>
      <w:r>
        <w:rPr>
          <w:szCs w:val="24"/>
        </w:rPr>
        <w:t>H</w:t>
      </w:r>
      <w:r w:rsidR="00664E04">
        <w:rPr>
          <w:szCs w:val="24"/>
        </w:rPr>
        <w:t>ard capsules: d</w:t>
      </w:r>
      <w:r w:rsidR="00664E04" w:rsidRPr="0023450C">
        <w:rPr>
          <w:szCs w:val="24"/>
        </w:rPr>
        <w:t>ark blue capsules, size 1</w:t>
      </w:r>
      <w:r w:rsidR="00664E04">
        <w:rPr>
          <w:szCs w:val="24"/>
        </w:rPr>
        <w:t xml:space="preserve"> (</w:t>
      </w:r>
      <w:r w:rsidR="00664E04" w:rsidRPr="0023450C">
        <w:rPr>
          <w:szCs w:val="24"/>
        </w:rPr>
        <w:t>approximately 19 mm</w:t>
      </w:r>
      <w:r w:rsidR="00664E04">
        <w:rPr>
          <w:szCs w:val="24"/>
        </w:rPr>
        <w:t>)</w:t>
      </w:r>
      <w:r w:rsidR="00664E04" w:rsidRPr="0023450C">
        <w:rPr>
          <w:szCs w:val="24"/>
        </w:rPr>
        <w:t xml:space="preserve"> imprinted “OPC 50” </w:t>
      </w:r>
      <w:r w:rsidR="00664E04" w:rsidRPr="0023450C">
        <w:rPr>
          <w:noProof/>
          <w:szCs w:val="24"/>
        </w:rPr>
        <w:t>on the cap and “Bial” on the body.</w:t>
      </w:r>
    </w:p>
    <w:p w14:paraId="77F6E922" w14:textId="77777777" w:rsidR="002546A3" w:rsidRPr="007F7205" w:rsidRDefault="004911DB" w:rsidP="00A457B2">
      <w:pPr>
        <w:pStyle w:val="Heading1"/>
      </w:pPr>
      <w:r>
        <w:t>CLINICAL PARTICULARS</w:t>
      </w:r>
    </w:p>
    <w:p w14:paraId="70B6D2E2" w14:textId="5CA4D374" w:rsidR="006B21E9" w:rsidRPr="00EE5A36" w:rsidRDefault="006A2DB2" w:rsidP="00A457B2">
      <w:pPr>
        <w:pStyle w:val="Heading2"/>
      </w:pPr>
      <w:r w:rsidRPr="00BC7E99">
        <w:t>THERAPEUTIC INDICATIONS</w:t>
      </w:r>
    </w:p>
    <w:p w14:paraId="30C5253C" w14:textId="77777777" w:rsidR="006B21E9" w:rsidRPr="00332E9D" w:rsidRDefault="006B21E9" w:rsidP="00A457B2">
      <w:pPr>
        <w:rPr>
          <w:szCs w:val="22"/>
        </w:rPr>
      </w:pPr>
    </w:p>
    <w:p w14:paraId="16322F76" w14:textId="77777777" w:rsidR="006B21E9" w:rsidRPr="0023450C" w:rsidRDefault="006C4170" w:rsidP="00A457B2">
      <w:pPr>
        <w:rPr>
          <w:szCs w:val="24"/>
        </w:rPr>
      </w:pPr>
      <w:r w:rsidRPr="0023450C">
        <w:rPr>
          <w:szCs w:val="24"/>
        </w:rPr>
        <w:t>ONGENTYS</w:t>
      </w:r>
      <w:r w:rsidR="006B21E9" w:rsidRPr="0023450C">
        <w:rPr>
          <w:szCs w:val="24"/>
        </w:rPr>
        <w:t xml:space="preserve"> is indicated as adjunctive therapy to preparations of levodopa/ DOPA decarboxylase inhibitors (DDCI) in adult patients with Parkinson’s disease and end-of-dose motor fluctuations who cannot be stabilised on those combinations. </w:t>
      </w:r>
    </w:p>
    <w:p w14:paraId="0721F098" w14:textId="328A3A7C" w:rsidR="006B21E9" w:rsidRPr="00BC7E99" w:rsidRDefault="006A2DB2" w:rsidP="00A457B2">
      <w:pPr>
        <w:pStyle w:val="Heading2"/>
      </w:pPr>
      <w:bookmarkStart w:id="0" w:name="_Hlk10811106"/>
      <w:r w:rsidRPr="00BC7E99">
        <w:t>DOSE AND METHOD OF ADMINISTRATION</w:t>
      </w:r>
    </w:p>
    <w:p w14:paraId="756084C9" w14:textId="203082AF" w:rsidR="006B21E9" w:rsidRPr="007B4D22" w:rsidRDefault="001E338E" w:rsidP="00A457B2">
      <w:pPr>
        <w:pStyle w:val="Heading3"/>
      </w:pPr>
      <w:r w:rsidRPr="00B47785">
        <w:t>Dosage</w:t>
      </w:r>
    </w:p>
    <w:p w14:paraId="12D31759" w14:textId="77777777" w:rsidR="006B21E9" w:rsidRPr="00332E9D" w:rsidRDefault="006B21E9" w:rsidP="00A457B2">
      <w:pPr>
        <w:rPr>
          <w:szCs w:val="22"/>
        </w:rPr>
      </w:pPr>
    </w:p>
    <w:p w14:paraId="47335C6A" w14:textId="46CDF8D5" w:rsidR="006B21E9" w:rsidRDefault="006B21E9" w:rsidP="00A457B2">
      <w:pPr>
        <w:rPr>
          <w:szCs w:val="24"/>
        </w:rPr>
      </w:pPr>
      <w:r w:rsidRPr="0023450C">
        <w:rPr>
          <w:szCs w:val="24"/>
        </w:rPr>
        <w:t xml:space="preserve">The recommended dose of opicapone is 50 mg. </w:t>
      </w:r>
    </w:p>
    <w:p w14:paraId="66CFF0EC" w14:textId="77777777" w:rsidR="00201A02" w:rsidRPr="0023450C" w:rsidRDefault="00201A02" w:rsidP="00A457B2">
      <w:pPr>
        <w:rPr>
          <w:szCs w:val="24"/>
        </w:rPr>
      </w:pPr>
    </w:p>
    <w:p w14:paraId="186D395C" w14:textId="55AEAAB0" w:rsidR="006B21E9" w:rsidRPr="00332E9D" w:rsidRDefault="006C4170" w:rsidP="00A457B2">
      <w:pPr>
        <w:rPr>
          <w:szCs w:val="22"/>
        </w:rPr>
      </w:pPr>
      <w:r w:rsidRPr="0023450C">
        <w:rPr>
          <w:szCs w:val="24"/>
        </w:rPr>
        <w:t>ONGENTYS</w:t>
      </w:r>
      <w:r w:rsidR="006B21E9" w:rsidRPr="0023450C">
        <w:rPr>
          <w:szCs w:val="24"/>
        </w:rPr>
        <w:t xml:space="preserve"> should be taken once</w:t>
      </w:r>
      <w:r w:rsidRPr="0023450C">
        <w:rPr>
          <w:szCs w:val="24"/>
        </w:rPr>
        <w:t xml:space="preserve"> </w:t>
      </w:r>
      <w:r w:rsidR="006B21E9" w:rsidRPr="0023450C">
        <w:rPr>
          <w:szCs w:val="24"/>
        </w:rPr>
        <w:t>daily at bedtime</w:t>
      </w:r>
      <w:r w:rsidR="003E5C4A">
        <w:rPr>
          <w:szCs w:val="24"/>
        </w:rPr>
        <w:t xml:space="preserve">, </w:t>
      </w:r>
      <w:r w:rsidR="00634AEE" w:rsidRPr="0023450C">
        <w:rPr>
          <w:szCs w:val="24"/>
        </w:rPr>
        <w:t>preferably without food,</w:t>
      </w:r>
      <w:r w:rsidR="006B21E9" w:rsidRPr="0023450C">
        <w:rPr>
          <w:szCs w:val="24"/>
        </w:rPr>
        <w:t xml:space="preserve"> at least one hour before or after levodopa combinations</w:t>
      </w:r>
      <w:r w:rsidR="006B21E9" w:rsidRPr="00332E9D">
        <w:rPr>
          <w:szCs w:val="22"/>
        </w:rPr>
        <w:t>.</w:t>
      </w:r>
    </w:p>
    <w:p w14:paraId="6CED071E" w14:textId="77777777" w:rsidR="006B21E9" w:rsidRPr="00332E9D" w:rsidRDefault="006B21E9" w:rsidP="00A457B2">
      <w:pPr>
        <w:tabs>
          <w:tab w:val="clear" w:pos="567"/>
        </w:tabs>
        <w:spacing w:line="240" w:lineRule="auto"/>
        <w:rPr>
          <w:rFonts w:eastAsia="Calibri"/>
          <w:szCs w:val="22"/>
          <w:u w:val="single"/>
        </w:rPr>
      </w:pPr>
    </w:p>
    <w:p w14:paraId="5C36FF4F" w14:textId="77777777" w:rsidR="006B21E9" w:rsidRPr="00332E9D" w:rsidRDefault="006B21E9" w:rsidP="00A457B2">
      <w:pPr>
        <w:rPr>
          <w:rFonts w:eastAsia="Calibri"/>
          <w:i/>
          <w:szCs w:val="22"/>
        </w:rPr>
      </w:pPr>
      <w:r w:rsidRPr="00332E9D">
        <w:rPr>
          <w:rFonts w:eastAsia="Calibri"/>
          <w:i/>
          <w:szCs w:val="22"/>
        </w:rPr>
        <w:t>Missed dose</w:t>
      </w:r>
    </w:p>
    <w:p w14:paraId="44ED6BD1" w14:textId="77777777" w:rsidR="006B21E9" w:rsidRDefault="006B21E9" w:rsidP="00A457B2">
      <w:pPr>
        <w:rPr>
          <w:szCs w:val="22"/>
        </w:rPr>
      </w:pPr>
      <w:r w:rsidRPr="00332E9D">
        <w:rPr>
          <w:rFonts w:eastAsia="Calibri"/>
          <w:szCs w:val="22"/>
        </w:rPr>
        <w:t xml:space="preserve">If one dose is missed, the next dose should be taken as scheduled. </w:t>
      </w:r>
      <w:r w:rsidRPr="00332E9D">
        <w:rPr>
          <w:szCs w:val="22"/>
        </w:rPr>
        <w:t xml:space="preserve">The patient should not take an extra dose to make up for the missed dose. </w:t>
      </w:r>
    </w:p>
    <w:p w14:paraId="2F4A2678" w14:textId="1C5E78B4" w:rsidR="006B21E9" w:rsidRPr="007579D7" w:rsidRDefault="006B21E9" w:rsidP="00A457B2">
      <w:pPr>
        <w:pStyle w:val="Heading3"/>
      </w:pPr>
      <w:r w:rsidRPr="007579D7">
        <w:t>Method of administration</w:t>
      </w:r>
    </w:p>
    <w:p w14:paraId="4AB2A5D5" w14:textId="77777777" w:rsidR="006B21E9" w:rsidRPr="00332E9D" w:rsidRDefault="006B21E9" w:rsidP="00A457B2">
      <w:pPr>
        <w:rPr>
          <w:szCs w:val="22"/>
          <w:u w:val="single"/>
        </w:rPr>
      </w:pPr>
    </w:p>
    <w:p w14:paraId="4290A6DC" w14:textId="77777777" w:rsidR="006B21E9" w:rsidRPr="0023450C" w:rsidRDefault="006B21E9" w:rsidP="00A457B2">
      <w:pPr>
        <w:rPr>
          <w:szCs w:val="24"/>
        </w:rPr>
      </w:pPr>
      <w:r w:rsidRPr="0023450C">
        <w:rPr>
          <w:szCs w:val="24"/>
        </w:rPr>
        <w:t>Oral use.</w:t>
      </w:r>
    </w:p>
    <w:p w14:paraId="425E0E87" w14:textId="77777777" w:rsidR="006B21E9" w:rsidRPr="0023450C" w:rsidRDefault="006B21E9" w:rsidP="00A457B2">
      <w:pPr>
        <w:rPr>
          <w:szCs w:val="24"/>
        </w:rPr>
      </w:pPr>
    </w:p>
    <w:p w14:paraId="2D602B42" w14:textId="1D847BF5" w:rsidR="001E338E" w:rsidRPr="0023450C" w:rsidRDefault="006B21E9" w:rsidP="00A457B2">
      <w:r>
        <w:t>The capsules should be swallowed whole with water.</w:t>
      </w:r>
      <w:r w:rsidR="00C60464">
        <w:t xml:space="preserve"> </w:t>
      </w:r>
      <w:r w:rsidR="00556BA8">
        <w:t>ONGENTYS</w:t>
      </w:r>
      <w:r w:rsidR="00C60464">
        <w:t xml:space="preserve"> shall be taken preferably on an empty stomach (that is two hours before or two hours after a meal).</w:t>
      </w:r>
      <w:bookmarkStart w:id="1" w:name="_Hlk35950410"/>
      <w:bookmarkEnd w:id="1"/>
    </w:p>
    <w:bookmarkEnd w:id="0"/>
    <w:p w14:paraId="5D685120" w14:textId="6F496070" w:rsidR="001E338E" w:rsidRPr="007579D7" w:rsidRDefault="001E338E" w:rsidP="00A457B2">
      <w:pPr>
        <w:pStyle w:val="Heading3"/>
      </w:pPr>
      <w:r w:rsidRPr="007579D7">
        <w:t>Dosage adjustment</w:t>
      </w:r>
    </w:p>
    <w:p w14:paraId="05FD23C7" w14:textId="77777777" w:rsidR="00CA4E17" w:rsidRDefault="00CA4E17" w:rsidP="00A457B2">
      <w:pPr>
        <w:tabs>
          <w:tab w:val="clear" w:pos="567"/>
        </w:tabs>
        <w:spacing w:line="240" w:lineRule="auto"/>
        <w:rPr>
          <w:i/>
        </w:rPr>
      </w:pPr>
    </w:p>
    <w:p w14:paraId="5B523307" w14:textId="77777777" w:rsidR="00CA4E17" w:rsidRPr="0023450C" w:rsidRDefault="00CA4E17" w:rsidP="00A457B2">
      <w:pPr>
        <w:tabs>
          <w:tab w:val="clear" w:pos="567"/>
        </w:tabs>
        <w:spacing w:line="240" w:lineRule="auto"/>
        <w:rPr>
          <w:i/>
          <w:szCs w:val="24"/>
        </w:rPr>
      </w:pPr>
      <w:r w:rsidRPr="0023450C">
        <w:rPr>
          <w:i/>
          <w:szCs w:val="24"/>
        </w:rPr>
        <w:t>Antiparkinsonian therapy</w:t>
      </w:r>
    </w:p>
    <w:p w14:paraId="7B7C740C" w14:textId="136AB8A0" w:rsidR="00CA4E17" w:rsidRDefault="00CA4E17" w:rsidP="00A457B2">
      <w:pPr>
        <w:tabs>
          <w:tab w:val="clear" w:pos="567"/>
        </w:tabs>
        <w:spacing w:line="240" w:lineRule="auto"/>
        <w:rPr>
          <w:szCs w:val="24"/>
        </w:rPr>
      </w:pPr>
      <w:r w:rsidRPr="0023450C">
        <w:rPr>
          <w:szCs w:val="24"/>
        </w:rPr>
        <w:t>Opicapone</w:t>
      </w:r>
      <w:r w:rsidRPr="0023450C">
        <w:rPr>
          <w:rFonts w:eastAsia="Calibri"/>
          <w:szCs w:val="24"/>
        </w:rPr>
        <w:t xml:space="preserve"> enhances the effects of levodopa.</w:t>
      </w:r>
      <w:r w:rsidRPr="0023450C">
        <w:rPr>
          <w:szCs w:val="24"/>
        </w:rPr>
        <w:t xml:space="preserve"> </w:t>
      </w:r>
      <w:r w:rsidRPr="0023450C">
        <w:rPr>
          <w:rFonts w:eastAsia="Calibri"/>
          <w:szCs w:val="24"/>
        </w:rPr>
        <w:t>Hence, it is often necessary to adjust levodopa dosage within the first days to first weeks after initiating the treatment with opicapone (see section 4.4</w:t>
      </w:r>
      <w:r w:rsidR="003937AB" w:rsidRPr="0023450C">
        <w:rPr>
          <w:rFonts w:eastAsia="Calibri"/>
          <w:szCs w:val="24"/>
        </w:rPr>
        <w:t xml:space="preserve"> Special warnings and precautions for use</w:t>
      </w:r>
      <w:r w:rsidRPr="0023450C">
        <w:rPr>
          <w:rFonts w:eastAsia="Calibri"/>
          <w:szCs w:val="24"/>
        </w:rPr>
        <w:t>).</w:t>
      </w:r>
      <w:r w:rsidRPr="0023450C">
        <w:rPr>
          <w:szCs w:val="24"/>
        </w:rPr>
        <w:t xml:space="preserve"> </w:t>
      </w:r>
    </w:p>
    <w:p w14:paraId="707CEEC3" w14:textId="77777777" w:rsidR="001E338E" w:rsidRPr="0023450C" w:rsidRDefault="001E338E" w:rsidP="00A457B2">
      <w:pPr>
        <w:rPr>
          <w:rFonts w:eastAsia="Calibri"/>
          <w:szCs w:val="24"/>
        </w:rPr>
      </w:pPr>
    </w:p>
    <w:p w14:paraId="03E0992B" w14:textId="77777777" w:rsidR="001E338E" w:rsidRPr="0023450C" w:rsidRDefault="001E338E" w:rsidP="00A457B2">
      <w:pPr>
        <w:rPr>
          <w:i/>
          <w:szCs w:val="24"/>
        </w:rPr>
      </w:pPr>
      <w:r w:rsidRPr="0023450C">
        <w:rPr>
          <w:i/>
          <w:szCs w:val="24"/>
        </w:rPr>
        <w:t>Renal impairment</w:t>
      </w:r>
    </w:p>
    <w:p w14:paraId="5A60B081" w14:textId="6A95353B" w:rsidR="001E338E" w:rsidRPr="0023450C" w:rsidRDefault="001E338E" w:rsidP="00A457B2">
      <w:pPr>
        <w:rPr>
          <w:u w:val="single"/>
        </w:rPr>
      </w:pPr>
      <w:r>
        <w:t>No dose adjustment is necessary in patients with renal impairment, as opicapone is not</w:t>
      </w:r>
      <w:r w:rsidR="00F35F19" w:rsidRPr="00F35F19">
        <w:t xml:space="preserve"> primarily </w:t>
      </w:r>
      <w:r w:rsidR="00F35F19">
        <w:t xml:space="preserve"> </w:t>
      </w:r>
      <w:r>
        <w:t xml:space="preserve"> excreted by the kidney (see section 5.2</w:t>
      </w:r>
      <w:r w:rsidR="003937AB">
        <w:t xml:space="preserve"> Pharmacokinetic properties</w:t>
      </w:r>
      <w:r>
        <w:t>).</w:t>
      </w:r>
    </w:p>
    <w:p w14:paraId="4A60334F" w14:textId="77777777" w:rsidR="001E338E" w:rsidRPr="0023450C" w:rsidRDefault="001E338E" w:rsidP="00A457B2">
      <w:pPr>
        <w:rPr>
          <w:i/>
          <w:szCs w:val="24"/>
        </w:rPr>
      </w:pPr>
    </w:p>
    <w:p w14:paraId="679D2D7F" w14:textId="4461F83F" w:rsidR="001E338E" w:rsidRDefault="001E338E" w:rsidP="00A457B2">
      <w:pPr>
        <w:rPr>
          <w:i/>
          <w:szCs w:val="24"/>
        </w:rPr>
      </w:pPr>
      <w:r w:rsidRPr="0023450C">
        <w:rPr>
          <w:i/>
          <w:szCs w:val="24"/>
        </w:rPr>
        <w:t>Hepatic impairment</w:t>
      </w:r>
    </w:p>
    <w:p w14:paraId="4C37374D" w14:textId="77777777" w:rsidR="00663098" w:rsidRPr="00A84A27" w:rsidRDefault="00663098" w:rsidP="00A457B2">
      <w:r w:rsidRPr="003B62EF">
        <w:t>ONGENTYS is not recommended in patients with hepatic impairment or hepatic cirrhosis (Child-Pugh Class A, B, C).</w:t>
      </w:r>
    </w:p>
    <w:p w14:paraId="7D7D7528" w14:textId="77777777" w:rsidR="00663098" w:rsidRPr="0023450C" w:rsidRDefault="00663098" w:rsidP="00A457B2">
      <w:pPr>
        <w:rPr>
          <w:i/>
          <w:szCs w:val="24"/>
        </w:rPr>
      </w:pPr>
    </w:p>
    <w:p w14:paraId="5FE4A046" w14:textId="63C893C1" w:rsidR="00A84A27" w:rsidRDefault="00A84A27" w:rsidP="00A457B2">
      <w:r>
        <w:t>The bioavailability of opicapone was significantly higher in patients with moderate chronic hepatic impairment (see section 5.2 Pharmacokinetic properties)</w:t>
      </w:r>
    </w:p>
    <w:p w14:paraId="76D67D30" w14:textId="77777777" w:rsidR="00A84A27" w:rsidRPr="00A84A27" w:rsidRDefault="00A84A27" w:rsidP="00A457B2">
      <w:pPr>
        <w:rPr>
          <w:szCs w:val="24"/>
        </w:rPr>
      </w:pPr>
    </w:p>
    <w:p w14:paraId="60E586B4" w14:textId="1D8DA49C" w:rsidR="00A84A27" w:rsidRDefault="00A84A27" w:rsidP="00A457B2">
      <w:r>
        <w:t>There is no clinical experience in patients with mild hepatic impairment (Child-Pugh Class A), and in patients with severe hepatic impairment (Child-Pugh Class C),</w:t>
      </w:r>
    </w:p>
    <w:p w14:paraId="5DF0A60C" w14:textId="77777777" w:rsidR="00A84A27" w:rsidRPr="00A84A27" w:rsidRDefault="00A84A27" w:rsidP="00A457B2">
      <w:pPr>
        <w:rPr>
          <w:szCs w:val="24"/>
        </w:rPr>
      </w:pPr>
    </w:p>
    <w:p w14:paraId="22F6B24D" w14:textId="133CAE8E" w:rsidR="001E338E" w:rsidRPr="0023450C" w:rsidRDefault="001E338E" w:rsidP="00A457B2">
      <w:pPr>
        <w:rPr>
          <w:bCs/>
          <w:i/>
          <w:iCs/>
          <w:szCs w:val="24"/>
        </w:rPr>
      </w:pPr>
      <w:r w:rsidRPr="0023450C">
        <w:rPr>
          <w:bCs/>
          <w:i/>
          <w:iCs/>
          <w:szCs w:val="24"/>
        </w:rPr>
        <w:t>Paediatric population</w:t>
      </w:r>
    </w:p>
    <w:p w14:paraId="6D230006" w14:textId="77777777" w:rsidR="001E338E" w:rsidRPr="0023450C" w:rsidRDefault="001E338E" w:rsidP="00A457B2">
      <w:pPr>
        <w:autoSpaceDE w:val="0"/>
        <w:autoSpaceDN w:val="0"/>
        <w:adjustRightInd w:val="0"/>
        <w:rPr>
          <w:szCs w:val="24"/>
        </w:rPr>
      </w:pPr>
      <w:r w:rsidRPr="0023450C">
        <w:rPr>
          <w:szCs w:val="24"/>
        </w:rPr>
        <w:t xml:space="preserve">There is no relevant use of </w:t>
      </w:r>
      <w:r w:rsidR="003937AB" w:rsidRPr="0023450C">
        <w:rPr>
          <w:szCs w:val="24"/>
        </w:rPr>
        <w:t>ONGENTYS</w:t>
      </w:r>
      <w:r w:rsidRPr="0023450C">
        <w:rPr>
          <w:bCs/>
          <w:szCs w:val="24"/>
        </w:rPr>
        <w:t xml:space="preserve"> </w:t>
      </w:r>
      <w:r w:rsidRPr="0023450C">
        <w:rPr>
          <w:szCs w:val="24"/>
        </w:rPr>
        <w:t>in the paediatric population with Parkinson’s disease and motor fluctuations.</w:t>
      </w:r>
    </w:p>
    <w:p w14:paraId="72C4CE07" w14:textId="77777777" w:rsidR="001E338E" w:rsidRPr="0023450C" w:rsidRDefault="001E338E" w:rsidP="00A457B2">
      <w:pPr>
        <w:autoSpaceDE w:val="0"/>
        <w:autoSpaceDN w:val="0"/>
        <w:adjustRightInd w:val="0"/>
        <w:rPr>
          <w:szCs w:val="24"/>
        </w:rPr>
      </w:pPr>
    </w:p>
    <w:p w14:paraId="0320D975" w14:textId="77777777" w:rsidR="001E338E" w:rsidRPr="0023450C" w:rsidRDefault="001E338E" w:rsidP="00A457B2">
      <w:pPr>
        <w:rPr>
          <w:rFonts w:eastAsia="Calibri"/>
          <w:i/>
          <w:szCs w:val="24"/>
        </w:rPr>
      </w:pPr>
      <w:r w:rsidRPr="0023450C">
        <w:rPr>
          <w:rFonts w:eastAsia="Calibri"/>
          <w:i/>
          <w:szCs w:val="24"/>
        </w:rPr>
        <w:t xml:space="preserve">Elderly </w:t>
      </w:r>
    </w:p>
    <w:p w14:paraId="1E431B2C" w14:textId="77777777" w:rsidR="001E338E" w:rsidRPr="0023450C" w:rsidRDefault="001E338E" w:rsidP="00A457B2">
      <w:pPr>
        <w:rPr>
          <w:szCs w:val="24"/>
        </w:rPr>
      </w:pPr>
      <w:bookmarkStart w:id="2" w:name="_Hlk39685648"/>
      <w:r w:rsidRPr="0023450C">
        <w:rPr>
          <w:szCs w:val="24"/>
        </w:rPr>
        <w:t>No dose adjustment is needed for elderly patients (see section 5.2</w:t>
      </w:r>
      <w:r w:rsidR="003937AB" w:rsidRPr="0023450C">
        <w:rPr>
          <w:szCs w:val="24"/>
        </w:rPr>
        <w:t xml:space="preserve"> Pharmacokinetic properties</w:t>
      </w:r>
      <w:r w:rsidRPr="0023450C">
        <w:rPr>
          <w:szCs w:val="24"/>
        </w:rPr>
        <w:t>).</w:t>
      </w:r>
    </w:p>
    <w:p w14:paraId="0F762D46" w14:textId="3D78C551" w:rsidR="001E338E" w:rsidRPr="0023450C" w:rsidRDefault="001E338E" w:rsidP="00A457B2">
      <w:pPr>
        <w:rPr>
          <w:szCs w:val="24"/>
        </w:rPr>
      </w:pPr>
      <w:r w:rsidRPr="0023450C">
        <w:rPr>
          <w:szCs w:val="24"/>
        </w:rPr>
        <w:t xml:space="preserve">Caution must be exercised in patients ≥ </w:t>
      </w:r>
      <w:r w:rsidR="00A84A27">
        <w:rPr>
          <w:szCs w:val="24"/>
        </w:rPr>
        <w:t>7</w:t>
      </w:r>
      <w:r w:rsidRPr="0023450C">
        <w:rPr>
          <w:szCs w:val="24"/>
        </w:rPr>
        <w:t>5</w:t>
      </w:r>
      <w:r w:rsidR="007559B1">
        <w:rPr>
          <w:szCs w:val="24"/>
        </w:rPr>
        <w:t xml:space="preserve"> </w:t>
      </w:r>
      <w:r w:rsidRPr="0023450C">
        <w:rPr>
          <w:szCs w:val="24"/>
        </w:rPr>
        <w:t>years of age as there is limited experience in this age group.</w:t>
      </w:r>
    </w:p>
    <w:bookmarkEnd w:id="2"/>
    <w:p w14:paraId="6B2420D0" w14:textId="34602562" w:rsidR="006B21E9" w:rsidRPr="00EE5A36" w:rsidRDefault="00301ABD" w:rsidP="00A457B2">
      <w:pPr>
        <w:pStyle w:val="Heading2"/>
      </w:pPr>
      <w:r w:rsidRPr="00BC7E99">
        <w:t>CONTRAINDICATIONS</w:t>
      </w:r>
    </w:p>
    <w:p w14:paraId="640BBE33" w14:textId="77777777" w:rsidR="006B21E9" w:rsidRPr="00332E9D" w:rsidRDefault="006B21E9" w:rsidP="00A457B2">
      <w:pPr>
        <w:rPr>
          <w:szCs w:val="22"/>
        </w:rPr>
      </w:pPr>
    </w:p>
    <w:p w14:paraId="318CA76F" w14:textId="77777777" w:rsidR="006B21E9" w:rsidRPr="00332E9D" w:rsidRDefault="006B21E9" w:rsidP="00A457B2">
      <w:pPr>
        <w:rPr>
          <w:szCs w:val="22"/>
        </w:rPr>
      </w:pPr>
      <w:r w:rsidRPr="00332E9D">
        <w:rPr>
          <w:szCs w:val="22"/>
        </w:rPr>
        <w:t>Hypersensitivity to the active substance or to any of the excipients listed in section 6.1</w:t>
      </w:r>
      <w:r w:rsidR="004911DB">
        <w:rPr>
          <w:szCs w:val="22"/>
        </w:rPr>
        <w:t xml:space="preserve"> List of excipients</w:t>
      </w:r>
      <w:r w:rsidRPr="00332E9D">
        <w:rPr>
          <w:szCs w:val="22"/>
        </w:rPr>
        <w:t>.</w:t>
      </w:r>
    </w:p>
    <w:p w14:paraId="7C001F4B" w14:textId="77777777" w:rsidR="006B21E9" w:rsidRPr="00332E9D" w:rsidRDefault="006B21E9" w:rsidP="00A457B2"/>
    <w:p w14:paraId="2BBD7583" w14:textId="77777777" w:rsidR="006B21E9" w:rsidRPr="00332E9D" w:rsidRDefault="006B21E9" w:rsidP="00A457B2">
      <w:pPr>
        <w:tabs>
          <w:tab w:val="clear" w:pos="567"/>
        </w:tabs>
        <w:autoSpaceDE w:val="0"/>
        <w:autoSpaceDN w:val="0"/>
        <w:adjustRightInd w:val="0"/>
        <w:spacing w:line="240" w:lineRule="auto"/>
      </w:pPr>
      <w:r w:rsidRPr="00332E9D">
        <w:t>Phaeochromocytoma, paraganglioma, or other catecholamine secreting neoplasms.</w:t>
      </w:r>
    </w:p>
    <w:p w14:paraId="1E51E068" w14:textId="77777777" w:rsidR="006B21E9" w:rsidRPr="00332E9D" w:rsidRDefault="006B21E9" w:rsidP="00A457B2">
      <w:pPr>
        <w:tabs>
          <w:tab w:val="clear" w:pos="567"/>
        </w:tabs>
        <w:autoSpaceDE w:val="0"/>
        <w:autoSpaceDN w:val="0"/>
        <w:adjustRightInd w:val="0"/>
        <w:spacing w:line="240" w:lineRule="auto"/>
      </w:pPr>
    </w:p>
    <w:p w14:paraId="461ACA00" w14:textId="77777777" w:rsidR="006B21E9" w:rsidRPr="00332E9D" w:rsidRDefault="006B21E9" w:rsidP="00A457B2">
      <w:pPr>
        <w:tabs>
          <w:tab w:val="clear" w:pos="567"/>
        </w:tabs>
        <w:autoSpaceDE w:val="0"/>
        <w:autoSpaceDN w:val="0"/>
        <w:adjustRightInd w:val="0"/>
        <w:spacing w:line="240" w:lineRule="auto"/>
        <w:rPr>
          <w:rFonts w:eastAsia="SimSun"/>
          <w:szCs w:val="22"/>
          <w:lang w:eastAsia="pt-PT"/>
        </w:rPr>
      </w:pPr>
      <w:r w:rsidRPr="00332E9D">
        <w:rPr>
          <w:szCs w:val="22"/>
        </w:rPr>
        <w:t>History of neuroleptic malignant syndrome and/or non-traumatic rhabdomyolysis.</w:t>
      </w:r>
    </w:p>
    <w:p w14:paraId="0CC44223" w14:textId="77777777" w:rsidR="006B21E9" w:rsidRPr="00332E9D" w:rsidRDefault="006B21E9" w:rsidP="00A457B2">
      <w:pPr>
        <w:rPr>
          <w:szCs w:val="22"/>
        </w:rPr>
      </w:pPr>
    </w:p>
    <w:p w14:paraId="6029EDEA" w14:textId="77777777" w:rsidR="006B21E9" w:rsidRPr="00332E9D" w:rsidRDefault="006B21E9" w:rsidP="00A457B2">
      <w:pPr>
        <w:rPr>
          <w:lang w:eastAsia="pt-PT"/>
        </w:rPr>
      </w:pPr>
      <w:r w:rsidRPr="00332E9D">
        <w:lastRenderedPageBreak/>
        <w:t xml:space="preserve">Concomitant use with </w:t>
      </w:r>
      <w:r w:rsidRPr="00332E9D">
        <w:rPr>
          <w:szCs w:val="22"/>
        </w:rPr>
        <w:t xml:space="preserve">monoamine oxidase (MAO-A and MAO-B) </w:t>
      </w:r>
      <w:r w:rsidRPr="00332E9D">
        <w:t xml:space="preserve">inhibitors (e.g. </w:t>
      </w:r>
      <w:r w:rsidRPr="00332E9D">
        <w:rPr>
          <w:lang w:eastAsia="pt-PT"/>
        </w:rPr>
        <w:t>phenelzine, tranylcypromine and moclobemide) other than those for the treatment of Parkinson’s disease (see section 4.5</w:t>
      </w:r>
      <w:r w:rsidR="004911DB">
        <w:rPr>
          <w:lang w:eastAsia="pt-PT"/>
        </w:rPr>
        <w:t xml:space="preserve"> I</w:t>
      </w:r>
      <w:r w:rsidR="004911DB" w:rsidRPr="004911DB">
        <w:rPr>
          <w:lang w:eastAsia="pt-PT"/>
        </w:rPr>
        <w:t>nteractions with other medicines and other forms of interactions</w:t>
      </w:r>
      <w:r w:rsidRPr="00332E9D">
        <w:rPr>
          <w:lang w:eastAsia="pt-PT"/>
        </w:rPr>
        <w:t>).</w:t>
      </w:r>
    </w:p>
    <w:p w14:paraId="6001AFD5" w14:textId="54827CDB" w:rsidR="006B21E9" w:rsidRPr="00BC7E99" w:rsidRDefault="00301ABD" w:rsidP="00A457B2">
      <w:pPr>
        <w:pStyle w:val="Heading2"/>
      </w:pPr>
      <w:bookmarkStart w:id="3" w:name="_Hlk40860063"/>
      <w:r w:rsidRPr="00BC7E99">
        <w:t>SPECIAL WARNINGS AND PRECAUTIONS FOR USE</w:t>
      </w:r>
    </w:p>
    <w:bookmarkEnd w:id="3"/>
    <w:p w14:paraId="4FA93330" w14:textId="77777777" w:rsidR="006B21E9" w:rsidRPr="007579D7" w:rsidRDefault="006B21E9" w:rsidP="00A457B2">
      <w:pPr>
        <w:pStyle w:val="Heading3"/>
      </w:pPr>
      <w:r w:rsidRPr="007579D7">
        <w:t>Dose adjustments of antiparkinsonian therapy</w:t>
      </w:r>
    </w:p>
    <w:p w14:paraId="291D9D38" w14:textId="77777777" w:rsidR="006B21E9" w:rsidRPr="00332E9D" w:rsidRDefault="006B21E9" w:rsidP="00A457B2">
      <w:pPr>
        <w:spacing w:line="240" w:lineRule="auto"/>
        <w:rPr>
          <w:szCs w:val="22"/>
          <w:u w:val="single"/>
        </w:rPr>
      </w:pPr>
    </w:p>
    <w:p w14:paraId="70252C95" w14:textId="77777777" w:rsidR="006B21E9" w:rsidRPr="00332E9D" w:rsidRDefault="002C3792" w:rsidP="00A457B2">
      <w:pPr>
        <w:spacing w:line="240" w:lineRule="auto"/>
        <w:rPr>
          <w:szCs w:val="22"/>
        </w:rPr>
      </w:pPr>
      <w:r w:rsidRPr="00332E9D">
        <w:rPr>
          <w:szCs w:val="22"/>
        </w:rPr>
        <w:t>ONGENTYS</w:t>
      </w:r>
      <w:r w:rsidR="006B21E9" w:rsidRPr="00332E9D">
        <w:rPr>
          <w:szCs w:val="22"/>
        </w:rPr>
        <w:t xml:space="preserve"> is to be administered as an adjunct to levodopa treatment. Hence, the precautions valid for levodopa treatment should also be taken into account for </w:t>
      </w:r>
      <w:r w:rsidRPr="00332E9D">
        <w:rPr>
          <w:szCs w:val="22"/>
        </w:rPr>
        <w:t>ONGENTYS</w:t>
      </w:r>
      <w:r w:rsidR="006B21E9" w:rsidRPr="00332E9D">
        <w:rPr>
          <w:szCs w:val="22"/>
        </w:rPr>
        <w:t xml:space="preserve">. Opicapone enhances the effects of levodopa. To reduce levodopa-related dopaminergic adverse reactions (e.g. dyskinesia, hallucinations, nausea, vomiting and orthostatic hypotension), it is often necessary to adjust the daily dose of levodopa by extending the dosing intervals and/or reducing the amount of levodopa per dose within the first days to first weeks after initiating treatment with </w:t>
      </w:r>
      <w:r w:rsidRPr="00332E9D">
        <w:rPr>
          <w:szCs w:val="22"/>
        </w:rPr>
        <w:t>ONGENTYS</w:t>
      </w:r>
      <w:r w:rsidR="006B21E9" w:rsidRPr="00332E9D">
        <w:rPr>
          <w:szCs w:val="22"/>
        </w:rPr>
        <w:t>, according to the clinical condition of the patient (see section 4.2</w:t>
      </w:r>
      <w:r w:rsidR="004911DB">
        <w:rPr>
          <w:szCs w:val="22"/>
        </w:rPr>
        <w:t xml:space="preserve"> D</w:t>
      </w:r>
      <w:r w:rsidR="004911DB" w:rsidRPr="004911DB">
        <w:rPr>
          <w:szCs w:val="22"/>
        </w:rPr>
        <w:t>ose and method of administration</w:t>
      </w:r>
      <w:r w:rsidR="006B21E9" w:rsidRPr="00332E9D">
        <w:rPr>
          <w:szCs w:val="22"/>
        </w:rPr>
        <w:t xml:space="preserve">). </w:t>
      </w:r>
    </w:p>
    <w:p w14:paraId="5D2C35A8" w14:textId="03B401AC" w:rsidR="006B21E9" w:rsidRDefault="006B21E9" w:rsidP="00A457B2">
      <w:pPr>
        <w:spacing w:line="240" w:lineRule="auto"/>
        <w:rPr>
          <w:szCs w:val="22"/>
          <w:u w:val="single"/>
        </w:rPr>
      </w:pPr>
    </w:p>
    <w:p w14:paraId="2BB0E69F" w14:textId="64899E00" w:rsidR="002F482C" w:rsidRPr="000169FA" w:rsidRDefault="00EC70B8" w:rsidP="00A457B2">
      <w:pPr>
        <w:spacing w:line="240" w:lineRule="auto"/>
        <w:rPr>
          <w:szCs w:val="22"/>
        </w:rPr>
      </w:pPr>
      <w:r w:rsidRPr="000169FA">
        <w:rPr>
          <w:szCs w:val="22"/>
        </w:rPr>
        <w:t>There is limited data available regarding the pharmacokinetic effects of ONGENTYS on sustained release formulation of levodopa. Thus, appropriate caution is advised.</w:t>
      </w:r>
    </w:p>
    <w:p w14:paraId="0E7F5D4A" w14:textId="77777777" w:rsidR="00EC70B8" w:rsidRPr="00332E9D" w:rsidRDefault="00EC70B8" w:rsidP="00A457B2">
      <w:pPr>
        <w:spacing w:line="240" w:lineRule="auto"/>
        <w:rPr>
          <w:szCs w:val="22"/>
          <w:u w:val="single"/>
        </w:rPr>
      </w:pPr>
    </w:p>
    <w:p w14:paraId="04134CAB" w14:textId="77777777" w:rsidR="006B21E9" w:rsidRPr="00332E9D" w:rsidRDefault="006B21E9" w:rsidP="00A457B2">
      <w:pPr>
        <w:tabs>
          <w:tab w:val="clear" w:pos="567"/>
        </w:tabs>
        <w:spacing w:line="240" w:lineRule="auto"/>
        <w:rPr>
          <w:rFonts w:eastAsia="Calibri"/>
          <w:szCs w:val="22"/>
        </w:rPr>
      </w:pPr>
      <w:r w:rsidRPr="00344796">
        <w:rPr>
          <w:szCs w:val="22"/>
        </w:rPr>
        <w:t xml:space="preserve">If </w:t>
      </w:r>
      <w:r w:rsidR="002C3792" w:rsidRPr="00344796">
        <w:rPr>
          <w:szCs w:val="22"/>
        </w:rPr>
        <w:t>ONGENTYS</w:t>
      </w:r>
      <w:r w:rsidRPr="00344796">
        <w:rPr>
          <w:szCs w:val="22"/>
        </w:rPr>
        <w:t xml:space="preserve"> is discontinued it is necessary to adjust the dosing of the other antiparkinsonian treatments, especially levodopa, to achieve a sufficient level of control of the symptoms.</w:t>
      </w:r>
    </w:p>
    <w:p w14:paraId="510316F7" w14:textId="77777777" w:rsidR="006B21E9" w:rsidRPr="007579D7" w:rsidRDefault="006B21E9" w:rsidP="00A457B2">
      <w:pPr>
        <w:pStyle w:val="Heading3"/>
      </w:pPr>
      <w:r w:rsidRPr="007579D7">
        <w:t>Psychiatric disorders</w:t>
      </w:r>
    </w:p>
    <w:p w14:paraId="7E94E801" w14:textId="77777777" w:rsidR="006B21E9" w:rsidRPr="00332E9D" w:rsidRDefault="006B21E9" w:rsidP="00A457B2">
      <w:pPr>
        <w:spacing w:line="240" w:lineRule="auto"/>
        <w:rPr>
          <w:szCs w:val="22"/>
          <w:u w:val="single"/>
        </w:rPr>
      </w:pPr>
    </w:p>
    <w:p w14:paraId="31956C3E" w14:textId="2CFCCE07" w:rsidR="006B21E9" w:rsidRPr="00332E9D" w:rsidRDefault="006B21E9" w:rsidP="00A457B2">
      <w:pPr>
        <w:spacing w:line="240" w:lineRule="auto"/>
        <w:rPr>
          <w:szCs w:val="22"/>
        </w:rPr>
      </w:pPr>
      <w:r w:rsidRPr="00332E9D">
        <w:rPr>
          <w:szCs w:val="22"/>
        </w:rPr>
        <w:t>Patients and caregivers should be made aware that impulse control disorders including pathological gambling, increased libido, hypersexuality, compulsive spending or buying, binge eating and compulsive eating can occur in patients treated with dopamine agonists and/or other dopaminergic treatments. Patients should be monitored regularly for the development of impulse control disorders and review of treatment is recommended if such symptoms develop.</w:t>
      </w:r>
    </w:p>
    <w:p w14:paraId="0F71971D" w14:textId="77777777" w:rsidR="006B21E9" w:rsidRPr="007579D7" w:rsidRDefault="006B21E9" w:rsidP="00A457B2">
      <w:pPr>
        <w:pStyle w:val="Heading3"/>
      </w:pPr>
      <w:r w:rsidRPr="007579D7">
        <w:t>Others</w:t>
      </w:r>
    </w:p>
    <w:p w14:paraId="13BEF626" w14:textId="77777777" w:rsidR="006B21E9" w:rsidRPr="00332E9D" w:rsidRDefault="006B21E9" w:rsidP="00A457B2">
      <w:pPr>
        <w:spacing w:line="240" w:lineRule="auto"/>
        <w:rPr>
          <w:szCs w:val="22"/>
          <w:u w:val="single"/>
        </w:rPr>
      </w:pPr>
    </w:p>
    <w:p w14:paraId="03125F9F" w14:textId="45F53939" w:rsidR="007F7205" w:rsidRDefault="006B21E9" w:rsidP="00A457B2">
      <w:pPr>
        <w:spacing w:line="240" w:lineRule="auto"/>
        <w:rPr>
          <w:szCs w:val="24"/>
        </w:rPr>
      </w:pPr>
      <w:r w:rsidRPr="0023450C">
        <w:rPr>
          <w:szCs w:val="24"/>
        </w:rPr>
        <w:t xml:space="preserve">Increases in liver enzymes were reported in studies with </w:t>
      </w:r>
      <w:proofErr w:type="spellStart"/>
      <w:r w:rsidRPr="0023450C">
        <w:rPr>
          <w:szCs w:val="24"/>
        </w:rPr>
        <w:t>nitrocatechol</w:t>
      </w:r>
      <w:proofErr w:type="spellEnd"/>
      <w:r w:rsidRPr="0023450C">
        <w:rPr>
          <w:szCs w:val="24"/>
        </w:rPr>
        <w:t xml:space="preserve"> inhibitors of catechol-</w:t>
      </w:r>
      <w:r w:rsidRPr="0023450C">
        <w:rPr>
          <w:i/>
          <w:szCs w:val="24"/>
        </w:rPr>
        <w:t>O</w:t>
      </w:r>
      <w:r w:rsidRPr="0023450C">
        <w:rPr>
          <w:szCs w:val="24"/>
        </w:rPr>
        <w:t>-</w:t>
      </w:r>
      <w:proofErr w:type="spellStart"/>
      <w:r w:rsidRPr="0023450C">
        <w:rPr>
          <w:szCs w:val="24"/>
        </w:rPr>
        <w:t>methyltransferase</w:t>
      </w:r>
      <w:proofErr w:type="spellEnd"/>
      <w:r w:rsidRPr="0023450C">
        <w:rPr>
          <w:szCs w:val="24"/>
        </w:rPr>
        <w:t xml:space="preserve"> (COMT). For patients who experience progressive anorexia, asthenia and weight decrease within a relatively short period of time, a general medical evaluation including liver function should be considered.</w:t>
      </w:r>
    </w:p>
    <w:p w14:paraId="6BA12C6D" w14:textId="213240F1" w:rsidR="00CC4739" w:rsidRDefault="00CC4739" w:rsidP="00A457B2">
      <w:pPr>
        <w:spacing w:line="240" w:lineRule="auto"/>
        <w:rPr>
          <w:szCs w:val="24"/>
        </w:rPr>
      </w:pPr>
    </w:p>
    <w:p w14:paraId="4A8252C3" w14:textId="6010039C" w:rsidR="00CC4739" w:rsidRPr="00F63997" w:rsidRDefault="00CC4739" w:rsidP="00A457B2">
      <w:pPr>
        <w:rPr>
          <w:iCs/>
          <w:szCs w:val="24"/>
        </w:rPr>
      </w:pPr>
      <w:r w:rsidRPr="00F63997">
        <w:rPr>
          <w:bCs/>
          <w:iCs/>
          <w:szCs w:val="24"/>
        </w:rPr>
        <w:t>Ischemic heart diseases were frequently observed in case of use of other substances having the same mechanism of action as opicapone (COMT inhibition).</w:t>
      </w:r>
    </w:p>
    <w:p w14:paraId="3E78D1E3" w14:textId="77777777" w:rsidR="006B21E9" w:rsidRPr="007579D7" w:rsidRDefault="006B21E9" w:rsidP="00A457B2">
      <w:pPr>
        <w:pStyle w:val="Heading3"/>
      </w:pPr>
      <w:r w:rsidRPr="007579D7">
        <w:t>Intolerance to excipients</w:t>
      </w:r>
    </w:p>
    <w:p w14:paraId="3C18BDD1" w14:textId="77777777" w:rsidR="006B21E9" w:rsidRPr="00332E9D" w:rsidRDefault="006B21E9" w:rsidP="00A457B2">
      <w:pPr>
        <w:spacing w:line="240" w:lineRule="auto"/>
        <w:rPr>
          <w:szCs w:val="22"/>
        </w:rPr>
      </w:pPr>
    </w:p>
    <w:p w14:paraId="056E4696" w14:textId="49A6B808" w:rsidR="00BF5DE9" w:rsidRPr="00AD2C18" w:rsidRDefault="002C3792" w:rsidP="00A457B2">
      <w:pPr>
        <w:spacing w:line="240" w:lineRule="auto"/>
        <w:rPr>
          <w:szCs w:val="24"/>
        </w:rPr>
      </w:pPr>
      <w:r w:rsidRPr="00685002">
        <w:rPr>
          <w:szCs w:val="24"/>
        </w:rPr>
        <w:t>ONGENTYS</w:t>
      </w:r>
      <w:r w:rsidR="006B21E9" w:rsidRPr="00685002">
        <w:rPr>
          <w:szCs w:val="24"/>
        </w:rPr>
        <w:t xml:space="preserve"> contains lactose. Patients with rare hereditary problems of galactose intolerance, the Lapp lactase deficiency or glucose-galactose malabsorption should not take </w:t>
      </w:r>
      <w:r w:rsidRPr="002046E9">
        <w:rPr>
          <w:szCs w:val="24"/>
        </w:rPr>
        <w:t>ONGENTYS</w:t>
      </w:r>
      <w:r w:rsidR="006B21E9" w:rsidRPr="002046E9">
        <w:rPr>
          <w:szCs w:val="24"/>
        </w:rPr>
        <w:t>.</w:t>
      </w:r>
    </w:p>
    <w:p w14:paraId="491FBFA0" w14:textId="77777777" w:rsidR="006B21E9" w:rsidRPr="007B4D22" w:rsidRDefault="00F60A61" w:rsidP="00A457B2">
      <w:pPr>
        <w:pStyle w:val="Heading3"/>
      </w:pPr>
      <w:bookmarkStart w:id="4" w:name="_Hlk40860111"/>
      <w:r w:rsidRPr="00B47785">
        <w:t>U</w:t>
      </w:r>
      <w:r w:rsidRPr="007F7205">
        <w:t xml:space="preserve">se </w:t>
      </w:r>
      <w:r w:rsidRPr="007B4D22">
        <w:t>in the elderly</w:t>
      </w:r>
    </w:p>
    <w:bookmarkEnd w:id="4"/>
    <w:p w14:paraId="0F31B50B" w14:textId="2EEFE820" w:rsidR="00E55060" w:rsidRPr="005D5C7A" w:rsidRDefault="005D5C7A" w:rsidP="00A457B2">
      <w:pPr>
        <w:spacing w:line="240" w:lineRule="auto"/>
        <w:rPr>
          <w:szCs w:val="24"/>
        </w:rPr>
      </w:pPr>
      <w:r>
        <w:rPr>
          <w:szCs w:val="24"/>
        </w:rPr>
        <w:t xml:space="preserve"> </w:t>
      </w:r>
    </w:p>
    <w:p w14:paraId="00FB3048" w14:textId="4556FE63" w:rsidR="00E55060" w:rsidRPr="0023450C" w:rsidRDefault="00E55060" w:rsidP="00A457B2">
      <w:pPr>
        <w:spacing w:line="240" w:lineRule="auto"/>
        <w:rPr>
          <w:szCs w:val="24"/>
        </w:rPr>
      </w:pPr>
      <w:r w:rsidRPr="005D5C7A">
        <w:rPr>
          <w:szCs w:val="24"/>
        </w:rPr>
        <w:t>Caution must be exercised in patients ≥ 75 years of age as there is limited experience in this age group</w:t>
      </w:r>
      <w:r>
        <w:rPr>
          <w:szCs w:val="24"/>
        </w:rPr>
        <w:t xml:space="preserve"> </w:t>
      </w:r>
      <w:r>
        <w:rPr>
          <w:sz w:val="23"/>
          <w:szCs w:val="23"/>
        </w:rPr>
        <w:t>(see Section 4.2 Dose and method of administration)</w:t>
      </w:r>
      <w:r w:rsidRPr="005D5C7A">
        <w:rPr>
          <w:szCs w:val="24"/>
        </w:rPr>
        <w:t>.</w:t>
      </w:r>
    </w:p>
    <w:p w14:paraId="4ABA690E" w14:textId="77777777" w:rsidR="00E46B14" w:rsidRPr="00BC7E99" w:rsidRDefault="00E46B14" w:rsidP="00A457B2">
      <w:pPr>
        <w:pStyle w:val="Heading3"/>
      </w:pPr>
      <w:proofErr w:type="spellStart"/>
      <w:r w:rsidRPr="00BC7E99">
        <w:t>Paediatric</w:t>
      </w:r>
      <w:proofErr w:type="spellEnd"/>
      <w:r w:rsidRPr="00BC7E99">
        <w:t xml:space="preserve"> use</w:t>
      </w:r>
    </w:p>
    <w:p w14:paraId="6C5D270F" w14:textId="77777777" w:rsidR="00E46B14" w:rsidRPr="0023450C" w:rsidRDefault="00E46B14" w:rsidP="00A457B2">
      <w:pPr>
        <w:spacing w:line="240" w:lineRule="auto"/>
        <w:rPr>
          <w:szCs w:val="24"/>
        </w:rPr>
      </w:pPr>
      <w:r w:rsidRPr="007579D7">
        <w:rPr>
          <w:szCs w:val="24"/>
        </w:rPr>
        <w:t>No data available</w:t>
      </w:r>
    </w:p>
    <w:p w14:paraId="4CB056A5" w14:textId="77777777" w:rsidR="00E46B14" w:rsidRPr="007B4D22" w:rsidRDefault="00E46B14" w:rsidP="00A457B2">
      <w:pPr>
        <w:pStyle w:val="Heading3"/>
      </w:pPr>
      <w:r w:rsidRPr="00B47785">
        <w:t>Effects</w:t>
      </w:r>
      <w:r w:rsidRPr="007F7205">
        <w:t xml:space="preserve"> on l</w:t>
      </w:r>
      <w:r w:rsidRPr="007B4D22">
        <w:t>aboratory tests</w:t>
      </w:r>
    </w:p>
    <w:p w14:paraId="23F8DCDF" w14:textId="77777777" w:rsidR="00E46B14" w:rsidRPr="0023450C" w:rsidRDefault="00E46B14" w:rsidP="00A457B2">
      <w:pPr>
        <w:spacing w:line="240" w:lineRule="auto"/>
        <w:rPr>
          <w:szCs w:val="24"/>
        </w:rPr>
      </w:pPr>
      <w:r w:rsidRPr="0023450C">
        <w:rPr>
          <w:szCs w:val="24"/>
        </w:rPr>
        <w:t>No data available</w:t>
      </w:r>
    </w:p>
    <w:p w14:paraId="1DE3F285" w14:textId="21FDE86A" w:rsidR="006B21E9" w:rsidRPr="00BC7E99" w:rsidRDefault="00427B3D" w:rsidP="00A457B2">
      <w:pPr>
        <w:pStyle w:val="Heading2"/>
      </w:pPr>
      <w:r w:rsidRPr="00BC7E99">
        <w:t>I</w:t>
      </w:r>
      <w:bookmarkStart w:id="5" w:name="_Hlk39514680"/>
      <w:r w:rsidRPr="00BC7E99">
        <w:t>NTERACTIONS WITH OTHER MEDICINES AND OTHER FORMS OF INTERACTIONS</w:t>
      </w:r>
      <w:bookmarkEnd w:id="5"/>
    </w:p>
    <w:p w14:paraId="1DD3B951" w14:textId="77777777" w:rsidR="006B21E9" w:rsidRPr="00332E9D" w:rsidRDefault="006B21E9" w:rsidP="00A457B2">
      <w:pPr>
        <w:pStyle w:val="Heading3"/>
      </w:pPr>
      <w:proofErr w:type="spellStart"/>
      <w:r w:rsidRPr="00332E9D">
        <w:t>Monoamino</w:t>
      </w:r>
      <w:proofErr w:type="spellEnd"/>
      <w:r w:rsidRPr="00332E9D">
        <w:t xml:space="preserve"> oxidase (MAO) inhibitors</w:t>
      </w:r>
    </w:p>
    <w:p w14:paraId="5E791BA3" w14:textId="77777777" w:rsidR="006B21E9" w:rsidRPr="00332E9D" w:rsidRDefault="006B21E9" w:rsidP="00A457B2">
      <w:pPr>
        <w:tabs>
          <w:tab w:val="left" w:pos="0"/>
        </w:tabs>
        <w:spacing w:line="240" w:lineRule="auto"/>
        <w:rPr>
          <w:szCs w:val="22"/>
          <w:u w:val="single"/>
        </w:rPr>
      </w:pPr>
    </w:p>
    <w:p w14:paraId="6726136E" w14:textId="0C5C08FB" w:rsidR="006B21E9" w:rsidRPr="00332E9D" w:rsidRDefault="006B21E9" w:rsidP="00A457B2">
      <w:pPr>
        <w:tabs>
          <w:tab w:val="left" w:pos="0"/>
        </w:tabs>
        <w:spacing w:line="240" w:lineRule="auto"/>
        <w:rPr>
          <w:lang w:eastAsia="pt-PT"/>
        </w:rPr>
      </w:pPr>
      <w:r w:rsidRPr="00332E9D">
        <w:t xml:space="preserve">Combination of opicapone and MAO inhibitors could result in inhibition of the majority of the pathways responsible for the metabolism of catecholamines. Because of this, concomitant use of opicapone with MAO inhibitors (e.g. </w:t>
      </w:r>
      <w:proofErr w:type="spellStart"/>
      <w:r w:rsidRPr="00332E9D">
        <w:rPr>
          <w:lang w:eastAsia="pt-PT"/>
        </w:rPr>
        <w:t>phenelzine</w:t>
      </w:r>
      <w:proofErr w:type="spellEnd"/>
      <w:r w:rsidRPr="00332E9D">
        <w:rPr>
          <w:lang w:eastAsia="pt-PT"/>
        </w:rPr>
        <w:t>, tranylcypromine</w:t>
      </w:r>
      <w:r w:rsidR="00A84A27">
        <w:rPr>
          <w:lang w:eastAsia="pt-PT"/>
        </w:rPr>
        <w:t xml:space="preserve">, </w:t>
      </w:r>
      <w:proofErr w:type="spellStart"/>
      <w:r w:rsidR="00A84A27">
        <w:rPr>
          <w:lang w:eastAsia="pt-PT"/>
        </w:rPr>
        <w:t>linezolide</w:t>
      </w:r>
      <w:proofErr w:type="spellEnd"/>
      <w:r w:rsidRPr="00332E9D">
        <w:rPr>
          <w:lang w:eastAsia="pt-PT"/>
        </w:rPr>
        <w:t xml:space="preserve"> and </w:t>
      </w:r>
      <w:proofErr w:type="spellStart"/>
      <w:r w:rsidRPr="00332E9D">
        <w:rPr>
          <w:lang w:eastAsia="pt-PT"/>
        </w:rPr>
        <w:t>moclobemide</w:t>
      </w:r>
      <w:proofErr w:type="spellEnd"/>
      <w:r w:rsidRPr="00332E9D">
        <w:rPr>
          <w:lang w:eastAsia="pt-PT"/>
        </w:rPr>
        <w:t xml:space="preserve">) other than those for the treatment of Parkinson’s disease is contraindicated. </w:t>
      </w:r>
    </w:p>
    <w:p w14:paraId="06C7EB6D" w14:textId="77777777" w:rsidR="000D510D" w:rsidRDefault="000D510D" w:rsidP="00A457B2">
      <w:pPr>
        <w:tabs>
          <w:tab w:val="left" w:pos="0"/>
        </w:tabs>
        <w:spacing w:line="240" w:lineRule="auto"/>
        <w:rPr>
          <w:lang w:eastAsia="pt-PT"/>
        </w:rPr>
      </w:pPr>
    </w:p>
    <w:p w14:paraId="3AC44D49" w14:textId="1B8635BA" w:rsidR="006B21E9" w:rsidRPr="00332E9D" w:rsidRDefault="006B21E9" w:rsidP="00A457B2">
      <w:pPr>
        <w:tabs>
          <w:tab w:val="left" w:pos="0"/>
        </w:tabs>
        <w:spacing w:line="240" w:lineRule="auto"/>
        <w:rPr>
          <w:szCs w:val="22"/>
        </w:rPr>
      </w:pPr>
      <w:r w:rsidRPr="00332E9D">
        <w:rPr>
          <w:lang w:eastAsia="pt-PT"/>
        </w:rPr>
        <w:t xml:space="preserve">Concomitant use of opicapone and </w:t>
      </w:r>
      <w:r w:rsidRPr="00332E9D">
        <w:t>MAO inhibitors</w:t>
      </w:r>
      <w:r w:rsidRPr="00332E9D">
        <w:rPr>
          <w:lang w:eastAsia="pt-PT"/>
        </w:rPr>
        <w:t xml:space="preserve"> for the treatment of Parkinson’s disease</w:t>
      </w:r>
      <w:r w:rsidRPr="00332E9D">
        <w:t xml:space="preserve">, e.g. </w:t>
      </w:r>
      <w:proofErr w:type="spellStart"/>
      <w:r w:rsidRPr="00332E9D">
        <w:rPr>
          <w:lang w:eastAsia="pt-PT"/>
        </w:rPr>
        <w:t>rasagiline</w:t>
      </w:r>
      <w:proofErr w:type="spellEnd"/>
      <w:r w:rsidRPr="00332E9D">
        <w:rPr>
          <w:lang w:eastAsia="pt-PT"/>
        </w:rPr>
        <w:t xml:space="preserve"> (up to 1 mg/day) and selegiline (up to 10</w:t>
      </w:r>
      <w:r w:rsidR="004A25C3" w:rsidRPr="00332E9D">
        <w:rPr>
          <w:lang w:eastAsia="pt-PT"/>
        </w:rPr>
        <w:t> </w:t>
      </w:r>
      <w:r w:rsidRPr="00332E9D">
        <w:rPr>
          <w:lang w:eastAsia="pt-PT"/>
        </w:rPr>
        <w:t>mg/day in oral formulation or 1.25</w:t>
      </w:r>
      <w:r w:rsidR="004A25C3" w:rsidRPr="00332E9D">
        <w:rPr>
          <w:lang w:eastAsia="pt-PT"/>
        </w:rPr>
        <w:t> </w:t>
      </w:r>
      <w:r w:rsidRPr="00332E9D">
        <w:rPr>
          <w:lang w:eastAsia="pt-PT"/>
        </w:rPr>
        <w:t xml:space="preserve">mg/day in buccal absorption formulation), is permissible </w:t>
      </w:r>
      <w:r w:rsidRPr="00332E9D">
        <w:rPr>
          <w:rFonts w:eastAsia="SimSun"/>
          <w:szCs w:val="22"/>
          <w:lang w:eastAsia="pt-PT"/>
        </w:rPr>
        <w:t>(</w:t>
      </w:r>
      <w:r w:rsidRPr="00332E9D">
        <w:rPr>
          <w:szCs w:val="22"/>
        </w:rPr>
        <w:t>see section 4.3</w:t>
      </w:r>
      <w:r w:rsidR="004911DB">
        <w:rPr>
          <w:szCs w:val="22"/>
        </w:rPr>
        <w:t xml:space="preserve"> Contraindications</w:t>
      </w:r>
      <w:r w:rsidRPr="00332E9D">
        <w:rPr>
          <w:szCs w:val="22"/>
        </w:rPr>
        <w:t xml:space="preserve">). </w:t>
      </w:r>
    </w:p>
    <w:p w14:paraId="17D5B9B2" w14:textId="77777777" w:rsidR="006B21E9" w:rsidRPr="00332E9D" w:rsidRDefault="006B21E9" w:rsidP="00A457B2">
      <w:pPr>
        <w:rPr>
          <w:iCs/>
        </w:rPr>
      </w:pPr>
    </w:p>
    <w:p w14:paraId="7D41A2C6" w14:textId="77777777" w:rsidR="006B21E9" w:rsidRPr="00332E9D" w:rsidRDefault="006B21E9" w:rsidP="00A457B2">
      <w:pPr>
        <w:rPr>
          <w:iCs/>
        </w:rPr>
      </w:pPr>
      <w:r w:rsidRPr="00332E9D">
        <w:rPr>
          <w:iCs/>
        </w:rPr>
        <w:t>There is no experience with opicapone when used concomitantly with the MAO-B inhibitor safinamide. Therefore, their concomitant use should be considered with appropriate caution.</w:t>
      </w:r>
    </w:p>
    <w:p w14:paraId="7959823D" w14:textId="77777777" w:rsidR="006B21E9" w:rsidRPr="00332E9D" w:rsidRDefault="006B21E9" w:rsidP="00A457B2">
      <w:pPr>
        <w:pStyle w:val="Heading3"/>
      </w:pPr>
      <w:r w:rsidRPr="00332E9D">
        <w:t>Medicinal products metabolised by COMT</w:t>
      </w:r>
    </w:p>
    <w:p w14:paraId="79E64A34" w14:textId="77777777" w:rsidR="006B21E9" w:rsidRPr="00332E9D" w:rsidRDefault="006B21E9" w:rsidP="00A457B2">
      <w:pPr>
        <w:tabs>
          <w:tab w:val="left" w:pos="0"/>
        </w:tabs>
        <w:spacing w:line="240" w:lineRule="auto"/>
        <w:rPr>
          <w:szCs w:val="22"/>
          <w:u w:val="single"/>
        </w:rPr>
      </w:pPr>
    </w:p>
    <w:p w14:paraId="12B9AA66" w14:textId="3569E313" w:rsidR="006B21E9" w:rsidRPr="00332E9D" w:rsidRDefault="006B21E9" w:rsidP="00A457B2">
      <w:pPr>
        <w:tabs>
          <w:tab w:val="left" w:pos="0"/>
        </w:tabs>
        <w:spacing w:line="240" w:lineRule="auto"/>
        <w:rPr>
          <w:szCs w:val="22"/>
        </w:rPr>
      </w:pPr>
      <w:r w:rsidRPr="00332E9D">
        <w:rPr>
          <w:szCs w:val="22"/>
        </w:rPr>
        <w:t>Opicapone may interfere with the metabolism of medicinal products containing a catechol group that are metabolised by COMT</w:t>
      </w:r>
      <w:r w:rsidR="000D510D">
        <w:rPr>
          <w:szCs w:val="22"/>
        </w:rPr>
        <w:t xml:space="preserve"> (</w:t>
      </w:r>
      <w:r w:rsidRPr="00332E9D">
        <w:rPr>
          <w:szCs w:val="22"/>
        </w:rPr>
        <w:t xml:space="preserve">e.g. </w:t>
      </w:r>
      <w:proofErr w:type="spellStart"/>
      <w:r w:rsidRPr="00332E9D">
        <w:rPr>
          <w:szCs w:val="22"/>
        </w:rPr>
        <w:t>rimiterol</w:t>
      </w:r>
      <w:proofErr w:type="spellEnd"/>
      <w:r w:rsidR="000270CA">
        <w:rPr>
          <w:szCs w:val="22"/>
        </w:rPr>
        <w:t xml:space="preserve"> </w:t>
      </w:r>
      <w:proofErr w:type="spellStart"/>
      <w:r w:rsidR="000270CA">
        <w:rPr>
          <w:szCs w:val="22"/>
        </w:rPr>
        <w:t>hydrobromide</w:t>
      </w:r>
      <w:proofErr w:type="spellEnd"/>
      <w:r w:rsidRPr="00332E9D">
        <w:rPr>
          <w:szCs w:val="22"/>
        </w:rPr>
        <w:t xml:space="preserve">, </w:t>
      </w:r>
      <w:proofErr w:type="spellStart"/>
      <w:r w:rsidRPr="00332E9D">
        <w:rPr>
          <w:szCs w:val="22"/>
        </w:rPr>
        <w:t>isoprenaline</w:t>
      </w:r>
      <w:proofErr w:type="spellEnd"/>
      <w:r w:rsidRPr="00332E9D">
        <w:rPr>
          <w:szCs w:val="22"/>
        </w:rPr>
        <w:t>, adrenaline</w:t>
      </w:r>
      <w:r w:rsidR="007E76A9">
        <w:rPr>
          <w:szCs w:val="22"/>
        </w:rPr>
        <w:t xml:space="preserve"> (epinephrine)</w:t>
      </w:r>
      <w:r w:rsidRPr="00332E9D">
        <w:rPr>
          <w:szCs w:val="22"/>
        </w:rPr>
        <w:t>, noradrenaline</w:t>
      </w:r>
      <w:r w:rsidR="007E76A9">
        <w:rPr>
          <w:szCs w:val="22"/>
        </w:rPr>
        <w:t xml:space="preserve"> (norepinephrine)</w:t>
      </w:r>
      <w:r w:rsidRPr="00332E9D">
        <w:rPr>
          <w:szCs w:val="22"/>
        </w:rPr>
        <w:t>, dopamine, dopexamine or dobutamine</w:t>
      </w:r>
      <w:r w:rsidR="000D510D">
        <w:rPr>
          <w:szCs w:val="22"/>
        </w:rPr>
        <w:t>)</w:t>
      </w:r>
      <w:r w:rsidRPr="00332E9D">
        <w:rPr>
          <w:szCs w:val="22"/>
        </w:rPr>
        <w:t xml:space="preserve"> leading to potentiated effects of these medicinal products. Careful monitoring of patients being treated with these medicinal products is advised when opicapone is used. </w:t>
      </w:r>
    </w:p>
    <w:p w14:paraId="396C2886" w14:textId="00AB287E" w:rsidR="006B21E9" w:rsidRPr="00332E9D" w:rsidRDefault="006B21E9" w:rsidP="00A457B2">
      <w:pPr>
        <w:pStyle w:val="Heading3"/>
      </w:pPr>
      <w:r w:rsidRPr="00332E9D">
        <w:t>Tricyclic antidepressants and noradrenaline</w:t>
      </w:r>
      <w:r w:rsidR="007E76A9">
        <w:t xml:space="preserve"> (norepinephrine)</w:t>
      </w:r>
      <w:r w:rsidRPr="00332E9D">
        <w:t xml:space="preserve"> re-uptake inhibitors</w:t>
      </w:r>
    </w:p>
    <w:p w14:paraId="055B7FD0" w14:textId="77777777" w:rsidR="006B21E9" w:rsidRPr="00332E9D" w:rsidRDefault="006B21E9" w:rsidP="00A457B2">
      <w:pPr>
        <w:tabs>
          <w:tab w:val="left" w:pos="0"/>
        </w:tabs>
        <w:spacing w:line="240" w:lineRule="auto"/>
        <w:rPr>
          <w:szCs w:val="22"/>
          <w:u w:val="single"/>
        </w:rPr>
      </w:pPr>
    </w:p>
    <w:p w14:paraId="22430DF4" w14:textId="29ADF253" w:rsidR="006B21E9" w:rsidRDefault="006B21E9" w:rsidP="00A457B2">
      <w:pPr>
        <w:tabs>
          <w:tab w:val="left" w:pos="0"/>
        </w:tabs>
        <w:spacing w:line="240" w:lineRule="auto"/>
        <w:rPr>
          <w:szCs w:val="22"/>
        </w:rPr>
      </w:pPr>
      <w:r w:rsidRPr="00332E9D">
        <w:rPr>
          <w:szCs w:val="22"/>
        </w:rPr>
        <w:t>There is limited experience with opicapone when used concomitantly with tricyclic antidepressants and noradrenaline</w:t>
      </w:r>
      <w:r w:rsidR="007E76A9">
        <w:rPr>
          <w:szCs w:val="22"/>
        </w:rPr>
        <w:t xml:space="preserve"> (norepinephrine)</w:t>
      </w:r>
      <w:r w:rsidRPr="00332E9D">
        <w:rPr>
          <w:szCs w:val="22"/>
        </w:rPr>
        <w:t xml:space="preserve"> re-uptake inhibitors (e.g. venlafaxine, maprotiline and desipramine). Thus, their concomitant use should be considered with appropriate caution.</w:t>
      </w:r>
    </w:p>
    <w:p w14:paraId="5306BD98" w14:textId="77777777" w:rsidR="00A705CA" w:rsidRPr="00DF5CD2" w:rsidRDefault="00A705CA" w:rsidP="00A457B2">
      <w:pPr>
        <w:pStyle w:val="Heading3"/>
      </w:pPr>
      <w:r w:rsidRPr="00DF5CD2">
        <w:t xml:space="preserve">Hormonal contraceptives </w:t>
      </w:r>
    </w:p>
    <w:p w14:paraId="77C5A50C" w14:textId="77777777" w:rsidR="00246725" w:rsidRDefault="00246725" w:rsidP="00A457B2">
      <w:pPr>
        <w:rPr>
          <w:szCs w:val="22"/>
        </w:rPr>
      </w:pPr>
    </w:p>
    <w:p w14:paraId="6C41640F" w14:textId="099A1934" w:rsidR="00A705CA" w:rsidRPr="000169FA" w:rsidRDefault="00A705CA" w:rsidP="00A457B2">
      <w:pPr>
        <w:rPr>
          <w:szCs w:val="22"/>
        </w:rPr>
      </w:pPr>
      <w:r w:rsidRPr="000169FA">
        <w:rPr>
          <w:szCs w:val="22"/>
        </w:rPr>
        <w:t>The potential for drug interactions between opicapone and hormonal contraceptives had not been assessed. Female patients on oral contraceptives, while on treatment with opicapone should be informed that additional non-hormonal methods of contraception are to be used.</w:t>
      </w:r>
    </w:p>
    <w:p w14:paraId="2ECCBEE0" w14:textId="47A40D5C" w:rsidR="00846B7B" w:rsidRDefault="00846B7B" w:rsidP="00A457B2">
      <w:pPr>
        <w:pStyle w:val="Heading3"/>
      </w:pPr>
      <w:r w:rsidRPr="00FD643A">
        <w:t>Influence of opicapone over other substances</w:t>
      </w:r>
    </w:p>
    <w:p w14:paraId="7A00F520" w14:textId="77777777" w:rsidR="00CC1FA9" w:rsidRDefault="00CC1FA9" w:rsidP="00A457B2">
      <w:pPr>
        <w:pStyle w:val="Heading3"/>
      </w:pPr>
      <w:r>
        <w:t>Warfarin</w:t>
      </w:r>
    </w:p>
    <w:p w14:paraId="11C8D885" w14:textId="6E1DF03A" w:rsidR="00CC1FA9" w:rsidRDefault="00CC1FA9" w:rsidP="00A457B2"/>
    <w:p w14:paraId="61271E96" w14:textId="4D1E761B" w:rsidR="00CC1FA9" w:rsidRPr="00922290" w:rsidRDefault="00CC1FA9" w:rsidP="00A457B2">
      <w:r>
        <w:t xml:space="preserve">After the co-administration of multiple doses of 50 mg of opicapone QD and a single dose of 25 mg of warfarin, the </w:t>
      </w:r>
      <w:proofErr w:type="spellStart"/>
      <w:r>
        <w:t>C</w:t>
      </w:r>
      <w:r w:rsidRPr="00871D22">
        <w:rPr>
          <w:vertAlign w:val="subscript"/>
        </w:rPr>
        <w:t>max</w:t>
      </w:r>
      <w:proofErr w:type="spellEnd"/>
      <w:r>
        <w:t xml:space="preserve"> of warfarin S and R (CYP2C9, 3A4 end 1A2 substrates) remained unchanged. A reduction of 13.,7% and 14.,8% of the - AUC of warfarin S and R (respectively) was observed in the presence of opicapone. </w:t>
      </w:r>
    </w:p>
    <w:p w14:paraId="009058BE" w14:textId="260800F8" w:rsidR="00426D45" w:rsidRDefault="00426D45" w:rsidP="00A457B2">
      <w:pPr>
        <w:spacing w:line="240" w:lineRule="auto"/>
      </w:pPr>
    </w:p>
    <w:p w14:paraId="423C6063" w14:textId="4596BACB" w:rsidR="00B26803" w:rsidRDefault="00B26803" w:rsidP="00A457B2">
      <w:pPr>
        <w:tabs>
          <w:tab w:val="left" w:pos="0"/>
        </w:tabs>
        <w:spacing w:line="240" w:lineRule="auto"/>
        <w:rPr>
          <w:rFonts w:ascii="Arial" w:eastAsia="MS Gothic" w:hAnsi="Arial" w:cs="Arial"/>
          <w:b/>
          <w:kern w:val="32"/>
          <w:sz w:val="22"/>
          <w:szCs w:val="26"/>
          <w:lang w:val="en-US"/>
        </w:rPr>
      </w:pPr>
      <w:r w:rsidRPr="00B65C51">
        <w:rPr>
          <w:rFonts w:ascii="Arial" w:eastAsia="MS Gothic" w:hAnsi="Arial" w:cs="Arial"/>
          <w:b/>
          <w:kern w:val="32"/>
          <w:sz w:val="22"/>
          <w:szCs w:val="26"/>
          <w:lang w:val="en-US"/>
        </w:rPr>
        <w:t>CYP2C8 and OATP1B1 substrates</w:t>
      </w:r>
    </w:p>
    <w:p w14:paraId="3CB64E44" w14:textId="77777777" w:rsidR="00426D45" w:rsidRDefault="00426D45" w:rsidP="00A457B2">
      <w:pPr>
        <w:tabs>
          <w:tab w:val="left" w:pos="0"/>
        </w:tabs>
        <w:spacing w:line="240" w:lineRule="auto"/>
        <w:rPr>
          <w:rFonts w:ascii="Arial" w:eastAsia="MS Gothic" w:hAnsi="Arial" w:cs="Arial"/>
          <w:b/>
          <w:kern w:val="32"/>
          <w:sz w:val="22"/>
          <w:szCs w:val="26"/>
          <w:lang w:val="en-US"/>
        </w:rPr>
      </w:pPr>
    </w:p>
    <w:p w14:paraId="77A3B91C" w14:textId="77777777" w:rsidR="00426D45" w:rsidRDefault="00426D45" w:rsidP="00A457B2">
      <w:pPr>
        <w:spacing w:line="240" w:lineRule="auto"/>
      </w:pPr>
      <w:r>
        <w:t>Opicapone is a weak inhibitor of CYP2C8 (with an estimated Ki of 0.9 mcg/mL) and of OATP1B1, under</w:t>
      </w:r>
      <w:r w:rsidRPr="00426D45">
        <w:rPr>
          <w:i/>
          <w:iCs/>
        </w:rPr>
        <w:t xml:space="preserve"> in vitro</w:t>
      </w:r>
      <w:r>
        <w:t xml:space="preserve"> testing.</w:t>
      </w:r>
    </w:p>
    <w:p w14:paraId="5F01668C" w14:textId="77777777" w:rsidR="00426D45" w:rsidRDefault="00426D45" w:rsidP="00A457B2">
      <w:pPr>
        <w:spacing w:line="240" w:lineRule="auto"/>
      </w:pPr>
    </w:p>
    <w:p w14:paraId="70E69185" w14:textId="39C83DEE" w:rsidR="006E190A" w:rsidRPr="006E190A" w:rsidRDefault="00426D45" w:rsidP="00A457B2">
      <w:pPr>
        <w:rPr>
          <w:color w:val="FF0000"/>
          <w:szCs w:val="22"/>
        </w:rPr>
      </w:pPr>
      <w:r>
        <w:t>A clinical study conducted in healthy subjects showed that there were no significant changes in the total plasma exposure of repaglinide, a CYP2C8 and OATP1B1 substrate, when administered concomitantly with opicapone 50 mg, following repeated once-daily administration.</w:t>
      </w:r>
    </w:p>
    <w:p w14:paraId="064A0F61" w14:textId="5DCEB278" w:rsidR="00FB40CB" w:rsidRDefault="00FB40CB" w:rsidP="00A457B2">
      <w:pPr>
        <w:tabs>
          <w:tab w:val="left" w:pos="0"/>
        </w:tabs>
        <w:spacing w:line="240" w:lineRule="auto"/>
        <w:rPr>
          <w:szCs w:val="22"/>
        </w:rPr>
      </w:pPr>
    </w:p>
    <w:p w14:paraId="15D20A8B" w14:textId="77777777" w:rsidR="000067C0" w:rsidRPr="005E5474" w:rsidRDefault="000067C0" w:rsidP="00A457B2">
      <w:pPr>
        <w:rPr>
          <w:b/>
          <w:bCs/>
          <w:lang w:eastAsia="pt-PT"/>
        </w:rPr>
      </w:pPr>
      <w:r w:rsidRPr="00F63997">
        <w:rPr>
          <w:rFonts w:ascii="Arial" w:eastAsia="MS Gothic" w:hAnsi="Arial" w:cs="Arial"/>
          <w:b/>
          <w:i/>
          <w:iCs/>
          <w:kern w:val="32"/>
          <w:sz w:val="22"/>
          <w:szCs w:val="26"/>
          <w:lang w:val="en-US"/>
        </w:rPr>
        <w:t>In Vitro</w:t>
      </w:r>
      <w:r w:rsidRPr="005E5474">
        <w:rPr>
          <w:rFonts w:ascii="Arial" w:eastAsia="MS Gothic" w:hAnsi="Arial" w:cs="Arial"/>
          <w:b/>
          <w:kern w:val="32"/>
          <w:sz w:val="22"/>
          <w:szCs w:val="26"/>
          <w:lang w:val="en-US"/>
        </w:rPr>
        <w:t xml:space="preserve"> Studies</w:t>
      </w:r>
    </w:p>
    <w:p w14:paraId="0A345CA0" w14:textId="77777777" w:rsidR="000067C0" w:rsidRDefault="000067C0" w:rsidP="00A457B2">
      <w:pPr>
        <w:tabs>
          <w:tab w:val="left" w:pos="0"/>
        </w:tabs>
        <w:spacing w:line="240" w:lineRule="auto"/>
        <w:rPr>
          <w:szCs w:val="22"/>
        </w:rPr>
      </w:pPr>
    </w:p>
    <w:p w14:paraId="66CC487F" w14:textId="3371C82D" w:rsidR="00FD643A" w:rsidRDefault="00FD643A" w:rsidP="00A457B2">
      <w:pPr>
        <w:tabs>
          <w:tab w:val="left" w:pos="0"/>
        </w:tabs>
        <w:spacing w:line="240" w:lineRule="auto"/>
        <w:rPr>
          <w:szCs w:val="22"/>
        </w:rPr>
      </w:pPr>
      <w:r w:rsidRPr="00FD643A">
        <w:rPr>
          <w:szCs w:val="22"/>
        </w:rPr>
        <w:t xml:space="preserve">In </w:t>
      </w:r>
      <w:r w:rsidRPr="00FD643A">
        <w:rPr>
          <w:i/>
          <w:iCs/>
          <w:szCs w:val="22"/>
        </w:rPr>
        <w:t>in vitro</w:t>
      </w:r>
      <w:r w:rsidRPr="00FD643A">
        <w:rPr>
          <w:szCs w:val="22"/>
        </w:rPr>
        <w:t xml:space="preserve"> studies in human hepatic microsomes, minor inhibition of CYP1A2 and CYP2B6 was observed. All reductions in activity essentially occurred at the highest concentration of opicapone (10 mcg/mL).</w:t>
      </w:r>
    </w:p>
    <w:p w14:paraId="2F1940CA" w14:textId="77777777" w:rsidR="00EB0024" w:rsidRPr="00FD643A" w:rsidRDefault="00EB0024" w:rsidP="00A457B2">
      <w:pPr>
        <w:tabs>
          <w:tab w:val="left" w:pos="0"/>
        </w:tabs>
        <w:spacing w:line="240" w:lineRule="auto"/>
        <w:rPr>
          <w:szCs w:val="22"/>
        </w:rPr>
      </w:pPr>
    </w:p>
    <w:p w14:paraId="72DE94CA" w14:textId="04C359F2" w:rsidR="00FD643A" w:rsidRPr="003B62EF" w:rsidRDefault="00FD643A" w:rsidP="00A457B2">
      <w:pPr>
        <w:tabs>
          <w:tab w:val="left" w:pos="0"/>
        </w:tabs>
        <w:spacing w:line="240" w:lineRule="auto"/>
        <w:rPr>
          <w:szCs w:val="22"/>
        </w:rPr>
      </w:pPr>
      <w:r w:rsidRPr="003B62EF">
        <w:rPr>
          <w:szCs w:val="22"/>
        </w:rPr>
        <w:t>Opicapone inhibited CYP2C8 activity with an estimated Ki of 0</w:t>
      </w:r>
      <w:r w:rsidRPr="00F53265">
        <w:rPr>
          <w:szCs w:val="22"/>
        </w:rPr>
        <w:t>.9 mcg/</w:t>
      </w:r>
      <w:proofErr w:type="spellStart"/>
      <w:r w:rsidRPr="00F53265">
        <w:rPr>
          <w:szCs w:val="22"/>
        </w:rPr>
        <w:t>mL.</w:t>
      </w:r>
      <w:proofErr w:type="spellEnd"/>
      <w:r w:rsidRPr="00F53265">
        <w:rPr>
          <w:szCs w:val="22"/>
        </w:rPr>
        <w:t xml:space="preserve"> </w:t>
      </w:r>
    </w:p>
    <w:p w14:paraId="7278EB40" w14:textId="0ABDDB84" w:rsidR="00407BFF" w:rsidRDefault="00407BFF" w:rsidP="00A457B2">
      <w:pPr>
        <w:tabs>
          <w:tab w:val="left" w:pos="0"/>
        </w:tabs>
        <w:spacing w:line="240" w:lineRule="auto"/>
        <w:rPr>
          <w:szCs w:val="22"/>
        </w:rPr>
      </w:pPr>
    </w:p>
    <w:p w14:paraId="224E0A80" w14:textId="77777777" w:rsidR="005E5474" w:rsidRDefault="00FD643A" w:rsidP="00A457B2">
      <w:r>
        <w:t>Opicapone reduced CYP2C9 activity through competitive / mixed type mode of inhibition.</w:t>
      </w:r>
      <w:r w:rsidR="00B02325">
        <w:t xml:space="preserve"> </w:t>
      </w:r>
      <w:bookmarkStart w:id="6" w:name="_Hlk39512693"/>
    </w:p>
    <w:bookmarkEnd w:id="6"/>
    <w:p w14:paraId="3A1E07F6" w14:textId="0AEBD368" w:rsidR="00BA184D" w:rsidRDefault="00BA184D" w:rsidP="00A457B2"/>
    <w:p w14:paraId="57B56250" w14:textId="0CCCA313" w:rsidR="00BA184D" w:rsidRDefault="00BA184D" w:rsidP="00A457B2">
      <w:r>
        <w:t xml:space="preserve">Opicapone and/or BIA 9-1103 inhibits OAT1, OAT3, OATP1B1, OATP1B3 and BSEP </w:t>
      </w:r>
      <w:r w:rsidRPr="000D510D">
        <w:rPr>
          <w:i/>
          <w:iCs/>
        </w:rPr>
        <w:t>in vitro</w:t>
      </w:r>
      <w:r>
        <w:t>.</w:t>
      </w:r>
    </w:p>
    <w:p w14:paraId="2198CC73" w14:textId="2846C762" w:rsidR="00BD1F3F" w:rsidRDefault="00BD1F3F" w:rsidP="00A457B2"/>
    <w:p w14:paraId="3E5BD364" w14:textId="1419EC10" w:rsidR="00BD1F3F" w:rsidRPr="003B62EF" w:rsidRDefault="00BD1F3F" w:rsidP="00A457B2">
      <w:r w:rsidRPr="003B62EF">
        <w:t>Considering the plasma free fractions of opicapone and BIA 9-1103 detected in clinical studies, no interaction is expected in OAT1, OAT3, OATP1B1, OATP1B3, OCT1, OCT2, BCRP, P-</w:t>
      </w:r>
      <w:proofErr w:type="spellStart"/>
      <w:r w:rsidRPr="003B62EF">
        <w:t>gp</w:t>
      </w:r>
      <w:proofErr w:type="spellEnd"/>
      <w:r w:rsidRPr="003B62EF">
        <w:t xml:space="preserve">/MDR1, BSEP, MATE1 and </w:t>
      </w:r>
      <w:r w:rsidRPr="00F53265">
        <w:t>MATE2-K transporters. Inhibition of OATP1B1 cannot be ruled out.</w:t>
      </w:r>
    </w:p>
    <w:p w14:paraId="5698780C" w14:textId="6924541E" w:rsidR="00FD643A" w:rsidRDefault="00FD643A" w:rsidP="00A457B2">
      <w:pPr>
        <w:pStyle w:val="Heading3"/>
      </w:pPr>
      <w:r w:rsidRPr="00B02325">
        <w:rPr>
          <w:sz w:val="24"/>
          <w:szCs w:val="20"/>
        </w:rPr>
        <w:t xml:space="preserve">Influence of </w:t>
      </w:r>
      <w:r w:rsidRPr="00FD643A">
        <w:t>other substances over opicapone</w:t>
      </w:r>
    </w:p>
    <w:p w14:paraId="31BBF1CB" w14:textId="77777777" w:rsidR="003A1053" w:rsidRPr="00D24838" w:rsidRDefault="003A1053" w:rsidP="00A457B2"/>
    <w:p w14:paraId="32425474" w14:textId="3E4D3759" w:rsidR="00FD643A" w:rsidRPr="00FD643A" w:rsidRDefault="00FD643A" w:rsidP="00A457B2">
      <w:pPr>
        <w:tabs>
          <w:tab w:val="left" w:pos="0"/>
        </w:tabs>
        <w:spacing w:line="240" w:lineRule="auto"/>
      </w:pPr>
      <w:r w:rsidRPr="000169FA">
        <w:rPr>
          <w:i/>
          <w:iCs/>
        </w:rPr>
        <w:t xml:space="preserve">In vitro </w:t>
      </w:r>
      <w:r>
        <w:t>studies have shown that opicapone is not transported by OATP1B1, but is transported by OATP1B3,</w:t>
      </w:r>
      <w:r w:rsidR="00B34CF2">
        <w:t xml:space="preserve"> </w:t>
      </w:r>
      <w:r>
        <w:t>and efflux transported by P-</w:t>
      </w:r>
      <w:proofErr w:type="spellStart"/>
      <w:r>
        <w:t>gp</w:t>
      </w:r>
      <w:proofErr w:type="spellEnd"/>
      <w:r>
        <w:t xml:space="preserve"> and BCRP. BIA 9-1103, its major metabolite, was transported by OATP1B1 and OATP1B3, and efflux transported by BCRP, but is not a substrate for the P-</w:t>
      </w:r>
      <w:proofErr w:type="spellStart"/>
      <w:r>
        <w:t>gp</w:t>
      </w:r>
      <w:proofErr w:type="spellEnd"/>
      <w:r>
        <w:t>/MDR1 efflux transporter.</w:t>
      </w:r>
    </w:p>
    <w:p w14:paraId="35AEB5CA" w14:textId="66EDAB30" w:rsidR="00FD643A" w:rsidRPr="00FD643A" w:rsidRDefault="00FD643A" w:rsidP="00A457B2">
      <w:pPr>
        <w:tabs>
          <w:tab w:val="left" w:pos="0"/>
        </w:tabs>
        <w:spacing w:line="240" w:lineRule="auto"/>
        <w:rPr>
          <w:szCs w:val="22"/>
        </w:rPr>
      </w:pPr>
    </w:p>
    <w:p w14:paraId="0199A18D" w14:textId="3351160B" w:rsidR="003A1053" w:rsidRDefault="00FD643A" w:rsidP="00A457B2">
      <w:pPr>
        <w:tabs>
          <w:tab w:val="left" w:pos="0"/>
        </w:tabs>
        <w:spacing w:line="240" w:lineRule="auto"/>
        <w:rPr>
          <w:szCs w:val="22"/>
        </w:rPr>
      </w:pPr>
      <w:r w:rsidRPr="00FD643A">
        <w:rPr>
          <w:szCs w:val="22"/>
        </w:rPr>
        <w:t xml:space="preserve">The effects of the inhibitors of OATP1B3, </w:t>
      </w:r>
      <w:proofErr w:type="spellStart"/>
      <w:r w:rsidRPr="00FD643A">
        <w:rPr>
          <w:szCs w:val="22"/>
        </w:rPr>
        <w:t>Pgp</w:t>
      </w:r>
      <w:proofErr w:type="spellEnd"/>
      <w:r w:rsidRPr="00FD643A">
        <w:rPr>
          <w:szCs w:val="22"/>
        </w:rPr>
        <w:t xml:space="preserve"> or BCRP on the pharmacokinetics of OPC and BIA 9-1103 were not studied.</w:t>
      </w:r>
    </w:p>
    <w:p w14:paraId="0976C04B" w14:textId="48C76D20" w:rsidR="000067C0" w:rsidRDefault="000067C0" w:rsidP="00A457B2">
      <w:pPr>
        <w:tabs>
          <w:tab w:val="left" w:pos="0"/>
        </w:tabs>
        <w:spacing w:line="240" w:lineRule="auto"/>
        <w:rPr>
          <w:szCs w:val="22"/>
        </w:rPr>
      </w:pPr>
    </w:p>
    <w:p w14:paraId="055BB893" w14:textId="77777777" w:rsidR="00A457B2" w:rsidRDefault="00A457B2" w:rsidP="00A457B2">
      <w:pPr>
        <w:tabs>
          <w:tab w:val="left" w:pos="0"/>
        </w:tabs>
        <w:spacing w:line="240" w:lineRule="auto"/>
        <w:rPr>
          <w:rFonts w:ascii="Arial" w:eastAsia="MS Gothic" w:hAnsi="Arial" w:cs="Arial"/>
          <w:b/>
          <w:bCs/>
          <w:sz w:val="22"/>
          <w:szCs w:val="22"/>
          <w:lang w:val="en-US"/>
        </w:rPr>
      </w:pPr>
      <w:bookmarkStart w:id="7" w:name="_Hlk38967636"/>
    </w:p>
    <w:p w14:paraId="16204759" w14:textId="77777777" w:rsidR="00A457B2" w:rsidRDefault="00A457B2" w:rsidP="00A457B2">
      <w:pPr>
        <w:tabs>
          <w:tab w:val="left" w:pos="0"/>
        </w:tabs>
        <w:spacing w:line="240" w:lineRule="auto"/>
        <w:rPr>
          <w:rFonts w:ascii="Arial" w:eastAsia="MS Gothic" w:hAnsi="Arial" w:cs="Arial"/>
          <w:b/>
          <w:bCs/>
          <w:sz w:val="22"/>
          <w:szCs w:val="22"/>
          <w:lang w:val="en-US"/>
        </w:rPr>
      </w:pPr>
    </w:p>
    <w:p w14:paraId="5D3A7F6E" w14:textId="77777777" w:rsidR="00A457B2" w:rsidRDefault="00A457B2" w:rsidP="00A457B2">
      <w:pPr>
        <w:tabs>
          <w:tab w:val="left" w:pos="0"/>
        </w:tabs>
        <w:spacing w:line="240" w:lineRule="auto"/>
        <w:rPr>
          <w:rFonts w:ascii="Arial" w:eastAsia="MS Gothic" w:hAnsi="Arial" w:cs="Arial"/>
          <w:b/>
          <w:bCs/>
          <w:sz w:val="22"/>
          <w:szCs w:val="22"/>
          <w:lang w:val="en-US"/>
        </w:rPr>
      </w:pPr>
    </w:p>
    <w:p w14:paraId="2F6D551C" w14:textId="7E27F04C" w:rsidR="00692500" w:rsidRPr="00B65C51" w:rsidDel="000067C0" w:rsidRDefault="00692500" w:rsidP="00A457B2">
      <w:pPr>
        <w:tabs>
          <w:tab w:val="left" w:pos="0"/>
        </w:tabs>
        <w:spacing w:line="240" w:lineRule="auto"/>
        <w:rPr>
          <w:rFonts w:ascii="Arial" w:eastAsia="MS Gothic" w:hAnsi="Arial" w:cs="Arial"/>
          <w:b/>
          <w:bCs/>
          <w:kern w:val="32"/>
          <w:sz w:val="22"/>
          <w:szCs w:val="22"/>
          <w:lang w:val="en-US"/>
        </w:rPr>
      </w:pPr>
      <w:r w:rsidRPr="27FD7482" w:rsidDel="000067C0">
        <w:rPr>
          <w:rFonts w:ascii="Arial" w:eastAsia="MS Gothic" w:hAnsi="Arial" w:cs="Arial"/>
          <w:b/>
          <w:bCs/>
          <w:sz w:val="22"/>
          <w:szCs w:val="22"/>
          <w:lang w:val="en-US"/>
        </w:rPr>
        <w:t>Quinidine</w:t>
      </w:r>
    </w:p>
    <w:p w14:paraId="54F33C8A" w14:textId="43B11A48" w:rsidR="00692500" w:rsidRPr="003F5678" w:rsidDel="000067C0" w:rsidRDefault="00692500" w:rsidP="00A457B2">
      <w:pPr>
        <w:tabs>
          <w:tab w:val="left" w:pos="0"/>
        </w:tabs>
        <w:spacing w:line="240" w:lineRule="auto"/>
      </w:pPr>
      <w:r w:rsidRPr="27FD7482" w:rsidDel="000067C0">
        <w:rPr>
          <w:lang w:val="en-US"/>
        </w:rPr>
        <w:t>A study conducted in healthy volunteers showed that when a single dose of 50 mg opicapone was co-administered (within 1 hour) with a single dose of quinidine (600 mg), systemic exposure of opicapone decreased by 37% AUC</w:t>
      </w:r>
      <w:r w:rsidRPr="27FD7482" w:rsidDel="000067C0">
        <w:rPr>
          <w:vertAlign w:val="subscript"/>
          <w:lang w:val="en-US"/>
        </w:rPr>
        <w:t>0-tlast</w:t>
      </w:r>
      <w:r>
        <w:rPr>
          <w:lang w:val="en-US"/>
        </w:rPr>
        <w:t xml:space="preserve"> and </w:t>
      </w:r>
      <w:r w:rsidRPr="00692500">
        <w:rPr>
          <w:lang w:val="en-US"/>
        </w:rPr>
        <w:t xml:space="preserve">30% </w:t>
      </w:r>
      <w:proofErr w:type="spellStart"/>
      <w:r w:rsidRPr="00692500">
        <w:rPr>
          <w:lang w:val="en-US"/>
        </w:rPr>
        <w:t>C</w:t>
      </w:r>
      <w:r w:rsidRPr="00692500">
        <w:rPr>
          <w:vertAlign w:val="subscript"/>
          <w:lang w:val="en-US"/>
        </w:rPr>
        <w:t>max</w:t>
      </w:r>
      <w:proofErr w:type="spellEnd"/>
      <w:r w:rsidRPr="00692500">
        <w:rPr>
          <w:lang w:val="en-US"/>
        </w:rPr>
        <w:t>.</w:t>
      </w:r>
      <w:r w:rsidRPr="27FD7482" w:rsidDel="000067C0">
        <w:rPr>
          <w:lang w:val="en-US"/>
        </w:rPr>
        <w:t xml:space="preserve"> Thus, particular consideration should be given to cases where quinidine needs to be administered together with opicapone as their co-administration should be avoided. </w:t>
      </w:r>
    </w:p>
    <w:bookmarkEnd w:id="7"/>
    <w:p w14:paraId="4949BE8C" w14:textId="1DD975EE" w:rsidR="006B21E9" w:rsidRPr="00BC7E99" w:rsidRDefault="00B20B68" w:rsidP="00A457B2">
      <w:pPr>
        <w:pStyle w:val="Heading2"/>
      </w:pPr>
      <w:r w:rsidRPr="00BC7E99">
        <w:t>FERTILITY, PREGNANCY AND LACTATION</w:t>
      </w:r>
    </w:p>
    <w:p w14:paraId="399A3C43" w14:textId="77777777" w:rsidR="00B20B68" w:rsidRPr="009B78CE" w:rsidRDefault="00B20B68" w:rsidP="00A457B2">
      <w:pPr>
        <w:pStyle w:val="Heading3"/>
        <w:rPr>
          <w:b w:val="0"/>
        </w:rPr>
      </w:pPr>
      <w:r w:rsidRPr="009B78CE">
        <w:t>Effects on fertility</w:t>
      </w:r>
    </w:p>
    <w:p w14:paraId="6D06A11E" w14:textId="77777777" w:rsidR="00A73692" w:rsidRDefault="00A73692" w:rsidP="00A457B2"/>
    <w:p w14:paraId="006D0E5F" w14:textId="0EA6CFB4" w:rsidR="008470F0" w:rsidRDefault="00FD643A" w:rsidP="00A457B2">
      <w:pPr>
        <w:rPr>
          <w:szCs w:val="24"/>
        </w:rPr>
      </w:pPr>
      <w:r w:rsidRPr="0023450C">
        <w:rPr>
          <w:szCs w:val="24"/>
        </w:rPr>
        <w:t>The effects of opicapone on fertility in humans have not been studied.</w:t>
      </w:r>
    </w:p>
    <w:p w14:paraId="3F0F6536" w14:textId="77777777" w:rsidR="008470F0" w:rsidRDefault="008470F0" w:rsidP="00A457B2">
      <w:pPr>
        <w:rPr>
          <w:iCs/>
          <w:szCs w:val="24"/>
        </w:rPr>
      </w:pPr>
    </w:p>
    <w:p w14:paraId="42A88E9C" w14:textId="339FDC2D" w:rsidR="00796E0F" w:rsidRPr="0023450C" w:rsidRDefault="00BC33B0" w:rsidP="00A457B2">
      <w:pPr>
        <w:rPr>
          <w:rFonts w:cs="Arial"/>
          <w:szCs w:val="24"/>
        </w:rPr>
      </w:pPr>
      <w:r w:rsidRPr="0023450C">
        <w:rPr>
          <w:iCs/>
          <w:szCs w:val="24"/>
        </w:rPr>
        <w:t>In rats, opicapone did not affect male and female fertility or prenatal development at exposure levels 16-17 times the therapeutic exposure in humans.</w:t>
      </w:r>
    </w:p>
    <w:p w14:paraId="232FB30B" w14:textId="4933CABE" w:rsidR="006B21E9" w:rsidRPr="00B47785" w:rsidRDefault="00427B3D" w:rsidP="00A457B2">
      <w:pPr>
        <w:pStyle w:val="Heading3"/>
        <w:rPr>
          <w:u w:val="single"/>
        </w:rPr>
      </w:pPr>
      <w:r w:rsidRPr="009B78CE">
        <w:t>Use in p</w:t>
      </w:r>
      <w:r w:rsidR="006B21E9" w:rsidRPr="009B78CE">
        <w:t>regnancy</w:t>
      </w:r>
      <w:r w:rsidRPr="009B78CE">
        <w:t xml:space="preserve"> </w:t>
      </w:r>
      <w:r w:rsidRPr="005965A1">
        <w:t>– Pregnancy Category</w:t>
      </w:r>
      <w:r w:rsidRPr="00B47785">
        <w:t xml:space="preserve"> </w:t>
      </w:r>
      <w:r w:rsidRPr="007F7205">
        <w:t>B2</w:t>
      </w:r>
      <w:r w:rsidRPr="00B47785">
        <w:rPr>
          <w:u w:val="single"/>
        </w:rPr>
        <w:t xml:space="preserve"> </w:t>
      </w:r>
    </w:p>
    <w:p w14:paraId="77F4839C" w14:textId="77777777" w:rsidR="006B21E9" w:rsidRPr="00332E9D" w:rsidRDefault="006B21E9" w:rsidP="00A457B2">
      <w:pPr>
        <w:rPr>
          <w:szCs w:val="22"/>
          <w:u w:val="single"/>
        </w:rPr>
      </w:pPr>
    </w:p>
    <w:p w14:paraId="7A69F6F9" w14:textId="512AA8D0" w:rsidR="006B21E9" w:rsidRDefault="006B21E9" w:rsidP="00A457B2">
      <w:r w:rsidRPr="00332E9D">
        <w:rPr>
          <w:szCs w:val="22"/>
        </w:rPr>
        <w:t xml:space="preserve">There </w:t>
      </w:r>
      <w:r w:rsidR="00572762" w:rsidRPr="00332E9D">
        <w:rPr>
          <w:szCs w:val="22"/>
        </w:rPr>
        <w:t>are no or</w:t>
      </w:r>
      <w:r w:rsidRPr="00332E9D">
        <w:rPr>
          <w:szCs w:val="22"/>
        </w:rPr>
        <w:t xml:space="preserve"> limited </w:t>
      </w:r>
      <w:r w:rsidR="00572762" w:rsidRPr="00332E9D">
        <w:rPr>
          <w:szCs w:val="22"/>
        </w:rPr>
        <w:t xml:space="preserve">amount of </w:t>
      </w:r>
      <w:r w:rsidRPr="00332E9D">
        <w:rPr>
          <w:szCs w:val="22"/>
        </w:rPr>
        <w:t xml:space="preserve">data from the use of opicapone in pregnant women. </w:t>
      </w:r>
      <w:r w:rsidR="00572762" w:rsidRPr="00332E9D">
        <w:rPr>
          <w:szCs w:val="22"/>
        </w:rPr>
        <w:t>Animal studies are insufficient with respect to reproductive toxicity</w:t>
      </w:r>
      <w:r w:rsidRPr="00332E9D">
        <w:rPr>
          <w:szCs w:val="22"/>
        </w:rPr>
        <w:t xml:space="preserve">. </w:t>
      </w:r>
      <w:r w:rsidR="002C3792" w:rsidRPr="00332E9D">
        <w:t>ONGENTYS</w:t>
      </w:r>
      <w:r w:rsidRPr="00332E9D">
        <w:t xml:space="preserve"> </w:t>
      </w:r>
      <w:r w:rsidR="00572762" w:rsidRPr="00332E9D">
        <w:t xml:space="preserve">is not recommended </w:t>
      </w:r>
      <w:r w:rsidRPr="00332E9D">
        <w:t>during pregnancy</w:t>
      </w:r>
      <w:r w:rsidR="00572762" w:rsidRPr="00332E9D">
        <w:t xml:space="preserve"> and in women of childbearing potential not using contraception</w:t>
      </w:r>
      <w:r w:rsidRPr="00332E9D">
        <w:t>.</w:t>
      </w:r>
    </w:p>
    <w:p w14:paraId="3399CAB8" w14:textId="2E02C4A5" w:rsidR="006A226B" w:rsidRDefault="006A226B" w:rsidP="00A457B2"/>
    <w:p w14:paraId="6EF6B945" w14:textId="6C9B1BB6" w:rsidR="006A226B" w:rsidRPr="0023450C" w:rsidRDefault="006A226B" w:rsidP="00A457B2">
      <w:pPr>
        <w:rPr>
          <w:rFonts w:cs="Arial"/>
          <w:szCs w:val="24"/>
        </w:rPr>
      </w:pPr>
      <w:r w:rsidRPr="0023450C">
        <w:rPr>
          <w:rFonts w:cs="Arial"/>
          <w:szCs w:val="24"/>
        </w:rPr>
        <w:t xml:space="preserve">In rats opicapone was not teratogenic at </w:t>
      </w:r>
      <w:r w:rsidRPr="0009683C">
        <w:rPr>
          <w:rFonts w:cs="Arial"/>
          <w:szCs w:val="24"/>
        </w:rPr>
        <w:t xml:space="preserve">oral doses up to 1000 mg/kg/day </w:t>
      </w:r>
      <w:r>
        <w:rPr>
          <w:rFonts w:cs="Arial"/>
          <w:szCs w:val="24"/>
        </w:rPr>
        <w:t>(</w:t>
      </w:r>
      <w:r w:rsidRPr="0023450C">
        <w:rPr>
          <w:rFonts w:cs="Arial"/>
          <w:szCs w:val="24"/>
        </w:rPr>
        <w:t>exposure levels 31 times the therapeutic exposure in humans</w:t>
      </w:r>
      <w:r>
        <w:rPr>
          <w:rFonts w:cs="Arial"/>
          <w:szCs w:val="24"/>
        </w:rPr>
        <w:t>)</w:t>
      </w:r>
      <w:r w:rsidRPr="0023450C">
        <w:rPr>
          <w:rFonts w:cs="Arial"/>
          <w:szCs w:val="24"/>
        </w:rPr>
        <w:t xml:space="preserve">. </w:t>
      </w:r>
      <w:r w:rsidRPr="0023450C">
        <w:rPr>
          <w:iCs/>
          <w:szCs w:val="24"/>
        </w:rPr>
        <w:t>In pregnant rabbits, opicapone was less well tolerated resulting in maximum systemic exposure levels around or below the therapeutic range. Although embryo-</w:t>
      </w:r>
      <w:r>
        <w:rPr>
          <w:iCs/>
          <w:szCs w:val="24"/>
        </w:rPr>
        <w:t>fetal</w:t>
      </w:r>
      <w:r w:rsidRPr="0023450C">
        <w:rPr>
          <w:iCs/>
          <w:szCs w:val="24"/>
        </w:rPr>
        <w:t xml:space="preserve"> development was not negatively influenced in rabbits, the study is not considered predictive for human risk assessment.</w:t>
      </w:r>
      <w:r w:rsidRPr="0023450C">
        <w:rPr>
          <w:rFonts w:cs="Arial"/>
          <w:szCs w:val="24"/>
        </w:rPr>
        <w:t xml:space="preserve"> During studies on pre- and post-natal development in rats, no adverse effect was observed on the F0 generation </w:t>
      </w:r>
      <w:r w:rsidRPr="0009683C">
        <w:rPr>
          <w:rFonts w:cs="Arial"/>
          <w:szCs w:val="24"/>
        </w:rPr>
        <w:t xml:space="preserve">at oral doses up to 1000 mg/kg/day, corresponding to a safety margin </w:t>
      </w:r>
      <w:r w:rsidRPr="0023450C">
        <w:rPr>
          <w:rFonts w:cs="Arial"/>
          <w:szCs w:val="24"/>
        </w:rPr>
        <w:t>of 31 times the therapeutic exposure in humans.</w:t>
      </w:r>
    </w:p>
    <w:p w14:paraId="53DE7501" w14:textId="6C8A2BF3" w:rsidR="006B21E9" w:rsidRPr="009B78CE" w:rsidRDefault="00427B3D" w:rsidP="00A457B2">
      <w:pPr>
        <w:pStyle w:val="Heading3"/>
      </w:pPr>
      <w:r w:rsidRPr="009B78CE">
        <w:t>Use in lactation</w:t>
      </w:r>
    </w:p>
    <w:p w14:paraId="183B9A4E" w14:textId="77777777" w:rsidR="006B21E9" w:rsidRPr="00332E9D" w:rsidRDefault="006B21E9" w:rsidP="00A457B2">
      <w:pPr>
        <w:rPr>
          <w:szCs w:val="22"/>
        </w:rPr>
      </w:pPr>
    </w:p>
    <w:p w14:paraId="419B6E3D" w14:textId="77777777" w:rsidR="006B21E9" w:rsidRPr="00332E9D" w:rsidRDefault="006B21E9" w:rsidP="00A457B2">
      <w:r w:rsidRPr="00332E9D">
        <w:t xml:space="preserve">It is </w:t>
      </w:r>
      <w:r w:rsidR="00572762" w:rsidRPr="00332E9D">
        <w:t>un</w:t>
      </w:r>
      <w:r w:rsidRPr="00332E9D">
        <w:t xml:space="preserve">known whether opicapone or its metabolites are excreted in human milk. A risk to the </w:t>
      </w:r>
      <w:proofErr w:type="spellStart"/>
      <w:r w:rsidR="00572762" w:rsidRPr="00332E9D">
        <w:t>newborns</w:t>
      </w:r>
      <w:proofErr w:type="spellEnd"/>
      <w:r w:rsidR="00572762" w:rsidRPr="00332E9D">
        <w:t>/</w:t>
      </w:r>
      <w:r w:rsidRPr="00332E9D">
        <w:t>infant</w:t>
      </w:r>
      <w:r w:rsidR="00572762" w:rsidRPr="00332E9D">
        <w:t>s</w:t>
      </w:r>
      <w:r w:rsidRPr="00332E9D">
        <w:t xml:space="preserve"> cannot be excluded. Breast-feeding should be discontinued during treatment with </w:t>
      </w:r>
      <w:r w:rsidR="002C3792" w:rsidRPr="00332E9D">
        <w:t>ONGENTYS</w:t>
      </w:r>
      <w:r w:rsidRPr="00332E9D">
        <w:t xml:space="preserve">. </w:t>
      </w:r>
    </w:p>
    <w:p w14:paraId="063A7665" w14:textId="29E4CA5B" w:rsidR="006B21E9" w:rsidRPr="00332E9D" w:rsidRDefault="006B21E9" w:rsidP="00A457B2">
      <w:pPr>
        <w:rPr>
          <w:szCs w:val="22"/>
        </w:rPr>
      </w:pPr>
    </w:p>
    <w:p w14:paraId="0BDCA70F" w14:textId="06BB18E0" w:rsidR="006B21E9" w:rsidRPr="00BC7E99" w:rsidRDefault="00A73692" w:rsidP="00A457B2">
      <w:pPr>
        <w:pStyle w:val="Heading2"/>
      </w:pPr>
      <w:r w:rsidRPr="00BC7E99">
        <w:t>EFFECTS ON ABILITY TO DRIVE AND USE MACHINES</w:t>
      </w:r>
    </w:p>
    <w:p w14:paraId="2B019DED" w14:textId="77777777" w:rsidR="006B21E9" w:rsidRPr="00332E9D" w:rsidRDefault="006B21E9" w:rsidP="00A457B2">
      <w:pPr>
        <w:rPr>
          <w:szCs w:val="22"/>
        </w:rPr>
      </w:pPr>
    </w:p>
    <w:p w14:paraId="78145EC4" w14:textId="77777777" w:rsidR="006B21E9" w:rsidRPr="00332E9D" w:rsidRDefault="006B21E9" w:rsidP="00A457B2">
      <w:pPr>
        <w:rPr>
          <w:szCs w:val="22"/>
        </w:rPr>
      </w:pPr>
      <w:r w:rsidRPr="00332E9D">
        <w:rPr>
          <w:szCs w:val="22"/>
        </w:rPr>
        <w:t xml:space="preserve">Opicapone in association with levodopa may have major influence on the ability to drive and use machines. Opicapone may, together with levodopa, cause dizziness, symptomatic </w:t>
      </w:r>
      <w:proofErr w:type="spellStart"/>
      <w:r w:rsidRPr="00332E9D">
        <w:rPr>
          <w:szCs w:val="22"/>
        </w:rPr>
        <w:t>orthostatism</w:t>
      </w:r>
      <w:proofErr w:type="spellEnd"/>
      <w:r w:rsidRPr="00332E9D">
        <w:rPr>
          <w:szCs w:val="22"/>
        </w:rPr>
        <w:t xml:space="preserve"> and somnolence. Therefore, caution should be exercised when driving or using machines.</w:t>
      </w:r>
    </w:p>
    <w:p w14:paraId="408484F5" w14:textId="77777777" w:rsidR="006B21E9" w:rsidRPr="00332E9D" w:rsidRDefault="006B21E9" w:rsidP="00A457B2">
      <w:pPr>
        <w:rPr>
          <w:szCs w:val="22"/>
        </w:rPr>
      </w:pPr>
    </w:p>
    <w:p w14:paraId="36ED794E" w14:textId="2B198437" w:rsidR="006B21E9" w:rsidRPr="00BC7E99" w:rsidRDefault="00627B99" w:rsidP="00A457B2">
      <w:pPr>
        <w:pStyle w:val="Heading2"/>
        <w:pageBreakBefore/>
      </w:pPr>
      <w:r w:rsidRPr="00BC7E99">
        <w:t>ADVERSE EFFECTS (UNDESIRABLE EFFECTS)</w:t>
      </w:r>
    </w:p>
    <w:p w14:paraId="6887380C" w14:textId="1037BE31" w:rsidR="00652539" w:rsidRDefault="00652539" w:rsidP="00A457B2">
      <w:pPr>
        <w:pStyle w:val="Heading3"/>
      </w:pPr>
      <w:r w:rsidRPr="00332E9D">
        <w:t>Summary of the safety profile</w:t>
      </w:r>
    </w:p>
    <w:p w14:paraId="06DC492A" w14:textId="77777777" w:rsidR="006E0905" w:rsidRPr="00D63D24" w:rsidRDefault="006E0905" w:rsidP="00A457B2">
      <w:pPr>
        <w:pStyle w:val="C-BodyText"/>
        <w:rPr>
          <w:szCs w:val="22"/>
          <w:lang w:val="en-GB"/>
        </w:rPr>
      </w:pPr>
      <w:bookmarkStart w:id="8" w:name="_bookmark0"/>
      <w:bookmarkEnd w:id="8"/>
      <w:r w:rsidRPr="00677513">
        <w:rPr>
          <w:szCs w:val="22"/>
          <w:lang w:val="en-GB"/>
        </w:rPr>
        <w:t>The safety of opicapone was evaluated in two Phase 3 double-blind, placebo and active controlled studies in 1,027 randomized adult patients with Parkinson’s disease treated with levodopa/DDCI (alone or in combination with other antiparkinsonian drugs) and end-of-dose motor fluctuations for up to 15 weeks. At screening, the mean age was similar in all treatment groups in both studies, ranging between 61.5 and 65.3 years.</w:t>
      </w:r>
      <w:r w:rsidRPr="00D63D24">
        <w:rPr>
          <w:szCs w:val="22"/>
          <w:lang w:val="en-GB"/>
        </w:rPr>
        <w:t xml:space="preserve"> </w:t>
      </w:r>
    </w:p>
    <w:p w14:paraId="4BEF9411" w14:textId="77777777" w:rsidR="006E0905" w:rsidRPr="00E67974" w:rsidRDefault="006E0905" w:rsidP="00A457B2">
      <w:pPr>
        <w:pStyle w:val="Heading3"/>
        <w:ind w:left="680" w:hanging="680"/>
        <w:rPr>
          <w:b w:val="0"/>
        </w:rPr>
      </w:pPr>
      <w:r w:rsidRPr="00677513">
        <w:t>Common Adverse Reactions</w:t>
      </w:r>
    </w:p>
    <w:p w14:paraId="411038C7" w14:textId="77777777" w:rsidR="006E0905" w:rsidRPr="00E67974" w:rsidRDefault="006E0905" w:rsidP="00A457B2">
      <w:pPr>
        <w:autoSpaceDE w:val="0"/>
        <w:autoSpaceDN w:val="0"/>
        <w:adjustRightInd w:val="0"/>
        <w:rPr>
          <w:szCs w:val="22"/>
          <w:u w:val="single"/>
          <w:lang w:val="en-US"/>
        </w:rPr>
      </w:pPr>
    </w:p>
    <w:p w14:paraId="265EF3A6" w14:textId="780C5BB3" w:rsidR="006E0905" w:rsidRDefault="006E0905" w:rsidP="00A457B2">
      <w:r w:rsidRPr="00677513">
        <w:rPr>
          <w:shd w:val="clear" w:color="auto" w:fill="FFFFFF"/>
        </w:rPr>
        <w:t xml:space="preserve">Adverse reactions that occurred in the pooled controlled trials at an incidence of at least 3% in any treatment group and greater than placebo is presented in </w:t>
      </w:r>
      <w:r w:rsidR="003A1053">
        <w:rPr>
          <w:shd w:val="clear" w:color="auto" w:fill="FFFFFF"/>
        </w:rPr>
        <w:t>Table 1</w:t>
      </w:r>
      <w:r w:rsidRPr="00677513">
        <w:rPr>
          <w:shd w:val="clear" w:color="auto" w:fill="FFFFFF"/>
        </w:rPr>
        <w:t xml:space="preserve">. </w:t>
      </w:r>
      <w:bookmarkStart w:id="9" w:name="_Hlk38638268"/>
      <w:r w:rsidRPr="00677513">
        <w:rPr>
          <w:shd w:val="clear" w:color="auto" w:fill="FFFFFF"/>
        </w:rPr>
        <w:t>The most common adverse reactions (incidence at least 4% in total OPC) were</w:t>
      </w:r>
      <w:r w:rsidRPr="00E67974">
        <w:rPr>
          <w:shd w:val="clear" w:color="auto" w:fill="FFFFFF"/>
        </w:rPr>
        <w:t xml:space="preserve"> </w:t>
      </w:r>
      <w:bookmarkEnd w:id="9"/>
      <w:r w:rsidRPr="00677513">
        <w:rPr>
          <w:shd w:val="clear" w:color="auto" w:fill="FFFFFF"/>
        </w:rPr>
        <w:t xml:space="preserve">dyskinesia, constipation, insomnia, </w:t>
      </w:r>
      <w:r>
        <w:rPr>
          <w:shd w:val="clear" w:color="auto" w:fill="FFFFFF"/>
        </w:rPr>
        <w:t>d</w:t>
      </w:r>
      <w:r w:rsidRPr="00677513">
        <w:rPr>
          <w:shd w:val="clear" w:color="auto" w:fill="FFFFFF"/>
        </w:rPr>
        <w:t>ry mouth</w:t>
      </w:r>
      <w:r w:rsidR="00124719">
        <w:rPr>
          <w:shd w:val="clear" w:color="auto" w:fill="FFFFFF"/>
        </w:rPr>
        <w:t>.</w:t>
      </w:r>
    </w:p>
    <w:p w14:paraId="1756E5A0" w14:textId="77777777" w:rsidR="006E0905" w:rsidRDefault="006E0905" w:rsidP="00A457B2">
      <w:pPr>
        <w:spacing w:before="127"/>
        <w:ind w:left="1095" w:right="155" w:hanging="994"/>
        <w:rPr>
          <w:color w:val="FF0000"/>
          <w:highlight w:val="magenta"/>
          <w:shd w:val="clear" w:color="auto" w:fill="FFFFFF"/>
        </w:rPr>
      </w:pPr>
      <w:r>
        <w:rPr>
          <w:b/>
          <w:sz w:val="22"/>
        </w:rPr>
        <w:t xml:space="preserve">Table 1 – </w:t>
      </w:r>
      <w:bookmarkStart w:id="10" w:name="_Hlk38646436"/>
      <w:r w:rsidRPr="00677513">
        <w:rPr>
          <w:b/>
          <w:shd w:val="clear" w:color="auto" w:fill="FFFFFF"/>
        </w:rPr>
        <w:t xml:space="preserve">Adverse Events with an Incidence of at least 3% in Patients in any treatment group with </w:t>
      </w:r>
      <w:r>
        <w:rPr>
          <w:b/>
          <w:shd w:val="clear" w:color="auto" w:fill="FFFFFF"/>
        </w:rPr>
        <w:t>ONGENTYS</w:t>
      </w:r>
      <w:r w:rsidRPr="00677513">
        <w:rPr>
          <w:b/>
          <w:shd w:val="clear" w:color="auto" w:fill="FFFFFF"/>
        </w:rPr>
        <w:t xml:space="preserve"> and greater than Placebo, in integrated Phase 3 studies</w:t>
      </w:r>
      <w:r w:rsidRPr="00677513">
        <w:rPr>
          <w:color w:val="FF0000"/>
          <w:shd w:val="clear" w:color="auto" w:fill="FFFFFF"/>
        </w:rPr>
        <w:t>.</w:t>
      </w:r>
      <w:bookmarkEnd w:id="10"/>
    </w:p>
    <w:tbl>
      <w:tblPr>
        <w:tblW w:w="5000" w:type="pct"/>
        <w:tblLayout w:type="fixed"/>
        <w:tblCellMar>
          <w:left w:w="0" w:type="dxa"/>
          <w:right w:w="0" w:type="dxa"/>
        </w:tblCellMar>
        <w:tblLook w:val="01E0" w:firstRow="1" w:lastRow="1" w:firstColumn="1" w:lastColumn="1" w:noHBand="0" w:noVBand="0"/>
      </w:tblPr>
      <w:tblGrid>
        <w:gridCol w:w="2467"/>
        <w:gridCol w:w="1571"/>
        <w:gridCol w:w="1729"/>
        <w:gridCol w:w="1669"/>
        <w:gridCol w:w="1635"/>
      </w:tblGrid>
      <w:tr w:rsidR="006E0905" w:rsidRPr="00465F98" w14:paraId="164DCD75" w14:textId="77777777" w:rsidTr="00007852">
        <w:trPr>
          <w:trHeight w:val="283"/>
        </w:trPr>
        <w:tc>
          <w:tcPr>
            <w:tcW w:w="1360" w:type="pct"/>
            <w:tcBorders>
              <w:top w:val="single" w:sz="8" w:space="0" w:color="000000"/>
              <w:bottom w:val="single" w:sz="8" w:space="0" w:color="000000"/>
            </w:tcBorders>
          </w:tcPr>
          <w:p w14:paraId="7BB3F3A7" w14:textId="77777777" w:rsidR="006E0905" w:rsidRPr="00465F98" w:rsidRDefault="006E0905" w:rsidP="00A457B2">
            <w:pPr>
              <w:pStyle w:val="TableParagraph"/>
              <w:spacing w:line="240" w:lineRule="auto"/>
              <w:ind w:left="0"/>
              <w:jc w:val="left"/>
              <w:rPr>
                <w:sz w:val="20"/>
                <w:szCs w:val="20"/>
              </w:rPr>
            </w:pPr>
            <w:r w:rsidRPr="00BB736E">
              <w:rPr>
                <w:b/>
                <w:sz w:val="20"/>
                <w:szCs w:val="20"/>
              </w:rPr>
              <w:t>Preferred Term</w:t>
            </w:r>
          </w:p>
        </w:tc>
        <w:tc>
          <w:tcPr>
            <w:tcW w:w="2739" w:type="pct"/>
            <w:gridSpan w:val="3"/>
            <w:tcBorders>
              <w:top w:val="single" w:sz="8" w:space="0" w:color="000000"/>
              <w:bottom w:val="single" w:sz="8" w:space="0" w:color="000000"/>
            </w:tcBorders>
          </w:tcPr>
          <w:p w14:paraId="41974747" w14:textId="77777777" w:rsidR="006E0905" w:rsidRPr="00465F98" w:rsidRDefault="006E0905" w:rsidP="00A457B2">
            <w:pPr>
              <w:pStyle w:val="TableParagraph"/>
              <w:spacing w:line="240" w:lineRule="auto"/>
              <w:ind w:left="85" w:right="66"/>
              <w:jc w:val="left"/>
              <w:rPr>
                <w:b/>
                <w:sz w:val="20"/>
                <w:szCs w:val="20"/>
              </w:rPr>
            </w:pPr>
            <w:r w:rsidRPr="00BB736E">
              <w:rPr>
                <w:b/>
                <w:sz w:val="20"/>
                <w:szCs w:val="20"/>
              </w:rPr>
              <w:t>Number (%) of subjects</w:t>
            </w:r>
          </w:p>
        </w:tc>
        <w:tc>
          <w:tcPr>
            <w:tcW w:w="901" w:type="pct"/>
            <w:tcBorders>
              <w:top w:val="single" w:sz="8" w:space="0" w:color="000000"/>
              <w:bottom w:val="single" w:sz="8" w:space="0" w:color="000000"/>
            </w:tcBorders>
          </w:tcPr>
          <w:p w14:paraId="63964123" w14:textId="77777777" w:rsidR="006E0905" w:rsidRPr="00877C4E" w:rsidRDefault="006E0905" w:rsidP="00A457B2">
            <w:pPr>
              <w:pStyle w:val="TableParagraph"/>
              <w:spacing w:line="240" w:lineRule="auto"/>
              <w:ind w:left="465" w:right="335" w:hanging="130"/>
              <w:jc w:val="left"/>
              <w:rPr>
                <w:b/>
                <w:sz w:val="20"/>
                <w:szCs w:val="20"/>
              </w:rPr>
            </w:pPr>
          </w:p>
        </w:tc>
      </w:tr>
      <w:tr w:rsidR="006E0905" w:rsidRPr="00465F98" w14:paraId="36DF5E86" w14:textId="77777777" w:rsidTr="00007852">
        <w:trPr>
          <w:trHeight w:val="283"/>
        </w:trPr>
        <w:tc>
          <w:tcPr>
            <w:tcW w:w="1360" w:type="pct"/>
            <w:tcBorders>
              <w:top w:val="single" w:sz="8" w:space="0" w:color="000000"/>
              <w:bottom w:val="single" w:sz="8" w:space="0" w:color="000000"/>
            </w:tcBorders>
          </w:tcPr>
          <w:p w14:paraId="41CFD101" w14:textId="77777777" w:rsidR="006E0905" w:rsidRPr="001E6F54" w:rsidRDefault="006E0905" w:rsidP="00A457B2">
            <w:pPr>
              <w:pStyle w:val="TableParagraph"/>
              <w:spacing w:line="240" w:lineRule="auto"/>
              <w:ind w:left="0"/>
              <w:jc w:val="left"/>
              <w:rPr>
                <w:sz w:val="20"/>
                <w:szCs w:val="20"/>
              </w:rPr>
            </w:pPr>
          </w:p>
        </w:tc>
        <w:tc>
          <w:tcPr>
            <w:tcW w:w="866" w:type="pct"/>
            <w:tcBorders>
              <w:top w:val="single" w:sz="8" w:space="0" w:color="000000"/>
              <w:bottom w:val="single" w:sz="8" w:space="0" w:color="000000"/>
            </w:tcBorders>
          </w:tcPr>
          <w:p w14:paraId="5C91E27C" w14:textId="77777777" w:rsidR="006E0905" w:rsidRDefault="006E0905" w:rsidP="00A457B2">
            <w:pPr>
              <w:pStyle w:val="TableParagraph"/>
              <w:spacing w:line="240" w:lineRule="auto"/>
              <w:ind w:left="85" w:right="66"/>
              <w:jc w:val="left"/>
              <w:rPr>
                <w:b/>
                <w:sz w:val="20"/>
                <w:szCs w:val="20"/>
              </w:rPr>
            </w:pPr>
            <w:r w:rsidRPr="001E6F54">
              <w:rPr>
                <w:b/>
                <w:sz w:val="20"/>
                <w:szCs w:val="20"/>
              </w:rPr>
              <w:t xml:space="preserve">Placebo </w:t>
            </w:r>
          </w:p>
          <w:p w14:paraId="63AAA80E" w14:textId="77777777" w:rsidR="006E0905" w:rsidRPr="001E6F54" w:rsidRDefault="006E0905" w:rsidP="00A457B2">
            <w:pPr>
              <w:pStyle w:val="TableParagraph"/>
              <w:ind w:left="85" w:right="66"/>
              <w:jc w:val="left"/>
              <w:rPr>
                <w:b/>
                <w:sz w:val="20"/>
                <w:szCs w:val="20"/>
              </w:rPr>
            </w:pPr>
            <w:r w:rsidRPr="001E6F54">
              <w:rPr>
                <w:b/>
                <w:sz w:val="20"/>
                <w:szCs w:val="20"/>
              </w:rPr>
              <w:t>(N=257)</w:t>
            </w:r>
          </w:p>
        </w:tc>
        <w:tc>
          <w:tcPr>
            <w:tcW w:w="953" w:type="pct"/>
            <w:tcBorders>
              <w:top w:val="single" w:sz="8" w:space="0" w:color="000000"/>
              <w:bottom w:val="single" w:sz="8" w:space="0" w:color="000000"/>
            </w:tcBorders>
          </w:tcPr>
          <w:p w14:paraId="24FE0857" w14:textId="77777777" w:rsidR="006E0905" w:rsidRPr="001E6F54" w:rsidRDefault="006E0905" w:rsidP="00A457B2">
            <w:pPr>
              <w:pStyle w:val="TableParagraph"/>
              <w:ind w:left="85" w:right="66"/>
              <w:jc w:val="left"/>
              <w:rPr>
                <w:b/>
                <w:sz w:val="20"/>
                <w:szCs w:val="20"/>
              </w:rPr>
            </w:pPr>
            <w:r w:rsidRPr="001E6F54">
              <w:rPr>
                <w:b/>
                <w:sz w:val="20"/>
                <w:szCs w:val="20"/>
              </w:rPr>
              <w:t>OPC 25 mg (N=244)</w:t>
            </w:r>
          </w:p>
        </w:tc>
        <w:tc>
          <w:tcPr>
            <w:tcW w:w="920" w:type="pct"/>
            <w:tcBorders>
              <w:top w:val="single" w:sz="8" w:space="0" w:color="000000"/>
              <w:bottom w:val="single" w:sz="8" w:space="0" w:color="000000"/>
            </w:tcBorders>
          </w:tcPr>
          <w:p w14:paraId="4092B09F" w14:textId="77777777" w:rsidR="006E0905" w:rsidRPr="001E6F54" w:rsidRDefault="006E0905" w:rsidP="00A457B2">
            <w:pPr>
              <w:pStyle w:val="TableParagraph"/>
              <w:ind w:left="85" w:right="66"/>
              <w:jc w:val="left"/>
              <w:rPr>
                <w:b/>
                <w:sz w:val="20"/>
                <w:szCs w:val="20"/>
              </w:rPr>
            </w:pPr>
            <w:r w:rsidRPr="001E6F54">
              <w:rPr>
                <w:b/>
                <w:sz w:val="20"/>
                <w:szCs w:val="20"/>
              </w:rPr>
              <w:t>OPC 50 mg (N=265)</w:t>
            </w:r>
          </w:p>
        </w:tc>
        <w:tc>
          <w:tcPr>
            <w:tcW w:w="901" w:type="pct"/>
            <w:tcBorders>
              <w:top w:val="single" w:sz="8" w:space="0" w:color="000000"/>
              <w:bottom w:val="single" w:sz="8" w:space="0" w:color="000000"/>
            </w:tcBorders>
          </w:tcPr>
          <w:p w14:paraId="568E9462" w14:textId="77777777" w:rsidR="006E0905" w:rsidRPr="001E6F54" w:rsidRDefault="006E0905" w:rsidP="00A457B2">
            <w:pPr>
              <w:pStyle w:val="TableParagraph"/>
              <w:ind w:left="85"/>
              <w:jc w:val="left"/>
              <w:rPr>
                <w:b/>
                <w:sz w:val="20"/>
                <w:szCs w:val="20"/>
              </w:rPr>
            </w:pPr>
            <w:r w:rsidRPr="001E6F54">
              <w:rPr>
                <w:b/>
                <w:sz w:val="20"/>
                <w:szCs w:val="20"/>
              </w:rPr>
              <w:t>Total OPC (N=509)</w:t>
            </w:r>
          </w:p>
        </w:tc>
      </w:tr>
      <w:tr w:rsidR="006E0905" w:rsidRPr="00AB6699" w14:paraId="0A3AC2BA" w14:textId="77777777" w:rsidTr="00007852">
        <w:trPr>
          <w:trHeight w:val="283"/>
        </w:trPr>
        <w:tc>
          <w:tcPr>
            <w:tcW w:w="1360" w:type="pct"/>
            <w:tcBorders>
              <w:top w:val="single" w:sz="8" w:space="0" w:color="000000"/>
            </w:tcBorders>
          </w:tcPr>
          <w:p w14:paraId="323A1C3D" w14:textId="77777777" w:rsidR="006E0905" w:rsidRPr="00A513BA" w:rsidRDefault="006E0905" w:rsidP="00A457B2">
            <w:pPr>
              <w:pStyle w:val="NoSpacing"/>
              <w:rPr>
                <w:b/>
              </w:rPr>
            </w:pPr>
            <w:r w:rsidRPr="00A513BA">
              <w:rPr>
                <w:b/>
              </w:rPr>
              <w:t>Psychiatric disorders</w:t>
            </w:r>
          </w:p>
          <w:p w14:paraId="7A5A16AA" w14:textId="77777777" w:rsidR="006E0905" w:rsidRPr="00A513BA" w:rsidRDefault="006E0905" w:rsidP="00A457B2">
            <w:pPr>
              <w:pStyle w:val="TableParagraph"/>
              <w:tabs>
                <w:tab w:val="left" w:pos="218"/>
              </w:tabs>
              <w:ind w:left="218"/>
              <w:jc w:val="left"/>
              <w:rPr>
                <w:sz w:val="20"/>
                <w:szCs w:val="20"/>
              </w:rPr>
            </w:pPr>
            <w:r w:rsidRPr="00FA65D1">
              <w:rPr>
                <w:sz w:val="20"/>
              </w:rPr>
              <w:t>Insomnia</w:t>
            </w:r>
          </w:p>
          <w:p w14:paraId="6D247509" w14:textId="559597B9" w:rsidR="006E0905" w:rsidRPr="00A513BA" w:rsidRDefault="006E0905" w:rsidP="00A457B2">
            <w:pPr>
              <w:pStyle w:val="TableParagraph"/>
              <w:tabs>
                <w:tab w:val="left" w:pos="218"/>
              </w:tabs>
              <w:ind w:left="218"/>
              <w:jc w:val="left"/>
              <w:rPr>
                <w:sz w:val="20"/>
                <w:szCs w:val="20"/>
              </w:rPr>
            </w:pPr>
            <w:r w:rsidRPr="00A513BA">
              <w:rPr>
                <w:sz w:val="20"/>
                <w:szCs w:val="20"/>
              </w:rPr>
              <w:t>Somnolence</w:t>
            </w:r>
          </w:p>
        </w:tc>
        <w:tc>
          <w:tcPr>
            <w:tcW w:w="866" w:type="pct"/>
            <w:tcBorders>
              <w:top w:val="single" w:sz="8" w:space="0" w:color="000000"/>
            </w:tcBorders>
          </w:tcPr>
          <w:p w14:paraId="2AAACF16" w14:textId="77777777" w:rsidR="006E0905" w:rsidRPr="00AB6699" w:rsidRDefault="006E0905" w:rsidP="00A457B2">
            <w:pPr>
              <w:pStyle w:val="TableParagraph"/>
              <w:ind w:left="85" w:right="66"/>
              <w:jc w:val="left"/>
              <w:rPr>
                <w:sz w:val="20"/>
                <w:szCs w:val="20"/>
              </w:rPr>
            </w:pPr>
          </w:p>
          <w:p w14:paraId="75D7395C" w14:textId="77777777" w:rsidR="006E0905" w:rsidRPr="00AB6699" w:rsidRDefault="006E0905" w:rsidP="00A457B2">
            <w:pPr>
              <w:pStyle w:val="TableParagraph"/>
              <w:ind w:left="85" w:right="66"/>
              <w:jc w:val="left"/>
              <w:rPr>
                <w:sz w:val="20"/>
                <w:szCs w:val="20"/>
              </w:rPr>
            </w:pPr>
            <w:r w:rsidRPr="00AB6699">
              <w:rPr>
                <w:sz w:val="20"/>
                <w:szCs w:val="20"/>
              </w:rPr>
              <w:t>4 (1.6)</w:t>
            </w:r>
          </w:p>
          <w:p w14:paraId="5CC06B5E" w14:textId="0DECE26F" w:rsidR="006E0905" w:rsidRPr="00AB6699" w:rsidRDefault="006E0905" w:rsidP="00A457B2">
            <w:pPr>
              <w:pStyle w:val="TableParagraph"/>
              <w:ind w:left="85" w:right="66"/>
              <w:jc w:val="left"/>
              <w:rPr>
                <w:sz w:val="20"/>
                <w:szCs w:val="20"/>
              </w:rPr>
            </w:pPr>
            <w:r w:rsidRPr="00AB6699">
              <w:rPr>
                <w:sz w:val="20"/>
                <w:szCs w:val="20"/>
              </w:rPr>
              <w:t>5 (1.9)</w:t>
            </w:r>
          </w:p>
        </w:tc>
        <w:tc>
          <w:tcPr>
            <w:tcW w:w="953" w:type="pct"/>
            <w:tcBorders>
              <w:top w:val="single" w:sz="8" w:space="0" w:color="000000"/>
            </w:tcBorders>
          </w:tcPr>
          <w:p w14:paraId="5CE3D32F" w14:textId="77777777" w:rsidR="006E0905" w:rsidRPr="00AB6699" w:rsidRDefault="006E0905" w:rsidP="00A457B2">
            <w:pPr>
              <w:pStyle w:val="TableParagraph"/>
              <w:ind w:left="85" w:right="66"/>
              <w:jc w:val="left"/>
              <w:rPr>
                <w:sz w:val="20"/>
                <w:szCs w:val="20"/>
              </w:rPr>
            </w:pPr>
          </w:p>
          <w:p w14:paraId="2B298A57" w14:textId="77777777" w:rsidR="006E0905" w:rsidRPr="00AB6699" w:rsidRDefault="006E0905" w:rsidP="00A457B2">
            <w:pPr>
              <w:pStyle w:val="TableParagraph"/>
              <w:ind w:left="85" w:right="66"/>
              <w:jc w:val="left"/>
              <w:rPr>
                <w:sz w:val="20"/>
                <w:szCs w:val="20"/>
              </w:rPr>
            </w:pPr>
            <w:r w:rsidRPr="00AB6699">
              <w:rPr>
                <w:sz w:val="20"/>
                <w:szCs w:val="20"/>
              </w:rPr>
              <w:t>17 (7.0)</w:t>
            </w:r>
          </w:p>
          <w:p w14:paraId="73AD0465" w14:textId="1B866567" w:rsidR="006E0905" w:rsidRPr="00AB6699" w:rsidRDefault="006E0905" w:rsidP="00A457B2">
            <w:pPr>
              <w:pStyle w:val="TableParagraph"/>
              <w:ind w:left="85" w:right="66"/>
              <w:jc w:val="left"/>
              <w:rPr>
                <w:sz w:val="20"/>
                <w:szCs w:val="20"/>
              </w:rPr>
            </w:pPr>
            <w:r w:rsidRPr="00AB6699">
              <w:rPr>
                <w:sz w:val="20"/>
                <w:szCs w:val="20"/>
              </w:rPr>
              <w:t>10 (4.1)</w:t>
            </w:r>
          </w:p>
        </w:tc>
        <w:tc>
          <w:tcPr>
            <w:tcW w:w="920" w:type="pct"/>
            <w:tcBorders>
              <w:top w:val="single" w:sz="8" w:space="0" w:color="000000"/>
            </w:tcBorders>
          </w:tcPr>
          <w:p w14:paraId="4F8E79E5" w14:textId="77777777" w:rsidR="006E0905" w:rsidRPr="00AB6699" w:rsidRDefault="006E0905" w:rsidP="00A457B2">
            <w:pPr>
              <w:pStyle w:val="TableParagraph"/>
              <w:ind w:left="85" w:right="66"/>
              <w:jc w:val="left"/>
              <w:rPr>
                <w:sz w:val="20"/>
                <w:szCs w:val="20"/>
              </w:rPr>
            </w:pPr>
          </w:p>
          <w:p w14:paraId="27E732EA" w14:textId="77777777" w:rsidR="006E0905" w:rsidRPr="00AB6699" w:rsidRDefault="006E0905" w:rsidP="00A457B2">
            <w:pPr>
              <w:pStyle w:val="TableParagraph"/>
              <w:ind w:left="85" w:right="66"/>
              <w:jc w:val="left"/>
              <w:rPr>
                <w:sz w:val="20"/>
                <w:szCs w:val="20"/>
              </w:rPr>
            </w:pPr>
            <w:r w:rsidRPr="00AB6699">
              <w:rPr>
                <w:sz w:val="20"/>
                <w:szCs w:val="20"/>
              </w:rPr>
              <w:t>9 (3.4)</w:t>
            </w:r>
          </w:p>
          <w:p w14:paraId="6B9903FC" w14:textId="77777777" w:rsidR="006E0905" w:rsidRPr="00AB6699" w:rsidRDefault="006E0905" w:rsidP="00A457B2">
            <w:pPr>
              <w:pStyle w:val="TableParagraph"/>
              <w:ind w:left="85" w:right="66"/>
              <w:jc w:val="left"/>
              <w:rPr>
                <w:sz w:val="20"/>
                <w:szCs w:val="20"/>
              </w:rPr>
            </w:pPr>
            <w:r w:rsidRPr="00AB6699">
              <w:rPr>
                <w:sz w:val="20"/>
                <w:szCs w:val="20"/>
              </w:rPr>
              <w:t>5 (1.9)</w:t>
            </w:r>
          </w:p>
        </w:tc>
        <w:tc>
          <w:tcPr>
            <w:tcW w:w="901" w:type="pct"/>
            <w:tcBorders>
              <w:top w:val="single" w:sz="8" w:space="0" w:color="000000"/>
            </w:tcBorders>
          </w:tcPr>
          <w:p w14:paraId="683AD79A" w14:textId="77777777" w:rsidR="006E0905" w:rsidRPr="00AB6699" w:rsidRDefault="006E0905" w:rsidP="00A457B2">
            <w:pPr>
              <w:pStyle w:val="TableParagraph"/>
              <w:ind w:left="85"/>
              <w:jc w:val="left"/>
              <w:rPr>
                <w:sz w:val="20"/>
                <w:szCs w:val="20"/>
              </w:rPr>
            </w:pPr>
          </w:p>
          <w:p w14:paraId="346E0EEE" w14:textId="77777777" w:rsidR="006E0905" w:rsidRPr="00AB6699" w:rsidRDefault="006E0905" w:rsidP="00A457B2">
            <w:pPr>
              <w:pStyle w:val="TableParagraph"/>
              <w:ind w:left="85"/>
              <w:jc w:val="left"/>
              <w:rPr>
                <w:sz w:val="20"/>
                <w:szCs w:val="20"/>
              </w:rPr>
            </w:pPr>
            <w:r w:rsidRPr="00AB6699">
              <w:rPr>
                <w:sz w:val="20"/>
                <w:szCs w:val="20"/>
              </w:rPr>
              <w:t>26 (5.1)</w:t>
            </w:r>
          </w:p>
          <w:p w14:paraId="7D3F8E15" w14:textId="34F1A53E" w:rsidR="006E0905" w:rsidRPr="00AB6699" w:rsidRDefault="006E0905" w:rsidP="00A457B2">
            <w:pPr>
              <w:pStyle w:val="TableParagraph"/>
              <w:ind w:left="85"/>
              <w:jc w:val="left"/>
              <w:rPr>
                <w:sz w:val="20"/>
                <w:szCs w:val="20"/>
              </w:rPr>
            </w:pPr>
            <w:r w:rsidRPr="00AB6699">
              <w:rPr>
                <w:sz w:val="20"/>
                <w:szCs w:val="20"/>
              </w:rPr>
              <w:t>15 (2.9)</w:t>
            </w:r>
          </w:p>
        </w:tc>
      </w:tr>
      <w:tr w:rsidR="006E0905" w:rsidRPr="00AB6699" w14:paraId="79967219" w14:textId="77777777" w:rsidTr="00007852">
        <w:trPr>
          <w:trHeight w:val="283"/>
        </w:trPr>
        <w:tc>
          <w:tcPr>
            <w:tcW w:w="1360" w:type="pct"/>
            <w:tcBorders>
              <w:top w:val="single" w:sz="8" w:space="0" w:color="000000"/>
            </w:tcBorders>
          </w:tcPr>
          <w:p w14:paraId="0B4D203B" w14:textId="77777777" w:rsidR="006E0905" w:rsidRPr="00A513BA" w:rsidRDefault="006E0905" w:rsidP="00A457B2">
            <w:pPr>
              <w:pStyle w:val="NoSpacing"/>
              <w:rPr>
                <w:b/>
              </w:rPr>
            </w:pPr>
            <w:r w:rsidRPr="00A513BA">
              <w:rPr>
                <w:b/>
              </w:rPr>
              <w:t>Nervous system disorder</w:t>
            </w:r>
          </w:p>
          <w:p w14:paraId="28DA35ED" w14:textId="77777777" w:rsidR="006E0905" w:rsidRPr="00A513BA" w:rsidRDefault="006E0905" w:rsidP="00A457B2">
            <w:pPr>
              <w:pStyle w:val="NoSpacing"/>
              <w:tabs>
                <w:tab w:val="clear" w:pos="567"/>
                <w:tab w:val="left" w:pos="284"/>
              </w:tabs>
              <w:ind w:left="284"/>
            </w:pPr>
            <w:r w:rsidRPr="00A513BA">
              <w:t>Parkinson’s disease</w:t>
            </w:r>
          </w:p>
          <w:p w14:paraId="56538B4E" w14:textId="77777777" w:rsidR="006E0905" w:rsidRPr="00A513BA" w:rsidRDefault="006E0905" w:rsidP="00A457B2">
            <w:pPr>
              <w:pStyle w:val="TableParagraph"/>
              <w:tabs>
                <w:tab w:val="left" w:pos="284"/>
              </w:tabs>
              <w:ind w:left="293"/>
              <w:jc w:val="left"/>
              <w:rPr>
                <w:sz w:val="20"/>
                <w:szCs w:val="20"/>
              </w:rPr>
            </w:pPr>
            <w:r w:rsidRPr="00A513BA">
              <w:rPr>
                <w:sz w:val="20"/>
                <w:szCs w:val="20"/>
              </w:rPr>
              <w:t>Dyskinesia</w:t>
            </w:r>
          </w:p>
          <w:p w14:paraId="5E1410BE" w14:textId="77777777" w:rsidR="006E0905" w:rsidRPr="00A513BA" w:rsidRDefault="006E0905" w:rsidP="00A457B2">
            <w:pPr>
              <w:pStyle w:val="TableParagraph"/>
              <w:tabs>
                <w:tab w:val="left" w:pos="284"/>
              </w:tabs>
              <w:ind w:left="284"/>
              <w:jc w:val="left"/>
              <w:rPr>
                <w:sz w:val="20"/>
                <w:szCs w:val="20"/>
              </w:rPr>
            </w:pPr>
            <w:r w:rsidRPr="00A513BA">
              <w:rPr>
                <w:sz w:val="20"/>
                <w:szCs w:val="20"/>
              </w:rPr>
              <w:t>Dizziness</w:t>
            </w:r>
          </w:p>
          <w:p w14:paraId="42D327F5" w14:textId="77777777" w:rsidR="006E0905" w:rsidRPr="00A513BA" w:rsidRDefault="006E0905" w:rsidP="00A457B2">
            <w:pPr>
              <w:pStyle w:val="TableParagraph"/>
              <w:tabs>
                <w:tab w:val="left" w:pos="284"/>
              </w:tabs>
              <w:ind w:left="284"/>
              <w:jc w:val="left"/>
              <w:rPr>
                <w:sz w:val="20"/>
                <w:szCs w:val="20"/>
              </w:rPr>
            </w:pPr>
            <w:r w:rsidRPr="00A513BA">
              <w:rPr>
                <w:sz w:val="20"/>
                <w:szCs w:val="20"/>
              </w:rPr>
              <w:t>Somnolence</w:t>
            </w:r>
          </w:p>
        </w:tc>
        <w:tc>
          <w:tcPr>
            <w:tcW w:w="866" w:type="pct"/>
            <w:tcBorders>
              <w:top w:val="single" w:sz="8" w:space="0" w:color="000000"/>
            </w:tcBorders>
          </w:tcPr>
          <w:p w14:paraId="39B0C12A" w14:textId="77777777" w:rsidR="006E0905" w:rsidRPr="00AB6699" w:rsidRDefault="006E0905" w:rsidP="00A457B2">
            <w:pPr>
              <w:pStyle w:val="TableParagraph"/>
              <w:ind w:left="85" w:right="66"/>
              <w:jc w:val="left"/>
              <w:rPr>
                <w:sz w:val="20"/>
                <w:szCs w:val="20"/>
              </w:rPr>
            </w:pPr>
          </w:p>
          <w:p w14:paraId="4CEF35F5" w14:textId="77777777" w:rsidR="006E0905" w:rsidRPr="00AB6699" w:rsidRDefault="006E0905" w:rsidP="00A457B2">
            <w:pPr>
              <w:pStyle w:val="TableParagraph"/>
              <w:ind w:left="85" w:right="66"/>
              <w:jc w:val="left"/>
              <w:rPr>
                <w:sz w:val="20"/>
                <w:szCs w:val="20"/>
              </w:rPr>
            </w:pPr>
            <w:r w:rsidRPr="00AB6699">
              <w:rPr>
                <w:sz w:val="20"/>
                <w:szCs w:val="20"/>
              </w:rPr>
              <w:t>8 (3.1)</w:t>
            </w:r>
          </w:p>
          <w:p w14:paraId="0FF5DFB5" w14:textId="77777777" w:rsidR="006E0905" w:rsidRPr="00AB6699" w:rsidRDefault="006E0905" w:rsidP="00A457B2">
            <w:pPr>
              <w:pStyle w:val="TableParagraph"/>
              <w:ind w:left="85" w:right="66"/>
              <w:jc w:val="left"/>
              <w:rPr>
                <w:sz w:val="20"/>
                <w:szCs w:val="20"/>
              </w:rPr>
            </w:pPr>
            <w:r w:rsidRPr="00AB6699">
              <w:rPr>
                <w:sz w:val="20"/>
                <w:szCs w:val="20"/>
              </w:rPr>
              <w:t>16 (6.2)</w:t>
            </w:r>
          </w:p>
          <w:p w14:paraId="6693E537" w14:textId="77777777" w:rsidR="006E0905" w:rsidRPr="00AB6699" w:rsidRDefault="006E0905" w:rsidP="00A457B2">
            <w:pPr>
              <w:pStyle w:val="TableParagraph"/>
              <w:ind w:left="85" w:right="66"/>
              <w:jc w:val="left"/>
              <w:rPr>
                <w:sz w:val="20"/>
                <w:szCs w:val="20"/>
              </w:rPr>
            </w:pPr>
            <w:r w:rsidRPr="00AB6699">
              <w:rPr>
                <w:sz w:val="20"/>
                <w:szCs w:val="20"/>
              </w:rPr>
              <w:t>3 (1.2)</w:t>
            </w:r>
          </w:p>
          <w:p w14:paraId="52CD4D3D" w14:textId="77777777" w:rsidR="006E0905" w:rsidRPr="00AB6699" w:rsidRDefault="006E0905" w:rsidP="00A457B2">
            <w:pPr>
              <w:pStyle w:val="TableParagraph"/>
              <w:ind w:left="85" w:right="66"/>
              <w:jc w:val="left"/>
              <w:rPr>
                <w:sz w:val="20"/>
                <w:szCs w:val="20"/>
              </w:rPr>
            </w:pPr>
            <w:r w:rsidRPr="00AB6699">
              <w:rPr>
                <w:sz w:val="20"/>
                <w:szCs w:val="20"/>
              </w:rPr>
              <w:t>5 (1.9)</w:t>
            </w:r>
          </w:p>
        </w:tc>
        <w:tc>
          <w:tcPr>
            <w:tcW w:w="953" w:type="pct"/>
            <w:tcBorders>
              <w:top w:val="single" w:sz="8" w:space="0" w:color="000000"/>
            </w:tcBorders>
          </w:tcPr>
          <w:p w14:paraId="29190A55" w14:textId="77777777" w:rsidR="006E0905" w:rsidRPr="00AB6699" w:rsidRDefault="006E0905" w:rsidP="00A457B2">
            <w:pPr>
              <w:pStyle w:val="TableParagraph"/>
              <w:ind w:left="85" w:right="66"/>
              <w:jc w:val="left"/>
              <w:rPr>
                <w:sz w:val="20"/>
                <w:szCs w:val="20"/>
              </w:rPr>
            </w:pPr>
          </w:p>
          <w:p w14:paraId="40AE2B4E" w14:textId="77777777" w:rsidR="006E0905" w:rsidRPr="00AB6699" w:rsidRDefault="006E0905" w:rsidP="00A457B2">
            <w:pPr>
              <w:pStyle w:val="TableParagraph"/>
              <w:ind w:left="85" w:right="66"/>
              <w:jc w:val="left"/>
              <w:rPr>
                <w:sz w:val="20"/>
                <w:szCs w:val="20"/>
              </w:rPr>
            </w:pPr>
            <w:r w:rsidRPr="00AB6699">
              <w:rPr>
                <w:sz w:val="20"/>
                <w:szCs w:val="20"/>
              </w:rPr>
              <w:t>11 (4.5)</w:t>
            </w:r>
          </w:p>
          <w:p w14:paraId="74C033A9" w14:textId="77777777" w:rsidR="006E0905" w:rsidRPr="00AB6699" w:rsidRDefault="006E0905" w:rsidP="00A457B2">
            <w:pPr>
              <w:pStyle w:val="TableParagraph"/>
              <w:ind w:left="85" w:right="66"/>
              <w:jc w:val="left"/>
              <w:rPr>
                <w:sz w:val="20"/>
                <w:szCs w:val="20"/>
              </w:rPr>
            </w:pPr>
            <w:r w:rsidRPr="00AB6699">
              <w:rPr>
                <w:sz w:val="20"/>
                <w:szCs w:val="20"/>
              </w:rPr>
              <w:t>39 (16.0)</w:t>
            </w:r>
          </w:p>
          <w:p w14:paraId="0C8AE2EB" w14:textId="77777777" w:rsidR="006E0905" w:rsidRPr="00AB6699" w:rsidRDefault="006E0905" w:rsidP="00A457B2">
            <w:pPr>
              <w:pStyle w:val="TableParagraph"/>
              <w:ind w:left="85" w:right="66"/>
              <w:jc w:val="left"/>
              <w:rPr>
                <w:sz w:val="20"/>
                <w:szCs w:val="20"/>
              </w:rPr>
            </w:pPr>
            <w:r w:rsidRPr="00AB6699">
              <w:rPr>
                <w:sz w:val="20"/>
                <w:szCs w:val="20"/>
              </w:rPr>
              <w:t>10 (4.1)</w:t>
            </w:r>
          </w:p>
          <w:p w14:paraId="4730030C" w14:textId="77777777" w:rsidR="006E0905" w:rsidRPr="00AB6699" w:rsidRDefault="006E0905" w:rsidP="00A457B2">
            <w:pPr>
              <w:pStyle w:val="TableParagraph"/>
              <w:ind w:left="85" w:right="66"/>
              <w:jc w:val="left"/>
              <w:rPr>
                <w:sz w:val="20"/>
                <w:szCs w:val="20"/>
              </w:rPr>
            </w:pPr>
            <w:r w:rsidRPr="00AB6699">
              <w:rPr>
                <w:sz w:val="20"/>
                <w:szCs w:val="20"/>
              </w:rPr>
              <w:t>10 (4.1)</w:t>
            </w:r>
          </w:p>
        </w:tc>
        <w:tc>
          <w:tcPr>
            <w:tcW w:w="920" w:type="pct"/>
            <w:tcBorders>
              <w:top w:val="single" w:sz="8" w:space="0" w:color="000000"/>
            </w:tcBorders>
          </w:tcPr>
          <w:p w14:paraId="17F1CD9C" w14:textId="77777777" w:rsidR="006E0905" w:rsidRPr="00AB6699" w:rsidRDefault="006E0905" w:rsidP="00A457B2">
            <w:pPr>
              <w:pStyle w:val="TableParagraph"/>
              <w:ind w:left="85" w:right="66"/>
              <w:jc w:val="left"/>
              <w:rPr>
                <w:sz w:val="20"/>
                <w:szCs w:val="20"/>
              </w:rPr>
            </w:pPr>
          </w:p>
          <w:p w14:paraId="3269A2E1" w14:textId="77777777" w:rsidR="006E0905" w:rsidRPr="00AB6699" w:rsidRDefault="006E0905" w:rsidP="00A457B2">
            <w:pPr>
              <w:pStyle w:val="TableParagraph"/>
              <w:ind w:left="85" w:right="66"/>
              <w:jc w:val="left"/>
              <w:rPr>
                <w:sz w:val="20"/>
                <w:szCs w:val="20"/>
              </w:rPr>
            </w:pPr>
            <w:r w:rsidRPr="00AB6699">
              <w:rPr>
                <w:sz w:val="20"/>
                <w:szCs w:val="20"/>
              </w:rPr>
              <w:t>6 (2.3)</w:t>
            </w:r>
          </w:p>
          <w:p w14:paraId="199A56FA" w14:textId="77777777" w:rsidR="006E0905" w:rsidRPr="00AB6699" w:rsidRDefault="006E0905" w:rsidP="00A457B2">
            <w:pPr>
              <w:pStyle w:val="TableParagraph"/>
              <w:ind w:left="85" w:right="66"/>
              <w:jc w:val="left"/>
              <w:rPr>
                <w:sz w:val="20"/>
                <w:szCs w:val="20"/>
              </w:rPr>
            </w:pPr>
            <w:r w:rsidRPr="00AB6699">
              <w:rPr>
                <w:sz w:val="20"/>
                <w:szCs w:val="20"/>
              </w:rPr>
              <w:t>54 (20.4)</w:t>
            </w:r>
          </w:p>
          <w:p w14:paraId="51076200" w14:textId="77777777" w:rsidR="006E0905" w:rsidRPr="00AB6699" w:rsidRDefault="006E0905" w:rsidP="00A457B2">
            <w:pPr>
              <w:pStyle w:val="TableParagraph"/>
              <w:ind w:left="85" w:right="66"/>
              <w:jc w:val="left"/>
              <w:rPr>
                <w:sz w:val="20"/>
                <w:szCs w:val="20"/>
              </w:rPr>
            </w:pPr>
            <w:r w:rsidRPr="00AB6699">
              <w:rPr>
                <w:sz w:val="20"/>
                <w:szCs w:val="20"/>
              </w:rPr>
              <w:t>9 (3.4)</w:t>
            </w:r>
          </w:p>
          <w:p w14:paraId="23478826" w14:textId="77777777" w:rsidR="006E0905" w:rsidRPr="00AB6699" w:rsidRDefault="006E0905" w:rsidP="00A457B2">
            <w:pPr>
              <w:pStyle w:val="TableParagraph"/>
              <w:ind w:left="85" w:right="66"/>
              <w:jc w:val="left"/>
              <w:rPr>
                <w:sz w:val="20"/>
                <w:szCs w:val="20"/>
              </w:rPr>
            </w:pPr>
            <w:r w:rsidRPr="00AB6699">
              <w:rPr>
                <w:sz w:val="20"/>
                <w:szCs w:val="20"/>
              </w:rPr>
              <w:t>5 (1.9)</w:t>
            </w:r>
          </w:p>
        </w:tc>
        <w:tc>
          <w:tcPr>
            <w:tcW w:w="901" w:type="pct"/>
            <w:tcBorders>
              <w:top w:val="single" w:sz="8" w:space="0" w:color="000000"/>
            </w:tcBorders>
          </w:tcPr>
          <w:p w14:paraId="0A3ECDBC" w14:textId="77777777" w:rsidR="006E0905" w:rsidRPr="00AB6699" w:rsidRDefault="006E0905" w:rsidP="00A457B2">
            <w:pPr>
              <w:pStyle w:val="TableParagraph"/>
              <w:ind w:left="85"/>
              <w:jc w:val="left"/>
              <w:rPr>
                <w:sz w:val="20"/>
                <w:szCs w:val="20"/>
              </w:rPr>
            </w:pPr>
          </w:p>
          <w:p w14:paraId="2667540E" w14:textId="77777777" w:rsidR="006E0905" w:rsidRPr="00AB6699" w:rsidRDefault="006E0905" w:rsidP="00A457B2">
            <w:pPr>
              <w:pStyle w:val="TableParagraph"/>
              <w:ind w:left="85"/>
              <w:jc w:val="left"/>
              <w:rPr>
                <w:sz w:val="20"/>
                <w:szCs w:val="20"/>
              </w:rPr>
            </w:pPr>
            <w:r w:rsidRPr="00AB6699">
              <w:rPr>
                <w:sz w:val="20"/>
                <w:szCs w:val="20"/>
              </w:rPr>
              <w:t>17 (3.3)</w:t>
            </w:r>
          </w:p>
          <w:p w14:paraId="65105DBF" w14:textId="77777777" w:rsidR="006E0905" w:rsidRPr="00AB6699" w:rsidRDefault="006E0905" w:rsidP="00A457B2">
            <w:pPr>
              <w:pStyle w:val="TableParagraph"/>
              <w:ind w:left="85"/>
              <w:jc w:val="left"/>
              <w:rPr>
                <w:sz w:val="20"/>
                <w:szCs w:val="20"/>
              </w:rPr>
            </w:pPr>
            <w:r w:rsidRPr="00AB6699">
              <w:rPr>
                <w:sz w:val="20"/>
                <w:szCs w:val="20"/>
              </w:rPr>
              <w:t>93 (18.3)</w:t>
            </w:r>
          </w:p>
          <w:p w14:paraId="3FE95F39" w14:textId="77777777" w:rsidR="006E0905" w:rsidRPr="00AB6699" w:rsidRDefault="006E0905" w:rsidP="00A457B2">
            <w:pPr>
              <w:pStyle w:val="TableParagraph"/>
              <w:ind w:left="85"/>
              <w:jc w:val="left"/>
              <w:rPr>
                <w:sz w:val="20"/>
                <w:szCs w:val="20"/>
              </w:rPr>
            </w:pPr>
            <w:r w:rsidRPr="00AB6699">
              <w:rPr>
                <w:sz w:val="20"/>
                <w:szCs w:val="20"/>
              </w:rPr>
              <w:t>19 (3.7)</w:t>
            </w:r>
          </w:p>
          <w:p w14:paraId="76F6EAB1" w14:textId="77777777" w:rsidR="006E0905" w:rsidRPr="00AB6699" w:rsidRDefault="006E0905" w:rsidP="00A457B2">
            <w:pPr>
              <w:pStyle w:val="TableParagraph"/>
              <w:ind w:left="85"/>
              <w:jc w:val="left"/>
              <w:rPr>
                <w:sz w:val="20"/>
                <w:szCs w:val="20"/>
              </w:rPr>
            </w:pPr>
            <w:r w:rsidRPr="00AB6699">
              <w:rPr>
                <w:sz w:val="20"/>
                <w:szCs w:val="20"/>
              </w:rPr>
              <w:t>15 (2.9)</w:t>
            </w:r>
          </w:p>
        </w:tc>
      </w:tr>
      <w:tr w:rsidR="006E0905" w:rsidRPr="00AB6699" w14:paraId="5891A431" w14:textId="77777777" w:rsidTr="00007852">
        <w:trPr>
          <w:trHeight w:val="283"/>
        </w:trPr>
        <w:tc>
          <w:tcPr>
            <w:tcW w:w="1360" w:type="pct"/>
            <w:tcBorders>
              <w:top w:val="single" w:sz="8" w:space="0" w:color="000000"/>
            </w:tcBorders>
          </w:tcPr>
          <w:p w14:paraId="1BA41535" w14:textId="77777777" w:rsidR="006E0905" w:rsidRPr="00A513BA" w:rsidRDefault="006E0905" w:rsidP="00A457B2">
            <w:pPr>
              <w:pStyle w:val="NoSpacing"/>
              <w:rPr>
                <w:b/>
              </w:rPr>
            </w:pPr>
            <w:r w:rsidRPr="00A513BA">
              <w:rPr>
                <w:b/>
              </w:rPr>
              <w:t>Vascular disorders</w:t>
            </w:r>
          </w:p>
        </w:tc>
        <w:tc>
          <w:tcPr>
            <w:tcW w:w="866" w:type="pct"/>
            <w:tcBorders>
              <w:top w:val="single" w:sz="8" w:space="0" w:color="000000"/>
            </w:tcBorders>
          </w:tcPr>
          <w:p w14:paraId="00CE49EE" w14:textId="77777777" w:rsidR="006E0905" w:rsidRPr="00AB6699" w:rsidRDefault="006E0905" w:rsidP="00A457B2">
            <w:pPr>
              <w:pStyle w:val="TableParagraph"/>
              <w:ind w:left="85" w:right="66"/>
              <w:jc w:val="left"/>
              <w:rPr>
                <w:sz w:val="20"/>
                <w:szCs w:val="20"/>
              </w:rPr>
            </w:pPr>
          </w:p>
        </w:tc>
        <w:tc>
          <w:tcPr>
            <w:tcW w:w="953" w:type="pct"/>
            <w:tcBorders>
              <w:top w:val="single" w:sz="8" w:space="0" w:color="000000"/>
            </w:tcBorders>
          </w:tcPr>
          <w:p w14:paraId="04F6E15E" w14:textId="77777777" w:rsidR="006E0905" w:rsidRPr="00AB6699" w:rsidRDefault="006E0905" w:rsidP="00A457B2">
            <w:pPr>
              <w:pStyle w:val="TableParagraph"/>
              <w:ind w:left="85" w:right="66"/>
              <w:jc w:val="left"/>
              <w:rPr>
                <w:sz w:val="20"/>
                <w:szCs w:val="20"/>
              </w:rPr>
            </w:pPr>
          </w:p>
        </w:tc>
        <w:tc>
          <w:tcPr>
            <w:tcW w:w="920" w:type="pct"/>
            <w:tcBorders>
              <w:top w:val="single" w:sz="8" w:space="0" w:color="000000"/>
            </w:tcBorders>
          </w:tcPr>
          <w:p w14:paraId="0E308594" w14:textId="77777777" w:rsidR="006E0905" w:rsidRPr="00AB6699" w:rsidRDefault="006E0905" w:rsidP="00A457B2">
            <w:pPr>
              <w:pStyle w:val="TableParagraph"/>
              <w:ind w:left="85" w:right="66"/>
              <w:jc w:val="left"/>
              <w:rPr>
                <w:sz w:val="20"/>
                <w:szCs w:val="20"/>
              </w:rPr>
            </w:pPr>
          </w:p>
        </w:tc>
        <w:tc>
          <w:tcPr>
            <w:tcW w:w="901" w:type="pct"/>
            <w:tcBorders>
              <w:top w:val="single" w:sz="8" w:space="0" w:color="000000"/>
            </w:tcBorders>
          </w:tcPr>
          <w:p w14:paraId="7681471A" w14:textId="77777777" w:rsidR="006E0905" w:rsidRPr="00AB6699" w:rsidRDefault="006E0905" w:rsidP="00A457B2">
            <w:pPr>
              <w:pStyle w:val="TableParagraph"/>
              <w:ind w:left="85"/>
              <w:jc w:val="left"/>
              <w:rPr>
                <w:sz w:val="20"/>
                <w:szCs w:val="20"/>
              </w:rPr>
            </w:pPr>
          </w:p>
        </w:tc>
      </w:tr>
      <w:tr w:rsidR="006E0905" w:rsidRPr="00AB6699" w14:paraId="23B1EF82" w14:textId="77777777" w:rsidTr="00007852">
        <w:trPr>
          <w:trHeight w:val="283"/>
        </w:trPr>
        <w:tc>
          <w:tcPr>
            <w:tcW w:w="1360" w:type="pct"/>
          </w:tcPr>
          <w:p w14:paraId="6654BF7E" w14:textId="77777777" w:rsidR="006E0905" w:rsidRPr="00A513BA" w:rsidRDefault="006E0905" w:rsidP="00A457B2">
            <w:pPr>
              <w:pStyle w:val="TableParagraph"/>
              <w:tabs>
                <w:tab w:val="left" w:pos="284"/>
              </w:tabs>
              <w:ind w:left="284"/>
              <w:jc w:val="left"/>
              <w:rPr>
                <w:sz w:val="20"/>
                <w:szCs w:val="20"/>
              </w:rPr>
            </w:pPr>
            <w:r w:rsidRPr="00A513BA">
              <w:rPr>
                <w:sz w:val="20"/>
                <w:szCs w:val="20"/>
              </w:rPr>
              <w:t>Hypertension</w:t>
            </w:r>
          </w:p>
        </w:tc>
        <w:tc>
          <w:tcPr>
            <w:tcW w:w="866" w:type="pct"/>
          </w:tcPr>
          <w:p w14:paraId="5C4340DA" w14:textId="77777777" w:rsidR="006E0905" w:rsidRPr="00AB6699" w:rsidRDefault="006E0905" w:rsidP="00A457B2">
            <w:pPr>
              <w:pStyle w:val="TableParagraph"/>
              <w:ind w:left="85" w:right="66"/>
              <w:jc w:val="left"/>
              <w:rPr>
                <w:sz w:val="20"/>
                <w:szCs w:val="20"/>
              </w:rPr>
            </w:pPr>
            <w:r w:rsidRPr="00AB6699">
              <w:rPr>
                <w:sz w:val="20"/>
                <w:szCs w:val="20"/>
              </w:rPr>
              <w:t>6 (2.3)</w:t>
            </w:r>
          </w:p>
        </w:tc>
        <w:tc>
          <w:tcPr>
            <w:tcW w:w="953" w:type="pct"/>
          </w:tcPr>
          <w:p w14:paraId="1B1BE39C" w14:textId="77777777" w:rsidR="006E0905" w:rsidRPr="00AB6699" w:rsidRDefault="006E0905" w:rsidP="00A457B2">
            <w:pPr>
              <w:pStyle w:val="TableParagraph"/>
              <w:ind w:left="85" w:right="66"/>
              <w:jc w:val="left"/>
              <w:rPr>
                <w:sz w:val="20"/>
                <w:szCs w:val="20"/>
              </w:rPr>
            </w:pPr>
            <w:r w:rsidRPr="00AB6699">
              <w:rPr>
                <w:sz w:val="20"/>
                <w:szCs w:val="20"/>
              </w:rPr>
              <w:t>10 (4.1)</w:t>
            </w:r>
          </w:p>
        </w:tc>
        <w:tc>
          <w:tcPr>
            <w:tcW w:w="920" w:type="pct"/>
          </w:tcPr>
          <w:p w14:paraId="17F7872E" w14:textId="77777777" w:rsidR="006E0905" w:rsidRPr="00AB6699" w:rsidRDefault="006E0905" w:rsidP="00A457B2">
            <w:pPr>
              <w:pStyle w:val="TableParagraph"/>
              <w:ind w:left="85" w:right="66"/>
              <w:jc w:val="left"/>
              <w:rPr>
                <w:sz w:val="20"/>
                <w:szCs w:val="20"/>
              </w:rPr>
            </w:pPr>
            <w:r w:rsidRPr="00AB6699">
              <w:rPr>
                <w:sz w:val="20"/>
                <w:szCs w:val="20"/>
              </w:rPr>
              <w:t>8 (3.0)</w:t>
            </w:r>
          </w:p>
        </w:tc>
        <w:tc>
          <w:tcPr>
            <w:tcW w:w="901" w:type="pct"/>
          </w:tcPr>
          <w:p w14:paraId="0E09A956" w14:textId="77777777" w:rsidR="006E0905" w:rsidRPr="00AB6699" w:rsidRDefault="006E0905" w:rsidP="00A457B2">
            <w:pPr>
              <w:pStyle w:val="TableParagraph"/>
              <w:ind w:left="85"/>
              <w:jc w:val="left"/>
              <w:rPr>
                <w:sz w:val="20"/>
                <w:szCs w:val="20"/>
              </w:rPr>
            </w:pPr>
            <w:r w:rsidRPr="00AB6699">
              <w:rPr>
                <w:sz w:val="20"/>
                <w:szCs w:val="20"/>
              </w:rPr>
              <w:t>18 (3.5)</w:t>
            </w:r>
          </w:p>
        </w:tc>
      </w:tr>
      <w:tr w:rsidR="006E0905" w:rsidRPr="00465F98" w14:paraId="0188C14A" w14:textId="77777777" w:rsidTr="00007852">
        <w:trPr>
          <w:trHeight w:val="283"/>
        </w:trPr>
        <w:tc>
          <w:tcPr>
            <w:tcW w:w="1360" w:type="pct"/>
            <w:tcBorders>
              <w:top w:val="single" w:sz="8" w:space="0" w:color="000000"/>
            </w:tcBorders>
          </w:tcPr>
          <w:p w14:paraId="7C3E0898" w14:textId="77777777" w:rsidR="006E0905" w:rsidRPr="00A513BA" w:rsidRDefault="006E0905" w:rsidP="00A457B2">
            <w:pPr>
              <w:pStyle w:val="NoSpacing"/>
              <w:rPr>
                <w:b/>
              </w:rPr>
            </w:pPr>
            <w:r w:rsidRPr="00A513BA">
              <w:rPr>
                <w:b/>
              </w:rPr>
              <w:t>Gastrointestinal disorders</w:t>
            </w:r>
          </w:p>
          <w:p w14:paraId="72DC9C29" w14:textId="77777777" w:rsidR="006E0905" w:rsidRPr="00A513BA" w:rsidRDefault="006E0905" w:rsidP="00A457B2">
            <w:pPr>
              <w:pStyle w:val="NoSpacing"/>
              <w:tabs>
                <w:tab w:val="clear" w:pos="567"/>
                <w:tab w:val="left" w:pos="284"/>
              </w:tabs>
              <w:ind w:left="284"/>
            </w:pPr>
            <w:r w:rsidRPr="00A513BA">
              <w:rPr>
                <w:sz w:val="20"/>
              </w:rPr>
              <w:t>Constipation</w:t>
            </w:r>
          </w:p>
          <w:p w14:paraId="145FD54C" w14:textId="77777777" w:rsidR="006E0905" w:rsidRPr="00A513BA" w:rsidRDefault="006E0905" w:rsidP="00A457B2">
            <w:pPr>
              <w:pStyle w:val="NoSpacing"/>
              <w:tabs>
                <w:tab w:val="clear" w:pos="567"/>
                <w:tab w:val="left" w:pos="284"/>
              </w:tabs>
              <w:ind w:left="284"/>
              <w:rPr>
                <w:b/>
                <w:sz w:val="20"/>
              </w:rPr>
            </w:pPr>
            <w:r w:rsidRPr="00A513BA">
              <w:rPr>
                <w:sz w:val="20"/>
              </w:rPr>
              <w:t>Dry mouth</w:t>
            </w:r>
          </w:p>
        </w:tc>
        <w:tc>
          <w:tcPr>
            <w:tcW w:w="866" w:type="pct"/>
            <w:tcBorders>
              <w:top w:val="single" w:sz="8" w:space="0" w:color="000000"/>
            </w:tcBorders>
          </w:tcPr>
          <w:p w14:paraId="3B867696" w14:textId="77777777" w:rsidR="006E0905" w:rsidRPr="00AB6699" w:rsidRDefault="006E0905" w:rsidP="00A457B2">
            <w:pPr>
              <w:pStyle w:val="TableParagraph"/>
              <w:ind w:left="85" w:right="66"/>
              <w:jc w:val="left"/>
              <w:rPr>
                <w:sz w:val="20"/>
                <w:szCs w:val="20"/>
              </w:rPr>
            </w:pPr>
          </w:p>
          <w:p w14:paraId="30803840" w14:textId="77777777" w:rsidR="006E0905" w:rsidRPr="00AB6699" w:rsidRDefault="006E0905" w:rsidP="00A457B2">
            <w:pPr>
              <w:pStyle w:val="TableParagraph"/>
              <w:ind w:left="85" w:right="66"/>
              <w:jc w:val="left"/>
              <w:rPr>
                <w:sz w:val="20"/>
                <w:szCs w:val="20"/>
              </w:rPr>
            </w:pPr>
            <w:r w:rsidRPr="00AB6699">
              <w:rPr>
                <w:sz w:val="20"/>
                <w:szCs w:val="20"/>
              </w:rPr>
              <w:t>5 (1.9)</w:t>
            </w:r>
          </w:p>
          <w:p w14:paraId="41FACE56" w14:textId="77777777" w:rsidR="006E0905" w:rsidRPr="00AB6699" w:rsidRDefault="006E0905" w:rsidP="00A457B2">
            <w:pPr>
              <w:pStyle w:val="TableParagraph"/>
              <w:ind w:left="85" w:right="66"/>
              <w:jc w:val="left"/>
              <w:rPr>
                <w:sz w:val="20"/>
                <w:szCs w:val="20"/>
              </w:rPr>
            </w:pPr>
            <w:r w:rsidRPr="00AB6699">
              <w:rPr>
                <w:sz w:val="20"/>
                <w:szCs w:val="20"/>
              </w:rPr>
              <w:t>3 (1.2)</w:t>
            </w:r>
          </w:p>
        </w:tc>
        <w:tc>
          <w:tcPr>
            <w:tcW w:w="953" w:type="pct"/>
            <w:tcBorders>
              <w:top w:val="single" w:sz="8" w:space="0" w:color="000000"/>
            </w:tcBorders>
          </w:tcPr>
          <w:p w14:paraId="4DCA7FF9" w14:textId="77777777" w:rsidR="006E0905" w:rsidRPr="00AB6699" w:rsidRDefault="006E0905" w:rsidP="00A457B2">
            <w:pPr>
              <w:pStyle w:val="TableParagraph"/>
              <w:ind w:left="85" w:right="66"/>
              <w:jc w:val="left"/>
              <w:rPr>
                <w:sz w:val="20"/>
                <w:szCs w:val="20"/>
              </w:rPr>
            </w:pPr>
          </w:p>
          <w:p w14:paraId="6C9C5F47" w14:textId="77777777" w:rsidR="006E0905" w:rsidRPr="00AB6699" w:rsidRDefault="006E0905" w:rsidP="00A457B2">
            <w:pPr>
              <w:pStyle w:val="TableParagraph"/>
              <w:ind w:left="85" w:right="66"/>
              <w:jc w:val="left"/>
              <w:rPr>
                <w:sz w:val="20"/>
                <w:szCs w:val="20"/>
              </w:rPr>
            </w:pPr>
            <w:r w:rsidRPr="00AB6699">
              <w:rPr>
                <w:sz w:val="20"/>
                <w:szCs w:val="20"/>
              </w:rPr>
              <w:t>12 (4.9)</w:t>
            </w:r>
          </w:p>
          <w:p w14:paraId="46000F3E" w14:textId="77777777" w:rsidR="006E0905" w:rsidRPr="00AB6699" w:rsidRDefault="006E0905" w:rsidP="00A457B2">
            <w:pPr>
              <w:pStyle w:val="TableParagraph"/>
              <w:ind w:left="85" w:right="66"/>
              <w:jc w:val="left"/>
              <w:rPr>
                <w:sz w:val="20"/>
                <w:szCs w:val="20"/>
              </w:rPr>
            </w:pPr>
            <w:r w:rsidRPr="00AB6699">
              <w:rPr>
                <w:sz w:val="20"/>
                <w:szCs w:val="20"/>
              </w:rPr>
              <w:t>16 (6.6)</w:t>
            </w:r>
          </w:p>
        </w:tc>
        <w:tc>
          <w:tcPr>
            <w:tcW w:w="920" w:type="pct"/>
            <w:tcBorders>
              <w:top w:val="single" w:sz="8" w:space="0" w:color="000000"/>
            </w:tcBorders>
          </w:tcPr>
          <w:p w14:paraId="0B559F75" w14:textId="77777777" w:rsidR="006E0905" w:rsidRPr="00AB6699" w:rsidRDefault="006E0905" w:rsidP="00A457B2">
            <w:pPr>
              <w:pStyle w:val="TableParagraph"/>
              <w:ind w:left="85" w:right="66"/>
              <w:jc w:val="left"/>
              <w:rPr>
                <w:sz w:val="20"/>
                <w:szCs w:val="20"/>
              </w:rPr>
            </w:pPr>
          </w:p>
          <w:p w14:paraId="6ED30E7D" w14:textId="77777777" w:rsidR="006E0905" w:rsidRPr="00AB6699" w:rsidRDefault="006E0905" w:rsidP="00A457B2">
            <w:pPr>
              <w:pStyle w:val="TableParagraph"/>
              <w:ind w:left="85" w:right="66"/>
              <w:jc w:val="left"/>
              <w:rPr>
                <w:sz w:val="20"/>
                <w:szCs w:val="20"/>
              </w:rPr>
            </w:pPr>
            <w:r w:rsidRPr="00AB6699">
              <w:rPr>
                <w:sz w:val="20"/>
                <w:szCs w:val="20"/>
              </w:rPr>
              <w:t>17 (6.4)</w:t>
            </w:r>
          </w:p>
          <w:p w14:paraId="31DFBA16" w14:textId="77777777" w:rsidR="006E0905" w:rsidRPr="00AB6699" w:rsidRDefault="006E0905" w:rsidP="00A457B2">
            <w:pPr>
              <w:pStyle w:val="TableParagraph"/>
              <w:ind w:left="85" w:right="66"/>
              <w:jc w:val="left"/>
              <w:rPr>
                <w:sz w:val="20"/>
                <w:szCs w:val="20"/>
              </w:rPr>
            </w:pPr>
            <w:r w:rsidRPr="00AB6699">
              <w:rPr>
                <w:sz w:val="20"/>
                <w:szCs w:val="20"/>
              </w:rPr>
              <w:t>8 (3.0)</w:t>
            </w:r>
          </w:p>
        </w:tc>
        <w:tc>
          <w:tcPr>
            <w:tcW w:w="901" w:type="pct"/>
            <w:tcBorders>
              <w:top w:val="single" w:sz="8" w:space="0" w:color="000000"/>
            </w:tcBorders>
          </w:tcPr>
          <w:p w14:paraId="6EF2AE63" w14:textId="77777777" w:rsidR="006E0905" w:rsidRPr="00AB6699" w:rsidRDefault="006E0905" w:rsidP="00A457B2">
            <w:pPr>
              <w:pStyle w:val="TableParagraph"/>
              <w:ind w:left="85"/>
              <w:jc w:val="left"/>
              <w:rPr>
                <w:sz w:val="20"/>
                <w:szCs w:val="20"/>
              </w:rPr>
            </w:pPr>
          </w:p>
          <w:p w14:paraId="6F190858" w14:textId="77777777" w:rsidR="006E0905" w:rsidRPr="00AB6699" w:rsidRDefault="006E0905" w:rsidP="00A457B2">
            <w:pPr>
              <w:pStyle w:val="TableParagraph"/>
              <w:ind w:left="85"/>
              <w:jc w:val="left"/>
              <w:rPr>
                <w:sz w:val="20"/>
                <w:szCs w:val="20"/>
              </w:rPr>
            </w:pPr>
            <w:r w:rsidRPr="00AB6699">
              <w:rPr>
                <w:sz w:val="20"/>
                <w:szCs w:val="20"/>
              </w:rPr>
              <w:t>29 (5.7)</w:t>
            </w:r>
          </w:p>
          <w:p w14:paraId="2E6205E4" w14:textId="77777777" w:rsidR="006E0905" w:rsidRPr="00AB6699" w:rsidRDefault="006E0905" w:rsidP="00A457B2">
            <w:pPr>
              <w:pStyle w:val="TableParagraph"/>
              <w:ind w:left="85"/>
              <w:jc w:val="left"/>
              <w:rPr>
                <w:sz w:val="20"/>
                <w:szCs w:val="20"/>
              </w:rPr>
            </w:pPr>
            <w:r w:rsidRPr="00AB6699">
              <w:rPr>
                <w:sz w:val="20"/>
                <w:szCs w:val="20"/>
              </w:rPr>
              <w:t>24 (4.7)</w:t>
            </w:r>
          </w:p>
        </w:tc>
      </w:tr>
      <w:tr w:rsidR="006E0905" w:rsidRPr="001E6F54" w14:paraId="62E3B556" w14:textId="77777777" w:rsidTr="00007852">
        <w:trPr>
          <w:trHeight w:val="283"/>
        </w:trPr>
        <w:tc>
          <w:tcPr>
            <w:tcW w:w="1360" w:type="pct"/>
            <w:tcBorders>
              <w:top w:val="single" w:sz="8" w:space="0" w:color="000000"/>
              <w:bottom w:val="single" w:sz="8" w:space="0" w:color="000000"/>
            </w:tcBorders>
          </w:tcPr>
          <w:p w14:paraId="766BF5F7" w14:textId="77777777" w:rsidR="006E0905" w:rsidRPr="00A513BA" w:rsidRDefault="006E0905" w:rsidP="00A457B2">
            <w:pPr>
              <w:pStyle w:val="NoSpacing"/>
              <w:rPr>
                <w:b/>
              </w:rPr>
            </w:pPr>
            <w:r w:rsidRPr="00A513BA">
              <w:rPr>
                <w:b/>
              </w:rPr>
              <w:t>Renal and urinary disorders</w:t>
            </w:r>
          </w:p>
          <w:p w14:paraId="26C80CE1" w14:textId="77777777" w:rsidR="006E0905" w:rsidRPr="00A513BA" w:rsidRDefault="006E0905" w:rsidP="00A457B2">
            <w:pPr>
              <w:pStyle w:val="NoSpacing"/>
              <w:tabs>
                <w:tab w:val="clear" w:pos="567"/>
                <w:tab w:val="left" w:pos="284"/>
              </w:tabs>
              <w:ind w:left="284"/>
              <w:rPr>
                <w:sz w:val="20"/>
              </w:rPr>
            </w:pPr>
            <w:r w:rsidRPr="00A513BA">
              <w:rPr>
                <w:sz w:val="20"/>
              </w:rPr>
              <w:t>Urinary tract infection</w:t>
            </w:r>
          </w:p>
        </w:tc>
        <w:tc>
          <w:tcPr>
            <w:tcW w:w="866" w:type="pct"/>
            <w:tcBorders>
              <w:top w:val="single" w:sz="8" w:space="0" w:color="000000"/>
              <w:bottom w:val="single" w:sz="8" w:space="0" w:color="000000"/>
            </w:tcBorders>
          </w:tcPr>
          <w:p w14:paraId="63A2D466" w14:textId="77777777" w:rsidR="006E0905" w:rsidRPr="00AB6699" w:rsidRDefault="006E0905" w:rsidP="00A457B2">
            <w:pPr>
              <w:pStyle w:val="TableParagraph"/>
              <w:ind w:left="85" w:right="66"/>
              <w:jc w:val="left"/>
              <w:rPr>
                <w:sz w:val="20"/>
                <w:szCs w:val="20"/>
              </w:rPr>
            </w:pPr>
          </w:p>
          <w:p w14:paraId="78BB43E3" w14:textId="77777777" w:rsidR="006E0905" w:rsidRPr="00AB6699" w:rsidRDefault="006E0905" w:rsidP="00A457B2">
            <w:pPr>
              <w:pStyle w:val="TableParagraph"/>
              <w:ind w:left="85" w:right="66"/>
              <w:jc w:val="left"/>
              <w:rPr>
                <w:sz w:val="20"/>
                <w:szCs w:val="20"/>
              </w:rPr>
            </w:pPr>
            <w:r w:rsidRPr="00AB6699">
              <w:rPr>
                <w:sz w:val="20"/>
                <w:szCs w:val="20"/>
              </w:rPr>
              <w:t>2 (0.8)</w:t>
            </w:r>
          </w:p>
        </w:tc>
        <w:tc>
          <w:tcPr>
            <w:tcW w:w="953" w:type="pct"/>
            <w:tcBorders>
              <w:top w:val="single" w:sz="8" w:space="0" w:color="000000"/>
              <w:bottom w:val="single" w:sz="8" w:space="0" w:color="000000"/>
            </w:tcBorders>
          </w:tcPr>
          <w:p w14:paraId="43285ED0" w14:textId="77777777" w:rsidR="006E0905" w:rsidRPr="00AB6699" w:rsidRDefault="006E0905" w:rsidP="00A457B2">
            <w:pPr>
              <w:pStyle w:val="TableParagraph"/>
              <w:ind w:left="85" w:right="66"/>
              <w:jc w:val="left"/>
              <w:rPr>
                <w:sz w:val="20"/>
                <w:szCs w:val="20"/>
              </w:rPr>
            </w:pPr>
          </w:p>
          <w:p w14:paraId="7ECA3B6F" w14:textId="77777777" w:rsidR="006E0905" w:rsidRPr="00AB6699" w:rsidRDefault="006E0905" w:rsidP="00A457B2">
            <w:pPr>
              <w:pStyle w:val="TableParagraph"/>
              <w:ind w:left="85" w:right="66"/>
              <w:jc w:val="left"/>
              <w:rPr>
                <w:sz w:val="20"/>
                <w:szCs w:val="20"/>
              </w:rPr>
            </w:pPr>
            <w:r w:rsidRPr="00AB6699">
              <w:rPr>
                <w:sz w:val="20"/>
                <w:szCs w:val="20"/>
              </w:rPr>
              <w:t>4 (1.6)</w:t>
            </w:r>
          </w:p>
        </w:tc>
        <w:tc>
          <w:tcPr>
            <w:tcW w:w="920" w:type="pct"/>
            <w:tcBorders>
              <w:top w:val="single" w:sz="8" w:space="0" w:color="000000"/>
              <w:bottom w:val="single" w:sz="8" w:space="0" w:color="000000"/>
            </w:tcBorders>
          </w:tcPr>
          <w:p w14:paraId="2F57046A" w14:textId="77777777" w:rsidR="006E0905" w:rsidRPr="00AB6699" w:rsidRDefault="006E0905" w:rsidP="00A457B2">
            <w:pPr>
              <w:pStyle w:val="TableParagraph"/>
              <w:ind w:left="85" w:right="66"/>
              <w:jc w:val="left"/>
              <w:rPr>
                <w:sz w:val="20"/>
                <w:szCs w:val="20"/>
              </w:rPr>
            </w:pPr>
          </w:p>
          <w:p w14:paraId="38513059" w14:textId="77777777" w:rsidR="006E0905" w:rsidRPr="00AB6699" w:rsidRDefault="006E0905" w:rsidP="00A457B2">
            <w:pPr>
              <w:pStyle w:val="TableParagraph"/>
              <w:ind w:left="85" w:right="66"/>
              <w:jc w:val="left"/>
              <w:rPr>
                <w:sz w:val="20"/>
                <w:szCs w:val="20"/>
              </w:rPr>
            </w:pPr>
            <w:r w:rsidRPr="00AB6699">
              <w:rPr>
                <w:sz w:val="20"/>
                <w:szCs w:val="20"/>
              </w:rPr>
              <w:t>10 (3.8)</w:t>
            </w:r>
          </w:p>
        </w:tc>
        <w:tc>
          <w:tcPr>
            <w:tcW w:w="901" w:type="pct"/>
            <w:tcBorders>
              <w:top w:val="single" w:sz="8" w:space="0" w:color="000000"/>
              <w:bottom w:val="single" w:sz="8" w:space="0" w:color="000000"/>
            </w:tcBorders>
          </w:tcPr>
          <w:p w14:paraId="1DB89802" w14:textId="77777777" w:rsidR="006E0905" w:rsidRPr="00AB6699" w:rsidRDefault="006E0905" w:rsidP="00A457B2">
            <w:pPr>
              <w:pStyle w:val="TableParagraph"/>
              <w:ind w:left="85"/>
              <w:jc w:val="left"/>
              <w:rPr>
                <w:sz w:val="20"/>
                <w:szCs w:val="20"/>
              </w:rPr>
            </w:pPr>
          </w:p>
          <w:p w14:paraId="4DAC37C1" w14:textId="77777777" w:rsidR="006E0905" w:rsidRPr="00AB6699" w:rsidRDefault="006E0905" w:rsidP="00A457B2">
            <w:pPr>
              <w:pStyle w:val="TableParagraph"/>
              <w:ind w:left="85"/>
              <w:jc w:val="left"/>
              <w:rPr>
                <w:sz w:val="20"/>
                <w:szCs w:val="20"/>
              </w:rPr>
            </w:pPr>
            <w:r w:rsidRPr="00AB6699">
              <w:rPr>
                <w:sz w:val="20"/>
                <w:szCs w:val="20"/>
              </w:rPr>
              <w:t>14 (2.8)</w:t>
            </w:r>
          </w:p>
        </w:tc>
      </w:tr>
      <w:tr w:rsidR="006E0905" w:rsidRPr="001E6F54" w14:paraId="7D635152" w14:textId="77777777" w:rsidTr="00007852">
        <w:trPr>
          <w:trHeight w:val="67"/>
        </w:trPr>
        <w:tc>
          <w:tcPr>
            <w:tcW w:w="1360" w:type="pct"/>
            <w:tcBorders>
              <w:top w:val="single" w:sz="8" w:space="0" w:color="000000"/>
              <w:bottom w:val="single" w:sz="4" w:space="0" w:color="auto"/>
            </w:tcBorders>
          </w:tcPr>
          <w:p w14:paraId="54B0965B" w14:textId="77777777" w:rsidR="006E0905" w:rsidRPr="00A513BA" w:rsidRDefault="006E0905" w:rsidP="00A457B2">
            <w:pPr>
              <w:pStyle w:val="NoSpacing"/>
              <w:rPr>
                <w:b/>
              </w:rPr>
            </w:pPr>
            <w:r w:rsidRPr="00A513BA">
              <w:rPr>
                <w:b/>
              </w:rPr>
              <w:t>Investigations</w:t>
            </w:r>
          </w:p>
          <w:p w14:paraId="15851367" w14:textId="77777777" w:rsidR="006E0905" w:rsidRPr="00A513BA" w:rsidRDefault="006E0905" w:rsidP="00A457B2">
            <w:pPr>
              <w:pStyle w:val="NoSpacing"/>
              <w:tabs>
                <w:tab w:val="clear" w:pos="567"/>
                <w:tab w:val="left" w:pos="284"/>
              </w:tabs>
              <w:ind w:left="284"/>
            </w:pPr>
            <w:r w:rsidRPr="00A513BA">
              <w:rPr>
                <w:sz w:val="20"/>
              </w:rPr>
              <w:t>Increased blood creatine</w:t>
            </w:r>
            <w:r w:rsidRPr="00A513BA">
              <w:t xml:space="preserve"> </w:t>
            </w:r>
            <w:r w:rsidRPr="00A513BA">
              <w:rPr>
                <w:sz w:val="20"/>
              </w:rPr>
              <w:t>phosphokinase</w:t>
            </w:r>
          </w:p>
          <w:p w14:paraId="2D4610F0" w14:textId="77777777" w:rsidR="006E0905" w:rsidRPr="00A513BA" w:rsidRDefault="006E0905" w:rsidP="00A457B2">
            <w:pPr>
              <w:pStyle w:val="NoSpacing"/>
              <w:tabs>
                <w:tab w:val="clear" w:pos="567"/>
                <w:tab w:val="left" w:pos="284"/>
              </w:tabs>
              <w:ind w:left="284"/>
              <w:rPr>
                <w:b/>
              </w:rPr>
            </w:pPr>
            <w:r w:rsidRPr="00A513BA">
              <w:rPr>
                <w:sz w:val="20"/>
              </w:rPr>
              <w:t>Weight decreased</w:t>
            </w:r>
          </w:p>
        </w:tc>
        <w:tc>
          <w:tcPr>
            <w:tcW w:w="866" w:type="pct"/>
            <w:tcBorders>
              <w:top w:val="single" w:sz="8" w:space="0" w:color="000000"/>
              <w:bottom w:val="single" w:sz="4" w:space="0" w:color="auto"/>
            </w:tcBorders>
          </w:tcPr>
          <w:p w14:paraId="74049BB4" w14:textId="77777777" w:rsidR="006E0905" w:rsidRPr="00AB6699" w:rsidRDefault="006E0905" w:rsidP="00A457B2">
            <w:pPr>
              <w:pStyle w:val="TableParagraph"/>
              <w:ind w:left="85" w:right="66"/>
              <w:jc w:val="left"/>
              <w:rPr>
                <w:sz w:val="20"/>
                <w:szCs w:val="20"/>
              </w:rPr>
            </w:pPr>
          </w:p>
          <w:p w14:paraId="6FD64465" w14:textId="77777777" w:rsidR="006E0905" w:rsidRDefault="006E0905" w:rsidP="00A457B2">
            <w:pPr>
              <w:pStyle w:val="TableParagraph"/>
              <w:ind w:left="85" w:right="66"/>
              <w:jc w:val="left"/>
              <w:rPr>
                <w:sz w:val="20"/>
                <w:szCs w:val="20"/>
              </w:rPr>
            </w:pPr>
          </w:p>
          <w:p w14:paraId="0A0AC836" w14:textId="77777777" w:rsidR="006E0905" w:rsidRPr="00AB6699" w:rsidRDefault="006E0905" w:rsidP="00A457B2">
            <w:pPr>
              <w:pStyle w:val="TableParagraph"/>
              <w:ind w:left="85" w:right="66"/>
              <w:jc w:val="left"/>
              <w:rPr>
                <w:sz w:val="20"/>
                <w:szCs w:val="20"/>
              </w:rPr>
            </w:pPr>
            <w:r w:rsidRPr="00AB6699">
              <w:rPr>
                <w:sz w:val="20"/>
                <w:szCs w:val="20"/>
              </w:rPr>
              <w:t>5 (1.9)</w:t>
            </w:r>
          </w:p>
          <w:p w14:paraId="5AAF7A49" w14:textId="77777777" w:rsidR="006E0905" w:rsidRPr="00AB6699" w:rsidRDefault="006E0905" w:rsidP="00A457B2">
            <w:pPr>
              <w:pStyle w:val="TableParagraph"/>
              <w:ind w:left="85" w:right="66"/>
              <w:jc w:val="left"/>
              <w:rPr>
                <w:sz w:val="20"/>
                <w:szCs w:val="20"/>
              </w:rPr>
            </w:pPr>
            <w:r w:rsidRPr="00AB6699">
              <w:rPr>
                <w:sz w:val="20"/>
                <w:szCs w:val="20"/>
              </w:rPr>
              <w:t>0</w:t>
            </w:r>
          </w:p>
        </w:tc>
        <w:tc>
          <w:tcPr>
            <w:tcW w:w="953" w:type="pct"/>
            <w:tcBorders>
              <w:top w:val="single" w:sz="8" w:space="0" w:color="000000"/>
              <w:bottom w:val="single" w:sz="4" w:space="0" w:color="auto"/>
            </w:tcBorders>
          </w:tcPr>
          <w:p w14:paraId="18F324FA" w14:textId="77777777" w:rsidR="006E0905" w:rsidRPr="00AB6699" w:rsidRDefault="006E0905" w:rsidP="00A457B2">
            <w:pPr>
              <w:pStyle w:val="TableParagraph"/>
              <w:ind w:left="85" w:right="66"/>
              <w:jc w:val="left"/>
              <w:rPr>
                <w:sz w:val="20"/>
                <w:szCs w:val="20"/>
              </w:rPr>
            </w:pPr>
          </w:p>
          <w:p w14:paraId="42DE5839" w14:textId="77777777" w:rsidR="006E0905" w:rsidRDefault="006E0905" w:rsidP="00A457B2">
            <w:pPr>
              <w:pStyle w:val="TableParagraph"/>
              <w:ind w:left="85" w:right="66"/>
              <w:jc w:val="left"/>
              <w:rPr>
                <w:sz w:val="20"/>
                <w:szCs w:val="20"/>
              </w:rPr>
            </w:pPr>
          </w:p>
          <w:p w14:paraId="66EB4E88" w14:textId="77777777" w:rsidR="006E0905" w:rsidRPr="00AB6699" w:rsidRDefault="006E0905" w:rsidP="00A457B2">
            <w:pPr>
              <w:pStyle w:val="TableParagraph"/>
              <w:ind w:left="85" w:right="66"/>
              <w:jc w:val="left"/>
              <w:rPr>
                <w:sz w:val="20"/>
                <w:szCs w:val="20"/>
              </w:rPr>
            </w:pPr>
            <w:r w:rsidRPr="00AB6699">
              <w:rPr>
                <w:sz w:val="20"/>
                <w:szCs w:val="20"/>
              </w:rPr>
              <w:t>7 (2.9)</w:t>
            </w:r>
          </w:p>
          <w:p w14:paraId="6C30B0B6" w14:textId="77777777" w:rsidR="006E0905" w:rsidRPr="00AB6699" w:rsidRDefault="006E0905" w:rsidP="00A457B2">
            <w:pPr>
              <w:pStyle w:val="TableParagraph"/>
              <w:ind w:left="85" w:right="66"/>
              <w:jc w:val="left"/>
              <w:rPr>
                <w:sz w:val="20"/>
                <w:szCs w:val="20"/>
              </w:rPr>
            </w:pPr>
            <w:r w:rsidRPr="00AB6699">
              <w:rPr>
                <w:sz w:val="20"/>
                <w:szCs w:val="20"/>
              </w:rPr>
              <w:t>1 (0.4)</w:t>
            </w:r>
          </w:p>
        </w:tc>
        <w:tc>
          <w:tcPr>
            <w:tcW w:w="920" w:type="pct"/>
            <w:tcBorders>
              <w:top w:val="single" w:sz="8" w:space="0" w:color="000000"/>
              <w:bottom w:val="single" w:sz="4" w:space="0" w:color="auto"/>
            </w:tcBorders>
          </w:tcPr>
          <w:p w14:paraId="22F8393E" w14:textId="77777777" w:rsidR="006E0905" w:rsidRPr="00AB6699" w:rsidRDefault="006E0905" w:rsidP="00A457B2">
            <w:pPr>
              <w:pStyle w:val="TableParagraph"/>
              <w:ind w:left="85" w:right="66"/>
              <w:jc w:val="left"/>
              <w:rPr>
                <w:sz w:val="20"/>
                <w:szCs w:val="20"/>
              </w:rPr>
            </w:pPr>
          </w:p>
          <w:p w14:paraId="27B8D492" w14:textId="77777777" w:rsidR="006E0905" w:rsidRDefault="006E0905" w:rsidP="00A457B2">
            <w:pPr>
              <w:pStyle w:val="TableParagraph"/>
              <w:ind w:left="85" w:right="66"/>
              <w:jc w:val="left"/>
              <w:rPr>
                <w:sz w:val="20"/>
                <w:szCs w:val="20"/>
              </w:rPr>
            </w:pPr>
          </w:p>
          <w:p w14:paraId="78BF9EBB" w14:textId="77777777" w:rsidR="006E0905" w:rsidRPr="00AB6699" w:rsidRDefault="006E0905" w:rsidP="00A457B2">
            <w:pPr>
              <w:pStyle w:val="TableParagraph"/>
              <w:ind w:left="85" w:right="66"/>
              <w:jc w:val="left"/>
              <w:rPr>
                <w:sz w:val="20"/>
                <w:szCs w:val="20"/>
              </w:rPr>
            </w:pPr>
            <w:r w:rsidRPr="00AB6699">
              <w:rPr>
                <w:sz w:val="20"/>
                <w:szCs w:val="20"/>
              </w:rPr>
              <w:t>13 (4.9)</w:t>
            </w:r>
          </w:p>
          <w:p w14:paraId="6A3966E4" w14:textId="77777777" w:rsidR="006E0905" w:rsidRPr="00AB6699" w:rsidRDefault="006E0905" w:rsidP="00A457B2">
            <w:pPr>
              <w:pStyle w:val="TableParagraph"/>
              <w:ind w:left="85" w:right="66"/>
              <w:jc w:val="left"/>
              <w:rPr>
                <w:sz w:val="20"/>
                <w:szCs w:val="20"/>
              </w:rPr>
            </w:pPr>
            <w:r w:rsidRPr="00AB6699">
              <w:rPr>
                <w:sz w:val="20"/>
                <w:szCs w:val="20"/>
              </w:rPr>
              <w:t>10 (3.8)</w:t>
            </w:r>
          </w:p>
        </w:tc>
        <w:tc>
          <w:tcPr>
            <w:tcW w:w="901" w:type="pct"/>
            <w:tcBorders>
              <w:top w:val="single" w:sz="8" w:space="0" w:color="000000"/>
              <w:bottom w:val="single" w:sz="4" w:space="0" w:color="auto"/>
            </w:tcBorders>
          </w:tcPr>
          <w:p w14:paraId="372D1584" w14:textId="77777777" w:rsidR="006E0905" w:rsidRPr="00AB6699" w:rsidRDefault="006E0905" w:rsidP="00A457B2">
            <w:pPr>
              <w:pStyle w:val="TableParagraph"/>
              <w:ind w:left="85"/>
              <w:jc w:val="left"/>
              <w:rPr>
                <w:sz w:val="20"/>
                <w:szCs w:val="20"/>
              </w:rPr>
            </w:pPr>
          </w:p>
          <w:p w14:paraId="579F36E1" w14:textId="77777777" w:rsidR="006E0905" w:rsidRDefault="006E0905" w:rsidP="00A457B2">
            <w:pPr>
              <w:pStyle w:val="TableParagraph"/>
              <w:ind w:left="85"/>
              <w:jc w:val="left"/>
              <w:rPr>
                <w:sz w:val="20"/>
                <w:szCs w:val="20"/>
              </w:rPr>
            </w:pPr>
          </w:p>
          <w:p w14:paraId="12092BFC" w14:textId="77777777" w:rsidR="006E0905" w:rsidRPr="00AB6699" w:rsidRDefault="006E0905" w:rsidP="00A457B2">
            <w:pPr>
              <w:pStyle w:val="TableParagraph"/>
              <w:ind w:left="85"/>
              <w:jc w:val="left"/>
              <w:rPr>
                <w:sz w:val="20"/>
                <w:szCs w:val="20"/>
              </w:rPr>
            </w:pPr>
            <w:r w:rsidRPr="00AB6699">
              <w:rPr>
                <w:sz w:val="20"/>
                <w:szCs w:val="20"/>
              </w:rPr>
              <w:t>20 (3.9)</w:t>
            </w:r>
          </w:p>
          <w:p w14:paraId="04E918A6" w14:textId="77777777" w:rsidR="006E0905" w:rsidRPr="00AB6699" w:rsidRDefault="006E0905" w:rsidP="00A457B2">
            <w:pPr>
              <w:pStyle w:val="TableParagraph"/>
              <w:ind w:left="85"/>
              <w:jc w:val="left"/>
              <w:rPr>
                <w:sz w:val="20"/>
                <w:szCs w:val="20"/>
              </w:rPr>
            </w:pPr>
            <w:r w:rsidRPr="00AB6699">
              <w:rPr>
                <w:sz w:val="20"/>
                <w:szCs w:val="20"/>
              </w:rPr>
              <w:t>11 (2.2)</w:t>
            </w:r>
          </w:p>
        </w:tc>
      </w:tr>
    </w:tbl>
    <w:p w14:paraId="6633BFC2" w14:textId="77777777" w:rsidR="006E0905" w:rsidRDefault="006E0905" w:rsidP="00A457B2">
      <w:pPr>
        <w:rPr>
          <w:sz w:val="20"/>
        </w:rPr>
      </w:pPr>
      <w:r>
        <w:rPr>
          <w:sz w:val="20"/>
        </w:rPr>
        <w:t>N = number of subjects; OPC = opicapone</w:t>
      </w:r>
    </w:p>
    <w:p w14:paraId="6A5050D0" w14:textId="77777777" w:rsidR="006E0905" w:rsidRPr="00E1255E" w:rsidRDefault="006E0905" w:rsidP="00A457B2">
      <w:pPr>
        <w:pStyle w:val="Heading3"/>
        <w:pageBreakBefore/>
        <w:ind w:left="680" w:hanging="680"/>
      </w:pPr>
      <w:r w:rsidRPr="00E1255E">
        <w:t xml:space="preserve">Other Adverse Reactions </w:t>
      </w:r>
    </w:p>
    <w:p w14:paraId="26392583" w14:textId="77777777" w:rsidR="006E0905" w:rsidRDefault="006E0905" w:rsidP="00A457B2">
      <w:pPr>
        <w:rPr>
          <w:szCs w:val="22"/>
        </w:rPr>
      </w:pPr>
    </w:p>
    <w:p w14:paraId="7960E648" w14:textId="77777777" w:rsidR="006E0905" w:rsidRPr="00C55CC4" w:rsidRDefault="006E0905" w:rsidP="00A457B2">
      <w:pPr>
        <w:rPr>
          <w:szCs w:val="22"/>
        </w:rPr>
      </w:pPr>
      <w:r w:rsidRPr="00677513">
        <w:rPr>
          <w:szCs w:val="22"/>
        </w:rPr>
        <w:t xml:space="preserve">Opicapone </w:t>
      </w:r>
      <w:r w:rsidRPr="002179FD">
        <w:rPr>
          <w:szCs w:val="22"/>
        </w:rPr>
        <w:t>use compared with placebo was also associated with slightly higher frequencies of the following adverse reactions:</w:t>
      </w:r>
      <w:r w:rsidRPr="00677513">
        <w:rPr>
          <w:szCs w:val="22"/>
        </w:rPr>
        <w:t xml:space="preserve"> </w:t>
      </w:r>
    </w:p>
    <w:p w14:paraId="156F543E" w14:textId="77777777" w:rsidR="006E0905" w:rsidRPr="00677513" w:rsidRDefault="006E0905" w:rsidP="00A457B2">
      <w:pPr>
        <w:autoSpaceDE w:val="0"/>
        <w:autoSpaceDN w:val="0"/>
        <w:adjustRightInd w:val="0"/>
        <w:rPr>
          <w:szCs w:val="22"/>
        </w:rPr>
      </w:pPr>
    </w:p>
    <w:p w14:paraId="6AFF7A34" w14:textId="77777777" w:rsidR="006E0905" w:rsidRPr="00F550FD" w:rsidRDefault="006E0905" w:rsidP="00A457B2">
      <w:pPr>
        <w:rPr>
          <w:szCs w:val="22"/>
        </w:rPr>
      </w:pPr>
      <w:r w:rsidRPr="00C55CC4">
        <w:rPr>
          <w:szCs w:val="22"/>
        </w:rPr>
        <w:t xml:space="preserve">Adverse reactions are presented by System Organ Class and frequency. </w:t>
      </w:r>
      <w:r>
        <w:rPr>
          <w:szCs w:val="22"/>
        </w:rPr>
        <w:t xml:space="preserve">Frequency are indicated </w:t>
      </w:r>
      <w:r w:rsidRPr="00F550FD">
        <w:rPr>
          <w:szCs w:val="22"/>
        </w:rPr>
        <w:t>in a descending order defined as follows: very common ((≥ 1/10), common (≥ 1/100 to &lt; 1/10), uncommon (≥ 1/1,000 to &lt; 1/100), rare (≥ 1/10,000 to &lt; 1/1,000), very rare (&lt; 1/10,000), not known (cannot be estimated from the available data).</w:t>
      </w:r>
    </w:p>
    <w:p w14:paraId="6600191F" w14:textId="77777777" w:rsidR="006E0905" w:rsidRDefault="006E0905" w:rsidP="00A457B2">
      <w:pPr>
        <w:rPr>
          <w:szCs w:val="22"/>
        </w:rPr>
      </w:pPr>
    </w:p>
    <w:p w14:paraId="2CD09A65" w14:textId="77777777" w:rsidR="006E0905" w:rsidRPr="00C55CC4" w:rsidRDefault="006E0905" w:rsidP="00A457B2">
      <w:pPr>
        <w:rPr>
          <w:szCs w:val="22"/>
        </w:rPr>
      </w:pPr>
      <w:r w:rsidRPr="00C55CC4">
        <w:rPr>
          <w:szCs w:val="22"/>
        </w:rPr>
        <w:t>Within each category of frequency, the adverse reactions are indicated by descending order of severity.</w:t>
      </w:r>
    </w:p>
    <w:p w14:paraId="59BFF041" w14:textId="77777777" w:rsidR="006E0905" w:rsidRPr="00B20A17" w:rsidRDefault="006E0905" w:rsidP="00A457B2">
      <w:pPr>
        <w:rPr>
          <w:bCs/>
          <w:iCs/>
          <w:szCs w:val="22"/>
        </w:rPr>
      </w:pPr>
    </w:p>
    <w:p w14:paraId="3370C61B" w14:textId="77777777" w:rsidR="006E0905" w:rsidRPr="00B20A17" w:rsidRDefault="006E0905" w:rsidP="00A457B2">
      <w:pPr>
        <w:rPr>
          <w:bCs/>
          <w:i/>
          <w:szCs w:val="22"/>
        </w:rPr>
      </w:pPr>
      <w:r w:rsidRPr="00B20A17">
        <w:rPr>
          <w:bCs/>
          <w:i/>
          <w:szCs w:val="22"/>
        </w:rPr>
        <w:t>Metabolism and nutrition disorders</w:t>
      </w:r>
    </w:p>
    <w:p w14:paraId="086CC125" w14:textId="7D09126B" w:rsidR="006E0905" w:rsidRPr="00A513BA" w:rsidRDefault="006E0905" w:rsidP="00A457B2">
      <w:pPr>
        <w:rPr>
          <w:i/>
        </w:rPr>
      </w:pPr>
      <w:r w:rsidRPr="0BE95FE7">
        <w:rPr>
          <w:i/>
        </w:rPr>
        <w:t xml:space="preserve">Uncommon: </w:t>
      </w:r>
      <w:r w:rsidRPr="00677513">
        <w:rPr>
          <w:iCs/>
        </w:rPr>
        <w:t>h</w:t>
      </w:r>
      <w:r w:rsidRPr="00FF5DDC">
        <w:t>y</w:t>
      </w:r>
      <w:r>
        <w:t>pertriglyceride</w:t>
      </w:r>
      <w:r w:rsidRPr="00A513BA">
        <w:t>mia</w:t>
      </w:r>
      <w:r w:rsidR="00A61929" w:rsidRPr="00A513BA">
        <w:t>,</w:t>
      </w:r>
      <w:r w:rsidRPr="00A513BA">
        <w:t xml:space="preserve"> decreased appetite</w:t>
      </w:r>
    </w:p>
    <w:p w14:paraId="4F3A58EB" w14:textId="77777777" w:rsidR="006E0905" w:rsidRPr="00A513BA" w:rsidRDefault="006E0905" w:rsidP="00A457B2">
      <w:pPr>
        <w:rPr>
          <w:bCs/>
          <w:i/>
          <w:szCs w:val="22"/>
        </w:rPr>
      </w:pPr>
    </w:p>
    <w:p w14:paraId="0C721D38" w14:textId="77777777" w:rsidR="006E0905" w:rsidRPr="00A513BA" w:rsidRDefault="006E0905" w:rsidP="00A457B2">
      <w:pPr>
        <w:rPr>
          <w:bCs/>
          <w:i/>
          <w:szCs w:val="22"/>
        </w:rPr>
      </w:pPr>
      <w:r w:rsidRPr="00A513BA">
        <w:rPr>
          <w:bCs/>
          <w:i/>
          <w:szCs w:val="22"/>
        </w:rPr>
        <w:t>Psychiatric disorders</w:t>
      </w:r>
    </w:p>
    <w:p w14:paraId="10D7ABC3" w14:textId="60148390" w:rsidR="006E0905" w:rsidRPr="00A513BA" w:rsidRDefault="006E0905" w:rsidP="00A457B2">
      <w:pPr>
        <w:rPr>
          <w:i/>
        </w:rPr>
      </w:pPr>
      <w:r w:rsidRPr="00A513BA">
        <w:rPr>
          <w:i/>
        </w:rPr>
        <w:t xml:space="preserve">Common: </w:t>
      </w:r>
      <w:r w:rsidRPr="00A513BA">
        <w:rPr>
          <w:iCs/>
        </w:rPr>
        <w:t>h</w:t>
      </w:r>
      <w:r w:rsidRPr="00A513BA">
        <w:t>allucination, hallucination visual</w:t>
      </w:r>
      <w:r w:rsidR="00A61929" w:rsidRPr="00A513BA">
        <w:t>,</w:t>
      </w:r>
      <w:r w:rsidRPr="00A513BA">
        <w:t xml:space="preserve"> abnormal dreams</w:t>
      </w:r>
    </w:p>
    <w:p w14:paraId="3CE51714" w14:textId="66EA887E" w:rsidR="006E0905" w:rsidRPr="00A513BA" w:rsidRDefault="006E0905" w:rsidP="00A457B2">
      <w:pPr>
        <w:rPr>
          <w:i/>
        </w:rPr>
      </w:pPr>
      <w:r w:rsidRPr="00A513BA">
        <w:rPr>
          <w:i/>
        </w:rPr>
        <w:t>Uncommon:</w:t>
      </w:r>
      <w:r w:rsidRPr="00A513BA">
        <w:t xml:space="preserve"> </w:t>
      </w:r>
      <w:r w:rsidRPr="00A513BA">
        <w:rPr>
          <w:iCs/>
        </w:rPr>
        <w:t>h</w:t>
      </w:r>
      <w:r w:rsidRPr="00A513BA">
        <w:t>allucination auditory, depression, anxiety, nightmare, sleep disorder</w:t>
      </w:r>
    </w:p>
    <w:p w14:paraId="3BB33FCB" w14:textId="77777777" w:rsidR="006E0905" w:rsidRPr="00A513BA" w:rsidRDefault="006E0905" w:rsidP="00A457B2">
      <w:pPr>
        <w:rPr>
          <w:bCs/>
          <w:i/>
          <w:szCs w:val="22"/>
        </w:rPr>
      </w:pPr>
    </w:p>
    <w:p w14:paraId="66A32D4E" w14:textId="77777777" w:rsidR="006E0905" w:rsidRPr="00A513BA" w:rsidRDefault="006E0905" w:rsidP="00A457B2">
      <w:pPr>
        <w:rPr>
          <w:bCs/>
          <w:i/>
          <w:szCs w:val="22"/>
        </w:rPr>
      </w:pPr>
      <w:r w:rsidRPr="00A513BA">
        <w:rPr>
          <w:bCs/>
          <w:i/>
          <w:szCs w:val="22"/>
        </w:rPr>
        <w:t>Nervous system disorders</w:t>
      </w:r>
    </w:p>
    <w:p w14:paraId="1D0DEC05" w14:textId="77777777" w:rsidR="006E0905" w:rsidRPr="00A513BA" w:rsidRDefault="006E0905" w:rsidP="00A457B2">
      <w:pPr>
        <w:rPr>
          <w:bCs/>
          <w:i/>
          <w:szCs w:val="22"/>
        </w:rPr>
      </w:pPr>
      <w:r w:rsidRPr="00A513BA">
        <w:rPr>
          <w:bCs/>
          <w:i/>
          <w:szCs w:val="22"/>
        </w:rPr>
        <w:t xml:space="preserve">Common: </w:t>
      </w:r>
      <w:r w:rsidRPr="00A513BA">
        <w:rPr>
          <w:bCs/>
          <w:iCs/>
          <w:szCs w:val="22"/>
        </w:rPr>
        <w:t>headache</w:t>
      </w:r>
    </w:p>
    <w:p w14:paraId="3A2437C2" w14:textId="20AF83AE" w:rsidR="006E0905" w:rsidRPr="00B20A17" w:rsidRDefault="006E0905" w:rsidP="00A457B2">
      <w:pPr>
        <w:rPr>
          <w:i/>
        </w:rPr>
      </w:pPr>
      <w:r w:rsidRPr="00A513BA">
        <w:rPr>
          <w:i/>
        </w:rPr>
        <w:t>Uncommon:</w:t>
      </w:r>
      <w:r w:rsidRPr="00A513BA">
        <w:t xml:space="preserve"> </w:t>
      </w:r>
      <w:r w:rsidRPr="00A513BA">
        <w:rPr>
          <w:iCs/>
        </w:rPr>
        <w:t>s</w:t>
      </w:r>
      <w:r w:rsidRPr="00A513BA">
        <w:t>yncope, hyperkinesia, dysgeusia.</w:t>
      </w:r>
      <w:r>
        <w:t xml:space="preserve"> </w:t>
      </w:r>
    </w:p>
    <w:p w14:paraId="1A7BF34F" w14:textId="77777777" w:rsidR="006E0905" w:rsidRPr="00B20A17" w:rsidRDefault="006E0905" w:rsidP="00A457B2">
      <w:pPr>
        <w:rPr>
          <w:bCs/>
          <w:i/>
          <w:szCs w:val="22"/>
        </w:rPr>
      </w:pPr>
    </w:p>
    <w:p w14:paraId="2031CB68" w14:textId="77777777" w:rsidR="006E0905" w:rsidRPr="00B20A17" w:rsidRDefault="006E0905" w:rsidP="00A457B2">
      <w:pPr>
        <w:rPr>
          <w:bCs/>
          <w:i/>
          <w:szCs w:val="22"/>
        </w:rPr>
      </w:pPr>
      <w:r w:rsidRPr="00B20A17">
        <w:rPr>
          <w:bCs/>
          <w:i/>
          <w:szCs w:val="22"/>
        </w:rPr>
        <w:t>Eye disorders</w:t>
      </w:r>
    </w:p>
    <w:p w14:paraId="315526FB" w14:textId="77777777" w:rsidR="006E0905" w:rsidRPr="00B20A17" w:rsidRDefault="006E0905" w:rsidP="00A457B2">
      <w:pPr>
        <w:rPr>
          <w:bCs/>
          <w:i/>
          <w:szCs w:val="22"/>
        </w:rPr>
      </w:pPr>
      <w:r w:rsidRPr="00B20A17">
        <w:rPr>
          <w:bCs/>
          <w:i/>
          <w:szCs w:val="22"/>
        </w:rPr>
        <w:t xml:space="preserve">Uncommon: </w:t>
      </w:r>
      <w:r>
        <w:rPr>
          <w:bCs/>
          <w:iCs/>
          <w:szCs w:val="22"/>
        </w:rPr>
        <w:t>d</w:t>
      </w:r>
      <w:r w:rsidRPr="00F060D9">
        <w:rPr>
          <w:bCs/>
          <w:iCs/>
          <w:szCs w:val="22"/>
        </w:rPr>
        <w:t>ry eye</w:t>
      </w:r>
    </w:p>
    <w:p w14:paraId="2AC528A0" w14:textId="77777777" w:rsidR="006E0905" w:rsidRPr="00B20A17" w:rsidRDefault="006E0905" w:rsidP="00A457B2">
      <w:pPr>
        <w:rPr>
          <w:bCs/>
          <w:i/>
          <w:szCs w:val="22"/>
        </w:rPr>
      </w:pPr>
    </w:p>
    <w:p w14:paraId="68B459DD" w14:textId="77777777" w:rsidR="006E0905" w:rsidRPr="00B20A17" w:rsidRDefault="006E0905" w:rsidP="00A457B2">
      <w:pPr>
        <w:rPr>
          <w:bCs/>
          <w:i/>
          <w:szCs w:val="22"/>
        </w:rPr>
      </w:pPr>
      <w:r w:rsidRPr="00B20A17">
        <w:rPr>
          <w:bCs/>
          <w:i/>
          <w:szCs w:val="22"/>
        </w:rPr>
        <w:t>Ear and labyrinth disorders</w:t>
      </w:r>
    </w:p>
    <w:p w14:paraId="60629FDC" w14:textId="0D26CC47" w:rsidR="00CC4739" w:rsidRPr="005A4422" w:rsidRDefault="006E0905" w:rsidP="00A457B2">
      <w:pPr>
        <w:rPr>
          <w:bCs/>
          <w:i/>
          <w:szCs w:val="24"/>
        </w:rPr>
      </w:pPr>
      <w:r w:rsidRPr="00B20A17">
        <w:rPr>
          <w:bCs/>
          <w:i/>
          <w:szCs w:val="22"/>
        </w:rPr>
        <w:t xml:space="preserve">Uncommon: </w:t>
      </w:r>
      <w:r>
        <w:rPr>
          <w:bCs/>
          <w:iCs/>
          <w:szCs w:val="22"/>
        </w:rPr>
        <w:t>e</w:t>
      </w:r>
      <w:r w:rsidRPr="00F060D9">
        <w:rPr>
          <w:bCs/>
          <w:iCs/>
          <w:szCs w:val="22"/>
        </w:rPr>
        <w:t>ar congestion</w:t>
      </w:r>
    </w:p>
    <w:p w14:paraId="4DC839BF" w14:textId="77777777" w:rsidR="006E0905" w:rsidRPr="00B20A17" w:rsidRDefault="006E0905" w:rsidP="00A457B2">
      <w:pPr>
        <w:rPr>
          <w:bCs/>
          <w:i/>
          <w:szCs w:val="22"/>
        </w:rPr>
      </w:pPr>
      <w:r w:rsidRPr="00B20A17">
        <w:rPr>
          <w:bCs/>
          <w:i/>
          <w:szCs w:val="22"/>
        </w:rPr>
        <w:t>Vascular disorders</w:t>
      </w:r>
    </w:p>
    <w:p w14:paraId="155C3605" w14:textId="77777777" w:rsidR="006E0905" w:rsidRPr="00B20A17" w:rsidRDefault="006E0905" w:rsidP="00A457B2">
      <w:pPr>
        <w:rPr>
          <w:bCs/>
          <w:i/>
          <w:szCs w:val="22"/>
        </w:rPr>
      </w:pPr>
      <w:r w:rsidRPr="00B20A17">
        <w:rPr>
          <w:bCs/>
          <w:i/>
          <w:szCs w:val="22"/>
        </w:rPr>
        <w:t xml:space="preserve">Common: </w:t>
      </w:r>
      <w:r>
        <w:rPr>
          <w:bCs/>
          <w:iCs/>
          <w:szCs w:val="22"/>
        </w:rPr>
        <w:t>o</w:t>
      </w:r>
      <w:r w:rsidRPr="00F060D9">
        <w:rPr>
          <w:bCs/>
          <w:iCs/>
          <w:szCs w:val="22"/>
        </w:rPr>
        <w:t xml:space="preserve">rthostatic </w:t>
      </w:r>
      <w:r>
        <w:rPr>
          <w:bCs/>
          <w:iCs/>
          <w:szCs w:val="22"/>
        </w:rPr>
        <w:t>h</w:t>
      </w:r>
      <w:r w:rsidRPr="00F060D9">
        <w:rPr>
          <w:bCs/>
          <w:iCs/>
          <w:szCs w:val="22"/>
        </w:rPr>
        <w:t>ypotension</w:t>
      </w:r>
    </w:p>
    <w:p w14:paraId="0D912B4C" w14:textId="77777777" w:rsidR="006E0905" w:rsidRPr="00B20A17" w:rsidRDefault="006E0905" w:rsidP="00A457B2">
      <w:pPr>
        <w:rPr>
          <w:bCs/>
          <w:i/>
          <w:szCs w:val="22"/>
        </w:rPr>
      </w:pPr>
      <w:r w:rsidRPr="00B20A17">
        <w:rPr>
          <w:bCs/>
          <w:i/>
          <w:szCs w:val="22"/>
        </w:rPr>
        <w:t xml:space="preserve">Uncommon: </w:t>
      </w:r>
      <w:r>
        <w:rPr>
          <w:bCs/>
          <w:iCs/>
          <w:szCs w:val="22"/>
        </w:rPr>
        <w:t>h</w:t>
      </w:r>
      <w:r w:rsidRPr="00F060D9">
        <w:rPr>
          <w:bCs/>
          <w:iCs/>
          <w:szCs w:val="22"/>
        </w:rPr>
        <w:t>ypotension</w:t>
      </w:r>
    </w:p>
    <w:p w14:paraId="1536AF0B" w14:textId="77777777" w:rsidR="006E0905" w:rsidRPr="00B20A17" w:rsidRDefault="006E0905" w:rsidP="00A457B2">
      <w:pPr>
        <w:rPr>
          <w:bCs/>
          <w:i/>
          <w:szCs w:val="22"/>
        </w:rPr>
      </w:pPr>
    </w:p>
    <w:p w14:paraId="6DE607D1" w14:textId="77777777" w:rsidR="006E0905" w:rsidRPr="00B20A17" w:rsidRDefault="006E0905" w:rsidP="00A457B2">
      <w:pPr>
        <w:rPr>
          <w:bCs/>
          <w:i/>
          <w:szCs w:val="22"/>
        </w:rPr>
      </w:pPr>
      <w:r w:rsidRPr="00B20A17">
        <w:rPr>
          <w:bCs/>
          <w:i/>
          <w:szCs w:val="22"/>
        </w:rPr>
        <w:t>Respiratory, thoracic and mediastinal disorders</w:t>
      </w:r>
    </w:p>
    <w:p w14:paraId="2CC6E06D" w14:textId="77777777" w:rsidR="006E0905" w:rsidRPr="00A513BA" w:rsidRDefault="006E0905" w:rsidP="00A457B2">
      <w:pPr>
        <w:rPr>
          <w:bCs/>
          <w:i/>
          <w:szCs w:val="22"/>
        </w:rPr>
      </w:pPr>
      <w:r w:rsidRPr="00B20A17">
        <w:rPr>
          <w:bCs/>
          <w:i/>
          <w:szCs w:val="22"/>
        </w:rPr>
        <w:t>Uncommon</w:t>
      </w:r>
      <w:r w:rsidRPr="00A513BA">
        <w:rPr>
          <w:bCs/>
          <w:i/>
          <w:szCs w:val="22"/>
        </w:rPr>
        <w:t xml:space="preserve">: </w:t>
      </w:r>
      <w:r w:rsidRPr="00A513BA">
        <w:rPr>
          <w:bCs/>
          <w:iCs/>
          <w:szCs w:val="22"/>
        </w:rPr>
        <w:t>dyspnoea</w:t>
      </w:r>
    </w:p>
    <w:p w14:paraId="649C870B" w14:textId="77777777" w:rsidR="006E0905" w:rsidRPr="00A513BA" w:rsidRDefault="006E0905" w:rsidP="00A457B2">
      <w:pPr>
        <w:rPr>
          <w:bCs/>
          <w:i/>
          <w:szCs w:val="22"/>
        </w:rPr>
      </w:pPr>
    </w:p>
    <w:p w14:paraId="63F59BD8" w14:textId="77777777" w:rsidR="006E0905" w:rsidRPr="00A513BA" w:rsidRDefault="006E0905" w:rsidP="00A457B2">
      <w:pPr>
        <w:rPr>
          <w:bCs/>
          <w:i/>
          <w:szCs w:val="22"/>
        </w:rPr>
      </w:pPr>
      <w:r w:rsidRPr="00A513BA">
        <w:rPr>
          <w:bCs/>
          <w:i/>
          <w:szCs w:val="22"/>
        </w:rPr>
        <w:t>Gastrointestinal disorders</w:t>
      </w:r>
    </w:p>
    <w:p w14:paraId="6068880E" w14:textId="77777777" w:rsidR="006E0905" w:rsidRPr="00A513BA" w:rsidRDefault="006E0905" w:rsidP="00A457B2">
      <w:pPr>
        <w:rPr>
          <w:bCs/>
          <w:i/>
          <w:szCs w:val="22"/>
        </w:rPr>
      </w:pPr>
      <w:r w:rsidRPr="00A513BA">
        <w:rPr>
          <w:bCs/>
          <w:i/>
          <w:szCs w:val="22"/>
        </w:rPr>
        <w:t xml:space="preserve">Common: </w:t>
      </w:r>
      <w:r w:rsidRPr="00A513BA">
        <w:rPr>
          <w:bCs/>
          <w:iCs/>
          <w:szCs w:val="22"/>
        </w:rPr>
        <w:t>vomiting</w:t>
      </w:r>
    </w:p>
    <w:p w14:paraId="25387214" w14:textId="77777777" w:rsidR="006E0905" w:rsidRPr="00A513BA" w:rsidRDefault="006E0905" w:rsidP="00A457B2">
      <w:r w:rsidRPr="00A513BA">
        <w:rPr>
          <w:i/>
          <w:iCs/>
        </w:rPr>
        <w:t xml:space="preserve">Uncommon: </w:t>
      </w:r>
      <w:r w:rsidRPr="00A513BA">
        <w:t>abdominal pain, abdominal pain upper, dyspepsia, abdominal distention</w:t>
      </w:r>
    </w:p>
    <w:p w14:paraId="017D3FD0" w14:textId="77777777" w:rsidR="006E0905" w:rsidRPr="00A513BA" w:rsidRDefault="006E0905" w:rsidP="00A457B2">
      <w:pPr>
        <w:rPr>
          <w:bCs/>
          <w:i/>
          <w:szCs w:val="22"/>
        </w:rPr>
      </w:pPr>
    </w:p>
    <w:p w14:paraId="3D05BA2C" w14:textId="77777777" w:rsidR="006E0905" w:rsidRPr="00A513BA" w:rsidRDefault="006E0905" w:rsidP="00A457B2">
      <w:pPr>
        <w:rPr>
          <w:bCs/>
          <w:i/>
          <w:szCs w:val="22"/>
        </w:rPr>
      </w:pPr>
      <w:r w:rsidRPr="00A513BA">
        <w:rPr>
          <w:bCs/>
          <w:i/>
          <w:szCs w:val="22"/>
        </w:rPr>
        <w:t>Musculoskeletal and connective tissue disorders</w:t>
      </w:r>
    </w:p>
    <w:p w14:paraId="1FC3F8E3" w14:textId="77777777" w:rsidR="006E0905" w:rsidRPr="00A513BA" w:rsidRDefault="006E0905" w:rsidP="00A457B2">
      <w:pPr>
        <w:rPr>
          <w:bCs/>
          <w:i/>
          <w:szCs w:val="22"/>
        </w:rPr>
      </w:pPr>
      <w:r w:rsidRPr="00A513BA">
        <w:rPr>
          <w:bCs/>
          <w:i/>
          <w:szCs w:val="22"/>
        </w:rPr>
        <w:t xml:space="preserve">Common: </w:t>
      </w:r>
      <w:r w:rsidRPr="00A513BA">
        <w:rPr>
          <w:bCs/>
          <w:iCs/>
          <w:szCs w:val="22"/>
        </w:rPr>
        <w:t>muscle spasms</w:t>
      </w:r>
    </w:p>
    <w:p w14:paraId="3C2FE5AC" w14:textId="77777777" w:rsidR="006E0905" w:rsidRPr="00B20A17" w:rsidRDefault="006E0905" w:rsidP="00A457B2">
      <w:pPr>
        <w:rPr>
          <w:bCs/>
          <w:i/>
          <w:szCs w:val="22"/>
        </w:rPr>
      </w:pPr>
      <w:r w:rsidRPr="00A513BA">
        <w:rPr>
          <w:bCs/>
          <w:i/>
          <w:szCs w:val="22"/>
        </w:rPr>
        <w:t xml:space="preserve">Uncommon: </w:t>
      </w:r>
      <w:r w:rsidRPr="00A513BA">
        <w:rPr>
          <w:bCs/>
          <w:iCs/>
          <w:szCs w:val="22"/>
        </w:rPr>
        <w:t>muscle twitching, musculoskeletal stiffness, m</w:t>
      </w:r>
      <w:r w:rsidRPr="00F060D9">
        <w:rPr>
          <w:bCs/>
          <w:iCs/>
          <w:szCs w:val="22"/>
        </w:rPr>
        <w:t>yalgia, pain in extremities</w:t>
      </w:r>
    </w:p>
    <w:p w14:paraId="148ABCB9" w14:textId="77777777" w:rsidR="006E0905" w:rsidRPr="00B20A17" w:rsidRDefault="006E0905" w:rsidP="00A457B2">
      <w:pPr>
        <w:rPr>
          <w:bCs/>
          <w:i/>
          <w:szCs w:val="22"/>
        </w:rPr>
      </w:pPr>
    </w:p>
    <w:p w14:paraId="2976B264" w14:textId="77777777" w:rsidR="006E0905" w:rsidRPr="00B20A17" w:rsidRDefault="006E0905" w:rsidP="00A457B2">
      <w:pPr>
        <w:rPr>
          <w:bCs/>
          <w:i/>
          <w:szCs w:val="22"/>
        </w:rPr>
      </w:pPr>
      <w:r w:rsidRPr="00B20A17">
        <w:rPr>
          <w:bCs/>
          <w:i/>
          <w:szCs w:val="22"/>
        </w:rPr>
        <w:t>Renal and urinary disorders</w:t>
      </w:r>
    </w:p>
    <w:p w14:paraId="49A66E1C" w14:textId="77777777" w:rsidR="006E0905" w:rsidRPr="00B20A17" w:rsidRDefault="006E0905" w:rsidP="00A457B2">
      <w:pPr>
        <w:rPr>
          <w:bCs/>
          <w:i/>
          <w:szCs w:val="22"/>
        </w:rPr>
      </w:pPr>
      <w:r w:rsidRPr="00B20A17">
        <w:rPr>
          <w:bCs/>
          <w:i/>
          <w:szCs w:val="22"/>
        </w:rPr>
        <w:t xml:space="preserve">Uncommon: </w:t>
      </w:r>
      <w:r>
        <w:rPr>
          <w:bCs/>
          <w:iCs/>
          <w:szCs w:val="22"/>
        </w:rPr>
        <w:t>c</w:t>
      </w:r>
      <w:r w:rsidRPr="00F060D9">
        <w:rPr>
          <w:bCs/>
          <w:iCs/>
          <w:szCs w:val="22"/>
        </w:rPr>
        <w:t>hromaturia, nocturia</w:t>
      </w:r>
    </w:p>
    <w:p w14:paraId="10DB0277" w14:textId="77777777" w:rsidR="006E0905" w:rsidRPr="00B20A17" w:rsidRDefault="006E0905" w:rsidP="00A457B2">
      <w:pPr>
        <w:rPr>
          <w:bCs/>
          <w:i/>
          <w:szCs w:val="22"/>
        </w:rPr>
      </w:pPr>
    </w:p>
    <w:p w14:paraId="3CFA3DFC" w14:textId="77777777" w:rsidR="006E0905" w:rsidRPr="00D63D24" w:rsidRDefault="006E0905" w:rsidP="00A457B2">
      <w:pPr>
        <w:pageBreakBefore/>
        <w:rPr>
          <w:rFonts w:ascii="Arial" w:eastAsia="MS Gothic" w:hAnsi="Arial" w:cs="Arial"/>
          <w:b/>
          <w:kern w:val="32"/>
          <w:sz w:val="22"/>
          <w:szCs w:val="26"/>
          <w:lang w:val="en-US"/>
        </w:rPr>
      </w:pPr>
      <w:r w:rsidRPr="00D63D24">
        <w:rPr>
          <w:rFonts w:ascii="Arial" w:eastAsia="MS Gothic" w:hAnsi="Arial" w:cs="Arial"/>
          <w:b/>
          <w:kern w:val="32"/>
          <w:sz w:val="22"/>
          <w:szCs w:val="26"/>
          <w:lang w:val="en-US"/>
        </w:rPr>
        <w:t>Adverse Reactions from Post-marketing Reports</w:t>
      </w:r>
    </w:p>
    <w:p w14:paraId="6728D392" w14:textId="77777777" w:rsidR="006E0905" w:rsidRDefault="006E0905" w:rsidP="00A457B2">
      <w:pPr>
        <w:rPr>
          <w:lang w:val="en-US"/>
        </w:rPr>
      </w:pPr>
    </w:p>
    <w:p w14:paraId="24497EE1" w14:textId="77777777" w:rsidR="006E0905" w:rsidRPr="008F1944" w:rsidRDefault="006E0905" w:rsidP="00A457B2">
      <w:pPr>
        <w:rPr>
          <w:noProof/>
        </w:rPr>
      </w:pPr>
      <w:r w:rsidRPr="00677513">
        <w:t xml:space="preserve">The following adverse reactions have been identified during post approval use of </w:t>
      </w:r>
      <w:r>
        <w:rPr>
          <w:bCs/>
          <w:noProof/>
        </w:rPr>
        <w:t>ONGENTYS</w:t>
      </w:r>
      <w:r w:rsidRPr="00677513">
        <w:t>. Because these reactions are reported voluntarily from a population of uncertain size, it is not always possible to reliably estimate their frequency or establish a causal relationship to drug exposure</w:t>
      </w:r>
      <w:r w:rsidRPr="008F1944">
        <w:t>:</w:t>
      </w:r>
    </w:p>
    <w:p w14:paraId="3295345D" w14:textId="77777777" w:rsidR="006E0905" w:rsidRPr="00677513" w:rsidRDefault="006E0905" w:rsidP="00A457B2">
      <w:pPr>
        <w:rPr>
          <w:bCs/>
          <w:i/>
          <w:szCs w:val="22"/>
        </w:rPr>
      </w:pPr>
    </w:p>
    <w:p w14:paraId="21069739" w14:textId="77777777" w:rsidR="006E0905" w:rsidRPr="00677513" w:rsidRDefault="006E0905" w:rsidP="00A457B2">
      <w:pPr>
        <w:rPr>
          <w:bCs/>
          <w:i/>
          <w:szCs w:val="22"/>
        </w:rPr>
      </w:pPr>
      <w:bookmarkStart w:id="11" w:name="_Hlk38643840"/>
      <w:r w:rsidRPr="00677513">
        <w:rPr>
          <w:bCs/>
          <w:i/>
          <w:szCs w:val="22"/>
        </w:rPr>
        <w:t>Psychiatric disorders</w:t>
      </w:r>
    </w:p>
    <w:p w14:paraId="14E42B78" w14:textId="3FD517A1" w:rsidR="006E0905" w:rsidRPr="00A513BA" w:rsidRDefault="006E0905" w:rsidP="00A457B2">
      <w:pPr>
        <w:rPr>
          <w:bCs/>
          <w:szCs w:val="22"/>
        </w:rPr>
      </w:pPr>
      <w:r w:rsidRPr="00677513">
        <w:rPr>
          <w:bCs/>
          <w:i/>
          <w:szCs w:val="22"/>
        </w:rPr>
        <w:t>Unknown</w:t>
      </w:r>
      <w:r>
        <w:rPr>
          <w:bCs/>
          <w:szCs w:val="22"/>
        </w:rPr>
        <w:t xml:space="preserve">: </w:t>
      </w:r>
      <w:r w:rsidRPr="00A513BA">
        <w:rPr>
          <w:bCs/>
          <w:szCs w:val="22"/>
        </w:rPr>
        <w:t xml:space="preserve">agitation, psychotic disorder, anxiety, </w:t>
      </w:r>
      <w:proofErr w:type="spellStart"/>
      <w:r w:rsidRPr="00A513BA">
        <w:rPr>
          <w:bCs/>
          <w:szCs w:val="22"/>
        </w:rPr>
        <w:t>confusional</w:t>
      </w:r>
      <w:proofErr w:type="spellEnd"/>
      <w:r w:rsidRPr="00A513BA">
        <w:rPr>
          <w:bCs/>
          <w:szCs w:val="22"/>
        </w:rPr>
        <w:t xml:space="preserve"> state</w:t>
      </w:r>
    </w:p>
    <w:p w14:paraId="10645232" w14:textId="77777777" w:rsidR="006E0905" w:rsidRPr="00A513BA" w:rsidRDefault="006E0905" w:rsidP="00A457B2"/>
    <w:p w14:paraId="73B1F318" w14:textId="77777777" w:rsidR="006E0905" w:rsidRPr="00A513BA" w:rsidRDefault="006E0905" w:rsidP="00A457B2">
      <w:pPr>
        <w:rPr>
          <w:bCs/>
          <w:i/>
          <w:szCs w:val="22"/>
        </w:rPr>
      </w:pPr>
      <w:r w:rsidRPr="00A513BA">
        <w:rPr>
          <w:bCs/>
          <w:i/>
          <w:szCs w:val="22"/>
        </w:rPr>
        <w:t>Nervous system disorders</w:t>
      </w:r>
    </w:p>
    <w:p w14:paraId="0CC7E2FF" w14:textId="18D549FA" w:rsidR="006E0905" w:rsidRPr="00677513" w:rsidRDefault="006E0905" w:rsidP="00A457B2">
      <w:pPr>
        <w:rPr>
          <w:bCs/>
          <w:iCs/>
          <w:szCs w:val="22"/>
          <w:lang w:val="en-US"/>
        </w:rPr>
      </w:pPr>
      <w:r w:rsidRPr="00A513BA">
        <w:rPr>
          <w:bCs/>
          <w:i/>
          <w:szCs w:val="22"/>
          <w:lang w:val="en-US"/>
        </w:rPr>
        <w:t xml:space="preserve">Unknown: </w:t>
      </w:r>
      <w:r w:rsidRPr="00A513BA">
        <w:rPr>
          <w:bCs/>
          <w:iCs/>
          <w:szCs w:val="22"/>
          <w:lang w:val="en-US"/>
        </w:rPr>
        <w:t>balance disorder, hyperkinesia tremor</w:t>
      </w:r>
    </w:p>
    <w:p w14:paraId="6B5C0D1A" w14:textId="77777777" w:rsidR="006E0905" w:rsidRPr="00677513" w:rsidRDefault="006E0905" w:rsidP="00A457B2">
      <w:pPr>
        <w:rPr>
          <w:lang w:val="en-US"/>
        </w:rPr>
      </w:pPr>
    </w:p>
    <w:p w14:paraId="456F8EB0" w14:textId="77777777" w:rsidR="006E0905" w:rsidRPr="00677513" w:rsidRDefault="006E0905" w:rsidP="00A457B2">
      <w:pPr>
        <w:rPr>
          <w:bCs/>
          <w:i/>
          <w:szCs w:val="22"/>
        </w:rPr>
      </w:pPr>
      <w:r w:rsidRPr="00677513">
        <w:rPr>
          <w:bCs/>
          <w:i/>
          <w:szCs w:val="22"/>
        </w:rPr>
        <w:t>Gastrointestinal disorders</w:t>
      </w:r>
    </w:p>
    <w:p w14:paraId="63C1D3AC" w14:textId="77777777" w:rsidR="006E0905" w:rsidRPr="00677513" w:rsidRDefault="006E0905" w:rsidP="00A457B2">
      <w:pPr>
        <w:rPr>
          <w:bCs/>
          <w:i/>
          <w:szCs w:val="22"/>
        </w:rPr>
      </w:pPr>
      <w:r w:rsidRPr="00677513">
        <w:rPr>
          <w:bCs/>
          <w:i/>
          <w:szCs w:val="22"/>
        </w:rPr>
        <w:t xml:space="preserve">Unknown: </w:t>
      </w:r>
      <w:r w:rsidRPr="00A513BA">
        <w:rPr>
          <w:bCs/>
          <w:iCs/>
          <w:szCs w:val="22"/>
        </w:rPr>
        <w:t>diarrhoea, nausea</w:t>
      </w:r>
    </w:p>
    <w:p w14:paraId="1DE2503E" w14:textId="77777777" w:rsidR="006E0905" w:rsidRPr="00677513" w:rsidRDefault="006E0905" w:rsidP="00A457B2">
      <w:pPr>
        <w:rPr>
          <w:bCs/>
          <w:i/>
          <w:szCs w:val="22"/>
        </w:rPr>
      </w:pPr>
    </w:p>
    <w:p w14:paraId="0E2D1D70" w14:textId="77777777" w:rsidR="006E0905" w:rsidRPr="00677513" w:rsidRDefault="006E0905" w:rsidP="00A457B2">
      <w:pPr>
        <w:rPr>
          <w:bCs/>
          <w:i/>
          <w:szCs w:val="22"/>
        </w:rPr>
      </w:pPr>
      <w:r w:rsidRPr="00677513">
        <w:rPr>
          <w:bCs/>
          <w:i/>
          <w:szCs w:val="22"/>
        </w:rPr>
        <w:t xml:space="preserve">General disorders and administration site conditions </w:t>
      </w:r>
    </w:p>
    <w:p w14:paraId="73CF0D07" w14:textId="6C5863FF" w:rsidR="006E0905" w:rsidRPr="00A513BA" w:rsidRDefault="006E0905" w:rsidP="00A457B2">
      <w:pPr>
        <w:rPr>
          <w:bCs/>
          <w:i/>
          <w:szCs w:val="22"/>
        </w:rPr>
      </w:pPr>
      <w:r w:rsidRPr="00677513">
        <w:rPr>
          <w:bCs/>
          <w:i/>
          <w:szCs w:val="22"/>
        </w:rPr>
        <w:t xml:space="preserve">Unknown: </w:t>
      </w:r>
      <w:r w:rsidRPr="00A513BA">
        <w:rPr>
          <w:bCs/>
          <w:iCs/>
          <w:szCs w:val="22"/>
        </w:rPr>
        <w:t>fatigue, malaise</w:t>
      </w:r>
    </w:p>
    <w:p w14:paraId="6933C059" w14:textId="77777777" w:rsidR="006E0905" w:rsidRPr="00A513BA" w:rsidRDefault="006E0905" w:rsidP="00A457B2"/>
    <w:p w14:paraId="01670B73" w14:textId="77777777" w:rsidR="006E0905" w:rsidRPr="00A513BA" w:rsidRDefault="006E0905" w:rsidP="00A457B2">
      <w:pPr>
        <w:rPr>
          <w:bCs/>
          <w:i/>
          <w:szCs w:val="22"/>
        </w:rPr>
      </w:pPr>
      <w:r w:rsidRPr="00A513BA">
        <w:rPr>
          <w:bCs/>
          <w:i/>
          <w:szCs w:val="22"/>
        </w:rPr>
        <w:t>Injury, poisoning and procedural complications</w:t>
      </w:r>
    </w:p>
    <w:p w14:paraId="692EEA94" w14:textId="16010EF9" w:rsidR="006E0905" w:rsidRPr="00B20A17" w:rsidRDefault="006E0905" w:rsidP="00A457B2">
      <w:pPr>
        <w:rPr>
          <w:bCs/>
          <w:i/>
          <w:szCs w:val="22"/>
        </w:rPr>
      </w:pPr>
      <w:r w:rsidRPr="00A513BA">
        <w:rPr>
          <w:bCs/>
          <w:i/>
          <w:szCs w:val="22"/>
        </w:rPr>
        <w:t xml:space="preserve">Uncommon: </w:t>
      </w:r>
      <w:r w:rsidRPr="00A513BA">
        <w:rPr>
          <w:bCs/>
          <w:iCs/>
          <w:szCs w:val="22"/>
        </w:rPr>
        <w:t>fall</w:t>
      </w:r>
    </w:p>
    <w:bookmarkEnd w:id="11"/>
    <w:p w14:paraId="08B1F8AB" w14:textId="51023370" w:rsidR="006B21E9" w:rsidRPr="009B78CE" w:rsidRDefault="006B21E9" w:rsidP="00A457B2">
      <w:pPr>
        <w:pStyle w:val="Heading3"/>
      </w:pPr>
      <w:r w:rsidRPr="009B78CE">
        <w:t>Reporting of suspected adverse reactions</w:t>
      </w:r>
    </w:p>
    <w:p w14:paraId="2E9D768A" w14:textId="77777777" w:rsidR="006B21E9" w:rsidRPr="00332E9D" w:rsidRDefault="006B21E9" w:rsidP="00A457B2">
      <w:pPr>
        <w:autoSpaceDE w:val="0"/>
        <w:autoSpaceDN w:val="0"/>
        <w:adjustRightInd w:val="0"/>
        <w:rPr>
          <w:szCs w:val="22"/>
          <w:u w:val="single"/>
        </w:rPr>
      </w:pPr>
    </w:p>
    <w:p w14:paraId="69D9625D" w14:textId="4B22A890" w:rsidR="006B21E9" w:rsidRDefault="006B21E9" w:rsidP="00A457B2">
      <w:pPr>
        <w:autoSpaceDE w:val="0"/>
        <w:autoSpaceDN w:val="0"/>
        <w:adjustRightInd w:val="0"/>
        <w:rPr>
          <w:szCs w:val="22"/>
        </w:rPr>
      </w:pPr>
      <w:r w:rsidRPr="00BC7E99">
        <w:rPr>
          <w:szCs w:val="22"/>
        </w:rPr>
        <w:t xml:space="preserve">Reporting suspected adverse reactions after </w:t>
      </w:r>
      <w:r w:rsidR="006406BA">
        <w:rPr>
          <w:szCs w:val="22"/>
        </w:rPr>
        <w:t>registration</w:t>
      </w:r>
      <w:r w:rsidR="006406BA" w:rsidRPr="00BC7E99">
        <w:rPr>
          <w:szCs w:val="22"/>
        </w:rPr>
        <w:t xml:space="preserve"> </w:t>
      </w:r>
      <w:r w:rsidRPr="00BC7E99">
        <w:rPr>
          <w:szCs w:val="22"/>
        </w:rPr>
        <w:t>of the medicinal product is important. It allows continued monitoring of the benefit</w:t>
      </w:r>
      <w:r w:rsidR="006406BA">
        <w:rPr>
          <w:szCs w:val="22"/>
        </w:rPr>
        <w:t>-</w:t>
      </w:r>
      <w:r w:rsidRPr="00BC7E99">
        <w:rPr>
          <w:szCs w:val="22"/>
        </w:rPr>
        <w:t>risk balance of the medicinal product. Healthcare professionals are asked to report any suspected adverse reactions</w:t>
      </w:r>
      <w:r w:rsidR="006406BA">
        <w:rPr>
          <w:szCs w:val="22"/>
        </w:rPr>
        <w:t xml:space="preserve"> at </w:t>
      </w:r>
      <w:hyperlink r:id="rId13" w:history="1">
        <w:r w:rsidR="006E4FB2" w:rsidRPr="004969BD">
          <w:rPr>
            <w:rStyle w:val="Hyperlink"/>
            <w:szCs w:val="22"/>
          </w:rPr>
          <w:t>www.tga.gov.au/reporting-problems</w:t>
        </w:r>
      </w:hyperlink>
      <w:r w:rsidR="007A7433" w:rsidRPr="00BC7E99">
        <w:rPr>
          <w:szCs w:val="22"/>
        </w:rPr>
        <w:t>.</w:t>
      </w:r>
      <w:r w:rsidRPr="00BC7E99">
        <w:rPr>
          <w:szCs w:val="22"/>
        </w:rPr>
        <w:t xml:space="preserve"> </w:t>
      </w:r>
    </w:p>
    <w:p w14:paraId="2899266A" w14:textId="232971A1" w:rsidR="006B21E9" w:rsidRPr="00BC7E99" w:rsidRDefault="00EE5A36" w:rsidP="00A457B2">
      <w:pPr>
        <w:pStyle w:val="Heading2"/>
      </w:pPr>
      <w:r w:rsidRPr="00BC7E99">
        <w:t>OVERDOSE</w:t>
      </w:r>
    </w:p>
    <w:p w14:paraId="16636AE1" w14:textId="77777777" w:rsidR="006B21E9" w:rsidRPr="00332E9D" w:rsidRDefault="006B21E9" w:rsidP="00A457B2">
      <w:pPr>
        <w:rPr>
          <w:szCs w:val="22"/>
        </w:rPr>
      </w:pPr>
    </w:p>
    <w:p w14:paraId="7F080051" w14:textId="77777777" w:rsidR="006B21E9" w:rsidRDefault="006B21E9" w:rsidP="00A457B2">
      <w:pPr>
        <w:rPr>
          <w:szCs w:val="22"/>
        </w:rPr>
      </w:pPr>
      <w:r w:rsidRPr="00332E9D">
        <w:rPr>
          <w:szCs w:val="22"/>
        </w:rPr>
        <w:t>There is no known specific antidote. Symptomatic and supportive treatment should be administered as appropriate. Removal of opicapone by gastric lavage and/or inactivation by administering activated charcoal should be considered.</w:t>
      </w:r>
    </w:p>
    <w:p w14:paraId="11A3FEC7" w14:textId="77777777" w:rsidR="00877C4E" w:rsidRDefault="00877C4E" w:rsidP="00A457B2">
      <w:pPr>
        <w:rPr>
          <w:szCs w:val="22"/>
        </w:rPr>
      </w:pPr>
    </w:p>
    <w:p w14:paraId="710127AC" w14:textId="6024A8E2" w:rsidR="00B47785" w:rsidRDefault="00877C4E" w:rsidP="00A457B2">
      <w:pPr>
        <w:rPr>
          <w:szCs w:val="22"/>
        </w:rPr>
      </w:pPr>
      <w:r w:rsidRPr="00877C4E">
        <w:rPr>
          <w:szCs w:val="22"/>
        </w:rPr>
        <w:t>For information on the management of overdose, contact the Poisons Information Centre on 131126 (Australia).</w:t>
      </w:r>
    </w:p>
    <w:p w14:paraId="0BB85429" w14:textId="07F8FEDD" w:rsidR="006B21E9" w:rsidRPr="00BC7E99" w:rsidRDefault="006B21E9" w:rsidP="00A457B2">
      <w:pPr>
        <w:pStyle w:val="Heading1"/>
      </w:pPr>
      <w:r w:rsidRPr="00BC7E99">
        <w:t>PHARMACOLOGICAL PROPERTIES</w:t>
      </w:r>
    </w:p>
    <w:p w14:paraId="398171A7" w14:textId="77777777" w:rsidR="006B21E9" w:rsidRPr="00332E9D" w:rsidRDefault="006B21E9" w:rsidP="00A457B2">
      <w:pPr>
        <w:rPr>
          <w:b/>
        </w:rPr>
      </w:pPr>
    </w:p>
    <w:p w14:paraId="35F1D575" w14:textId="615B942E" w:rsidR="006B21E9" w:rsidRPr="00BC7E99" w:rsidRDefault="00F4401F" w:rsidP="00A457B2">
      <w:pPr>
        <w:pStyle w:val="Heading2"/>
      </w:pPr>
      <w:r w:rsidRPr="00BC7E99">
        <w:t>PHARMACODYNAMIC PROPERTIES</w:t>
      </w:r>
    </w:p>
    <w:p w14:paraId="1996AF6A" w14:textId="77777777" w:rsidR="006B21E9" w:rsidRPr="00332E9D" w:rsidRDefault="006B21E9" w:rsidP="00A457B2"/>
    <w:p w14:paraId="52F87662" w14:textId="76FC1833" w:rsidR="006B21E9" w:rsidRPr="00332E9D" w:rsidRDefault="006B21E9" w:rsidP="00A457B2">
      <w:pPr>
        <w:rPr>
          <w:szCs w:val="22"/>
        </w:rPr>
      </w:pPr>
      <w:r w:rsidRPr="00332E9D">
        <w:rPr>
          <w:rFonts w:eastAsia="SimSun"/>
        </w:rPr>
        <w:t xml:space="preserve">ATC code: </w:t>
      </w:r>
      <w:r w:rsidR="005E70FE" w:rsidRPr="00AD0A01">
        <w:rPr>
          <w:rFonts w:cs="Arial"/>
          <w:szCs w:val="22"/>
        </w:rPr>
        <w:t>N04BX04</w:t>
      </w:r>
      <w:r w:rsidR="005E70FE" w:rsidRPr="00332E9D" w:rsidDel="005E70FE">
        <w:t xml:space="preserve"> </w:t>
      </w:r>
    </w:p>
    <w:p w14:paraId="28F1E85D" w14:textId="77777777" w:rsidR="006B21E9" w:rsidRPr="009B78CE" w:rsidRDefault="006B21E9" w:rsidP="00A457B2">
      <w:pPr>
        <w:pStyle w:val="Heading3"/>
      </w:pPr>
      <w:r w:rsidRPr="009B78CE">
        <w:t>Mechanism of action</w:t>
      </w:r>
    </w:p>
    <w:p w14:paraId="636BF2C0" w14:textId="77777777" w:rsidR="006B21E9" w:rsidRPr="00332E9D" w:rsidRDefault="006B21E9" w:rsidP="00A457B2">
      <w:pPr>
        <w:autoSpaceDE w:val="0"/>
        <w:autoSpaceDN w:val="0"/>
        <w:adjustRightInd w:val="0"/>
        <w:rPr>
          <w:szCs w:val="22"/>
          <w:u w:val="single"/>
        </w:rPr>
      </w:pPr>
    </w:p>
    <w:p w14:paraId="3F4CAE14" w14:textId="56F8974F" w:rsidR="006B21E9" w:rsidRDefault="006B21E9" w:rsidP="00A457B2">
      <w:pPr>
        <w:autoSpaceDE w:val="0"/>
        <w:autoSpaceDN w:val="0"/>
        <w:adjustRightInd w:val="0"/>
        <w:spacing w:line="240" w:lineRule="auto"/>
        <w:rPr>
          <w:szCs w:val="22"/>
        </w:rPr>
      </w:pPr>
      <w:r w:rsidRPr="00332E9D">
        <w:rPr>
          <w:szCs w:val="22"/>
        </w:rPr>
        <w:t>Opicapone is a peripheral, selective and reversible catechol-</w:t>
      </w:r>
      <w:r w:rsidRPr="00332E9D">
        <w:rPr>
          <w:i/>
          <w:szCs w:val="22"/>
        </w:rPr>
        <w:t>O</w:t>
      </w:r>
      <w:r w:rsidRPr="00332E9D">
        <w:rPr>
          <w:szCs w:val="22"/>
        </w:rPr>
        <w:t xml:space="preserve">-methyltransferase (COMT) inhibitor endowed with a high binding affinity (sub-picomolar) that translates into a slow complex dissociation rate constant and a long duration of action (&gt;24 hours) </w:t>
      </w:r>
      <w:r w:rsidRPr="00332E9D">
        <w:rPr>
          <w:i/>
          <w:szCs w:val="22"/>
        </w:rPr>
        <w:t>in vivo</w:t>
      </w:r>
      <w:r w:rsidRPr="00332E9D">
        <w:rPr>
          <w:szCs w:val="22"/>
        </w:rPr>
        <w:t xml:space="preserve">. </w:t>
      </w:r>
    </w:p>
    <w:p w14:paraId="6D1D802F" w14:textId="77777777" w:rsidR="006B21E9" w:rsidRPr="00332E9D" w:rsidRDefault="006B21E9" w:rsidP="00A457B2">
      <w:pPr>
        <w:autoSpaceDE w:val="0"/>
        <w:autoSpaceDN w:val="0"/>
        <w:adjustRightInd w:val="0"/>
        <w:spacing w:line="240" w:lineRule="auto"/>
        <w:rPr>
          <w:szCs w:val="22"/>
        </w:rPr>
      </w:pPr>
      <w:r w:rsidRPr="00332E9D">
        <w:rPr>
          <w:szCs w:val="22"/>
        </w:rPr>
        <w:t>In the presence of a DOPA decarboxylase inhibitor (DDCI), COMT becomes the major metabolising enzyme for levodopa, catalysing its conversion to 3-</w:t>
      </w:r>
      <w:r w:rsidRPr="00332E9D">
        <w:rPr>
          <w:i/>
          <w:szCs w:val="22"/>
        </w:rPr>
        <w:t>O</w:t>
      </w:r>
      <w:r w:rsidRPr="00332E9D">
        <w:rPr>
          <w:szCs w:val="22"/>
        </w:rPr>
        <w:t xml:space="preserve">-methyldopa (3-OMD) in the brain and periphery. In patients taking levodopa and a peripheral DDCI, such as carbidopa or </w:t>
      </w:r>
      <w:proofErr w:type="spellStart"/>
      <w:r w:rsidRPr="00332E9D">
        <w:rPr>
          <w:szCs w:val="22"/>
        </w:rPr>
        <w:t>benserazide</w:t>
      </w:r>
      <w:proofErr w:type="spellEnd"/>
      <w:r w:rsidRPr="00332E9D">
        <w:rPr>
          <w:szCs w:val="22"/>
        </w:rPr>
        <w:t>, opicapone increases levodopa plasma levels thereby improving the clinical response to levodopa.</w:t>
      </w:r>
    </w:p>
    <w:p w14:paraId="5B8618C0" w14:textId="77777777" w:rsidR="006B21E9" w:rsidRPr="009B78CE" w:rsidRDefault="006B21E9" w:rsidP="00A457B2">
      <w:pPr>
        <w:pStyle w:val="Heading3"/>
      </w:pPr>
      <w:r w:rsidRPr="009B78CE">
        <w:t>Pharmacodynamic effects</w:t>
      </w:r>
    </w:p>
    <w:p w14:paraId="4270611B" w14:textId="77777777" w:rsidR="006B21E9" w:rsidRPr="00332E9D" w:rsidRDefault="006B21E9" w:rsidP="00A457B2">
      <w:pPr>
        <w:autoSpaceDE w:val="0"/>
        <w:autoSpaceDN w:val="0"/>
        <w:adjustRightInd w:val="0"/>
        <w:rPr>
          <w:szCs w:val="22"/>
          <w:u w:val="single"/>
        </w:rPr>
      </w:pPr>
    </w:p>
    <w:p w14:paraId="6C4A1D1A" w14:textId="77777777" w:rsidR="006B21E9" w:rsidRPr="00332E9D" w:rsidRDefault="006B21E9" w:rsidP="00A457B2">
      <w:pPr>
        <w:autoSpaceDE w:val="0"/>
        <w:autoSpaceDN w:val="0"/>
        <w:adjustRightInd w:val="0"/>
        <w:spacing w:line="240" w:lineRule="auto"/>
        <w:rPr>
          <w:szCs w:val="22"/>
        </w:rPr>
      </w:pPr>
      <w:r w:rsidRPr="00332E9D">
        <w:t>O</w:t>
      </w:r>
      <w:r w:rsidRPr="00332E9D">
        <w:rPr>
          <w:szCs w:val="22"/>
        </w:rPr>
        <w:t xml:space="preserve">picapone </w:t>
      </w:r>
      <w:r w:rsidRPr="00332E9D">
        <w:t>showed a marked (&gt;90</w:t>
      </w:r>
      <w:r w:rsidRPr="00332E9D">
        <w:rPr>
          <w:szCs w:val="22"/>
        </w:rPr>
        <w:t xml:space="preserve">%) </w:t>
      </w:r>
      <w:r w:rsidRPr="00332E9D">
        <w:t>and long-lasting (&gt;24</w:t>
      </w:r>
      <w:r w:rsidRPr="00332E9D">
        <w:rPr>
          <w:szCs w:val="22"/>
        </w:rPr>
        <w:t> </w:t>
      </w:r>
      <w:r w:rsidRPr="00332E9D">
        <w:t xml:space="preserve">hours) COMT inhibition in healthy subjects after administration of </w:t>
      </w:r>
      <w:r w:rsidRPr="00332E9D">
        <w:rPr>
          <w:szCs w:val="22"/>
        </w:rPr>
        <w:t xml:space="preserve">50 mg opicapone. </w:t>
      </w:r>
    </w:p>
    <w:p w14:paraId="2A458430" w14:textId="77777777" w:rsidR="00FE6684" w:rsidRDefault="00FE6684" w:rsidP="00A457B2">
      <w:pPr>
        <w:tabs>
          <w:tab w:val="clear" w:pos="567"/>
        </w:tabs>
        <w:spacing w:line="240" w:lineRule="auto"/>
      </w:pPr>
    </w:p>
    <w:p w14:paraId="004C18FE" w14:textId="7A62E10D" w:rsidR="00FE6684" w:rsidRPr="00332E9D" w:rsidRDefault="00FE6684" w:rsidP="00A457B2">
      <w:pPr>
        <w:tabs>
          <w:tab w:val="clear" w:pos="567"/>
        </w:tabs>
        <w:spacing w:line="240" w:lineRule="auto"/>
      </w:pPr>
      <w:r>
        <w:t>At steady state, in healthy volunteers, following multiple oral administration of immediate-release 100/25 mg levodopa/carbidopa administered three times a day, 10 h after an opicapone 50</w:t>
      </w:r>
      <w:r w:rsidR="367309FF">
        <w:t xml:space="preserve"> </w:t>
      </w:r>
      <w:r>
        <w:t>mg evening dose the mean extent of levodopa systemic exposure over 24 h (AUC</w:t>
      </w:r>
      <w:r w:rsidRPr="3A714D8D">
        <w:rPr>
          <w:vertAlign w:val="subscript"/>
        </w:rPr>
        <w:t>0-24</w:t>
      </w:r>
      <w:r>
        <w:t>) significantly increased approximately 53% compared to placebo.</w:t>
      </w:r>
    </w:p>
    <w:p w14:paraId="2A1000CA" w14:textId="6A01F36F" w:rsidR="006B21E9" w:rsidRPr="009B78CE" w:rsidRDefault="006B21E9" w:rsidP="00A457B2">
      <w:pPr>
        <w:pStyle w:val="Heading3"/>
      </w:pPr>
      <w:r w:rsidRPr="009B78CE">
        <w:t xml:space="preserve">Clinical </w:t>
      </w:r>
      <w:r w:rsidR="00F4401F" w:rsidRPr="009B78CE">
        <w:t>trials</w:t>
      </w:r>
      <w:r w:rsidRPr="009B78CE">
        <w:t xml:space="preserve"> </w:t>
      </w:r>
    </w:p>
    <w:p w14:paraId="42FB0380" w14:textId="77777777" w:rsidR="006B21E9" w:rsidRPr="00332E9D" w:rsidRDefault="006B21E9" w:rsidP="00A457B2">
      <w:pPr>
        <w:autoSpaceDE w:val="0"/>
        <w:autoSpaceDN w:val="0"/>
        <w:adjustRightInd w:val="0"/>
        <w:rPr>
          <w:szCs w:val="22"/>
          <w:u w:val="single"/>
        </w:rPr>
      </w:pPr>
    </w:p>
    <w:p w14:paraId="32C20F3B" w14:textId="6DB515EB" w:rsidR="006B21E9" w:rsidRPr="00332E9D" w:rsidRDefault="006B21E9" w:rsidP="00A457B2">
      <w:pPr>
        <w:rPr>
          <w:szCs w:val="22"/>
        </w:rPr>
      </w:pPr>
      <w:r w:rsidRPr="00332E9D">
        <w:rPr>
          <w:szCs w:val="22"/>
        </w:rPr>
        <w:t>The efficacy and safety of opicapone has been demonstrated in two Phase 3 double-blind, placebo and active (Study 1 only) controlled studies in 1,027 randomized adult patients with Parkinson’s disease treated with levodopa/DDCI (alone or in combination with other antiparkinsonian drugs) and end-of-</w:t>
      </w:r>
      <w:r w:rsidR="009B45E0" w:rsidRPr="00332E9D">
        <w:rPr>
          <w:szCs w:val="22"/>
        </w:rPr>
        <w:t xml:space="preserve"> dose motor fluctuations for up to 15</w:t>
      </w:r>
      <w:r w:rsidR="00DF5245" w:rsidRPr="00332E9D">
        <w:rPr>
          <w:szCs w:val="22"/>
        </w:rPr>
        <w:t> </w:t>
      </w:r>
      <w:r w:rsidR="009B45E0" w:rsidRPr="00332E9D">
        <w:rPr>
          <w:szCs w:val="22"/>
        </w:rPr>
        <w:t>weeks. At screening, the mean age was similar in all treatment groups in both studies, ranging between 61.5 and 65.3</w:t>
      </w:r>
      <w:r w:rsidR="00DF5245" w:rsidRPr="00332E9D">
        <w:rPr>
          <w:szCs w:val="22"/>
        </w:rPr>
        <w:t> </w:t>
      </w:r>
      <w:r w:rsidR="009B45E0" w:rsidRPr="00332E9D">
        <w:rPr>
          <w:szCs w:val="22"/>
        </w:rPr>
        <w:t>years. P</w:t>
      </w:r>
      <w:r w:rsidRPr="00332E9D">
        <w:rPr>
          <w:szCs w:val="22"/>
        </w:rPr>
        <w:t xml:space="preserve">atients had disease severity stages 1 to 3 (modified </w:t>
      </w:r>
      <w:proofErr w:type="spellStart"/>
      <w:r w:rsidRPr="00332E9D">
        <w:rPr>
          <w:szCs w:val="22"/>
        </w:rPr>
        <w:t>Hoehn</w:t>
      </w:r>
      <w:proofErr w:type="spellEnd"/>
      <w:r w:rsidRPr="00332E9D">
        <w:rPr>
          <w:szCs w:val="22"/>
        </w:rPr>
        <w:t xml:space="preserve"> and </w:t>
      </w:r>
      <w:proofErr w:type="spellStart"/>
      <w:r w:rsidRPr="00332E9D">
        <w:rPr>
          <w:szCs w:val="22"/>
        </w:rPr>
        <w:t>Yahr</w:t>
      </w:r>
      <w:proofErr w:type="spellEnd"/>
      <w:r w:rsidRPr="00332E9D">
        <w:rPr>
          <w:szCs w:val="22"/>
        </w:rPr>
        <w:t>) at ON, were treated with 3 to 8 daily doses of levodopa/DDCI and had a daily average OFF-time of at least 1.5 hours. In both studies, 783 patients were</w:t>
      </w:r>
      <w:r w:rsidR="004C3F32">
        <w:rPr>
          <w:szCs w:val="22"/>
        </w:rPr>
        <w:t xml:space="preserve"> </w:t>
      </w:r>
      <w:r w:rsidR="00821BD8">
        <w:rPr>
          <w:szCs w:val="22"/>
        </w:rPr>
        <w:t xml:space="preserve"> randomized</w:t>
      </w:r>
      <w:r w:rsidR="00BD7426">
        <w:rPr>
          <w:szCs w:val="22"/>
        </w:rPr>
        <w:t xml:space="preserve"> </w:t>
      </w:r>
      <w:r w:rsidRPr="00332E9D">
        <w:rPr>
          <w:szCs w:val="22"/>
        </w:rPr>
        <w:t xml:space="preserve">with 25 mg or 50 mg of opicapone or placebo. In Study 1, </w:t>
      </w:r>
      <w:r w:rsidR="00F75B50">
        <w:rPr>
          <w:szCs w:val="22"/>
        </w:rPr>
        <w:t>1</w:t>
      </w:r>
      <w:r w:rsidR="00517CDD">
        <w:rPr>
          <w:szCs w:val="22"/>
        </w:rPr>
        <w:t>1</w:t>
      </w:r>
      <w:r w:rsidR="00F75B50">
        <w:rPr>
          <w:szCs w:val="22"/>
        </w:rPr>
        <w:t xml:space="preserve">5 </w:t>
      </w:r>
      <w:r w:rsidRPr="00332E9D">
        <w:rPr>
          <w:szCs w:val="22"/>
        </w:rPr>
        <w:t>patients were treated with opicapone 5</w:t>
      </w:r>
      <w:r w:rsidR="000C37E3">
        <w:rPr>
          <w:szCs w:val="22"/>
        </w:rPr>
        <w:t>0</w:t>
      </w:r>
      <w:r w:rsidRPr="00332E9D">
        <w:rPr>
          <w:szCs w:val="22"/>
        </w:rPr>
        <w:t xml:space="preserve"> mg and 122 patients were treated with entacapone 200 mg (active comparator). The majority of patients treated in both pivotal studies were treated with immediate-release levodopa/DDCI. </w:t>
      </w:r>
      <w:r w:rsidRPr="00332E9D">
        <w:rPr>
          <w:lang w:eastAsia="de-DE"/>
        </w:rPr>
        <w:t xml:space="preserve">There were 60 patients in the combined Phase 3 studies who </w:t>
      </w:r>
      <w:r w:rsidRPr="00332E9D">
        <w:rPr>
          <w:lang w:eastAsia="x-none"/>
        </w:rPr>
        <w:t xml:space="preserve">were predominantly using controlled-release levodopa (i.e. &gt;50% of their levodopa/DDCI formulations), 48 of whom </w:t>
      </w:r>
      <w:r w:rsidRPr="00332E9D">
        <w:rPr>
          <w:szCs w:val="22"/>
        </w:rPr>
        <w:t>were treated solely with controlled-release formulations of levodopa.</w:t>
      </w:r>
      <w:r w:rsidR="009B45E0" w:rsidRPr="00332E9D">
        <w:rPr>
          <w:szCs w:val="22"/>
        </w:rPr>
        <w:t xml:space="preserve"> Although there is no evidence that either the efficacy or safety of opicapone would be affected by use of controlled-release levodopa preparations, the experience with such preparations is limited.</w:t>
      </w:r>
    </w:p>
    <w:p w14:paraId="59CF1A15" w14:textId="77777777" w:rsidR="006B21E9" w:rsidRPr="00332E9D" w:rsidRDefault="006B21E9" w:rsidP="00A457B2">
      <w:pPr>
        <w:rPr>
          <w:szCs w:val="22"/>
        </w:rPr>
      </w:pPr>
    </w:p>
    <w:p w14:paraId="792874B0" w14:textId="501D5A9F" w:rsidR="000B4949" w:rsidRPr="004C3F32" w:rsidRDefault="006B21E9" w:rsidP="00A457B2">
      <w:r w:rsidRPr="00332E9D">
        <w:t xml:space="preserve">Opicapone </w:t>
      </w:r>
      <w:r w:rsidR="004C3F32">
        <w:t xml:space="preserve">50 mg </w:t>
      </w:r>
      <w:r w:rsidRPr="00332E9D">
        <w:t xml:space="preserve">demonstrated clinical efficacy superior to placebo during the double-blind treatment, for the primary efficacy variable used in both pivotal studies, i.e. reduction in OFF-time </w:t>
      </w:r>
      <w:r w:rsidR="009B45E0" w:rsidRPr="00332E9D">
        <w:t>(Table</w:t>
      </w:r>
      <w:r w:rsidR="00DF5245" w:rsidRPr="00332E9D">
        <w:t> </w:t>
      </w:r>
      <w:r w:rsidR="009B45E0" w:rsidRPr="00332E9D">
        <w:t>2), the proportion of OFF-time responders (i.e. a subject who had a reduction in OFF-time of at least 1</w:t>
      </w:r>
      <w:r w:rsidR="00DF5245" w:rsidRPr="00332E9D">
        <w:t> </w:t>
      </w:r>
      <w:r w:rsidR="009B45E0" w:rsidRPr="00332E9D">
        <w:t xml:space="preserve">hour from baseline to endpoint) </w:t>
      </w:r>
      <w:r w:rsidR="004C3F32">
        <w:t xml:space="preserve">was superior to placebo in Study 2 </w:t>
      </w:r>
      <w:r w:rsidR="009B45E0" w:rsidRPr="00332E9D">
        <w:t>(Table</w:t>
      </w:r>
      <w:r w:rsidR="00DF5245" w:rsidRPr="00332E9D">
        <w:t> </w:t>
      </w:r>
      <w:r w:rsidR="009B45E0" w:rsidRPr="00332E9D">
        <w:t>3)</w:t>
      </w:r>
      <w:r w:rsidRPr="00332E9D">
        <w:t>.</w:t>
      </w:r>
      <w:r w:rsidR="004C3F32">
        <w:rPr>
          <w:lang w:eastAsia="pt-PT"/>
        </w:rPr>
        <w:t xml:space="preserve"> </w:t>
      </w:r>
      <w:r w:rsidR="004C3F32" w:rsidRPr="00335F28">
        <w:rPr>
          <w:lang w:eastAsia="pt-PT"/>
        </w:rPr>
        <w:t>Except for the proportion of OFF time and ON</w:t>
      </w:r>
      <w:r w:rsidR="0049572A">
        <w:rPr>
          <w:lang w:eastAsia="pt-PT"/>
        </w:rPr>
        <w:t>-</w:t>
      </w:r>
      <w:r w:rsidR="004C3F32" w:rsidRPr="00335F28">
        <w:rPr>
          <w:lang w:eastAsia="pt-PT"/>
        </w:rPr>
        <w:t>time responders in Study 2 all secondary endpoints were exploratory.</w:t>
      </w:r>
    </w:p>
    <w:p w14:paraId="201174B5" w14:textId="77777777" w:rsidR="000B4949" w:rsidRPr="00332E9D" w:rsidRDefault="000B4949" w:rsidP="00A457B2"/>
    <w:p w14:paraId="30DEB472" w14:textId="03A31608" w:rsidR="00A41241" w:rsidRDefault="000B4949" w:rsidP="00A457B2">
      <w:pPr>
        <w:rPr>
          <w:szCs w:val="22"/>
        </w:rPr>
      </w:pPr>
      <w:r w:rsidRPr="00332E9D">
        <w:rPr>
          <w:szCs w:val="22"/>
        </w:rPr>
        <w:t>The LS mean reduction in absolute OFF-time from baseline to endpoint in the entacapone group was </w:t>
      </w:r>
      <w:r w:rsidRPr="00332E9D">
        <w:rPr>
          <w:szCs w:val="22"/>
        </w:rPr>
        <w:noBreakHyphen/>
        <w:t>78.7 minutes. The difference in LS mean change in OFF-time of entacapone to placebo in Study 1 was </w:t>
      </w:r>
      <w:r w:rsidRPr="00332E9D">
        <w:rPr>
          <w:szCs w:val="22"/>
        </w:rPr>
        <w:noBreakHyphen/>
        <w:t>30.5 minutes. The difference in LS mean change in OFF-time of opicapone 50 mg to entacapone was </w:t>
      </w:r>
      <w:r w:rsidRPr="00332E9D">
        <w:rPr>
          <w:szCs w:val="22"/>
        </w:rPr>
        <w:noBreakHyphen/>
        <w:t xml:space="preserve">24.8 minutes and non-inferiority of opicapone 50 mg to entacapone was demonstrated (95% confidence interval: </w:t>
      </w:r>
      <w:r w:rsidRPr="00332E9D">
        <w:rPr>
          <w:szCs w:val="22"/>
        </w:rPr>
        <w:noBreakHyphen/>
        <w:t xml:space="preserve">61.4, 11.8). </w:t>
      </w:r>
    </w:p>
    <w:p w14:paraId="18B04F11" w14:textId="77777777" w:rsidR="00A41241" w:rsidRDefault="00A41241" w:rsidP="00A457B2">
      <w:pPr>
        <w:rPr>
          <w:szCs w:val="22"/>
        </w:rPr>
      </w:pPr>
    </w:p>
    <w:p w14:paraId="3D1014AB" w14:textId="6047BB68" w:rsidR="00EB0024" w:rsidRDefault="00A41241" w:rsidP="00A457B2">
      <w:pPr>
        <w:rPr>
          <w:szCs w:val="22"/>
        </w:rPr>
      </w:pPr>
      <w:r w:rsidRPr="00A41241">
        <w:rPr>
          <w:szCs w:val="22"/>
        </w:rPr>
        <w:t xml:space="preserve">Most of the gain of ON-time in all treatment groups was ON-time without troublesome dyskinesia. </w:t>
      </w:r>
      <w:r w:rsidR="00140D30">
        <w:rPr>
          <w:szCs w:val="22"/>
        </w:rPr>
        <w:t>In Study 1, t</w:t>
      </w:r>
      <w:r w:rsidRPr="00A41241">
        <w:rPr>
          <w:szCs w:val="22"/>
        </w:rPr>
        <w:t xml:space="preserve">he change from baseline to endpoint in LS mean ON-time without troublesome dyskinesia was 109.1 minutes in the opicapone 50 mg group. </w:t>
      </w:r>
      <w:r w:rsidR="00140D30" w:rsidRPr="00140D30">
        <w:rPr>
          <w:szCs w:val="22"/>
        </w:rPr>
        <w:t>The change from baseline for this endpoint in the placebo group was 46.5 minutes. In Study 2,</w:t>
      </w:r>
      <w:r w:rsidR="00140D30">
        <w:rPr>
          <w:szCs w:val="22"/>
        </w:rPr>
        <w:t xml:space="preserve"> t</w:t>
      </w:r>
      <w:r w:rsidRPr="00A41241">
        <w:rPr>
          <w:szCs w:val="22"/>
        </w:rPr>
        <w:t xml:space="preserve">he change from baseline to endpoint in LS mean ON-time without troublesome dyskinesia was 85.6 minutes in the opicapone 50 mg group. </w:t>
      </w:r>
      <w:r w:rsidR="00140D30" w:rsidRPr="00140D30">
        <w:rPr>
          <w:szCs w:val="22"/>
        </w:rPr>
        <w:t xml:space="preserve">The change from baseline for this endpoint in the placebo group was 48.2 minutes. </w:t>
      </w:r>
    </w:p>
    <w:p w14:paraId="00598B8A" w14:textId="77777777" w:rsidR="006B21E9" w:rsidRPr="00332E9D" w:rsidRDefault="006B21E9" w:rsidP="00A457B2">
      <w:pPr>
        <w:rPr>
          <w:szCs w:val="22"/>
        </w:rPr>
      </w:pPr>
    </w:p>
    <w:p w14:paraId="064AD06E" w14:textId="612509CF" w:rsidR="006B21E9" w:rsidRPr="00332E9D" w:rsidRDefault="006B21E9" w:rsidP="00A457B2">
      <w:pPr>
        <w:rPr>
          <w:b/>
        </w:rPr>
      </w:pPr>
      <w:r w:rsidRPr="00332E9D">
        <w:rPr>
          <w:b/>
        </w:rPr>
        <w:t>Table 2 – Change in absolute OFF-time (minutes) from baseline to endpoint</w:t>
      </w:r>
      <w:r w:rsidR="00FA426F">
        <w:rPr>
          <w:b/>
        </w:rPr>
        <w:t xml:space="preserve"> (</w:t>
      </w:r>
      <w:r w:rsidR="00A41241">
        <w:rPr>
          <w:b/>
        </w:rPr>
        <w:t>Full Analysis Set 2 [FAS2]</w:t>
      </w:r>
      <w:r w:rsidR="00FA426F">
        <w:rPr>
          <w:b/>
        </w:rPr>
        <w:t>)</w:t>
      </w:r>
    </w:p>
    <w:tbl>
      <w:tblPr>
        <w:tblW w:w="4927" w:type="pct"/>
        <w:tblCellMar>
          <w:left w:w="0" w:type="dxa"/>
          <w:right w:w="0" w:type="dxa"/>
        </w:tblCellMar>
        <w:tblLook w:val="0000" w:firstRow="0" w:lastRow="0" w:firstColumn="0" w:lastColumn="0" w:noHBand="0" w:noVBand="0"/>
      </w:tblPr>
      <w:tblGrid>
        <w:gridCol w:w="3064"/>
        <w:gridCol w:w="779"/>
        <w:gridCol w:w="1765"/>
        <w:gridCol w:w="1600"/>
        <w:gridCol w:w="1731"/>
      </w:tblGrid>
      <w:tr w:rsidR="009B45E0" w:rsidRPr="00332E9D" w14:paraId="080057C0" w14:textId="77777777" w:rsidTr="00AC5B0E">
        <w:trPr>
          <w:cantSplit/>
          <w:tblHeader/>
        </w:trPr>
        <w:tc>
          <w:tcPr>
            <w:tcW w:w="1714" w:type="pct"/>
            <w:tcBorders>
              <w:top w:val="single" w:sz="12" w:space="0" w:color="auto"/>
              <w:left w:val="nil"/>
              <w:bottom w:val="single" w:sz="12" w:space="0" w:color="auto"/>
              <w:right w:val="nil"/>
            </w:tcBorders>
            <w:shd w:val="clear" w:color="auto" w:fill="FFFFFF"/>
            <w:tcMar>
              <w:left w:w="10" w:type="dxa"/>
              <w:right w:w="10" w:type="dxa"/>
            </w:tcMar>
          </w:tcPr>
          <w:p w14:paraId="7F2AAE47" w14:textId="77777777" w:rsidR="009B45E0" w:rsidRPr="00332E9D" w:rsidRDefault="009B45E0" w:rsidP="00A457B2">
            <w:pPr>
              <w:keepLines/>
              <w:spacing w:before="20" w:after="20"/>
              <w:rPr>
                <w:b/>
              </w:rPr>
            </w:pPr>
            <w:r w:rsidRPr="00332E9D">
              <w:rPr>
                <w:b/>
              </w:rPr>
              <w:t xml:space="preserve">Treatment </w:t>
            </w:r>
          </w:p>
        </w:tc>
        <w:tc>
          <w:tcPr>
            <w:tcW w:w="436" w:type="pct"/>
            <w:tcBorders>
              <w:top w:val="single" w:sz="12" w:space="0" w:color="auto"/>
              <w:left w:val="nil"/>
              <w:bottom w:val="single" w:sz="12" w:space="0" w:color="auto"/>
              <w:right w:val="nil"/>
            </w:tcBorders>
            <w:shd w:val="clear" w:color="auto" w:fill="FFFFFF"/>
            <w:tcMar>
              <w:left w:w="10" w:type="dxa"/>
              <w:right w:w="10" w:type="dxa"/>
            </w:tcMar>
          </w:tcPr>
          <w:p w14:paraId="236CC959" w14:textId="77777777" w:rsidR="009B45E0" w:rsidRPr="00332E9D" w:rsidRDefault="009B45E0" w:rsidP="00A457B2">
            <w:pPr>
              <w:keepLines/>
              <w:spacing w:before="20" w:after="20"/>
              <w:rPr>
                <w:rFonts w:ascii="Times New Roman Bold" w:hAnsi="Times New Roman Bold"/>
                <w:bCs/>
              </w:rPr>
            </w:pPr>
            <w:r w:rsidRPr="00332E9D">
              <w:rPr>
                <w:rFonts w:ascii="Times New Roman Bold" w:hAnsi="Times New Roman Bold"/>
                <w:bCs/>
              </w:rPr>
              <w:t>N</w:t>
            </w:r>
          </w:p>
        </w:tc>
        <w:tc>
          <w:tcPr>
            <w:tcW w:w="987" w:type="pct"/>
            <w:tcBorders>
              <w:top w:val="single" w:sz="12" w:space="0" w:color="auto"/>
              <w:left w:val="nil"/>
              <w:bottom w:val="single" w:sz="12" w:space="0" w:color="auto"/>
              <w:right w:val="nil"/>
            </w:tcBorders>
            <w:shd w:val="clear" w:color="auto" w:fill="FFFFFF"/>
            <w:tcMar>
              <w:left w:w="10" w:type="dxa"/>
              <w:right w:w="10" w:type="dxa"/>
            </w:tcMar>
          </w:tcPr>
          <w:p w14:paraId="1F753014" w14:textId="77777777" w:rsidR="009B45E0" w:rsidRPr="00332E9D" w:rsidRDefault="009B45E0" w:rsidP="00A457B2">
            <w:pPr>
              <w:keepLines/>
              <w:spacing w:before="20" w:after="20"/>
              <w:rPr>
                <w:rFonts w:ascii="Times New Roman Bold" w:hAnsi="Times New Roman Bold"/>
                <w:bCs/>
              </w:rPr>
            </w:pPr>
            <w:r w:rsidRPr="00332E9D">
              <w:rPr>
                <w:rFonts w:ascii="Times New Roman Bold" w:hAnsi="Times New Roman Bold"/>
                <w:bCs/>
              </w:rPr>
              <w:t>LS mean</w:t>
            </w:r>
          </w:p>
        </w:tc>
        <w:tc>
          <w:tcPr>
            <w:tcW w:w="895" w:type="pct"/>
            <w:tcBorders>
              <w:top w:val="single" w:sz="12" w:space="0" w:color="auto"/>
              <w:left w:val="nil"/>
              <w:bottom w:val="single" w:sz="12" w:space="0" w:color="auto"/>
              <w:right w:val="nil"/>
            </w:tcBorders>
            <w:shd w:val="clear" w:color="auto" w:fill="FFFFFF"/>
            <w:tcMar>
              <w:left w:w="10" w:type="dxa"/>
              <w:right w:w="10" w:type="dxa"/>
            </w:tcMar>
          </w:tcPr>
          <w:p w14:paraId="6DC23373" w14:textId="77777777" w:rsidR="009B45E0" w:rsidRPr="00332E9D" w:rsidRDefault="009B45E0" w:rsidP="00A457B2">
            <w:pPr>
              <w:keepLines/>
              <w:spacing w:before="20" w:after="20"/>
              <w:rPr>
                <w:rFonts w:ascii="Times New Roman Bold" w:hAnsi="Times New Roman Bold"/>
                <w:bCs/>
              </w:rPr>
            </w:pPr>
            <w:r w:rsidRPr="00332E9D">
              <w:rPr>
                <w:rFonts w:ascii="Times New Roman Bold" w:hAnsi="Times New Roman Bold"/>
                <w:bCs/>
              </w:rPr>
              <w:t>95% CI</w:t>
            </w:r>
          </w:p>
        </w:tc>
        <w:tc>
          <w:tcPr>
            <w:tcW w:w="968" w:type="pct"/>
            <w:tcBorders>
              <w:top w:val="single" w:sz="12" w:space="0" w:color="auto"/>
              <w:left w:val="nil"/>
              <w:bottom w:val="single" w:sz="12" w:space="0" w:color="auto"/>
              <w:right w:val="nil"/>
            </w:tcBorders>
            <w:shd w:val="clear" w:color="auto" w:fill="FFFFFF"/>
          </w:tcPr>
          <w:p w14:paraId="4E3CA7DB" w14:textId="77777777" w:rsidR="009B45E0" w:rsidRPr="00332E9D" w:rsidRDefault="009B45E0" w:rsidP="00A457B2">
            <w:pPr>
              <w:keepLines/>
              <w:spacing w:before="20" w:after="20"/>
              <w:rPr>
                <w:rFonts w:ascii="Times New Roman Bold" w:hAnsi="Times New Roman Bold"/>
                <w:bCs/>
              </w:rPr>
            </w:pPr>
            <w:r w:rsidRPr="00332E9D">
              <w:rPr>
                <w:rFonts w:ascii="Times New Roman Bold" w:hAnsi="Times New Roman Bold"/>
                <w:bCs/>
              </w:rPr>
              <w:t>p</w:t>
            </w:r>
            <w:r w:rsidRPr="00332E9D">
              <w:rPr>
                <w:rFonts w:ascii="Times New Roman Bold" w:hAnsi="Times New Roman Bold"/>
                <w:bCs/>
              </w:rPr>
              <w:noBreakHyphen/>
              <w:t>value</w:t>
            </w:r>
          </w:p>
        </w:tc>
      </w:tr>
      <w:tr w:rsidR="009B45E0" w:rsidRPr="00332E9D" w14:paraId="0C84BADC" w14:textId="77777777" w:rsidTr="00AC5B0E">
        <w:trPr>
          <w:cantSplit/>
        </w:trPr>
        <w:tc>
          <w:tcPr>
            <w:tcW w:w="1714" w:type="pct"/>
            <w:tcBorders>
              <w:top w:val="single" w:sz="12" w:space="0" w:color="auto"/>
              <w:left w:val="nil"/>
              <w:right w:val="nil"/>
            </w:tcBorders>
            <w:shd w:val="clear" w:color="auto" w:fill="FFFFFF"/>
            <w:tcMar>
              <w:left w:w="10" w:type="dxa"/>
              <w:right w:w="10" w:type="dxa"/>
            </w:tcMar>
          </w:tcPr>
          <w:p w14:paraId="10331667" w14:textId="77777777" w:rsidR="009B45E0" w:rsidRPr="00332E9D" w:rsidRDefault="009B45E0" w:rsidP="00A457B2">
            <w:pPr>
              <w:keepLines/>
              <w:rPr>
                <w:b/>
                <w:szCs w:val="22"/>
                <w:u w:val="single"/>
              </w:rPr>
            </w:pPr>
            <w:r w:rsidRPr="00332E9D">
              <w:rPr>
                <w:b/>
                <w:szCs w:val="22"/>
                <w:u w:val="single"/>
              </w:rPr>
              <w:t>Study 1</w:t>
            </w:r>
          </w:p>
        </w:tc>
        <w:tc>
          <w:tcPr>
            <w:tcW w:w="436" w:type="pct"/>
            <w:tcBorders>
              <w:top w:val="single" w:sz="12" w:space="0" w:color="auto"/>
              <w:left w:val="nil"/>
              <w:right w:val="nil"/>
            </w:tcBorders>
            <w:shd w:val="clear" w:color="auto" w:fill="FFFFFF"/>
            <w:tcMar>
              <w:left w:w="10" w:type="dxa"/>
              <w:right w:w="10" w:type="dxa"/>
            </w:tcMar>
          </w:tcPr>
          <w:p w14:paraId="12EF22FF" w14:textId="77777777" w:rsidR="009B45E0" w:rsidRPr="00332E9D" w:rsidRDefault="009B45E0" w:rsidP="00A457B2">
            <w:pPr>
              <w:rPr>
                <w:szCs w:val="22"/>
              </w:rPr>
            </w:pPr>
          </w:p>
        </w:tc>
        <w:tc>
          <w:tcPr>
            <w:tcW w:w="987" w:type="pct"/>
            <w:tcBorders>
              <w:top w:val="single" w:sz="12" w:space="0" w:color="auto"/>
              <w:left w:val="nil"/>
              <w:right w:val="nil"/>
            </w:tcBorders>
            <w:shd w:val="clear" w:color="auto" w:fill="FFFFFF"/>
            <w:tcMar>
              <w:left w:w="10" w:type="dxa"/>
              <w:right w:w="10" w:type="dxa"/>
            </w:tcMar>
          </w:tcPr>
          <w:p w14:paraId="7B1E3F3D" w14:textId="77777777" w:rsidR="009B45E0" w:rsidRPr="00332E9D" w:rsidRDefault="009B45E0" w:rsidP="00A457B2">
            <w:pPr>
              <w:keepLines/>
            </w:pPr>
          </w:p>
        </w:tc>
        <w:tc>
          <w:tcPr>
            <w:tcW w:w="895" w:type="pct"/>
            <w:tcBorders>
              <w:top w:val="single" w:sz="12" w:space="0" w:color="auto"/>
              <w:left w:val="nil"/>
              <w:right w:val="nil"/>
            </w:tcBorders>
            <w:shd w:val="clear" w:color="auto" w:fill="FFFFFF"/>
            <w:tcMar>
              <w:left w:w="10" w:type="dxa"/>
              <w:right w:w="10" w:type="dxa"/>
            </w:tcMar>
          </w:tcPr>
          <w:p w14:paraId="526D069D" w14:textId="77777777" w:rsidR="009B45E0" w:rsidRPr="00332E9D" w:rsidRDefault="009B45E0" w:rsidP="00A457B2">
            <w:pPr>
              <w:tabs>
                <w:tab w:val="clear" w:pos="567"/>
              </w:tabs>
              <w:rPr>
                <w:szCs w:val="22"/>
              </w:rPr>
            </w:pPr>
          </w:p>
        </w:tc>
        <w:tc>
          <w:tcPr>
            <w:tcW w:w="968" w:type="pct"/>
            <w:tcBorders>
              <w:top w:val="single" w:sz="12" w:space="0" w:color="auto"/>
              <w:left w:val="nil"/>
              <w:right w:val="nil"/>
            </w:tcBorders>
            <w:shd w:val="clear" w:color="auto" w:fill="FFFFFF"/>
          </w:tcPr>
          <w:p w14:paraId="3BA38DD3" w14:textId="77777777" w:rsidR="009B45E0" w:rsidRPr="00332E9D" w:rsidRDefault="009B45E0" w:rsidP="00A457B2">
            <w:pPr>
              <w:tabs>
                <w:tab w:val="clear" w:pos="567"/>
              </w:tabs>
              <w:rPr>
                <w:szCs w:val="22"/>
              </w:rPr>
            </w:pPr>
          </w:p>
        </w:tc>
      </w:tr>
      <w:tr w:rsidR="009B45E0" w:rsidRPr="00332E9D" w14:paraId="6C9690DB" w14:textId="77777777" w:rsidTr="00AC5B0E">
        <w:trPr>
          <w:cantSplit/>
        </w:trPr>
        <w:tc>
          <w:tcPr>
            <w:tcW w:w="1714" w:type="pct"/>
            <w:tcBorders>
              <w:left w:val="nil"/>
              <w:right w:val="nil"/>
            </w:tcBorders>
            <w:shd w:val="clear" w:color="auto" w:fill="FFFFFF"/>
            <w:tcMar>
              <w:left w:w="10" w:type="dxa"/>
              <w:right w:w="10" w:type="dxa"/>
            </w:tcMar>
          </w:tcPr>
          <w:p w14:paraId="5B015047" w14:textId="77777777" w:rsidR="009B45E0" w:rsidRPr="00332E9D" w:rsidRDefault="009B45E0" w:rsidP="00A457B2">
            <w:pPr>
              <w:keepLines/>
              <w:rPr>
                <w:rFonts w:cs="Arial"/>
                <w:szCs w:val="18"/>
              </w:rPr>
            </w:pPr>
            <w:r w:rsidRPr="00332E9D">
              <w:rPr>
                <w:b/>
                <w:szCs w:val="22"/>
              </w:rPr>
              <w:t>Change in OFF-time</w:t>
            </w:r>
          </w:p>
        </w:tc>
        <w:tc>
          <w:tcPr>
            <w:tcW w:w="436" w:type="pct"/>
            <w:tcBorders>
              <w:left w:val="nil"/>
              <w:right w:val="nil"/>
            </w:tcBorders>
            <w:shd w:val="clear" w:color="auto" w:fill="FFFFFF"/>
            <w:tcMar>
              <w:left w:w="10" w:type="dxa"/>
              <w:right w:w="10" w:type="dxa"/>
            </w:tcMar>
          </w:tcPr>
          <w:p w14:paraId="5C71A323" w14:textId="77777777" w:rsidR="009B45E0" w:rsidRPr="00332E9D" w:rsidRDefault="009B45E0" w:rsidP="00A457B2">
            <w:pPr>
              <w:keepLines/>
            </w:pPr>
          </w:p>
        </w:tc>
        <w:tc>
          <w:tcPr>
            <w:tcW w:w="987" w:type="pct"/>
            <w:tcBorders>
              <w:left w:val="nil"/>
              <w:right w:val="nil"/>
            </w:tcBorders>
            <w:shd w:val="clear" w:color="auto" w:fill="FFFFFF"/>
            <w:tcMar>
              <w:left w:w="10" w:type="dxa"/>
              <w:right w:w="10" w:type="dxa"/>
            </w:tcMar>
          </w:tcPr>
          <w:p w14:paraId="0E8C4C69" w14:textId="77777777" w:rsidR="009B45E0" w:rsidRPr="00332E9D" w:rsidRDefault="009B45E0" w:rsidP="00A457B2">
            <w:pPr>
              <w:keepLines/>
            </w:pPr>
          </w:p>
        </w:tc>
        <w:tc>
          <w:tcPr>
            <w:tcW w:w="895" w:type="pct"/>
            <w:tcBorders>
              <w:left w:val="nil"/>
              <w:right w:val="nil"/>
            </w:tcBorders>
            <w:shd w:val="clear" w:color="auto" w:fill="FFFFFF"/>
            <w:tcMar>
              <w:left w:w="10" w:type="dxa"/>
              <w:right w:w="10" w:type="dxa"/>
            </w:tcMar>
          </w:tcPr>
          <w:p w14:paraId="375C11B1" w14:textId="77777777" w:rsidR="009B45E0" w:rsidRPr="00332E9D" w:rsidRDefault="009B45E0" w:rsidP="00A457B2">
            <w:pPr>
              <w:keepLines/>
            </w:pPr>
          </w:p>
        </w:tc>
        <w:tc>
          <w:tcPr>
            <w:tcW w:w="968" w:type="pct"/>
            <w:tcBorders>
              <w:left w:val="nil"/>
              <w:right w:val="nil"/>
            </w:tcBorders>
            <w:shd w:val="clear" w:color="auto" w:fill="FFFFFF"/>
          </w:tcPr>
          <w:p w14:paraId="621F79F5" w14:textId="77777777" w:rsidR="009B45E0" w:rsidRPr="00332E9D" w:rsidRDefault="009B45E0" w:rsidP="00A457B2">
            <w:pPr>
              <w:keepLines/>
              <w:rPr>
                <w:szCs w:val="22"/>
              </w:rPr>
            </w:pPr>
          </w:p>
        </w:tc>
      </w:tr>
      <w:tr w:rsidR="009B45E0" w:rsidRPr="00332E9D" w14:paraId="7008C890" w14:textId="77777777" w:rsidTr="00AC5B0E">
        <w:trPr>
          <w:cantSplit/>
        </w:trPr>
        <w:tc>
          <w:tcPr>
            <w:tcW w:w="1714" w:type="pct"/>
            <w:tcBorders>
              <w:left w:val="nil"/>
              <w:right w:val="nil"/>
            </w:tcBorders>
            <w:shd w:val="clear" w:color="auto" w:fill="FFFFFF"/>
            <w:tcMar>
              <w:left w:w="10" w:type="dxa"/>
              <w:right w:w="10" w:type="dxa"/>
            </w:tcMar>
          </w:tcPr>
          <w:p w14:paraId="67400E21" w14:textId="77777777" w:rsidR="009B45E0" w:rsidRPr="00332E9D" w:rsidRDefault="009B45E0" w:rsidP="00A457B2">
            <w:pPr>
              <w:keepLines/>
              <w:ind w:left="142"/>
              <w:rPr>
                <w:rFonts w:cs="Arial"/>
                <w:szCs w:val="18"/>
              </w:rPr>
            </w:pPr>
            <w:r w:rsidRPr="00332E9D">
              <w:rPr>
                <w:rFonts w:cs="Arial"/>
                <w:szCs w:val="18"/>
              </w:rPr>
              <w:t>Placebo</w:t>
            </w:r>
          </w:p>
        </w:tc>
        <w:tc>
          <w:tcPr>
            <w:tcW w:w="436" w:type="pct"/>
            <w:tcBorders>
              <w:left w:val="nil"/>
              <w:right w:val="nil"/>
            </w:tcBorders>
            <w:shd w:val="clear" w:color="auto" w:fill="FFFFFF"/>
            <w:tcMar>
              <w:left w:w="10" w:type="dxa"/>
              <w:right w:w="10" w:type="dxa"/>
            </w:tcMar>
          </w:tcPr>
          <w:p w14:paraId="1F6AE979" w14:textId="77777777" w:rsidR="009B45E0" w:rsidRPr="00332E9D" w:rsidRDefault="009B45E0" w:rsidP="00A457B2">
            <w:pPr>
              <w:keepLines/>
            </w:pPr>
            <w:r w:rsidRPr="00332E9D">
              <w:t>121</w:t>
            </w:r>
          </w:p>
        </w:tc>
        <w:tc>
          <w:tcPr>
            <w:tcW w:w="987" w:type="pct"/>
            <w:tcBorders>
              <w:left w:val="nil"/>
              <w:right w:val="nil"/>
            </w:tcBorders>
            <w:shd w:val="clear" w:color="auto" w:fill="FFFFFF"/>
            <w:tcMar>
              <w:left w:w="10" w:type="dxa"/>
              <w:right w:w="10" w:type="dxa"/>
            </w:tcMar>
          </w:tcPr>
          <w:p w14:paraId="638B867F" w14:textId="77777777" w:rsidR="009B45E0" w:rsidRPr="00332E9D" w:rsidRDefault="009B45E0" w:rsidP="00A457B2">
            <w:pPr>
              <w:keepLines/>
            </w:pPr>
            <w:r w:rsidRPr="00332E9D">
              <w:t>-48.3</w:t>
            </w:r>
          </w:p>
        </w:tc>
        <w:tc>
          <w:tcPr>
            <w:tcW w:w="895" w:type="pct"/>
            <w:tcBorders>
              <w:left w:val="nil"/>
              <w:right w:val="nil"/>
            </w:tcBorders>
            <w:shd w:val="clear" w:color="auto" w:fill="FFFFFF"/>
            <w:tcMar>
              <w:left w:w="10" w:type="dxa"/>
              <w:right w:w="10" w:type="dxa"/>
            </w:tcMar>
          </w:tcPr>
          <w:p w14:paraId="7AB3912C" w14:textId="77777777" w:rsidR="009B45E0" w:rsidRPr="00332E9D" w:rsidRDefault="009B45E0" w:rsidP="00A457B2">
            <w:pPr>
              <w:tabs>
                <w:tab w:val="clear" w:pos="567"/>
              </w:tabs>
              <w:rPr>
                <w:szCs w:val="22"/>
              </w:rPr>
            </w:pPr>
            <w:r w:rsidRPr="00332E9D">
              <w:rPr>
                <w:szCs w:val="22"/>
              </w:rPr>
              <w:t>--</w:t>
            </w:r>
          </w:p>
        </w:tc>
        <w:tc>
          <w:tcPr>
            <w:tcW w:w="968" w:type="pct"/>
            <w:tcBorders>
              <w:left w:val="nil"/>
              <w:right w:val="nil"/>
            </w:tcBorders>
            <w:shd w:val="clear" w:color="auto" w:fill="FFFFFF"/>
          </w:tcPr>
          <w:p w14:paraId="55D5396C" w14:textId="77777777" w:rsidR="009B45E0" w:rsidRPr="00332E9D" w:rsidRDefault="009B45E0" w:rsidP="00A457B2">
            <w:pPr>
              <w:tabs>
                <w:tab w:val="clear" w:pos="567"/>
              </w:tabs>
              <w:rPr>
                <w:szCs w:val="22"/>
              </w:rPr>
            </w:pPr>
            <w:r w:rsidRPr="00332E9D">
              <w:rPr>
                <w:szCs w:val="22"/>
              </w:rPr>
              <w:t>--</w:t>
            </w:r>
          </w:p>
        </w:tc>
      </w:tr>
      <w:tr w:rsidR="009B45E0" w:rsidRPr="00332E9D" w14:paraId="7796CC76" w14:textId="77777777" w:rsidTr="00AC5B0E">
        <w:trPr>
          <w:cantSplit/>
        </w:trPr>
        <w:tc>
          <w:tcPr>
            <w:tcW w:w="1714" w:type="pct"/>
            <w:tcBorders>
              <w:left w:val="nil"/>
              <w:right w:val="nil"/>
            </w:tcBorders>
            <w:shd w:val="clear" w:color="auto" w:fill="FFFFFF"/>
            <w:tcMar>
              <w:left w:w="10" w:type="dxa"/>
              <w:right w:w="10" w:type="dxa"/>
            </w:tcMar>
          </w:tcPr>
          <w:p w14:paraId="1C031E79" w14:textId="77777777" w:rsidR="009B45E0" w:rsidRPr="00332E9D" w:rsidRDefault="009B45E0" w:rsidP="00A457B2">
            <w:pPr>
              <w:keepLines/>
              <w:ind w:left="142"/>
              <w:rPr>
                <w:rFonts w:cs="Arial"/>
                <w:szCs w:val="18"/>
              </w:rPr>
            </w:pPr>
            <w:r w:rsidRPr="00332E9D">
              <w:rPr>
                <w:rFonts w:cs="Arial"/>
                <w:szCs w:val="18"/>
              </w:rPr>
              <w:t>OPC 5 mg</w:t>
            </w:r>
          </w:p>
        </w:tc>
        <w:tc>
          <w:tcPr>
            <w:tcW w:w="436" w:type="pct"/>
            <w:tcBorders>
              <w:left w:val="nil"/>
              <w:right w:val="nil"/>
            </w:tcBorders>
            <w:shd w:val="clear" w:color="auto" w:fill="FFFFFF"/>
            <w:tcMar>
              <w:left w:w="10" w:type="dxa"/>
              <w:right w:w="10" w:type="dxa"/>
            </w:tcMar>
          </w:tcPr>
          <w:p w14:paraId="3EB4B9A3" w14:textId="77777777" w:rsidR="009B45E0" w:rsidRPr="00332E9D" w:rsidRDefault="009B45E0" w:rsidP="00A457B2">
            <w:pPr>
              <w:keepLines/>
            </w:pPr>
            <w:r w:rsidRPr="00332E9D">
              <w:t>122</w:t>
            </w:r>
          </w:p>
        </w:tc>
        <w:tc>
          <w:tcPr>
            <w:tcW w:w="987" w:type="pct"/>
            <w:tcBorders>
              <w:left w:val="nil"/>
              <w:right w:val="nil"/>
            </w:tcBorders>
            <w:shd w:val="clear" w:color="auto" w:fill="FFFFFF"/>
            <w:tcMar>
              <w:left w:w="10" w:type="dxa"/>
              <w:right w:w="10" w:type="dxa"/>
            </w:tcMar>
          </w:tcPr>
          <w:p w14:paraId="3642661A" w14:textId="77777777" w:rsidR="009B45E0" w:rsidRPr="00332E9D" w:rsidRDefault="009B45E0" w:rsidP="00A457B2">
            <w:pPr>
              <w:keepLines/>
            </w:pPr>
            <w:r w:rsidRPr="00332E9D">
              <w:t>-77.6</w:t>
            </w:r>
          </w:p>
        </w:tc>
        <w:tc>
          <w:tcPr>
            <w:tcW w:w="895" w:type="pct"/>
            <w:tcBorders>
              <w:left w:val="nil"/>
              <w:right w:val="nil"/>
            </w:tcBorders>
            <w:shd w:val="clear" w:color="auto" w:fill="FFFFFF"/>
            <w:tcMar>
              <w:left w:w="10" w:type="dxa"/>
              <w:right w:w="10" w:type="dxa"/>
            </w:tcMar>
          </w:tcPr>
          <w:p w14:paraId="2C53BCA7" w14:textId="77777777" w:rsidR="009B45E0" w:rsidRPr="00332E9D" w:rsidRDefault="009B45E0" w:rsidP="00A457B2">
            <w:pPr>
              <w:tabs>
                <w:tab w:val="clear" w:pos="567"/>
              </w:tabs>
              <w:rPr>
                <w:szCs w:val="22"/>
              </w:rPr>
            </w:pPr>
            <w:r w:rsidRPr="00332E9D">
              <w:rPr>
                <w:szCs w:val="22"/>
              </w:rPr>
              <w:t>--</w:t>
            </w:r>
          </w:p>
        </w:tc>
        <w:tc>
          <w:tcPr>
            <w:tcW w:w="968" w:type="pct"/>
            <w:tcBorders>
              <w:left w:val="nil"/>
              <w:right w:val="nil"/>
            </w:tcBorders>
            <w:shd w:val="clear" w:color="auto" w:fill="FFFFFF"/>
          </w:tcPr>
          <w:p w14:paraId="237917E7" w14:textId="77777777" w:rsidR="009B45E0" w:rsidRPr="00332E9D" w:rsidRDefault="009B45E0" w:rsidP="00A457B2">
            <w:pPr>
              <w:tabs>
                <w:tab w:val="clear" w:pos="567"/>
              </w:tabs>
              <w:rPr>
                <w:szCs w:val="22"/>
              </w:rPr>
            </w:pPr>
            <w:r w:rsidRPr="00332E9D">
              <w:rPr>
                <w:szCs w:val="22"/>
              </w:rPr>
              <w:t>--</w:t>
            </w:r>
          </w:p>
        </w:tc>
      </w:tr>
      <w:tr w:rsidR="009B45E0" w:rsidRPr="00332E9D" w14:paraId="179A990D" w14:textId="77777777" w:rsidTr="00AC5B0E">
        <w:trPr>
          <w:cantSplit/>
        </w:trPr>
        <w:tc>
          <w:tcPr>
            <w:tcW w:w="1714" w:type="pct"/>
            <w:tcBorders>
              <w:top w:val="nil"/>
              <w:left w:val="nil"/>
              <w:right w:val="nil"/>
            </w:tcBorders>
            <w:shd w:val="clear" w:color="auto" w:fill="FFFFFF"/>
            <w:tcMar>
              <w:left w:w="10" w:type="dxa"/>
              <w:right w:w="10" w:type="dxa"/>
            </w:tcMar>
          </w:tcPr>
          <w:p w14:paraId="6F2EB902" w14:textId="77777777" w:rsidR="009B45E0" w:rsidRPr="00332E9D" w:rsidRDefault="009B45E0" w:rsidP="00A457B2">
            <w:pPr>
              <w:keepLines/>
              <w:ind w:left="142"/>
              <w:rPr>
                <w:rFonts w:cs="Arial"/>
                <w:szCs w:val="18"/>
              </w:rPr>
            </w:pPr>
            <w:r w:rsidRPr="00332E9D">
              <w:rPr>
                <w:rFonts w:cs="Arial"/>
                <w:szCs w:val="18"/>
              </w:rPr>
              <w:t>OPC 25 mg</w:t>
            </w:r>
          </w:p>
        </w:tc>
        <w:tc>
          <w:tcPr>
            <w:tcW w:w="436" w:type="pct"/>
            <w:tcBorders>
              <w:top w:val="nil"/>
              <w:left w:val="nil"/>
              <w:right w:val="nil"/>
            </w:tcBorders>
            <w:shd w:val="clear" w:color="auto" w:fill="FFFFFF"/>
            <w:tcMar>
              <w:left w:w="10" w:type="dxa"/>
              <w:right w:w="10" w:type="dxa"/>
            </w:tcMar>
          </w:tcPr>
          <w:p w14:paraId="6E7C8287" w14:textId="77777777" w:rsidR="009B45E0" w:rsidRPr="00332E9D" w:rsidRDefault="009B45E0" w:rsidP="00A457B2">
            <w:pPr>
              <w:keepLines/>
            </w:pPr>
            <w:r w:rsidRPr="00332E9D">
              <w:t>119</w:t>
            </w:r>
          </w:p>
        </w:tc>
        <w:tc>
          <w:tcPr>
            <w:tcW w:w="987" w:type="pct"/>
            <w:tcBorders>
              <w:top w:val="nil"/>
              <w:left w:val="nil"/>
              <w:right w:val="nil"/>
            </w:tcBorders>
            <w:shd w:val="clear" w:color="auto" w:fill="FFFFFF"/>
            <w:tcMar>
              <w:left w:w="10" w:type="dxa"/>
              <w:right w:w="10" w:type="dxa"/>
            </w:tcMar>
          </w:tcPr>
          <w:p w14:paraId="39A8582C" w14:textId="77777777" w:rsidR="009B45E0" w:rsidRPr="00332E9D" w:rsidRDefault="009B45E0" w:rsidP="00A457B2">
            <w:pPr>
              <w:keepLines/>
            </w:pPr>
            <w:r w:rsidRPr="00332E9D">
              <w:t>-73.2</w:t>
            </w:r>
          </w:p>
        </w:tc>
        <w:tc>
          <w:tcPr>
            <w:tcW w:w="895" w:type="pct"/>
            <w:tcBorders>
              <w:top w:val="nil"/>
              <w:left w:val="nil"/>
              <w:right w:val="nil"/>
            </w:tcBorders>
            <w:shd w:val="clear" w:color="auto" w:fill="FFFFFF"/>
            <w:tcMar>
              <w:left w:w="10" w:type="dxa"/>
              <w:right w:w="10" w:type="dxa"/>
            </w:tcMar>
          </w:tcPr>
          <w:p w14:paraId="0A4B75D1" w14:textId="77777777" w:rsidR="009B45E0" w:rsidRPr="00332E9D" w:rsidRDefault="009B45E0" w:rsidP="00A457B2">
            <w:pPr>
              <w:tabs>
                <w:tab w:val="clear" w:pos="567"/>
              </w:tabs>
              <w:rPr>
                <w:szCs w:val="22"/>
              </w:rPr>
            </w:pPr>
            <w:r w:rsidRPr="00332E9D">
              <w:rPr>
                <w:szCs w:val="22"/>
              </w:rPr>
              <w:t>--</w:t>
            </w:r>
          </w:p>
        </w:tc>
        <w:tc>
          <w:tcPr>
            <w:tcW w:w="968" w:type="pct"/>
            <w:tcBorders>
              <w:top w:val="nil"/>
              <w:left w:val="nil"/>
              <w:right w:val="nil"/>
            </w:tcBorders>
            <w:shd w:val="clear" w:color="auto" w:fill="FFFFFF"/>
          </w:tcPr>
          <w:p w14:paraId="0BF380A3" w14:textId="77777777" w:rsidR="009B45E0" w:rsidRPr="00332E9D" w:rsidRDefault="009B45E0" w:rsidP="00A457B2">
            <w:pPr>
              <w:tabs>
                <w:tab w:val="clear" w:pos="567"/>
              </w:tabs>
              <w:rPr>
                <w:szCs w:val="22"/>
              </w:rPr>
            </w:pPr>
            <w:r w:rsidRPr="00332E9D">
              <w:rPr>
                <w:szCs w:val="22"/>
              </w:rPr>
              <w:t>--</w:t>
            </w:r>
          </w:p>
        </w:tc>
      </w:tr>
      <w:tr w:rsidR="009B45E0" w:rsidRPr="00332E9D" w14:paraId="76B9CDB4" w14:textId="77777777" w:rsidTr="00AC5B0E">
        <w:trPr>
          <w:cantSplit/>
        </w:trPr>
        <w:tc>
          <w:tcPr>
            <w:tcW w:w="1714" w:type="pct"/>
            <w:tcBorders>
              <w:top w:val="nil"/>
              <w:left w:val="nil"/>
              <w:right w:val="nil"/>
            </w:tcBorders>
            <w:shd w:val="clear" w:color="auto" w:fill="FFFFFF"/>
            <w:tcMar>
              <w:left w:w="10" w:type="dxa"/>
              <w:right w:w="10" w:type="dxa"/>
            </w:tcMar>
          </w:tcPr>
          <w:p w14:paraId="20EE452B" w14:textId="77777777" w:rsidR="009B45E0" w:rsidRPr="00332E9D" w:rsidRDefault="009B45E0" w:rsidP="00A457B2">
            <w:pPr>
              <w:keepLines/>
              <w:ind w:left="142"/>
              <w:rPr>
                <w:rFonts w:cs="Arial"/>
                <w:szCs w:val="18"/>
              </w:rPr>
            </w:pPr>
            <w:r w:rsidRPr="00332E9D">
              <w:rPr>
                <w:rFonts w:cs="Arial"/>
                <w:szCs w:val="18"/>
              </w:rPr>
              <w:t>OPC 50 mg</w:t>
            </w:r>
          </w:p>
        </w:tc>
        <w:tc>
          <w:tcPr>
            <w:tcW w:w="436" w:type="pct"/>
            <w:tcBorders>
              <w:top w:val="nil"/>
              <w:left w:val="nil"/>
              <w:right w:val="nil"/>
            </w:tcBorders>
            <w:shd w:val="clear" w:color="auto" w:fill="FFFFFF"/>
            <w:tcMar>
              <w:left w:w="10" w:type="dxa"/>
              <w:right w:w="10" w:type="dxa"/>
            </w:tcMar>
          </w:tcPr>
          <w:p w14:paraId="6FE033FF" w14:textId="77777777" w:rsidR="009B45E0" w:rsidRPr="00332E9D" w:rsidRDefault="009B45E0" w:rsidP="00A457B2">
            <w:pPr>
              <w:keepLines/>
            </w:pPr>
            <w:r w:rsidRPr="00332E9D">
              <w:t>115</w:t>
            </w:r>
          </w:p>
        </w:tc>
        <w:tc>
          <w:tcPr>
            <w:tcW w:w="987" w:type="pct"/>
            <w:tcBorders>
              <w:top w:val="nil"/>
              <w:left w:val="nil"/>
              <w:right w:val="nil"/>
            </w:tcBorders>
            <w:shd w:val="clear" w:color="auto" w:fill="FFFFFF"/>
            <w:tcMar>
              <w:left w:w="10" w:type="dxa"/>
              <w:right w:w="10" w:type="dxa"/>
            </w:tcMar>
          </w:tcPr>
          <w:p w14:paraId="0737B261" w14:textId="77777777" w:rsidR="009B45E0" w:rsidRPr="00332E9D" w:rsidRDefault="009B45E0" w:rsidP="00A457B2">
            <w:pPr>
              <w:keepLines/>
            </w:pPr>
            <w:r w:rsidRPr="00332E9D">
              <w:t>-103.6</w:t>
            </w:r>
          </w:p>
        </w:tc>
        <w:tc>
          <w:tcPr>
            <w:tcW w:w="895" w:type="pct"/>
            <w:tcBorders>
              <w:top w:val="nil"/>
              <w:left w:val="nil"/>
              <w:right w:val="nil"/>
            </w:tcBorders>
            <w:shd w:val="clear" w:color="auto" w:fill="FFFFFF"/>
            <w:tcMar>
              <w:left w:w="10" w:type="dxa"/>
              <w:right w:w="10" w:type="dxa"/>
            </w:tcMar>
          </w:tcPr>
          <w:p w14:paraId="7EC2E6B6" w14:textId="77777777" w:rsidR="009B45E0" w:rsidRPr="00332E9D" w:rsidRDefault="009B45E0" w:rsidP="00A457B2">
            <w:pPr>
              <w:tabs>
                <w:tab w:val="clear" w:pos="567"/>
              </w:tabs>
              <w:rPr>
                <w:szCs w:val="22"/>
              </w:rPr>
            </w:pPr>
            <w:r w:rsidRPr="00332E9D">
              <w:rPr>
                <w:szCs w:val="22"/>
              </w:rPr>
              <w:t>--</w:t>
            </w:r>
          </w:p>
        </w:tc>
        <w:tc>
          <w:tcPr>
            <w:tcW w:w="968" w:type="pct"/>
            <w:tcBorders>
              <w:top w:val="nil"/>
              <w:left w:val="nil"/>
              <w:right w:val="nil"/>
            </w:tcBorders>
            <w:shd w:val="clear" w:color="auto" w:fill="FFFFFF"/>
          </w:tcPr>
          <w:p w14:paraId="1619CC28" w14:textId="77777777" w:rsidR="009B45E0" w:rsidRPr="00332E9D" w:rsidRDefault="009B45E0" w:rsidP="00A457B2">
            <w:pPr>
              <w:tabs>
                <w:tab w:val="clear" w:pos="567"/>
              </w:tabs>
              <w:rPr>
                <w:szCs w:val="22"/>
              </w:rPr>
            </w:pPr>
            <w:r w:rsidRPr="00332E9D">
              <w:rPr>
                <w:szCs w:val="22"/>
              </w:rPr>
              <w:t>--</w:t>
            </w:r>
          </w:p>
        </w:tc>
      </w:tr>
      <w:tr w:rsidR="009B45E0" w:rsidRPr="00332E9D" w14:paraId="7B52748F" w14:textId="77777777" w:rsidTr="00AC5B0E">
        <w:trPr>
          <w:cantSplit/>
        </w:trPr>
        <w:tc>
          <w:tcPr>
            <w:tcW w:w="1714" w:type="pct"/>
            <w:tcBorders>
              <w:top w:val="nil"/>
              <w:left w:val="nil"/>
              <w:right w:val="nil"/>
            </w:tcBorders>
            <w:shd w:val="clear" w:color="auto" w:fill="FFFFFF"/>
            <w:tcMar>
              <w:left w:w="10" w:type="dxa"/>
              <w:right w:w="10" w:type="dxa"/>
            </w:tcMar>
          </w:tcPr>
          <w:p w14:paraId="511574EA" w14:textId="77777777" w:rsidR="009B45E0" w:rsidRPr="00332E9D" w:rsidRDefault="009B45E0" w:rsidP="00A457B2">
            <w:pPr>
              <w:keepLines/>
              <w:ind w:left="142"/>
              <w:rPr>
                <w:rFonts w:cs="Arial"/>
                <w:szCs w:val="18"/>
              </w:rPr>
            </w:pPr>
            <w:r w:rsidRPr="00332E9D">
              <w:rPr>
                <w:rFonts w:cs="Arial"/>
                <w:szCs w:val="18"/>
              </w:rPr>
              <w:t>OPC 5 mg – Placebo</w:t>
            </w:r>
          </w:p>
        </w:tc>
        <w:tc>
          <w:tcPr>
            <w:tcW w:w="436" w:type="pct"/>
            <w:tcBorders>
              <w:top w:val="nil"/>
              <w:left w:val="nil"/>
              <w:right w:val="nil"/>
            </w:tcBorders>
            <w:shd w:val="clear" w:color="auto" w:fill="FFFFFF"/>
            <w:tcMar>
              <w:left w:w="10" w:type="dxa"/>
              <w:right w:w="10" w:type="dxa"/>
            </w:tcMar>
          </w:tcPr>
          <w:p w14:paraId="3F331F08" w14:textId="77777777" w:rsidR="009B45E0" w:rsidRPr="00332E9D" w:rsidRDefault="009B45E0" w:rsidP="00A457B2">
            <w:r w:rsidRPr="00332E9D">
              <w:rPr>
                <w:szCs w:val="22"/>
              </w:rPr>
              <w:t>--</w:t>
            </w:r>
          </w:p>
        </w:tc>
        <w:tc>
          <w:tcPr>
            <w:tcW w:w="987" w:type="pct"/>
            <w:tcBorders>
              <w:top w:val="nil"/>
              <w:left w:val="nil"/>
              <w:right w:val="nil"/>
            </w:tcBorders>
            <w:shd w:val="clear" w:color="auto" w:fill="FFFFFF"/>
            <w:tcMar>
              <w:left w:w="10" w:type="dxa"/>
              <w:right w:w="10" w:type="dxa"/>
            </w:tcMar>
          </w:tcPr>
          <w:p w14:paraId="273A5092" w14:textId="77777777" w:rsidR="009B45E0" w:rsidRPr="00332E9D" w:rsidRDefault="009B45E0" w:rsidP="00A457B2">
            <w:pPr>
              <w:keepLines/>
            </w:pPr>
            <w:r w:rsidRPr="00332E9D">
              <w:t>-29.3</w:t>
            </w:r>
          </w:p>
        </w:tc>
        <w:tc>
          <w:tcPr>
            <w:tcW w:w="895" w:type="pct"/>
            <w:tcBorders>
              <w:top w:val="nil"/>
              <w:left w:val="nil"/>
              <w:right w:val="nil"/>
            </w:tcBorders>
            <w:shd w:val="clear" w:color="auto" w:fill="FFFFFF"/>
            <w:tcMar>
              <w:left w:w="10" w:type="dxa"/>
              <w:right w:w="10" w:type="dxa"/>
            </w:tcMar>
          </w:tcPr>
          <w:p w14:paraId="0331C2A4" w14:textId="77777777" w:rsidR="009B45E0" w:rsidRPr="00332E9D" w:rsidRDefault="009B45E0" w:rsidP="00A457B2">
            <w:pPr>
              <w:tabs>
                <w:tab w:val="clear" w:pos="567"/>
              </w:tabs>
              <w:rPr>
                <w:szCs w:val="22"/>
              </w:rPr>
            </w:pPr>
            <w:r w:rsidRPr="00332E9D">
              <w:rPr>
                <w:szCs w:val="22"/>
              </w:rPr>
              <w:t>-65.5, 6.8</w:t>
            </w:r>
          </w:p>
        </w:tc>
        <w:tc>
          <w:tcPr>
            <w:tcW w:w="968" w:type="pct"/>
            <w:tcBorders>
              <w:top w:val="nil"/>
              <w:left w:val="nil"/>
              <w:right w:val="nil"/>
            </w:tcBorders>
            <w:shd w:val="clear" w:color="auto" w:fill="FFFFFF"/>
          </w:tcPr>
          <w:p w14:paraId="2704B9A3" w14:textId="77777777" w:rsidR="009B45E0" w:rsidRPr="00332E9D" w:rsidRDefault="009B45E0" w:rsidP="00A457B2">
            <w:pPr>
              <w:tabs>
                <w:tab w:val="clear" w:pos="567"/>
              </w:tabs>
              <w:rPr>
                <w:szCs w:val="22"/>
              </w:rPr>
            </w:pPr>
            <w:r w:rsidRPr="00332E9D">
              <w:rPr>
                <w:szCs w:val="22"/>
              </w:rPr>
              <w:t>0.0558</w:t>
            </w:r>
          </w:p>
        </w:tc>
      </w:tr>
      <w:tr w:rsidR="009B45E0" w:rsidRPr="00332E9D" w14:paraId="1C1A89D1" w14:textId="77777777" w:rsidTr="00AC5B0E">
        <w:trPr>
          <w:cantSplit/>
        </w:trPr>
        <w:tc>
          <w:tcPr>
            <w:tcW w:w="1714" w:type="pct"/>
            <w:tcBorders>
              <w:top w:val="nil"/>
              <w:left w:val="nil"/>
              <w:right w:val="nil"/>
            </w:tcBorders>
            <w:shd w:val="clear" w:color="auto" w:fill="FFFFFF"/>
            <w:tcMar>
              <w:left w:w="10" w:type="dxa"/>
              <w:right w:w="10" w:type="dxa"/>
            </w:tcMar>
          </w:tcPr>
          <w:p w14:paraId="254E9AB2" w14:textId="77777777" w:rsidR="009B45E0" w:rsidRPr="00332E9D" w:rsidRDefault="009B45E0" w:rsidP="00A457B2">
            <w:pPr>
              <w:keepLines/>
              <w:ind w:left="142"/>
              <w:rPr>
                <w:rFonts w:cs="Arial"/>
                <w:szCs w:val="18"/>
              </w:rPr>
            </w:pPr>
            <w:r w:rsidRPr="00332E9D">
              <w:rPr>
                <w:rFonts w:cs="Arial"/>
                <w:szCs w:val="18"/>
              </w:rPr>
              <w:t>OPC 25 mg – Placebo</w:t>
            </w:r>
          </w:p>
        </w:tc>
        <w:tc>
          <w:tcPr>
            <w:tcW w:w="436" w:type="pct"/>
            <w:tcBorders>
              <w:top w:val="nil"/>
              <w:left w:val="nil"/>
              <w:right w:val="nil"/>
            </w:tcBorders>
            <w:shd w:val="clear" w:color="auto" w:fill="FFFFFF"/>
            <w:tcMar>
              <w:left w:w="10" w:type="dxa"/>
              <w:right w:w="10" w:type="dxa"/>
            </w:tcMar>
          </w:tcPr>
          <w:p w14:paraId="5391652C" w14:textId="77777777" w:rsidR="009B45E0" w:rsidRPr="00332E9D" w:rsidRDefault="009B45E0" w:rsidP="00A457B2">
            <w:r w:rsidRPr="00332E9D">
              <w:rPr>
                <w:szCs w:val="22"/>
              </w:rPr>
              <w:t>--</w:t>
            </w:r>
          </w:p>
        </w:tc>
        <w:tc>
          <w:tcPr>
            <w:tcW w:w="987" w:type="pct"/>
            <w:tcBorders>
              <w:top w:val="nil"/>
              <w:left w:val="nil"/>
              <w:right w:val="nil"/>
            </w:tcBorders>
            <w:shd w:val="clear" w:color="auto" w:fill="FFFFFF"/>
            <w:tcMar>
              <w:left w:w="10" w:type="dxa"/>
              <w:right w:w="10" w:type="dxa"/>
            </w:tcMar>
          </w:tcPr>
          <w:p w14:paraId="0BE31FE8" w14:textId="77777777" w:rsidR="009B45E0" w:rsidRPr="00332E9D" w:rsidRDefault="009B45E0" w:rsidP="00A457B2">
            <w:pPr>
              <w:keepLines/>
            </w:pPr>
            <w:r w:rsidRPr="00332E9D">
              <w:t>-25.0</w:t>
            </w:r>
          </w:p>
        </w:tc>
        <w:tc>
          <w:tcPr>
            <w:tcW w:w="895" w:type="pct"/>
            <w:tcBorders>
              <w:top w:val="nil"/>
              <w:left w:val="nil"/>
              <w:right w:val="nil"/>
            </w:tcBorders>
            <w:shd w:val="clear" w:color="auto" w:fill="FFFFFF"/>
            <w:tcMar>
              <w:left w:w="10" w:type="dxa"/>
              <w:right w:w="10" w:type="dxa"/>
            </w:tcMar>
          </w:tcPr>
          <w:p w14:paraId="234BAF5F" w14:textId="77777777" w:rsidR="009B45E0" w:rsidRPr="00332E9D" w:rsidRDefault="009B45E0" w:rsidP="00A457B2">
            <w:pPr>
              <w:tabs>
                <w:tab w:val="clear" w:pos="567"/>
              </w:tabs>
              <w:rPr>
                <w:szCs w:val="22"/>
              </w:rPr>
            </w:pPr>
            <w:r w:rsidRPr="00332E9D">
              <w:rPr>
                <w:szCs w:val="22"/>
              </w:rPr>
              <w:t>-61.5, 11.6</w:t>
            </w:r>
          </w:p>
        </w:tc>
        <w:tc>
          <w:tcPr>
            <w:tcW w:w="968" w:type="pct"/>
            <w:tcBorders>
              <w:top w:val="nil"/>
              <w:left w:val="nil"/>
              <w:right w:val="nil"/>
            </w:tcBorders>
            <w:shd w:val="clear" w:color="auto" w:fill="FFFFFF"/>
          </w:tcPr>
          <w:p w14:paraId="299389CF" w14:textId="77777777" w:rsidR="009B45E0" w:rsidRPr="00332E9D" w:rsidRDefault="009B45E0" w:rsidP="00A457B2">
            <w:pPr>
              <w:tabs>
                <w:tab w:val="clear" w:pos="567"/>
              </w:tabs>
              <w:rPr>
                <w:szCs w:val="22"/>
              </w:rPr>
            </w:pPr>
            <w:r w:rsidRPr="00332E9D">
              <w:rPr>
                <w:szCs w:val="22"/>
              </w:rPr>
              <w:t>0.0902</w:t>
            </w:r>
          </w:p>
        </w:tc>
      </w:tr>
      <w:tr w:rsidR="009B45E0" w:rsidRPr="00332E9D" w14:paraId="7A887729" w14:textId="77777777" w:rsidTr="00AC5B0E">
        <w:trPr>
          <w:cantSplit/>
        </w:trPr>
        <w:tc>
          <w:tcPr>
            <w:tcW w:w="1714" w:type="pct"/>
            <w:tcBorders>
              <w:top w:val="nil"/>
              <w:left w:val="nil"/>
              <w:right w:val="nil"/>
            </w:tcBorders>
            <w:shd w:val="clear" w:color="auto" w:fill="FFFFFF"/>
            <w:tcMar>
              <w:left w:w="10" w:type="dxa"/>
              <w:right w:w="10" w:type="dxa"/>
            </w:tcMar>
          </w:tcPr>
          <w:p w14:paraId="4125D292" w14:textId="77777777" w:rsidR="009B45E0" w:rsidRPr="00332E9D" w:rsidRDefault="009B45E0" w:rsidP="00A457B2">
            <w:pPr>
              <w:keepLines/>
              <w:ind w:left="142"/>
              <w:rPr>
                <w:rFonts w:cs="Arial"/>
                <w:szCs w:val="18"/>
              </w:rPr>
            </w:pPr>
            <w:r w:rsidRPr="00332E9D">
              <w:rPr>
                <w:rFonts w:cs="Arial"/>
                <w:szCs w:val="18"/>
              </w:rPr>
              <w:t>OPC 50 mg – Placebo</w:t>
            </w:r>
          </w:p>
        </w:tc>
        <w:tc>
          <w:tcPr>
            <w:tcW w:w="436" w:type="pct"/>
            <w:tcBorders>
              <w:top w:val="nil"/>
              <w:left w:val="nil"/>
              <w:right w:val="nil"/>
            </w:tcBorders>
            <w:shd w:val="clear" w:color="auto" w:fill="FFFFFF"/>
            <w:tcMar>
              <w:left w:w="10" w:type="dxa"/>
              <w:right w:w="10" w:type="dxa"/>
            </w:tcMar>
          </w:tcPr>
          <w:p w14:paraId="630BF4FE" w14:textId="77777777" w:rsidR="009B45E0" w:rsidRPr="00332E9D" w:rsidRDefault="009B45E0" w:rsidP="00A457B2">
            <w:r w:rsidRPr="00332E9D">
              <w:rPr>
                <w:szCs w:val="22"/>
              </w:rPr>
              <w:t>--</w:t>
            </w:r>
          </w:p>
        </w:tc>
        <w:tc>
          <w:tcPr>
            <w:tcW w:w="987" w:type="pct"/>
            <w:tcBorders>
              <w:top w:val="nil"/>
              <w:left w:val="nil"/>
              <w:right w:val="nil"/>
            </w:tcBorders>
            <w:shd w:val="clear" w:color="auto" w:fill="FFFFFF"/>
            <w:tcMar>
              <w:left w:w="10" w:type="dxa"/>
              <w:right w:w="10" w:type="dxa"/>
            </w:tcMar>
          </w:tcPr>
          <w:p w14:paraId="5CC298D3" w14:textId="77777777" w:rsidR="009B45E0" w:rsidRPr="00332E9D" w:rsidRDefault="009B45E0" w:rsidP="00A457B2">
            <w:pPr>
              <w:keepLines/>
            </w:pPr>
            <w:r w:rsidRPr="00332E9D">
              <w:t>-55.3</w:t>
            </w:r>
          </w:p>
        </w:tc>
        <w:tc>
          <w:tcPr>
            <w:tcW w:w="895" w:type="pct"/>
            <w:tcBorders>
              <w:top w:val="nil"/>
              <w:left w:val="nil"/>
              <w:right w:val="nil"/>
            </w:tcBorders>
            <w:shd w:val="clear" w:color="auto" w:fill="FFFFFF"/>
            <w:tcMar>
              <w:left w:w="10" w:type="dxa"/>
              <w:right w:w="10" w:type="dxa"/>
            </w:tcMar>
          </w:tcPr>
          <w:p w14:paraId="306DCDB7" w14:textId="77777777" w:rsidR="009B45E0" w:rsidRPr="00332E9D" w:rsidRDefault="009B45E0" w:rsidP="00A457B2">
            <w:pPr>
              <w:tabs>
                <w:tab w:val="clear" w:pos="567"/>
              </w:tabs>
              <w:rPr>
                <w:szCs w:val="22"/>
              </w:rPr>
            </w:pPr>
            <w:r w:rsidRPr="00332E9D">
              <w:rPr>
                <w:szCs w:val="22"/>
              </w:rPr>
              <w:t>-92.0, -18.6</w:t>
            </w:r>
          </w:p>
        </w:tc>
        <w:tc>
          <w:tcPr>
            <w:tcW w:w="968" w:type="pct"/>
            <w:tcBorders>
              <w:top w:val="nil"/>
              <w:left w:val="nil"/>
              <w:right w:val="nil"/>
            </w:tcBorders>
            <w:shd w:val="clear" w:color="auto" w:fill="FFFFFF"/>
          </w:tcPr>
          <w:p w14:paraId="7F79B101" w14:textId="77777777" w:rsidR="009B45E0" w:rsidRPr="00332E9D" w:rsidRDefault="009B45E0" w:rsidP="00A457B2">
            <w:pPr>
              <w:tabs>
                <w:tab w:val="clear" w:pos="567"/>
              </w:tabs>
              <w:rPr>
                <w:szCs w:val="22"/>
              </w:rPr>
            </w:pPr>
            <w:r w:rsidRPr="00332E9D">
              <w:rPr>
                <w:szCs w:val="22"/>
              </w:rPr>
              <w:t>0.0016</w:t>
            </w:r>
          </w:p>
        </w:tc>
      </w:tr>
      <w:tr w:rsidR="009B45E0" w:rsidRPr="00332E9D" w14:paraId="753AAC4E" w14:textId="77777777" w:rsidTr="00AC5B0E">
        <w:trPr>
          <w:cantSplit/>
        </w:trPr>
        <w:tc>
          <w:tcPr>
            <w:tcW w:w="1714" w:type="pct"/>
            <w:tcBorders>
              <w:top w:val="nil"/>
              <w:left w:val="nil"/>
              <w:right w:val="nil"/>
            </w:tcBorders>
            <w:shd w:val="clear" w:color="auto" w:fill="FFFFFF"/>
            <w:tcMar>
              <w:left w:w="10" w:type="dxa"/>
              <w:right w:w="10" w:type="dxa"/>
            </w:tcMar>
          </w:tcPr>
          <w:p w14:paraId="478708A7" w14:textId="77777777" w:rsidR="009B45E0" w:rsidRPr="00332E9D" w:rsidRDefault="009B45E0" w:rsidP="00A457B2">
            <w:pPr>
              <w:keepLines/>
              <w:rPr>
                <w:b/>
                <w:szCs w:val="22"/>
                <w:u w:val="single"/>
              </w:rPr>
            </w:pPr>
            <w:r w:rsidRPr="00332E9D">
              <w:rPr>
                <w:b/>
                <w:szCs w:val="22"/>
                <w:u w:val="single"/>
              </w:rPr>
              <w:t>Study 2</w:t>
            </w:r>
          </w:p>
        </w:tc>
        <w:tc>
          <w:tcPr>
            <w:tcW w:w="436" w:type="pct"/>
            <w:tcBorders>
              <w:top w:val="nil"/>
              <w:left w:val="nil"/>
              <w:right w:val="nil"/>
            </w:tcBorders>
            <w:shd w:val="clear" w:color="auto" w:fill="FFFFFF"/>
            <w:tcMar>
              <w:left w:w="10" w:type="dxa"/>
              <w:right w:w="10" w:type="dxa"/>
            </w:tcMar>
          </w:tcPr>
          <w:p w14:paraId="2263C8CF" w14:textId="77777777" w:rsidR="009B45E0" w:rsidRPr="00332E9D" w:rsidRDefault="009B45E0" w:rsidP="00A457B2">
            <w:pPr>
              <w:rPr>
                <w:szCs w:val="22"/>
              </w:rPr>
            </w:pPr>
          </w:p>
        </w:tc>
        <w:tc>
          <w:tcPr>
            <w:tcW w:w="987" w:type="pct"/>
            <w:tcBorders>
              <w:top w:val="nil"/>
              <w:left w:val="nil"/>
              <w:right w:val="nil"/>
            </w:tcBorders>
            <w:shd w:val="clear" w:color="auto" w:fill="FFFFFF"/>
            <w:tcMar>
              <w:left w:w="10" w:type="dxa"/>
              <w:right w:w="10" w:type="dxa"/>
            </w:tcMar>
          </w:tcPr>
          <w:p w14:paraId="691B7461" w14:textId="77777777" w:rsidR="009B45E0" w:rsidRPr="00332E9D" w:rsidRDefault="009B45E0" w:rsidP="00A457B2">
            <w:pPr>
              <w:keepLines/>
            </w:pPr>
          </w:p>
        </w:tc>
        <w:tc>
          <w:tcPr>
            <w:tcW w:w="895" w:type="pct"/>
            <w:tcBorders>
              <w:top w:val="nil"/>
              <w:left w:val="nil"/>
              <w:right w:val="nil"/>
            </w:tcBorders>
            <w:shd w:val="clear" w:color="auto" w:fill="FFFFFF"/>
            <w:tcMar>
              <w:left w:w="10" w:type="dxa"/>
              <w:right w:w="10" w:type="dxa"/>
            </w:tcMar>
          </w:tcPr>
          <w:p w14:paraId="5D4C9C81" w14:textId="77777777" w:rsidR="009B45E0" w:rsidRPr="00332E9D" w:rsidRDefault="009B45E0" w:rsidP="00A457B2">
            <w:pPr>
              <w:tabs>
                <w:tab w:val="clear" w:pos="567"/>
              </w:tabs>
              <w:rPr>
                <w:szCs w:val="22"/>
              </w:rPr>
            </w:pPr>
          </w:p>
        </w:tc>
        <w:tc>
          <w:tcPr>
            <w:tcW w:w="968" w:type="pct"/>
            <w:tcBorders>
              <w:top w:val="nil"/>
              <w:left w:val="nil"/>
              <w:right w:val="nil"/>
            </w:tcBorders>
            <w:shd w:val="clear" w:color="auto" w:fill="FFFFFF"/>
          </w:tcPr>
          <w:p w14:paraId="5F1CF6F3" w14:textId="77777777" w:rsidR="009B45E0" w:rsidRPr="00332E9D" w:rsidRDefault="009B45E0" w:rsidP="00A457B2">
            <w:pPr>
              <w:tabs>
                <w:tab w:val="clear" w:pos="567"/>
              </w:tabs>
              <w:rPr>
                <w:szCs w:val="22"/>
              </w:rPr>
            </w:pPr>
          </w:p>
        </w:tc>
      </w:tr>
      <w:tr w:rsidR="009B45E0" w:rsidRPr="00332E9D" w14:paraId="542300EB" w14:textId="77777777" w:rsidTr="00AC5B0E">
        <w:trPr>
          <w:cantSplit/>
        </w:trPr>
        <w:tc>
          <w:tcPr>
            <w:tcW w:w="1714" w:type="pct"/>
            <w:tcBorders>
              <w:top w:val="nil"/>
              <w:left w:val="nil"/>
              <w:right w:val="nil"/>
            </w:tcBorders>
            <w:shd w:val="clear" w:color="auto" w:fill="FFFFFF"/>
            <w:tcMar>
              <w:left w:w="10" w:type="dxa"/>
              <w:right w:w="10" w:type="dxa"/>
            </w:tcMar>
          </w:tcPr>
          <w:p w14:paraId="66F118FB" w14:textId="77777777" w:rsidR="009B45E0" w:rsidRPr="00332E9D" w:rsidRDefault="009B45E0" w:rsidP="00A457B2">
            <w:pPr>
              <w:keepLines/>
              <w:rPr>
                <w:b/>
                <w:szCs w:val="22"/>
              </w:rPr>
            </w:pPr>
            <w:r w:rsidRPr="00332E9D">
              <w:rPr>
                <w:b/>
                <w:szCs w:val="22"/>
              </w:rPr>
              <w:t>Change in OFF-time</w:t>
            </w:r>
          </w:p>
        </w:tc>
        <w:tc>
          <w:tcPr>
            <w:tcW w:w="436" w:type="pct"/>
            <w:tcBorders>
              <w:top w:val="nil"/>
              <w:left w:val="nil"/>
              <w:right w:val="nil"/>
            </w:tcBorders>
            <w:shd w:val="clear" w:color="auto" w:fill="FFFFFF"/>
            <w:tcMar>
              <w:left w:w="10" w:type="dxa"/>
              <w:right w:w="10" w:type="dxa"/>
            </w:tcMar>
          </w:tcPr>
          <w:p w14:paraId="4A583DB5" w14:textId="77777777" w:rsidR="009B45E0" w:rsidRPr="00332E9D" w:rsidRDefault="009B45E0" w:rsidP="00A457B2">
            <w:pPr>
              <w:rPr>
                <w:szCs w:val="22"/>
              </w:rPr>
            </w:pPr>
          </w:p>
        </w:tc>
        <w:tc>
          <w:tcPr>
            <w:tcW w:w="987" w:type="pct"/>
            <w:tcBorders>
              <w:top w:val="nil"/>
              <w:left w:val="nil"/>
              <w:right w:val="nil"/>
            </w:tcBorders>
            <w:shd w:val="clear" w:color="auto" w:fill="FFFFFF"/>
            <w:tcMar>
              <w:left w:w="10" w:type="dxa"/>
              <w:right w:w="10" w:type="dxa"/>
            </w:tcMar>
          </w:tcPr>
          <w:p w14:paraId="36443181" w14:textId="77777777" w:rsidR="009B45E0" w:rsidRPr="00332E9D" w:rsidRDefault="009B45E0" w:rsidP="00A457B2">
            <w:pPr>
              <w:keepLines/>
            </w:pPr>
          </w:p>
        </w:tc>
        <w:tc>
          <w:tcPr>
            <w:tcW w:w="895" w:type="pct"/>
            <w:tcBorders>
              <w:top w:val="nil"/>
              <w:left w:val="nil"/>
              <w:right w:val="nil"/>
            </w:tcBorders>
            <w:shd w:val="clear" w:color="auto" w:fill="FFFFFF"/>
            <w:tcMar>
              <w:left w:w="10" w:type="dxa"/>
              <w:right w:w="10" w:type="dxa"/>
            </w:tcMar>
          </w:tcPr>
          <w:p w14:paraId="712BF927" w14:textId="77777777" w:rsidR="009B45E0" w:rsidRPr="00332E9D" w:rsidRDefault="009B45E0" w:rsidP="00A457B2">
            <w:pPr>
              <w:tabs>
                <w:tab w:val="clear" w:pos="567"/>
              </w:tabs>
              <w:rPr>
                <w:szCs w:val="22"/>
              </w:rPr>
            </w:pPr>
          </w:p>
        </w:tc>
        <w:tc>
          <w:tcPr>
            <w:tcW w:w="968" w:type="pct"/>
            <w:tcBorders>
              <w:top w:val="nil"/>
              <w:left w:val="nil"/>
              <w:right w:val="nil"/>
            </w:tcBorders>
            <w:shd w:val="clear" w:color="auto" w:fill="FFFFFF"/>
          </w:tcPr>
          <w:p w14:paraId="3F023E76" w14:textId="77777777" w:rsidR="009B45E0" w:rsidRPr="00332E9D" w:rsidRDefault="009B45E0" w:rsidP="00A457B2">
            <w:pPr>
              <w:tabs>
                <w:tab w:val="clear" w:pos="567"/>
              </w:tabs>
              <w:rPr>
                <w:szCs w:val="22"/>
              </w:rPr>
            </w:pPr>
          </w:p>
        </w:tc>
      </w:tr>
      <w:tr w:rsidR="009B45E0" w:rsidRPr="00332E9D" w14:paraId="48516B80" w14:textId="77777777" w:rsidTr="00AC5B0E">
        <w:trPr>
          <w:cantSplit/>
        </w:trPr>
        <w:tc>
          <w:tcPr>
            <w:tcW w:w="1714" w:type="pct"/>
            <w:tcBorders>
              <w:top w:val="nil"/>
              <w:left w:val="nil"/>
              <w:right w:val="nil"/>
            </w:tcBorders>
            <w:shd w:val="clear" w:color="auto" w:fill="FFFFFF"/>
            <w:tcMar>
              <w:left w:w="10" w:type="dxa"/>
              <w:right w:w="10" w:type="dxa"/>
            </w:tcMar>
          </w:tcPr>
          <w:p w14:paraId="5DE71F38" w14:textId="77777777" w:rsidR="009B45E0" w:rsidRPr="00332E9D" w:rsidRDefault="009B45E0" w:rsidP="00A457B2">
            <w:pPr>
              <w:keepLines/>
              <w:ind w:left="142"/>
              <w:rPr>
                <w:rFonts w:cs="Arial"/>
                <w:szCs w:val="18"/>
              </w:rPr>
            </w:pPr>
            <w:r w:rsidRPr="00332E9D">
              <w:rPr>
                <w:rFonts w:cs="Arial"/>
                <w:szCs w:val="18"/>
              </w:rPr>
              <w:t>Placebo</w:t>
            </w:r>
          </w:p>
        </w:tc>
        <w:tc>
          <w:tcPr>
            <w:tcW w:w="436" w:type="pct"/>
            <w:tcBorders>
              <w:top w:val="nil"/>
              <w:left w:val="nil"/>
              <w:right w:val="nil"/>
            </w:tcBorders>
            <w:shd w:val="clear" w:color="auto" w:fill="FFFFFF"/>
            <w:tcMar>
              <w:left w:w="10" w:type="dxa"/>
              <w:right w:w="10" w:type="dxa"/>
            </w:tcMar>
          </w:tcPr>
          <w:p w14:paraId="06A59E1C" w14:textId="77777777" w:rsidR="009B45E0" w:rsidRPr="00332E9D" w:rsidRDefault="009B45E0" w:rsidP="00A457B2">
            <w:pPr>
              <w:rPr>
                <w:szCs w:val="22"/>
              </w:rPr>
            </w:pPr>
            <w:r w:rsidRPr="00332E9D">
              <w:rPr>
                <w:szCs w:val="22"/>
              </w:rPr>
              <w:t>136</w:t>
            </w:r>
          </w:p>
        </w:tc>
        <w:tc>
          <w:tcPr>
            <w:tcW w:w="987" w:type="pct"/>
            <w:tcBorders>
              <w:top w:val="nil"/>
              <w:left w:val="nil"/>
              <w:right w:val="nil"/>
            </w:tcBorders>
            <w:shd w:val="clear" w:color="auto" w:fill="FFFFFF"/>
            <w:tcMar>
              <w:left w:w="10" w:type="dxa"/>
              <w:right w:w="10" w:type="dxa"/>
            </w:tcMar>
          </w:tcPr>
          <w:p w14:paraId="1AAF47D4" w14:textId="77777777" w:rsidR="009B45E0" w:rsidRPr="00332E9D" w:rsidRDefault="009B45E0" w:rsidP="00A457B2">
            <w:pPr>
              <w:keepLines/>
            </w:pPr>
            <w:r w:rsidRPr="00332E9D">
              <w:t>-54.6</w:t>
            </w:r>
          </w:p>
        </w:tc>
        <w:tc>
          <w:tcPr>
            <w:tcW w:w="895" w:type="pct"/>
            <w:tcBorders>
              <w:top w:val="nil"/>
              <w:left w:val="nil"/>
              <w:right w:val="nil"/>
            </w:tcBorders>
            <w:shd w:val="clear" w:color="auto" w:fill="FFFFFF"/>
            <w:tcMar>
              <w:left w:w="10" w:type="dxa"/>
              <w:right w:w="10" w:type="dxa"/>
            </w:tcMar>
          </w:tcPr>
          <w:p w14:paraId="51635792" w14:textId="77777777" w:rsidR="009B45E0" w:rsidRPr="00332E9D" w:rsidRDefault="009B45E0" w:rsidP="00A457B2">
            <w:pPr>
              <w:tabs>
                <w:tab w:val="clear" w:pos="567"/>
              </w:tabs>
              <w:rPr>
                <w:szCs w:val="22"/>
              </w:rPr>
            </w:pPr>
            <w:r w:rsidRPr="00332E9D">
              <w:rPr>
                <w:szCs w:val="22"/>
              </w:rPr>
              <w:t>--</w:t>
            </w:r>
          </w:p>
        </w:tc>
        <w:tc>
          <w:tcPr>
            <w:tcW w:w="968" w:type="pct"/>
            <w:tcBorders>
              <w:top w:val="nil"/>
              <w:left w:val="nil"/>
              <w:right w:val="nil"/>
            </w:tcBorders>
            <w:shd w:val="clear" w:color="auto" w:fill="FFFFFF"/>
          </w:tcPr>
          <w:p w14:paraId="6B2367C9" w14:textId="77777777" w:rsidR="009B45E0" w:rsidRPr="00332E9D" w:rsidRDefault="009B45E0" w:rsidP="00A457B2">
            <w:pPr>
              <w:tabs>
                <w:tab w:val="clear" w:pos="567"/>
              </w:tabs>
              <w:rPr>
                <w:szCs w:val="22"/>
              </w:rPr>
            </w:pPr>
            <w:r w:rsidRPr="00332E9D">
              <w:rPr>
                <w:szCs w:val="22"/>
              </w:rPr>
              <w:t>--</w:t>
            </w:r>
          </w:p>
        </w:tc>
      </w:tr>
      <w:tr w:rsidR="009B45E0" w:rsidRPr="00332E9D" w14:paraId="4F25C548" w14:textId="77777777" w:rsidTr="00AC5B0E">
        <w:trPr>
          <w:cantSplit/>
        </w:trPr>
        <w:tc>
          <w:tcPr>
            <w:tcW w:w="1714" w:type="pct"/>
            <w:tcBorders>
              <w:top w:val="nil"/>
              <w:left w:val="nil"/>
              <w:right w:val="nil"/>
            </w:tcBorders>
            <w:shd w:val="clear" w:color="auto" w:fill="FFFFFF"/>
            <w:tcMar>
              <w:left w:w="10" w:type="dxa"/>
              <w:right w:w="10" w:type="dxa"/>
            </w:tcMar>
          </w:tcPr>
          <w:p w14:paraId="7695F379" w14:textId="77777777" w:rsidR="009B45E0" w:rsidRPr="00332E9D" w:rsidRDefault="009B45E0" w:rsidP="00A457B2">
            <w:pPr>
              <w:keepLines/>
              <w:ind w:left="142"/>
              <w:rPr>
                <w:rFonts w:cs="Arial"/>
                <w:szCs w:val="18"/>
              </w:rPr>
            </w:pPr>
            <w:r w:rsidRPr="00332E9D">
              <w:rPr>
                <w:rFonts w:cs="Arial"/>
                <w:szCs w:val="18"/>
              </w:rPr>
              <w:t>OPC 25 mg</w:t>
            </w:r>
          </w:p>
        </w:tc>
        <w:tc>
          <w:tcPr>
            <w:tcW w:w="436" w:type="pct"/>
            <w:tcBorders>
              <w:top w:val="nil"/>
              <w:left w:val="nil"/>
              <w:right w:val="nil"/>
            </w:tcBorders>
            <w:shd w:val="clear" w:color="auto" w:fill="FFFFFF"/>
            <w:tcMar>
              <w:left w:w="10" w:type="dxa"/>
              <w:right w:w="10" w:type="dxa"/>
            </w:tcMar>
          </w:tcPr>
          <w:p w14:paraId="71AA7153" w14:textId="77777777" w:rsidR="009B45E0" w:rsidRPr="00332E9D" w:rsidRDefault="009B45E0" w:rsidP="00A457B2">
            <w:pPr>
              <w:rPr>
                <w:szCs w:val="22"/>
              </w:rPr>
            </w:pPr>
            <w:r w:rsidRPr="00332E9D">
              <w:rPr>
                <w:szCs w:val="22"/>
              </w:rPr>
              <w:t>125</w:t>
            </w:r>
          </w:p>
        </w:tc>
        <w:tc>
          <w:tcPr>
            <w:tcW w:w="987" w:type="pct"/>
            <w:tcBorders>
              <w:top w:val="nil"/>
              <w:left w:val="nil"/>
              <w:right w:val="nil"/>
            </w:tcBorders>
            <w:shd w:val="clear" w:color="auto" w:fill="FFFFFF"/>
            <w:tcMar>
              <w:left w:w="10" w:type="dxa"/>
              <w:right w:w="10" w:type="dxa"/>
            </w:tcMar>
          </w:tcPr>
          <w:p w14:paraId="32CA6D79" w14:textId="77777777" w:rsidR="009B45E0" w:rsidRPr="00332E9D" w:rsidRDefault="009B45E0" w:rsidP="00A457B2">
            <w:pPr>
              <w:keepLines/>
            </w:pPr>
            <w:r w:rsidRPr="00332E9D">
              <w:t>-93.2</w:t>
            </w:r>
          </w:p>
        </w:tc>
        <w:tc>
          <w:tcPr>
            <w:tcW w:w="895" w:type="pct"/>
            <w:tcBorders>
              <w:top w:val="nil"/>
              <w:left w:val="nil"/>
              <w:right w:val="nil"/>
            </w:tcBorders>
            <w:shd w:val="clear" w:color="auto" w:fill="FFFFFF"/>
            <w:tcMar>
              <w:left w:w="10" w:type="dxa"/>
              <w:right w:w="10" w:type="dxa"/>
            </w:tcMar>
          </w:tcPr>
          <w:p w14:paraId="1AD6793A" w14:textId="77777777" w:rsidR="009B45E0" w:rsidRPr="00332E9D" w:rsidRDefault="009B45E0" w:rsidP="00A457B2">
            <w:pPr>
              <w:tabs>
                <w:tab w:val="clear" w:pos="567"/>
              </w:tabs>
              <w:rPr>
                <w:szCs w:val="22"/>
              </w:rPr>
            </w:pPr>
            <w:r w:rsidRPr="00332E9D">
              <w:rPr>
                <w:szCs w:val="22"/>
              </w:rPr>
              <w:t>--</w:t>
            </w:r>
          </w:p>
        </w:tc>
        <w:tc>
          <w:tcPr>
            <w:tcW w:w="968" w:type="pct"/>
            <w:tcBorders>
              <w:top w:val="nil"/>
              <w:left w:val="nil"/>
              <w:right w:val="nil"/>
            </w:tcBorders>
            <w:shd w:val="clear" w:color="auto" w:fill="FFFFFF"/>
          </w:tcPr>
          <w:p w14:paraId="30F55760" w14:textId="77777777" w:rsidR="009B45E0" w:rsidRPr="00332E9D" w:rsidRDefault="009B45E0" w:rsidP="00A457B2">
            <w:pPr>
              <w:tabs>
                <w:tab w:val="clear" w:pos="567"/>
              </w:tabs>
              <w:rPr>
                <w:szCs w:val="22"/>
              </w:rPr>
            </w:pPr>
            <w:r w:rsidRPr="00332E9D">
              <w:rPr>
                <w:szCs w:val="22"/>
              </w:rPr>
              <w:t>--</w:t>
            </w:r>
          </w:p>
        </w:tc>
      </w:tr>
      <w:tr w:rsidR="009B45E0" w:rsidRPr="00332E9D" w14:paraId="377EDD37" w14:textId="77777777" w:rsidTr="00AC5B0E">
        <w:trPr>
          <w:cantSplit/>
        </w:trPr>
        <w:tc>
          <w:tcPr>
            <w:tcW w:w="1714" w:type="pct"/>
            <w:tcBorders>
              <w:top w:val="nil"/>
              <w:left w:val="nil"/>
              <w:right w:val="nil"/>
            </w:tcBorders>
            <w:shd w:val="clear" w:color="auto" w:fill="FFFFFF"/>
            <w:tcMar>
              <w:left w:w="10" w:type="dxa"/>
              <w:right w:w="10" w:type="dxa"/>
            </w:tcMar>
          </w:tcPr>
          <w:p w14:paraId="770E38F7" w14:textId="77777777" w:rsidR="009B45E0" w:rsidRPr="00332E9D" w:rsidRDefault="009B45E0" w:rsidP="00A457B2">
            <w:pPr>
              <w:keepLines/>
              <w:ind w:left="142"/>
              <w:rPr>
                <w:rFonts w:cs="Arial"/>
                <w:szCs w:val="18"/>
              </w:rPr>
            </w:pPr>
            <w:r w:rsidRPr="00332E9D">
              <w:rPr>
                <w:rFonts w:cs="Arial"/>
                <w:szCs w:val="18"/>
              </w:rPr>
              <w:t>OPC 50 mg</w:t>
            </w:r>
          </w:p>
        </w:tc>
        <w:tc>
          <w:tcPr>
            <w:tcW w:w="436" w:type="pct"/>
            <w:tcBorders>
              <w:top w:val="nil"/>
              <w:left w:val="nil"/>
              <w:right w:val="nil"/>
            </w:tcBorders>
            <w:shd w:val="clear" w:color="auto" w:fill="FFFFFF"/>
            <w:tcMar>
              <w:left w:w="10" w:type="dxa"/>
              <w:right w:w="10" w:type="dxa"/>
            </w:tcMar>
          </w:tcPr>
          <w:p w14:paraId="77AC4574" w14:textId="77777777" w:rsidR="009B45E0" w:rsidRPr="00332E9D" w:rsidRDefault="009B45E0" w:rsidP="00A457B2">
            <w:pPr>
              <w:rPr>
                <w:szCs w:val="22"/>
              </w:rPr>
            </w:pPr>
            <w:r w:rsidRPr="00332E9D">
              <w:rPr>
                <w:szCs w:val="22"/>
              </w:rPr>
              <w:t>150</w:t>
            </w:r>
          </w:p>
        </w:tc>
        <w:tc>
          <w:tcPr>
            <w:tcW w:w="987" w:type="pct"/>
            <w:tcBorders>
              <w:top w:val="nil"/>
              <w:left w:val="nil"/>
              <w:right w:val="nil"/>
            </w:tcBorders>
            <w:shd w:val="clear" w:color="auto" w:fill="FFFFFF"/>
            <w:tcMar>
              <w:left w:w="10" w:type="dxa"/>
              <w:right w:w="10" w:type="dxa"/>
            </w:tcMar>
          </w:tcPr>
          <w:p w14:paraId="26F1585F" w14:textId="77777777" w:rsidR="009B45E0" w:rsidRPr="00332E9D" w:rsidRDefault="009B45E0" w:rsidP="00A457B2">
            <w:pPr>
              <w:keepLines/>
            </w:pPr>
            <w:r w:rsidRPr="00332E9D">
              <w:t>-107.0</w:t>
            </w:r>
          </w:p>
        </w:tc>
        <w:tc>
          <w:tcPr>
            <w:tcW w:w="895" w:type="pct"/>
            <w:tcBorders>
              <w:top w:val="nil"/>
              <w:left w:val="nil"/>
              <w:right w:val="nil"/>
            </w:tcBorders>
            <w:shd w:val="clear" w:color="auto" w:fill="FFFFFF"/>
            <w:tcMar>
              <w:left w:w="10" w:type="dxa"/>
              <w:right w:w="10" w:type="dxa"/>
            </w:tcMar>
          </w:tcPr>
          <w:p w14:paraId="13D7F747" w14:textId="77777777" w:rsidR="009B45E0" w:rsidRPr="00332E9D" w:rsidRDefault="009B45E0" w:rsidP="00A457B2">
            <w:pPr>
              <w:tabs>
                <w:tab w:val="clear" w:pos="567"/>
              </w:tabs>
              <w:rPr>
                <w:szCs w:val="22"/>
              </w:rPr>
            </w:pPr>
            <w:r w:rsidRPr="00332E9D">
              <w:rPr>
                <w:szCs w:val="22"/>
              </w:rPr>
              <w:t>--</w:t>
            </w:r>
          </w:p>
        </w:tc>
        <w:tc>
          <w:tcPr>
            <w:tcW w:w="968" w:type="pct"/>
            <w:tcBorders>
              <w:top w:val="nil"/>
              <w:left w:val="nil"/>
              <w:right w:val="nil"/>
            </w:tcBorders>
            <w:shd w:val="clear" w:color="auto" w:fill="FFFFFF"/>
          </w:tcPr>
          <w:p w14:paraId="5F360C33" w14:textId="77777777" w:rsidR="009B45E0" w:rsidRPr="00332E9D" w:rsidRDefault="009B45E0" w:rsidP="00A457B2">
            <w:pPr>
              <w:tabs>
                <w:tab w:val="clear" w:pos="567"/>
              </w:tabs>
              <w:rPr>
                <w:szCs w:val="22"/>
              </w:rPr>
            </w:pPr>
            <w:r w:rsidRPr="00332E9D">
              <w:rPr>
                <w:szCs w:val="22"/>
              </w:rPr>
              <w:t>--</w:t>
            </w:r>
          </w:p>
        </w:tc>
      </w:tr>
      <w:tr w:rsidR="009B45E0" w:rsidRPr="00332E9D" w14:paraId="488D414B" w14:textId="77777777" w:rsidTr="00AC5B0E">
        <w:trPr>
          <w:cantSplit/>
        </w:trPr>
        <w:tc>
          <w:tcPr>
            <w:tcW w:w="1714" w:type="pct"/>
            <w:tcBorders>
              <w:top w:val="nil"/>
              <w:left w:val="nil"/>
              <w:right w:val="nil"/>
            </w:tcBorders>
            <w:shd w:val="clear" w:color="auto" w:fill="FFFFFF"/>
            <w:tcMar>
              <w:left w:w="10" w:type="dxa"/>
              <w:right w:w="10" w:type="dxa"/>
            </w:tcMar>
          </w:tcPr>
          <w:p w14:paraId="18F954E9" w14:textId="77777777" w:rsidR="009B45E0" w:rsidRPr="00332E9D" w:rsidRDefault="009B45E0" w:rsidP="00A457B2">
            <w:pPr>
              <w:keepLines/>
              <w:ind w:left="142"/>
              <w:rPr>
                <w:rFonts w:cs="Arial"/>
                <w:szCs w:val="18"/>
              </w:rPr>
            </w:pPr>
            <w:r w:rsidRPr="00332E9D">
              <w:rPr>
                <w:rFonts w:cs="Arial"/>
                <w:szCs w:val="18"/>
              </w:rPr>
              <w:t>OPC 25 mg – placebo</w:t>
            </w:r>
          </w:p>
        </w:tc>
        <w:tc>
          <w:tcPr>
            <w:tcW w:w="436" w:type="pct"/>
            <w:tcBorders>
              <w:top w:val="nil"/>
              <w:left w:val="nil"/>
              <w:right w:val="nil"/>
            </w:tcBorders>
            <w:shd w:val="clear" w:color="auto" w:fill="FFFFFF"/>
            <w:tcMar>
              <w:left w:w="10" w:type="dxa"/>
              <w:right w:w="10" w:type="dxa"/>
            </w:tcMar>
          </w:tcPr>
          <w:p w14:paraId="303B1E86" w14:textId="77777777" w:rsidR="009B45E0" w:rsidRPr="00332E9D" w:rsidRDefault="009B45E0" w:rsidP="00A457B2">
            <w:pPr>
              <w:rPr>
                <w:szCs w:val="22"/>
              </w:rPr>
            </w:pPr>
            <w:r w:rsidRPr="00332E9D">
              <w:rPr>
                <w:szCs w:val="22"/>
              </w:rPr>
              <w:t>--</w:t>
            </w:r>
          </w:p>
        </w:tc>
        <w:tc>
          <w:tcPr>
            <w:tcW w:w="987" w:type="pct"/>
            <w:tcBorders>
              <w:top w:val="nil"/>
              <w:left w:val="nil"/>
              <w:right w:val="nil"/>
            </w:tcBorders>
            <w:shd w:val="clear" w:color="auto" w:fill="FFFFFF"/>
            <w:tcMar>
              <w:left w:w="10" w:type="dxa"/>
              <w:right w:w="10" w:type="dxa"/>
            </w:tcMar>
          </w:tcPr>
          <w:p w14:paraId="670ED724" w14:textId="77777777" w:rsidR="009B45E0" w:rsidRPr="00332E9D" w:rsidRDefault="009B45E0" w:rsidP="00A457B2">
            <w:pPr>
              <w:keepLines/>
            </w:pPr>
            <w:r w:rsidRPr="00332E9D">
              <w:t>-38.5</w:t>
            </w:r>
          </w:p>
        </w:tc>
        <w:tc>
          <w:tcPr>
            <w:tcW w:w="895" w:type="pct"/>
            <w:tcBorders>
              <w:top w:val="nil"/>
              <w:left w:val="nil"/>
              <w:right w:val="nil"/>
            </w:tcBorders>
            <w:shd w:val="clear" w:color="auto" w:fill="FFFFFF"/>
            <w:tcMar>
              <w:left w:w="10" w:type="dxa"/>
              <w:right w:w="10" w:type="dxa"/>
            </w:tcMar>
          </w:tcPr>
          <w:p w14:paraId="3F605F76" w14:textId="77777777" w:rsidR="009B45E0" w:rsidRPr="00332E9D" w:rsidRDefault="009B45E0" w:rsidP="00A457B2">
            <w:pPr>
              <w:tabs>
                <w:tab w:val="clear" w:pos="567"/>
              </w:tabs>
              <w:rPr>
                <w:szCs w:val="22"/>
              </w:rPr>
            </w:pPr>
            <w:r w:rsidRPr="00332E9D">
              <w:rPr>
                <w:szCs w:val="22"/>
              </w:rPr>
              <w:t>-77.0, -0.1</w:t>
            </w:r>
          </w:p>
        </w:tc>
        <w:tc>
          <w:tcPr>
            <w:tcW w:w="968" w:type="pct"/>
            <w:tcBorders>
              <w:top w:val="nil"/>
              <w:left w:val="nil"/>
              <w:right w:val="nil"/>
            </w:tcBorders>
            <w:shd w:val="clear" w:color="auto" w:fill="FFFFFF"/>
          </w:tcPr>
          <w:p w14:paraId="6F3B1478" w14:textId="77777777" w:rsidR="009B45E0" w:rsidRPr="00332E9D" w:rsidRDefault="009B45E0" w:rsidP="00A457B2">
            <w:pPr>
              <w:tabs>
                <w:tab w:val="clear" w:pos="567"/>
              </w:tabs>
              <w:rPr>
                <w:szCs w:val="22"/>
              </w:rPr>
            </w:pPr>
            <w:r w:rsidRPr="00332E9D">
              <w:rPr>
                <w:szCs w:val="22"/>
              </w:rPr>
              <w:t>0.0900</w:t>
            </w:r>
          </w:p>
        </w:tc>
      </w:tr>
      <w:tr w:rsidR="009B45E0" w:rsidRPr="00332E9D" w14:paraId="2713A950" w14:textId="77777777" w:rsidTr="00AC5B0E">
        <w:trPr>
          <w:cantSplit/>
        </w:trPr>
        <w:tc>
          <w:tcPr>
            <w:tcW w:w="1714" w:type="pct"/>
            <w:tcBorders>
              <w:top w:val="nil"/>
              <w:left w:val="nil"/>
              <w:right w:val="nil"/>
            </w:tcBorders>
            <w:shd w:val="clear" w:color="auto" w:fill="FFFFFF"/>
            <w:tcMar>
              <w:left w:w="10" w:type="dxa"/>
              <w:right w:w="10" w:type="dxa"/>
            </w:tcMar>
          </w:tcPr>
          <w:p w14:paraId="6E0EC444" w14:textId="77777777" w:rsidR="009B45E0" w:rsidRPr="00332E9D" w:rsidRDefault="009B45E0" w:rsidP="00A457B2">
            <w:pPr>
              <w:keepLines/>
              <w:ind w:left="142"/>
              <w:rPr>
                <w:rFonts w:cs="Arial"/>
                <w:szCs w:val="18"/>
              </w:rPr>
            </w:pPr>
            <w:r w:rsidRPr="00332E9D">
              <w:rPr>
                <w:rFonts w:cs="Arial"/>
                <w:szCs w:val="18"/>
              </w:rPr>
              <w:t>OPC 50 mg – placebo</w:t>
            </w:r>
          </w:p>
        </w:tc>
        <w:tc>
          <w:tcPr>
            <w:tcW w:w="436" w:type="pct"/>
            <w:tcBorders>
              <w:top w:val="nil"/>
              <w:left w:val="nil"/>
              <w:right w:val="nil"/>
            </w:tcBorders>
            <w:shd w:val="clear" w:color="auto" w:fill="FFFFFF"/>
            <w:tcMar>
              <w:left w:w="10" w:type="dxa"/>
              <w:right w:w="10" w:type="dxa"/>
            </w:tcMar>
          </w:tcPr>
          <w:p w14:paraId="478C65BB" w14:textId="77777777" w:rsidR="009B45E0" w:rsidRPr="00332E9D" w:rsidRDefault="009B45E0" w:rsidP="00A457B2">
            <w:pPr>
              <w:rPr>
                <w:szCs w:val="22"/>
              </w:rPr>
            </w:pPr>
            <w:r w:rsidRPr="00332E9D">
              <w:rPr>
                <w:szCs w:val="22"/>
              </w:rPr>
              <w:t>--</w:t>
            </w:r>
          </w:p>
        </w:tc>
        <w:tc>
          <w:tcPr>
            <w:tcW w:w="987" w:type="pct"/>
            <w:tcBorders>
              <w:top w:val="nil"/>
              <w:left w:val="nil"/>
              <w:right w:val="nil"/>
            </w:tcBorders>
            <w:shd w:val="clear" w:color="auto" w:fill="FFFFFF"/>
            <w:tcMar>
              <w:left w:w="10" w:type="dxa"/>
              <w:right w:w="10" w:type="dxa"/>
            </w:tcMar>
          </w:tcPr>
          <w:p w14:paraId="702788AE" w14:textId="77777777" w:rsidR="009B45E0" w:rsidRPr="00332E9D" w:rsidRDefault="009B45E0" w:rsidP="00A457B2">
            <w:pPr>
              <w:keepLines/>
            </w:pPr>
            <w:r w:rsidRPr="00332E9D">
              <w:t>-52.4</w:t>
            </w:r>
          </w:p>
        </w:tc>
        <w:tc>
          <w:tcPr>
            <w:tcW w:w="895" w:type="pct"/>
            <w:tcBorders>
              <w:top w:val="nil"/>
              <w:left w:val="nil"/>
              <w:right w:val="nil"/>
            </w:tcBorders>
            <w:shd w:val="clear" w:color="auto" w:fill="FFFFFF"/>
            <w:tcMar>
              <w:left w:w="10" w:type="dxa"/>
              <w:right w:w="10" w:type="dxa"/>
            </w:tcMar>
          </w:tcPr>
          <w:p w14:paraId="37B35B92" w14:textId="77777777" w:rsidR="009B45E0" w:rsidRPr="00332E9D" w:rsidRDefault="009B45E0" w:rsidP="00A457B2">
            <w:pPr>
              <w:tabs>
                <w:tab w:val="clear" w:pos="567"/>
              </w:tabs>
              <w:rPr>
                <w:szCs w:val="22"/>
              </w:rPr>
            </w:pPr>
            <w:r w:rsidRPr="00332E9D">
              <w:rPr>
                <w:szCs w:val="22"/>
              </w:rPr>
              <w:t>-89.1, -15.7</w:t>
            </w:r>
          </w:p>
        </w:tc>
        <w:tc>
          <w:tcPr>
            <w:tcW w:w="968" w:type="pct"/>
            <w:tcBorders>
              <w:top w:val="nil"/>
              <w:left w:val="nil"/>
              <w:right w:val="nil"/>
            </w:tcBorders>
            <w:shd w:val="clear" w:color="auto" w:fill="FFFFFF"/>
          </w:tcPr>
          <w:p w14:paraId="76CCBA4A" w14:textId="77777777" w:rsidR="009B45E0" w:rsidRPr="00332E9D" w:rsidRDefault="009B45E0" w:rsidP="00A457B2">
            <w:pPr>
              <w:tabs>
                <w:tab w:val="clear" w:pos="567"/>
              </w:tabs>
              <w:rPr>
                <w:szCs w:val="22"/>
              </w:rPr>
            </w:pPr>
            <w:r w:rsidRPr="00332E9D">
              <w:rPr>
                <w:szCs w:val="22"/>
              </w:rPr>
              <w:t>0.0101</w:t>
            </w:r>
          </w:p>
        </w:tc>
      </w:tr>
    </w:tbl>
    <w:p w14:paraId="5A2A28EB" w14:textId="2911004B" w:rsidR="006B21E9" w:rsidRPr="00332E9D" w:rsidRDefault="00FF6A79" w:rsidP="00A457B2">
      <w:pPr>
        <w:rPr>
          <w:sz w:val="20"/>
        </w:rPr>
      </w:pPr>
      <w:r>
        <w:rPr>
          <w:sz w:val="20"/>
        </w:rPr>
        <w:t xml:space="preserve">FAS2 = </w:t>
      </w:r>
      <w:r w:rsidRPr="00E150C4">
        <w:rPr>
          <w:sz w:val="20"/>
        </w:rPr>
        <w:t>all treated patients</w:t>
      </w:r>
      <w:r>
        <w:rPr>
          <w:sz w:val="20"/>
        </w:rPr>
        <w:t>; Data shown based in a</w:t>
      </w:r>
      <w:r w:rsidRPr="00C42F2D">
        <w:rPr>
          <w:sz w:val="20"/>
        </w:rPr>
        <w:t xml:space="preserve">n Analysis of Covariance model </w:t>
      </w:r>
      <w:r>
        <w:rPr>
          <w:sz w:val="20"/>
        </w:rPr>
        <w:t>applied to FAS2</w:t>
      </w:r>
      <w:r w:rsidRPr="00E150C4">
        <w:rPr>
          <w:sz w:val="20"/>
        </w:rPr>
        <w:t xml:space="preserve"> </w:t>
      </w:r>
      <w:r>
        <w:rPr>
          <w:sz w:val="20"/>
        </w:rPr>
        <w:t>with</w:t>
      </w:r>
      <w:r w:rsidRPr="00E150C4">
        <w:rPr>
          <w:sz w:val="20"/>
        </w:rPr>
        <w:t xml:space="preserve"> baseline observation carried forward (BOCF) </w:t>
      </w:r>
      <w:r w:rsidRPr="002F5D2F">
        <w:rPr>
          <w:sz w:val="20"/>
        </w:rPr>
        <w:t>for subjects who discontinued and have improved otherwise last observation</w:t>
      </w:r>
      <w:r>
        <w:rPr>
          <w:sz w:val="20"/>
        </w:rPr>
        <w:t xml:space="preserve"> </w:t>
      </w:r>
      <w:r w:rsidRPr="002F5D2F">
        <w:rPr>
          <w:sz w:val="20"/>
        </w:rPr>
        <w:t>under treatment</w:t>
      </w:r>
      <w:r>
        <w:rPr>
          <w:sz w:val="20"/>
        </w:rPr>
        <w:t xml:space="preserve"> was applied (LOCF); </w:t>
      </w:r>
      <w:r w:rsidR="006B21E9" w:rsidRPr="00332E9D">
        <w:rPr>
          <w:sz w:val="20"/>
        </w:rPr>
        <w:t xml:space="preserve">CI = confidence interval; LS mean = least square mean; N = number of non-missing values; OPC = opicapone. </w:t>
      </w:r>
    </w:p>
    <w:p w14:paraId="0E02E3A4" w14:textId="53B37369" w:rsidR="00E55E11" w:rsidRPr="00332E9D" w:rsidRDefault="00E55E11" w:rsidP="00A457B2">
      <w:pPr>
        <w:tabs>
          <w:tab w:val="clear" w:pos="567"/>
          <w:tab w:val="left" w:pos="851"/>
        </w:tabs>
        <w:rPr>
          <w:b/>
        </w:rPr>
      </w:pPr>
    </w:p>
    <w:p w14:paraId="4FECDA4B" w14:textId="265F6C1F" w:rsidR="006B21E9" w:rsidRPr="00332E9D" w:rsidRDefault="006B21E9" w:rsidP="00A457B2">
      <w:pPr>
        <w:ind w:left="992" w:hanging="992"/>
        <w:rPr>
          <w:b/>
        </w:rPr>
      </w:pPr>
      <w:r w:rsidRPr="00332E9D">
        <w:rPr>
          <w:b/>
        </w:rPr>
        <w:t>Table 3 – OFF-time responder rates at endpoint</w:t>
      </w:r>
      <w:r w:rsidR="00FA426F">
        <w:rPr>
          <w:b/>
        </w:rPr>
        <w:t xml:space="preserve"> (</w:t>
      </w:r>
      <w:r w:rsidR="00FF6A79">
        <w:rPr>
          <w:b/>
        </w:rPr>
        <w:t>FAS2</w:t>
      </w:r>
      <w:r w:rsidR="00FA426F">
        <w:rPr>
          <w:b/>
        </w:rPr>
        <w:t>)</w:t>
      </w:r>
    </w:p>
    <w:tbl>
      <w:tblPr>
        <w:tblW w:w="5005" w:type="pct"/>
        <w:tblCellMar>
          <w:left w:w="0" w:type="dxa"/>
          <w:right w:w="0" w:type="dxa"/>
        </w:tblCellMar>
        <w:tblLook w:val="0000" w:firstRow="0" w:lastRow="0" w:firstColumn="0" w:lastColumn="0" w:noHBand="0" w:noVBand="0"/>
      </w:tblPr>
      <w:tblGrid>
        <w:gridCol w:w="2009"/>
        <w:gridCol w:w="1201"/>
        <w:gridCol w:w="1467"/>
        <w:gridCol w:w="1469"/>
        <w:gridCol w:w="1467"/>
        <w:gridCol w:w="1467"/>
      </w:tblGrid>
      <w:tr w:rsidR="006B21E9" w:rsidRPr="00332E9D" w14:paraId="1A39E6A1" w14:textId="77777777" w:rsidTr="00AC5B0E">
        <w:trPr>
          <w:cantSplit/>
          <w:tblHeader/>
        </w:trPr>
        <w:tc>
          <w:tcPr>
            <w:tcW w:w="1106" w:type="pct"/>
            <w:tcBorders>
              <w:top w:val="single" w:sz="12" w:space="0" w:color="auto"/>
              <w:left w:val="nil"/>
              <w:bottom w:val="single" w:sz="12" w:space="0" w:color="auto"/>
              <w:right w:val="nil"/>
            </w:tcBorders>
            <w:shd w:val="clear" w:color="auto" w:fill="FFFFFF"/>
            <w:tcMar>
              <w:left w:w="10" w:type="dxa"/>
              <w:right w:w="10" w:type="dxa"/>
            </w:tcMar>
          </w:tcPr>
          <w:p w14:paraId="4C7F6269" w14:textId="77777777" w:rsidR="006B21E9" w:rsidRPr="00332E9D" w:rsidRDefault="006B21E9" w:rsidP="00A457B2">
            <w:pPr>
              <w:pStyle w:val="TableHeader-11pt"/>
              <w:keepNext w:val="0"/>
              <w:spacing w:before="0" w:after="0"/>
            </w:pPr>
            <w:r w:rsidRPr="00332E9D">
              <w:t>Response type</w:t>
            </w:r>
          </w:p>
        </w:tc>
        <w:tc>
          <w:tcPr>
            <w:tcW w:w="661" w:type="pct"/>
            <w:tcBorders>
              <w:top w:val="single" w:sz="12" w:space="0" w:color="auto"/>
              <w:left w:val="nil"/>
              <w:bottom w:val="single" w:sz="12" w:space="0" w:color="auto"/>
              <w:right w:val="nil"/>
            </w:tcBorders>
            <w:shd w:val="clear" w:color="auto" w:fill="FFFFFF"/>
            <w:tcMar>
              <w:left w:w="10" w:type="dxa"/>
              <w:right w:w="10" w:type="dxa"/>
            </w:tcMar>
          </w:tcPr>
          <w:p w14:paraId="4DEF36F4" w14:textId="77777777" w:rsidR="006B21E9" w:rsidRPr="00332E9D" w:rsidRDefault="006B21E9" w:rsidP="00A457B2">
            <w:pPr>
              <w:pStyle w:val="TableHeader-11pt"/>
              <w:keepNext w:val="0"/>
              <w:spacing w:before="0" w:after="0"/>
              <w:rPr>
                <w:bCs/>
              </w:rPr>
            </w:pPr>
            <w:r w:rsidRPr="00332E9D">
              <w:rPr>
                <w:bCs/>
              </w:rPr>
              <w:t>Placebo</w:t>
            </w:r>
            <w:r w:rsidRPr="00332E9D">
              <w:rPr>
                <w:bCs/>
              </w:rPr>
              <w:br/>
              <w:t>(N=121)</w:t>
            </w:r>
          </w:p>
        </w:tc>
        <w:tc>
          <w:tcPr>
            <w:tcW w:w="808" w:type="pct"/>
            <w:tcBorders>
              <w:top w:val="single" w:sz="12" w:space="0" w:color="auto"/>
              <w:left w:val="nil"/>
              <w:bottom w:val="single" w:sz="12" w:space="0" w:color="auto"/>
              <w:right w:val="nil"/>
            </w:tcBorders>
            <w:shd w:val="clear" w:color="auto" w:fill="FFFFFF"/>
          </w:tcPr>
          <w:p w14:paraId="6D1BFC30" w14:textId="77777777" w:rsidR="006B21E9" w:rsidRPr="00332E9D" w:rsidRDefault="006B21E9" w:rsidP="00A457B2">
            <w:pPr>
              <w:tabs>
                <w:tab w:val="clear" w:pos="567"/>
              </w:tabs>
              <w:spacing w:line="240" w:lineRule="auto"/>
              <w:rPr>
                <w:rFonts w:ascii="Times New Roman Bold" w:hAnsi="Times New Roman Bold"/>
                <w:b/>
                <w:bCs/>
                <w:szCs w:val="24"/>
              </w:rPr>
            </w:pPr>
            <w:r w:rsidRPr="00332E9D">
              <w:rPr>
                <w:rFonts w:ascii="Times New Roman Bold" w:hAnsi="Times New Roman Bold"/>
                <w:b/>
                <w:bCs/>
                <w:szCs w:val="24"/>
              </w:rPr>
              <w:t>Entacapone</w:t>
            </w:r>
          </w:p>
          <w:p w14:paraId="65A6BD90" w14:textId="77777777" w:rsidR="006B21E9" w:rsidRPr="00332E9D" w:rsidRDefault="006B21E9" w:rsidP="00A457B2">
            <w:pPr>
              <w:pStyle w:val="TableHeader-11pt"/>
              <w:keepNext w:val="0"/>
              <w:spacing w:before="0" w:after="0"/>
              <w:rPr>
                <w:bCs/>
              </w:rPr>
            </w:pPr>
            <w:r w:rsidRPr="00332E9D">
              <w:rPr>
                <w:bCs/>
              </w:rPr>
              <w:t>(N=122)</w:t>
            </w:r>
          </w:p>
        </w:tc>
        <w:tc>
          <w:tcPr>
            <w:tcW w:w="809" w:type="pct"/>
            <w:tcBorders>
              <w:top w:val="single" w:sz="12" w:space="0" w:color="auto"/>
              <w:left w:val="nil"/>
              <w:bottom w:val="single" w:sz="12" w:space="0" w:color="auto"/>
              <w:right w:val="nil"/>
            </w:tcBorders>
            <w:shd w:val="clear" w:color="auto" w:fill="FFFFFF"/>
            <w:tcMar>
              <w:left w:w="10" w:type="dxa"/>
              <w:right w:w="10" w:type="dxa"/>
            </w:tcMar>
          </w:tcPr>
          <w:p w14:paraId="48C32E87" w14:textId="77777777" w:rsidR="006B21E9" w:rsidRPr="00332E9D" w:rsidRDefault="006B21E9" w:rsidP="00A457B2">
            <w:pPr>
              <w:pStyle w:val="TableHeader-11pt"/>
              <w:keepNext w:val="0"/>
              <w:spacing w:before="0" w:after="0"/>
              <w:rPr>
                <w:bCs/>
              </w:rPr>
            </w:pPr>
            <w:r w:rsidRPr="00332E9D">
              <w:rPr>
                <w:bCs/>
              </w:rPr>
              <w:t>OPC 5 mg</w:t>
            </w:r>
            <w:r w:rsidRPr="00332E9D">
              <w:rPr>
                <w:bCs/>
              </w:rPr>
              <w:br/>
              <w:t>(N=122)</w:t>
            </w:r>
          </w:p>
        </w:tc>
        <w:tc>
          <w:tcPr>
            <w:tcW w:w="808" w:type="pct"/>
            <w:tcBorders>
              <w:top w:val="single" w:sz="12" w:space="0" w:color="auto"/>
              <w:left w:val="nil"/>
              <w:bottom w:val="single" w:sz="12" w:space="0" w:color="auto"/>
              <w:right w:val="nil"/>
            </w:tcBorders>
            <w:shd w:val="clear" w:color="auto" w:fill="FFFFFF"/>
          </w:tcPr>
          <w:p w14:paraId="02DCDC7F" w14:textId="77777777" w:rsidR="006B21E9" w:rsidRPr="00332E9D" w:rsidRDefault="006B21E9" w:rsidP="00A457B2">
            <w:pPr>
              <w:pStyle w:val="TableHeader-11pt"/>
              <w:keepNext w:val="0"/>
              <w:spacing w:before="0" w:after="0"/>
              <w:rPr>
                <w:bCs/>
              </w:rPr>
            </w:pPr>
            <w:r w:rsidRPr="00332E9D">
              <w:rPr>
                <w:bCs/>
              </w:rPr>
              <w:t>OPC 25 mg</w:t>
            </w:r>
            <w:r w:rsidRPr="00332E9D">
              <w:rPr>
                <w:bCs/>
              </w:rPr>
              <w:br/>
              <w:t>(N=119)</w:t>
            </w:r>
          </w:p>
        </w:tc>
        <w:tc>
          <w:tcPr>
            <w:tcW w:w="808" w:type="pct"/>
            <w:tcBorders>
              <w:top w:val="single" w:sz="12" w:space="0" w:color="auto"/>
              <w:left w:val="nil"/>
              <w:bottom w:val="single" w:sz="12" w:space="0" w:color="auto"/>
              <w:right w:val="nil"/>
            </w:tcBorders>
            <w:shd w:val="clear" w:color="auto" w:fill="FFFFFF"/>
          </w:tcPr>
          <w:p w14:paraId="6E039361" w14:textId="77777777" w:rsidR="006B21E9" w:rsidRPr="00332E9D" w:rsidRDefault="006B21E9" w:rsidP="00A457B2">
            <w:pPr>
              <w:pStyle w:val="TableHeader-11pt"/>
              <w:keepNext w:val="0"/>
              <w:spacing w:before="0" w:after="0"/>
              <w:rPr>
                <w:bCs/>
              </w:rPr>
            </w:pPr>
            <w:r w:rsidRPr="00332E9D">
              <w:rPr>
                <w:bCs/>
              </w:rPr>
              <w:t>OPC 50 mg</w:t>
            </w:r>
            <w:r w:rsidRPr="00332E9D">
              <w:rPr>
                <w:bCs/>
              </w:rPr>
              <w:br/>
              <w:t>(N=115)</w:t>
            </w:r>
          </w:p>
        </w:tc>
      </w:tr>
      <w:tr w:rsidR="006B21E9" w:rsidRPr="00332E9D" w14:paraId="5F557852" w14:textId="77777777" w:rsidTr="00AC5B0E">
        <w:trPr>
          <w:cantSplit/>
        </w:trPr>
        <w:tc>
          <w:tcPr>
            <w:tcW w:w="1106" w:type="pct"/>
            <w:tcBorders>
              <w:left w:val="nil"/>
              <w:bottom w:val="nil"/>
              <w:right w:val="nil"/>
            </w:tcBorders>
            <w:shd w:val="clear" w:color="auto" w:fill="FFFFFF"/>
            <w:tcMar>
              <w:left w:w="10" w:type="dxa"/>
              <w:right w:w="10" w:type="dxa"/>
            </w:tcMar>
          </w:tcPr>
          <w:p w14:paraId="3A5178BE" w14:textId="77777777" w:rsidR="006B21E9" w:rsidRPr="00332E9D" w:rsidRDefault="006B21E9" w:rsidP="00A457B2">
            <w:pPr>
              <w:pStyle w:val="TableText10pt"/>
              <w:rPr>
                <w:b/>
                <w:sz w:val="22"/>
                <w:u w:val="single"/>
              </w:rPr>
            </w:pPr>
            <w:r w:rsidRPr="00332E9D">
              <w:rPr>
                <w:b/>
                <w:sz w:val="22"/>
                <w:u w:val="single"/>
              </w:rPr>
              <w:t>Study 1</w:t>
            </w:r>
          </w:p>
        </w:tc>
        <w:tc>
          <w:tcPr>
            <w:tcW w:w="661" w:type="pct"/>
            <w:tcBorders>
              <w:left w:val="nil"/>
              <w:bottom w:val="nil"/>
              <w:right w:val="nil"/>
            </w:tcBorders>
            <w:shd w:val="clear" w:color="auto" w:fill="FFFFFF"/>
            <w:tcMar>
              <w:left w:w="10" w:type="dxa"/>
              <w:right w:w="10" w:type="dxa"/>
            </w:tcMar>
          </w:tcPr>
          <w:p w14:paraId="6291EB16" w14:textId="77777777" w:rsidR="006B21E9" w:rsidRPr="00332E9D" w:rsidRDefault="006B21E9" w:rsidP="00A457B2">
            <w:pPr>
              <w:adjustRightInd w:val="0"/>
              <w:rPr>
                <w:rFonts w:ascii="Arial" w:hAnsi="Arial" w:cs="Arial"/>
                <w:b/>
                <w:szCs w:val="18"/>
                <w:u w:val="single"/>
              </w:rPr>
            </w:pPr>
          </w:p>
        </w:tc>
        <w:tc>
          <w:tcPr>
            <w:tcW w:w="808" w:type="pct"/>
            <w:tcBorders>
              <w:left w:val="nil"/>
              <w:bottom w:val="nil"/>
              <w:right w:val="nil"/>
            </w:tcBorders>
            <w:shd w:val="clear" w:color="auto" w:fill="FFFFFF"/>
          </w:tcPr>
          <w:p w14:paraId="12F49192" w14:textId="77777777" w:rsidR="006B21E9" w:rsidRPr="00332E9D" w:rsidRDefault="006B21E9" w:rsidP="00A457B2">
            <w:pPr>
              <w:adjustRightInd w:val="0"/>
              <w:rPr>
                <w:rFonts w:ascii="Arial" w:hAnsi="Arial" w:cs="Arial"/>
                <w:b/>
                <w:szCs w:val="18"/>
                <w:u w:val="single"/>
              </w:rPr>
            </w:pPr>
          </w:p>
        </w:tc>
        <w:tc>
          <w:tcPr>
            <w:tcW w:w="809" w:type="pct"/>
            <w:tcBorders>
              <w:left w:val="nil"/>
              <w:bottom w:val="nil"/>
              <w:right w:val="nil"/>
            </w:tcBorders>
            <w:shd w:val="clear" w:color="auto" w:fill="FFFFFF"/>
            <w:tcMar>
              <w:left w:w="10" w:type="dxa"/>
              <w:right w:w="10" w:type="dxa"/>
            </w:tcMar>
          </w:tcPr>
          <w:p w14:paraId="4B815B11" w14:textId="77777777" w:rsidR="006B21E9" w:rsidRPr="00332E9D" w:rsidRDefault="006B21E9" w:rsidP="00A457B2">
            <w:pPr>
              <w:adjustRightInd w:val="0"/>
              <w:rPr>
                <w:rFonts w:ascii="Arial" w:hAnsi="Arial" w:cs="Arial"/>
                <w:b/>
                <w:szCs w:val="18"/>
                <w:u w:val="single"/>
              </w:rPr>
            </w:pPr>
          </w:p>
        </w:tc>
        <w:tc>
          <w:tcPr>
            <w:tcW w:w="808" w:type="pct"/>
            <w:tcBorders>
              <w:left w:val="nil"/>
              <w:bottom w:val="nil"/>
              <w:right w:val="nil"/>
            </w:tcBorders>
            <w:shd w:val="clear" w:color="auto" w:fill="FFFFFF"/>
          </w:tcPr>
          <w:p w14:paraId="3C8F6A86" w14:textId="77777777" w:rsidR="006B21E9" w:rsidRPr="00332E9D" w:rsidRDefault="006B21E9" w:rsidP="00A457B2">
            <w:pPr>
              <w:adjustRightInd w:val="0"/>
              <w:rPr>
                <w:rFonts w:ascii="Arial" w:hAnsi="Arial" w:cs="Arial"/>
                <w:b/>
                <w:szCs w:val="18"/>
                <w:u w:val="single"/>
              </w:rPr>
            </w:pPr>
          </w:p>
        </w:tc>
        <w:tc>
          <w:tcPr>
            <w:tcW w:w="808" w:type="pct"/>
            <w:tcBorders>
              <w:left w:val="nil"/>
              <w:bottom w:val="nil"/>
              <w:right w:val="nil"/>
            </w:tcBorders>
            <w:shd w:val="clear" w:color="auto" w:fill="FFFFFF"/>
          </w:tcPr>
          <w:p w14:paraId="64F67E3B" w14:textId="77777777" w:rsidR="006B21E9" w:rsidRPr="00332E9D" w:rsidRDefault="006B21E9" w:rsidP="00A457B2">
            <w:pPr>
              <w:adjustRightInd w:val="0"/>
              <w:rPr>
                <w:rFonts w:ascii="Arial" w:hAnsi="Arial" w:cs="Arial"/>
                <w:b/>
                <w:szCs w:val="18"/>
                <w:u w:val="single"/>
              </w:rPr>
            </w:pPr>
          </w:p>
        </w:tc>
      </w:tr>
      <w:tr w:rsidR="006B21E9" w:rsidRPr="00332E9D" w14:paraId="063DDC72" w14:textId="77777777" w:rsidTr="00AC5B0E">
        <w:trPr>
          <w:cantSplit/>
        </w:trPr>
        <w:tc>
          <w:tcPr>
            <w:tcW w:w="1106" w:type="pct"/>
            <w:tcBorders>
              <w:left w:val="nil"/>
              <w:bottom w:val="nil"/>
              <w:right w:val="nil"/>
            </w:tcBorders>
            <w:shd w:val="clear" w:color="auto" w:fill="FFFFFF"/>
            <w:tcMar>
              <w:left w:w="10" w:type="dxa"/>
              <w:right w:w="10" w:type="dxa"/>
            </w:tcMar>
          </w:tcPr>
          <w:p w14:paraId="6CF5C84A" w14:textId="77777777" w:rsidR="006B21E9" w:rsidRPr="00332E9D" w:rsidRDefault="006B21E9" w:rsidP="00A457B2">
            <w:pPr>
              <w:pStyle w:val="TableText10pt"/>
              <w:rPr>
                <w:b/>
                <w:sz w:val="22"/>
              </w:rPr>
            </w:pPr>
            <w:r w:rsidRPr="00332E9D">
              <w:rPr>
                <w:b/>
                <w:sz w:val="22"/>
              </w:rPr>
              <w:t>OFF-time reduction</w:t>
            </w:r>
          </w:p>
        </w:tc>
        <w:tc>
          <w:tcPr>
            <w:tcW w:w="661" w:type="pct"/>
            <w:tcBorders>
              <w:left w:val="nil"/>
              <w:bottom w:val="nil"/>
              <w:right w:val="nil"/>
            </w:tcBorders>
            <w:shd w:val="clear" w:color="auto" w:fill="FFFFFF"/>
            <w:tcMar>
              <w:left w:w="10" w:type="dxa"/>
              <w:right w:w="10" w:type="dxa"/>
            </w:tcMar>
          </w:tcPr>
          <w:p w14:paraId="2C11AB4E" w14:textId="77777777" w:rsidR="006B21E9" w:rsidRPr="00332E9D" w:rsidRDefault="006B21E9" w:rsidP="00A457B2">
            <w:pPr>
              <w:adjustRightInd w:val="0"/>
              <w:rPr>
                <w:rFonts w:ascii="Arial" w:hAnsi="Arial" w:cs="Arial"/>
                <w:b/>
                <w:szCs w:val="18"/>
              </w:rPr>
            </w:pPr>
          </w:p>
        </w:tc>
        <w:tc>
          <w:tcPr>
            <w:tcW w:w="808" w:type="pct"/>
            <w:tcBorders>
              <w:left w:val="nil"/>
              <w:bottom w:val="nil"/>
              <w:right w:val="nil"/>
            </w:tcBorders>
            <w:shd w:val="clear" w:color="auto" w:fill="FFFFFF"/>
          </w:tcPr>
          <w:p w14:paraId="3CE5A2E2" w14:textId="77777777" w:rsidR="006B21E9" w:rsidRPr="00332E9D" w:rsidRDefault="006B21E9" w:rsidP="00A457B2">
            <w:pPr>
              <w:adjustRightInd w:val="0"/>
              <w:rPr>
                <w:rFonts w:ascii="Arial" w:hAnsi="Arial" w:cs="Arial"/>
                <w:b/>
                <w:szCs w:val="18"/>
              </w:rPr>
            </w:pPr>
          </w:p>
        </w:tc>
        <w:tc>
          <w:tcPr>
            <w:tcW w:w="809" w:type="pct"/>
            <w:tcBorders>
              <w:left w:val="nil"/>
              <w:bottom w:val="nil"/>
              <w:right w:val="nil"/>
            </w:tcBorders>
            <w:shd w:val="clear" w:color="auto" w:fill="FFFFFF"/>
            <w:tcMar>
              <w:left w:w="10" w:type="dxa"/>
              <w:right w:w="10" w:type="dxa"/>
            </w:tcMar>
          </w:tcPr>
          <w:p w14:paraId="50A67FE2" w14:textId="77777777" w:rsidR="006B21E9" w:rsidRPr="00332E9D" w:rsidRDefault="006B21E9" w:rsidP="00A457B2">
            <w:pPr>
              <w:adjustRightInd w:val="0"/>
              <w:rPr>
                <w:rFonts w:ascii="Arial" w:hAnsi="Arial" w:cs="Arial"/>
                <w:b/>
                <w:szCs w:val="18"/>
              </w:rPr>
            </w:pPr>
          </w:p>
        </w:tc>
        <w:tc>
          <w:tcPr>
            <w:tcW w:w="808" w:type="pct"/>
            <w:tcBorders>
              <w:left w:val="nil"/>
              <w:bottom w:val="nil"/>
              <w:right w:val="nil"/>
            </w:tcBorders>
            <w:shd w:val="clear" w:color="auto" w:fill="FFFFFF"/>
          </w:tcPr>
          <w:p w14:paraId="1E84DB64" w14:textId="77777777" w:rsidR="006B21E9" w:rsidRPr="00332E9D" w:rsidRDefault="006B21E9" w:rsidP="00A457B2">
            <w:pPr>
              <w:adjustRightInd w:val="0"/>
              <w:rPr>
                <w:rFonts w:ascii="Arial" w:hAnsi="Arial" w:cs="Arial"/>
                <w:b/>
                <w:szCs w:val="18"/>
              </w:rPr>
            </w:pPr>
          </w:p>
        </w:tc>
        <w:tc>
          <w:tcPr>
            <w:tcW w:w="808" w:type="pct"/>
            <w:tcBorders>
              <w:left w:val="nil"/>
              <w:bottom w:val="nil"/>
              <w:right w:val="nil"/>
            </w:tcBorders>
            <w:shd w:val="clear" w:color="auto" w:fill="FFFFFF"/>
          </w:tcPr>
          <w:p w14:paraId="69E16072" w14:textId="77777777" w:rsidR="006B21E9" w:rsidRPr="00332E9D" w:rsidRDefault="006B21E9" w:rsidP="00A457B2">
            <w:pPr>
              <w:adjustRightInd w:val="0"/>
              <w:rPr>
                <w:rFonts w:ascii="Arial" w:hAnsi="Arial" w:cs="Arial"/>
                <w:b/>
                <w:szCs w:val="18"/>
              </w:rPr>
            </w:pPr>
          </w:p>
        </w:tc>
      </w:tr>
      <w:tr w:rsidR="006B21E9" w:rsidRPr="00332E9D" w14:paraId="143E1F35" w14:textId="77777777" w:rsidTr="00AC5B0E">
        <w:trPr>
          <w:cantSplit/>
        </w:trPr>
        <w:tc>
          <w:tcPr>
            <w:tcW w:w="1106" w:type="pct"/>
            <w:tcBorders>
              <w:top w:val="nil"/>
              <w:left w:val="nil"/>
              <w:bottom w:val="nil"/>
              <w:right w:val="nil"/>
            </w:tcBorders>
            <w:shd w:val="clear" w:color="auto" w:fill="FFFFFF"/>
            <w:tcMar>
              <w:left w:w="10" w:type="dxa"/>
              <w:right w:w="10" w:type="dxa"/>
            </w:tcMar>
          </w:tcPr>
          <w:p w14:paraId="0E3EAB87" w14:textId="77777777" w:rsidR="006B21E9" w:rsidRPr="00332E9D" w:rsidRDefault="006B21E9" w:rsidP="00A457B2">
            <w:pPr>
              <w:pStyle w:val="TableText11pt"/>
              <w:ind w:left="142"/>
              <w:rPr>
                <w:szCs w:val="18"/>
              </w:rPr>
            </w:pPr>
            <w:r w:rsidRPr="00332E9D">
              <w:rPr>
                <w:szCs w:val="18"/>
              </w:rPr>
              <w:t>Responders,</w:t>
            </w:r>
            <w:r w:rsidRPr="00332E9D">
              <w:t xml:space="preserve"> n (%)</w:t>
            </w:r>
          </w:p>
        </w:tc>
        <w:tc>
          <w:tcPr>
            <w:tcW w:w="661" w:type="pct"/>
            <w:tcBorders>
              <w:top w:val="nil"/>
              <w:left w:val="nil"/>
              <w:bottom w:val="nil"/>
              <w:right w:val="nil"/>
            </w:tcBorders>
            <w:shd w:val="clear" w:color="auto" w:fill="FFFFFF"/>
            <w:tcMar>
              <w:left w:w="10" w:type="dxa"/>
              <w:right w:w="10" w:type="dxa"/>
            </w:tcMar>
          </w:tcPr>
          <w:p w14:paraId="154710AB" w14:textId="77777777" w:rsidR="006B21E9" w:rsidRPr="00332E9D" w:rsidRDefault="006B21E9" w:rsidP="00A457B2">
            <w:pPr>
              <w:pStyle w:val="TableText11pt"/>
            </w:pPr>
            <w:r w:rsidRPr="00332E9D">
              <w:t>55 (45.5)</w:t>
            </w:r>
          </w:p>
        </w:tc>
        <w:tc>
          <w:tcPr>
            <w:tcW w:w="808" w:type="pct"/>
            <w:tcBorders>
              <w:top w:val="nil"/>
              <w:left w:val="nil"/>
              <w:bottom w:val="nil"/>
              <w:right w:val="nil"/>
            </w:tcBorders>
            <w:shd w:val="clear" w:color="auto" w:fill="FFFFFF"/>
          </w:tcPr>
          <w:p w14:paraId="6257338E" w14:textId="77777777" w:rsidR="006B21E9" w:rsidRPr="00332E9D" w:rsidRDefault="006B21E9" w:rsidP="00A457B2">
            <w:pPr>
              <w:pStyle w:val="TableText11pt"/>
            </w:pPr>
            <w:r w:rsidRPr="00332E9D">
              <w:t>66 (54.1)</w:t>
            </w:r>
          </w:p>
        </w:tc>
        <w:tc>
          <w:tcPr>
            <w:tcW w:w="809" w:type="pct"/>
            <w:tcBorders>
              <w:top w:val="nil"/>
              <w:left w:val="nil"/>
              <w:bottom w:val="nil"/>
              <w:right w:val="nil"/>
            </w:tcBorders>
            <w:shd w:val="clear" w:color="auto" w:fill="FFFFFF"/>
            <w:tcMar>
              <w:left w:w="10" w:type="dxa"/>
              <w:right w:w="10" w:type="dxa"/>
            </w:tcMar>
          </w:tcPr>
          <w:p w14:paraId="4661BAB5" w14:textId="77777777" w:rsidR="006B21E9" w:rsidRPr="00332E9D" w:rsidRDefault="006B21E9" w:rsidP="00A457B2">
            <w:pPr>
              <w:pStyle w:val="TableText11pt"/>
            </w:pPr>
            <w:r w:rsidRPr="00332E9D">
              <w:t>64 (52.5)</w:t>
            </w:r>
          </w:p>
        </w:tc>
        <w:tc>
          <w:tcPr>
            <w:tcW w:w="808" w:type="pct"/>
            <w:tcBorders>
              <w:top w:val="nil"/>
              <w:left w:val="nil"/>
              <w:bottom w:val="nil"/>
              <w:right w:val="nil"/>
            </w:tcBorders>
            <w:shd w:val="clear" w:color="auto" w:fill="FFFFFF"/>
          </w:tcPr>
          <w:p w14:paraId="2E448FB7" w14:textId="77777777" w:rsidR="006B21E9" w:rsidRPr="00332E9D" w:rsidRDefault="006B21E9" w:rsidP="00A457B2">
            <w:pPr>
              <w:pStyle w:val="TableText11pt"/>
            </w:pPr>
            <w:r w:rsidRPr="00332E9D">
              <w:t>66 (55.5)</w:t>
            </w:r>
          </w:p>
        </w:tc>
        <w:tc>
          <w:tcPr>
            <w:tcW w:w="808" w:type="pct"/>
            <w:tcBorders>
              <w:top w:val="nil"/>
              <w:left w:val="nil"/>
              <w:bottom w:val="nil"/>
              <w:right w:val="nil"/>
            </w:tcBorders>
            <w:shd w:val="clear" w:color="auto" w:fill="FFFFFF"/>
          </w:tcPr>
          <w:p w14:paraId="174A30C8" w14:textId="77777777" w:rsidR="006B21E9" w:rsidRPr="00332E9D" w:rsidRDefault="006B21E9" w:rsidP="00A457B2">
            <w:pPr>
              <w:pStyle w:val="TableText11pt"/>
            </w:pPr>
            <w:r w:rsidRPr="00332E9D">
              <w:t>75 (65.2)</w:t>
            </w:r>
          </w:p>
        </w:tc>
      </w:tr>
      <w:tr w:rsidR="006B21E9" w:rsidRPr="00332E9D" w14:paraId="1EF255CE" w14:textId="77777777" w:rsidTr="00AC5B0E">
        <w:trPr>
          <w:cantSplit/>
        </w:trPr>
        <w:tc>
          <w:tcPr>
            <w:tcW w:w="1106" w:type="pct"/>
            <w:tcBorders>
              <w:left w:val="nil"/>
              <w:bottom w:val="nil"/>
              <w:right w:val="nil"/>
            </w:tcBorders>
            <w:shd w:val="clear" w:color="auto" w:fill="FFFFFF"/>
            <w:tcMar>
              <w:left w:w="10" w:type="dxa"/>
              <w:right w:w="10" w:type="dxa"/>
            </w:tcMar>
          </w:tcPr>
          <w:p w14:paraId="18F184C9" w14:textId="77777777" w:rsidR="006B21E9" w:rsidRPr="00332E9D" w:rsidRDefault="006B21E9" w:rsidP="00A457B2">
            <w:pPr>
              <w:pStyle w:val="TableText10pt"/>
              <w:rPr>
                <w:b/>
                <w:sz w:val="22"/>
                <w:u w:val="single"/>
              </w:rPr>
            </w:pPr>
            <w:r w:rsidRPr="00332E9D">
              <w:rPr>
                <w:b/>
                <w:sz w:val="22"/>
                <w:u w:val="single"/>
              </w:rPr>
              <w:t>Study 2</w:t>
            </w:r>
          </w:p>
        </w:tc>
        <w:tc>
          <w:tcPr>
            <w:tcW w:w="661" w:type="pct"/>
            <w:tcBorders>
              <w:left w:val="nil"/>
              <w:bottom w:val="nil"/>
              <w:right w:val="nil"/>
            </w:tcBorders>
            <w:shd w:val="clear" w:color="auto" w:fill="FFFFFF"/>
            <w:tcMar>
              <w:left w:w="10" w:type="dxa"/>
              <w:right w:w="10" w:type="dxa"/>
            </w:tcMar>
          </w:tcPr>
          <w:p w14:paraId="047FE18C" w14:textId="77777777" w:rsidR="006B21E9" w:rsidRPr="00332E9D" w:rsidRDefault="006B21E9" w:rsidP="00A457B2">
            <w:pPr>
              <w:adjustRightInd w:val="0"/>
              <w:rPr>
                <w:rFonts w:ascii="Arial" w:hAnsi="Arial" w:cs="Arial"/>
                <w:b/>
                <w:szCs w:val="18"/>
                <w:u w:val="single"/>
              </w:rPr>
            </w:pPr>
          </w:p>
        </w:tc>
        <w:tc>
          <w:tcPr>
            <w:tcW w:w="808" w:type="pct"/>
            <w:tcBorders>
              <w:left w:val="nil"/>
              <w:bottom w:val="nil"/>
              <w:right w:val="nil"/>
            </w:tcBorders>
            <w:shd w:val="clear" w:color="auto" w:fill="FFFFFF"/>
          </w:tcPr>
          <w:p w14:paraId="38FC791F" w14:textId="77777777" w:rsidR="006B21E9" w:rsidRPr="00332E9D" w:rsidRDefault="006B21E9" w:rsidP="00A457B2">
            <w:pPr>
              <w:adjustRightInd w:val="0"/>
              <w:rPr>
                <w:rFonts w:ascii="Arial" w:hAnsi="Arial" w:cs="Arial"/>
                <w:b/>
                <w:szCs w:val="18"/>
                <w:u w:val="single"/>
              </w:rPr>
            </w:pPr>
          </w:p>
        </w:tc>
        <w:tc>
          <w:tcPr>
            <w:tcW w:w="809" w:type="pct"/>
            <w:tcBorders>
              <w:left w:val="nil"/>
              <w:bottom w:val="nil"/>
              <w:right w:val="nil"/>
            </w:tcBorders>
            <w:shd w:val="clear" w:color="auto" w:fill="FFFFFF"/>
            <w:tcMar>
              <w:left w:w="10" w:type="dxa"/>
              <w:right w:w="10" w:type="dxa"/>
            </w:tcMar>
          </w:tcPr>
          <w:p w14:paraId="48BF7C1E" w14:textId="77777777" w:rsidR="006B21E9" w:rsidRPr="00332E9D" w:rsidRDefault="006B21E9" w:rsidP="00A457B2">
            <w:pPr>
              <w:adjustRightInd w:val="0"/>
              <w:rPr>
                <w:rFonts w:ascii="Arial" w:hAnsi="Arial" w:cs="Arial"/>
                <w:b/>
                <w:szCs w:val="18"/>
                <w:u w:val="single"/>
              </w:rPr>
            </w:pPr>
          </w:p>
        </w:tc>
        <w:tc>
          <w:tcPr>
            <w:tcW w:w="808" w:type="pct"/>
            <w:tcBorders>
              <w:left w:val="nil"/>
              <w:bottom w:val="nil"/>
              <w:right w:val="nil"/>
            </w:tcBorders>
            <w:shd w:val="clear" w:color="auto" w:fill="FFFFFF"/>
          </w:tcPr>
          <w:p w14:paraId="75096D47" w14:textId="77777777" w:rsidR="006B21E9" w:rsidRPr="00332E9D" w:rsidRDefault="006B21E9" w:rsidP="00A457B2">
            <w:pPr>
              <w:adjustRightInd w:val="0"/>
              <w:rPr>
                <w:rFonts w:ascii="Arial" w:hAnsi="Arial" w:cs="Arial"/>
                <w:b/>
                <w:szCs w:val="18"/>
                <w:u w:val="single"/>
              </w:rPr>
            </w:pPr>
          </w:p>
        </w:tc>
        <w:tc>
          <w:tcPr>
            <w:tcW w:w="808" w:type="pct"/>
            <w:tcBorders>
              <w:left w:val="nil"/>
              <w:bottom w:val="nil"/>
              <w:right w:val="nil"/>
            </w:tcBorders>
            <w:shd w:val="clear" w:color="auto" w:fill="FFFFFF"/>
          </w:tcPr>
          <w:p w14:paraId="05B22998" w14:textId="77777777" w:rsidR="006B21E9" w:rsidRPr="00332E9D" w:rsidRDefault="006B21E9" w:rsidP="00A457B2">
            <w:pPr>
              <w:adjustRightInd w:val="0"/>
              <w:rPr>
                <w:rFonts w:ascii="Arial" w:hAnsi="Arial" w:cs="Arial"/>
                <w:b/>
                <w:szCs w:val="18"/>
                <w:u w:val="single"/>
              </w:rPr>
            </w:pPr>
          </w:p>
        </w:tc>
      </w:tr>
      <w:tr w:rsidR="006B21E9" w:rsidRPr="00332E9D" w14:paraId="564A8AE6" w14:textId="77777777" w:rsidTr="00AC5B0E">
        <w:trPr>
          <w:cantSplit/>
        </w:trPr>
        <w:tc>
          <w:tcPr>
            <w:tcW w:w="1106" w:type="pct"/>
            <w:tcBorders>
              <w:left w:val="nil"/>
              <w:bottom w:val="nil"/>
              <w:right w:val="nil"/>
            </w:tcBorders>
            <w:shd w:val="clear" w:color="auto" w:fill="FFFFFF"/>
            <w:tcMar>
              <w:left w:w="10" w:type="dxa"/>
              <w:right w:w="10" w:type="dxa"/>
            </w:tcMar>
          </w:tcPr>
          <w:p w14:paraId="51D29268" w14:textId="77777777" w:rsidR="006B21E9" w:rsidRPr="00332E9D" w:rsidRDefault="006B21E9" w:rsidP="00A457B2">
            <w:pPr>
              <w:pStyle w:val="TableText10pt"/>
              <w:rPr>
                <w:b/>
                <w:sz w:val="22"/>
              </w:rPr>
            </w:pPr>
            <w:r w:rsidRPr="00332E9D">
              <w:rPr>
                <w:b/>
                <w:sz w:val="22"/>
              </w:rPr>
              <w:t>OFF-time reduction</w:t>
            </w:r>
          </w:p>
        </w:tc>
        <w:tc>
          <w:tcPr>
            <w:tcW w:w="661" w:type="pct"/>
            <w:tcBorders>
              <w:left w:val="nil"/>
              <w:bottom w:val="nil"/>
              <w:right w:val="nil"/>
            </w:tcBorders>
            <w:shd w:val="clear" w:color="auto" w:fill="FFFFFF"/>
            <w:tcMar>
              <w:left w:w="10" w:type="dxa"/>
              <w:right w:w="10" w:type="dxa"/>
            </w:tcMar>
          </w:tcPr>
          <w:p w14:paraId="16478011" w14:textId="77777777" w:rsidR="006B21E9" w:rsidRPr="00332E9D" w:rsidRDefault="006B21E9" w:rsidP="00A457B2">
            <w:pPr>
              <w:adjustRightInd w:val="0"/>
              <w:rPr>
                <w:rFonts w:ascii="Arial" w:hAnsi="Arial" w:cs="Arial"/>
                <w:b/>
                <w:szCs w:val="18"/>
              </w:rPr>
            </w:pPr>
          </w:p>
        </w:tc>
        <w:tc>
          <w:tcPr>
            <w:tcW w:w="808" w:type="pct"/>
            <w:tcBorders>
              <w:left w:val="nil"/>
              <w:bottom w:val="nil"/>
              <w:right w:val="nil"/>
            </w:tcBorders>
            <w:shd w:val="clear" w:color="auto" w:fill="FFFFFF"/>
          </w:tcPr>
          <w:p w14:paraId="5008CF50" w14:textId="77777777" w:rsidR="006B21E9" w:rsidRPr="00332E9D" w:rsidRDefault="006B21E9" w:rsidP="00A457B2">
            <w:pPr>
              <w:adjustRightInd w:val="0"/>
              <w:rPr>
                <w:rFonts w:ascii="Arial" w:hAnsi="Arial" w:cs="Arial"/>
                <w:b/>
                <w:szCs w:val="18"/>
              </w:rPr>
            </w:pPr>
          </w:p>
        </w:tc>
        <w:tc>
          <w:tcPr>
            <w:tcW w:w="809" w:type="pct"/>
            <w:tcBorders>
              <w:left w:val="nil"/>
              <w:bottom w:val="nil"/>
              <w:right w:val="nil"/>
            </w:tcBorders>
            <w:shd w:val="clear" w:color="auto" w:fill="FFFFFF"/>
          </w:tcPr>
          <w:p w14:paraId="7D06004F" w14:textId="77777777" w:rsidR="006B21E9" w:rsidRPr="00332E9D" w:rsidRDefault="006B21E9" w:rsidP="00A457B2">
            <w:pPr>
              <w:adjustRightInd w:val="0"/>
              <w:rPr>
                <w:rFonts w:ascii="Arial" w:hAnsi="Arial" w:cs="Arial"/>
                <w:b/>
                <w:szCs w:val="18"/>
              </w:rPr>
            </w:pPr>
          </w:p>
        </w:tc>
        <w:tc>
          <w:tcPr>
            <w:tcW w:w="808" w:type="pct"/>
            <w:tcBorders>
              <w:left w:val="nil"/>
              <w:bottom w:val="nil"/>
              <w:right w:val="nil"/>
            </w:tcBorders>
            <w:shd w:val="clear" w:color="auto" w:fill="FFFFFF"/>
            <w:tcMar>
              <w:left w:w="10" w:type="dxa"/>
              <w:right w:w="10" w:type="dxa"/>
            </w:tcMar>
          </w:tcPr>
          <w:p w14:paraId="6A46C524" w14:textId="77777777" w:rsidR="006B21E9" w:rsidRPr="00332E9D" w:rsidRDefault="006B21E9" w:rsidP="00A457B2">
            <w:pPr>
              <w:adjustRightInd w:val="0"/>
              <w:rPr>
                <w:rFonts w:ascii="Arial" w:hAnsi="Arial" w:cs="Arial"/>
                <w:b/>
                <w:szCs w:val="18"/>
              </w:rPr>
            </w:pPr>
          </w:p>
        </w:tc>
        <w:tc>
          <w:tcPr>
            <w:tcW w:w="808" w:type="pct"/>
            <w:tcBorders>
              <w:left w:val="nil"/>
              <w:bottom w:val="nil"/>
              <w:right w:val="nil"/>
            </w:tcBorders>
            <w:shd w:val="clear" w:color="auto" w:fill="FFFFFF"/>
            <w:tcMar>
              <w:left w:w="10" w:type="dxa"/>
              <w:right w:w="10" w:type="dxa"/>
            </w:tcMar>
          </w:tcPr>
          <w:p w14:paraId="3805EC64" w14:textId="77777777" w:rsidR="006B21E9" w:rsidRPr="00332E9D" w:rsidRDefault="006B21E9" w:rsidP="00A457B2">
            <w:pPr>
              <w:adjustRightInd w:val="0"/>
              <w:rPr>
                <w:rFonts w:ascii="Arial" w:hAnsi="Arial" w:cs="Arial"/>
                <w:b/>
                <w:szCs w:val="18"/>
              </w:rPr>
            </w:pPr>
          </w:p>
        </w:tc>
      </w:tr>
      <w:tr w:rsidR="006B21E9" w:rsidRPr="00332E9D" w14:paraId="78BBCA42" w14:textId="77777777" w:rsidTr="00AC5B0E">
        <w:trPr>
          <w:cantSplit/>
        </w:trPr>
        <w:tc>
          <w:tcPr>
            <w:tcW w:w="1106" w:type="pct"/>
            <w:tcBorders>
              <w:top w:val="nil"/>
              <w:left w:val="nil"/>
              <w:bottom w:val="nil"/>
              <w:right w:val="nil"/>
            </w:tcBorders>
            <w:shd w:val="clear" w:color="auto" w:fill="FFFFFF"/>
            <w:tcMar>
              <w:left w:w="10" w:type="dxa"/>
              <w:right w:w="10" w:type="dxa"/>
            </w:tcMar>
          </w:tcPr>
          <w:p w14:paraId="04BF79D7" w14:textId="77777777" w:rsidR="006B21E9" w:rsidRPr="00332E9D" w:rsidRDefault="006B21E9" w:rsidP="00A457B2">
            <w:pPr>
              <w:pStyle w:val="TableText11pt"/>
              <w:ind w:left="142"/>
              <w:rPr>
                <w:szCs w:val="18"/>
              </w:rPr>
            </w:pPr>
            <w:r w:rsidRPr="00332E9D">
              <w:rPr>
                <w:szCs w:val="18"/>
              </w:rPr>
              <w:t>Responders,</w:t>
            </w:r>
            <w:r w:rsidRPr="00332E9D">
              <w:t xml:space="preserve"> n (%)</w:t>
            </w:r>
          </w:p>
        </w:tc>
        <w:tc>
          <w:tcPr>
            <w:tcW w:w="661" w:type="pct"/>
            <w:tcBorders>
              <w:top w:val="nil"/>
              <w:left w:val="nil"/>
              <w:bottom w:val="nil"/>
              <w:right w:val="nil"/>
            </w:tcBorders>
            <w:shd w:val="clear" w:color="auto" w:fill="FFFFFF"/>
            <w:tcMar>
              <w:left w:w="10" w:type="dxa"/>
              <w:right w:w="10" w:type="dxa"/>
            </w:tcMar>
          </w:tcPr>
          <w:p w14:paraId="40B1F03E" w14:textId="77777777" w:rsidR="006B21E9" w:rsidRPr="00332E9D" w:rsidRDefault="006B21E9" w:rsidP="00A457B2">
            <w:pPr>
              <w:pStyle w:val="TableText11pt"/>
            </w:pPr>
            <w:r w:rsidRPr="00332E9D">
              <w:t>65 (47.8)</w:t>
            </w:r>
          </w:p>
        </w:tc>
        <w:tc>
          <w:tcPr>
            <w:tcW w:w="808" w:type="pct"/>
            <w:tcBorders>
              <w:top w:val="nil"/>
              <w:left w:val="nil"/>
              <w:bottom w:val="nil"/>
              <w:right w:val="nil"/>
            </w:tcBorders>
            <w:shd w:val="clear" w:color="auto" w:fill="FFFFFF"/>
          </w:tcPr>
          <w:p w14:paraId="055A4AC7" w14:textId="77777777" w:rsidR="006B21E9" w:rsidRPr="00332E9D" w:rsidRDefault="006B21E9" w:rsidP="00A457B2">
            <w:pPr>
              <w:pStyle w:val="TableText11pt"/>
            </w:pPr>
            <w:r w:rsidRPr="00332E9D">
              <w:t>NA</w:t>
            </w:r>
          </w:p>
        </w:tc>
        <w:tc>
          <w:tcPr>
            <w:tcW w:w="809" w:type="pct"/>
            <w:tcBorders>
              <w:top w:val="nil"/>
              <w:left w:val="nil"/>
              <w:bottom w:val="nil"/>
              <w:right w:val="nil"/>
            </w:tcBorders>
            <w:shd w:val="clear" w:color="auto" w:fill="FFFFFF"/>
          </w:tcPr>
          <w:p w14:paraId="73F35602" w14:textId="77777777" w:rsidR="006B21E9" w:rsidRPr="00332E9D" w:rsidRDefault="006B21E9" w:rsidP="00A457B2">
            <w:pPr>
              <w:pStyle w:val="TableText11pt"/>
            </w:pPr>
            <w:r w:rsidRPr="00332E9D">
              <w:t>NA</w:t>
            </w:r>
          </w:p>
        </w:tc>
        <w:tc>
          <w:tcPr>
            <w:tcW w:w="808" w:type="pct"/>
            <w:tcBorders>
              <w:top w:val="nil"/>
              <w:left w:val="nil"/>
              <w:bottom w:val="nil"/>
              <w:right w:val="nil"/>
            </w:tcBorders>
            <w:shd w:val="clear" w:color="auto" w:fill="FFFFFF"/>
            <w:tcMar>
              <w:left w:w="10" w:type="dxa"/>
              <w:right w:w="10" w:type="dxa"/>
            </w:tcMar>
          </w:tcPr>
          <w:p w14:paraId="593780E3" w14:textId="77777777" w:rsidR="006B21E9" w:rsidRPr="00332E9D" w:rsidRDefault="006B21E9" w:rsidP="00A457B2">
            <w:pPr>
              <w:pStyle w:val="TableText11pt"/>
            </w:pPr>
            <w:r w:rsidRPr="00332E9D">
              <w:t>74 (59.2)</w:t>
            </w:r>
          </w:p>
        </w:tc>
        <w:tc>
          <w:tcPr>
            <w:tcW w:w="808" w:type="pct"/>
            <w:tcBorders>
              <w:top w:val="nil"/>
              <w:left w:val="nil"/>
              <w:bottom w:val="nil"/>
              <w:right w:val="nil"/>
            </w:tcBorders>
            <w:shd w:val="clear" w:color="auto" w:fill="FFFFFF"/>
            <w:tcMar>
              <w:left w:w="10" w:type="dxa"/>
              <w:right w:w="10" w:type="dxa"/>
            </w:tcMar>
          </w:tcPr>
          <w:p w14:paraId="41586F8A" w14:textId="77777777" w:rsidR="006B21E9" w:rsidRPr="00332E9D" w:rsidRDefault="006B21E9" w:rsidP="00A457B2">
            <w:pPr>
              <w:pStyle w:val="TableText11pt"/>
            </w:pPr>
            <w:r w:rsidRPr="00332E9D">
              <w:t>89 (59.3)</w:t>
            </w:r>
          </w:p>
        </w:tc>
      </w:tr>
      <w:tr w:rsidR="006B21E9" w:rsidRPr="00332E9D" w14:paraId="03C33C4C" w14:textId="77777777" w:rsidTr="00AC5B0E">
        <w:trPr>
          <w:cantSplit/>
        </w:trPr>
        <w:tc>
          <w:tcPr>
            <w:tcW w:w="1106" w:type="pct"/>
            <w:tcBorders>
              <w:top w:val="nil"/>
              <w:left w:val="nil"/>
              <w:bottom w:val="nil"/>
              <w:right w:val="nil"/>
            </w:tcBorders>
            <w:shd w:val="clear" w:color="auto" w:fill="FFFFFF"/>
            <w:tcMar>
              <w:left w:w="10" w:type="dxa"/>
              <w:right w:w="10" w:type="dxa"/>
            </w:tcMar>
          </w:tcPr>
          <w:p w14:paraId="574B50F8" w14:textId="77777777" w:rsidR="006B21E9" w:rsidRPr="00332E9D" w:rsidRDefault="006B21E9" w:rsidP="00A457B2">
            <w:pPr>
              <w:pStyle w:val="TableText10pt"/>
              <w:rPr>
                <w:rFonts w:ascii="Courier New" w:hAnsi="Courier New" w:cs="Courier New"/>
                <w:sz w:val="22"/>
                <w:szCs w:val="16"/>
              </w:rPr>
            </w:pPr>
            <w:r w:rsidRPr="00332E9D">
              <w:rPr>
                <w:b/>
                <w:sz w:val="22"/>
              </w:rPr>
              <w:t>Difference to placebo</w:t>
            </w:r>
          </w:p>
        </w:tc>
        <w:tc>
          <w:tcPr>
            <w:tcW w:w="661" w:type="pct"/>
            <w:tcBorders>
              <w:top w:val="nil"/>
              <w:left w:val="nil"/>
              <w:bottom w:val="nil"/>
              <w:right w:val="nil"/>
            </w:tcBorders>
            <w:shd w:val="clear" w:color="auto" w:fill="FFFFFF"/>
          </w:tcPr>
          <w:p w14:paraId="7F6E11D5" w14:textId="77777777" w:rsidR="006B21E9" w:rsidRPr="00332E9D" w:rsidRDefault="006B21E9" w:rsidP="00A457B2">
            <w:pPr>
              <w:pStyle w:val="TableText11pt"/>
            </w:pPr>
          </w:p>
        </w:tc>
        <w:tc>
          <w:tcPr>
            <w:tcW w:w="808" w:type="pct"/>
            <w:tcBorders>
              <w:top w:val="nil"/>
              <w:left w:val="nil"/>
              <w:bottom w:val="nil"/>
              <w:right w:val="nil"/>
            </w:tcBorders>
            <w:shd w:val="clear" w:color="auto" w:fill="FFFFFF"/>
          </w:tcPr>
          <w:p w14:paraId="3CAF0D1E" w14:textId="77777777" w:rsidR="006B21E9" w:rsidRPr="00332E9D" w:rsidRDefault="006B21E9" w:rsidP="00A457B2">
            <w:pPr>
              <w:pStyle w:val="TableText11pt"/>
            </w:pPr>
          </w:p>
        </w:tc>
        <w:tc>
          <w:tcPr>
            <w:tcW w:w="809" w:type="pct"/>
            <w:tcBorders>
              <w:top w:val="nil"/>
              <w:left w:val="nil"/>
              <w:bottom w:val="nil"/>
              <w:right w:val="nil"/>
            </w:tcBorders>
            <w:shd w:val="clear" w:color="auto" w:fill="FFFFFF"/>
          </w:tcPr>
          <w:p w14:paraId="229711BD" w14:textId="77777777" w:rsidR="006B21E9" w:rsidRPr="00332E9D" w:rsidRDefault="006B21E9" w:rsidP="00A457B2">
            <w:pPr>
              <w:pStyle w:val="TableText11pt"/>
            </w:pPr>
          </w:p>
        </w:tc>
        <w:tc>
          <w:tcPr>
            <w:tcW w:w="808" w:type="pct"/>
            <w:tcBorders>
              <w:top w:val="nil"/>
              <w:left w:val="nil"/>
              <w:bottom w:val="nil"/>
              <w:right w:val="nil"/>
            </w:tcBorders>
            <w:shd w:val="clear" w:color="auto" w:fill="FFFFFF"/>
          </w:tcPr>
          <w:p w14:paraId="18905156" w14:textId="77777777" w:rsidR="006B21E9" w:rsidRPr="00332E9D" w:rsidRDefault="006B21E9" w:rsidP="00A457B2">
            <w:pPr>
              <w:pStyle w:val="TableText11pt"/>
            </w:pPr>
          </w:p>
        </w:tc>
        <w:tc>
          <w:tcPr>
            <w:tcW w:w="808" w:type="pct"/>
            <w:tcBorders>
              <w:top w:val="nil"/>
              <w:left w:val="nil"/>
              <w:bottom w:val="nil"/>
              <w:right w:val="nil"/>
            </w:tcBorders>
            <w:shd w:val="clear" w:color="auto" w:fill="FFFFFF"/>
          </w:tcPr>
          <w:p w14:paraId="738D0344" w14:textId="77777777" w:rsidR="006B21E9" w:rsidRPr="00332E9D" w:rsidRDefault="006B21E9" w:rsidP="00A457B2">
            <w:pPr>
              <w:pStyle w:val="TableText11pt"/>
            </w:pPr>
          </w:p>
        </w:tc>
      </w:tr>
      <w:tr w:rsidR="006B21E9" w:rsidRPr="00332E9D" w14:paraId="22EC86F8" w14:textId="77777777" w:rsidTr="00AC5B0E">
        <w:trPr>
          <w:cantSplit/>
        </w:trPr>
        <w:tc>
          <w:tcPr>
            <w:tcW w:w="1106" w:type="pct"/>
            <w:tcBorders>
              <w:top w:val="nil"/>
              <w:left w:val="nil"/>
              <w:bottom w:val="nil"/>
              <w:right w:val="nil"/>
            </w:tcBorders>
            <w:shd w:val="clear" w:color="auto" w:fill="FFFFFF"/>
            <w:tcMar>
              <w:left w:w="10" w:type="dxa"/>
              <w:right w:w="10" w:type="dxa"/>
            </w:tcMar>
          </w:tcPr>
          <w:p w14:paraId="73ECD4FF" w14:textId="77777777" w:rsidR="006B21E9" w:rsidRPr="00332E9D" w:rsidRDefault="006B21E9" w:rsidP="00A457B2">
            <w:pPr>
              <w:pStyle w:val="TableText11pt"/>
              <w:ind w:left="142"/>
            </w:pPr>
            <w:r w:rsidRPr="00332E9D">
              <w:t>p-value</w:t>
            </w:r>
          </w:p>
        </w:tc>
        <w:tc>
          <w:tcPr>
            <w:tcW w:w="661" w:type="pct"/>
            <w:tcBorders>
              <w:top w:val="nil"/>
              <w:left w:val="nil"/>
              <w:bottom w:val="nil"/>
              <w:right w:val="nil"/>
            </w:tcBorders>
            <w:shd w:val="clear" w:color="auto" w:fill="FFFFFF"/>
            <w:tcMar>
              <w:left w:w="10" w:type="dxa"/>
              <w:right w:w="10" w:type="dxa"/>
            </w:tcMar>
          </w:tcPr>
          <w:p w14:paraId="5FB42CFA" w14:textId="77777777" w:rsidR="006B21E9" w:rsidRPr="00332E9D" w:rsidRDefault="006B21E9" w:rsidP="00A457B2">
            <w:pPr>
              <w:pStyle w:val="TableText11pt"/>
            </w:pPr>
            <w:r w:rsidRPr="00332E9D">
              <w:t>--</w:t>
            </w:r>
          </w:p>
        </w:tc>
        <w:tc>
          <w:tcPr>
            <w:tcW w:w="808" w:type="pct"/>
            <w:tcBorders>
              <w:top w:val="nil"/>
              <w:left w:val="nil"/>
              <w:bottom w:val="nil"/>
              <w:right w:val="nil"/>
            </w:tcBorders>
            <w:shd w:val="clear" w:color="auto" w:fill="FFFFFF"/>
          </w:tcPr>
          <w:p w14:paraId="1E2E53DB" w14:textId="77777777" w:rsidR="006B21E9" w:rsidRPr="00332E9D" w:rsidRDefault="0005539B" w:rsidP="00A457B2">
            <w:pPr>
              <w:pStyle w:val="TableText11pt"/>
            </w:pPr>
            <w:r w:rsidRPr="00332E9D">
              <w:t>--</w:t>
            </w:r>
          </w:p>
        </w:tc>
        <w:tc>
          <w:tcPr>
            <w:tcW w:w="809" w:type="pct"/>
            <w:tcBorders>
              <w:top w:val="nil"/>
              <w:left w:val="nil"/>
              <w:bottom w:val="nil"/>
              <w:right w:val="nil"/>
            </w:tcBorders>
            <w:shd w:val="clear" w:color="auto" w:fill="FFFFFF"/>
          </w:tcPr>
          <w:p w14:paraId="7253B4A6" w14:textId="77777777" w:rsidR="006B21E9" w:rsidRPr="00332E9D" w:rsidRDefault="0005539B" w:rsidP="00A457B2">
            <w:pPr>
              <w:pStyle w:val="TableText11pt"/>
            </w:pPr>
            <w:r w:rsidRPr="00332E9D">
              <w:t>--</w:t>
            </w:r>
          </w:p>
        </w:tc>
        <w:tc>
          <w:tcPr>
            <w:tcW w:w="808" w:type="pct"/>
            <w:tcBorders>
              <w:top w:val="nil"/>
              <w:left w:val="nil"/>
              <w:bottom w:val="nil"/>
              <w:right w:val="nil"/>
            </w:tcBorders>
            <w:shd w:val="clear" w:color="auto" w:fill="FFFFFF"/>
            <w:tcMar>
              <w:left w:w="10" w:type="dxa"/>
              <w:right w:w="10" w:type="dxa"/>
            </w:tcMar>
          </w:tcPr>
          <w:p w14:paraId="10463812" w14:textId="77777777" w:rsidR="006B21E9" w:rsidRPr="00332E9D" w:rsidRDefault="006B21E9" w:rsidP="00A457B2">
            <w:pPr>
              <w:pStyle w:val="TableText11pt"/>
            </w:pPr>
            <w:r w:rsidRPr="00332E9D">
              <w:t>0.0506</w:t>
            </w:r>
          </w:p>
        </w:tc>
        <w:tc>
          <w:tcPr>
            <w:tcW w:w="808" w:type="pct"/>
            <w:tcBorders>
              <w:top w:val="nil"/>
              <w:left w:val="nil"/>
              <w:bottom w:val="nil"/>
              <w:right w:val="nil"/>
            </w:tcBorders>
            <w:shd w:val="clear" w:color="auto" w:fill="FFFFFF"/>
            <w:tcMar>
              <w:left w:w="10" w:type="dxa"/>
              <w:right w:w="10" w:type="dxa"/>
            </w:tcMar>
          </w:tcPr>
          <w:p w14:paraId="70E1D670" w14:textId="77777777" w:rsidR="006B21E9" w:rsidRPr="00332E9D" w:rsidRDefault="006B21E9" w:rsidP="00A457B2">
            <w:pPr>
              <w:pStyle w:val="TableText11pt"/>
            </w:pPr>
            <w:r w:rsidRPr="00332E9D">
              <w:t>0.0470</w:t>
            </w:r>
          </w:p>
        </w:tc>
      </w:tr>
      <w:tr w:rsidR="006B21E9" w:rsidRPr="00332E9D" w14:paraId="76075E08" w14:textId="77777777" w:rsidTr="009C50C4">
        <w:trPr>
          <w:cantSplit/>
        </w:trPr>
        <w:tc>
          <w:tcPr>
            <w:tcW w:w="1106" w:type="pct"/>
            <w:tcBorders>
              <w:top w:val="nil"/>
              <w:left w:val="nil"/>
              <w:bottom w:val="single" w:sz="12" w:space="0" w:color="auto"/>
              <w:right w:val="nil"/>
            </w:tcBorders>
            <w:shd w:val="clear" w:color="auto" w:fill="FFFFFF"/>
            <w:tcMar>
              <w:left w:w="10" w:type="dxa"/>
              <w:right w:w="10" w:type="dxa"/>
            </w:tcMar>
          </w:tcPr>
          <w:p w14:paraId="67028A5E" w14:textId="77777777" w:rsidR="006B21E9" w:rsidRPr="00332E9D" w:rsidRDefault="006B21E9" w:rsidP="00A457B2">
            <w:pPr>
              <w:pStyle w:val="TableText11pt"/>
              <w:ind w:left="142"/>
            </w:pPr>
            <w:r w:rsidRPr="00332E9D">
              <w:t>(95% CI)</w:t>
            </w:r>
          </w:p>
        </w:tc>
        <w:tc>
          <w:tcPr>
            <w:tcW w:w="661" w:type="pct"/>
            <w:tcBorders>
              <w:top w:val="nil"/>
              <w:left w:val="nil"/>
              <w:bottom w:val="single" w:sz="12" w:space="0" w:color="auto"/>
              <w:right w:val="nil"/>
            </w:tcBorders>
            <w:shd w:val="clear" w:color="auto" w:fill="FFFFFF"/>
            <w:tcMar>
              <w:left w:w="10" w:type="dxa"/>
              <w:right w:w="10" w:type="dxa"/>
            </w:tcMar>
          </w:tcPr>
          <w:p w14:paraId="678333C7" w14:textId="77777777" w:rsidR="006B21E9" w:rsidRPr="00332E9D" w:rsidRDefault="006B21E9" w:rsidP="00A457B2">
            <w:pPr>
              <w:pStyle w:val="TableText11pt"/>
            </w:pPr>
          </w:p>
        </w:tc>
        <w:tc>
          <w:tcPr>
            <w:tcW w:w="808" w:type="pct"/>
            <w:tcBorders>
              <w:top w:val="nil"/>
              <w:left w:val="nil"/>
              <w:bottom w:val="single" w:sz="12" w:space="0" w:color="auto"/>
              <w:right w:val="nil"/>
            </w:tcBorders>
            <w:shd w:val="clear" w:color="auto" w:fill="FFFFFF"/>
          </w:tcPr>
          <w:p w14:paraId="2F664E42" w14:textId="77777777" w:rsidR="006B21E9" w:rsidRPr="00332E9D" w:rsidRDefault="006B21E9" w:rsidP="00A457B2">
            <w:pPr>
              <w:pStyle w:val="TableText11pt"/>
            </w:pPr>
          </w:p>
        </w:tc>
        <w:tc>
          <w:tcPr>
            <w:tcW w:w="809" w:type="pct"/>
            <w:tcBorders>
              <w:top w:val="nil"/>
              <w:left w:val="nil"/>
              <w:bottom w:val="single" w:sz="12" w:space="0" w:color="auto"/>
              <w:right w:val="nil"/>
            </w:tcBorders>
            <w:shd w:val="clear" w:color="auto" w:fill="FFFFFF"/>
          </w:tcPr>
          <w:p w14:paraId="02D50236" w14:textId="77777777" w:rsidR="006B21E9" w:rsidRPr="00332E9D" w:rsidRDefault="006B21E9" w:rsidP="00A457B2">
            <w:pPr>
              <w:pStyle w:val="TableText11pt"/>
            </w:pPr>
          </w:p>
        </w:tc>
        <w:tc>
          <w:tcPr>
            <w:tcW w:w="808" w:type="pct"/>
            <w:tcBorders>
              <w:top w:val="nil"/>
              <w:left w:val="nil"/>
              <w:bottom w:val="single" w:sz="12" w:space="0" w:color="auto"/>
              <w:right w:val="nil"/>
            </w:tcBorders>
            <w:shd w:val="clear" w:color="auto" w:fill="FFFFFF"/>
            <w:tcMar>
              <w:left w:w="10" w:type="dxa"/>
              <w:right w:w="10" w:type="dxa"/>
            </w:tcMar>
          </w:tcPr>
          <w:p w14:paraId="40C288FD" w14:textId="77777777" w:rsidR="006B21E9" w:rsidRPr="00332E9D" w:rsidRDefault="006B21E9" w:rsidP="00A457B2">
            <w:pPr>
              <w:pStyle w:val="TableText11pt"/>
            </w:pPr>
            <w:r w:rsidRPr="00332E9D">
              <w:t>(0.001; 0.242)</w:t>
            </w:r>
          </w:p>
        </w:tc>
        <w:tc>
          <w:tcPr>
            <w:tcW w:w="808" w:type="pct"/>
            <w:tcBorders>
              <w:top w:val="nil"/>
              <w:left w:val="nil"/>
              <w:bottom w:val="single" w:sz="12" w:space="0" w:color="auto"/>
              <w:right w:val="nil"/>
            </w:tcBorders>
            <w:shd w:val="clear" w:color="auto" w:fill="FFFFFF"/>
            <w:tcMar>
              <w:left w:w="10" w:type="dxa"/>
              <w:right w:w="10" w:type="dxa"/>
            </w:tcMar>
          </w:tcPr>
          <w:p w14:paraId="020E34AC" w14:textId="77777777" w:rsidR="006B21E9" w:rsidRPr="00332E9D" w:rsidRDefault="006B21E9" w:rsidP="00A457B2">
            <w:pPr>
              <w:pStyle w:val="TableText11pt"/>
            </w:pPr>
            <w:r w:rsidRPr="00332E9D">
              <w:t>(0.003; 0.232)</w:t>
            </w:r>
          </w:p>
        </w:tc>
      </w:tr>
    </w:tbl>
    <w:p w14:paraId="13AF57EA" w14:textId="7B9B2436" w:rsidR="006B21E9" w:rsidRPr="00332E9D" w:rsidRDefault="00FF6A79" w:rsidP="00A457B2">
      <w:pPr>
        <w:rPr>
          <w:sz w:val="20"/>
        </w:rPr>
      </w:pPr>
      <w:r>
        <w:rPr>
          <w:sz w:val="20"/>
        </w:rPr>
        <w:t xml:space="preserve">FAS2 = </w:t>
      </w:r>
      <w:r w:rsidRPr="00E150C4">
        <w:rPr>
          <w:sz w:val="20"/>
        </w:rPr>
        <w:t>all treated patients</w:t>
      </w:r>
      <w:r>
        <w:rPr>
          <w:sz w:val="20"/>
        </w:rPr>
        <w:t>; Data shown based in a</w:t>
      </w:r>
      <w:r w:rsidRPr="00C42F2D">
        <w:rPr>
          <w:sz w:val="20"/>
        </w:rPr>
        <w:t xml:space="preserve">n Analysis of Covariance model </w:t>
      </w:r>
      <w:r>
        <w:rPr>
          <w:sz w:val="20"/>
        </w:rPr>
        <w:t>applied to FAS2</w:t>
      </w:r>
      <w:r w:rsidRPr="00E150C4">
        <w:rPr>
          <w:sz w:val="20"/>
        </w:rPr>
        <w:t xml:space="preserve"> </w:t>
      </w:r>
      <w:r>
        <w:rPr>
          <w:sz w:val="20"/>
        </w:rPr>
        <w:t>with</w:t>
      </w:r>
      <w:r w:rsidRPr="00E150C4">
        <w:rPr>
          <w:sz w:val="20"/>
        </w:rPr>
        <w:t xml:space="preserve"> baseline observation carried forward (BOCF) </w:t>
      </w:r>
      <w:r w:rsidRPr="002F5D2F">
        <w:rPr>
          <w:sz w:val="20"/>
        </w:rPr>
        <w:t>for subjects who discontinued and have improved otherwise last observation</w:t>
      </w:r>
      <w:r>
        <w:rPr>
          <w:sz w:val="20"/>
        </w:rPr>
        <w:t xml:space="preserve"> </w:t>
      </w:r>
      <w:r w:rsidRPr="002F5D2F">
        <w:rPr>
          <w:sz w:val="20"/>
        </w:rPr>
        <w:t>under treatment</w:t>
      </w:r>
      <w:r>
        <w:rPr>
          <w:sz w:val="20"/>
        </w:rPr>
        <w:t xml:space="preserve"> was applied (LOCF); </w:t>
      </w:r>
      <w:r w:rsidR="006B21E9" w:rsidRPr="00332E9D">
        <w:rPr>
          <w:sz w:val="20"/>
        </w:rPr>
        <w:t>CI = confidence interval; N = total number of patients; n = number of patients with available information; NA = not applicable; OPC = opicapone</w:t>
      </w:r>
    </w:p>
    <w:p w14:paraId="48CC71EA" w14:textId="72B1FFF1" w:rsidR="006B21E9" w:rsidRDefault="006B21E9" w:rsidP="00A457B2">
      <w:pPr>
        <w:rPr>
          <w:i/>
          <w:sz w:val="20"/>
        </w:rPr>
      </w:pPr>
      <w:r w:rsidRPr="00332E9D">
        <w:rPr>
          <w:i/>
          <w:sz w:val="20"/>
        </w:rPr>
        <w:t>Note: A responder was a patient who had a reduction of at least 1 hour in absolute OFF-time (OFF-time responder)</w:t>
      </w:r>
    </w:p>
    <w:p w14:paraId="29E94D5E" w14:textId="5CF8A091" w:rsidR="000D26AA" w:rsidRPr="00332E9D" w:rsidRDefault="000D26AA" w:rsidP="00A457B2">
      <w:pPr>
        <w:rPr>
          <w:i/>
          <w:sz w:val="20"/>
        </w:rPr>
      </w:pPr>
    </w:p>
    <w:p w14:paraId="1C89B884" w14:textId="77777777" w:rsidR="00A457B2" w:rsidRDefault="00A457B2" w:rsidP="00A457B2">
      <w:pPr>
        <w:rPr>
          <w:lang w:eastAsia="de-DE"/>
        </w:rPr>
      </w:pPr>
    </w:p>
    <w:p w14:paraId="01F7D257" w14:textId="3E1A9317" w:rsidR="006B21E9" w:rsidRPr="00332E9D" w:rsidRDefault="006B21E9" w:rsidP="00A457B2">
      <w:pPr>
        <w:rPr>
          <w:rFonts w:eastAsia="SimSun"/>
          <w:szCs w:val="22"/>
          <w:lang w:eastAsia="de-DE"/>
        </w:rPr>
      </w:pPr>
      <w:r w:rsidRPr="00332E9D">
        <w:rPr>
          <w:lang w:eastAsia="de-DE"/>
        </w:rPr>
        <w:t>The results of the open-label (OL) extension studies of 1 year duration in 862 patients who continued treatment from the double-blind studies (Study 1-OL and Study 2-OL) indicated maintenance of the effect achieved during DB study periods. In the OL studies,</w:t>
      </w:r>
      <w:r w:rsidRPr="00332E9D">
        <w:rPr>
          <w:noProof/>
        </w:rPr>
        <w:t xml:space="preserve"> all patients began at a dose of 25 mg opicapone for the first week (7 days), regardless of their prior treatment in the double-blind period. If end-of-dose motor fluctuations were not sufficiently controlled and tolerability allowed, the opicapone dose could be increased to 50 mg. </w:t>
      </w:r>
      <w:r w:rsidRPr="00332E9D">
        <w:rPr>
          <w:rFonts w:eastAsia="SimSun"/>
          <w:szCs w:val="22"/>
          <w:lang w:eastAsia="de-DE"/>
        </w:rPr>
        <w:t xml:space="preserve">If unacceptable dopaminergic adverse events were seen, the levodopa dose was to be adjusted. If not sufficient to manage the adverse events, the </w:t>
      </w:r>
      <w:r w:rsidRPr="00332E9D">
        <w:rPr>
          <w:szCs w:val="22"/>
        </w:rPr>
        <w:t xml:space="preserve">opicapone </w:t>
      </w:r>
      <w:r w:rsidRPr="00332E9D">
        <w:rPr>
          <w:rFonts w:eastAsia="SimSun"/>
          <w:szCs w:val="22"/>
          <w:lang w:eastAsia="de-DE"/>
        </w:rPr>
        <w:t xml:space="preserve">dose could then be down titrated. For other adverse events, the levodopa and/or </w:t>
      </w:r>
      <w:r w:rsidRPr="00332E9D">
        <w:rPr>
          <w:szCs w:val="22"/>
        </w:rPr>
        <w:t xml:space="preserve">opicapone </w:t>
      </w:r>
      <w:r w:rsidRPr="00332E9D">
        <w:rPr>
          <w:rFonts w:eastAsia="SimSun"/>
          <w:szCs w:val="22"/>
          <w:lang w:eastAsia="de-DE"/>
        </w:rPr>
        <w:t>dose could be adjusted.</w:t>
      </w:r>
    </w:p>
    <w:p w14:paraId="294EDBD1" w14:textId="50591A53" w:rsidR="006B21E9" w:rsidRPr="00BC7E99" w:rsidRDefault="00F4401F" w:rsidP="00A457B2">
      <w:pPr>
        <w:pStyle w:val="Heading2"/>
      </w:pPr>
      <w:r w:rsidRPr="00BC7E99">
        <w:t>PHARMACOKINETIC PROPERTIES</w:t>
      </w:r>
    </w:p>
    <w:p w14:paraId="1153C3DB" w14:textId="77777777" w:rsidR="006B21E9" w:rsidRPr="009B78CE" w:rsidRDefault="006B21E9" w:rsidP="00A457B2">
      <w:pPr>
        <w:pStyle w:val="Heading3"/>
      </w:pPr>
      <w:r w:rsidRPr="009B78CE">
        <w:t xml:space="preserve">Absorption </w:t>
      </w:r>
    </w:p>
    <w:p w14:paraId="558D6AA5" w14:textId="77777777" w:rsidR="006B21E9" w:rsidRPr="00332E9D" w:rsidRDefault="006B21E9" w:rsidP="00A457B2">
      <w:pPr>
        <w:numPr>
          <w:ilvl w:val="12"/>
          <w:numId w:val="0"/>
        </w:numPr>
        <w:ind w:right="-2"/>
        <w:rPr>
          <w:u w:val="single"/>
        </w:rPr>
      </w:pPr>
    </w:p>
    <w:p w14:paraId="2B2B8004" w14:textId="5D2067F2" w:rsidR="00FF6A79" w:rsidRDefault="006B21E9" w:rsidP="00A457B2">
      <w:pPr>
        <w:ind w:right="-2"/>
      </w:pPr>
      <w:r>
        <w:t>Pharmacokinetic results</w:t>
      </w:r>
      <w:r w:rsidR="0049572A">
        <w:t xml:space="preserve"> in healthy volunteers</w:t>
      </w:r>
      <w:r>
        <w:t xml:space="preserve"> showed that opicapone is rapidly absorbed, with a </w:t>
      </w:r>
      <w:proofErr w:type="spellStart"/>
      <w:r>
        <w:t>t</w:t>
      </w:r>
      <w:r w:rsidRPr="27FD7482">
        <w:rPr>
          <w:vertAlign w:val="subscript"/>
        </w:rPr>
        <w:t>max</w:t>
      </w:r>
      <w:proofErr w:type="spellEnd"/>
      <w:r>
        <w:t xml:space="preserve"> of </w:t>
      </w:r>
      <w:r w:rsidR="0049572A">
        <w:t xml:space="preserve">0.5 </w:t>
      </w:r>
      <w:r>
        <w:t>h to </w:t>
      </w:r>
      <w:r w:rsidR="0049572A">
        <w:t xml:space="preserve">3.0 </w:t>
      </w:r>
      <w:r>
        <w:t xml:space="preserve">h following once-daily multiple-dose administration </w:t>
      </w:r>
      <w:r w:rsidR="0049572A">
        <w:t xml:space="preserve">of </w:t>
      </w:r>
      <w:r>
        <w:t>50 mg opicapone</w:t>
      </w:r>
      <w:r w:rsidR="000D26AA" w:rsidRPr="000D26AA">
        <w:t xml:space="preserve"> </w:t>
      </w:r>
      <w:r w:rsidR="000D26AA">
        <w:t>under fasted conditions</w:t>
      </w:r>
      <w:r>
        <w:t>.</w:t>
      </w:r>
    </w:p>
    <w:p w14:paraId="2F842930" w14:textId="77777777" w:rsidR="00FF6A79" w:rsidRDefault="00FF6A79" w:rsidP="00A457B2">
      <w:pPr>
        <w:ind w:right="-2"/>
      </w:pPr>
    </w:p>
    <w:p w14:paraId="26A09223" w14:textId="0FBDF474" w:rsidR="00FF6A79" w:rsidRPr="009B78CE" w:rsidRDefault="00FF6A79" w:rsidP="00A457B2">
      <w:r>
        <w:t xml:space="preserve">When a single-dose of 50 mg of opicapone was administered with a high-fat meal, </w:t>
      </w:r>
      <w:proofErr w:type="spellStart"/>
      <w:r>
        <w:t>C</w:t>
      </w:r>
      <w:r w:rsidRPr="006A11D1">
        <w:rPr>
          <w:vertAlign w:val="subscript"/>
        </w:rPr>
        <w:t>max</w:t>
      </w:r>
      <w:proofErr w:type="spellEnd"/>
      <w:r>
        <w:t>, AUC</w:t>
      </w:r>
      <w:r w:rsidRPr="006A11D1">
        <w:rPr>
          <w:vertAlign w:val="subscript"/>
        </w:rPr>
        <w:t>0-t</w:t>
      </w:r>
      <w:r>
        <w:t>, and AUC</w:t>
      </w:r>
      <w:r w:rsidRPr="006A11D1">
        <w:rPr>
          <w:vertAlign w:val="subscript"/>
        </w:rPr>
        <w:t xml:space="preserve">0-∞ </w:t>
      </w:r>
      <w:r>
        <w:t xml:space="preserve">of opicapone significantly decreased around 68%, 53%, and 51%, respectively, in relation to fasted conditions.  When a dose of 50 mg of opicapone under steady-state conditions was administered with a moderate-fat meal, </w:t>
      </w:r>
      <w:proofErr w:type="spellStart"/>
      <w:r>
        <w:t>C</w:t>
      </w:r>
      <w:r w:rsidRPr="00C24521">
        <w:rPr>
          <w:vertAlign w:val="subscript"/>
        </w:rPr>
        <w:t>max</w:t>
      </w:r>
      <w:proofErr w:type="spellEnd"/>
      <w:r>
        <w:t xml:space="preserve"> of opicapone also decreased around 62% in relation to fasted conditions. However, no significant effect was observed on the total plasma exposure (AUC</w:t>
      </w:r>
      <w:r w:rsidRPr="00C24521">
        <w:rPr>
          <w:vertAlign w:val="subscript"/>
        </w:rPr>
        <w:t>0-24</w:t>
      </w:r>
      <w:r>
        <w:t>), neither in the COMT inhibition profile.</w:t>
      </w:r>
      <w:r w:rsidR="006B21E9">
        <w:t xml:space="preserve"> </w:t>
      </w:r>
    </w:p>
    <w:p w14:paraId="3C632751" w14:textId="77777777" w:rsidR="006B21E9" w:rsidRPr="009B78CE" w:rsidRDefault="006B21E9" w:rsidP="00A457B2">
      <w:pPr>
        <w:pStyle w:val="Heading3"/>
      </w:pPr>
      <w:r w:rsidRPr="009B78CE">
        <w:t>Distribution</w:t>
      </w:r>
    </w:p>
    <w:p w14:paraId="42E81E00" w14:textId="77777777" w:rsidR="006B21E9" w:rsidRPr="00332E9D" w:rsidRDefault="006B21E9" w:rsidP="00A457B2">
      <w:pPr>
        <w:numPr>
          <w:ilvl w:val="12"/>
          <w:numId w:val="0"/>
        </w:numPr>
        <w:ind w:right="-2"/>
        <w:rPr>
          <w:u w:val="single"/>
        </w:rPr>
      </w:pPr>
    </w:p>
    <w:p w14:paraId="5DD3BC17" w14:textId="2E6890A2" w:rsidR="006B21E9" w:rsidRPr="00332E9D" w:rsidRDefault="006B21E9" w:rsidP="00A457B2">
      <w:pPr>
        <w:numPr>
          <w:ilvl w:val="12"/>
          <w:numId w:val="0"/>
        </w:numPr>
        <w:ind w:right="-2"/>
        <w:rPr>
          <w:szCs w:val="22"/>
          <w:u w:val="single"/>
        </w:rPr>
      </w:pPr>
      <w:r w:rsidRPr="00332E9D">
        <w:rPr>
          <w:i/>
          <w:iCs/>
          <w:szCs w:val="22"/>
        </w:rPr>
        <w:t xml:space="preserve">In vitro </w:t>
      </w:r>
      <w:r w:rsidRPr="00332E9D">
        <w:rPr>
          <w:szCs w:val="22"/>
        </w:rPr>
        <w:t xml:space="preserve">studies over the opicapone concentration range 0.3 to 30 mcg/mL showed that binding of </w:t>
      </w:r>
      <w:r w:rsidRPr="00332E9D">
        <w:rPr>
          <w:szCs w:val="22"/>
          <w:vertAlign w:val="superscript"/>
        </w:rPr>
        <w:t>14</w:t>
      </w:r>
      <w:r w:rsidRPr="00332E9D">
        <w:rPr>
          <w:szCs w:val="22"/>
        </w:rPr>
        <w:t xml:space="preserve">C-opicapone to human plasma proteins is high (99.9%) and concentration-independent. The binding of </w:t>
      </w:r>
      <w:r w:rsidRPr="00332E9D">
        <w:rPr>
          <w:szCs w:val="22"/>
          <w:vertAlign w:val="superscript"/>
        </w:rPr>
        <w:t>14</w:t>
      </w:r>
      <w:r w:rsidRPr="00332E9D">
        <w:rPr>
          <w:szCs w:val="22"/>
        </w:rPr>
        <w:t>C</w:t>
      </w:r>
      <w:r w:rsidRPr="00332E9D">
        <w:rPr>
          <w:szCs w:val="22"/>
        </w:rPr>
        <w:noBreakHyphen/>
        <w:t xml:space="preserve">opicapone to plasma proteins was unaffected by the presence of warfarin, diazepam, digoxin and tolbutamide, and the binding of </w:t>
      </w:r>
      <w:r w:rsidRPr="00332E9D">
        <w:rPr>
          <w:szCs w:val="22"/>
          <w:vertAlign w:val="superscript"/>
        </w:rPr>
        <w:t>14</w:t>
      </w:r>
      <w:r w:rsidRPr="00332E9D">
        <w:rPr>
          <w:szCs w:val="22"/>
        </w:rPr>
        <w:t>C-warfarin, 2-</w:t>
      </w:r>
      <w:r w:rsidRPr="00332E9D">
        <w:rPr>
          <w:szCs w:val="22"/>
          <w:vertAlign w:val="superscript"/>
        </w:rPr>
        <w:t>14</w:t>
      </w:r>
      <w:r w:rsidRPr="00332E9D">
        <w:rPr>
          <w:szCs w:val="22"/>
        </w:rPr>
        <w:t xml:space="preserve">C-diazepam, </w:t>
      </w:r>
      <w:r w:rsidRPr="00332E9D">
        <w:rPr>
          <w:szCs w:val="22"/>
          <w:vertAlign w:val="superscript"/>
        </w:rPr>
        <w:t>3</w:t>
      </w:r>
      <w:r w:rsidRPr="00332E9D">
        <w:rPr>
          <w:szCs w:val="22"/>
        </w:rPr>
        <w:t xml:space="preserve">H-digoxin and </w:t>
      </w:r>
      <w:r w:rsidRPr="00332E9D">
        <w:rPr>
          <w:szCs w:val="22"/>
          <w:vertAlign w:val="superscript"/>
        </w:rPr>
        <w:t>14</w:t>
      </w:r>
      <w:r w:rsidRPr="00332E9D">
        <w:rPr>
          <w:szCs w:val="22"/>
        </w:rPr>
        <w:t xml:space="preserve">C-tolbutamide was unaffected by the presence of opicapone and opicapone </w:t>
      </w:r>
      <w:r w:rsidR="00A6063A">
        <w:rPr>
          <w:szCs w:val="22"/>
        </w:rPr>
        <w:t>sulfate</w:t>
      </w:r>
      <w:r w:rsidRPr="00332E9D">
        <w:rPr>
          <w:szCs w:val="22"/>
        </w:rPr>
        <w:t>, the major human metabolite.</w:t>
      </w:r>
    </w:p>
    <w:p w14:paraId="1EE3B33F" w14:textId="77777777" w:rsidR="006B21E9" w:rsidRPr="00332E9D" w:rsidRDefault="006B21E9" w:rsidP="00A457B2">
      <w:pPr>
        <w:numPr>
          <w:ilvl w:val="12"/>
          <w:numId w:val="0"/>
        </w:numPr>
        <w:ind w:right="-2"/>
        <w:rPr>
          <w:szCs w:val="22"/>
          <w:u w:val="single"/>
        </w:rPr>
      </w:pPr>
    </w:p>
    <w:p w14:paraId="20603927" w14:textId="77777777" w:rsidR="006B21E9" w:rsidRPr="00332E9D" w:rsidRDefault="006B21E9" w:rsidP="00A457B2">
      <w:pPr>
        <w:numPr>
          <w:ilvl w:val="12"/>
          <w:numId w:val="0"/>
        </w:numPr>
        <w:ind w:right="-2"/>
        <w:rPr>
          <w:szCs w:val="22"/>
        </w:rPr>
      </w:pPr>
      <w:r w:rsidRPr="00332E9D">
        <w:rPr>
          <w:szCs w:val="22"/>
        </w:rPr>
        <w:t>After oral administration, the apparent volume of distribution of opicapone at a dose of 50 mg was 29 L with an inter-subject variability of 36%.</w:t>
      </w:r>
    </w:p>
    <w:p w14:paraId="2F595DC7" w14:textId="77777777" w:rsidR="006B21E9" w:rsidRPr="009B78CE" w:rsidRDefault="006B21E9" w:rsidP="00A457B2">
      <w:pPr>
        <w:pStyle w:val="Heading3"/>
      </w:pPr>
      <w:r w:rsidRPr="009B78CE">
        <w:t>Biotransformation</w:t>
      </w:r>
    </w:p>
    <w:p w14:paraId="126F61BB" w14:textId="77777777" w:rsidR="006B21E9" w:rsidRPr="00332E9D" w:rsidRDefault="006B21E9" w:rsidP="00A457B2"/>
    <w:p w14:paraId="4D96E31D" w14:textId="53C39DF2" w:rsidR="00F8407C" w:rsidRPr="000D26AA" w:rsidRDefault="00153B53" w:rsidP="00A457B2">
      <w:pPr>
        <w:rPr>
          <w:rFonts w:eastAsia="MS Gothic"/>
          <w:kern w:val="32"/>
          <w:szCs w:val="24"/>
          <w:lang w:val="en-US"/>
        </w:rPr>
      </w:pPr>
      <w:proofErr w:type="spellStart"/>
      <w:r>
        <w:rPr>
          <w:szCs w:val="22"/>
        </w:rPr>
        <w:t>Sulfation</w:t>
      </w:r>
      <w:proofErr w:type="spellEnd"/>
      <w:r>
        <w:rPr>
          <w:szCs w:val="22"/>
        </w:rPr>
        <w:t xml:space="preserve"> </w:t>
      </w:r>
      <w:r w:rsidR="006B21E9" w:rsidRPr="00332E9D">
        <w:rPr>
          <w:szCs w:val="22"/>
        </w:rPr>
        <w:t>of opicapone</w:t>
      </w:r>
      <w:r w:rsidR="00AB41E8">
        <w:rPr>
          <w:szCs w:val="22"/>
        </w:rPr>
        <w:t xml:space="preserve"> is the </w:t>
      </w:r>
      <w:r w:rsidR="00FD0DEB">
        <w:rPr>
          <w:szCs w:val="22"/>
        </w:rPr>
        <w:t>primary</w:t>
      </w:r>
      <w:r w:rsidR="006B21E9" w:rsidRPr="00332E9D">
        <w:rPr>
          <w:szCs w:val="22"/>
        </w:rPr>
        <w:t xml:space="preserve"> metabolic pathway in humans, yielding </w:t>
      </w:r>
      <w:r w:rsidR="00B02325">
        <w:rPr>
          <w:szCs w:val="22"/>
        </w:rPr>
        <w:t xml:space="preserve">an </w:t>
      </w:r>
      <w:r w:rsidR="006B21E9" w:rsidRPr="00332E9D">
        <w:rPr>
          <w:szCs w:val="22"/>
        </w:rPr>
        <w:t xml:space="preserve">inactive opicapone </w:t>
      </w:r>
      <w:r w:rsidR="00A27424">
        <w:rPr>
          <w:szCs w:val="22"/>
        </w:rPr>
        <w:t>sulfate</w:t>
      </w:r>
      <w:r w:rsidR="00A27424" w:rsidRPr="00332E9D">
        <w:rPr>
          <w:szCs w:val="22"/>
        </w:rPr>
        <w:t xml:space="preserve"> </w:t>
      </w:r>
      <w:r w:rsidR="006B21E9" w:rsidRPr="00332E9D">
        <w:rPr>
          <w:szCs w:val="22"/>
        </w:rPr>
        <w:t>metabolite</w:t>
      </w:r>
      <w:r w:rsidR="00A46FF6">
        <w:rPr>
          <w:szCs w:val="22"/>
        </w:rPr>
        <w:t xml:space="preserve"> </w:t>
      </w:r>
      <w:r w:rsidR="00B02325">
        <w:rPr>
          <w:szCs w:val="22"/>
        </w:rPr>
        <w:t xml:space="preserve">that </w:t>
      </w:r>
      <w:r w:rsidR="004F25A3">
        <w:t>account</w:t>
      </w:r>
      <w:r w:rsidR="00B02325">
        <w:t>ed</w:t>
      </w:r>
      <w:r w:rsidR="004F25A3">
        <w:t xml:space="preserve"> for  </w:t>
      </w:r>
      <w:r w:rsidR="002456C9">
        <w:t>58.6</w:t>
      </w:r>
      <w:r w:rsidR="00D13422">
        <w:t xml:space="preserve">% </w:t>
      </w:r>
      <w:r w:rsidR="004F25A3">
        <w:t>of the total circulating radioactivity</w:t>
      </w:r>
      <w:r w:rsidR="006B21E9" w:rsidRPr="00332E9D">
        <w:rPr>
          <w:szCs w:val="22"/>
        </w:rPr>
        <w:t>. Other</w:t>
      </w:r>
      <w:r w:rsidR="004F25A3" w:rsidRPr="004F25A3">
        <w:t xml:space="preserve"> </w:t>
      </w:r>
      <w:r w:rsidR="004F25A3">
        <w:t>lesser-abundant</w:t>
      </w:r>
      <w:r w:rsidR="006B21E9" w:rsidRPr="00332E9D">
        <w:rPr>
          <w:szCs w:val="22"/>
        </w:rPr>
        <w:t xml:space="preserve"> metabolic pathways include glucuronidation, methylation</w:t>
      </w:r>
      <w:r w:rsidR="004F25A3" w:rsidRPr="008B24E9">
        <w:t xml:space="preserve"> (by COMT)</w:t>
      </w:r>
      <w:r w:rsidR="004F25A3">
        <w:t xml:space="preserve">, </w:t>
      </w:r>
      <w:r w:rsidR="006B21E9" w:rsidRPr="00332E9D">
        <w:rPr>
          <w:szCs w:val="22"/>
        </w:rPr>
        <w:t>reduction</w:t>
      </w:r>
      <w:r w:rsidR="004F25A3">
        <w:rPr>
          <w:szCs w:val="22"/>
        </w:rPr>
        <w:t xml:space="preserve"> </w:t>
      </w:r>
      <w:r w:rsidR="004F25A3" w:rsidRPr="008B24E9">
        <w:t>and glutathione conjugation</w:t>
      </w:r>
      <w:r w:rsidR="006B21E9" w:rsidRPr="00332E9D">
        <w:rPr>
          <w:szCs w:val="22"/>
        </w:rPr>
        <w:t xml:space="preserve">. </w:t>
      </w:r>
    </w:p>
    <w:p w14:paraId="0C1B5DB8" w14:textId="77777777" w:rsidR="00B02325" w:rsidRDefault="00B02325" w:rsidP="00A457B2">
      <w:pPr>
        <w:tabs>
          <w:tab w:val="left" w:pos="0"/>
        </w:tabs>
        <w:spacing w:line="240" w:lineRule="auto"/>
        <w:rPr>
          <w:rFonts w:ascii="Arial" w:eastAsia="MS Gothic" w:hAnsi="Arial" w:cs="Arial"/>
          <w:b/>
          <w:kern w:val="32"/>
          <w:sz w:val="22"/>
          <w:szCs w:val="26"/>
          <w:lang w:val="en-US"/>
        </w:rPr>
      </w:pPr>
    </w:p>
    <w:p w14:paraId="3B0D4FFE" w14:textId="152C657F" w:rsidR="00836D06" w:rsidRPr="00A46FF6" w:rsidRDefault="006B21E9" w:rsidP="00A457B2">
      <w:r w:rsidRPr="00A46FF6">
        <w:rPr>
          <w:rFonts w:ascii="Arial" w:eastAsia="MS Gothic" w:hAnsi="Arial" w:cs="Arial"/>
          <w:b/>
          <w:kern w:val="32"/>
          <w:sz w:val="22"/>
          <w:szCs w:val="26"/>
          <w:lang w:val="en-US"/>
        </w:rPr>
        <w:t>Elimination</w:t>
      </w:r>
    </w:p>
    <w:p w14:paraId="4C799504" w14:textId="77777777" w:rsidR="006B21E9" w:rsidRPr="00332E9D" w:rsidRDefault="006B21E9" w:rsidP="00A457B2">
      <w:pPr>
        <w:numPr>
          <w:ilvl w:val="12"/>
          <w:numId w:val="0"/>
        </w:numPr>
        <w:rPr>
          <w:sz w:val="20"/>
        </w:rPr>
      </w:pPr>
    </w:p>
    <w:p w14:paraId="681C2C10" w14:textId="2A8C151A" w:rsidR="006B21E9" w:rsidRPr="00332E9D" w:rsidRDefault="006B21E9" w:rsidP="00A457B2">
      <w:pPr>
        <w:rPr>
          <w:bCs/>
        </w:rPr>
      </w:pPr>
      <w:r>
        <w:t xml:space="preserve">In healthy subjects, the opicapone elimination half-life was 0.7 h to </w:t>
      </w:r>
      <w:r w:rsidR="00871D22">
        <w:t xml:space="preserve"> 2.3 </w:t>
      </w:r>
      <w:r>
        <w:t>h following once-daily multiple-dose administration up to 50 mg opicapone.</w:t>
      </w:r>
      <w:r w:rsidR="00A457B2">
        <w:t xml:space="preserve"> </w:t>
      </w:r>
      <w:r w:rsidRPr="00332E9D">
        <w:t xml:space="preserve">Following once-daily multiple oral doses of opicapone in the dose range of 5 to 50 mg, opicapone </w:t>
      </w:r>
      <w:r w:rsidR="00A6063A" w:rsidRPr="00332E9D">
        <w:t>sul</w:t>
      </w:r>
      <w:r w:rsidR="00A6063A">
        <w:t>f</w:t>
      </w:r>
      <w:r w:rsidR="00A6063A" w:rsidRPr="00332E9D">
        <w:t xml:space="preserve">ate </w:t>
      </w:r>
      <w:r w:rsidRPr="00332E9D">
        <w:t xml:space="preserve">presented a long terminal phase with elimination half-life values ranging from </w:t>
      </w:r>
      <w:r w:rsidRPr="00332E9D">
        <w:rPr>
          <w:bCs/>
        </w:rPr>
        <w:t>94 h to  </w:t>
      </w:r>
      <w:r w:rsidR="0049572A">
        <w:rPr>
          <w:bCs/>
        </w:rPr>
        <w:t xml:space="preserve">114 </w:t>
      </w:r>
      <w:r w:rsidRPr="00332E9D">
        <w:rPr>
          <w:bCs/>
        </w:rPr>
        <w:t>h</w:t>
      </w:r>
      <w:r w:rsidRPr="00332E9D">
        <w:t xml:space="preserve"> and, as a consequence of this long terminal elimination half-life, opicapone </w:t>
      </w:r>
      <w:r w:rsidR="00A6063A" w:rsidRPr="00332E9D">
        <w:t>sul</w:t>
      </w:r>
      <w:r w:rsidR="00A6063A">
        <w:t>f</w:t>
      </w:r>
      <w:r w:rsidR="00A6063A" w:rsidRPr="00332E9D">
        <w:t xml:space="preserve">ate </w:t>
      </w:r>
      <w:r w:rsidRPr="00332E9D">
        <w:t xml:space="preserve">presented a high accumulation ratio in plasma, with values close of up to </w:t>
      </w:r>
      <w:r w:rsidRPr="00332E9D">
        <w:rPr>
          <w:bCs/>
        </w:rPr>
        <w:t>6.6.</w:t>
      </w:r>
    </w:p>
    <w:p w14:paraId="1BD3470B" w14:textId="77777777" w:rsidR="006B21E9" w:rsidRPr="00332E9D" w:rsidRDefault="006B21E9" w:rsidP="00A457B2">
      <w:pPr>
        <w:numPr>
          <w:ilvl w:val="12"/>
          <w:numId w:val="0"/>
        </w:numPr>
        <w:rPr>
          <w:szCs w:val="22"/>
          <w:highlight w:val="darkGreen"/>
          <w:u w:val="single"/>
        </w:rPr>
      </w:pPr>
    </w:p>
    <w:p w14:paraId="135933AF" w14:textId="77777777" w:rsidR="006B21E9" w:rsidRPr="00332E9D" w:rsidRDefault="006B21E9" w:rsidP="00A457B2">
      <w:pPr>
        <w:numPr>
          <w:ilvl w:val="12"/>
          <w:numId w:val="0"/>
        </w:numPr>
        <w:ind w:right="-2"/>
        <w:rPr>
          <w:szCs w:val="22"/>
        </w:rPr>
      </w:pPr>
      <w:r w:rsidRPr="00332E9D">
        <w:rPr>
          <w:szCs w:val="22"/>
        </w:rPr>
        <w:t>After oral administration, the apparent total body clearance of opicapone at a dose of 50 mg was 22 L/h, with an inter-subject variability of 45%.</w:t>
      </w:r>
    </w:p>
    <w:p w14:paraId="039446EE" w14:textId="35A548B4" w:rsidR="000D26AA" w:rsidRDefault="000D26AA" w:rsidP="00A457B2">
      <w:pPr>
        <w:pStyle w:val="C-BodyText"/>
      </w:pPr>
      <w:r w:rsidRPr="008B24E9">
        <w:rPr>
          <w:szCs w:val="24"/>
        </w:rPr>
        <w:t>After administration of a single dose of radiolabeled opicapone 100 mg (2 times the recommend</w:t>
      </w:r>
      <w:r w:rsidRPr="00A457B2">
        <w:t>ed dosag</w:t>
      </w:r>
      <w:r w:rsidRPr="008B24E9">
        <w:rPr>
          <w:szCs w:val="24"/>
        </w:rPr>
        <w:t xml:space="preserve">e) to healthy subjects, </w:t>
      </w:r>
      <w:r w:rsidRPr="008B24E9">
        <w:t xml:space="preserve">approximately 70% of the dose was </w:t>
      </w:r>
      <w:r w:rsidRPr="008B24E9">
        <w:rPr>
          <w:szCs w:val="24"/>
        </w:rPr>
        <w:t>recovered in feces (22% as unchanged), 20% in expired air, and 5% in urine (&lt;1% as unchanged)</w:t>
      </w:r>
      <w:r w:rsidRPr="008B24E9">
        <w:t>.</w:t>
      </w:r>
    </w:p>
    <w:p w14:paraId="2EF28C64" w14:textId="3DB89EB8" w:rsidR="006B21E9" w:rsidRPr="009B78CE" w:rsidRDefault="006B21E9" w:rsidP="00A457B2">
      <w:pPr>
        <w:pStyle w:val="Heading3"/>
      </w:pPr>
      <w:r w:rsidRPr="009B78CE">
        <w:t>Linearity/non-linearity</w:t>
      </w:r>
    </w:p>
    <w:p w14:paraId="2A00A309" w14:textId="77777777" w:rsidR="006B21E9" w:rsidRPr="00332E9D" w:rsidRDefault="006B21E9" w:rsidP="00A457B2">
      <w:pPr>
        <w:numPr>
          <w:ilvl w:val="12"/>
          <w:numId w:val="0"/>
        </w:numPr>
        <w:ind w:right="-2"/>
        <w:rPr>
          <w:iCs/>
          <w:szCs w:val="22"/>
          <w:u w:val="single"/>
        </w:rPr>
      </w:pPr>
    </w:p>
    <w:p w14:paraId="757B476A" w14:textId="6EADCABD" w:rsidR="006B21E9" w:rsidRPr="00332E9D" w:rsidRDefault="006B21E9" w:rsidP="00A457B2">
      <w:pPr>
        <w:ind w:right="-2"/>
      </w:pPr>
      <w:r>
        <w:t xml:space="preserve">Opicapone exposure </w:t>
      </w:r>
      <w:r w:rsidR="00515764" w:rsidRPr="00515764">
        <w:t xml:space="preserve">was shown to </w:t>
      </w:r>
      <w:r>
        <w:t xml:space="preserve">increase in a dose proportional manner following once-daily multiple dose administration </w:t>
      </w:r>
      <w:r w:rsidR="00515764" w:rsidRPr="00515764">
        <w:t xml:space="preserve">only </w:t>
      </w:r>
      <w:r>
        <w:t>up to 50 mg opicapone.</w:t>
      </w:r>
    </w:p>
    <w:p w14:paraId="323EF288" w14:textId="77777777" w:rsidR="006B21E9" w:rsidRPr="009B78CE" w:rsidRDefault="006B21E9" w:rsidP="00A457B2">
      <w:pPr>
        <w:pStyle w:val="Heading3"/>
      </w:pPr>
      <w:r w:rsidRPr="009B78CE">
        <w:t>Elderly (≥ 65 years old)</w:t>
      </w:r>
    </w:p>
    <w:p w14:paraId="33EB26F8" w14:textId="77777777" w:rsidR="006B21E9" w:rsidRPr="00332E9D" w:rsidRDefault="006B21E9" w:rsidP="00A457B2">
      <w:pPr>
        <w:numPr>
          <w:ilvl w:val="12"/>
          <w:numId w:val="0"/>
        </w:numPr>
        <w:ind w:right="-2"/>
        <w:rPr>
          <w:iCs/>
          <w:szCs w:val="22"/>
          <w:u w:val="single"/>
        </w:rPr>
      </w:pPr>
    </w:p>
    <w:p w14:paraId="5F42D095" w14:textId="77777777" w:rsidR="006B21E9" w:rsidRPr="00332E9D" w:rsidRDefault="006B21E9" w:rsidP="00A457B2">
      <w:pPr>
        <w:numPr>
          <w:ilvl w:val="12"/>
          <w:numId w:val="0"/>
        </w:numPr>
        <w:ind w:right="-2"/>
        <w:rPr>
          <w:iCs/>
          <w:szCs w:val="22"/>
        </w:rPr>
      </w:pPr>
      <w:r w:rsidRPr="00332E9D">
        <w:rPr>
          <w:iCs/>
          <w:szCs w:val="22"/>
        </w:rPr>
        <w:t xml:space="preserve">The </w:t>
      </w:r>
      <w:r w:rsidRPr="00332E9D">
        <w:rPr>
          <w:rFonts w:eastAsia="SimSun"/>
          <w:szCs w:val="22"/>
          <w:lang w:eastAsia="pt-PT"/>
        </w:rPr>
        <w:t>pharmacokinetics of opicapone was evaluated in elderly subjects (aged 65-78 years old) after 7-day multiple-dose administration of 30</w:t>
      </w:r>
      <w:r w:rsidRPr="00332E9D">
        <w:rPr>
          <w:szCs w:val="22"/>
        </w:rPr>
        <w:t> </w:t>
      </w:r>
      <w:r w:rsidRPr="00332E9D">
        <w:rPr>
          <w:rFonts w:eastAsia="SimSun"/>
          <w:szCs w:val="22"/>
          <w:lang w:eastAsia="pt-PT"/>
        </w:rPr>
        <w:t>mg. An increase in both the rate and extent of systemic exposure was observed for the elderly population when compared to the young population. The S-COMT activity inhibition was significantly increased in elderly subjects.</w:t>
      </w:r>
      <w:r w:rsidRPr="00332E9D">
        <w:rPr>
          <w:color w:val="1F497D"/>
        </w:rPr>
        <w:t xml:space="preserve"> </w:t>
      </w:r>
      <w:r w:rsidRPr="00332E9D">
        <w:rPr>
          <w:rFonts w:eastAsia="SimSun"/>
          <w:szCs w:val="22"/>
          <w:lang w:eastAsia="pt-PT"/>
        </w:rPr>
        <w:t xml:space="preserve">The magnitude of this effect is not considered to be of clinical relevance. </w:t>
      </w:r>
    </w:p>
    <w:p w14:paraId="01A66280" w14:textId="77777777" w:rsidR="006B21E9" w:rsidRPr="009B78CE" w:rsidRDefault="006B21E9" w:rsidP="00A457B2">
      <w:pPr>
        <w:pStyle w:val="Heading3"/>
        <w:rPr>
          <w:lang w:eastAsia="pt-PT"/>
        </w:rPr>
      </w:pPr>
      <w:r w:rsidRPr="009B78CE">
        <w:rPr>
          <w:lang w:eastAsia="pt-PT"/>
        </w:rPr>
        <w:t>Weight</w:t>
      </w:r>
    </w:p>
    <w:p w14:paraId="671D699E" w14:textId="77777777" w:rsidR="006B21E9" w:rsidRPr="00332E9D" w:rsidRDefault="006B21E9" w:rsidP="00A457B2">
      <w:pPr>
        <w:numPr>
          <w:ilvl w:val="12"/>
          <w:numId w:val="0"/>
        </w:numPr>
        <w:ind w:right="-2"/>
        <w:rPr>
          <w:rFonts w:eastAsia="SimSun"/>
          <w:szCs w:val="22"/>
          <w:lang w:eastAsia="pt-PT"/>
        </w:rPr>
      </w:pPr>
    </w:p>
    <w:p w14:paraId="6E69B72D" w14:textId="77777777" w:rsidR="006B21E9" w:rsidRPr="00332E9D" w:rsidRDefault="006B21E9" w:rsidP="00A457B2">
      <w:pPr>
        <w:numPr>
          <w:ilvl w:val="12"/>
          <w:numId w:val="0"/>
        </w:numPr>
        <w:ind w:right="-2"/>
        <w:rPr>
          <w:rFonts w:eastAsia="SimSun"/>
          <w:szCs w:val="22"/>
          <w:lang w:eastAsia="pt-PT"/>
        </w:rPr>
      </w:pPr>
      <w:r w:rsidRPr="00332E9D">
        <w:rPr>
          <w:rFonts w:eastAsia="SimSun"/>
          <w:szCs w:val="22"/>
          <w:lang w:eastAsia="pt-PT"/>
        </w:rPr>
        <w:t>There is no relationship between exposure of opicapone and body weight over the range of 40-100</w:t>
      </w:r>
      <w:r w:rsidR="00105D7E" w:rsidRPr="00332E9D">
        <w:rPr>
          <w:szCs w:val="22"/>
        </w:rPr>
        <w:t> </w:t>
      </w:r>
      <w:r w:rsidRPr="00332E9D">
        <w:rPr>
          <w:rFonts w:eastAsia="SimSun"/>
          <w:szCs w:val="22"/>
          <w:lang w:eastAsia="pt-PT"/>
        </w:rPr>
        <w:t>kg.</w:t>
      </w:r>
    </w:p>
    <w:p w14:paraId="23590218" w14:textId="77777777" w:rsidR="006B21E9" w:rsidRPr="00332E9D" w:rsidRDefault="006B21E9" w:rsidP="00A457B2">
      <w:pPr>
        <w:pStyle w:val="Heading3"/>
      </w:pPr>
      <w:r w:rsidRPr="00332E9D">
        <w:t>Hepatic impairment</w:t>
      </w:r>
    </w:p>
    <w:p w14:paraId="28B2278A" w14:textId="77777777" w:rsidR="006B21E9" w:rsidRPr="00332E9D" w:rsidRDefault="006B21E9" w:rsidP="00A457B2">
      <w:pPr>
        <w:numPr>
          <w:ilvl w:val="12"/>
          <w:numId w:val="0"/>
        </w:numPr>
        <w:ind w:right="-2"/>
        <w:rPr>
          <w:iCs/>
          <w:szCs w:val="22"/>
          <w:u w:val="single"/>
        </w:rPr>
      </w:pPr>
    </w:p>
    <w:p w14:paraId="4F7E3B7E" w14:textId="42C88B75" w:rsidR="00A6063A" w:rsidRPr="00C7686D" w:rsidRDefault="006B21E9" w:rsidP="00A457B2">
      <w:pPr>
        <w:rPr>
          <w:rFonts w:eastAsia="SimSun"/>
          <w:lang w:eastAsia="pt-PT"/>
        </w:rPr>
      </w:pPr>
      <w:r>
        <w:t>There is limited clinical experience in patients with moderate hepatic impairment (Child-Pugh Class B). The pharmacokinetics of opicapone was evaluated in healthy subjects and moderate chronic hepatic i</w:t>
      </w:r>
      <w:r w:rsidRPr="00C7686D">
        <w:t>mpaired patients after administration of a single</w:t>
      </w:r>
      <w:r w:rsidR="00F60A61" w:rsidRPr="00C7686D">
        <w:t xml:space="preserve"> </w:t>
      </w:r>
      <w:r w:rsidRPr="00C7686D">
        <w:t xml:space="preserve">dose of </w:t>
      </w:r>
      <w:r w:rsidRPr="00C7686D">
        <w:rPr>
          <w:rFonts w:eastAsia="SimSun"/>
          <w:lang w:eastAsia="pt-PT"/>
        </w:rPr>
        <w:t>50</w:t>
      </w:r>
      <w:r w:rsidRPr="00C7686D">
        <w:t> </w:t>
      </w:r>
      <w:r w:rsidRPr="00C7686D">
        <w:rPr>
          <w:rFonts w:eastAsia="SimSun"/>
          <w:lang w:eastAsia="pt-PT"/>
        </w:rPr>
        <w:t xml:space="preserve">mg. The bioavailability of opicapone was significantly higher in patients with moderate chronic hepatic impairment </w:t>
      </w:r>
      <w:r w:rsidR="00A6063A" w:rsidRPr="00C7686D">
        <w:rPr>
          <w:rFonts w:eastAsia="SimSun"/>
          <w:lang w:eastAsia="pt-PT"/>
        </w:rPr>
        <w:t>(</w:t>
      </w:r>
      <w:proofErr w:type="spellStart"/>
      <w:r w:rsidR="00A6063A" w:rsidRPr="00C7686D">
        <w:rPr>
          <w:rFonts w:eastAsia="SimSun"/>
          <w:lang w:eastAsia="pt-PT"/>
        </w:rPr>
        <w:t>Cmax</w:t>
      </w:r>
      <w:proofErr w:type="spellEnd"/>
      <w:r w:rsidR="00A6063A" w:rsidRPr="00C7686D">
        <w:rPr>
          <w:rFonts w:eastAsia="SimSun"/>
          <w:lang w:eastAsia="pt-PT"/>
        </w:rPr>
        <w:t xml:space="preserve"> =</w:t>
      </w:r>
      <w:r w:rsidR="00205FB3" w:rsidRPr="00C7686D">
        <w:rPr>
          <w:rFonts w:eastAsia="SimSun"/>
          <w:lang w:eastAsia="pt-PT"/>
        </w:rPr>
        <w:t xml:space="preserve"> 1038 </w:t>
      </w:r>
      <w:r w:rsidR="00A6063A" w:rsidRPr="00C7686D">
        <w:rPr>
          <w:rFonts w:eastAsia="SimSun"/>
          <w:lang w:eastAsia="pt-PT"/>
        </w:rPr>
        <w:t xml:space="preserve">ng/ml vs </w:t>
      </w:r>
      <w:r w:rsidR="00205FB3" w:rsidRPr="00C7686D">
        <w:rPr>
          <w:rFonts w:eastAsia="SimSun"/>
          <w:lang w:eastAsia="pt-PT"/>
        </w:rPr>
        <w:t xml:space="preserve"> 548 </w:t>
      </w:r>
      <w:r w:rsidR="00A6063A" w:rsidRPr="00C7686D">
        <w:rPr>
          <w:rFonts w:eastAsia="SimSun"/>
          <w:lang w:eastAsia="pt-PT"/>
        </w:rPr>
        <w:t xml:space="preserve">ng/ml in healthy subjects; ASC0-t = </w:t>
      </w:r>
      <w:r w:rsidR="00871D22" w:rsidRPr="00C7686D">
        <w:rPr>
          <w:szCs w:val="24"/>
        </w:rPr>
        <w:t>3120</w:t>
      </w:r>
      <w:r w:rsidR="00205FB3" w:rsidRPr="00C7686D">
        <w:rPr>
          <w:rFonts w:eastAsia="SimSun"/>
          <w:lang w:eastAsia="pt-PT"/>
        </w:rPr>
        <w:t xml:space="preserve"> </w:t>
      </w:r>
      <w:r w:rsidR="00A6063A" w:rsidRPr="00C7686D">
        <w:rPr>
          <w:rFonts w:eastAsia="SimSun"/>
          <w:lang w:eastAsia="pt-PT"/>
        </w:rPr>
        <w:t xml:space="preserve">ng. h/ml vs. </w:t>
      </w:r>
      <w:r w:rsidR="00205FB3" w:rsidRPr="00C7686D">
        <w:rPr>
          <w:rFonts w:eastAsia="SimSun"/>
          <w:lang w:eastAsia="pt-PT"/>
        </w:rPr>
        <w:t xml:space="preserve">1668 </w:t>
      </w:r>
      <w:r w:rsidR="00A6063A" w:rsidRPr="00C7686D">
        <w:rPr>
          <w:rFonts w:eastAsia="SimSun"/>
          <w:lang w:eastAsia="pt-PT"/>
        </w:rPr>
        <w:t>ng. h/ml in healthy subjects).</w:t>
      </w:r>
    </w:p>
    <w:p w14:paraId="70F84283" w14:textId="77777777" w:rsidR="00FB1DE3" w:rsidRPr="00C7686D" w:rsidRDefault="00FB1DE3" w:rsidP="00A457B2">
      <w:pPr>
        <w:rPr>
          <w:lang w:eastAsia="pt-PT"/>
        </w:rPr>
      </w:pPr>
    </w:p>
    <w:p w14:paraId="51418D19" w14:textId="4EEACCD3" w:rsidR="00D96D31" w:rsidRPr="00332E9D" w:rsidRDefault="00D96D31" w:rsidP="00A457B2">
      <w:pPr>
        <w:rPr>
          <w:rFonts w:eastAsia="SimSun"/>
          <w:szCs w:val="22"/>
          <w:lang w:eastAsia="pt-PT"/>
        </w:rPr>
      </w:pPr>
      <w:r w:rsidRPr="00D96D31">
        <w:rPr>
          <w:rFonts w:eastAsia="SimSun"/>
          <w:szCs w:val="22"/>
          <w:lang w:eastAsia="pt-PT"/>
        </w:rPr>
        <w:t xml:space="preserve">There is no clinical experience in patients with mild hepatic impairment (Child-Pugh Class A) and in patients with severe hepatic impairment (Child-Pugh Class C) (see </w:t>
      </w:r>
      <w:r w:rsidRPr="00332E9D">
        <w:rPr>
          <w:rFonts w:eastAsia="SimSun"/>
          <w:szCs w:val="22"/>
          <w:lang w:eastAsia="pt-PT"/>
        </w:rPr>
        <w:t>section 4.2</w:t>
      </w:r>
      <w:r>
        <w:rPr>
          <w:rFonts w:eastAsia="SimSun"/>
          <w:szCs w:val="22"/>
          <w:lang w:eastAsia="pt-PT"/>
        </w:rPr>
        <w:t xml:space="preserve"> D</w:t>
      </w:r>
      <w:r w:rsidRPr="004911DB">
        <w:rPr>
          <w:rFonts w:eastAsia="SimSun"/>
          <w:szCs w:val="22"/>
          <w:lang w:eastAsia="pt-PT"/>
        </w:rPr>
        <w:t>ose and method of administration</w:t>
      </w:r>
      <w:r w:rsidRPr="00D96D31">
        <w:rPr>
          <w:rFonts w:eastAsia="SimSun"/>
          <w:szCs w:val="22"/>
          <w:lang w:eastAsia="pt-PT"/>
        </w:rPr>
        <w:t>).</w:t>
      </w:r>
    </w:p>
    <w:p w14:paraId="655BD4CE" w14:textId="77777777" w:rsidR="006B21E9" w:rsidRPr="00332E9D" w:rsidRDefault="006B21E9" w:rsidP="00A457B2">
      <w:pPr>
        <w:pStyle w:val="Heading3"/>
        <w:rPr>
          <w:lang w:eastAsia="pt-PT"/>
        </w:rPr>
      </w:pPr>
      <w:r w:rsidRPr="00332E9D">
        <w:rPr>
          <w:lang w:eastAsia="pt-PT"/>
        </w:rPr>
        <w:t>Renal impairment</w:t>
      </w:r>
    </w:p>
    <w:p w14:paraId="0EFFDABA" w14:textId="77777777" w:rsidR="006B21E9" w:rsidRPr="00332E9D" w:rsidRDefault="006B21E9" w:rsidP="00A457B2">
      <w:pPr>
        <w:rPr>
          <w:rFonts w:eastAsia="SimSun"/>
          <w:szCs w:val="22"/>
          <w:u w:val="single"/>
          <w:lang w:eastAsia="pt-PT"/>
        </w:rPr>
      </w:pPr>
    </w:p>
    <w:p w14:paraId="0876CDAB" w14:textId="77777777" w:rsidR="006B21E9" w:rsidRPr="00332E9D" w:rsidRDefault="006B21E9" w:rsidP="00A457B2">
      <w:pPr>
        <w:rPr>
          <w:lang w:eastAsia="pt-PT"/>
        </w:rPr>
      </w:pPr>
      <w:r w:rsidRPr="00332E9D">
        <w:t>The pharmacokinetics of opicapone was not directly evaluated in subjects with chronic renal impairment</w:t>
      </w:r>
      <w:r w:rsidRPr="00332E9D">
        <w:rPr>
          <w:lang w:eastAsia="pt-PT"/>
        </w:rPr>
        <w:t>. However, an evaluation with 50</w:t>
      </w:r>
      <w:r w:rsidRPr="00332E9D">
        <w:rPr>
          <w:szCs w:val="22"/>
        </w:rPr>
        <w:t> </w:t>
      </w:r>
      <w:r w:rsidRPr="00332E9D">
        <w:rPr>
          <w:lang w:eastAsia="pt-PT"/>
        </w:rPr>
        <w:t xml:space="preserve">mg opicapone was performed in subjects included in both phase 3 studies with </w:t>
      </w:r>
      <w:r w:rsidRPr="00332E9D">
        <w:rPr>
          <w:lang w:eastAsia="de-DE"/>
        </w:rPr>
        <w:t>GFR/1.73</w:t>
      </w:r>
      <w:r w:rsidRPr="00332E9D">
        <w:rPr>
          <w:szCs w:val="22"/>
        </w:rPr>
        <w:t> </w:t>
      </w:r>
      <w:r w:rsidRPr="00332E9D">
        <w:rPr>
          <w:lang w:eastAsia="de-DE"/>
        </w:rPr>
        <w:t>m</w:t>
      </w:r>
      <w:r w:rsidRPr="00332E9D">
        <w:rPr>
          <w:vertAlign w:val="superscript"/>
          <w:lang w:eastAsia="de-DE"/>
        </w:rPr>
        <w:t>2</w:t>
      </w:r>
      <w:r w:rsidRPr="00332E9D">
        <w:rPr>
          <w:lang w:eastAsia="de-DE"/>
        </w:rPr>
        <w:t xml:space="preserve"> &lt;60</w:t>
      </w:r>
      <w:r w:rsidRPr="00332E9D">
        <w:rPr>
          <w:szCs w:val="22"/>
        </w:rPr>
        <w:t> </w:t>
      </w:r>
      <w:r w:rsidRPr="00332E9D">
        <w:rPr>
          <w:lang w:eastAsia="de-DE"/>
        </w:rPr>
        <w:t xml:space="preserve">mL/min (i.e. moderately decreased renal elimination capacity), and using pooled BIA 9-1103 data (major metabolite of opicapone). BIA 9-1103 plasma levels were not affected in patients with </w:t>
      </w:r>
      <w:r w:rsidRPr="00332E9D">
        <w:t xml:space="preserve">chronic renal impairment, and as such, </w:t>
      </w:r>
      <w:r w:rsidRPr="00332E9D">
        <w:rPr>
          <w:lang w:eastAsia="pt-PT"/>
        </w:rPr>
        <w:t>no dose adjustment needs to be considered.</w:t>
      </w:r>
    </w:p>
    <w:p w14:paraId="50BCC028" w14:textId="77777777" w:rsidR="006B21E9" w:rsidRPr="00332E9D" w:rsidRDefault="006B21E9" w:rsidP="00A457B2">
      <w:pPr>
        <w:numPr>
          <w:ilvl w:val="12"/>
          <w:numId w:val="0"/>
        </w:numPr>
        <w:ind w:right="-2"/>
        <w:rPr>
          <w:iCs/>
          <w:szCs w:val="22"/>
        </w:rPr>
      </w:pPr>
    </w:p>
    <w:p w14:paraId="7424B0B8" w14:textId="766B1C0D" w:rsidR="006B21E9" w:rsidRPr="00BC7E99" w:rsidRDefault="00C37139" w:rsidP="00A457B2">
      <w:pPr>
        <w:pStyle w:val="Heading2"/>
      </w:pPr>
      <w:r w:rsidRPr="00BC7E99">
        <w:t xml:space="preserve">PRECLINICAL SAFETY DATA </w:t>
      </w:r>
    </w:p>
    <w:p w14:paraId="1453C102" w14:textId="229AE7F0" w:rsidR="00C37139" w:rsidRDefault="00C37139" w:rsidP="00A457B2">
      <w:pPr>
        <w:pStyle w:val="Heading3"/>
      </w:pPr>
      <w:r w:rsidRPr="00BC7E99">
        <w:t>Genotoxicity</w:t>
      </w:r>
      <w:r w:rsidR="00A96A29">
        <w:t xml:space="preserve"> </w:t>
      </w:r>
    </w:p>
    <w:p w14:paraId="40858E94" w14:textId="77777777" w:rsidR="00796E0F" w:rsidRPr="00C95EEC" w:rsidRDefault="00796E0F" w:rsidP="00A457B2"/>
    <w:p w14:paraId="3267E629" w14:textId="51B0B448" w:rsidR="00796E0F" w:rsidRDefault="00796E0F" w:rsidP="00A457B2">
      <w:r>
        <w:t>Opicapone was not mutagenic in an in vitro bacterial reverse mutation (Ames) assay, chromosome aberration test in vitro an in vivo rat micronucleus test.</w:t>
      </w:r>
    </w:p>
    <w:p w14:paraId="030110C4" w14:textId="77777777" w:rsidR="00796E0F" w:rsidRDefault="00796E0F" w:rsidP="00A457B2"/>
    <w:p w14:paraId="08341B2D" w14:textId="5AECE42D" w:rsidR="00796E0F" w:rsidRDefault="00796E0F" w:rsidP="00A457B2">
      <w:r w:rsidRPr="00335F28">
        <w:rPr>
          <w:rFonts w:ascii="Arial" w:eastAsia="MS Gothic" w:hAnsi="Arial" w:cs="Arial"/>
          <w:b/>
          <w:kern w:val="32"/>
          <w:sz w:val="22"/>
          <w:szCs w:val="26"/>
          <w:lang w:val="en-US"/>
        </w:rPr>
        <w:t>Carcinogenicity</w:t>
      </w:r>
    </w:p>
    <w:p w14:paraId="4CFA7C4C" w14:textId="77777777" w:rsidR="00796E0F" w:rsidRDefault="00796E0F" w:rsidP="00A457B2"/>
    <w:p w14:paraId="259D948A" w14:textId="7753ED16" w:rsidR="00796E0F" w:rsidRDefault="00796E0F" w:rsidP="00A457B2">
      <w:r w:rsidRPr="00796E0F">
        <w:t>Two-year oral carcinogenicity studies at doses up to 750 or 1000 mg/kg/day in mice and rats respectively (approximately 4 or 10 times the clinical exposure based on AUC) showed no clear evidence of carcinogenicity.</w:t>
      </w:r>
    </w:p>
    <w:p w14:paraId="42A31E80" w14:textId="3BEDE288" w:rsidR="006B21E9" w:rsidRPr="00BC7E99" w:rsidRDefault="006B21E9" w:rsidP="00A457B2">
      <w:pPr>
        <w:pStyle w:val="Heading1"/>
      </w:pPr>
      <w:r w:rsidRPr="00BC7E99">
        <w:t>PHARMACEUTICAL PARTICULARS</w:t>
      </w:r>
    </w:p>
    <w:p w14:paraId="5A9DB4D3" w14:textId="304BE668" w:rsidR="006B21E9" w:rsidRPr="00BC7E99" w:rsidRDefault="00E844B3" w:rsidP="00A457B2">
      <w:pPr>
        <w:pStyle w:val="Heading2"/>
      </w:pPr>
      <w:r w:rsidRPr="00BC7E99">
        <w:t>LIST OF EXCIPIENTS</w:t>
      </w:r>
    </w:p>
    <w:p w14:paraId="75D8C7E8" w14:textId="77777777" w:rsidR="006B21E9" w:rsidRPr="00862676" w:rsidRDefault="006B21E9" w:rsidP="00A457B2">
      <w:pPr>
        <w:pStyle w:val="Heading3"/>
        <w:rPr>
          <w:szCs w:val="24"/>
        </w:rPr>
      </w:pPr>
      <w:r w:rsidRPr="005965A1">
        <w:rPr>
          <w:rFonts w:ascii="Times New Roman" w:hAnsi="Times New Roman" w:cs="Times New Roman"/>
          <w:sz w:val="24"/>
          <w:szCs w:val="24"/>
        </w:rPr>
        <w:t xml:space="preserve">Capsule content </w:t>
      </w:r>
    </w:p>
    <w:p w14:paraId="1A74FF0B" w14:textId="77777777" w:rsidR="006B21E9" w:rsidRPr="0023450C" w:rsidRDefault="006B21E9" w:rsidP="00A457B2">
      <w:pPr>
        <w:spacing w:line="240" w:lineRule="auto"/>
        <w:rPr>
          <w:szCs w:val="24"/>
        </w:rPr>
      </w:pPr>
      <w:r w:rsidRPr="0023450C">
        <w:rPr>
          <w:szCs w:val="24"/>
        </w:rPr>
        <w:t>Lactose monohydrate</w:t>
      </w:r>
    </w:p>
    <w:p w14:paraId="15690099" w14:textId="0991F80C" w:rsidR="006B21E9" w:rsidRPr="0023450C" w:rsidRDefault="006B21E9" w:rsidP="00A457B2">
      <w:pPr>
        <w:spacing w:line="240" w:lineRule="auto"/>
        <w:rPr>
          <w:szCs w:val="24"/>
        </w:rPr>
      </w:pPr>
      <w:r w:rsidRPr="0023450C">
        <w:rPr>
          <w:szCs w:val="24"/>
        </w:rPr>
        <w:t>Sodium starch glycol</w:t>
      </w:r>
      <w:r w:rsidR="00076940" w:rsidRPr="0023450C">
        <w:rPr>
          <w:szCs w:val="24"/>
        </w:rPr>
        <w:t>l</w:t>
      </w:r>
      <w:r w:rsidRPr="0023450C">
        <w:rPr>
          <w:szCs w:val="24"/>
        </w:rPr>
        <w:t xml:space="preserve">ate </w:t>
      </w:r>
      <w:r w:rsidR="00634611" w:rsidRPr="0023450C">
        <w:rPr>
          <w:szCs w:val="24"/>
        </w:rPr>
        <w:t>t</w:t>
      </w:r>
      <w:r w:rsidRPr="0023450C">
        <w:rPr>
          <w:szCs w:val="24"/>
        </w:rPr>
        <w:t>ype A</w:t>
      </w:r>
    </w:p>
    <w:p w14:paraId="78489883" w14:textId="63CE37A1" w:rsidR="006B21E9" w:rsidRPr="0023450C" w:rsidRDefault="00634611" w:rsidP="00A457B2">
      <w:pPr>
        <w:spacing w:line="240" w:lineRule="auto"/>
        <w:rPr>
          <w:szCs w:val="24"/>
        </w:rPr>
      </w:pPr>
      <w:proofErr w:type="spellStart"/>
      <w:r w:rsidRPr="0023450C">
        <w:rPr>
          <w:szCs w:val="24"/>
        </w:rPr>
        <w:t>Pregelatinised</w:t>
      </w:r>
      <w:proofErr w:type="spellEnd"/>
      <w:r w:rsidRPr="0023450C">
        <w:rPr>
          <w:szCs w:val="24"/>
        </w:rPr>
        <w:t xml:space="preserve"> m</w:t>
      </w:r>
      <w:r w:rsidR="006B21E9" w:rsidRPr="0023450C">
        <w:rPr>
          <w:szCs w:val="24"/>
        </w:rPr>
        <w:t>aize starch</w:t>
      </w:r>
    </w:p>
    <w:p w14:paraId="140FDCDE" w14:textId="77777777" w:rsidR="006B21E9" w:rsidRPr="0023450C" w:rsidRDefault="006B21E9" w:rsidP="00A457B2">
      <w:pPr>
        <w:spacing w:line="240" w:lineRule="auto"/>
        <w:rPr>
          <w:szCs w:val="24"/>
        </w:rPr>
      </w:pPr>
      <w:r w:rsidRPr="0023450C">
        <w:rPr>
          <w:szCs w:val="24"/>
        </w:rPr>
        <w:t>Magnesium stearate</w:t>
      </w:r>
    </w:p>
    <w:p w14:paraId="68CD61C7" w14:textId="77777777" w:rsidR="006B21E9" w:rsidRPr="00862676" w:rsidRDefault="006B21E9" w:rsidP="00A457B2">
      <w:pPr>
        <w:pStyle w:val="Heading3"/>
        <w:rPr>
          <w:szCs w:val="24"/>
        </w:rPr>
      </w:pPr>
      <w:r w:rsidRPr="005965A1">
        <w:rPr>
          <w:rFonts w:ascii="Times New Roman" w:hAnsi="Times New Roman" w:cs="Times New Roman"/>
          <w:sz w:val="24"/>
          <w:szCs w:val="24"/>
        </w:rPr>
        <w:t>Capsule shell</w:t>
      </w:r>
    </w:p>
    <w:p w14:paraId="1888488F" w14:textId="77777777" w:rsidR="006B21E9" w:rsidRPr="0023450C" w:rsidRDefault="006B21E9" w:rsidP="00A457B2">
      <w:pPr>
        <w:spacing w:line="240" w:lineRule="auto"/>
        <w:rPr>
          <w:szCs w:val="24"/>
          <w:lang w:val="pt-PT"/>
        </w:rPr>
      </w:pPr>
      <w:r w:rsidRPr="0023450C">
        <w:rPr>
          <w:szCs w:val="24"/>
          <w:lang w:val="pt-PT"/>
        </w:rPr>
        <w:t>Gelatin</w:t>
      </w:r>
    </w:p>
    <w:p w14:paraId="3F54611A" w14:textId="79391937" w:rsidR="006B21E9" w:rsidRPr="0023450C" w:rsidRDefault="006B21E9" w:rsidP="00A457B2">
      <w:pPr>
        <w:spacing w:line="240" w:lineRule="auto"/>
        <w:rPr>
          <w:szCs w:val="24"/>
          <w:lang w:val="pt-PT"/>
        </w:rPr>
      </w:pPr>
      <w:r w:rsidRPr="0023450C">
        <w:rPr>
          <w:szCs w:val="24"/>
          <w:lang w:val="pt-PT"/>
        </w:rPr>
        <w:t>Indigo carmine aluminium lake</w:t>
      </w:r>
    </w:p>
    <w:p w14:paraId="231E0368" w14:textId="1E894B3E" w:rsidR="006B21E9" w:rsidRPr="0023450C" w:rsidRDefault="006B21E9" w:rsidP="00A457B2">
      <w:pPr>
        <w:spacing w:line="240" w:lineRule="auto"/>
        <w:rPr>
          <w:szCs w:val="24"/>
          <w:lang w:val="pt-PT"/>
        </w:rPr>
      </w:pPr>
      <w:r w:rsidRPr="0023450C">
        <w:rPr>
          <w:szCs w:val="24"/>
          <w:lang w:val="pt-PT"/>
        </w:rPr>
        <w:t xml:space="preserve">Erythrosine </w:t>
      </w:r>
    </w:p>
    <w:p w14:paraId="517561E8" w14:textId="14185188" w:rsidR="006B21E9" w:rsidRPr="0023450C" w:rsidRDefault="006B21E9" w:rsidP="00A457B2">
      <w:pPr>
        <w:spacing w:line="240" w:lineRule="auto"/>
        <w:rPr>
          <w:szCs w:val="24"/>
          <w:lang w:val="pt-PT"/>
        </w:rPr>
      </w:pPr>
      <w:r w:rsidRPr="0023450C">
        <w:rPr>
          <w:szCs w:val="24"/>
          <w:lang w:val="pt-PT"/>
        </w:rPr>
        <w:t xml:space="preserve">Titanium dioxide </w:t>
      </w:r>
    </w:p>
    <w:p w14:paraId="0858F44B" w14:textId="77777777" w:rsidR="006B21E9" w:rsidRPr="00862676" w:rsidRDefault="006B21E9" w:rsidP="00A457B2">
      <w:pPr>
        <w:pStyle w:val="Heading3"/>
        <w:rPr>
          <w:szCs w:val="24"/>
        </w:rPr>
      </w:pPr>
      <w:r w:rsidRPr="005965A1">
        <w:rPr>
          <w:rFonts w:ascii="Times New Roman" w:hAnsi="Times New Roman" w:cs="Times New Roman"/>
          <w:sz w:val="24"/>
          <w:szCs w:val="24"/>
        </w:rPr>
        <w:t>Printing ink</w:t>
      </w:r>
    </w:p>
    <w:p w14:paraId="45F4F4B3" w14:textId="03FC973E" w:rsidR="00634611" w:rsidRPr="0023450C" w:rsidRDefault="006B21E9" w:rsidP="00A457B2">
      <w:pPr>
        <w:rPr>
          <w:szCs w:val="24"/>
        </w:rPr>
      </w:pPr>
      <w:r w:rsidRPr="0023450C">
        <w:rPr>
          <w:szCs w:val="24"/>
        </w:rPr>
        <w:t>Shellac</w:t>
      </w:r>
    </w:p>
    <w:p w14:paraId="615C4A0C" w14:textId="78FC4428" w:rsidR="00634611" w:rsidRPr="0023450C" w:rsidRDefault="00634611" w:rsidP="00A457B2">
      <w:pPr>
        <w:rPr>
          <w:szCs w:val="24"/>
        </w:rPr>
      </w:pPr>
      <w:r w:rsidRPr="0023450C">
        <w:rPr>
          <w:szCs w:val="24"/>
        </w:rPr>
        <w:t>T</w:t>
      </w:r>
      <w:r w:rsidR="006B21E9" w:rsidRPr="0023450C">
        <w:rPr>
          <w:szCs w:val="24"/>
        </w:rPr>
        <w:t>itanium dioxide</w:t>
      </w:r>
    </w:p>
    <w:p w14:paraId="2C919217" w14:textId="380C0A72" w:rsidR="00634611" w:rsidRPr="0023450C" w:rsidRDefault="00634611" w:rsidP="00A457B2">
      <w:pPr>
        <w:rPr>
          <w:szCs w:val="24"/>
        </w:rPr>
      </w:pPr>
      <w:r w:rsidRPr="0023450C">
        <w:rPr>
          <w:szCs w:val="24"/>
        </w:rPr>
        <w:t>P</w:t>
      </w:r>
      <w:r w:rsidR="006B21E9" w:rsidRPr="0023450C">
        <w:rPr>
          <w:szCs w:val="24"/>
        </w:rPr>
        <w:t>ropylene glycol</w:t>
      </w:r>
    </w:p>
    <w:p w14:paraId="679E4D20" w14:textId="3FCDB8B1" w:rsidR="00634611" w:rsidRPr="0023450C" w:rsidRDefault="00634611" w:rsidP="00A457B2">
      <w:pPr>
        <w:rPr>
          <w:szCs w:val="24"/>
        </w:rPr>
      </w:pPr>
      <w:r w:rsidRPr="0023450C">
        <w:rPr>
          <w:szCs w:val="24"/>
        </w:rPr>
        <w:t>A</w:t>
      </w:r>
      <w:r w:rsidR="006B21E9" w:rsidRPr="0023450C">
        <w:rPr>
          <w:szCs w:val="24"/>
        </w:rPr>
        <w:t>mmonia</w:t>
      </w:r>
    </w:p>
    <w:p w14:paraId="3F01BD7C" w14:textId="52333272" w:rsidR="006B21E9" w:rsidRPr="0023450C" w:rsidRDefault="00634611" w:rsidP="00A457B2">
      <w:pPr>
        <w:rPr>
          <w:szCs w:val="24"/>
        </w:rPr>
      </w:pPr>
      <w:r w:rsidRPr="0023450C">
        <w:rPr>
          <w:szCs w:val="24"/>
        </w:rPr>
        <w:t>S</w:t>
      </w:r>
      <w:r w:rsidR="006B21E9" w:rsidRPr="0023450C">
        <w:rPr>
          <w:szCs w:val="24"/>
        </w:rPr>
        <w:t xml:space="preserve">imethicone </w:t>
      </w:r>
    </w:p>
    <w:p w14:paraId="63C0120A" w14:textId="38E844CC" w:rsidR="006B21E9" w:rsidRPr="00851170" w:rsidRDefault="00E844B3" w:rsidP="00A457B2">
      <w:pPr>
        <w:pStyle w:val="Heading2"/>
      </w:pPr>
      <w:r w:rsidRPr="00851170">
        <w:t>INCOMPATIBILITIES</w:t>
      </w:r>
    </w:p>
    <w:p w14:paraId="5A80FFDE" w14:textId="77777777" w:rsidR="006B21E9" w:rsidRPr="00332E9D" w:rsidRDefault="006B21E9" w:rsidP="00A457B2">
      <w:pPr>
        <w:rPr>
          <w:szCs w:val="22"/>
        </w:rPr>
      </w:pPr>
    </w:p>
    <w:p w14:paraId="21E4D99E" w14:textId="4F6D8A54" w:rsidR="006B21E9" w:rsidRPr="0023450C" w:rsidRDefault="006B21E9" w:rsidP="00A457B2">
      <w:pPr>
        <w:rPr>
          <w:szCs w:val="24"/>
        </w:rPr>
      </w:pPr>
      <w:r w:rsidRPr="0023450C">
        <w:rPr>
          <w:szCs w:val="24"/>
        </w:rPr>
        <w:t xml:space="preserve">Not applicable. </w:t>
      </w:r>
    </w:p>
    <w:p w14:paraId="571DF1D0" w14:textId="6E652180" w:rsidR="006B21E9" w:rsidRPr="00851170" w:rsidRDefault="00E844B3" w:rsidP="00A457B2">
      <w:pPr>
        <w:pStyle w:val="Heading2"/>
      </w:pPr>
      <w:r w:rsidRPr="00851170">
        <w:t>SHELF LIFE</w:t>
      </w:r>
    </w:p>
    <w:p w14:paraId="32D28C55" w14:textId="77777777" w:rsidR="005404EB" w:rsidRDefault="005404EB" w:rsidP="00A457B2">
      <w:pPr>
        <w:rPr>
          <w:szCs w:val="22"/>
        </w:rPr>
      </w:pPr>
    </w:p>
    <w:p w14:paraId="4D4FD46B" w14:textId="0A72C574" w:rsidR="008F76FF" w:rsidRPr="0023450C" w:rsidRDefault="00805084" w:rsidP="00A457B2">
      <w:pPr>
        <w:rPr>
          <w:szCs w:val="24"/>
        </w:rPr>
      </w:pPr>
      <w:r w:rsidRPr="00805084">
        <w:rPr>
          <w:szCs w:val="24"/>
        </w:rPr>
        <w:t>In Australia, information on the shelf life can be found on the public summary of the Australian Register of Therapeutic Goods (ARTG). The expiry date can be found on the packaging</w:t>
      </w:r>
      <w:r w:rsidR="00434E3B">
        <w:rPr>
          <w:rStyle w:val="CommentReference"/>
          <w:sz w:val="24"/>
          <w:szCs w:val="24"/>
        </w:rPr>
        <w:t>.</w:t>
      </w:r>
    </w:p>
    <w:p w14:paraId="72EE4215" w14:textId="379E395F" w:rsidR="006B21E9" w:rsidRPr="00851170" w:rsidRDefault="006B21E9" w:rsidP="00A457B2">
      <w:pPr>
        <w:pStyle w:val="Heading2"/>
      </w:pPr>
      <w:r w:rsidRPr="00851170">
        <w:t>Special precautions for storage</w:t>
      </w:r>
    </w:p>
    <w:p w14:paraId="396A09A7" w14:textId="77777777" w:rsidR="006B21E9" w:rsidRPr="00332E9D" w:rsidRDefault="006B21E9" w:rsidP="00A457B2"/>
    <w:p w14:paraId="47BF55A8" w14:textId="621D8184" w:rsidR="00335F28" w:rsidRDefault="00335F28" w:rsidP="00A457B2">
      <w:pPr>
        <w:rPr>
          <w:rFonts w:cs="Arial"/>
          <w:szCs w:val="22"/>
        </w:rPr>
      </w:pPr>
      <w:r>
        <w:rPr>
          <w:rFonts w:cs="Arial"/>
          <w:szCs w:val="22"/>
        </w:rPr>
        <w:t>Store below 30ºC.</w:t>
      </w:r>
    </w:p>
    <w:p w14:paraId="1E5BCD81" w14:textId="73CA5A4F" w:rsidR="00335F28" w:rsidRDefault="00335F28" w:rsidP="00A457B2">
      <w:pPr>
        <w:rPr>
          <w:rFonts w:cs="Arial"/>
          <w:szCs w:val="22"/>
        </w:rPr>
      </w:pPr>
      <w:r>
        <w:rPr>
          <w:rFonts w:cs="Arial"/>
          <w:szCs w:val="22"/>
        </w:rPr>
        <w:t xml:space="preserve">Store in the original </w:t>
      </w:r>
      <w:r w:rsidR="00EA4CC0">
        <w:rPr>
          <w:rFonts w:cs="Arial"/>
          <w:szCs w:val="22"/>
        </w:rPr>
        <w:t>package</w:t>
      </w:r>
      <w:r>
        <w:rPr>
          <w:rFonts w:cs="Arial"/>
          <w:szCs w:val="22"/>
        </w:rPr>
        <w:t xml:space="preserve"> to protect from moisture.</w:t>
      </w:r>
    </w:p>
    <w:p w14:paraId="25EF0B44" w14:textId="067D3F1F" w:rsidR="006B21E9" w:rsidRPr="00851170" w:rsidRDefault="006B21E9" w:rsidP="00A457B2">
      <w:pPr>
        <w:pStyle w:val="Heading2"/>
      </w:pPr>
      <w:r w:rsidRPr="00851170">
        <w:t xml:space="preserve">Nature and contents of container </w:t>
      </w:r>
    </w:p>
    <w:p w14:paraId="5E8FEDF8" w14:textId="77777777" w:rsidR="006B21E9" w:rsidRPr="00332E9D" w:rsidRDefault="006B21E9" w:rsidP="00A457B2"/>
    <w:p w14:paraId="5A4FB8B2" w14:textId="3D40D280" w:rsidR="006B21E9" w:rsidRPr="000A1A9A" w:rsidRDefault="00805084" w:rsidP="00A457B2">
      <w:pPr>
        <w:rPr>
          <w:szCs w:val="24"/>
        </w:rPr>
      </w:pPr>
      <w:r w:rsidRPr="00224925">
        <w:rPr>
          <w:szCs w:val="24"/>
        </w:rPr>
        <w:t xml:space="preserve">Opicapone 50 mg hard capsule is </w:t>
      </w:r>
      <w:r w:rsidR="00335F28">
        <w:rPr>
          <w:szCs w:val="24"/>
        </w:rPr>
        <w:t>packaged</w:t>
      </w:r>
      <w:r w:rsidRPr="00224925">
        <w:rPr>
          <w:szCs w:val="24"/>
        </w:rPr>
        <w:t xml:space="preserve"> in </w:t>
      </w:r>
      <w:r w:rsidR="008A4995" w:rsidRPr="00135070">
        <w:rPr>
          <w:szCs w:val="24"/>
        </w:rPr>
        <w:t>OPA/AL/PVC/Al</w:t>
      </w:r>
      <w:r w:rsidR="006B21E9" w:rsidRPr="000A1A9A">
        <w:rPr>
          <w:szCs w:val="24"/>
        </w:rPr>
        <w:t xml:space="preserve"> blister</w:t>
      </w:r>
      <w:r w:rsidR="006B21E9" w:rsidRPr="00224925">
        <w:rPr>
          <w:szCs w:val="24"/>
        </w:rPr>
        <w:t xml:space="preserve">s </w:t>
      </w:r>
      <w:r w:rsidR="008A4995" w:rsidRPr="00135070">
        <w:rPr>
          <w:szCs w:val="24"/>
        </w:rPr>
        <w:t>containing</w:t>
      </w:r>
      <w:r w:rsidR="008A4995" w:rsidRPr="000A1A9A">
        <w:rPr>
          <w:szCs w:val="24"/>
        </w:rPr>
        <w:t xml:space="preserve"> </w:t>
      </w:r>
      <w:r w:rsidR="006B21E9" w:rsidRPr="000A1A9A">
        <w:rPr>
          <w:szCs w:val="24"/>
        </w:rPr>
        <w:t>10, 30 or 90 capsules</w:t>
      </w:r>
      <w:r w:rsidR="003614D8" w:rsidRPr="000A1A9A">
        <w:rPr>
          <w:szCs w:val="24"/>
        </w:rPr>
        <w:t>.</w:t>
      </w:r>
      <w:r w:rsidR="008A4995" w:rsidRPr="000A1A9A">
        <w:rPr>
          <w:szCs w:val="24"/>
        </w:rPr>
        <w:t xml:space="preserve"> </w:t>
      </w:r>
    </w:p>
    <w:p w14:paraId="4C41247A" w14:textId="77777777" w:rsidR="008A4995" w:rsidRPr="00675E07" w:rsidRDefault="008A4995" w:rsidP="00A457B2">
      <w:pPr>
        <w:rPr>
          <w:szCs w:val="24"/>
        </w:rPr>
      </w:pPr>
    </w:p>
    <w:p w14:paraId="7A214238" w14:textId="77777777" w:rsidR="008A4995" w:rsidRPr="00224925" w:rsidRDefault="008A4995" w:rsidP="00A457B2">
      <w:pPr>
        <w:rPr>
          <w:szCs w:val="24"/>
        </w:rPr>
      </w:pPr>
      <w:bookmarkStart w:id="12" w:name="_Hlk39522033"/>
      <w:r w:rsidRPr="00675E07">
        <w:rPr>
          <w:szCs w:val="24"/>
        </w:rPr>
        <w:t>Not all pack sizes may be marketed.</w:t>
      </w:r>
    </w:p>
    <w:bookmarkEnd w:id="12"/>
    <w:p w14:paraId="0F76B73F" w14:textId="4C0BBE2A" w:rsidR="006B21E9" w:rsidRPr="00851170" w:rsidRDefault="006B21E9" w:rsidP="00A457B2">
      <w:pPr>
        <w:pStyle w:val="Heading2"/>
      </w:pPr>
      <w:r w:rsidRPr="00851170">
        <w:t>Special precautions for disposal</w:t>
      </w:r>
    </w:p>
    <w:p w14:paraId="58609698" w14:textId="77777777" w:rsidR="006B21E9" w:rsidRPr="00332E9D" w:rsidRDefault="006B21E9" w:rsidP="00A457B2">
      <w:pPr>
        <w:rPr>
          <w:szCs w:val="22"/>
        </w:rPr>
      </w:pPr>
    </w:p>
    <w:p w14:paraId="0C7E3397" w14:textId="77777777" w:rsidR="006B21E9" w:rsidRDefault="006B21E9" w:rsidP="00A457B2">
      <w:r w:rsidRPr="00332E9D">
        <w:t xml:space="preserve">Any unused medicinal product or waste material should be disposed of in accordance with local requirements. </w:t>
      </w:r>
    </w:p>
    <w:p w14:paraId="71F26673" w14:textId="798B2420" w:rsidR="00EA7128" w:rsidRPr="009B78CE" w:rsidRDefault="00EA7128" w:rsidP="00A457B2">
      <w:pPr>
        <w:pStyle w:val="Heading2"/>
      </w:pPr>
      <w:r w:rsidRPr="009B78CE">
        <w:t>PHYSIOCHEMICAL PROPERTIES</w:t>
      </w:r>
    </w:p>
    <w:p w14:paraId="7B51360C" w14:textId="1F957EDA" w:rsidR="00EA7128" w:rsidRDefault="00EA7128" w:rsidP="00A457B2">
      <w:pPr>
        <w:pStyle w:val="Heading3"/>
        <w:rPr>
          <w:rStyle w:val="Heading2Char"/>
          <w:b/>
          <w:iCs w:val="0"/>
          <w:caps w:val="0"/>
          <w:szCs w:val="26"/>
        </w:rPr>
      </w:pPr>
      <w:r w:rsidRPr="007F7205">
        <w:rPr>
          <w:rStyle w:val="Heading2Char"/>
          <w:b/>
          <w:iCs w:val="0"/>
          <w:caps w:val="0"/>
          <w:szCs w:val="26"/>
        </w:rPr>
        <w:t>Chemical Structure</w:t>
      </w:r>
    </w:p>
    <w:p w14:paraId="6D918703" w14:textId="63972391" w:rsidR="00AC323B" w:rsidRDefault="00A457B2" w:rsidP="00A457B2">
      <w:pPr>
        <w:rPr>
          <w:rFonts w:eastAsia="MS Gothic"/>
          <w:lang w:val="en-US"/>
        </w:rPr>
      </w:pPr>
      <w:bookmarkStart w:id="13" w:name="_GoBack"/>
      <w:r>
        <w:rPr>
          <w:noProof/>
          <w:lang w:val="en-AU" w:eastAsia="en-AU"/>
        </w:rPr>
        <w:drawing>
          <wp:anchor distT="0" distB="0" distL="114300" distR="114300" simplePos="0" relativeHeight="251658240" behindDoc="0" locked="0" layoutInCell="1" allowOverlap="1" wp14:anchorId="1447A777" wp14:editId="6CAAEC3E">
            <wp:simplePos x="0" y="0"/>
            <wp:positionH relativeFrom="margin">
              <wp:align>left</wp:align>
            </wp:positionH>
            <wp:positionV relativeFrom="paragraph">
              <wp:posOffset>164465</wp:posOffset>
            </wp:positionV>
            <wp:extent cx="2343150" cy="1136650"/>
            <wp:effectExtent l="0" t="0" r="0" b="0"/>
            <wp:wrapSquare wrapText="bothSides"/>
            <wp:docPr id="9988151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2343150" cy="1136650"/>
                    </a:xfrm>
                    <a:prstGeom prst="rect">
                      <a:avLst/>
                    </a:prstGeom>
                  </pic:spPr>
                </pic:pic>
              </a:graphicData>
            </a:graphic>
            <wp14:sizeRelH relativeFrom="page">
              <wp14:pctWidth>0</wp14:pctWidth>
            </wp14:sizeRelH>
            <wp14:sizeRelV relativeFrom="page">
              <wp14:pctHeight>0</wp14:pctHeight>
            </wp14:sizeRelV>
          </wp:anchor>
        </w:drawing>
      </w:r>
      <w:bookmarkEnd w:id="13"/>
    </w:p>
    <w:p w14:paraId="1D236A34" w14:textId="5C9A278A" w:rsidR="00AC323B" w:rsidRDefault="00AC323B" w:rsidP="00A457B2">
      <w:pPr>
        <w:rPr>
          <w:rFonts w:eastAsia="MS Gothic"/>
          <w:lang w:val="en-US"/>
        </w:rPr>
      </w:pPr>
    </w:p>
    <w:p w14:paraId="20EBBFDD" w14:textId="0F2C35E3" w:rsidR="00D24838" w:rsidRDefault="00D24838" w:rsidP="00A457B2">
      <w:pPr>
        <w:rPr>
          <w:rFonts w:eastAsia="MS Gothic"/>
          <w:lang w:val="en-US"/>
        </w:rPr>
      </w:pPr>
    </w:p>
    <w:p w14:paraId="2E1C0C93" w14:textId="051B2558" w:rsidR="00D24838" w:rsidRDefault="00D24838" w:rsidP="00A457B2">
      <w:pPr>
        <w:rPr>
          <w:rFonts w:eastAsia="MS Gothic"/>
          <w:lang w:val="en-US"/>
        </w:rPr>
      </w:pPr>
    </w:p>
    <w:p w14:paraId="7D744E72" w14:textId="71F2756E" w:rsidR="00D24838" w:rsidRDefault="00D24838" w:rsidP="00A457B2">
      <w:pPr>
        <w:rPr>
          <w:rFonts w:eastAsia="MS Gothic"/>
          <w:lang w:val="en-US"/>
        </w:rPr>
      </w:pPr>
    </w:p>
    <w:p w14:paraId="7D8FED46" w14:textId="158EA16D" w:rsidR="00D24838" w:rsidRDefault="00D24838" w:rsidP="00A457B2">
      <w:pPr>
        <w:rPr>
          <w:rFonts w:eastAsia="MS Gothic"/>
          <w:lang w:val="en-US"/>
        </w:rPr>
      </w:pPr>
    </w:p>
    <w:p w14:paraId="1BD383FA" w14:textId="1C7ADC33" w:rsidR="00D24838" w:rsidRDefault="00D24838" w:rsidP="00A457B2">
      <w:pPr>
        <w:rPr>
          <w:rFonts w:eastAsia="MS Gothic"/>
          <w:lang w:val="en-US"/>
        </w:rPr>
      </w:pPr>
    </w:p>
    <w:p w14:paraId="305E43DB" w14:textId="77777777" w:rsidR="00D24838" w:rsidRDefault="00D24838" w:rsidP="00A457B2">
      <w:pPr>
        <w:rPr>
          <w:rFonts w:eastAsia="MS Gothic"/>
          <w:lang w:val="en-US"/>
        </w:rPr>
      </w:pPr>
    </w:p>
    <w:p w14:paraId="089BBBB1" w14:textId="77777777" w:rsidR="00EA7128" w:rsidRDefault="00EA7128" w:rsidP="00A457B2">
      <w:pPr>
        <w:pStyle w:val="Heading3"/>
        <w:rPr>
          <w:rStyle w:val="Heading2Char"/>
          <w:iCs w:val="0"/>
          <w:caps w:val="0"/>
          <w:szCs w:val="26"/>
        </w:rPr>
      </w:pPr>
      <w:r w:rsidRPr="00DD272C">
        <w:rPr>
          <w:rStyle w:val="Heading2Char"/>
          <w:b/>
          <w:iCs w:val="0"/>
          <w:caps w:val="0"/>
          <w:szCs w:val="26"/>
        </w:rPr>
        <w:t>CAS number</w:t>
      </w:r>
    </w:p>
    <w:p w14:paraId="597C1837" w14:textId="77777777" w:rsidR="003C7427" w:rsidRDefault="003C7427" w:rsidP="00A457B2"/>
    <w:p w14:paraId="08B9E88D" w14:textId="77777777" w:rsidR="003C7427" w:rsidRPr="005965A1" w:rsidRDefault="003C7427" w:rsidP="00A457B2">
      <w:pPr>
        <w:rPr>
          <w:szCs w:val="24"/>
        </w:rPr>
      </w:pPr>
      <w:r w:rsidRPr="005965A1">
        <w:rPr>
          <w:szCs w:val="24"/>
        </w:rPr>
        <w:t>923287-50-7</w:t>
      </w:r>
    </w:p>
    <w:p w14:paraId="0E9FBD9E" w14:textId="658837E8" w:rsidR="006B21E9" w:rsidRPr="00851170" w:rsidRDefault="00EA7128" w:rsidP="00A457B2">
      <w:pPr>
        <w:pStyle w:val="Heading1"/>
      </w:pPr>
      <w:r w:rsidRPr="009B78CE">
        <w:t>MEDICINE SCHEDULE (POISONS STANDARD)</w:t>
      </w:r>
    </w:p>
    <w:p w14:paraId="213A16EA" w14:textId="77777777" w:rsidR="006B21E9" w:rsidRDefault="006B21E9" w:rsidP="00A457B2">
      <w:pPr>
        <w:rPr>
          <w:szCs w:val="22"/>
        </w:rPr>
      </w:pPr>
    </w:p>
    <w:p w14:paraId="77ACA6B9" w14:textId="5EEFC577" w:rsidR="00423F2E" w:rsidRPr="009B78CE" w:rsidRDefault="00EA7128" w:rsidP="00A457B2">
      <w:pPr>
        <w:rPr>
          <w:szCs w:val="24"/>
        </w:rPr>
      </w:pPr>
      <w:r w:rsidRPr="009B78CE">
        <w:rPr>
          <w:szCs w:val="24"/>
        </w:rPr>
        <w:t>Schedule 4</w:t>
      </w:r>
    </w:p>
    <w:p w14:paraId="468B3D26" w14:textId="03ED9B05" w:rsidR="006B21E9" w:rsidRDefault="00EA7128" w:rsidP="00A457B2">
      <w:pPr>
        <w:pStyle w:val="Heading1"/>
      </w:pPr>
      <w:r w:rsidRPr="009B78CE">
        <w:t>SPONSOR</w:t>
      </w:r>
      <w:r w:rsidR="006B21E9" w:rsidRPr="00851170">
        <w:t xml:space="preserve"> </w:t>
      </w:r>
    </w:p>
    <w:p w14:paraId="66B5A2F5" w14:textId="77777777" w:rsidR="003614D8" w:rsidRDefault="003614D8" w:rsidP="00A457B2">
      <w:pPr>
        <w:rPr>
          <w:lang w:val="en-US"/>
        </w:rPr>
      </w:pPr>
    </w:p>
    <w:p w14:paraId="61398E22" w14:textId="3F949DFE" w:rsidR="003614D8" w:rsidRDefault="002A6884" w:rsidP="00A457B2">
      <w:pPr>
        <w:rPr>
          <w:lang w:val="en-US"/>
        </w:rPr>
      </w:pPr>
      <w:r>
        <w:rPr>
          <w:lang w:val="en-US"/>
        </w:rPr>
        <w:t>Maxx Pharma Pty Ltd</w:t>
      </w:r>
    </w:p>
    <w:p w14:paraId="437DFA9B" w14:textId="7621C54A" w:rsidR="002A6884" w:rsidRDefault="002A6884" w:rsidP="00A457B2">
      <w:pPr>
        <w:rPr>
          <w:lang w:val="en-US"/>
        </w:rPr>
      </w:pPr>
      <w:r>
        <w:rPr>
          <w:lang w:val="en-US"/>
        </w:rPr>
        <w:t>Level 11, 500 Collins Street</w:t>
      </w:r>
    </w:p>
    <w:p w14:paraId="089AA371" w14:textId="60407F14" w:rsidR="002A6884" w:rsidRDefault="002A6884" w:rsidP="00A457B2">
      <w:pPr>
        <w:rPr>
          <w:lang w:val="en-US"/>
        </w:rPr>
      </w:pPr>
      <w:r>
        <w:rPr>
          <w:lang w:val="en-US"/>
        </w:rPr>
        <w:t>Melbourne, VIC, 3000</w:t>
      </w:r>
    </w:p>
    <w:p w14:paraId="0B1FB599" w14:textId="14B96CE4" w:rsidR="00BF5DE9" w:rsidRPr="00BF5DE9" w:rsidRDefault="00BF5DE9" w:rsidP="00A457B2">
      <w:pPr>
        <w:pStyle w:val="Heading3"/>
      </w:pPr>
      <w:r w:rsidRPr="00BF5DE9">
        <w:t>Manufacturer</w:t>
      </w:r>
      <w:r>
        <w:t>:</w:t>
      </w:r>
    </w:p>
    <w:p w14:paraId="5A867517" w14:textId="77777777" w:rsidR="00BF5DE9" w:rsidRPr="00BF5DE9" w:rsidRDefault="00BF5DE9" w:rsidP="00A457B2">
      <w:pPr>
        <w:rPr>
          <w:lang w:val="en-US"/>
        </w:rPr>
      </w:pPr>
      <w:r w:rsidRPr="00BF5DE9">
        <w:rPr>
          <w:lang w:val="en-US"/>
        </w:rPr>
        <w:t>BIAL – Portela &amp; Cª, S.A.</w:t>
      </w:r>
    </w:p>
    <w:p w14:paraId="7346CA45" w14:textId="4C39EF13" w:rsidR="00BF5DE9" w:rsidRPr="00EA4CC0" w:rsidRDefault="00BF5DE9" w:rsidP="00A457B2">
      <w:pPr>
        <w:rPr>
          <w:lang w:val="pt-PT"/>
        </w:rPr>
      </w:pPr>
      <w:r w:rsidRPr="00EA4CC0">
        <w:rPr>
          <w:lang w:val="pt-PT"/>
        </w:rPr>
        <w:t xml:space="preserve">À Av. </w:t>
      </w:r>
      <w:r w:rsidR="00BB78D0">
        <w:rPr>
          <w:lang w:val="pt-PT"/>
        </w:rPr>
        <w:t xml:space="preserve">da </w:t>
      </w:r>
      <w:r w:rsidRPr="00EA4CC0">
        <w:rPr>
          <w:lang w:val="pt-PT"/>
        </w:rPr>
        <w:t>Siderurgia Nacional</w:t>
      </w:r>
    </w:p>
    <w:p w14:paraId="637D7178" w14:textId="1C6A01D1" w:rsidR="00BF5DE9" w:rsidRPr="00BF5DE9" w:rsidRDefault="00BF5DE9" w:rsidP="00A457B2">
      <w:pPr>
        <w:rPr>
          <w:lang w:val="en-US"/>
        </w:rPr>
      </w:pPr>
      <w:r w:rsidRPr="00BF5DE9">
        <w:rPr>
          <w:lang w:val="en-US"/>
        </w:rPr>
        <w:t xml:space="preserve">4745-457 S. </w:t>
      </w:r>
      <w:proofErr w:type="spellStart"/>
      <w:r w:rsidRPr="00BF5DE9">
        <w:rPr>
          <w:lang w:val="en-US"/>
        </w:rPr>
        <w:t>Mamede</w:t>
      </w:r>
      <w:proofErr w:type="spellEnd"/>
      <w:r w:rsidRPr="00BF5DE9">
        <w:rPr>
          <w:lang w:val="en-US"/>
        </w:rPr>
        <w:t xml:space="preserve"> do</w:t>
      </w:r>
      <w:r>
        <w:rPr>
          <w:lang w:val="en-US"/>
        </w:rPr>
        <w:t xml:space="preserve"> </w:t>
      </w:r>
      <w:r w:rsidRPr="00BF5DE9">
        <w:rPr>
          <w:lang w:val="en-US"/>
        </w:rPr>
        <w:t>Coronado</w:t>
      </w:r>
    </w:p>
    <w:p w14:paraId="358017A6" w14:textId="5E76F59D" w:rsidR="00BF5DE9" w:rsidRDefault="00BF5DE9" w:rsidP="00A457B2">
      <w:pPr>
        <w:rPr>
          <w:lang w:val="en-US"/>
        </w:rPr>
      </w:pPr>
      <w:r w:rsidRPr="00BF5DE9">
        <w:rPr>
          <w:lang w:val="en-US"/>
        </w:rPr>
        <w:t>Portugal</w:t>
      </w:r>
    </w:p>
    <w:p w14:paraId="2975BFE8" w14:textId="2EDE4B8A" w:rsidR="00EA7128" w:rsidRDefault="006B21E9" w:rsidP="00A457B2">
      <w:pPr>
        <w:pStyle w:val="Heading1"/>
      </w:pPr>
      <w:r w:rsidRPr="00851170">
        <w:t xml:space="preserve">DATE OF FIRST </w:t>
      </w:r>
      <w:r w:rsidR="00EA7128" w:rsidRPr="009B78CE">
        <w:t>APPROVAL</w:t>
      </w:r>
    </w:p>
    <w:p w14:paraId="0944F411" w14:textId="65958537" w:rsidR="003614D8" w:rsidRDefault="003B62EF" w:rsidP="00A457B2">
      <w:pPr>
        <w:rPr>
          <w:rFonts w:eastAsia="MS Gothic"/>
          <w:lang w:val="en-US"/>
        </w:rPr>
      </w:pPr>
      <w:r>
        <w:rPr>
          <w:rFonts w:eastAsia="MS Gothic"/>
          <w:lang w:val="en-US"/>
        </w:rPr>
        <w:t>23 September 2020</w:t>
      </w:r>
    </w:p>
    <w:p w14:paraId="3553E753" w14:textId="77777777" w:rsidR="00EA7128" w:rsidRPr="00851170" w:rsidRDefault="004911DB" w:rsidP="00A457B2">
      <w:pPr>
        <w:pStyle w:val="Heading1"/>
      </w:pPr>
      <w:r w:rsidRPr="0023450C">
        <w:rPr>
          <w:caps w:val="0"/>
        </w:rPr>
        <w:t>DATE OF REVISION</w:t>
      </w:r>
    </w:p>
    <w:p w14:paraId="1F9853DD" w14:textId="57F74F77" w:rsidR="006B21E9" w:rsidRPr="00332E9D" w:rsidRDefault="002A6884" w:rsidP="00A457B2">
      <w:pPr>
        <w:rPr>
          <w:szCs w:val="22"/>
        </w:rPr>
      </w:pPr>
      <w:r>
        <w:rPr>
          <w:iCs/>
          <w:szCs w:val="22"/>
        </w:rPr>
        <w:t>Not applicable.</w:t>
      </w:r>
    </w:p>
    <w:p w14:paraId="037236D1" w14:textId="685EB06B" w:rsidR="00812D16" w:rsidRDefault="00812D16" w:rsidP="00A457B2"/>
    <w:sectPr w:rsidR="00812D16" w:rsidSect="001374C5">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55AD7" w14:textId="77777777" w:rsidR="00A457B2" w:rsidRDefault="00A457B2">
      <w:r>
        <w:separator/>
      </w:r>
    </w:p>
  </w:endnote>
  <w:endnote w:type="continuationSeparator" w:id="0">
    <w:p w14:paraId="3365BF45" w14:textId="77777777" w:rsidR="00A457B2" w:rsidRDefault="00A457B2">
      <w:r>
        <w:continuationSeparator/>
      </w:r>
    </w:p>
  </w:endnote>
  <w:endnote w:type="continuationNotice" w:id="1">
    <w:p w14:paraId="5DAA9C90" w14:textId="77777777" w:rsidR="00A457B2" w:rsidRDefault="00A457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0BCA" w14:textId="77777777" w:rsidR="00A457B2" w:rsidRDefault="00A45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8D504" w14:textId="75669B5B" w:rsidR="00A457B2" w:rsidRDefault="00A457B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C171D">
      <w:rPr>
        <w:rStyle w:val="PageNumber"/>
        <w:rFonts w:cs="Arial"/>
      </w:rPr>
      <w:t>13</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C95FC" w14:textId="5D57BC81" w:rsidR="00A457B2" w:rsidRDefault="00A457B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C171D">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D7E40" w14:textId="77777777" w:rsidR="00A457B2" w:rsidRDefault="00A457B2">
      <w:r>
        <w:separator/>
      </w:r>
    </w:p>
  </w:footnote>
  <w:footnote w:type="continuationSeparator" w:id="0">
    <w:p w14:paraId="7DD7DCA0" w14:textId="77777777" w:rsidR="00A457B2" w:rsidRDefault="00A457B2">
      <w:r>
        <w:continuationSeparator/>
      </w:r>
    </w:p>
  </w:footnote>
  <w:footnote w:type="continuationNotice" w:id="1">
    <w:p w14:paraId="412DB3FD" w14:textId="77777777" w:rsidR="00A457B2" w:rsidRDefault="00A457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325B0" w14:textId="77777777" w:rsidR="00A457B2" w:rsidRDefault="00A45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13" w:type="dxa"/>
      <w:shd w:val="clear" w:color="auto" w:fill="E4F2E0"/>
      <w:tblLook w:val="04A0" w:firstRow="1" w:lastRow="0" w:firstColumn="1" w:lastColumn="0" w:noHBand="0" w:noVBand="1"/>
    </w:tblPr>
    <w:tblGrid>
      <w:gridCol w:w="8897"/>
    </w:tblGrid>
    <w:tr w:rsidR="00A457B2" w:rsidRPr="000B2145" w14:paraId="1761BA10" w14:textId="77777777" w:rsidTr="00A457B2">
      <w:trPr>
        <w:trHeight w:val="1012"/>
      </w:trPr>
      <w:tc>
        <w:tcPr>
          <w:tcW w:w="8897" w:type="dxa"/>
          <w:shd w:val="clear" w:color="auto" w:fill="E4F2E0"/>
        </w:tcPr>
        <w:p w14:paraId="378A4652" w14:textId="77777777" w:rsidR="00A457B2" w:rsidRPr="00CC2D1C" w:rsidRDefault="00A457B2" w:rsidP="00770CAC">
          <w:pPr>
            <w:pStyle w:val="Footer"/>
            <w:rPr>
              <w:b/>
            </w:rPr>
          </w:pPr>
          <w:r w:rsidRPr="00EA0C3C">
            <w:rPr>
              <w:b/>
              <w:sz w:val="18"/>
              <w:szCs w:val="18"/>
            </w:rPr>
            <w:t>Attachment 1:</w:t>
          </w:r>
          <w:r>
            <w:t xml:space="preserve"> </w:t>
          </w:r>
          <w:r w:rsidRPr="00CC2D1C">
            <w:rPr>
              <w:b/>
            </w:rPr>
            <w:t>AusPAR – Ongentys - opicapone - Maxx Pharma Pty Ltd - PM-2019-03218-1-1</w:t>
          </w:r>
        </w:p>
        <w:p w14:paraId="4EB8820B" w14:textId="77777777" w:rsidR="00A457B2" w:rsidRPr="000B2145" w:rsidRDefault="00A457B2" w:rsidP="00770CAC">
          <w:pPr>
            <w:pStyle w:val="Footer"/>
            <w:rPr>
              <w:b/>
              <w:sz w:val="18"/>
              <w:szCs w:val="18"/>
            </w:rPr>
          </w:pPr>
          <w:r w:rsidRPr="00CC2D1C">
            <w:rPr>
              <w:b/>
            </w:rPr>
            <w:t>FINAL 10 February 2021</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rFonts w:eastAsia="Verdana"/>
                <w:b/>
              </w:rPr>
              <w:t>https://www.tga.gov.au/product-information-pi</w:t>
            </w:r>
          </w:hyperlink>
          <w:r w:rsidRPr="000B2145">
            <w:rPr>
              <w:b/>
              <w:sz w:val="18"/>
              <w:szCs w:val="18"/>
              <w:u w:val="single"/>
            </w:rPr>
            <w:t>&gt;</w:t>
          </w:r>
        </w:p>
      </w:tc>
    </w:tr>
  </w:tbl>
  <w:p w14:paraId="1DDDC34C" w14:textId="77777777" w:rsidR="00A457B2" w:rsidRPr="008924C3" w:rsidRDefault="00A457B2">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13" w:type="dxa"/>
      <w:shd w:val="clear" w:color="auto" w:fill="E4F2E0"/>
      <w:tblLook w:val="04A0" w:firstRow="1" w:lastRow="0" w:firstColumn="1" w:lastColumn="0" w:noHBand="0" w:noVBand="1"/>
    </w:tblPr>
    <w:tblGrid>
      <w:gridCol w:w="8897"/>
    </w:tblGrid>
    <w:tr w:rsidR="00A457B2" w:rsidRPr="000B2145" w14:paraId="49B76843" w14:textId="77777777" w:rsidTr="00A457B2">
      <w:trPr>
        <w:trHeight w:val="1012"/>
      </w:trPr>
      <w:tc>
        <w:tcPr>
          <w:tcW w:w="8897" w:type="dxa"/>
          <w:shd w:val="clear" w:color="auto" w:fill="E4F2E0"/>
        </w:tcPr>
        <w:p w14:paraId="69A301AE" w14:textId="77777777" w:rsidR="00A457B2" w:rsidRPr="00CC2D1C" w:rsidRDefault="00A457B2" w:rsidP="00770CAC">
          <w:pPr>
            <w:pStyle w:val="Footer"/>
            <w:rPr>
              <w:b/>
            </w:rPr>
          </w:pPr>
          <w:r w:rsidRPr="00EA0C3C">
            <w:rPr>
              <w:b/>
              <w:sz w:val="18"/>
              <w:szCs w:val="18"/>
            </w:rPr>
            <w:t>Attachment 1:</w:t>
          </w:r>
          <w:r>
            <w:t xml:space="preserve"> </w:t>
          </w:r>
          <w:r w:rsidRPr="00CC2D1C">
            <w:rPr>
              <w:b/>
            </w:rPr>
            <w:t>AusPAR – Ongentys - opicapone - Maxx Pharma Pty Ltd - PM-2019-03218-1-1</w:t>
          </w:r>
        </w:p>
        <w:p w14:paraId="2D845B82" w14:textId="77777777" w:rsidR="00A457B2" w:rsidRPr="000B2145" w:rsidRDefault="00A457B2" w:rsidP="00770CAC">
          <w:pPr>
            <w:pStyle w:val="Footer"/>
            <w:rPr>
              <w:b/>
              <w:sz w:val="18"/>
              <w:szCs w:val="18"/>
            </w:rPr>
          </w:pPr>
          <w:r w:rsidRPr="00CC2D1C">
            <w:rPr>
              <w:b/>
            </w:rPr>
            <w:t>FINAL 10 February 2021</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rFonts w:eastAsia="Verdana"/>
                <w:b/>
              </w:rPr>
              <w:t>https://www.tga.gov.au/product-information-pi</w:t>
            </w:r>
          </w:hyperlink>
          <w:r w:rsidRPr="000B2145">
            <w:rPr>
              <w:b/>
              <w:sz w:val="18"/>
              <w:szCs w:val="18"/>
              <w:u w:val="single"/>
            </w:rPr>
            <w:t>&gt;</w:t>
          </w:r>
        </w:p>
      </w:tc>
    </w:tr>
  </w:tbl>
  <w:p w14:paraId="23BD7057" w14:textId="33E05394" w:rsidR="00A457B2" w:rsidRPr="00F63997" w:rsidRDefault="00A457B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598AC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FC61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6A8D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4A88D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CE02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4283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D26E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F232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D0C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FC64F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0268D4"/>
    <w:multiLevelType w:val="multilevel"/>
    <w:tmpl w:val="DC6CD154"/>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11" w15:restartNumberingAfterBreak="0">
    <w:nsid w:val="19C0090D"/>
    <w:multiLevelType w:val="hybridMultilevel"/>
    <w:tmpl w:val="712E51D2"/>
    <w:lvl w:ilvl="0" w:tplc="DB806D2A">
      <w:start w:val="11"/>
      <w:numFmt w:val="bullet"/>
      <w:lvlText w:val="-"/>
      <w:lvlJc w:val="left"/>
      <w:pPr>
        <w:ind w:left="720" w:hanging="360"/>
      </w:pPr>
      <w:rPr>
        <w:rFonts w:ascii="Times New Roman" w:eastAsia="Times New Roman"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24F87CA9"/>
    <w:multiLevelType w:val="hybridMultilevel"/>
    <w:tmpl w:val="A030FDF8"/>
    <w:lvl w:ilvl="0" w:tplc="35FC536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B9623E"/>
    <w:multiLevelType w:val="multilevel"/>
    <w:tmpl w:val="6630D20C"/>
    <w:lvl w:ilvl="0">
      <w:start w:val="1"/>
      <w:numFmt w:val="lowerLetter"/>
      <w:pStyle w:val="TableFootnoteLetter"/>
      <w:lvlText w:val="%1"/>
      <w:lvlJc w:val="left"/>
      <w:pPr>
        <w:tabs>
          <w:tab w:val="num" w:pos="357"/>
        </w:tabs>
        <w:ind w:left="357" w:hanging="357"/>
      </w:pPr>
      <w:rPr>
        <w:rFonts w:ascii="Times New Roman" w:hAnsi="Times New Roman" w:hint="default"/>
        <w:b w:val="0"/>
        <w:i w:val="0"/>
        <w:caps w:val="0"/>
        <w:sz w:val="18"/>
        <w:u w:val="none"/>
        <w:vertAlign w:val="superscrip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6A784BFF"/>
    <w:multiLevelType w:val="hybridMultilevel"/>
    <w:tmpl w:val="337EC5EC"/>
    <w:lvl w:ilvl="0" w:tplc="7F8A5EB2">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F27661"/>
    <w:multiLevelType w:val="hybridMultilevel"/>
    <w:tmpl w:val="505C719E"/>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 w:numId="14">
    <w:abstractNumId w:val="14"/>
  </w:num>
  <w:num w:numId="15">
    <w:abstractNumId w:val="11"/>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5648"/>
    <w:rsid w:val="00005701"/>
    <w:rsid w:val="000059BC"/>
    <w:rsid w:val="0000654A"/>
    <w:rsid w:val="000067C0"/>
    <w:rsid w:val="00007528"/>
    <w:rsid w:val="00007852"/>
    <w:rsid w:val="00010F71"/>
    <w:rsid w:val="0001164F"/>
    <w:rsid w:val="00011AB6"/>
    <w:rsid w:val="00014869"/>
    <w:rsid w:val="000150D3"/>
    <w:rsid w:val="000166C1"/>
    <w:rsid w:val="000169FA"/>
    <w:rsid w:val="0002006B"/>
    <w:rsid w:val="00020AE8"/>
    <w:rsid w:val="000212BB"/>
    <w:rsid w:val="00023A2C"/>
    <w:rsid w:val="000243D4"/>
    <w:rsid w:val="00024E34"/>
    <w:rsid w:val="00025EBE"/>
    <w:rsid w:val="00026BF2"/>
    <w:rsid w:val="000270CA"/>
    <w:rsid w:val="000271F6"/>
    <w:rsid w:val="00027B40"/>
    <w:rsid w:val="00030445"/>
    <w:rsid w:val="000318C7"/>
    <w:rsid w:val="00031EFE"/>
    <w:rsid w:val="00033D26"/>
    <w:rsid w:val="00033FDB"/>
    <w:rsid w:val="000344F6"/>
    <w:rsid w:val="000347BB"/>
    <w:rsid w:val="00034D2B"/>
    <w:rsid w:val="00034EAA"/>
    <w:rsid w:val="00042263"/>
    <w:rsid w:val="00042A95"/>
    <w:rsid w:val="00043505"/>
    <w:rsid w:val="00043811"/>
    <w:rsid w:val="00043C70"/>
    <w:rsid w:val="00043E88"/>
    <w:rsid w:val="00044042"/>
    <w:rsid w:val="0004522C"/>
    <w:rsid w:val="000474D2"/>
    <w:rsid w:val="000479C5"/>
    <w:rsid w:val="00050DFD"/>
    <w:rsid w:val="00051668"/>
    <w:rsid w:val="00051EC1"/>
    <w:rsid w:val="00053809"/>
    <w:rsid w:val="00053914"/>
    <w:rsid w:val="00054756"/>
    <w:rsid w:val="0005539B"/>
    <w:rsid w:val="000560C5"/>
    <w:rsid w:val="00056C49"/>
    <w:rsid w:val="00056FE0"/>
    <w:rsid w:val="000603C8"/>
    <w:rsid w:val="000604EF"/>
    <w:rsid w:val="000608A4"/>
    <w:rsid w:val="00060AA1"/>
    <w:rsid w:val="00062021"/>
    <w:rsid w:val="0006289D"/>
    <w:rsid w:val="00062ED8"/>
    <w:rsid w:val="00062F40"/>
    <w:rsid w:val="000631FD"/>
    <w:rsid w:val="0006331B"/>
    <w:rsid w:val="000643D3"/>
    <w:rsid w:val="00064422"/>
    <w:rsid w:val="00064431"/>
    <w:rsid w:val="00066EE5"/>
    <w:rsid w:val="00067B16"/>
    <w:rsid w:val="00067B34"/>
    <w:rsid w:val="00071B90"/>
    <w:rsid w:val="00071F8A"/>
    <w:rsid w:val="00073E04"/>
    <w:rsid w:val="00073EEB"/>
    <w:rsid w:val="00073F5F"/>
    <w:rsid w:val="0007401B"/>
    <w:rsid w:val="0007628D"/>
    <w:rsid w:val="00076702"/>
    <w:rsid w:val="00076940"/>
    <w:rsid w:val="00076F38"/>
    <w:rsid w:val="000771E4"/>
    <w:rsid w:val="00077DAB"/>
    <w:rsid w:val="000800EE"/>
    <w:rsid w:val="00081DAB"/>
    <w:rsid w:val="000837EC"/>
    <w:rsid w:val="00083EF6"/>
    <w:rsid w:val="00092829"/>
    <w:rsid w:val="00092B09"/>
    <w:rsid w:val="0009351E"/>
    <w:rsid w:val="0009479A"/>
    <w:rsid w:val="00094AD6"/>
    <w:rsid w:val="00095034"/>
    <w:rsid w:val="00095D61"/>
    <w:rsid w:val="00095E44"/>
    <w:rsid w:val="0009683C"/>
    <w:rsid w:val="00096D8D"/>
    <w:rsid w:val="0009755A"/>
    <w:rsid w:val="00097D1C"/>
    <w:rsid w:val="000A1232"/>
    <w:rsid w:val="000A1844"/>
    <w:rsid w:val="000A1A9A"/>
    <w:rsid w:val="000A30E5"/>
    <w:rsid w:val="000A36B9"/>
    <w:rsid w:val="000A3CD0"/>
    <w:rsid w:val="000A40D0"/>
    <w:rsid w:val="000A417A"/>
    <w:rsid w:val="000A48C4"/>
    <w:rsid w:val="000B0097"/>
    <w:rsid w:val="000B101F"/>
    <w:rsid w:val="000B1F4B"/>
    <w:rsid w:val="000B2F27"/>
    <w:rsid w:val="000B2F58"/>
    <w:rsid w:val="000B37A8"/>
    <w:rsid w:val="000B3B86"/>
    <w:rsid w:val="000B4873"/>
    <w:rsid w:val="000B4949"/>
    <w:rsid w:val="000B4D2F"/>
    <w:rsid w:val="000B51D9"/>
    <w:rsid w:val="000B5699"/>
    <w:rsid w:val="000C03FB"/>
    <w:rsid w:val="000C2690"/>
    <w:rsid w:val="000C2DFB"/>
    <w:rsid w:val="000C308F"/>
    <w:rsid w:val="000C37E3"/>
    <w:rsid w:val="000C5A4E"/>
    <w:rsid w:val="000C635D"/>
    <w:rsid w:val="000C6D2B"/>
    <w:rsid w:val="000C7F49"/>
    <w:rsid w:val="000D1AEE"/>
    <w:rsid w:val="000D1F4F"/>
    <w:rsid w:val="000D26AA"/>
    <w:rsid w:val="000D4D07"/>
    <w:rsid w:val="000D510D"/>
    <w:rsid w:val="000D6095"/>
    <w:rsid w:val="000D6622"/>
    <w:rsid w:val="000D7535"/>
    <w:rsid w:val="000E165D"/>
    <w:rsid w:val="000E1BAF"/>
    <w:rsid w:val="000E223E"/>
    <w:rsid w:val="000E2491"/>
    <w:rsid w:val="000E265A"/>
    <w:rsid w:val="000E2EA9"/>
    <w:rsid w:val="000E46A3"/>
    <w:rsid w:val="000E4E88"/>
    <w:rsid w:val="000E55E6"/>
    <w:rsid w:val="000E5726"/>
    <w:rsid w:val="000E6C94"/>
    <w:rsid w:val="000E6FE9"/>
    <w:rsid w:val="000F1BB2"/>
    <w:rsid w:val="000F217A"/>
    <w:rsid w:val="000F2E4D"/>
    <w:rsid w:val="000F3B2A"/>
    <w:rsid w:val="000F3DDB"/>
    <w:rsid w:val="000F3F94"/>
    <w:rsid w:val="000F5145"/>
    <w:rsid w:val="000F5235"/>
    <w:rsid w:val="000F5B21"/>
    <w:rsid w:val="000F6289"/>
    <w:rsid w:val="000F7014"/>
    <w:rsid w:val="00101EC1"/>
    <w:rsid w:val="001030E4"/>
    <w:rsid w:val="001033AB"/>
    <w:rsid w:val="00103501"/>
    <w:rsid w:val="00103B2D"/>
    <w:rsid w:val="00103C8E"/>
    <w:rsid w:val="00103CD2"/>
    <w:rsid w:val="00104061"/>
    <w:rsid w:val="0010476C"/>
    <w:rsid w:val="00104AED"/>
    <w:rsid w:val="00105D7E"/>
    <w:rsid w:val="001071B6"/>
    <w:rsid w:val="00107236"/>
    <w:rsid w:val="001101A2"/>
    <w:rsid w:val="001106F7"/>
    <w:rsid w:val="001108A9"/>
    <w:rsid w:val="00112CCB"/>
    <w:rsid w:val="00112EDA"/>
    <w:rsid w:val="00113FC4"/>
    <w:rsid w:val="00114174"/>
    <w:rsid w:val="00117C1D"/>
    <w:rsid w:val="00120124"/>
    <w:rsid w:val="00120DD3"/>
    <w:rsid w:val="001220BB"/>
    <w:rsid w:val="00123688"/>
    <w:rsid w:val="00124436"/>
    <w:rsid w:val="00124719"/>
    <w:rsid w:val="001249E4"/>
    <w:rsid w:val="00125489"/>
    <w:rsid w:val="0012603D"/>
    <w:rsid w:val="00127F47"/>
    <w:rsid w:val="00133572"/>
    <w:rsid w:val="00135070"/>
    <w:rsid w:val="001361EA"/>
    <w:rsid w:val="001364FB"/>
    <w:rsid w:val="001365F2"/>
    <w:rsid w:val="00136D7A"/>
    <w:rsid w:val="001374C5"/>
    <w:rsid w:val="00140D30"/>
    <w:rsid w:val="00141470"/>
    <w:rsid w:val="00141540"/>
    <w:rsid w:val="00142A48"/>
    <w:rsid w:val="00143313"/>
    <w:rsid w:val="001449DF"/>
    <w:rsid w:val="0014569B"/>
    <w:rsid w:val="001470E0"/>
    <w:rsid w:val="00150060"/>
    <w:rsid w:val="001517A7"/>
    <w:rsid w:val="00151CE3"/>
    <w:rsid w:val="00153AD6"/>
    <w:rsid w:val="00153B53"/>
    <w:rsid w:val="00153CEE"/>
    <w:rsid w:val="00154C69"/>
    <w:rsid w:val="00155C02"/>
    <w:rsid w:val="00156299"/>
    <w:rsid w:val="00156E7D"/>
    <w:rsid w:val="0015704C"/>
    <w:rsid w:val="00157895"/>
    <w:rsid w:val="00161652"/>
    <w:rsid w:val="00161701"/>
    <w:rsid w:val="00161E87"/>
    <w:rsid w:val="00164CC2"/>
    <w:rsid w:val="0016566C"/>
    <w:rsid w:val="001727F0"/>
    <w:rsid w:val="00172B06"/>
    <w:rsid w:val="00173289"/>
    <w:rsid w:val="0017347E"/>
    <w:rsid w:val="001752D8"/>
    <w:rsid w:val="00175931"/>
    <w:rsid w:val="00176282"/>
    <w:rsid w:val="00176B25"/>
    <w:rsid w:val="00177302"/>
    <w:rsid w:val="001807CD"/>
    <w:rsid w:val="0018238B"/>
    <w:rsid w:val="00183419"/>
    <w:rsid w:val="0018394A"/>
    <w:rsid w:val="00184DCC"/>
    <w:rsid w:val="00186A9D"/>
    <w:rsid w:val="001874A6"/>
    <w:rsid w:val="0018765B"/>
    <w:rsid w:val="00187A7C"/>
    <w:rsid w:val="0019062E"/>
    <w:rsid w:val="00190913"/>
    <w:rsid w:val="0019236A"/>
    <w:rsid w:val="0019300A"/>
    <w:rsid w:val="00193B21"/>
    <w:rsid w:val="00193DD3"/>
    <w:rsid w:val="001948AA"/>
    <w:rsid w:val="0019540E"/>
    <w:rsid w:val="00195F65"/>
    <w:rsid w:val="00197A1A"/>
    <w:rsid w:val="001A07E2"/>
    <w:rsid w:val="001A0A5D"/>
    <w:rsid w:val="001A16C7"/>
    <w:rsid w:val="001A2018"/>
    <w:rsid w:val="001A2D55"/>
    <w:rsid w:val="001A33B6"/>
    <w:rsid w:val="001A37BE"/>
    <w:rsid w:val="001A56F1"/>
    <w:rsid w:val="001A5D0E"/>
    <w:rsid w:val="001A7D8C"/>
    <w:rsid w:val="001B01C8"/>
    <w:rsid w:val="001B04E1"/>
    <w:rsid w:val="001B0B52"/>
    <w:rsid w:val="001B13F6"/>
    <w:rsid w:val="001B1747"/>
    <w:rsid w:val="001B29E3"/>
    <w:rsid w:val="001B2D44"/>
    <w:rsid w:val="001B2E43"/>
    <w:rsid w:val="001B33F2"/>
    <w:rsid w:val="001B3CF1"/>
    <w:rsid w:val="001B752A"/>
    <w:rsid w:val="001B7C72"/>
    <w:rsid w:val="001C12FB"/>
    <w:rsid w:val="001C25F7"/>
    <w:rsid w:val="001C2DB4"/>
    <w:rsid w:val="001C321C"/>
    <w:rsid w:val="001C3228"/>
    <w:rsid w:val="001C35E9"/>
    <w:rsid w:val="001C36BD"/>
    <w:rsid w:val="001C3733"/>
    <w:rsid w:val="001C3C7A"/>
    <w:rsid w:val="001C49B3"/>
    <w:rsid w:val="001C50AA"/>
    <w:rsid w:val="001C5B30"/>
    <w:rsid w:val="001C7144"/>
    <w:rsid w:val="001D2953"/>
    <w:rsid w:val="001D3C05"/>
    <w:rsid w:val="001D4DEB"/>
    <w:rsid w:val="001D5DAC"/>
    <w:rsid w:val="001D5FA4"/>
    <w:rsid w:val="001D6AF4"/>
    <w:rsid w:val="001E0CC1"/>
    <w:rsid w:val="001E1C10"/>
    <w:rsid w:val="001E3305"/>
    <w:rsid w:val="001E338E"/>
    <w:rsid w:val="001E3CC0"/>
    <w:rsid w:val="001E3D94"/>
    <w:rsid w:val="001E5980"/>
    <w:rsid w:val="001E77C3"/>
    <w:rsid w:val="001F069C"/>
    <w:rsid w:val="001F090B"/>
    <w:rsid w:val="001F180A"/>
    <w:rsid w:val="001F19A1"/>
    <w:rsid w:val="001F1A28"/>
    <w:rsid w:val="001F1AD0"/>
    <w:rsid w:val="001F35E8"/>
    <w:rsid w:val="001F4014"/>
    <w:rsid w:val="001F445E"/>
    <w:rsid w:val="001F5B4A"/>
    <w:rsid w:val="001F5D13"/>
    <w:rsid w:val="001F5F6B"/>
    <w:rsid w:val="001F6423"/>
    <w:rsid w:val="0020028B"/>
    <w:rsid w:val="00201213"/>
    <w:rsid w:val="0020165E"/>
    <w:rsid w:val="00201A02"/>
    <w:rsid w:val="00201ECD"/>
    <w:rsid w:val="00201F1C"/>
    <w:rsid w:val="0020272E"/>
    <w:rsid w:val="00202E50"/>
    <w:rsid w:val="002040AD"/>
    <w:rsid w:val="002046E9"/>
    <w:rsid w:val="00204AAB"/>
    <w:rsid w:val="00205180"/>
    <w:rsid w:val="00205FB3"/>
    <w:rsid w:val="00207F81"/>
    <w:rsid w:val="002109F4"/>
    <w:rsid w:val="00211FDA"/>
    <w:rsid w:val="00213815"/>
    <w:rsid w:val="00215EBA"/>
    <w:rsid w:val="00215FDA"/>
    <w:rsid w:val="002160C2"/>
    <w:rsid w:val="002177E0"/>
    <w:rsid w:val="002179FD"/>
    <w:rsid w:val="00222BB9"/>
    <w:rsid w:val="002238E2"/>
    <w:rsid w:val="00224676"/>
    <w:rsid w:val="00224925"/>
    <w:rsid w:val="00224D4D"/>
    <w:rsid w:val="002258D6"/>
    <w:rsid w:val="002268FE"/>
    <w:rsid w:val="002274FB"/>
    <w:rsid w:val="002309D2"/>
    <w:rsid w:val="00230AB9"/>
    <w:rsid w:val="00231B61"/>
    <w:rsid w:val="0023315B"/>
    <w:rsid w:val="0023450C"/>
    <w:rsid w:val="002347FE"/>
    <w:rsid w:val="00236945"/>
    <w:rsid w:val="0024178D"/>
    <w:rsid w:val="0024392B"/>
    <w:rsid w:val="002450C6"/>
    <w:rsid w:val="002456C9"/>
    <w:rsid w:val="00245DCF"/>
    <w:rsid w:val="00246725"/>
    <w:rsid w:val="00246C65"/>
    <w:rsid w:val="0024721F"/>
    <w:rsid w:val="00251105"/>
    <w:rsid w:val="002514D7"/>
    <w:rsid w:val="00251A10"/>
    <w:rsid w:val="00252BFF"/>
    <w:rsid w:val="0025303B"/>
    <w:rsid w:val="00253584"/>
    <w:rsid w:val="00253732"/>
    <w:rsid w:val="00253F0A"/>
    <w:rsid w:val="002542A8"/>
    <w:rsid w:val="002546A3"/>
    <w:rsid w:val="002576BC"/>
    <w:rsid w:val="002603FF"/>
    <w:rsid w:val="00260A11"/>
    <w:rsid w:val="00261594"/>
    <w:rsid w:val="0026169A"/>
    <w:rsid w:val="00262763"/>
    <w:rsid w:val="0026430F"/>
    <w:rsid w:val="00264BEA"/>
    <w:rsid w:val="00264DE0"/>
    <w:rsid w:val="00265F1E"/>
    <w:rsid w:val="00267850"/>
    <w:rsid w:val="00270DC6"/>
    <w:rsid w:val="00271032"/>
    <w:rsid w:val="00273E3E"/>
    <w:rsid w:val="00274147"/>
    <w:rsid w:val="00275189"/>
    <w:rsid w:val="00275559"/>
    <w:rsid w:val="002756DC"/>
    <w:rsid w:val="00276412"/>
    <w:rsid w:val="00276437"/>
    <w:rsid w:val="00277424"/>
    <w:rsid w:val="00280053"/>
    <w:rsid w:val="0028063F"/>
    <w:rsid w:val="00280740"/>
    <w:rsid w:val="002809BA"/>
    <w:rsid w:val="00280A35"/>
    <w:rsid w:val="00281D83"/>
    <w:rsid w:val="002823E6"/>
    <w:rsid w:val="00283B02"/>
    <w:rsid w:val="00283C5D"/>
    <w:rsid w:val="002844B0"/>
    <w:rsid w:val="00286322"/>
    <w:rsid w:val="002866C3"/>
    <w:rsid w:val="002919A1"/>
    <w:rsid w:val="00293F99"/>
    <w:rsid w:val="00296B03"/>
    <w:rsid w:val="00296C1F"/>
    <w:rsid w:val="002A3F27"/>
    <w:rsid w:val="002A41E6"/>
    <w:rsid w:val="002A44C8"/>
    <w:rsid w:val="002A5C97"/>
    <w:rsid w:val="002A5E48"/>
    <w:rsid w:val="002A6884"/>
    <w:rsid w:val="002B0059"/>
    <w:rsid w:val="002B0455"/>
    <w:rsid w:val="002B07F5"/>
    <w:rsid w:val="002B15F2"/>
    <w:rsid w:val="002B261C"/>
    <w:rsid w:val="002B2BEE"/>
    <w:rsid w:val="002B35C5"/>
    <w:rsid w:val="002B3935"/>
    <w:rsid w:val="002B398B"/>
    <w:rsid w:val="002B406A"/>
    <w:rsid w:val="002B41D4"/>
    <w:rsid w:val="002B543F"/>
    <w:rsid w:val="002B6165"/>
    <w:rsid w:val="002B7D73"/>
    <w:rsid w:val="002C06E3"/>
    <w:rsid w:val="002C0801"/>
    <w:rsid w:val="002C1215"/>
    <w:rsid w:val="002C145F"/>
    <w:rsid w:val="002C1CDA"/>
    <w:rsid w:val="002C1D42"/>
    <w:rsid w:val="002C2FF1"/>
    <w:rsid w:val="002C33B3"/>
    <w:rsid w:val="002C3792"/>
    <w:rsid w:val="002C44B0"/>
    <w:rsid w:val="002C4E07"/>
    <w:rsid w:val="002C525A"/>
    <w:rsid w:val="002C5266"/>
    <w:rsid w:val="002C5AA1"/>
    <w:rsid w:val="002C6BD3"/>
    <w:rsid w:val="002D0586"/>
    <w:rsid w:val="002D1023"/>
    <w:rsid w:val="002D1459"/>
    <w:rsid w:val="002D1470"/>
    <w:rsid w:val="002D21CF"/>
    <w:rsid w:val="002D3DB7"/>
    <w:rsid w:val="002D4705"/>
    <w:rsid w:val="002D5B65"/>
    <w:rsid w:val="002D5E8F"/>
    <w:rsid w:val="002D6396"/>
    <w:rsid w:val="002D7062"/>
    <w:rsid w:val="002D7E5E"/>
    <w:rsid w:val="002E07BA"/>
    <w:rsid w:val="002E07EF"/>
    <w:rsid w:val="002E0D06"/>
    <w:rsid w:val="002E1810"/>
    <w:rsid w:val="002E26F5"/>
    <w:rsid w:val="002E353A"/>
    <w:rsid w:val="002E3828"/>
    <w:rsid w:val="002E4917"/>
    <w:rsid w:val="002E4D7E"/>
    <w:rsid w:val="002E4E94"/>
    <w:rsid w:val="002E51E7"/>
    <w:rsid w:val="002E5A56"/>
    <w:rsid w:val="002F1F28"/>
    <w:rsid w:val="002F43CA"/>
    <w:rsid w:val="002F482C"/>
    <w:rsid w:val="002F51E5"/>
    <w:rsid w:val="002F57AA"/>
    <w:rsid w:val="002F62CC"/>
    <w:rsid w:val="002F69A8"/>
    <w:rsid w:val="002F6EF7"/>
    <w:rsid w:val="002F714C"/>
    <w:rsid w:val="002F77BF"/>
    <w:rsid w:val="003004A2"/>
    <w:rsid w:val="00301ABD"/>
    <w:rsid w:val="00301D64"/>
    <w:rsid w:val="00303DD5"/>
    <w:rsid w:val="00304528"/>
    <w:rsid w:val="00307B74"/>
    <w:rsid w:val="00307C59"/>
    <w:rsid w:val="00310436"/>
    <w:rsid w:val="00310764"/>
    <w:rsid w:val="00311BFD"/>
    <w:rsid w:val="00311DF5"/>
    <w:rsid w:val="00313D1F"/>
    <w:rsid w:val="00314718"/>
    <w:rsid w:val="0031488A"/>
    <w:rsid w:val="00314986"/>
    <w:rsid w:val="00316BA6"/>
    <w:rsid w:val="003175E1"/>
    <w:rsid w:val="00320203"/>
    <w:rsid w:val="00322002"/>
    <w:rsid w:val="003247B0"/>
    <w:rsid w:val="00325E81"/>
    <w:rsid w:val="00326948"/>
    <w:rsid w:val="00327052"/>
    <w:rsid w:val="00331EB7"/>
    <w:rsid w:val="0033258E"/>
    <w:rsid w:val="003328ED"/>
    <w:rsid w:val="00332E9D"/>
    <w:rsid w:val="0033486D"/>
    <w:rsid w:val="00334C43"/>
    <w:rsid w:val="00335228"/>
    <w:rsid w:val="00335F28"/>
    <w:rsid w:val="003367C4"/>
    <w:rsid w:val="00336D8E"/>
    <w:rsid w:val="003376B3"/>
    <w:rsid w:val="0034178E"/>
    <w:rsid w:val="003425CA"/>
    <w:rsid w:val="0034466C"/>
    <w:rsid w:val="00344796"/>
    <w:rsid w:val="003448E5"/>
    <w:rsid w:val="00345F9C"/>
    <w:rsid w:val="00346112"/>
    <w:rsid w:val="00347776"/>
    <w:rsid w:val="00347C4D"/>
    <w:rsid w:val="00350033"/>
    <w:rsid w:val="00350350"/>
    <w:rsid w:val="00351A91"/>
    <w:rsid w:val="00351AE9"/>
    <w:rsid w:val="003520C4"/>
    <w:rsid w:val="003533AE"/>
    <w:rsid w:val="00355E14"/>
    <w:rsid w:val="00356C91"/>
    <w:rsid w:val="00357C5E"/>
    <w:rsid w:val="003608BD"/>
    <w:rsid w:val="00361280"/>
    <w:rsid w:val="003614D8"/>
    <w:rsid w:val="003615F1"/>
    <w:rsid w:val="00361A6E"/>
    <w:rsid w:val="003626AF"/>
    <w:rsid w:val="003627E9"/>
    <w:rsid w:val="0036332C"/>
    <w:rsid w:val="003637E1"/>
    <w:rsid w:val="003639F8"/>
    <w:rsid w:val="00363C50"/>
    <w:rsid w:val="00363D7F"/>
    <w:rsid w:val="0036655E"/>
    <w:rsid w:val="00367C66"/>
    <w:rsid w:val="003700B2"/>
    <w:rsid w:val="003701A5"/>
    <w:rsid w:val="0037028A"/>
    <w:rsid w:val="0037233D"/>
    <w:rsid w:val="003736EF"/>
    <w:rsid w:val="003737E3"/>
    <w:rsid w:val="00376B72"/>
    <w:rsid w:val="00380130"/>
    <w:rsid w:val="00380A1A"/>
    <w:rsid w:val="00380D80"/>
    <w:rsid w:val="00380D89"/>
    <w:rsid w:val="00384678"/>
    <w:rsid w:val="0038500E"/>
    <w:rsid w:val="00385614"/>
    <w:rsid w:val="00387477"/>
    <w:rsid w:val="0038761D"/>
    <w:rsid w:val="003906F8"/>
    <w:rsid w:val="003935EE"/>
    <w:rsid w:val="003937AB"/>
    <w:rsid w:val="00393EE9"/>
    <w:rsid w:val="0039408A"/>
    <w:rsid w:val="003945F5"/>
    <w:rsid w:val="00394846"/>
    <w:rsid w:val="0039673D"/>
    <w:rsid w:val="003975DA"/>
    <w:rsid w:val="00397893"/>
    <w:rsid w:val="003A1053"/>
    <w:rsid w:val="003A2407"/>
    <w:rsid w:val="003A2CF0"/>
    <w:rsid w:val="003A33D3"/>
    <w:rsid w:val="003A3880"/>
    <w:rsid w:val="003A4507"/>
    <w:rsid w:val="003A4B52"/>
    <w:rsid w:val="003A5BC5"/>
    <w:rsid w:val="003A5D55"/>
    <w:rsid w:val="003A680D"/>
    <w:rsid w:val="003A699D"/>
    <w:rsid w:val="003A75E6"/>
    <w:rsid w:val="003B15A3"/>
    <w:rsid w:val="003B1BBF"/>
    <w:rsid w:val="003B1CCC"/>
    <w:rsid w:val="003B255B"/>
    <w:rsid w:val="003B3317"/>
    <w:rsid w:val="003B36EA"/>
    <w:rsid w:val="003B4B2F"/>
    <w:rsid w:val="003B4C50"/>
    <w:rsid w:val="003B52D4"/>
    <w:rsid w:val="003B55C5"/>
    <w:rsid w:val="003B62EF"/>
    <w:rsid w:val="003B7DCF"/>
    <w:rsid w:val="003C0F25"/>
    <w:rsid w:val="003C1628"/>
    <w:rsid w:val="003C1CA5"/>
    <w:rsid w:val="003C1EC7"/>
    <w:rsid w:val="003C2B35"/>
    <w:rsid w:val="003C3D8E"/>
    <w:rsid w:val="003C5DEB"/>
    <w:rsid w:val="003C5E61"/>
    <w:rsid w:val="003C64A0"/>
    <w:rsid w:val="003C6685"/>
    <w:rsid w:val="003C66FA"/>
    <w:rsid w:val="003C6F0B"/>
    <w:rsid w:val="003C7427"/>
    <w:rsid w:val="003C7BA3"/>
    <w:rsid w:val="003D0C3F"/>
    <w:rsid w:val="003D0C8D"/>
    <w:rsid w:val="003D26D1"/>
    <w:rsid w:val="003D33DC"/>
    <w:rsid w:val="003D3642"/>
    <w:rsid w:val="003D4B2D"/>
    <w:rsid w:val="003D4E9C"/>
    <w:rsid w:val="003D5EE8"/>
    <w:rsid w:val="003D7D92"/>
    <w:rsid w:val="003E0795"/>
    <w:rsid w:val="003E0D78"/>
    <w:rsid w:val="003E1CB1"/>
    <w:rsid w:val="003E21BA"/>
    <w:rsid w:val="003E2A65"/>
    <w:rsid w:val="003E3A1D"/>
    <w:rsid w:val="003E54B5"/>
    <w:rsid w:val="003E5C4A"/>
    <w:rsid w:val="003E5EA3"/>
    <w:rsid w:val="003E6CA0"/>
    <w:rsid w:val="003F0AB8"/>
    <w:rsid w:val="003F0E5E"/>
    <w:rsid w:val="003F1F41"/>
    <w:rsid w:val="003F289E"/>
    <w:rsid w:val="003F2FDE"/>
    <w:rsid w:val="003F330B"/>
    <w:rsid w:val="003F5678"/>
    <w:rsid w:val="003F5BCB"/>
    <w:rsid w:val="003F6FDF"/>
    <w:rsid w:val="004014B3"/>
    <w:rsid w:val="004016F5"/>
    <w:rsid w:val="0040338C"/>
    <w:rsid w:val="004045AA"/>
    <w:rsid w:val="0040549A"/>
    <w:rsid w:val="00405CC9"/>
    <w:rsid w:val="0040711E"/>
    <w:rsid w:val="00407BFF"/>
    <w:rsid w:val="00407D67"/>
    <w:rsid w:val="00407ED3"/>
    <w:rsid w:val="00410E23"/>
    <w:rsid w:val="00412450"/>
    <w:rsid w:val="004138DE"/>
    <w:rsid w:val="00413B39"/>
    <w:rsid w:val="00413B52"/>
    <w:rsid w:val="00414B2F"/>
    <w:rsid w:val="00414DD1"/>
    <w:rsid w:val="00415E58"/>
    <w:rsid w:val="00416231"/>
    <w:rsid w:val="0041702D"/>
    <w:rsid w:val="004208AB"/>
    <w:rsid w:val="004219EF"/>
    <w:rsid w:val="00421A72"/>
    <w:rsid w:val="00423F2E"/>
    <w:rsid w:val="00424348"/>
    <w:rsid w:val="00426335"/>
    <w:rsid w:val="00426CD9"/>
    <w:rsid w:val="00426D45"/>
    <w:rsid w:val="00427B3D"/>
    <w:rsid w:val="00430FEB"/>
    <w:rsid w:val="004310EE"/>
    <w:rsid w:val="00431C1E"/>
    <w:rsid w:val="004322E7"/>
    <w:rsid w:val="00432AC6"/>
    <w:rsid w:val="00433677"/>
    <w:rsid w:val="004340D5"/>
    <w:rsid w:val="00434880"/>
    <w:rsid w:val="00434A21"/>
    <w:rsid w:val="00434E3B"/>
    <w:rsid w:val="0043526D"/>
    <w:rsid w:val="00436604"/>
    <w:rsid w:val="00436707"/>
    <w:rsid w:val="0043757C"/>
    <w:rsid w:val="00437FFE"/>
    <w:rsid w:val="00440490"/>
    <w:rsid w:val="004420DE"/>
    <w:rsid w:val="0044341E"/>
    <w:rsid w:val="00445372"/>
    <w:rsid w:val="00445F7D"/>
    <w:rsid w:val="004460E9"/>
    <w:rsid w:val="00447B3C"/>
    <w:rsid w:val="00447B6F"/>
    <w:rsid w:val="00450B23"/>
    <w:rsid w:val="00453511"/>
    <w:rsid w:val="00453623"/>
    <w:rsid w:val="0045377B"/>
    <w:rsid w:val="00453C11"/>
    <w:rsid w:val="004557B0"/>
    <w:rsid w:val="00457946"/>
    <w:rsid w:val="00457D8B"/>
    <w:rsid w:val="00460A17"/>
    <w:rsid w:val="004619A2"/>
    <w:rsid w:val="00462F79"/>
    <w:rsid w:val="00463438"/>
    <w:rsid w:val="00463ECE"/>
    <w:rsid w:val="00464D2A"/>
    <w:rsid w:val="00465388"/>
    <w:rsid w:val="00465F98"/>
    <w:rsid w:val="00467079"/>
    <w:rsid w:val="004677C9"/>
    <w:rsid w:val="004679D8"/>
    <w:rsid w:val="00470CB5"/>
    <w:rsid w:val="00471EAB"/>
    <w:rsid w:val="004723EE"/>
    <w:rsid w:val="004724E5"/>
    <w:rsid w:val="00475A92"/>
    <w:rsid w:val="0047675C"/>
    <w:rsid w:val="0047706E"/>
    <w:rsid w:val="00477843"/>
    <w:rsid w:val="00477BB9"/>
    <w:rsid w:val="004859EE"/>
    <w:rsid w:val="00487366"/>
    <w:rsid w:val="004873E4"/>
    <w:rsid w:val="0048780E"/>
    <w:rsid w:val="0049072C"/>
    <w:rsid w:val="00490FD1"/>
    <w:rsid w:val="004911DB"/>
    <w:rsid w:val="00491AD2"/>
    <w:rsid w:val="00492377"/>
    <w:rsid w:val="00492876"/>
    <w:rsid w:val="004935C0"/>
    <w:rsid w:val="00493B43"/>
    <w:rsid w:val="0049439F"/>
    <w:rsid w:val="00494EB1"/>
    <w:rsid w:val="0049572A"/>
    <w:rsid w:val="0049579E"/>
    <w:rsid w:val="00496155"/>
    <w:rsid w:val="00496414"/>
    <w:rsid w:val="00497648"/>
    <w:rsid w:val="00497A38"/>
    <w:rsid w:val="004A25C3"/>
    <w:rsid w:val="004A29EE"/>
    <w:rsid w:val="004A30A0"/>
    <w:rsid w:val="004A30F1"/>
    <w:rsid w:val="004A45BD"/>
    <w:rsid w:val="004A4656"/>
    <w:rsid w:val="004A4794"/>
    <w:rsid w:val="004A4D7A"/>
    <w:rsid w:val="004A545F"/>
    <w:rsid w:val="004A54DC"/>
    <w:rsid w:val="004A651C"/>
    <w:rsid w:val="004A711F"/>
    <w:rsid w:val="004A77B0"/>
    <w:rsid w:val="004B08A9"/>
    <w:rsid w:val="004B1CED"/>
    <w:rsid w:val="004B2B3F"/>
    <w:rsid w:val="004B34A7"/>
    <w:rsid w:val="004B3B06"/>
    <w:rsid w:val="004B3ED5"/>
    <w:rsid w:val="004B4643"/>
    <w:rsid w:val="004B47D6"/>
    <w:rsid w:val="004B4C0E"/>
    <w:rsid w:val="004B7F67"/>
    <w:rsid w:val="004C06BE"/>
    <w:rsid w:val="004C0938"/>
    <w:rsid w:val="004C1994"/>
    <w:rsid w:val="004C3F32"/>
    <w:rsid w:val="004C70FC"/>
    <w:rsid w:val="004D2675"/>
    <w:rsid w:val="004D3893"/>
    <w:rsid w:val="004D4080"/>
    <w:rsid w:val="004D7216"/>
    <w:rsid w:val="004D79A2"/>
    <w:rsid w:val="004E05FD"/>
    <w:rsid w:val="004E1A0D"/>
    <w:rsid w:val="004E23F5"/>
    <w:rsid w:val="004E5418"/>
    <w:rsid w:val="004E63E5"/>
    <w:rsid w:val="004E6B76"/>
    <w:rsid w:val="004F06B2"/>
    <w:rsid w:val="004F1437"/>
    <w:rsid w:val="004F1958"/>
    <w:rsid w:val="004F25A3"/>
    <w:rsid w:val="004F3540"/>
    <w:rsid w:val="004F52DB"/>
    <w:rsid w:val="004F5624"/>
    <w:rsid w:val="004F5DA4"/>
    <w:rsid w:val="004F62B2"/>
    <w:rsid w:val="004F6424"/>
    <w:rsid w:val="004F6B9B"/>
    <w:rsid w:val="005012D6"/>
    <w:rsid w:val="00502036"/>
    <w:rsid w:val="0050232E"/>
    <w:rsid w:val="005028F9"/>
    <w:rsid w:val="0050392E"/>
    <w:rsid w:val="00503DE5"/>
    <w:rsid w:val="005040CD"/>
    <w:rsid w:val="00505229"/>
    <w:rsid w:val="005053E3"/>
    <w:rsid w:val="00506A32"/>
    <w:rsid w:val="00506C31"/>
    <w:rsid w:val="00507F98"/>
    <w:rsid w:val="005100F1"/>
    <w:rsid w:val="005108A3"/>
    <w:rsid w:val="00510DB5"/>
    <w:rsid w:val="00510F6E"/>
    <w:rsid w:val="00511422"/>
    <w:rsid w:val="005118AE"/>
    <w:rsid w:val="0051463F"/>
    <w:rsid w:val="00514C21"/>
    <w:rsid w:val="00515764"/>
    <w:rsid w:val="0051587A"/>
    <w:rsid w:val="005158FA"/>
    <w:rsid w:val="005169AD"/>
    <w:rsid w:val="00517CDD"/>
    <w:rsid w:val="005208B9"/>
    <w:rsid w:val="005221F0"/>
    <w:rsid w:val="00524807"/>
    <w:rsid w:val="005252FE"/>
    <w:rsid w:val="00525FF9"/>
    <w:rsid w:val="0052694F"/>
    <w:rsid w:val="00532C41"/>
    <w:rsid w:val="00532D3F"/>
    <w:rsid w:val="0053386D"/>
    <w:rsid w:val="00534700"/>
    <w:rsid w:val="005349CD"/>
    <w:rsid w:val="00534C0E"/>
    <w:rsid w:val="0053791F"/>
    <w:rsid w:val="005404EB"/>
    <w:rsid w:val="005424D2"/>
    <w:rsid w:val="00543AE4"/>
    <w:rsid w:val="00546622"/>
    <w:rsid w:val="00547360"/>
    <w:rsid w:val="00547538"/>
    <w:rsid w:val="00550318"/>
    <w:rsid w:val="00553BFA"/>
    <w:rsid w:val="00554D05"/>
    <w:rsid w:val="00556BA8"/>
    <w:rsid w:val="00557DD9"/>
    <w:rsid w:val="0056077E"/>
    <w:rsid w:val="00560EDA"/>
    <w:rsid w:val="005629EE"/>
    <w:rsid w:val="00564098"/>
    <w:rsid w:val="005648FA"/>
    <w:rsid w:val="00564911"/>
    <w:rsid w:val="00564956"/>
    <w:rsid w:val="00564D50"/>
    <w:rsid w:val="00567346"/>
    <w:rsid w:val="00570E05"/>
    <w:rsid w:val="00572762"/>
    <w:rsid w:val="0057371B"/>
    <w:rsid w:val="00574BBD"/>
    <w:rsid w:val="00575AC2"/>
    <w:rsid w:val="00575EB8"/>
    <w:rsid w:val="0057613A"/>
    <w:rsid w:val="0057760F"/>
    <w:rsid w:val="00577B68"/>
    <w:rsid w:val="00577E5B"/>
    <w:rsid w:val="005806AD"/>
    <w:rsid w:val="00580BE4"/>
    <w:rsid w:val="00580D33"/>
    <w:rsid w:val="00580DA9"/>
    <w:rsid w:val="00582A9B"/>
    <w:rsid w:val="005832AB"/>
    <w:rsid w:val="0058437C"/>
    <w:rsid w:val="00585565"/>
    <w:rsid w:val="00587465"/>
    <w:rsid w:val="00587693"/>
    <w:rsid w:val="00591565"/>
    <w:rsid w:val="0059170A"/>
    <w:rsid w:val="005935F4"/>
    <w:rsid w:val="00593E0A"/>
    <w:rsid w:val="0059428D"/>
    <w:rsid w:val="005965A1"/>
    <w:rsid w:val="00596EDC"/>
    <w:rsid w:val="00597981"/>
    <w:rsid w:val="005A018C"/>
    <w:rsid w:val="005A0720"/>
    <w:rsid w:val="005A167F"/>
    <w:rsid w:val="005A1D9E"/>
    <w:rsid w:val="005A346E"/>
    <w:rsid w:val="005A4422"/>
    <w:rsid w:val="005A672E"/>
    <w:rsid w:val="005A7296"/>
    <w:rsid w:val="005A73CF"/>
    <w:rsid w:val="005A7E7C"/>
    <w:rsid w:val="005B0064"/>
    <w:rsid w:val="005B2C25"/>
    <w:rsid w:val="005B3F6F"/>
    <w:rsid w:val="005B4953"/>
    <w:rsid w:val="005B4D85"/>
    <w:rsid w:val="005B6638"/>
    <w:rsid w:val="005B6B03"/>
    <w:rsid w:val="005B798B"/>
    <w:rsid w:val="005C05C9"/>
    <w:rsid w:val="005C1FAE"/>
    <w:rsid w:val="005C2E53"/>
    <w:rsid w:val="005C37E3"/>
    <w:rsid w:val="005C39E8"/>
    <w:rsid w:val="005C3AA5"/>
    <w:rsid w:val="005C512D"/>
    <w:rsid w:val="005C5440"/>
    <w:rsid w:val="005C5660"/>
    <w:rsid w:val="005C72E3"/>
    <w:rsid w:val="005D11B2"/>
    <w:rsid w:val="005D1DE1"/>
    <w:rsid w:val="005D25FA"/>
    <w:rsid w:val="005D3AAC"/>
    <w:rsid w:val="005D411C"/>
    <w:rsid w:val="005D4B68"/>
    <w:rsid w:val="005D5C7A"/>
    <w:rsid w:val="005D7F34"/>
    <w:rsid w:val="005E032F"/>
    <w:rsid w:val="005E11C1"/>
    <w:rsid w:val="005E2563"/>
    <w:rsid w:val="005E2838"/>
    <w:rsid w:val="005E394C"/>
    <w:rsid w:val="005E42BF"/>
    <w:rsid w:val="005E4434"/>
    <w:rsid w:val="005E4E70"/>
    <w:rsid w:val="005E5474"/>
    <w:rsid w:val="005E65BB"/>
    <w:rsid w:val="005E6E7F"/>
    <w:rsid w:val="005E70FE"/>
    <w:rsid w:val="005E7E17"/>
    <w:rsid w:val="005F0DA0"/>
    <w:rsid w:val="005F2767"/>
    <w:rsid w:val="005F2969"/>
    <w:rsid w:val="005F4656"/>
    <w:rsid w:val="005F4914"/>
    <w:rsid w:val="005F5C9A"/>
    <w:rsid w:val="005F62B7"/>
    <w:rsid w:val="005F6869"/>
    <w:rsid w:val="005F6BB9"/>
    <w:rsid w:val="005F7A68"/>
    <w:rsid w:val="005F7C93"/>
    <w:rsid w:val="005F7E94"/>
    <w:rsid w:val="00600A8E"/>
    <w:rsid w:val="0060206D"/>
    <w:rsid w:val="00603148"/>
    <w:rsid w:val="00606FC7"/>
    <w:rsid w:val="00610456"/>
    <w:rsid w:val="00611473"/>
    <w:rsid w:val="00611792"/>
    <w:rsid w:val="00611A7C"/>
    <w:rsid w:val="00611B36"/>
    <w:rsid w:val="00612249"/>
    <w:rsid w:val="006138FD"/>
    <w:rsid w:val="00613A34"/>
    <w:rsid w:val="00613FCD"/>
    <w:rsid w:val="00615140"/>
    <w:rsid w:val="00615ADA"/>
    <w:rsid w:val="006163A7"/>
    <w:rsid w:val="0062066D"/>
    <w:rsid w:val="00620FC3"/>
    <w:rsid w:val="006221CD"/>
    <w:rsid w:val="00622F3B"/>
    <w:rsid w:val="00623B3D"/>
    <w:rsid w:val="00624A54"/>
    <w:rsid w:val="00624DD1"/>
    <w:rsid w:val="006266A9"/>
    <w:rsid w:val="00627734"/>
    <w:rsid w:val="00627B99"/>
    <w:rsid w:val="00627EDA"/>
    <w:rsid w:val="00630426"/>
    <w:rsid w:val="00630491"/>
    <w:rsid w:val="006316C1"/>
    <w:rsid w:val="00631ED4"/>
    <w:rsid w:val="00631FD3"/>
    <w:rsid w:val="00633BC7"/>
    <w:rsid w:val="00634611"/>
    <w:rsid w:val="00634AEE"/>
    <w:rsid w:val="00635AC7"/>
    <w:rsid w:val="00635E9C"/>
    <w:rsid w:val="0063753F"/>
    <w:rsid w:val="00637B41"/>
    <w:rsid w:val="00640227"/>
    <w:rsid w:val="006406BA"/>
    <w:rsid w:val="006414EE"/>
    <w:rsid w:val="0064203D"/>
    <w:rsid w:val="00642524"/>
    <w:rsid w:val="00642D0A"/>
    <w:rsid w:val="00644332"/>
    <w:rsid w:val="00645B85"/>
    <w:rsid w:val="0064630E"/>
    <w:rsid w:val="00646FE1"/>
    <w:rsid w:val="00647075"/>
    <w:rsid w:val="0065021E"/>
    <w:rsid w:val="00651A8E"/>
    <w:rsid w:val="00652539"/>
    <w:rsid w:val="00652F15"/>
    <w:rsid w:val="00655681"/>
    <w:rsid w:val="0065581D"/>
    <w:rsid w:val="00655C2F"/>
    <w:rsid w:val="00655C78"/>
    <w:rsid w:val="00655D9E"/>
    <w:rsid w:val="00660403"/>
    <w:rsid w:val="006606E4"/>
    <w:rsid w:val="00661140"/>
    <w:rsid w:val="00663098"/>
    <w:rsid w:val="00664E04"/>
    <w:rsid w:val="00665B56"/>
    <w:rsid w:val="006710DD"/>
    <w:rsid w:val="00671FC9"/>
    <w:rsid w:val="006727D5"/>
    <w:rsid w:val="00673200"/>
    <w:rsid w:val="00673546"/>
    <w:rsid w:val="0067501E"/>
    <w:rsid w:val="00675E07"/>
    <w:rsid w:val="00676519"/>
    <w:rsid w:val="00676E81"/>
    <w:rsid w:val="006773D2"/>
    <w:rsid w:val="00680570"/>
    <w:rsid w:val="00680581"/>
    <w:rsid w:val="00681953"/>
    <w:rsid w:val="00681A41"/>
    <w:rsid w:val="006821B2"/>
    <w:rsid w:val="0068286A"/>
    <w:rsid w:val="006838C0"/>
    <w:rsid w:val="00684300"/>
    <w:rsid w:val="00684695"/>
    <w:rsid w:val="00685002"/>
    <w:rsid w:val="00685901"/>
    <w:rsid w:val="00685BB9"/>
    <w:rsid w:val="0068652A"/>
    <w:rsid w:val="00690127"/>
    <w:rsid w:val="00690394"/>
    <w:rsid w:val="00690D15"/>
    <w:rsid w:val="00691782"/>
    <w:rsid w:val="00691BFF"/>
    <w:rsid w:val="0069216A"/>
    <w:rsid w:val="00692500"/>
    <w:rsid w:val="00693054"/>
    <w:rsid w:val="00693C61"/>
    <w:rsid w:val="006949D0"/>
    <w:rsid w:val="006953C1"/>
    <w:rsid w:val="006960B5"/>
    <w:rsid w:val="00696474"/>
    <w:rsid w:val="00696EB2"/>
    <w:rsid w:val="006A16E9"/>
    <w:rsid w:val="006A226B"/>
    <w:rsid w:val="006A2DAA"/>
    <w:rsid w:val="006A2DB2"/>
    <w:rsid w:val="006A3DE0"/>
    <w:rsid w:val="006A5450"/>
    <w:rsid w:val="006A6E12"/>
    <w:rsid w:val="006B0199"/>
    <w:rsid w:val="006B0A32"/>
    <w:rsid w:val="006B0BD8"/>
    <w:rsid w:val="006B21E9"/>
    <w:rsid w:val="006B4557"/>
    <w:rsid w:val="006B561F"/>
    <w:rsid w:val="006C0251"/>
    <w:rsid w:val="006C0445"/>
    <w:rsid w:val="006C1B79"/>
    <w:rsid w:val="006C2B9A"/>
    <w:rsid w:val="006C39BB"/>
    <w:rsid w:val="006C4170"/>
    <w:rsid w:val="006C4502"/>
    <w:rsid w:val="006C571D"/>
    <w:rsid w:val="006C6114"/>
    <w:rsid w:val="006D1A82"/>
    <w:rsid w:val="006D2288"/>
    <w:rsid w:val="006D260A"/>
    <w:rsid w:val="006D261D"/>
    <w:rsid w:val="006D3A53"/>
    <w:rsid w:val="006D4464"/>
    <w:rsid w:val="006D49A4"/>
    <w:rsid w:val="006D4A9D"/>
    <w:rsid w:val="006D5E91"/>
    <w:rsid w:val="006D64FF"/>
    <w:rsid w:val="006D7E87"/>
    <w:rsid w:val="006E065C"/>
    <w:rsid w:val="006E0905"/>
    <w:rsid w:val="006E09BD"/>
    <w:rsid w:val="006E14E6"/>
    <w:rsid w:val="006E190A"/>
    <w:rsid w:val="006E1AEE"/>
    <w:rsid w:val="006E26CD"/>
    <w:rsid w:val="006E2F52"/>
    <w:rsid w:val="006E32A9"/>
    <w:rsid w:val="006E3A52"/>
    <w:rsid w:val="006E3B9C"/>
    <w:rsid w:val="006E4FB2"/>
    <w:rsid w:val="006E51A2"/>
    <w:rsid w:val="006E77CF"/>
    <w:rsid w:val="006F0DE2"/>
    <w:rsid w:val="006F11BD"/>
    <w:rsid w:val="006F25B4"/>
    <w:rsid w:val="006F2650"/>
    <w:rsid w:val="006F30AF"/>
    <w:rsid w:val="006F32C7"/>
    <w:rsid w:val="006F3392"/>
    <w:rsid w:val="006F3418"/>
    <w:rsid w:val="006F3495"/>
    <w:rsid w:val="006F4104"/>
    <w:rsid w:val="006F417D"/>
    <w:rsid w:val="006F5466"/>
    <w:rsid w:val="006F5C83"/>
    <w:rsid w:val="006F67CC"/>
    <w:rsid w:val="006F6B89"/>
    <w:rsid w:val="006F7D33"/>
    <w:rsid w:val="00701C2D"/>
    <w:rsid w:val="00702162"/>
    <w:rsid w:val="00702EAB"/>
    <w:rsid w:val="007030A1"/>
    <w:rsid w:val="00703930"/>
    <w:rsid w:val="00703E41"/>
    <w:rsid w:val="00705992"/>
    <w:rsid w:val="0070610E"/>
    <w:rsid w:val="00707759"/>
    <w:rsid w:val="00710081"/>
    <w:rsid w:val="007103A5"/>
    <w:rsid w:val="007107F5"/>
    <w:rsid w:val="00710B0D"/>
    <w:rsid w:val="00711443"/>
    <w:rsid w:val="00713CB5"/>
    <w:rsid w:val="00714431"/>
    <w:rsid w:val="00714E3F"/>
    <w:rsid w:val="00715171"/>
    <w:rsid w:val="0071558B"/>
    <w:rsid w:val="00715F75"/>
    <w:rsid w:val="0071776A"/>
    <w:rsid w:val="00721189"/>
    <w:rsid w:val="00721F9E"/>
    <w:rsid w:val="007221C3"/>
    <w:rsid w:val="007227E4"/>
    <w:rsid w:val="00722F2C"/>
    <w:rsid w:val="00724EF3"/>
    <w:rsid w:val="007254D1"/>
    <w:rsid w:val="00725B32"/>
    <w:rsid w:val="00725B3C"/>
    <w:rsid w:val="00726CC3"/>
    <w:rsid w:val="007303FC"/>
    <w:rsid w:val="00730D39"/>
    <w:rsid w:val="0073138E"/>
    <w:rsid w:val="00731E7A"/>
    <w:rsid w:val="00732065"/>
    <w:rsid w:val="00733D54"/>
    <w:rsid w:val="0073517E"/>
    <w:rsid w:val="00736A4F"/>
    <w:rsid w:val="00737753"/>
    <w:rsid w:val="00737768"/>
    <w:rsid w:val="00740BB8"/>
    <w:rsid w:val="00740CE9"/>
    <w:rsid w:val="00740D7B"/>
    <w:rsid w:val="00741DCB"/>
    <w:rsid w:val="007428E3"/>
    <w:rsid w:val="0074394E"/>
    <w:rsid w:val="0074422D"/>
    <w:rsid w:val="007442DD"/>
    <w:rsid w:val="00750D0A"/>
    <w:rsid w:val="00751D93"/>
    <w:rsid w:val="00752300"/>
    <w:rsid w:val="00753BF5"/>
    <w:rsid w:val="007546F8"/>
    <w:rsid w:val="00755150"/>
    <w:rsid w:val="0075579B"/>
    <w:rsid w:val="0075580B"/>
    <w:rsid w:val="007559B1"/>
    <w:rsid w:val="00755BAB"/>
    <w:rsid w:val="007579D7"/>
    <w:rsid w:val="007605E5"/>
    <w:rsid w:val="0076080E"/>
    <w:rsid w:val="00760C25"/>
    <w:rsid w:val="00762184"/>
    <w:rsid w:val="0076411D"/>
    <w:rsid w:val="00765073"/>
    <w:rsid w:val="00765521"/>
    <w:rsid w:val="007670F8"/>
    <w:rsid w:val="007671D4"/>
    <w:rsid w:val="00770A85"/>
    <w:rsid w:val="00770CAC"/>
    <w:rsid w:val="007737E9"/>
    <w:rsid w:val="00773DC9"/>
    <w:rsid w:val="00775682"/>
    <w:rsid w:val="0077572E"/>
    <w:rsid w:val="007779EE"/>
    <w:rsid w:val="00777BE4"/>
    <w:rsid w:val="0078031B"/>
    <w:rsid w:val="00780AE3"/>
    <w:rsid w:val="00780BFF"/>
    <w:rsid w:val="00782662"/>
    <w:rsid w:val="00784F44"/>
    <w:rsid w:val="00785722"/>
    <w:rsid w:val="00786672"/>
    <w:rsid w:val="007872CF"/>
    <w:rsid w:val="0079201C"/>
    <w:rsid w:val="00792384"/>
    <w:rsid w:val="0079307F"/>
    <w:rsid w:val="007940C5"/>
    <w:rsid w:val="0079422B"/>
    <w:rsid w:val="007947C4"/>
    <w:rsid w:val="00795812"/>
    <w:rsid w:val="00795CE1"/>
    <w:rsid w:val="00796E0F"/>
    <w:rsid w:val="007A0646"/>
    <w:rsid w:val="007A06AC"/>
    <w:rsid w:val="007A1B2F"/>
    <w:rsid w:val="007A4636"/>
    <w:rsid w:val="007A7433"/>
    <w:rsid w:val="007A7F9A"/>
    <w:rsid w:val="007B1014"/>
    <w:rsid w:val="007B103F"/>
    <w:rsid w:val="007B1484"/>
    <w:rsid w:val="007B1A10"/>
    <w:rsid w:val="007B31AB"/>
    <w:rsid w:val="007B3268"/>
    <w:rsid w:val="007B37F1"/>
    <w:rsid w:val="007B42D3"/>
    <w:rsid w:val="007B46D9"/>
    <w:rsid w:val="007B4943"/>
    <w:rsid w:val="007B4D22"/>
    <w:rsid w:val="007B56ED"/>
    <w:rsid w:val="007B6659"/>
    <w:rsid w:val="007B6748"/>
    <w:rsid w:val="007B6C39"/>
    <w:rsid w:val="007B76AB"/>
    <w:rsid w:val="007B7DBD"/>
    <w:rsid w:val="007C2560"/>
    <w:rsid w:val="007C264B"/>
    <w:rsid w:val="007C45D3"/>
    <w:rsid w:val="007C5153"/>
    <w:rsid w:val="007C5247"/>
    <w:rsid w:val="007C597B"/>
    <w:rsid w:val="007C760C"/>
    <w:rsid w:val="007D08FD"/>
    <w:rsid w:val="007D1584"/>
    <w:rsid w:val="007D2044"/>
    <w:rsid w:val="007D22F9"/>
    <w:rsid w:val="007D28BB"/>
    <w:rsid w:val="007D4F33"/>
    <w:rsid w:val="007D554B"/>
    <w:rsid w:val="007D65C7"/>
    <w:rsid w:val="007D74D2"/>
    <w:rsid w:val="007D76C3"/>
    <w:rsid w:val="007D79B5"/>
    <w:rsid w:val="007E150F"/>
    <w:rsid w:val="007E2334"/>
    <w:rsid w:val="007E23CE"/>
    <w:rsid w:val="007E2CE7"/>
    <w:rsid w:val="007E43D0"/>
    <w:rsid w:val="007E4F00"/>
    <w:rsid w:val="007E54F8"/>
    <w:rsid w:val="007E5987"/>
    <w:rsid w:val="007E5BD8"/>
    <w:rsid w:val="007E63CC"/>
    <w:rsid w:val="007E7457"/>
    <w:rsid w:val="007E76A9"/>
    <w:rsid w:val="007E7BF9"/>
    <w:rsid w:val="007E7DD9"/>
    <w:rsid w:val="007F02BC"/>
    <w:rsid w:val="007F119C"/>
    <w:rsid w:val="007F1CA2"/>
    <w:rsid w:val="007F1D17"/>
    <w:rsid w:val="007F1E8A"/>
    <w:rsid w:val="007F20D7"/>
    <w:rsid w:val="007F226D"/>
    <w:rsid w:val="007F262B"/>
    <w:rsid w:val="007F2E65"/>
    <w:rsid w:val="007F43BA"/>
    <w:rsid w:val="007F45D1"/>
    <w:rsid w:val="007F466C"/>
    <w:rsid w:val="007F64BE"/>
    <w:rsid w:val="007F6DC3"/>
    <w:rsid w:val="007F7205"/>
    <w:rsid w:val="008006B4"/>
    <w:rsid w:val="00800835"/>
    <w:rsid w:val="008015B6"/>
    <w:rsid w:val="0080263F"/>
    <w:rsid w:val="00803FD4"/>
    <w:rsid w:val="0080481C"/>
    <w:rsid w:val="00804C54"/>
    <w:rsid w:val="00805084"/>
    <w:rsid w:val="008056DD"/>
    <w:rsid w:val="00805EFF"/>
    <w:rsid w:val="00806B8B"/>
    <w:rsid w:val="00807588"/>
    <w:rsid w:val="00810BC8"/>
    <w:rsid w:val="0081104C"/>
    <w:rsid w:val="0081180C"/>
    <w:rsid w:val="008121F2"/>
    <w:rsid w:val="00812ACB"/>
    <w:rsid w:val="00812D16"/>
    <w:rsid w:val="00813846"/>
    <w:rsid w:val="008142E5"/>
    <w:rsid w:val="00816C51"/>
    <w:rsid w:val="008215A9"/>
    <w:rsid w:val="00821865"/>
    <w:rsid w:val="00821BD8"/>
    <w:rsid w:val="008223A3"/>
    <w:rsid w:val="008225EB"/>
    <w:rsid w:val="0082327D"/>
    <w:rsid w:val="0082433D"/>
    <w:rsid w:val="00826116"/>
    <w:rsid w:val="00826509"/>
    <w:rsid w:val="00826C7B"/>
    <w:rsid w:val="008329BF"/>
    <w:rsid w:val="0083354D"/>
    <w:rsid w:val="008355B7"/>
    <w:rsid w:val="0083561B"/>
    <w:rsid w:val="00835723"/>
    <w:rsid w:val="00836D06"/>
    <w:rsid w:val="00837D78"/>
    <w:rsid w:val="00840D79"/>
    <w:rsid w:val="00842A21"/>
    <w:rsid w:val="00843977"/>
    <w:rsid w:val="008439E9"/>
    <w:rsid w:val="00843F2E"/>
    <w:rsid w:val="0084522D"/>
    <w:rsid w:val="00845DAD"/>
    <w:rsid w:val="00845F68"/>
    <w:rsid w:val="00845F7A"/>
    <w:rsid w:val="0084693B"/>
    <w:rsid w:val="00846B7B"/>
    <w:rsid w:val="008470F0"/>
    <w:rsid w:val="00851170"/>
    <w:rsid w:val="00851377"/>
    <w:rsid w:val="0085437C"/>
    <w:rsid w:val="00854B2F"/>
    <w:rsid w:val="00854B86"/>
    <w:rsid w:val="00855481"/>
    <w:rsid w:val="00855EF4"/>
    <w:rsid w:val="00856354"/>
    <w:rsid w:val="008568E1"/>
    <w:rsid w:val="00856B52"/>
    <w:rsid w:val="00856BE9"/>
    <w:rsid w:val="00856C95"/>
    <w:rsid w:val="008578F8"/>
    <w:rsid w:val="00860566"/>
    <w:rsid w:val="0086165C"/>
    <w:rsid w:val="00861B26"/>
    <w:rsid w:val="00862676"/>
    <w:rsid w:val="00862EED"/>
    <w:rsid w:val="008643FC"/>
    <w:rsid w:val="008644B5"/>
    <w:rsid w:val="008649B9"/>
    <w:rsid w:val="00864B3E"/>
    <w:rsid w:val="00866109"/>
    <w:rsid w:val="0086784F"/>
    <w:rsid w:val="008678C3"/>
    <w:rsid w:val="00867CDA"/>
    <w:rsid w:val="00870394"/>
    <w:rsid w:val="0087073B"/>
    <w:rsid w:val="008715B1"/>
    <w:rsid w:val="008718E6"/>
    <w:rsid w:val="00871D22"/>
    <w:rsid w:val="00872D83"/>
    <w:rsid w:val="00873967"/>
    <w:rsid w:val="008743BB"/>
    <w:rsid w:val="00875AD8"/>
    <w:rsid w:val="008770D4"/>
    <w:rsid w:val="00877C4E"/>
    <w:rsid w:val="008800E5"/>
    <w:rsid w:val="008807C0"/>
    <w:rsid w:val="00881220"/>
    <w:rsid w:val="0088127F"/>
    <w:rsid w:val="008815EF"/>
    <w:rsid w:val="0088185A"/>
    <w:rsid w:val="00882CE6"/>
    <w:rsid w:val="00883ED5"/>
    <w:rsid w:val="00884F37"/>
    <w:rsid w:val="00885273"/>
    <w:rsid w:val="00885801"/>
    <w:rsid w:val="00885F2C"/>
    <w:rsid w:val="008860B0"/>
    <w:rsid w:val="00886386"/>
    <w:rsid w:val="00886E1E"/>
    <w:rsid w:val="0088701C"/>
    <w:rsid w:val="00890937"/>
    <w:rsid w:val="00891850"/>
    <w:rsid w:val="00892459"/>
    <w:rsid w:val="008924C3"/>
    <w:rsid w:val="00892552"/>
    <w:rsid w:val="008929AA"/>
    <w:rsid w:val="008929C3"/>
    <w:rsid w:val="00892AA5"/>
    <w:rsid w:val="00893FFE"/>
    <w:rsid w:val="0089499B"/>
    <w:rsid w:val="00894ACA"/>
    <w:rsid w:val="00894EC5"/>
    <w:rsid w:val="00896658"/>
    <w:rsid w:val="008967B5"/>
    <w:rsid w:val="00897DC5"/>
    <w:rsid w:val="008A03AC"/>
    <w:rsid w:val="008A07D4"/>
    <w:rsid w:val="008A0DF2"/>
    <w:rsid w:val="008A1008"/>
    <w:rsid w:val="008A3295"/>
    <w:rsid w:val="008A345A"/>
    <w:rsid w:val="008A388B"/>
    <w:rsid w:val="008A3DB9"/>
    <w:rsid w:val="008A4995"/>
    <w:rsid w:val="008A564F"/>
    <w:rsid w:val="008A5AAF"/>
    <w:rsid w:val="008A608B"/>
    <w:rsid w:val="008A6264"/>
    <w:rsid w:val="008A6A5C"/>
    <w:rsid w:val="008A7316"/>
    <w:rsid w:val="008A792E"/>
    <w:rsid w:val="008B0926"/>
    <w:rsid w:val="008B163A"/>
    <w:rsid w:val="008B2751"/>
    <w:rsid w:val="008B4A1C"/>
    <w:rsid w:val="008B500A"/>
    <w:rsid w:val="008B5428"/>
    <w:rsid w:val="008B755D"/>
    <w:rsid w:val="008B7BFD"/>
    <w:rsid w:val="008C0164"/>
    <w:rsid w:val="008C090B"/>
    <w:rsid w:val="008C1610"/>
    <w:rsid w:val="008C2064"/>
    <w:rsid w:val="008C218F"/>
    <w:rsid w:val="008C2F1E"/>
    <w:rsid w:val="008C30E5"/>
    <w:rsid w:val="008C334B"/>
    <w:rsid w:val="008C3B5B"/>
    <w:rsid w:val="008C409F"/>
    <w:rsid w:val="008C438E"/>
    <w:rsid w:val="008C5C3D"/>
    <w:rsid w:val="008C602D"/>
    <w:rsid w:val="008C6BCC"/>
    <w:rsid w:val="008D098D"/>
    <w:rsid w:val="008D135A"/>
    <w:rsid w:val="008D2205"/>
    <w:rsid w:val="008D2331"/>
    <w:rsid w:val="008D2BF0"/>
    <w:rsid w:val="008D2F05"/>
    <w:rsid w:val="008D3434"/>
    <w:rsid w:val="008D347F"/>
    <w:rsid w:val="008D35AD"/>
    <w:rsid w:val="008D36CD"/>
    <w:rsid w:val="008D4380"/>
    <w:rsid w:val="008D48D1"/>
    <w:rsid w:val="008D67FC"/>
    <w:rsid w:val="008D6BE8"/>
    <w:rsid w:val="008D6ED0"/>
    <w:rsid w:val="008E27E9"/>
    <w:rsid w:val="008E42DE"/>
    <w:rsid w:val="008E4794"/>
    <w:rsid w:val="008E72C4"/>
    <w:rsid w:val="008F1944"/>
    <w:rsid w:val="008F1C66"/>
    <w:rsid w:val="008F2C49"/>
    <w:rsid w:val="008F333B"/>
    <w:rsid w:val="008F36F0"/>
    <w:rsid w:val="008F411B"/>
    <w:rsid w:val="008F66BC"/>
    <w:rsid w:val="008F681F"/>
    <w:rsid w:val="008F76FF"/>
    <w:rsid w:val="008F7CFF"/>
    <w:rsid w:val="008F7ED1"/>
    <w:rsid w:val="00901C8D"/>
    <w:rsid w:val="00903FD7"/>
    <w:rsid w:val="009043FE"/>
    <w:rsid w:val="00904A4D"/>
    <w:rsid w:val="00905643"/>
    <w:rsid w:val="00905EE9"/>
    <w:rsid w:val="009065F4"/>
    <w:rsid w:val="00907303"/>
    <w:rsid w:val="009075A7"/>
    <w:rsid w:val="00907DFB"/>
    <w:rsid w:val="00907F84"/>
    <w:rsid w:val="00910624"/>
    <w:rsid w:val="009106A1"/>
    <w:rsid w:val="009107C2"/>
    <w:rsid w:val="00910FBA"/>
    <w:rsid w:val="00911D39"/>
    <w:rsid w:val="00911D6C"/>
    <w:rsid w:val="00911D90"/>
    <w:rsid w:val="0091202A"/>
    <w:rsid w:val="0091237D"/>
    <w:rsid w:val="00912B9F"/>
    <w:rsid w:val="00916AAD"/>
    <w:rsid w:val="00917959"/>
    <w:rsid w:val="00917C0F"/>
    <w:rsid w:val="0092040E"/>
    <w:rsid w:val="00920C6C"/>
    <w:rsid w:val="00921897"/>
    <w:rsid w:val="00921C6D"/>
    <w:rsid w:val="00922290"/>
    <w:rsid w:val="009227D9"/>
    <w:rsid w:val="00923C44"/>
    <w:rsid w:val="00924C4D"/>
    <w:rsid w:val="009255F7"/>
    <w:rsid w:val="00925C4A"/>
    <w:rsid w:val="0092626F"/>
    <w:rsid w:val="00926B6B"/>
    <w:rsid w:val="00926F29"/>
    <w:rsid w:val="00927791"/>
    <w:rsid w:val="00927A21"/>
    <w:rsid w:val="00930607"/>
    <w:rsid w:val="00930D0A"/>
    <w:rsid w:val="009329BA"/>
    <w:rsid w:val="0093304D"/>
    <w:rsid w:val="00934210"/>
    <w:rsid w:val="00936939"/>
    <w:rsid w:val="0094053B"/>
    <w:rsid w:val="00942040"/>
    <w:rsid w:val="00942C9F"/>
    <w:rsid w:val="00943F98"/>
    <w:rsid w:val="00945631"/>
    <w:rsid w:val="00946CBB"/>
    <w:rsid w:val="009474D7"/>
    <w:rsid w:val="00947549"/>
    <w:rsid w:val="00947CF3"/>
    <w:rsid w:val="0095106C"/>
    <w:rsid w:val="009511F0"/>
    <w:rsid w:val="0095242C"/>
    <w:rsid w:val="00952DDA"/>
    <w:rsid w:val="009554CD"/>
    <w:rsid w:val="0095793C"/>
    <w:rsid w:val="0096111E"/>
    <w:rsid w:val="00961125"/>
    <w:rsid w:val="009623D8"/>
    <w:rsid w:val="00962995"/>
    <w:rsid w:val="009629ED"/>
    <w:rsid w:val="00963362"/>
    <w:rsid w:val="00963BD1"/>
    <w:rsid w:val="00964CC6"/>
    <w:rsid w:val="00965A6F"/>
    <w:rsid w:val="00966B1F"/>
    <w:rsid w:val="00970A7E"/>
    <w:rsid w:val="0097116E"/>
    <w:rsid w:val="009721FA"/>
    <w:rsid w:val="0097307C"/>
    <w:rsid w:val="009732DC"/>
    <w:rsid w:val="00974120"/>
    <w:rsid w:val="00974518"/>
    <w:rsid w:val="00975479"/>
    <w:rsid w:val="00975CB7"/>
    <w:rsid w:val="00975CFB"/>
    <w:rsid w:val="00980130"/>
    <w:rsid w:val="00980183"/>
    <w:rsid w:val="009807E8"/>
    <w:rsid w:val="00980FE0"/>
    <w:rsid w:val="0098242E"/>
    <w:rsid w:val="00984F8F"/>
    <w:rsid w:val="009853D4"/>
    <w:rsid w:val="00985F8B"/>
    <w:rsid w:val="00986BC9"/>
    <w:rsid w:val="00990C3B"/>
    <w:rsid w:val="00991CBD"/>
    <w:rsid w:val="009921E6"/>
    <w:rsid w:val="009923AE"/>
    <w:rsid w:val="00992481"/>
    <w:rsid w:val="009928B7"/>
    <w:rsid w:val="00992D9A"/>
    <w:rsid w:val="0099321A"/>
    <w:rsid w:val="009947E8"/>
    <w:rsid w:val="009960B7"/>
    <w:rsid w:val="009964D4"/>
    <w:rsid w:val="0099651D"/>
    <w:rsid w:val="00996F08"/>
    <w:rsid w:val="009972FE"/>
    <w:rsid w:val="00997C8C"/>
    <w:rsid w:val="009A132A"/>
    <w:rsid w:val="009A138F"/>
    <w:rsid w:val="009A5897"/>
    <w:rsid w:val="009B08C5"/>
    <w:rsid w:val="009B0A46"/>
    <w:rsid w:val="009B1FF2"/>
    <w:rsid w:val="009B45E0"/>
    <w:rsid w:val="009B536C"/>
    <w:rsid w:val="009B5C19"/>
    <w:rsid w:val="009B6496"/>
    <w:rsid w:val="009B78CE"/>
    <w:rsid w:val="009C01DA"/>
    <w:rsid w:val="009C1528"/>
    <w:rsid w:val="009C206E"/>
    <w:rsid w:val="009C20CC"/>
    <w:rsid w:val="009C2BDF"/>
    <w:rsid w:val="009C3558"/>
    <w:rsid w:val="009C3AC3"/>
    <w:rsid w:val="009C4612"/>
    <w:rsid w:val="009C50C4"/>
    <w:rsid w:val="009C562E"/>
    <w:rsid w:val="009C58CF"/>
    <w:rsid w:val="009C5E44"/>
    <w:rsid w:val="009C6EAD"/>
    <w:rsid w:val="009C7531"/>
    <w:rsid w:val="009D0C90"/>
    <w:rsid w:val="009D220C"/>
    <w:rsid w:val="009D221F"/>
    <w:rsid w:val="009D27CA"/>
    <w:rsid w:val="009D3301"/>
    <w:rsid w:val="009D56D2"/>
    <w:rsid w:val="009E09F0"/>
    <w:rsid w:val="009E19E8"/>
    <w:rsid w:val="009E1A78"/>
    <w:rsid w:val="009E293A"/>
    <w:rsid w:val="009E34F0"/>
    <w:rsid w:val="009E377C"/>
    <w:rsid w:val="009E406C"/>
    <w:rsid w:val="009E411C"/>
    <w:rsid w:val="009E458A"/>
    <w:rsid w:val="009E5316"/>
    <w:rsid w:val="009E5D7C"/>
    <w:rsid w:val="009E5DFC"/>
    <w:rsid w:val="009E7379"/>
    <w:rsid w:val="009F0DD0"/>
    <w:rsid w:val="009F1192"/>
    <w:rsid w:val="009F1789"/>
    <w:rsid w:val="009F2E3B"/>
    <w:rsid w:val="009F36D2"/>
    <w:rsid w:val="009F376A"/>
    <w:rsid w:val="009F39E5"/>
    <w:rsid w:val="009F39E9"/>
    <w:rsid w:val="009F3B6B"/>
    <w:rsid w:val="009F4504"/>
    <w:rsid w:val="009F502C"/>
    <w:rsid w:val="009F603B"/>
    <w:rsid w:val="009F609A"/>
    <w:rsid w:val="009F6987"/>
    <w:rsid w:val="009F720F"/>
    <w:rsid w:val="00A004C7"/>
    <w:rsid w:val="00A010E7"/>
    <w:rsid w:val="00A01A17"/>
    <w:rsid w:val="00A01A60"/>
    <w:rsid w:val="00A02B88"/>
    <w:rsid w:val="00A03F1B"/>
    <w:rsid w:val="00A04ED5"/>
    <w:rsid w:val="00A068A9"/>
    <w:rsid w:val="00A06E6E"/>
    <w:rsid w:val="00A076F9"/>
    <w:rsid w:val="00A07997"/>
    <w:rsid w:val="00A07F87"/>
    <w:rsid w:val="00A110D0"/>
    <w:rsid w:val="00A12E43"/>
    <w:rsid w:val="00A13659"/>
    <w:rsid w:val="00A13C8C"/>
    <w:rsid w:val="00A155E3"/>
    <w:rsid w:val="00A1637F"/>
    <w:rsid w:val="00A206ED"/>
    <w:rsid w:val="00A20806"/>
    <w:rsid w:val="00A20C7F"/>
    <w:rsid w:val="00A21D41"/>
    <w:rsid w:val="00A22DBA"/>
    <w:rsid w:val="00A231A3"/>
    <w:rsid w:val="00A2329D"/>
    <w:rsid w:val="00A240DD"/>
    <w:rsid w:val="00A2490E"/>
    <w:rsid w:val="00A24AE1"/>
    <w:rsid w:val="00A25442"/>
    <w:rsid w:val="00A25BFF"/>
    <w:rsid w:val="00A26648"/>
    <w:rsid w:val="00A26C32"/>
    <w:rsid w:val="00A26F79"/>
    <w:rsid w:val="00A27424"/>
    <w:rsid w:val="00A27522"/>
    <w:rsid w:val="00A27E91"/>
    <w:rsid w:val="00A3136F"/>
    <w:rsid w:val="00A33311"/>
    <w:rsid w:val="00A34C6B"/>
    <w:rsid w:val="00A34D0C"/>
    <w:rsid w:val="00A34D76"/>
    <w:rsid w:val="00A34E5F"/>
    <w:rsid w:val="00A357A2"/>
    <w:rsid w:val="00A35DD2"/>
    <w:rsid w:val="00A3618C"/>
    <w:rsid w:val="00A365D0"/>
    <w:rsid w:val="00A36EC3"/>
    <w:rsid w:val="00A402B8"/>
    <w:rsid w:val="00A4043E"/>
    <w:rsid w:val="00A41232"/>
    <w:rsid w:val="00A41241"/>
    <w:rsid w:val="00A42728"/>
    <w:rsid w:val="00A437D9"/>
    <w:rsid w:val="00A438FE"/>
    <w:rsid w:val="00A43C16"/>
    <w:rsid w:val="00A44012"/>
    <w:rsid w:val="00A443A6"/>
    <w:rsid w:val="00A457B2"/>
    <w:rsid w:val="00A45A1A"/>
    <w:rsid w:val="00A45E61"/>
    <w:rsid w:val="00A45FAC"/>
    <w:rsid w:val="00A46FF6"/>
    <w:rsid w:val="00A47F32"/>
    <w:rsid w:val="00A513BA"/>
    <w:rsid w:val="00A521DA"/>
    <w:rsid w:val="00A53220"/>
    <w:rsid w:val="00A533DB"/>
    <w:rsid w:val="00A538E6"/>
    <w:rsid w:val="00A54514"/>
    <w:rsid w:val="00A56102"/>
    <w:rsid w:val="00A56493"/>
    <w:rsid w:val="00A56800"/>
    <w:rsid w:val="00A56C6F"/>
    <w:rsid w:val="00A56D7E"/>
    <w:rsid w:val="00A57404"/>
    <w:rsid w:val="00A575BD"/>
    <w:rsid w:val="00A60342"/>
    <w:rsid w:val="00A6063A"/>
    <w:rsid w:val="00A60EEC"/>
    <w:rsid w:val="00A61929"/>
    <w:rsid w:val="00A63ABC"/>
    <w:rsid w:val="00A63B83"/>
    <w:rsid w:val="00A63BDB"/>
    <w:rsid w:val="00A65715"/>
    <w:rsid w:val="00A65BD9"/>
    <w:rsid w:val="00A66718"/>
    <w:rsid w:val="00A66A4E"/>
    <w:rsid w:val="00A671EF"/>
    <w:rsid w:val="00A705CA"/>
    <w:rsid w:val="00A707D2"/>
    <w:rsid w:val="00A70B31"/>
    <w:rsid w:val="00A71F70"/>
    <w:rsid w:val="00A7213C"/>
    <w:rsid w:val="00A7249F"/>
    <w:rsid w:val="00A728AB"/>
    <w:rsid w:val="00A73444"/>
    <w:rsid w:val="00A73692"/>
    <w:rsid w:val="00A73A74"/>
    <w:rsid w:val="00A759FE"/>
    <w:rsid w:val="00A75FE1"/>
    <w:rsid w:val="00A76D67"/>
    <w:rsid w:val="00A77412"/>
    <w:rsid w:val="00A77562"/>
    <w:rsid w:val="00A776B8"/>
    <w:rsid w:val="00A77D10"/>
    <w:rsid w:val="00A77D48"/>
    <w:rsid w:val="00A81EB6"/>
    <w:rsid w:val="00A81EE6"/>
    <w:rsid w:val="00A837FE"/>
    <w:rsid w:val="00A84A27"/>
    <w:rsid w:val="00A85357"/>
    <w:rsid w:val="00A871E5"/>
    <w:rsid w:val="00A90189"/>
    <w:rsid w:val="00A902DD"/>
    <w:rsid w:val="00A91617"/>
    <w:rsid w:val="00A918A9"/>
    <w:rsid w:val="00A93077"/>
    <w:rsid w:val="00A94139"/>
    <w:rsid w:val="00A95AA0"/>
    <w:rsid w:val="00A95D3B"/>
    <w:rsid w:val="00A96A29"/>
    <w:rsid w:val="00A96C13"/>
    <w:rsid w:val="00A96FA8"/>
    <w:rsid w:val="00A9770A"/>
    <w:rsid w:val="00A97897"/>
    <w:rsid w:val="00AA0062"/>
    <w:rsid w:val="00AA01E0"/>
    <w:rsid w:val="00AA065F"/>
    <w:rsid w:val="00AA0A43"/>
    <w:rsid w:val="00AA0DD3"/>
    <w:rsid w:val="00AA1C07"/>
    <w:rsid w:val="00AA28C4"/>
    <w:rsid w:val="00AA3688"/>
    <w:rsid w:val="00AA5887"/>
    <w:rsid w:val="00AB19F8"/>
    <w:rsid w:val="00AB2A61"/>
    <w:rsid w:val="00AB3A12"/>
    <w:rsid w:val="00AB41E8"/>
    <w:rsid w:val="00AB5A8D"/>
    <w:rsid w:val="00AB5E0E"/>
    <w:rsid w:val="00AB63F8"/>
    <w:rsid w:val="00AB6642"/>
    <w:rsid w:val="00AC171D"/>
    <w:rsid w:val="00AC17F7"/>
    <w:rsid w:val="00AC1A85"/>
    <w:rsid w:val="00AC26A9"/>
    <w:rsid w:val="00AC2EFE"/>
    <w:rsid w:val="00AC323B"/>
    <w:rsid w:val="00AC3930"/>
    <w:rsid w:val="00AC3AB1"/>
    <w:rsid w:val="00AC4225"/>
    <w:rsid w:val="00AC5B0E"/>
    <w:rsid w:val="00AC66F2"/>
    <w:rsid w:val="00AC68C6"/>
    <w:rsid w:val="00AC6FD3"/>
    <w:rsid w:val="00AC79C1"/>
    <w:rsid w:val="00AC7CA4"/>
    <w:rsid w:val="00AD22D5"/>
    <w:rsid w:val="00AD2C18"/>
    <w:rsid w:val="00AD375C"/>
    <w:rsid w:val="00AD3DEB"/>
    <w:rsid w:val="00AD493B"/>
    <w:rsid w:val="00AD4A64"/>
    <w:rsid w:val="00AD4AA7"/>
    <w:rsid w:val="00AD4D4E"/>
    <w:rsid w:val="00AD598F"/>
    <w:rsid w:val="00AD6D09"/>
    <w:rsid w:val="00AD767C"/>
    <w:rsid w:val="00AE07DA"/>
    <w:rsid w:val="00AE098E"/>
    <w:rsid w:val="00AE0BBA"/>
    <w:rsid w:val="00AE1DC1"/>
    <w:rsid w:val="00AE2291"/>
    <w:rsid w:val="00AE25C8"/>
    <w:rsid w:val="00AE4003"/>
    <w:rsid w:val="00AE4113"/>
    <w:rsid w:val="00AE4380"/>
    <w:rsid w:val="00AE4FAC"/>
    <w:rsid w:val="00AE50F0"/>
    <w:rsid w:val="00AE52E7"/>
    <w:rsid w:val="00AE5525"/>
    <w:rsid w:val="00AE6381"/>
    <w:rsid w:val="00AE656F"/>
    <w:rsid w:val="00AE6DF6"/>
    <w:rsid w:val="00AE7D78"/>
    <w:rsid w:val="00AF2D1F"/>
    <w:rsid w:val="00AF41F6"/>
    <w:rsid w:val="00AF438E"/>
    <w:rsid w:val="00AF45CA"/>
    <w:rsid w:val="00AF5CEE"/>
    <w:rsid w:val="00AF7506"/>
    <w:rsid w:val="00AF7D36"/>
    <w:rsid w:val="00B007DD"/>
    <w:rsid w:val="00B0098A"/>
    <w:rsid w:val="00B00ACF"/>
    <w:rsid w:val="00B01016"/>
    <w:rsid w:val="00B0146E"/>
    <w:rsid w:val="00B02160"/>
    <w:rsid w:val="00B02325"/>
    <w:rsid w:val="00B027CB"/>
    <w:rsid w:val="00B027D6"/>
    <w:rsid w:val="00B0352B"/>
    <w:rsid w:val="00B073E6"/>
    <w:rsid w:val="00B074F8"/>
    <w:rsid w:val="00B11A3D"/>
    <w:rsid w:val="00B121B0"/>
    <w:rsid w:val="00B13B87"/>
    <w:rsid w:val="00B13F8E"/>
    <w:rsid w:val="00B151FD"/>
    <w:rsid w:val="00B16D92"/>
    <w:rsid w:val="00B17E9D"/>
    <w:rsid w:val="00B17FAB"/>
    <w:rsid w:val="00B20A17"/>
    <w:rsid w:val="00B20B68"/>
    <w:rsid w:val="00B22C5F"/>
    <w:rsid w:val="00B23687"/>
    <w:rsid w:val="00B23EC6"/>
    <w:rsid w:val="00B25710"/>
    <w:rsid w:val="00B26803"/>
    <w:rsid w:val="00B2709A"/>
    <w:rsid w:val="00B275CD"/>
    <w:rsid w:val="00B27B03"/>
    <w:rsid w:val="00B31835"/>
    <w:rsid w:val="00B31B62"/>
    <w:rsid w:val="00B3208E"/>
    <w:rsid w:val="00B32A79"/>
    <w:rsid w:val="00B33711"/>
    <w:rsid w:val="00B3386A"/>
    <w:rsid w:val="00B33AA5"/>
    <w:rsid w:val="00B345ED"/>
    <w:rsid w:val="00B34889"/>
    <w:rsid w:val="00B34CF2"/>
    <w:rsid w:val="00B35FDD"/>
    <w:rsid w:val="00B37550"/>
    <w:rsid w:val="00B402C6"/>
    <w:rsid w:val="00B41DC1"/>
    <w:rsid w:val="00B42937"/>
    <w:rsid w:val="00B42A6F"/>
    <w:rsid w:val="00B42F69"/>
    <w:rsid w:val="00B435D6"/>
    <w:rsid w:val="00B43D65"/>
    <w:rsid w:val="00B46EC7"/>
    <w:rsid w:val="00B470EF"/>
    <w:rsid w:val="00B47785"/>
    <w:rsid w:val="00B50A91"/>
    <w:rsid w:val="00B5160B"/>
    <w:rsid w:val="00B51761"/>
    <w:rsid w:val="00B51871"/>
    <w:rsid w:val="00B51CDD"/>
    <w:rsid w:val="00B52022"/>
    <w:rsid w:val="00B52187"/>
    <w:rsid w:val="00B52E90"/>
    <w:rsid w:val="00B5459F"/>
    <w:rsid w:val="00B54691"/>
    <w:rsid w:val="00B60CCD"/>
    <w:rsid w:val="00B60CEF"/>
    <w:rsid w:val="00B61B7A"/>
    <w:rsid w:val="00B62854"/>
    <w:rsid w:val="00B62EF1"/>
    <w:rsid w:val="00B640CC"/>
    <w:rsid w:val="00B645B6"/>
    <w:rsid w:val="00B64B2F"/>
    <w:rsid w:val="00B667BF"/>
    <w:rsid w:val="00B674D6"/>
    <w:rsid w:val="00B6797D"/>
    <w:rsid w:val="00B7167C"/>
    <w:rsid w:val="00B7245B"/>
    <w:rsid w:val="00B735B8"/>
    <w:rsid w:val="00B74085"/>
    <w:rsid w:val="00B7418A"/>
    <w:rsid w:val="00B74858"/>
    <w:rsid w:val="00B752EB"/>
    <w:rsid w:val="00B75BDF"/>
    <w:rsid w:val="00B77BE4"/>
    <w:rsid w:val="00B812BE"/>
    <w:rsid w:val="00B813D5"/>
    <w:rsid w:val="00B823B2"/>
    <w:rsid w:val="00B8258D"/>
    <w:rsid w:val="00B825B4"/>
    <w:rsid w:val="00B84E7E"/>
    <w:rsid w:val="00B84F61"/>
    <w:rsid w:val="00B85BB8"/>
    <w:rsid w:val="00B86608"/>
    <w:rsid w:val="00B87847"/>
    <w:rsid w:val="00B90477"/>
    <w:rsid w:val="00B91C60"/>
    <w:rsid w:val="00B92AA5"/>
    <w:rsid w:val="00B93557"/>
    <w:rsid w:val="00B93904"/>
    <w:rsid w:val="00B955FE"/>
    <w:rsid w:val="00B95C14"/>
    <w:rsid w:val="00B9608A"/>
    <w:rsid w:val="00B96744"/>
    <w:rsid w:val="00B96AF9"/>
    <w:rsid w:val="00B97705"/>
    <w:rsid w:val="00B97AF4"/>
    <w:rsid w:val="00BA0B9F"/>
    <w:rsid w:val="00BA15FE"/>
    <w:rsid w:val="00BA184D"/>
    <w:rsid w:val="00BA2671"/>
    <w:rsid w:val="00BA2C35"/>
    <w:rsid w:val="00BA3287"/>
    <w:rsid w:val="00BA6283"/>
    <w:rsid w:val="00BA6419"/>
    <w:rsid w:val="00BA6550"/>
    <w:rsid w:val="00BB0217"/>
    <w:rsid w:val="00BB0930"/>
    <w:rsid w:val="00BB3642"/>
    <w:rsid w:val="00BB4A3B"/>
    <w:rsid w:val="00BB59F6"/>
    <w:rsid w:val="00BB5EF0"/>
    <w:rsid w:val="00BB6052"/>
    <w:rsid w:val="00BB66AB"/>
    <w:rsid w:val="00BB6B81"/>
    <w:rsid w:val="00BB78D0"/>
    <w:rsid w:val="00BB7A99"/>
    <w:rsid w:val="00BB7BBA"/>
    <w:rsid w:val="00BC0AD6"/>
    <w:rsid w:val="00BC122E"/>
    <w:rsid w:val="00BC33B0"/>
    <w:rsid w:val="00BC3584"/>
    <w:rsid w:val="00BC5838"/>
    <w:rsid w:val="00BC6DC2"/>
    <w:rsid w:val="00BC7E99"/>
    <w:rsid w:val="00BD1F3F"/>
    <w:rsid w:val="00BD2979"/>
    <w:rsid w:val="00BD7426"/>
    <w:rsid w:val="00BE0BFD"/>
    <w:rsid w:val="00BE26B7"/>
    <w:rsid w:val="00BE4871"/>
    <w:rsid w:val="00BE4ED6"/>
    <w:rsid w:val="00BE54F3"/>
    <w:rsid w:val="00BE5F67"/>
    <w:rsid w:val="00BE654B"/>
    <w:rsid w:val="00BE7920"/>
    <w:rsid w:val="00BF0881"/>
    <w:rsid w:val="00BF1E46"/>
    <w:rsid w:val="00BF2090"/>
    <w:rsid w:val="00BF2891"/>
    <w:rsid w:val="00BF2A3A"/>
    <w:rsid w:val="00BF2CD1"/>
    <w:rsid w:val="00BF444C"/>
    <w:rsid w:val="00BF4B6A"/>
    <w:rsid w:val="00BF5135"/>
    <w:rsid w:val="00BF57B1"/>
    <w:rsid w:val="00BF5DE9"/>
    <w:rsid w:val="00BF5EBC"/>
    <w:rsid w:val="00BF6693"/>
    <w:rsid w:val="00BF6F95"/>
    <w:rsid w:val="00BF7057"/>
    <w:rsid w:val="00BF7F8D"/>
    <w:rsid w:val="00C00312"/>
    <w:rsid w:val="00C00828"/>
    <w:rsid w:val="00C009F5"/>
    <w:rsid w:val="00C01129"/>
    <w:rsid w:val="00C02239"/>
    <w:rsid w:val="00C022E1"/>
    <w:rsid w:val="00C02851"/>
    <w:rsid w:val="00C0398D"/>
    <w:rsid w:val="00C04C65"/>
    <w:rsid w:val="00C05AD5"/>
    <w:rsid w:val="00C05AF5"/>
    <w:rsid w:val="00C05C3D"/>
    <w:rsid w:val="00C07048"/>
    <w:rsid w:val="00C071AC"/>
    <w:rsid w:val="00C109A2"/>
    <w:rsid w:val="00C10AD9"/>
    <w:rsid w:val="00C11567"/>
    <w:rsid w:val="00C11E4C"/>
    <w:rsid w:val="00C1213F"/>
    <w:rsid w:val="00C14954"/>
    <w:rsid w:val="00C179B0"/>
    <w:rsid w:val="00C20245"/>
    <w:rsid w:val="00C20CA6"/>
    <w:rsid w:val="00C226F9"/>
    <w:rsid w:val="00C23398"/>
    <w:rsid w:val="00C23B23"/>
    <w:rsid w:val="00C2428B"/>
    <w:rsid w:val="00C26C22"/>
    <w:rsid w:val="00C27B03"/>
    <w:rsid w:val="00C3089B"/>
    <w:rsid w:val="00C31C61"/>
    <w:rsid w:val="00C321E4"/>
    <w:rsid w:val="00C32612"/>
    <w:rsid w:val="00C34B40"/>
    <w:rsid w:val="00C3530C"/>
    <w:rsid w:val="00C35836"/>
    <w:rsid w:val="00C36328"/>
    <w:rsid w:val="00C36B67"/>
    <w:rsid w:val="00C37139"/>
    <w:rsid w:val="00C37462"/>
    <w:rsid w:val="00C37CA1"/>
    <w:rsid w:val="00C41CD3"/>
    <w:rsid w:val="00C43438"/>
    <w:rsid w:val="00C44264"/>
    <w:rsid w:val="00C46075"/>
    <w:rsid w:val="00C46251"/>
    <w:rsid w:val="00C4790F"/>
    <w:rsid w:val="00C47FC0"/>
    <w:rsid w:val="00C50FEC"/>
    <w:rsid w:val="00C5189F"/>
    <w:rsid w:val="00C519C8"/>
    <w:rsid w:val="00C52314"/>
    <w:rsid w:val="00C528CC"/>
    <w:rsid w:val="00C53ABD"/>
    <w:rsid w:val="00C53AD3"/>
    <w:rsid w:val="00C53C94"/>
    <w:rsid w:val="00C55CC4"/>
    <w:rsid w:val="00C56129"/>
    <w:rsid w:val="00C57741"/>
    <w:rsid w:val="00C60464"/>
    <w:rsid w:val="00C6074F"/>
    <w:rsid w:val="00C62568"/>
    <w:rsid w:val="00C64143"/>
    <w:rsid w:val="00C6434D"/>
    <w:rsid w:val="00C652E5"/>
    <w:rsid w:val="00C67446"/>
    <w:rsid w:val="00C70962"/>
    <w:rsid w:val="00C71674"/>
    <w:rsid w:val="00C7686D"/>
    <w:rsid w:val="00C7697F"/>
    <w:rsid w:val="00C76D78"/>
    <w:rsid w:val="00C772BA"/>
    <w:rsid w:val="00C77D75"/>
    <w:rsid w:val="00C77F1E"/>
    <w:rsid w:val="00C800D3"/>
    <w:rsid w:val="00C8136C"/>
    <w:rsid w:val="00C81504"/>
    <w:rsid w:val="00C82FAC"/>
    <w:rsid w:val="00C82FFA"/>
    <w:rsid w:val="00C84A1B"/>
    <w:rsid w:val="00C85521"/>
    <w:rsid w:val="00C856C0"/>
    <w:rsid w:val="00C85717"/>
    <w:rsid w:val="00C863EE"/>
    <w:rsid w:val="00C86FAE"/>
    <w:rsid w:val="00C90C3D"/>
    <w:rsid w:val="00C91A2F"/>
    <w:rsid w:val="00C92512"/>
    <w:rsid w:val="00C92646"/>
    <w:rsid w:val="00C9316A"/>
    <w:rsid w:val="00C93B5E"/>
    <w:rsid w:val="00C94368"/>
    <w:rsid w:val="00C956F4"/>
    <w:rsid w:val="00C95910"/>
    <w:rsid w:val="00C95D8D"/>
    <w:rsid w:val="00C95EEC"/>
    <w:rsid w:val="00C964FF"/>
    <w:rsid w:val="00C97C7F"/>
    <w:rsid w:val="00CA06BB"/>
    <w:rsid w:val="00CA2283"/>
    <w:rsid w:val="00CA2AEF"/>
    <w:rsid w:val="00CA2CA3"/>
    <w:rsid w:val="00CA325F"/>
    <w:rsid w:val="00CA33B8"/>
    <w:rsid w:val="00CA4E17"/>
    <w:rsid w:val="00CA544A"/>
    <w:rsid w:val="00CA64F2"/>
    <w:rsid w:val="00CA78C3"/>
    <w:rsid w:val="00CB0076"/>
    <w:rsid w:val="00CB1582"/>
    <w:rsid w:val="00CB1DD6"/>
    <w:rsid w:val="00CB22B7"/>
    <w:rsid w:val="00CB2C88"/>
    <w:rsid w:val="00CB31DA"/>
    <w:rsid w:val="00CB3ABA"/>
    <w:rsid w:val="00CB5032"/>
    <w:rsid w:val="00CB62CD"/>
    <w:rsid w:val="00CB7847"/>
    <w:rsid w:val="00CB7DF6"/>
    <w:rsid w:val="00CC1FA9"/>
    <w:rsid w:val="00CC303F"/>
    <w:rsid w:val="00CC30B4"/>
    <w:rsid w:val="00CC3C96"/>
    <w:rsid w:val="00CC4739"/>
    <w:rsid w:val="00CC4CB1"/>
    <w:rsid w:val="00CC7717"/>
    <w:rsid w:val="00CD077C"/>
    <w:rsid w:val="00CD2151"/>
    <w:rsid w:val="00CD3097"/>
    <w:rsid w:val="00CD342A"/>
    <w:rsid w:val="00CD3940"/>
    <w:rsid w:val="00CD5818"/>
    <w:rsid w:val="00CD6FF7"/>
    <w:rsid w:val="00CD7D40"/>
    <w:rsid w:val="00CE1932"/>
    <w:rsid w:val="00CE2F14"/>
    <w:rsid w:val="00CE45FC"/>
    <w:rsid w:val="00CE4A91"/>
    <w:rsid w:val="00CE52B8"/>
    <w:rsid w:val="00CE5EDE"/>
    <w:rsid w:val="00CE6A0B"/>
    <w:rsid w:val="00CE7BF6"/>
    <w:rsid w:val="00CF0950"/>
    <w:rsid w:val="00CF179E"/>
    <w:rsid w:val="00CF2F71"/>
    <w:rsid w:val="00CF3B07"/>
    <w:rsid w:val="00CF4C13"/>
    <w:rsid w:val="00CF62E0"/>
    <w:rsid w:val="00CF6384"/>
    <w:rsid w:val="00CF6902"/>
    <w:rsid w:val="00CF6B2B"/>
    <w:rsid w:val="00D00E6D"/>
    <w:rsid w:val="00D02177"/>
    <w:rsid w:val="00D02B8F"/>
    <w:rsid w:val="00D04341"/>
    <w:rsid w:val="00D04B23"/>
    <w:rsid w:val="00D04CBD"/>
    <w:rsid w:val="00D06E88"/>
    <w:rsid w:val="00D075F6"/>
    <w:rsid w:val="00D11200"/>
    <w:rsid w:val="00D11F90"/>
    <w:rsid w:val="00D13422"/>
    <w:rsid w:val="00D13527"/>
    <w:rsid w:val="00D13B1C"/>
    <w:rsid w:val="00D14E12"/>
    <w:rsid w:val="00D15E4E"/>
    <w:rsid w:val="00D17601"/>
    <w:rsid w:val="00D20D6E"/>
    <w:rsid w:val="00D21300"/>
    <w:rsid w:val="00D22F7B"/>
    <w:rsid w:val="00D230DC"/>
    <w:rsid w:val="00D2394D"/>
    <w:rsid w:val="00D24838"/>
    <w:rsid w:val="00D24ADC"/>
    <w:rsid w:val="00D26528"/>
    <w:rsid w:val="00D26C9A"/>
    <w:rsid w:val="00D26DEC"/>
    <w:rsid w:val="00D303E8"/>
    <w:rsid w:val="00D30894"/>
    <w:rsid w:val="00D31BA6"/>
    <w:rsid w:val="00D335E1"/>
    <w:rsid w:val="00D340EE"/>
    <w:rsid w:val="00D343B0"/>
    <w:rsid w:val="00D3545E"/>
    <w:rsid w:val="00D35FEA"/>
    <w:rsid w:val="00D36348"/>
    <w:rsid w:val="00D366E4"/>
    <w:rsid w:val="00D373E8"/>
    <w:rsid w:val="00D423AC"/>
    <w:rsid w:val="00D441B3"/>
    <w:rsid w:val="00D44623"/>
    <w:rsid w:val="00D44B15"/>
    <w:rsid w:val="00D44DC6"/>
    <w:rsid w:val="00D4646B"/>
    <w:rsid w:val="00D476EA"/>
    <w:rsid w:val="00D514E5"/>
    <w:rsid w:val="00D53589"/>
    <w:rsid w:val="00D539D5"/>
    <w:rsid w:val="00D544D5"/>
    <w:rsid w:val="00D54E59"/>
    <w:rsid w:val="00D5609A"/>
    <w:rsid w:val="00D56D09"/>
    <w:rsid w:val="00D571AF"/>
    <w:rsid w:val="00D57897"/>
    <w:rsid w:val="00D6010D"/>
    <w:rsid w:val="00D602DE"/>
    <w:rsid w:val="00D6096A"/>
    <w:rsid w:val="00D60ABE"/>
    <w:rsid w:val="00D60CE5"/>
    <w:rsid w:val="00D61811"/>
    <w:rsid w:val="00D63569"/>
    <w:rsid w:val="00D63D24"/>
    <w:rsid w:val="00D63F9F"/>
    <w:rsid w:val="00D6412B"/>
    <w:rsid w:val="00D642EF"/>
    <w:rsid w:val="00D646D3"/>
    <w:rsid w:val="00D65BBC"/>
    <w:rsid w:val="00D662F2"/>
    <w:rsid w:val="00D665F1"/>
    <w:rsid w:val="00D6711E"/>
    <w:rsid w:val="00D73B08"/>
    <w:rsid w:val="00D74DB7"/>
    <w:rsid w:val="00D75921"/>
    <w:rsid w:val="00D76895"/>
    <w:rsid w:val="00D80127"/>
    <w:rsid w:val="00D804E2"/>
    <w:rsid w:val="00D805D1"/>
    <w:rsid w:val="00D81FB3"/>
    <w:rsid w:val="00D82ECE"/>
    <w:rsid w:val="00D82FD7"/>
    <w:rsid w:val="00D83A0C"/>
    <w:rsid w:val="00D84FA6"/>
    <w:rsid w:val="00D85BF9"/>
    <w:rsid w:val="00D85C5F"/>
    <w:rsid w:val="00D85ECC"/>
    <w:rsid w:val="00D864C7"/>
    <w:rsid w:val="00D86EB7"/>
    <w:rsid w:val="00D912DF"/>
    <w:rsid w:val="00D91E9F"/>
    <w:rsid w:val="00D91FBF"/>
    <w:rsid w:val="00D92B5E"/>
    <w:rsid w:val="00D93388"/>
    <w:rsid w:val="00D93CFF"/>
    <w:rsid w:val="00D93F26"/>
    <w:rsid w:val="00D94657"/>
    <w:rsid w:val="00D95453"/>
    <w:rsid w:val="00D95457"/>
    <w:rsid w:val="00D96D31"/>
    <w:rsid w:val="00D97A7B"/>
    <w:rsid w:val="00DA1259"/>
    <w:rsid w:val="00DA1AAD"/>
    <w:rsid w:val="00DA1E08"/>
    <w:rsid w:val="00DA1E53"/>
    <w:rsid w:val="00DA4A52"/>
    <w:rsid w:val="00DA4FBC"/>
    <w:rsid w:val="00DA61B9"/>
    <w:rsid w:val="00DA7457"/>
    <w:rsid w:val="00DB1083"/>
    <w:rsid w:val="00DB15CE"/>
    <w:rsid w:val="00DB1B31"/>
    <w:rsid w:val="00DB2202"/>
    <w:rsid w:val="00DB2995"/>
    <w:rsid w:val="00DB2ED0"/>
    <w:rsid w:val="00DB3784"/>
    <w:rsid w:val="00DB38F0"/>
    <w:rsid w:val="00DB3EE8"/>
    <w:rsid w:val="00DB4701"/>
    <w:rsid w:val="00DB48F1"/>
    <w:rsid w:val="00DB4E76"/>
    <w:rsid w:val="00DB58F8"/>
    <w:rsid w:val="00DB59C0"/>
    <w:rsid w:val="00DB669E"/>
    <w:rsid w:val="00DB6AA9"/>
    <w:rsid w:val="00DC0146"/>
    <w:rsid w:val="00DC03EE"/>
    <w:rsid w:val="00DC277F"/>
    <w:rsid w:val="00DC36B8"/>
    <w:rsid w:val="00DC53F2"/>
    <w:rsid w:val="00DC5FAB"/>
    <w:rsid w:val="00DC6B01"/>
    <w:rsid w:val="00DC7797"/>
    <w:rsid w:val="00DC7E53"/>
    <w:rsid w:val="00DD078A"/>
    <w:rsid w:val="00DD0D75"/>
    <w:rsid w:val="00DD1737"/>
    <w:rsid w:val="00DD272C"/>
    <w:rsid w:val="00DD34E1"/>
    <w:rsid w:val="00DD4087"/>
    <w:rsid w:val="00DD45E7"/>
    <w:rsid w:val="00DD64EE"/>
    <w:rsid w:val="00DD71F6"/>
    <w:rsid w:val="00DD7667"/>
    <w:rsid w:val="00DD777C"/>
    <w:rsid w:val="00DE030D"/>
    <w:rsid w:val="00DE0D2F"/>
    <w:rsid w:val="00DE0D75"/>
    <w:rsid w:val="00DE102D"/>
    <w:rsid w:val="00DE15F9"/>
    <w:rsid w:val="00DE19EB"/>
    <w:rsid w:val="00DE2C26"/>
    <w:rsid w:val="00DE3739"/>
    <w:rsid w:val="00DE5143"/>
    <w:rsid w:val="00DE5B0F"/>
    <w:rsid w:val="00DF0291"/>
    <w:rsid w:val="00DF0FE3"/>
    <w:rsid w:val="00DF2CB1"/>
    <w:rsid w:val="00DF47E3"/>
    <w:rsid w:val="00DF5245"/>
    <w:rsid w:val="00DF6351"/>
    <w:rsid w:val="00DF69F9"/>
    <w:rsid w:val="00DF7BE4"/>
    <w:rsid w:val="00E02579"/>
    <w:rsid w:val="00E02B50"/>
    <w:rsid w:val="00E04B3F"/>
    <w:rsid w:val="00E060C1"/>
    <w:rsid w:val="00E063BF"/>
    <w:rsid w:val="00E06B1E"/>
    <w:rsid w:val="00E07787"/>
    <w:rsid w:val="00E10AAF"/>
    <w:rsid w:val="00E11312"/>
    <w:rsid w:val="00E11D49"/>
    <w:rsid w:val="00E147D5"/>
    <w:rsid w:val="00E14B6A"/>
    <w:rsid w:val="00E14C0E"/>
    <w:rsid w:val="00E14DDC"/>
    <w:rsid w:val="00E151D0"/>
    <w:rsid w:val="00E16642"/>
    <w:rsid w:val="00E17561"/>
    <w:rsid w:val="00E1787C"/>
    <w:rsid w:val="00E17E6E"/>
    <w:rsid w:val="00E200E3"/>
    <w:rsid w:val="00E2117A"/>
    <w:rsid w:val="00E2249E"/>
    <w:rsid w:val="00E22B76"/>
    <w:rsid w:val="00E234F1"/>
    <w:rsid w:val="00E241ED"/>
    <w:rsid w:val="00E24B93"/>
    <w:rsid w:val="00E24E3A"/>
    <w:rsid w:val="00E25AF8"/>
    <w:rsid w:val="00E25BA5"/>
    <w:rsid w:val="00E26C55"/>
    <w:rsid w:val="00E26F6C"/>
    <w:rsid w:val="00E3002C"/>
    <w:rsid w:val="00E3044C"/>
    <w:rsid w:val="00E306FE"/>
    <w:rsid w:val="00E3083E"/>
    <w:rsid w:val="00E31BD0"/>
    <w:rsid w:val="00E3243D"/>
    <w:rsid w:val="00E326F7"/>
    <w:rsid w:val="00E32C86"/>
    <w:rsid w:val="00E34CA3"/>
    <w:rsid w:val="00E35C4A"/>
    <w:rsid w:val="00E35F2E"/>
    <w:rsid w:val="00E37A0F"/>
    <w:rsid w:val="00E37D19"/>
    <w:rsid w:val="00E37DA6"/>
    <w:rsid w:val="00E37F19"/>
    <w:rsid w:val="00E37FE3"/>
    <w:rsid w:val="00E40EB7"/>
    <w:rsid w:val="00E43AAA"/>
    <w:rsid w:val="00E44C62"/>
    <w:rsid w:val="00E450F3"/>
    <w:rsid w:val="00E46B14"/>
    <w:rsid w:val="00E47A02"/>
    <w:rsid w:val="00E5387C"/>
    <w:rsid w:val="00E54EF2"/>
    <w:rsid w:val="00E55060"/>
    <w:rsid w:val="00E55E11"/>
    <w:rsid w:val="00E6018F"/>
    <w:rsid w:val="00E60398"/>
    <w:rsid w:val="00E604FE"/>
    <w:rsid w:val="00E6095E"/>
    <w:rsid w:val="00E60DC5"/>
    <w:rsid w:val="00E62BDE"/>
    <w:rsid w:val="00E63559"/>
    <w:rsid w:val="00E63E2C"/>
    <w:rsid w:val="00E65E8E"/>
    <w:rsid w:val="00E67180"/>
    <w:rsid w:val="00E676E2"/>
    <w:rsid w:val="00E67974"/>
    <w:rsid w:val="00E71CBC"/>
    <w:rsid w:val="00E72131"/>
    <w:rsid w:val="00E72386"/>
    <w:rsid w:val="00E74A62"/>
    <w:rsid w:val="00E74FA5"/>
    <w:rsid w:val="00E756A8"/>
    <w:rsid w:val="00E76032"/>
    <w:rsid w:val="00E768F2"/>
    <w:rsid w:val="00E77E9E"/>
    <w:rsid w:val="00E81DED"/>
    <w:rsid w:val="00E82316"/>
    <w:rsid w:val="00E823A4"/>
    <w:rsid w:val="00E825B3"/>
    <w:rsid w:val="00E844B3"/>
    <w:rsid w:val="00E849DE"/>
    <w:rsid w:val="00E8562B"/>
    <w:rsid w:val="00E85948"/>
    <w:rsid w:val="00E85CF9"/>
    <w:rsid w:val="00E86536"/>
    <w:rsid w:val="00E86E9C"/>
    <w:rsid w:val="00E872D6"/>
    <w:rsid w:val="00E87B78"/>
    <w:rsid w:val="00E9167E"/>
    <w:rsid w:val="00E91C71"/>
    <w:rsid w:val="00E922A4"/>
    <w:rsid w:val="00E925CE"/>
    <w:rsid w:val="00E92992"/>
    <w:rsid w:val="00E93F3F"/>
    <w:rsid w:val="00E9422C"/>
    <w:rsid w:val="00E94F48"/>
    <w:rsid w:val="00E95096"/>
    <w:rsid w:val="00E9561C"/>
    <w:rsid w:val="00E96B6F"/>
    <w:rsid w:val="00EA05D9"/>
    <w:rsid w:val="00EA1104"/>
    <w:rsid w:val="00EA3091"/>
    <w:rsid w:val="00EA45AB"/>
    <w:rsid w:val="00EA4CC0"/>
    <w:rsid w:val="00EA5257"/>
    <w:rsid w:val="00EA553D"/>
    <w:rsid w:val="00EA58CA"/>
    <w:rsid w:val="00EA59B6"/>
    <w:rsid w:val="00EA5AA0"/>
    <w:rsid w:val="00EA5EB0"/>
    <w:rsid w:val="00EA7128"/>
    <w:rsid w:val="00EA7415"/>
    <w:rsid w:val="00EA78CA"/>
    <w:rsid w:val="00EB0024"/>
    <w:rsid w:val="00EB0433"/>
    <w:rsid w:val="00EB1B8B"/>
    <w:rsid w:val="00EB24EC"/>
    <w:rsid w:val="00EB3C54"/>
    <w:rsid w:val="00EB4951"/>
    <w:rsid w:val="00EB595B"/>
    <w:rsid w:val="00EC098E"/>
    <w:rsid w:val="00EC09A8"/>
    <w:rsid w:val="00EC0BCB"/>
    <w:rsid w:val="00EC0E71"/>
    <w:rsid w:val="00EC23D7"/>
    <w:rsid w:val="00EC2C14"/>
    <w:rsid w:val="00EC2C1B"/>
    <w:rsid w:val="00EC373B"/>
    <w:rsid w:val="00EC459D"/>
    <w:rsid w:val="00EC5265"/>
    <w:rsid w:val="00EC5BD2"/>
    <w:rsid w:val="00EC69B0"/>
    <w:rsid w:val="00EC6CDC"/>
    <w:rsid w:val="00EC70B8"/>
    <w:rsid w:val="00EC7B7D"/>
    <w:rsid w:val="00ED0294"/>
    <w:rsid w:val="00ED2396"/>
    <w:rsid w:val="00ED613A"/>
    <w:rsid w:val="00ED6347"/>
    <w:rsid w:val="00ED6CFA"/>
    <w:rsid w:val="00ED6D53"/>
    <w:rsid w:val="00EE1855"/>
    <w:rsid w:val="00EE2B68"/>
    <w:rsid w:val="00EE3733"/>
    <w:rsid w:val="00EE395E"/>
    <w:rsid w:val="00EE5A36"/>
    <w:rsid w:val="00EE6D70"/>
    <w:rsid w:val="00EE7B81"/>
    <w:rsid w:val="00EF12B0"/>
    <w:rsid w:val="00EF1386"/>
    <w:rsid w:val="00EF1522"/>
    <w:rsid w:val="00EF2491"/>
    <w:rsid w:val="00EF256B"/>
    <w:rsid w:val="00EF2C6A"/>
    <w:rsid w:val="00EF3A0D"/>
    <w:rsid w:val="00EF5277"/>
    <w:rsid w:val="00EF5CAD"/>
    <w:rsid w:val="00EF611F"/>
    <w:rsid w:val="00EF76E1"/>
    <w:rsid w:val="00F0220F"/>
    <w:rsid w:val="00F02443"/>
    <w:rsid w:val="00F029AF"/>
    <w:rsid w:val="00F04099"/>
    <w:rsid w:val="00F05581"/>
    <w:rsid w:val="00F05B66"/>
    <w:rsid w:val="00F060D9"/>
    <w:rsid w:val="00F1030E"/>
    <w:rsid w:val="00F10925"/>
    <w:rsid w:val="00F10E95"/>
    <w:rsid w:val="00F12F6C"/>
    <w:rsid w:val="00F134D9"/>
    <w:rsid w:val="00F13DAE"/>
    <w:rsid w:val="00F13E4D"/>
    <w:rsid w:val="00F157D8"/>
    <w:rsid w:val="00F176E6"/>
    <w:rsid w:val="00F17FA0"/>
    <w:rsid w:val="00F201AD"/>
    <w:rsid w:val="00F21481"/>
    <w:rsid w:val="00F21B21"/>
    <w:rsid w:val="00F222BB"/>
    <w:rsid w:val="00F23273"/>
    <w:rsid w:val="00F23959"/>
    <w:rsid w:val="00F2491A"/>
    <w:rsid w:val="00F24EF6"/>
    <w:rsid w:val="00F25089"/>
    <w:rsid w:val="00F254E4"/>
    <w:rsid w:val="00F26575"/>
    <w:rsid w:val="00F26F5D"/>
    <w:rsid w:val="00F272C3"/>
    <w:rsid w:val="00F334B6"/>
    <w:rsid w:val="00F34C92"/>
    <w:rsid w:val="00F351CA"/>
    <w:rsid w:val="00F35D19"/>
    <w:rsid w:val="00F35EEB"/>
    <w:rsid w:val="00F35F19"/>
    <w:rsid w:val="00F36439"/>
    <w:rsid w:val="00F371C3"/>
    <w:rsid w:val="00F377AE"/>
    <w:rsid w:val="00F41269"/>
    <w:rsid w:val="00F41319"/>
    <w:rsid w:val="00F4401F"/>
    <w:rsid w:val="00F44B13"/>
    <w:rsid w:val="00F44FE5"/>
    <w:rsid w:val="00F45BE7"/>
    <w:rsid w:val="00F4632B"/>
    <w:rsid w:val="00F463D7"/>
    <w:rsid w:val="00F50163"/>
    <w:rsid w:val="00F510E2"/>
    <w:rsid w:val="00F51538"/>
    <w:rsid w:val="00F515F1"/>
    <w:rsid w:val="00F5273A"/>
    <w:rsid w:val="00F52D6B"/>
    <w:rsid w:val="00F52E18"/>
    <w:rsid w:val="00F53265"/>
    <w:rsid w:val="00F535E2"/>
    <w:rsid w:val="00F53680"/>
    <w:rsid w:val="00F546FB"/>
    <w:rsid w:val="00F550FD"/>
    <w:rsid w:val="00F55335"/>
    <w:rsid w:val="00F55CF7"/>
    <w:rsid w:val="00F5755A"/>
    <w:rsid w:val="00F577B3"/>
    <w:rsid w:val="00F57D1C"/>
    <w:rsid w:val="00F6084E"/>
    <w:rsid w:val="00F6086A"/>
    <w:rsid w:val="00F60A61"/>
    <w:rsid w:val="00F6169B"/>
    <w:rsid w:val="00F626C0"/>
    <w:rsid w:val="00F62824"/>
    <w:rsid w:val="00F62D7C"/>
    <w:rsid w:val="00F63399"/>
    <w:rsid w:val="00F634C8"/>
    <w:rsid w:val="00F63997"/>
    <w:rsid w:val="00F641F9"/>
    <w:rsid w:val="00F643A1"/>
    <w:rsid w:val="00F6513E"/>
    <w:rsid w:val="00F67155"/>
    <w:rsid w:val="00F7058F"/>
    <w:rsid w:val="00F70D21"/>
    <w:rsid w:val="00F70FEF"/>
    <w:rsid w:val="00F72CD3"/>
    <w:rsid w:val="00F73F06"/>
    <w:rsid w:val="00F74F3A"/>
    <w:rsid w:val="00F75B50"/>
    <w:rsid w:val="00F75C02"/>
    <w:rsid w:val="00F77574"/>
    <w:rsid w:val="00F77ECB"/>
    <w:rsid w:val="00F80234"/>
    <w:rsid w:val="00F8037F"/>
    <w:rsid w:val="00F81BF8"/>
    <w:rsid w:val="00F81E47"/>
    <w:rsid w:val="00F82447"/>
    <w:rsid w:val="00F824EF"/>
    <w:rsid w:val="00F82723"/>
    <w:rsid w:val="00F8407C"/>
    <w:rsid w:val="00F84408"/>
    <w:rsid w:val="00F859CC"/>
    <w:rsid w:val="00F86474"/>
    <w:rsid w:val="00F868B4"/>
    <w:rsid w:val="00F8730A"/>
    <w:rsid w:val="00F9016F"/>
    <w:rsid w:val="00F90601"/>
    <w:rsid w:val="00F93703"/>
    <w:rsid w:val="00F937E5"/>
    <w:rsid w:val="00F949D3"/>
    <w:rsid w:val="00F96A2E"/>
    <w:rsid w:val="00F96D5A"/>
    <w:rsid w:val="00FA030D"/>
    <w:rsid w:val="00FA0C4C"/>
    <w:rsid w:val="00FA426F"/>
    <w:rsid w:val="00FA65D1"/>
    <w:rsid w:val="00FA6DCD"/>
    <w:rsid w:val="00FA782F"/>
    <w:rsid w:val="00FA78FD"/>
    <w:rsid w:val="00FB11BE"/>
    <w:rsid w:val="00FB1357"/>
    <w:rsid w:val="00FB1799"/>
    <w:rsid w:val="00FB1A10"/>
    <w:rsid w:val="00FB1B56"/>
    <w:rsid w:val="00FB1DE3"/>
    <w:rsid w:val="00FB27F1"/>
    <w:rsid w:val="00FB40CB"/>
    <w:rsid w:val="00FB4C6F"/>
    <w:rsid w:val="00FB69C9"/>
    <w:rsid w:val="00FC1A35"/>
    <w:rsid w:val="00FC2445"/>
    <w:rsid w:val="00FC34C4"/>
    <w:rsid w:val="00FC4795"/>
    <w:rsid w:val="00FC5E76"/>
    <w:rsid w:val="00FC69CF"/>
    <w:rsid w:val="00FC7214"/>
    <w:rsid w:val="00FD058F"/>
    <w:rsid w:val="00FD0B70"/>
    <w:rsid w:val="00FD0DEB"/>
    <w:rsid w:val="00FD11B8"/>
    <w:rsid w:val="00FD1440"/>
    <w:rsid w:val="00FD1489"/>
    <w:rsid w:val="00FD17D7"/>
    <w:rsid w:val="00FD1972"/>
    <w:rsid w:val="00FD1FB4"/>
    <w:rsid w:val="00FD2DA9"/>
    <w:rsid w:val="00FD35FA"/>
    <w:rsid w:val="00FD59F1"/>
    <w:rsid w:val="00FD643A"/>
    <w:rsid w:val="00FD6FE2"/>
    <w:rsid w:val="00FD74CB"/>
    <w:rsid w:val="00FD7543"/>
    <w:rsid w:val="00FD7BF5"/>
    <w:rsid w:val="00FE185C"/>
    <w:rsid w:val="00FE2FB0"/>
    <w:rsid w:val="00FE36D7"/>
    <w:rsid w:val="00FE3C5F"/>
    <w:rsid w:val="00FE401B"/>
    <w:rsid w:val="00FE4705"/>
    <w:rsid w:val="00FE557C"/>
    <w:rsid w:val="00FE57C3"/>
    <w:rsid w:val="00FE6684"/>
    <w:rsid w:val="00FE67AB"/>
    <w:rsid w:val="00FF1FCD"/>
    <w:rsid w:val="00FF4C3A"/>
    <w:rsid w:val="00FF5DDC"/>
    <w:rsid w:val="00FF5E75"/>
    <w:rsid w:val="00FF62F4"/>
    <w:rsid w:val="00FF6519"/>
    <w:rsid w:val="00FF68CF"/>
    <w:rsid w:val="00FF6A4B"/>
    <w:rsid w:val="00FF6A79"/>
    <w:rsid w:val="00FF6B4E"/>
    <w:rsid w:val="00FF6DEC"/>
    <w:rsid w:val="00FF7F6C"/>
    <w:rsid w:val="01B5695A"/>
    <w:rsid w:val="04949EAF"/>
    <w:rsid w:val="0556EC91"/>
    <w:rsid w:val="0569D5DC"/>
    <w:rsid w:val="0613C3B7"/>
    <w:rsid w:val="0653A2E5"/>
    <w:rsid w:val="08CBDD90"/>
    <w:rsid w:val="0A4152BC"/>
    <w:rsid w:val="0BAF5714"/>
    <w:rsid w:val="0BE95FE7"/>
    <w:rsid w:val="0CBB95DA"/>
    <w:rsid w:val="0F089A5B"/>
    <w:rsid w:val="0F7F71B1"/>
    <w:rsid w:val="117A356B"/>
    <w:rsid w:val="126783FD"/>
    <w:rsid w:val="13A25147"/>
    <w:rsid w:val="15E23CDB"/>
    <w:rsid w:val="19B2D97E"/>
    <w:rsid w:val="1D1E4511"/>
    <w:rsid w:val="1E11593E"/>
    <w:rsid w:val="1EDF4E6D"/>
    <w:rsid w:val="1F9FC424"/>
    <w:rsid w:val="20070C76"/>
    <w:rsid w:val="2239CEE4"/>
    <w:rsid w:val="23FE4B39"/>
    <w:rsid w:val="258BDF72"/>
    <w:rsid w:val="25EE966B"/>
    <w:rsid w:val="26398360"/>
    <w:rsid w:val="27FD7482"/>
    <w:rsid w:val="28101B29"/>
    <w:rsid w:val="2B7F7BF3"/>
    <w:rsid w:val="3082D122"/>
    <w:rsid w:val="310E1948"/>
    <w:rsid w:val="31C2C0D0"/>
    <w:rsid w:val="323B919A"/>
    <w:rsid w:val="328ED6D2"/>
    <w:rsid w:val="367309FF"/>
    <w:rsid w:val="367581B2"/>
    <w:rsid w:val="39059491"/>
    <w:rsid w:val="3A714D8D"/>
    <w:rsid w:val="3D1F4A7E"/>
    <w:rsid w:val="3ECA98DF"/>
    <w:rsid w:val="42254AE1"/>
    <w:rsid w:val="4974853B"/>
    <w:rsid w:val="4A9C0BB7"/>
    <w:rsid w:val="4CEE30CA"/>
    <w:rsid w:val="4F790E84"/>
    <w:rsid w:val="4FE71045"/>
    <w:rsid w:val="4FFD2300"/>
    <w:rsid w:val="501C5BD4"/>
    <w:rsid w:val="523A2453"/>
    <w:rsid w:val="553152CD"/>
    <w:rsid w:val="55EE4472"/>
    <w:rsid w:val="564B4095"/>
    <w:rsid w:val="5ABCC705"/>
    <w:rsid w:val="5CFE3048"/>
    <w:rsid w:val="5E39DBCA"/>
    <w:rsid w:val="5F90667D"/>
    <w:rsid w:val="605F5B8B"/>
    <w:rsid w:val="62DA4D8C"/>
    <w:rsid w:val="63FB0479"/>
    <w:rsid w:val="64F46973"/>
    <w:rsid w:val="64F46A93"/>
    <w:rsid w:val="6FA4FAD0"/>
    <w:rsid w:val="70608D68"/>
    <w:rsid w:val="73E2B89C"/>
    <w:rsid w:val="74A1F1D8"/>
    <w:rsid w:val="75064F8C"/>
    <w:rsid w:val="783F23B6"/>
    <w:rsid w:val="78AC6868"/>
    <w:rsid w:val="7E8127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EB47456"/>
  <w15:chartTrackingRefBased/>
  <w15:docId w15:val="{98776068-0F22-482B-95AF-B75E612B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02"/>
    <w:pPr>
      <w:tabs>
        <w:tab w:val="left" w:pos="567"/>
      </w:tabs>
      <w:spacing w:line="260" w:lineRule="exact"/>
    </w:pPr>
    <w:rPr>
      <w:rFonts w:eastAsia="Times New Roman"/>
      <w:sz w:val="24"/>
      <w:lang w:val="en-GB" w:eastAsia="en-US"/>
    </w:rPr>
  </w:style>
  <w:style w:type="paragraph" w:styleId="Heading1">
    <w:name w:val="heading 1"/>
    <w:next w:val="Normal"/>
    <w:link w:val="Heading1Char"/>
    <w:qFormat/>
    <w:rsid w:val="002546A3"/>
    <w:pPr>
      <w:keepNext/>
      <w:numPr>
        <w:numId w:val="12"/>
      </w:numPr>
      <w:spacing w:before="240"/>
      <w:outlineLvl w:val="0"/>
    </w:pPr>
    <w:rPr>
      <w:rFonts w:ascii="Arial" w:eastAsia="MS Gothic" w:hAnsi="Arial" w:cs="Arial"/>
      <w:b/>
      <w:bCs/>
      <w:caps/>
      <w:kern w:val="32"/>
      <w:sz w:val="28"/>
      <w:szCs w:val="32"/>
      <w:lang w:val="en-US" w:eastAsia="en-US"/>
    </w:rPr>
  </w:style>
  <w:style w:type="paragraph" w:styleId="Heading2">
    <w:name w:val="heading 2"/>
    <w:basedOn w:val="Heading1"/>
    <w:next w:val="Normal"/>
    <w:link w:val="Heading2Char"/>
    <w:qFormat/>
    <w:rsid w:val="00ED0294"/>
    <w:pPr>
      <w:numPr>
        <w:ilvl w:val="1"/>
      </w:numPr>
      <w:outlineLvl w:val="1"/>
    </w:pPr>
    <w:rPr>
      <w:bCs w:val="0"/>
      <w:iCs/>
      <w:sz w:val="22"/>
      <w:szCs w:val="28"/>
    </w:rPr>
  </w:style>
  <w:style w:type="paragraph" w:styleId="Heading3">
    <w:name w:val="heading 3"/>
    <w:basedOn w:val="Heading1"/>
    <w:next w:val="Normal"/>
    <w:link w:val="Heading3Char"/>
    <w:qFormat/>
    <w:rsid w:val="00ED0294"/>
    <w:pPr>
      <w:numPr>
        <w:numId w:val="0"/>
      </w:numPr>
      <w:spacing w:before="360"/>
      <w:outlineLvl w:val="2"/>
    </w:pPr>
    <w:rPr>
      <w:bCs w:val="0"/>
      <w:caps w:val="0"/>
      <w:sz w:val="22"/>
      <w:szCs w:val="26"/>
    </w:rPr>
  </w:style>
  <w:style w:type="paragraph" w:styleId="Heading4">
    <w:name w:val="heading 4"/>
    <w:basedOn w:val="Normal"/>
    <w:next w:val="Normal"/>
    <w:link w:val="Heading4Char"/>
    <w:unhideWhenUsed/>
    <w:qFormat/>
    <w:rsid w:val="006B21E9"/>
    <w:pPr>
      <w:keepNext/>
      <w:numPr>
        <w:ilvl w:val="3"/>
        <w:numId w:val="12"/>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B21E9"/>
    <w:pPr>
      <w:numPr>
        <w:ilvl w:val="4"/>
        <w:numId w:val="1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6B21E9"/>
    <w:pPr>
      <w:numPr>
        <w:ilvl w:val="5"/>
        <w:numId w:val="1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6B21E9"/>
    <w:pPr>
      <w:numPr>
        <w:ilvl w:val="6"/>
        <w:numId w:val="12"/>
      </w:num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6B21E9"/>
    <w:pPr>
      <w:numPr>
        <w:ilvl w:val="7"/>
        <w:numId w:val="12"/>
      </w:num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6B21E9"/>
    <w:pPr>
      <w:numPr>
        <w:ilvl w:val="8"/>
        <w:numId w:val="12"/>
      </w:numPr>
      <w:spacing w:before="240" w:after="60"/>
      <w:outlineLvl w:val="8"/>
    </w:pPr>
    <w:rPr>
      <w:rFonts w:ascii="Calibri Light" w:hAnsi="Calibri Light"/>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
    <w:basedOn w:val="Normal"/>
    <w:link w:val="CommentTextChar"/>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 Char,Comment Text Char Char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character" w:customStyle="1" w:styleId="Heading1Char">
    <w:name w:val="Heading 1 Char"/>
    <w:link w:val="Heading1"/>
    <w:rsid w:val="002546A3"/>
    <w:rPr>
      <w:rFonts w:ascii="Arial" w:eastAsia="MS Gothic" w:hAnsi="Arial" w:cs="Arial"/>
      <w:b/>
      <w:bCs/>
      <w:caps/>
      <w:kern w:val="32"/>
      <w:sz w:val="28"/>
      <w:szCs w:val="32"/>
      <w:lang w:val="en-US" w:eastAsia="en-US"/>
    </w:rPr>
  </w:style>
  <w:style w:type="character" w:customStyle="1" w:styleId="Heading2Char">
    <w:name w:val="Heading 2 Char"/>
    <w:link w:val="Heading2"/>
    <w:rsid w:val="00ED0294"/>
    <w:rPr>
      <w:rFonts w:ascii="Arial" w:eastAsia="MS Gothic" w:hAnsi="Arial" w:cs="Arial"/>
      <w:b/>
      <w:iCs/>
      <w:caps/>
      <w:kern w:val="32"/>
      <w:sz w:val="22"/>
      <w:szCs w:val="28"/>
      <w:lang w:val="en-US" w:eastAsia="en-US"/>
    </w:rPr>
  </w:style>
  <w:style w:type="character" w:customStyle="1" w:styleId="Heading3Char">
    <w:name w:val="Heading 3 Char"/>
    <w:link w:val="Heading3"/>
    <w:rsid w:val="00ED0294"/>
    <w:rPr>
      <w:rFonts w:ascii="Arial" w:eastAsia="MS Gothic" w:hAnsi="Arial" w:cs="Arial"/>
      <w:b/>
      <w:kern w:val="32"/>
      <w:sz w:val="22"/>
      <w:szCs w:val="26"/>
      <w:lang w:val="en-US" w:eastAsia="en-US"/>
    </w:rPr>
  </w:style>
  <w:style w:type="character" w:customStyle="1" w:styleId="Heading4Char">
    <w:name w:val="Heading 4 Char"/>
    <w:link w:val="Heading4"/>
    <w:rsid w:val="006B21E9"/>
    <w:rPr>
      <w:rFonts w:ascii="Calibri" w:eastAsia="Times New Roman" w:hAnsi="Calibri"/>
      <w:b/>
      <w:bCs/>
      <w:sz w:val="28"/>
      <w:szCs w:val="28"/>
      <w:lang w:val="en-GB" w:eastAsia="en-US"/>
    </w:rPr>
  </w:style>
  <w:style w:type="character" w:customStyle="1" w:styleId="Heading5Char">
    <w:name w:val="Heading 5 Char"/>
    <w:link w:val="Heading5"/>
    <w:semiHidden/>
    <w:rsid w:val="006B21E9"/>
    <w:rPr>
      <w:rFonts w:ascii="Calibri" w:eastAsia="Times New Roman" w:hAnsi="Calibri"/>
      <w:b/>
      <w:bCs/>
      <w:i/>
      <w:iCs/>
      <w:sz w:val="26"/>
      <w:szCs w:val="26"/>
      <w:lang w:val="en-GB" w:eastAsia="en-US"/>
    </w:rPr>
  </w:style>
  <w:style w:type="character" w:customStyle="1" w:styleId="Heading6Char">
    <w:name w:val="Heading 6 Char"/>
    <w:link w:val="Heading6"/>
    <w:semiHidden/>
    <w:rsid w:val="006B21E9"/>
    <w:rPr>
      <w:rFonts w:ascii="Calibri" w:eastAsia="Times New Roman" w:hAnsi="Calibri"/>
      <w:b/>
      <w:bCs/>
      <w:sz w:val="24"/>
      <w:szCs w:val="22"/>
      <w:lang w:val="en-GB" w:eastAsia="en-US"/>
    </w:rPr>
  </w:style>
  <w:style w:type="character" w:customStyle="1" w:styleId="Heading7Char">
    <w:name w:val="Heading 7 Char"/>
    <w:link w:val="Heading7"/>
    <w:semiHidden/>
    <w:rsid w:val="006B21E9"/>
    <w:rPr>
      <w:rFonts w:ascii="Calibri" w:eastAsia="Times New Roman" w:hAnsi="Calibri"/>
      <w:sz w:val="24"/>
      <w:szCs w:val="24"/>
      <w:lang w:val="en-GB" w:eastAsia="en-US"/>
    </w:rPr>
  </w:style>
  <w:style w:type="character" w:customStyle="1" w:styleId="Heading8Char">
    <w:name w:val="Heading 8 Char"/>
    <w:link w:val="Heading8"/>
    <w:semiHidden/>
    <w:rsid w:val="006B21E9"/>
    <w:rPr>
      <w:rFonts w:ascii="Calibri" w:eastAsia="Times New Roman" w:hAnsi="Calibri"/>
      <w:i/>
      <w:iCs/>
      <w:sz w:val="24"/>
      <w:szCs w:val="24"/>
      <w:lang w:val="en-GB" w:eastAsia="en-US"/>
    </w:rPr>
  </w:style>
  <w:style w:type="character" w:customStyle="1" w:styleId="Heading9Char">
    <w:name w:val="Heading 9 Char"/>
    <w:link w:val="Heading9"/>
    <w:semiHidden/>
    <w:rsid w:val="006B21E9"/>
    <w:rPr>
      <w:rFonts w:ascii="Calibri Light" w:eastAsia="Times New Roman" w:hAnsi="Calibri Light"/>
      <w:sz w:val="24"/>
      <w:szCs w:val="22"/>
      <w:lang w:val="en-GB" w:eastAsia="en-US"/>
    </w:rPr>
  </w:style>
  <w:style w:type="table" w:styleId="TableGrid">
    <w:name w:val="Table Grid"/>
    <w:basedOn w:val="TableNormal"/>
    <w:uiPriority w:val="59"/>
    <w:rsid w:val="006B21E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21E9"/>
    <w:pPr>
      <w:autoSpaceDE w:val="0"/>
      <w:autoSpaceDN w:val="0"/>
      <w:adjustRightInd w:val="0"/>
    </w:pPr>
    <w:rPr>
      <w:rFonts w:ascii="Arial" w:hAnsi="Arial" w:cs="Arial"/>
      <w:color w:val="000000"/>
      <w:sz w:val="24"/>
      <w:szCs w:val="24"/>
      <w:lang w:val="pt-PT" w:eastAsia="pt-PT"/>
    </w:rPr>
  </w:style>
  <w:style w:type="paragraph" w:customStyle="1" w:styleId="TableHead">
    <w:name w:val="Table Head"/>
    <w:rsid w:val="006B21E9"/>
    <w:pPr>
      <w:spacing w:after="60"/>
      <w:jc w:val="center"/>
    </w:pPr>
    <w:rPr>
      <w:rFonts w:eastAsia="Arial Unicode MS"/>
      <w:b/>
      <w:sz w:val="24"/>
      <w:szCs w:val="24"/>
      <w:lang w:val="en-US" w:eastAsia="en-US"/>
    </w:rPr>
  </w:style>
  <w:style w:type="paragraph" w:customStyle="1" w:styleId="TableCenter">
    <w:name w:val="Table Center"/>
    <w:rsid w:val="006B21E9"/>
    <w:pPr>
      <w:spacing w:after="60"/>
      <w:jc w:val="center"/>
    </w:pPr>
    <w:rPr>
      <w:rFonts w:eastAsia="Arial Unicode MS"/>
      <w:sz w:val="24"/>
      <w:szCs w:val="24"/>
      <w:lang w:val="en-US" w:eastAsia="en-US"/>
    </w:rPr>
  </w:style>
  <w:style w:type="paragraph" w:customStyle="1" w:styleId="TableFootnoteLetter">
    <w:name w:val="Table Footnote Letter"/>
    <w:basedOn w:val="Normal"/>
    <w:link w:val="TableFootnoteLetterChar"/>
    <w:rsid w:val="006B21E9"/>
    <w:pPr>
      <w:numPr>
        <w:numId w:val="1"/>
      </w:numPr>
      <w:tabs>
        <w:tab w:val="clear" w:pos="567"/>
      </w:tabs>
      <w:spacing w:after="60" w:line="240" w:lineRule="auto"/>
    </w:pPr>
    <w:rPr>
      <w:rFonts w:eastAsia="Arial Unicode MS"/>
      <w:sz w:val="18"/>
      <w:szCs w:val="24"/>
      <w:lang w:val="en-US"/>
    </w:rPr>
  </w:style>
  <w:style w:type="character" w:customStyle="1" w:styleId="TableFootnoteLetterChar">
    <w:name w:val="Table Footnote Letter Char"/>
    <w:link w:val="TableFootnoteLetter"/>
    <w:rsid w:val="006B21E9"/>
    <w:rPr>
      <w:rFonts w:eastAsia="Arial Unicode MS"/>
      <w:sz w:val="18"/>
      <w:szCs w:val="24"/>
      <w:lang w:val="en-US" w:eastAsia="en-US"/>
    </w:rPr>
  </w:style>
  <w:style w:type="paragraph" w:customStyle="1" w:styleId="TableEntryC">
    <w:name w:val="Table Entry/C"/>
    <w:basedOn w:val="Normal"/>
    <w:rsid w:val="006B21E9"/>
    <w:pPr>
      <w:keepNext/>
      <w:keepLines/>
      <w:tabs>
        <w:tab w:val="clear" w:pos="567"/>
      </w:tabs>
      <w:spacing w:line="259" w:lineRule="atLeast"/>
      <w:jc w:val="center"/>
    </w:pPr>
    <w:rPr>
      <w:sz w:val="20"/>
      <w:lang w:val="en-US"/>
    </w:rPr>
  </w:style>
  <w:style w:type="paragraph" w:styleId="Caption">
    <w:name w:val="caption"/>
    <w:aliases w:val="Caption-FUSA,Caption Char Char, Char Char Char,Caption Char1, Char Char1, Char,Char Char Char,Char Char1,Char,CaptionFigure,fig cadre, fig cadre"/>
    <w:basedOn w:val="Normal"/>
    <w:next w:val="BodyText"/>
    <w:link w:val="CaptionChar"/>
    <w:qFormat/>
    <w:rsid w:val="006B21E9"/>
    <w:pPr>
      <w:keepNext/>
      <w:keepLines/>
      <w:tabs>
        <w:tab w:val="clear" w:pos="567"/>
        <w:tab w:val="left" w:pos="1418"/>
      </w:tabs>
      <w:spacing w:before="120" w:after="120" w:line="240" w:lineRule="auto"/>
      <w:ind w:left="1418" w:hanging="1418"/>
    </w:pPr>
    <w:rPr>
      <w:rFonts w:ascii="Times New Roman Bold" w:hAnsi="Times New Roman Bold"/>
      <w:b/>
      <w:szCs w:val="24"/>
    </w:rPr>
  </w:style>
  <w:style w:type="character" w:customStyle="1" w:styleId="CaptionChar">
    <w:name w:val="Caption Char"/>
    <w:aliases w:val="Caption-FUSA Char,Caption Char Char Char, Char Char Char Char,Caption Char1 Char, Char Char1 Char, Char Char,Char Char Char Char,Char Char1 Char,Char Char,CaptionFigure Char,fig cadre Char, fig cadre Char"/>
    <w:link w:val="Caption"/>
    <w:rsid w:val="006B21E9"/>
    <w:rPr>
      <w:rFonts w:ascii="Times New Roman Bold" w:eastAsia="Times New Roman" w:hAnsi="Times New Roman Bold"/>
      <w:b/>
      <w:sz w:val="22"/>
      <w:szCs w:val="24"/>
      <w:lang w:val="en-GB" w:eastAsia="en-US"/>
    </w:rPr>
  </w:style>
  <w:style w:type="paragraph" w:customStyle="1" w:styleId="TableText10pt">
    <w:name w:val="TableText 10 pt"/>
    <w:basedOn w:val="Normal"/>
    <w:rsid w:val="006B21E9"/>
    <w:pPr>
      <w:tabs>
        <w:tab w:val="clear" w:pos="567"/>
      </w:tabs>
      <w:spacing w:line="240" w:lineRule="auto"/>
    </w:pPr>
    <w:rPr>
      <w:rFonts w:cs="Arial"/>
      <w:sz w:val="20"/>
      <w:szCs w:val="26"/>
    </w:rPr>
  </w:style>
  <w:style w:type="paragraph" w:customStyle="1" w:styleId="TableText11pt">
    <w:name w:val="TableText 11 pt"/>
    <w:basedOn w:val="Normal"/>
    <w:rsid w:val="006B21E9"/>
    <w:pPr>
      <w:tabs>
        <w:tab w:val="clear" w:pos="567"/>
      </w:tabs>
      <w:spacing w:line="240" w:lineRule="auto"/>
    </w:pPr>
    <w:rPr>
      <w:rFonts w:cs="Arial"/>
      <w:szCs w:val="26"/>
    </w:rPr>
  </w:style>
  <w:style w:type="paragraph" w:customStyle="1" w:styleId="TableHeader-10pt">
    <w:name w:val="TableHeader-10 pt"/>
    <w:basedOn w:val="Normal"/>
    <w:rsid w:val="006B21E9"/>
    <w:pPr>
      <w:keepNext/>
      <w:keepLines/>
      <w:tabs>
        <w:tab w:val="clear" w:pos="567"/>
      </w:tabs>
      <w:spacing w:before="20" w:after="20" w:line="240" w:lineRule="auto"/>
    </w:pPr>
    <w:rPr>
      <w:b/>
      <w:sz w:val="20"/>
      <w:szCs w:val="24"/>
    </w:rPr>
  </w:style>
  <w:style w:type="paragraph" w:customStyle="1" w:styleId="TableFootnote">
    <w:name w:val="TableFootnote"/>
    <w:basedOn w:val="Normal"/>
    <w:next w:val="BodyText"/>
    <w:rsid w:val="006B21E9"/>
    <w:pPr>
      <w:tabs>
        <w:tab w:val="clear" w:pos="567"/>
        <w:tab w:val="left" w:pos="284"/>
      </w:tabs>
      <w:spacing w:line="240" w:lineRule="auto"/>
      <w:ind w:left="284" w:hanging="284"/>
    </w:pPr>
    <w:rPr>
      <w:sz w:val="20"/>
      <w:szCs w:val="24"/>
    </w:rPr>
  </w:style>
  <w:style w:type="character" w:customStyle="1" w:styleId="st">
    <w:name w:val="st"/>
    <w:rsid w:val="006B21E9"/>
  </w:style>
  <w:style w:type="character" w:styleId="Emphasis">
    <w:name w:val="Emphasis"/>
    <w:uiPriority w:val="20"/>
    <w:qFormat/>
    <w:rsid w:val="006B21E9"/>
    <w:rPr>
      <w:i/>
      <w:iCs/>
    </w:rPr>
  </w:style>
  <w:style w:type="paragraph" w:styleId="Signature">
    <w:name w:val="Signature"/>
    <w:basedOn w:val="Normal"/>
    <w:link w:val="SignatureChar"/>
    <w:rsid w:val="006B21E9"/>
    <w:pPr>
      <w:ind w:left="4252"/>
    </w:pPr>
  </w:style>
  <w:style w:type="character" w:customStyle="1" w:styleId="SignatureChar">
    <w:name w:val="Signature Char"/>
    <w:link w:val="Signature"/>
    <w:rsid w:val="006B21E9"/>
    <w:rPr>
      <w:rFonts w:eastAsia="Times New Roman"/>
      <w:sz w:val="22"/>
      <w:lang w:val="en-GB" w:eastAsia="en-US"/>
    </w:rPr>
  </w:style>
  <w:style w:type="paragraph" w:styleId="E-mailSignature">
    <w:name w:val="E-mail Signature"/>
    <w:basedOn w:val="Normal"/>
    <w:link w:val="E-mailSignatureChar"/>
    <w:rsid w:val="006B21E9"/>
  </w:style>
  <w:style w:type="character" w:customStyle="1" w:styleId="E-mailSignatureChar">
    <w:name w:val="E-mail Signature Char"/>
    <w:link w:val="E-mailSignature"/>
    <w:rsid w:val="006B21E9"/>
    <w:rPr>
      <w:rFonts w:eastAsia="Times New Roman"/>
      <w:sz w:val="22"/>
      <w:lang w:val="en-GB" w:eastAsia="en-US"/>
    </w:rPr>
  </w:style>
  <w:style w:type="paragraph" w:styleId="BodyTextIndent">
    <w:name w:val="Body Text Indent"/>
    <w:basedOn w:val="Normal"/>
    <w:link w:val="BodyTextIndentChar"/>
    <w:rsid w:val="006B21E9"/>
    <w:pPr>
      <w:spacing w:after="120"/>
      <w:ind w:left="283"/>
    </w:pPr>
  </w:style>
  <w:style w:type="character" w:customStyle="1" w:styleId="BodyTextIndentChar">
    <w:name w:val="Body Text Indent Char"/>
    <w:link w:val="BodyTextIndent"/>
    <w:rsid w:val="006B21E9"/>
    <w:rPr>
      <w:rFonts w:eastAsia="Times New Roman"/>
      <w:sz w:val="22"/>
      <w:lang w:val="en-GB" w:eastAsia="en-US"/>
    </w:rPr>
  </w:style>
  <w:style w:type="paragraph" w:styleId="BodyTextIndent2">
    <w:name w:val="Body Text Indent 2"/>
    <w:basedOn w:val="Normal"/>
    <w:link w:val="BodyTextIndent2Char"/>
    <w:rsid w:val="006B21E9"/>
    <w:pPr>
      <w:spacing w:after="120" w:line="480" w:lineRule="auto"/>
      <w:ind w:left="283"/>
    </w:pPr>
  </w:style>
  <w:style w:type="character" w:customStyle="1" w:styleId="BodyTextIndent2Char">
    <w:name w:val="Body Text Indent 2 Char"/>
    <w:link w:val="BodyTextIndent2"/>
    <w:rsid w:val="006B21E9"/>
    <w:rPr>
      <w:rFonts w:eastAsia="Times New Roman"/>
      <w:sz w:val="22"/>
      <w:lang w:val="en-GB" w:eastAsia="en-US"/>
    </w:rPr>
  </w:style>
  <w:style w:type="paragraph" w:styleId="BodyTextIndent3">
    <w:name w:val="Body Text Indent 3"/>
    <w:basedOn w:val="Normal"/>
    <w:link w:val="BodyTextIndent3Char"/>
    <w:rsid w:val="006B21E9"/>
    <w:pPr>
      <w:spacing w:after="120"/>
      <w:ind w:left="283"/>
    </w:pPr>
    <w:rPr>
      <w:sz w:val="16"/>
      <w:szCs w:val="16"/>
    </w:rPr>
  </w:style>
  <w:style w:type="character" w:customStyle="1" w:styleId="BodyTextIndent3Char">
    <w:name w:val="Body Text Indent 3 Char"/>
    <w:link w:val="BodyTextIndent3"/>
    <w:rsid w:val="006B21E9"/>
    <w:rPr>
      <w:rFonts w:eastAsia="Times New Roman"/>
      <w:sz w:val="16"/>
      <w:szCs w:val="16"/>
      <w:lang w:val="en-GB" w:eastAsia="en-US"/>
    </w:rPr>
  </w:style>
  <w:style w:type="paragraph" w:styleId="NormalIndent">
    <w:name w:val="Normal Indent"/>
    <w:basedOn w:val="Normal"/>
    <w:rsid w:val="006B21E9"/>
    <w:pPr>
      <w:ind w:left="708"/>
    </w:pPr>
  </w:style>
  <w:style w:type="paragraph" w:styleId="Bibliography">
    <w:name w:val="Bibliography"/>
    <w:basedOn w:val="Normal"/>
    <w:next w:val="Normal"/>
    <w:uiPriority w:val="37"/>
    <w:semiHidden/>
    <w:unhideWhenUsed/>
    <w:rsid w:val="006B21E9"/>
  </w:style>
  <w:style w:type="paragraph" w:styleId="MessageHeader">
    <w:name w:val="Message Header"/>
    <w:basedOn w:val="Normal"/>
    <w:link w:val="MessageHeaderChar"/>
    <w:rsid w:val="006B21E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Cs w:val="24"/>
    </w:rPr>
  </w:style>
  <w:style w:type="character" w:customStyle="1" w:styleId="MessageHeaderChar">
    <w:name w:val="Message Header Char"/>
    <w:link w:val="MessageHeader"/>
    <w:rsid w:val="006B21E9"/>
    <w:rPr>
      <w:rFonts w:ascii="Calibri Light" w:eastAsia="Times New Roman" w:hAnsi="Calibri Light"/>
      <w:sz w:val="24"/>
      <w:szCs w:val="24"/>
      <w:shd w:val="pct20" w:color="auto" w:fill="auto"/>
      <w:lang w:val="en-GB" w:eastAsia="en-US"/>
    </w:rPr>
  </w:style>
  <w:style w:type="paragraph" w:styleId="NoteHeading">
    <w:name w:val="Note Heading"/>
    <w:basedOn w:val="Normal"/>
    <w:next w:val="Normal"/>
    <w:link w:val="NoteHeadingChar"/>
    <w:rsid w:val="006B21E9"/>
  </w:style>
  <w:style w:type="character" w:customStyle="1" w:styleId="NoteHeadingChar">
    <w:name w:val="Note Heading Char"/>
    <w:link w:val="NoteHeading"/>
    <w:rsid w:val="006B21E9"/>
    <w:rPr>
      <w:rFonts w:eastAsia="Times New Roman"/>
      <w:sz w:val="22"/>
      <w:lang w:val="en-GB" w:eastAsia="en-US"/>
    </w:rPr>
  </w:style>
  <w:style w:type="paragraph" w:styleId="TOAHeading">
    <w:name w:val="toa heading"/>
    <w:basedOn w:val="Normal"/>
    <w:next w:val="Normal"/>
    <w:rsid w:val="006B21E9"/>
    <w:pPr>
      <w:spacing w:before="120"/>
    </w:pPr>
    <w:rPr>
      <w:rFonts w:ascii="Calibri Light" w:hAnsi="Calibri Light"/>
      <w:b/>
      <w:bCs/>
      <w:szCs w:val="24"/>
    </w:rPr>
  </w:style>
  <w:style w:type="paragraph" w:styleId="Index1">
    <w:name w:val="index 1"/>
    <w:basedOn w:val="Normal"/>
    <w:next w:val="Normal"/>
    <w:autoRedefine/>
    <w:rsid w:val="006B21E9"/>
    <w:pPr>
      <w:tabs>
        <w:tab w:val="clear" w:pos="567"/>
      </w:tabs>
      <w:ind w:left="220" w:hanging="220"/>
    </w:pPr>
  </w:style>
  <w:style w:type="paragraph" w:styleId="IndexHeading">
    <w:name w:val="index heading"/>
    <w:basedOn w:val="Normal"/>
    <w:next w:val="Index1"/>
    <w:rsid w:val="006B21E9"/>
    <w:rPr>
      <w:rFonts w:ascii="Calibri Light" w:hAnsi="Calibri Light"/>
      <w:b/>
      <w:bCs/>
    </w:rPr>
  </w:style>
  <w:style w:type="paragraph" w:styleId="TOCHeading">
    <w:name w:val="TOC Heading"/>
    <w:basedOn w:val="Heading1"/>
    <w:next w:val="Normal"/>
    <w:uiPriority w:val="39"/>
    <w:semiHidden/>
    <w:unhideWhenUsed/>
    <w:qFormat/>
    <w:rsid w:val="006B21E9"/>
    <w:pPr>
      <w:outlineLvl w:val="9"/>
    </w:pPr>
  </w:style>
  <w:style w:type="paragraph" w:styleId="Quote">
    <w:name w:val="Quote"/>
    <w:basedOn w:val="Normal"/>
    <w:next w:val="Normal"/>
    <w:link w:val="QuoteChar"/>
    <w:uiPriority w:val="29"/>
    <w:qFormat/>
    <w:rsid w:val="006B21E9"/>
    <w:pPr>
      <w:spacing w:before="200" w:after="160"/>
      <w:ind w:left="864" w:right="864"/>
      <w:jc w:val="center"/>
    </w:pPr>
    <w:rPr>
      <w:i/>
      <w:iCs/>
      <w:color w:val="404040"/>
    </w:rPr>
  </w:style>
  <w:style w:type="character" w:customStyle="1" w:styleId="QuoteChar">
    <w:name w:val="Quote Char"/>
    <w:link w:val="Quote"/>
    <w:uiPriority w:val="29"/>
    <w:rsid w:val="006B21E9"/>
    <w:rPr>
      <w:rFonts w:eastAsia="Times New Roman"/>
      <w:i/>
      <w:iCs/>
      <w:color w:val="404040"/>
      <w:sz w:val="22"/>
      <w:lang w:val="en-GB" w:eastAsia="en-US"/>
    </w:rPr>
  </w:style>
  <w:style w:type="paragraph" w:styleId="IntenseQuote">
    <w:name w:val="Intense Quote"/>
    <w:basedOn w:val="Normal"/>
    <w:next w:val="Normal"/>
    <w:link w:val="IntenseQuoteChar"/>
    <w:uiPriority w:val="30"/>
    <w:qFormat/>
    <w:rsid w:val="006B21E9"/>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6B21E9"/>
    <w:rPr>
      <w:rFonts w:eastAsia="Times New Roman"/>
      <w:i/>
      <w:iCs/>
      <w:color w:val="5B9BD5"/>
      <w:sz w:val="22"/>
      <w:lang w:val="en-GB" w:eastAsia="en-US"/>
    </w:rPr>
  </w:style>
  <w:style w:type="paragraph" w:styleId="BodyText2">
    <w:name w:val="Body Text 2"/>
    <w:basedOn w:val="Normal"/>
    <w:link w:val="BodyText2Char"/>
    <w:rsid w:val="006B21E9"/>
    <w:pPr>
      <w:spacing w:after="120" w:line="480" w:lineRule="auto"/>
    </w:pPr>
  </w:style>
  <w:style w:type="character" w:customStyle="1" w:styleId="BodyText2Char">
    <w:name w:val="Body Text 2 Char"/>
    <w:link w:val="BodyText2"/>
    <w:rsid w:val="006B21E9"/>
    <w:rPr>
      <w:rFonts w:eastAsia="Times New Roman"/>
      <w:sz w:val="22"/>
      <w:lang w:val="en-GB" w:eastAsia="en-US"/>
    </w:rPr>
  </w:style>
  <w:style w:type="paragraph" w:styleId="BodyText3">
    <w:name w:val="Body Text 3"/>
    <w:basedOn w:val="Normal"/>
    <w:link w:val="BodyText3Char"/>
    <w:rsid w:val="006B21E9"/>
    <w:pPr>
      <w:spacing w:after="120"/>
    </w:pPr>
    <w:rPr>
      <w:sz w:val="16"/>
      <w:szCs w:val="16"/>
    </w:rPr>
  </w:style>
  <w:style w:type="character" w:customStyle="1" w:styleId="BodyText3Char">
    <w:name w:val="Body Text 3 Char"/>
    <w:link w:val="BodyText3"/>
    <w:rsid w:val="006B21E9"/>
    <w:rPr>
      <w:rFonts w:eastAsia="Times New Roman"/>
      <w:sz w:val="16"/>
      <w:szCs w:val="16"/>
      <w:lang w:val="en-GB" w:eastAsia="en-US"/>
    </w:rPr>
  </w:style>
  <w:style w:type="paragraph" w:styleId="Date">
    <w:name w:val="Date"/>
    <w:basedOn w:val="Normal"/>
    <w:next w:val="Normal"/>
    <w:link w:val="DateChar"/>
    <w:rsid w:val="006B21E9"/>
  </w:style>
  <w:style w:type="character" w:customStyle="1" w:styleId="DateChar">
    <w:name w:val="Date Char"/>
    <w:link w:val="Date"/>
    <w:rsid w:val="006B21E9"/>
    <w:rPr>
      <w:rFonts w:eastAsia="Times New Roman"/>
      <w:sz w:val="22"/>
      <w:lang w:val="en-GB" w:eastAsia="en-US"/>
    </w:rPr>
  </w:style>
  <w:style w:type="paragraph" w:styleId="EnvelopeAddress">
    <w:name w:val="envelope address"/>
    <w:basedOn w:val="Normal"/>
    <w:rsid w:val="006B21E9"/>
    <w:pPr>
      <w:framePr w:w="7938" w:h="1984" w:hRule="exact" w:hSpace="141" w:wrap="auto" w:hAnchor="page" w:xAlign="center" w:yAlign="bottom"/>
      <w:ind w:left="2835"/>
    </w:pPr>
    <w:rPr>
      <w:rFonts w:ascii="Calibri Light" w:hAnsi="Calibri Light"/>
      <w:szCs w:val="24"/>
    </w:rPr>
  </w:style>
  <w:style w:type="paragraph" w:styleId="HTMLAddress">
    <w:name w:val="HTML Address"/>
    <w:basedOn w:val="Normal"/>
    <w:link w:val="HTMLAddressChar"/>
    <w:rsid w:val="006B21E9"/>
    <w:rPr>
      <w:i/>
      <w:iCs/>
    </w:rPr>
  </w:style>
  <w:style w:type="character" w:customStyle="1" w:styleId="HTMLAddressChar">
    <w:name w:val="HTML Address Char"/>
    <w:link w:val="HTMLAddress"/>
    <w:rsid w:val="006B21E9"/>
    <w:rPr>
      <w:rFonts w:eastAsia="Times New Roman"/>
      <w:i/>
      <w:iCs/>
      <w:sz w:val="22"/>
      <w:lang w:val="en-GB" w:eastAsia="en-US"/>
    </w:rPr>
  </w:style>
  <w:style w:type="paragraph" w:styleId="HTMLPreformatted">
    <w:name w:val="HTML Preformatted"/>
    <w:basedOn w:val="Normal"/>
    <w:link w:val="HTMLPreformattedChar"/>
    <w:rsid w:val="006B21E9"/>
    <w:rPr>
      <w:rFonts w:ascii="Courier New" w:hAnsi="Courier New" w:cs="Courier New"/>
      <w:sz w:val="20"/>
    </w:rPr>
  </w:style>
  <w:style w:type="character" w:customStyle="1" w:styleId="HTMLPreformattedChar">
    <w:name w:val="HTML Preformatted Char"/>
    <w:link w:val="HTMLPreformatted"/>
    <w:rsid w:val="006B21E9"/>
    <w:rPr>
      <w:rFonts w:ascii="Courier New" w:eastAsia="Times New Roman" w:hAnsi="Courier New" w:cs="Courier New"/>
      <w:lang w:val="en-GB" w:eastAsia="en-US"/>
    </w:rPr>
  </w:style>
  <w:style w:type="paragraph" w:styleId="TOC1">
    <w:name w:val="toc 1"/>
    <w:basedOn w:val="Normal"/>
    <w:next w:val="Normal"/>
    <w:autoRedefine/>
    <w:rsid w:val="006B21E9"/>
    <w:pPr>
      <w:tabs>
        <w:tab w:val="clear" w:pos="567"/>
      </w:tabs>
    </w:pPr>
  </w:style>
  <w:style w:type="paragraph" w:styleId="TOC2">
    <w:name w:val="toc 2"/>
    <w:basedOn w:val="Normal"/>
    <w:next w:val="Normal"/>
    <w:autoRedefine/>
    <w:rsid w:val="006B21E9"/>
    <w:pPr>
      <w:tabs>
        <w:tab w:val="clear" w:pos="567"/>
      </w:tabs>
      <w:ind w:left="220"/>
    </w:pPr>
  </w:style>
  <w:style w:type="paragraph" w:styleId="TOC3">
    <w:name w:val="toc 3"/>
    <w:basedOn w:val="Normal"/>
    <w:next w:val="Normal"/>
    <w:autoRedefine/>
    <w:rsid w:val="006B21E9"/>
    <w:pPr>
      <w:tabs>
        <w:tab w:val="clear" w:pos="567"/>
      </w:tabs>
      <w:ind w:left="440"/>
    </w:pPr>
  </w:style>
  <w:style w:type="paragraph" w:styleId="TOC4">
    <w:name w:val="toc 4"/>
    <w:basedOn w:val="Normal"/>
    <w:next w:val="Normal"/>
    <w:autoRedefine/>
    <w:rsid w:val="006B21E9"/>
    <w:pPr>
      <w:tabs>
        <w:tab w:val="clear" w:pos="567"/>
      </w:tabs>
      <w:ind w:left="660"/>
    </w:pPr>
  </w:style>
  <w:style w:type="paragraph" w:styleId="TOC5">
    <w:name w:val="toc 5"/>
    <w:basedOn w:val="Normal"/>
    <w:next w:val="Normal"/>
    <w:autoRedefine/>
    <w:rsid w:val="006B21E9"/>
    <w:pPr>
      <w:tabs>
        <w:tab w:val="clear" w:pos="567"/>
      </w:tabs>
      <w:ind w:left="880"/>
    </w:pPr>
  </w:style>
  <w:style w:type="paragraph" w:styleId="TOC6">
    <w:name w:val="toc 6"/>
    <w:basedOn w:val="Normal"/>
    <w:next w:val="Normal"/>
    <w:autoRedefine/>
    <w:rsid w:val="006B21E9"/>
    <w:pPr>
      <w:tabs>
        <w:tab w:val="clear" w:pos="567"/>
      </w:tabs>
      <w:ind w:left="1100"/>
    </w:pPr>
  </w:style>
  <w:style w:type="paragraph" w:styleId="TOC7">
    <w:name w:val="toc 7"/>
    <w:basedOn w:val="Normal"/>
    <w:next w:val="Normal"/>
    <w:autoRedefine/>
    <w:rsid w:val="006B21E9"/>
    <w:pPr>
      <w:tabs>
        <w:tab w:val="clear" w:pos="567"/>
      </w:tabs>
      <w:ind w:left="1320"/>
    </w:pPr>
  </w:style>
  <w:style w:type="paragraph" w:styleId="TOC8">
    <w:name w:val="toc 8"/>
    <w:basedOn w:val="Normal"/>
    <w:next w:val="Normal"/>
    <w:autoRedefine/>
    <w:rsid w:val="006B21E9"/>
    <w:pPr>
      <w:tabs>
        <w:tab w:val="clear" w:pos="567"/>
      </w:tabs>
      <w:ind w:left="1540"/>
    </w:pPr>
  </w:style>
  <w:style w:type="paragraph" w:styleId="TOC9">
    <w:name w:val="toc 9"/>
    <w:basedOn w:val="Normal"/>
    <w:next w:val="Normal"/>
    <w:autoRedefine/>
    <w:rsid w:val="006B21E9"/>
    <w:pPr>
      <w:tabs>
        <w:tab w:val="clear" w:pos="567"/>
      </w:tabs>
      <w:ind w:left="1760"/>
    </w:pPr>
  </w:style>
  <w:style w:type="paragraph" w:styleId="TableofAuthorities">
    <w:name w:val="table of authorities"/>
    <w:basedOn w:val="Normal"/>
    <w:next w:val="Normal"/>
    <w:rsid w:val="006B21E9"/>
    <w:pPr>
      <w:tabs>
        <w:tab w:val="clear" w:pos="567"/>
      </w:tabs>
      <w:ind w:left="220" w:hanging="220"/>
    </w:pPr>
  </w:style>
  <w:style w:type="paragraph" w:styleId="TableofFigures">
    <w:name w:val="table of figures"/>
    <w:basedOn w:val="Normal"/>
    <w:next w:val="Normal"/>
    <w:rsid w:val="006B21E9"/>
    <w:pPr>
      <w:tabs>
        <w:tab w:val="clear" w:pos="567"/>
      </w:tabs>
    </w:pPr>
  </w:style>
  <w:style w:type="paragraph" w:styleId="Index2">
    <w:name w:val="index 2"/>
    <w:basedOn w:val="Normal"/>
    <w:next w:val="Normal"/>
    <w:autoRedefine/>
    <w:rsid w:val="006B21E9"/>
    <w:pPr>
      <w:tabs>
        <w:tab w:val="clear" w:pos="567"/>
      </w:tabs>
      <w:ind w:left="440" w:hanging="220"/>
    </w:pPr>
  </w:style>
  <w:style w:type="paragraph" w:styleId="Index3">
    <w:name w:val="index 3"/>
    <w:basedOn w:val="Normal"/>
    <w:next w:val="Normal"/>
    <w:autoRedefine/>
    <w:rsid w:val="006B21E9"/>
    <w:pPr>
      <w:tabs>
        <w:tab w:val="clear" w:pos="567"/>
      </w:tabs>
      <w:ind w:left="660" w:hanging="220"/>
    </w:pPr>
  </w:style>
  <w:style w:type="paragraph" w:styleId="Index4">
    <w:name w:val="index 4"/>
    <w:basedOn w:val="Normal"/>
    <w:next w:val="Normal"/>
    <w:autoRedefine/>
    <w:rsid w:val="006B21E9"/>
    <w:pPr>
      <w:tabs>
        <w:tab w:val="clear" w:pos="567"/>
      </w:tabs>
      <w:ind w:left="880" w:hanging="220"/>
    </w:pPr>
  </w:style>
  <w:style w:type="paragraph" w:styleId="Index5">
    <w:name w:val="index 5"/>
    <w:basedOn w:val="Normal"/>
    <w:next w:val="Normal"/>
    <w:autoRedefine/>
    <w:rsid w:val="006B21E9"/>
    <w:pPr>
      <w:tabs>
        <w:tab w:val="clear" w:pos="567"/>
      </w:tabs>
      <w:ind w:left="1100" w:hanging="220"/>
    </w:pPr>
  </w:style>
  <w:style w:type="paragraph" w:styleId="Index6">
    <w:name w:val="index 6"/>
    <w:basedOn w:val="Normal"/>
    <w:next w:val="Normal"/>
    <w:autoRedefine/>
    <w:rsid w:val="006B21E9"/>
    <w:pPr>
      <w:tabs>
        <w:tab w:val="clear" w:pos="567"/>
      </w:tabs>
      <w:ind w:left="1320" w:hanging="220"/>
    </w:pPr>
  </w:style>
  <w:style w:type="paragraph" w:styleId="Index7">
    <w:name w:val="index 7"/>
    <w:basedOn w:val="Normal"/>
    <w:next w:val="Normal"/>
    <w:autoRedefine/>
    <w:rsid w:val="006B21E9"/>
    <w:pPr>
      <w:tabs>
        <w:tab w:val="clear" w:pos="567"/>
      </w:tabs>
      <w:ind w:left="1540" w:hanging="220"/>
    </w:pPr>
  </w:style>
  <w:style w:type="paragraph" w:styleId="Index8">
    <w:name w:val="index 8"/>
    <w:basedOn w:val="Normal"/>
    <w:next w:val="Normal"/>
    <w:autoRedefine/>
    <w:rsid w:val="006B21E9"/>
    <w:pPr>
      <w:tabs>
        <w:tab w:val="clear" w:pos="567"/>
      </w:tabs>
      <w:ind w:left="1760" w:hanging="220"/>
    </w:pPr>
  </w:style>
  <w:style w:type="paragraph" w:styleId="Index9">
    <w:name w:val="index 9"/>
    <w:basedOn w:val="Normal"/>
    <w:next w:val="Normal"/>
    <w:autoRedefine/>
    <w:rsid w:val="006B21E9"/>
    <w:pPr>
      <w:tabs>
        <w:tab w:val="clear" w:pos="567"/>
      </w:tabs>
      <w:ind w:left="1980" w:hanging="220"/>
    </w:pPr>
  </w:style>
  <w:style w:type="paragraph" w:styleId="Salutation">
    <w:name w:val="Salutation"/>
    <w:basedOn w:val="Normal"/>
    <w:next w:val="Normal"/>
    <w:link w:val="SalutationChar"/>
    <w:rsid w:val="006B21E9"/>
  </w:style>
  <w:style w:type="character" w:customStyle="1" w:styleId="SalutationChar">
    <w:name w:val="Salutation Char"/>
    <w:link w:val="Salutation"/>
    <w:rsid w:val="006B21E9"/>
    <w:rPr>
      <w:rFonts w:eastAsia="Times New Roman"/>
      <w:sz w:val="22"/>
      <w:lang w:val="en-GB" w:eastAsia="en-US"/>
    </w:rPr>
  </w:style>
  <w:style w:type="paragraph" w:styleId="List">
    <w:name w:val="List"/>
    <w:basedOn w:val="Normal"/>
    <w:rsid w:val="006B21E9"/>
    <w:pPr>
      <w:ind w:left="283" w:hanging="283"/>
      <w:contextualSpacing/>
    </w:pPr>
  </w:style>
  <w:style w:type="paragraph" w:styleId="List2">
    <w:name w:val="List 2"/>
    <w:basedOn w:val="Normal"/>
    <w:rsid w:val="006B21E9"/>
    <w:pPr>
      <w:ind w:left="566" w:hanging="283"/>
      <w:contextualSpacing/>
    </w:pPr>
  </w:style>
  <w:style w:type="paragraph" w:styleId="List3">
    <w:name w:val="List 3"/>
    <w:basedOn w:val="Normal"/>
    <w:rsid w:val="006B21E9"/>
    <w:pPr>
      <w:ind w:left="849" w:hanging="283"/>
      <w:contextualSpacing/>
    </w:pPr>
  </w:style>
  <w:style w:type="paragraph" w:styleId="List4">
    <w:name w:val="List 4"/>
    <w:basedOn w:val="Normal"/>
    <w:rsid w:val="006B21E9"/>
    <w:pPr>
      <w:ind w:left="1132" w:hanging="283"/>
      <w:contextualSpacing/>
    </w:pPr>
  </w:style>
  <w:style w:type="paragraph" w:styleId="List5">
    <w:name w:val="List 5"/>
    <w:basedOn w:val="Normal"/>
    <w:rsid w:val="006B21E9"/>
    <w:pPr>
      <w:ind w:left="1415" w:hanging="283"/>
      <w:contextualSpacing/>
    </w:pPr>
  </w:style>
  <w:style w:type="paragraph" w:styleId="ListBullet">
    <w:name w:val="List Bullet"/>
    <w:basedOn w:val="Normal"/>
    <w:rsid w:val="006B21E9"/>
    <w:pPr>
      <w:numPr>
        <w:numId w:val="2"/>
      </w:numPr>
      <w:contextualSpacing/>
    </w:pPr>
  </w:style>
  <w:style w:type="paragraph" w:styleId="ListBullet2">
    <w:name w:val="List Bullet 2"/>
    <w:basedOn w:val="Normal"/>
    <w:rsid w:val="006B21E9"/>
    <w:pPr>
      <w:numPr>
        <w:numId w:val="3"/>
      </w:numPr>
      <w:contextualSpacing/>
    </w:pPr>
  </w:style>
  <w:style w:type="paragraph" w:styleId="ListBullet3">
    <w:name w:val="List Bullet 3"/>
    <w:basedOn w:val="Normal"/>
    <w:rsid w:val="006B21E9"/>
    <w:pPr>
      <w:numPr>
        <w:numId w:val="4"/>
      </w:numPr>
      <w:contextualSpacing/>
    </w:pPr>
  </w:style>
  <w:style w:type="paragraph" w:styleId="ListBullet4">
    <w:name w:val="List Bullet 4"/>
    <w:basedOn w:val="Normal"/>
    <w:rsid w:val="006B21E9"/>
    <w:pPr>
      <w:numPr>
        <w:numId w:val="5"/>
      </w:numPr>
      <w:contextualSpacing/>
    </w:pPr>
  </w:style>
  <w:style w:type="paragraph" w:styleId="ListBullet5">
    <w:name w:val="List Bullet 5"/>
    <w:basedOn w:val="Normal"/>
    <w:rsid w:val="006B21E9"/>
    <w:pPr>
      <w:numPr>
        <w:numId w:val="6"/>
      </w:numPr>
      <w:contextualSpacing/>
    </w:pPr>
  </w:style>
  <w:style w:type="paragraph" w:styleId="ListContinue">
    <w:name w:val="List Continue"/>
    <w:basedOn w:val="Normal"/>
    <w:rsid w:val="006B21E9"/>
    <w:pPr>
      <w:spacing w:after="120"/>
      <w:ind w:left="283"/>
      <w:contextualSpacing/>
    </w:pPr>
  </w:style>
  <w:style w:type="paragraph" w:styleId="ListContinue2">
    <w:name w:val="List Continue 2"/>
    <w:basedOn w:val="Normal"/>
    <w:rsid w:val="006B21E9"/>
    <w:pPr>
      <w:spacing w:after="120"/>
      <w:ind w:left="566"/>
      <w:contextualSpacing/>
    </w:pPr>
  </w:style>
  <w:style w:type="paragraph" w:styleId="ListContinue3">
    <w:name w:val="List Continue 3"/>
    <w:basedOn w:val="Normal"/>
    <w:rsid w:val="006B21E9"/>
    <w:pPr>
      <w:spacing w:after="120"/>
      <w:ind w:left="849"/>
      <w:contextualSpacing/>
    </w:pPr>
  </w:style>
  <w:style w:type="paragraph" w:styleId="ListContinue4">
    <w:name w:val="List Continue 4"/>
    <w:basedOn w:val="Normal"/>
    <w:rsid w:val="006B21E9"/>
    <w:pPr>
      <w:spacing w:after="120"/>
      <w:ind w:left="1132"/>
      <w:contextualSpacing/>
    </w:pPr>
  </w:style>
  <w:style w:type="paragraph" w:styleId="ListContinue5">
    <w:name w:val="List Continue 5"/>
    <w:basedOn w:val="Normal"/>
    <w:rsid w:val="006B21E9"/>
    <w:pPr>
      <w:spacing w:after="120"/>
      <w:ind w:left="1415"/>
      <w:contextualSpacing/>
    </w:pPr>
  </w:style>
  <w:style w:type="paragraph" w:styleId="ListNumber">
    <w:name w:val="List Number"/>
    <w:basedOn w:val="Normal"/>
    <w:rsid w:val="006B21E9"/>
    <w:pPr>
      <w:numPr>
        <w:numId w:val="7"/>
      </w:numPr>
      <w:contextualSpacing/>
    </w:pPr>
  </w:style>
  <w:style w:type="paragraph" w:styleId="ListNumber2">
    <w:name w:val="List Number 2"/>
    <w:basedOn w:val="Normal"/>
    <w:rsid w:val="006B21E9"/>
    <w:pPr>
      <w:numPr>
        <w:numId w:val="8"/>
      </w:numPr>
      <w:contextualSpacing/>
    </w:pPr>
  </w:style>
  <w:style w:type="paragraph" w:styleId="ListNumber3">
    <w:name w:val="List Number 3"/>
    <w:basedOn w:val="Normal"/>
    <w:rsid w:val="006B21E9"/>
    <w:pPr>
      <w:numPr>
        <w:numId w:val="9"/>
      </w:numPr>
      <w:contextualSpacing/>
    </w:pPr>
  </w:style>
  <w:style w:type="paragraph" w:styleId="ListNumber4">
    <w:name w:val="List Number 4"/>
    <w:basedOn w:val="Normal"/>
    <w:rsid w:val="006B21E9"/>
    <w:pPr>
      <w:numPr>
        <w:numId w:val="10"/>
      </w:numPr>
      <w:contextualSpacing/>
    </w:pPr>
  </w:style>
  <w:style w:type="paragraph" w:styleId="ListNumber5">
    <w:name w:val="List Number 5"/>
    <w:basedOn w:val="Normal"/>
    <w:rsid w:val="006B21E9"/>
    <w:pPr>
      <w:numPr>
        <w:numId w:val="11"/>
      </w:numPr>
      <w:contextualSpacing/>
    </w:pPr>
  </w:style>
  <w:style w:type="paragraph" w:styleId="DocumentMap">
    <w:name w:val="Document Map"/>
    <w:basedOn w:val="Normal"/>
    <w:link w:val="DocumentMapChar"/>
    <w:rsid w:val="006B21E9"/>
    <w:rPr>
      <w:rFonts w:ascii="Segoe UI" w:hAnsi="Segoe UI" w:cs="Segoe UI"/>
      <w:sz w:val="16"/>
      <w:szCs w:val="16"/>
    </w:rPr>
  </w:style>
  <w:style w:type="character" w:customStyle="1" w:styleId="DocumentMapChar">
    <w:name w:val="Document Map Char"/>
    <w:link w:val="DocumentMap"/>
    <w:rsid w:val="006B21E9"/>
    <w:rPr>
      <w:rFonts w:ascii="Segoe UI" w:eastAsia="Times New Roman" w:hAnsi="Segoe UI" w:cs="Segoe UI"/>
      <w:sz w:val="16"/>
      <w:szCs w:val="16"/>
      <w:lang w:val="en-GB" w:eastAsia="en-US"/>
    </w:rPr>
  </w:style>
  <w:style w:type="paragraph" w:customStyle="1" w:styleId="TableHeader-11pt">
    <w:name w:val="TableHeader-11 pt"/>
    <w:basedOn w:val="Normal"/>
    <w:rsid w:val="006B21E9"/>
    <w:pPr>
      <w:keepNext/>
      <w:keepLines/>
      <w:tabs>
        <w:tab w:val="clear" w:pos="567"/>
      </w:tabs>
      <w:spacing w:before="60" w:after="60" w:line="240" w:lineRule="auto"/>
    </w:pPr>
    <w:rPr>
      <w:rFonts w:ascii="Times New Roman Bold" w:hAnsi="Times New Roman Bold"/>
      <w:b/>
      <w:szCs w:val="24"/>
    </w:rPr>
  </w:style>
  <w:style w:type="paragraph" w:customStyle="1" w:styleId="Heading5RA">
    <w:name w:val="Heading 5 RA"/>
    <w:basedOn w:val="Normal"/>
    <w:next w:val="BodyText"/>
    <w:rsid w:val="006B21E9"/>
    <w:pPr>
      <w:keepNext/>
      <w:tabs>
        <w:tab w:val="clear" w:pos="567"/>
        <w:tab w:val="left" w:pos="1134"/>
      </w:tabs>
      <w:spacing w:after="120" w:line="240" w:lineRule="auto"/>
      <w:ind w:left="1134" w:hanging="1134"/>
      <w:outlineLvl w:val="4"/>
    </w:pPr>
    <w:rPr>
      <w:b/>
      <w:szCs w:val="24"/>
    </w:rPr>
  </w:style>
  <w:style w:type="paragraph" w:customStyle="1" w:styleId="Heading6RA">
    <w:name w:val="Heading 6 RA"/>
    <w:basedOn w:val="Normal"/>
    <w:next w:val="BodyText"/>
    <w:rsid w:val="006B21E9"/>
    <w:pPr>
      <w:keepNext/>
      <w:tabs>
        <w:tab w:val="clear" w:pos="567"/>
        <w:tab w:val="num" w:pos="1418"/>
      </w:tabs>
      <w:spacing w:after="120" w:line="240" w:lineRule="auto"/>
      <w:ind w:left="1418" w:hanging="1418"/>
      <w:outlineLvl w:val="5"/>
    </w:pPr>
    <w:rPr>
      <w:b/>
      <w:szCs w:val="24"/>
    </w:rPr>
  </w:style>
  <w:style w:type="character" w:customStyle="1" w:styleId="CorpodetextoCarter">
    <w:name w:val="Corpo de texto Caráter"/>
    <w:rsid w:val="006B21E9"/>
    <w:rPr>
      <w:rFonts w:eastAsia="Times New Roman"/>
      <w:i/>
      <w:color w:val="008000"/>
      <w:sz w:val="22"/>
      <w:lang w:val="en-GB" w:eastAsia="en-US"/>
    </w:rPr>
  </w:style>
  <w:style w:type="paragraph" w:styleId="Revision">
    <w:name w:val="Revision"/>
    <w:hidden/>
    <w:uiPriority w:val="99"/>
    <w:semiHidden/>
    <w:rsid w:val="006B21E9"/>
    <w:rPr>
      <w:rFonts w:eastAsia="Times New Roman"/>
      <w:sz w:val="22"/>
      <w:lang w:val="en-GB" w:eastAsia="en-US"/>
    </w:rPr>
  </w:style>
  <w:style w:type="paragraph" w:customStyle="1" w:styleId="TitleA">
    <w:name w:val="Title A"/>
    <w:basedOn w:val="Normal"/>
    <w:qFormat/>
    <w:rsid w:val="006B21E9"/>
    <w:pPr>
      <w:jc w:val="center"/>
    </w:pPr>
    <w:rPr>
      <w:b/>
    </w:rPr>
  </w:style>
  <w:style w:type="paragraph" w:styleId="BlockText">
    <w:name w:val="Block Text"/>
    <w:basedOn w:val="Normal"/>
    <w:rsid w:val="006B21E9"/>
    <w:pPr>
      <w:spacing w:after="120"/>
      <w:ind w:left="1440" w:right="1440"/>
    </w:pPr>
  </w:style>
  <w:style w:type="paragraph" w:styleId="BodyTextFirstIndent">
    <w:name w:val="Body Text First Indent"/>
    <w:basedOn w:val="BodyText"/>
    <w:link w:val="BodyTextFirstIndentChar"/>
    <w:rsid w:val="006B21E9"/>
    <w:pPr>
      <w:tabs>
        <w:tab w:val="left" w:pos="567"/>
      </w:tabs>
      <w:spacing w:after="120" w:line="260" w:lineRule="exact"/>
      <w:ind w:firstLine="210"/>
    </w:pPr>
    <w:rPr>
      <w:i w:val="0"/>
      <w:color w:val="auto"/>
    </w:rPr>
  </w:style>
  <w:style w:type="character" w:customStyle="1" w:styleId="BodyTextChar">
    <w:name w:val="Body Text Char"/>
    <w:link w:val="BodyText"/>
    <w:rsid w:val="006B21E9"/>
    <w:rPr>
      <w:rFonts w:eastAsia="Times New Roman"/>
      <w:i/>
      <w:color w:val="008000"/>
      <w:sz w:val="22"/>
      <w:lang w:val="en-GB" w:eastAsia="en-US"/>
    </w:rPr>
  </w:style>
  <w:style w:type="character" w:customStyle="1" w:styleId="BodyTextFirstIndentChar">
    <w:name w:val="Body Text First Indent Char"/>
    <w:link w:val="BodyTextFirstIndent"/>
    <w:rsid w:val="006B21E9"/>
    <w:rPr>
      <w:rFonts w:eastAsia="Times New Roman"/>
      <w:i w:val="0"/>
      <w:color w:val="008000"/>
      <w:sz w:val="22"/>
      <w:lang w:val="en-GB" w:eastAsia="en-US"/>
    </w:rPr>
  </w:style>
  <w:style w:type="paragraph" w:styleId="BodyTextFirstIndent2">
    <w:name w:val="Body Text First Indent 2"/>
    <w:basedOn w:val="BodyTextIndent"/>
    <w:link w:val="BodyTextFirstIndent2Char"/>
    <w:rsid w:val="006B21E9"/>
    <w:pPr>
      <w:ind w:firstLine="210"/>
    </w:pPr>
  </w:style>
  <w:style w:type="character" w:customStyle="1" w:styleId="BodyTextFirstIndent2Char">
    <w:name w:val="Body Text First Indent 2 Char"/>
    <w:basedOn w:val="BodyTextIndentChar"/>
    <w:link w:val="BodyTextFirstIndent2"/>
    <w:rsid w:val="006B21E9"/>
    <w:rPr>
      <w:rFonts w:eastAsia="Times New Roman"/>
      <w:sz w:val="22"/>
      <w:lang w:val="en-GB" w:eastAsia="en-US"/>
    </w:rPr>
  </w:style>
  <w:style w:type="paragraph" w:styleId="Closing">
    <w:name w:val="Closing"/>
    <w:basedOn w:val="Normal"/>
    <w:link w:val="ClosingChar"/>
    <w:rsid w:val="006B21E9"/>
    <w:pPr>
      <w:ind w:left="4252"/>
    </w:pPr>
  </w:style>
  <w:style w:type="character" w:customStyle="1" w:styleId="ClosingChar">
    <w:name w:val="Closing Char"/>
    <w:link w:val="Closing"/>
    <w:rsid w:val="006B21E9"/>
    <w:rPr>
      <w:rFonts w:eastAsia="Times New Roman"/>
      <w:sz w:val="22"/>
      <w:lang w:val="en-GB" w:eastAsia="en-US"/>
    </w:rPr>
  </w:style>
  <w:style w:type="paragraph" w:styleId="EndnoteText">
    <w:name w:val="endnote text"/>
    <w:basedOn w:val="Normal"/>
    <w:link w:val="EndnoteTextChar"/>
    <w:rsid w:val="006B21E9"/>
    <w:rPr>
      <w:sz w:val="20"/>
    </w:rPr>
  </w:style>
  <w:style w:type="character" w:customStyle="1" w:styleId="EndnoteTextChar">
    <w:name w:val="Endnote Text Char"/>
    <w:link w:val="EndnoteText"/>
    <w:rsid w:val="006B21E9"/>
    <w:rPr>
      <w:rFonts w:eastAsia="Times New Roman"/>
      <w:lang w:val="en-GB" w:eastAsia="en-US"/>
    </w:rPr>
  </w:style>
  <w:style w:type="paragraph" w:styleId="EnvelopeReturn">
    <w:name w:val="envelope return"/>
    <w:basedOn w:val="Normal"/>
    <w:rsid w:val="006B21E9"/>
    <w:rPr>
      <w:rFonts w:ascii="Cambria" w:hAnsi="Cambria"/>
      <w:sz w:val="20"/>
    </w:rPr>
  </w:style>
  <w:style w:type="paragraph" w:styleId="FootnoteText">
    <w:name w:val="footnote text"/>
    <w:basedOn w:val="Normal"/>
    <w:link w:val="FootnoteTextChar"/>
    <w:rsid w:val="006B21E9"/>
    <w:rPr>
      <w:sz w:val="20"/>
    </w:rPr>
  </w:style>
  <w:style w:type="character" w:customStyle="1" w:styleId="FootnoteTextChar">
    <w:name w:val="Footnote Text Char"/>
    <w:link w:val="FootnoteText"/>
    <w:rsid w:val="006B21E9"/>
    <w:rPr>
      <w:rFonts w:eastAsia="Times New Roman"/>
      <w:lang w:val="en-GB" w:eastAsia="en-US"/>
    </w:rPr>
  </w:style>
  <w:style w:type="paragraph" w:styleId="ListParagraph">
    <w:name w:val="List Paragraph"/>
    <w:basedOn w:val="Normal"/>
    <w:uiPriority w:val="34"/>
    <w:qFormat/>
    <w:rsid w:val="006B21E9"/>
    <w:pPr>
      <w:ind w:left="720"/>
    </w:pPr>
  </w:style>
  <w:style w:type="paragraph" w:styleId="MacroText">
    <w:name w:val="macro"/>
    <w:link w:val="MacroTextChar"/>
    <w:rsid w:val="006B21E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en-GB" w:eastAsia="en-US"/>
    </w:rPr>
  </w:style>
  <w:style w:type="character" w:customStyle="1" w:styleId="MacroTextChar">
    <w:name w:val="Macro Text Char"/>
    <w:link w:val="MacroText"/>
    <w:rsid w:val="006B21E9"/>
    <w:rPr>
      <w:rFonts w:ascii="Courier New" w:eastAsia="Times New Roman" w:hAnsi="Courier New" w:cs="Courier New"/>
      <w:lang w:val="en-GB" w:eastAsia="en-US"/>
    </w:rPr>
  </w:style>
  <w:style w:type="paragraph" w:styleId="NoSpacing">
    <w:name w:val="No Spacing"/>
    <w:uiPriority w:val="1"/>
    <w:qFormat/>
    <w:rsid w:val="006B21E9"/>
    <w:pPr>
      <w:tabs>
        <w:tab w:val="left" w:pos="567"/>
      </w:tabs>
    </w:pPr>
    <w:rPr>
      <w:rFonts w:eastAsia="Times New Roman"/>
      <w:sz w:val="22"/>
      <w:lang w:val="en-GB" w:eastAsia="en-US"/>
    </w:rPr>
  </w:style>
  <w:style w:type="character" w:styleId="LineNumber">
    <w:name w:val="line number"/>
    <w:rsid w:val="006B21E9"/>
  </w:style>
  <w:style w:type="character" w:customStyle="1" w:styleId="HeaderChar">
    <w:name w:val="Header Char"/>
    <w:link w:val="Header"/>
    <w:uiPriority w:val="99"/>
    <w:rsid w:val="008924C3"/>
    <w:rPr>
      <w:rFonts w:ascii="Arial" w:eastAsia="Times New Roman" w:hAnsi="Arial"/>
      <w:lang w:val="en-GB" w:eastAsia="en-US"/>
    </w:rPr>
  </w:style>
  <w:style w:type="character" w:customStyle="1" w:styleId="UnresolvedMention1">
    <w:name w:val="Unresolved Mention1"/>
    <w:uiPriority w:val="99"/>
    <w:unhideWhenUsed/>
    <w:rsid w:val="00D54E59"/>
    <w:rPr>
      <w:color w:val="605E5C"/>
      <w:shd w:val="clear" w:color="auto" w:fill="E1DFDD"/>
    </w:rPr>
  </w:style>
  <w:style w:type="paragraph" w:customStyle="1" w:styleId="TableParagraph">
    <w:name w:val="Table Paragraph"/>
    <w:basedOn w:val="Normal"/>
    <w:uiPriority w:val="1"/>
    <w:qFormat/>
    <w:rsid w:val="00B151FD"/>
    <w:pPr>
      <w:widowControl w:val="0"/>
      <w:tabs>
        <w:tab w:val="clear" w:pos="567"/>
      </w:tabs>
      <w:autoSpaceDE w:val="0"/>
      <w:autoSpaceDN w:val="0"/>
      <w:spacing w:line="233" w:lineRule="exact"/>
      <w:ind w:left="496"/>
      <w:jc w:val="center"/>
    </w:pPr>
    <w:rPr>
      <w:sz w:val="22"/>
      <w:szCs w:val="22"/>
      <w:lang w:val="en-US"/>
    </w:rPr>
  </w:style>
  <w:style w:type="paragraph" w:customStyle="1" w:styleId="C-BodyText">
    <w:name w:val="C-Body Text"/>
    <w:link w:val="C-BodyTextChar1"/>
    <w:rsid w:val="009F39E5"/>
    <w:pPr>
      <w:spacing w:before="120" w:after="120" w:line="280" w:lineRule="atLeast"/>
    </w:pPr>
    <w:rPr>
      <w:rFonts w:eastAsia="Times New Roman"/>
      <w:sz w:val="24"/>
      <w:lang w:val="en-US" w:eastAsia="en-US"/>
    </w:rPr>
  </w:style>
  <w:style w:type="character" w:customStyle="1" w:styleId="C-BodyTextChar1">
    <w:name w:val="C-Body Text Char1"/>
    <w:link w:val="C-BodyText"/>
    <w:rsid w:val="009F39E5"/>
    <w:rPr>
      <w:rFonts w:eastAsia="Times New Roman"/>
      <w:sz w:val="24"/>
      <w:lang w:val="en-US" w:eastAsia="en-US"/>
    </w:rPr>
  </w:style>
  <w:style w:type="character" w:customStyle="1" w:styleId="Mention1">
    <w:name w:val="Mention1"/>
    <w:basedOn w:val="DefaultParagraphFont"/>
    <w:uiPriority w:val="99"/>
    <w:unhideWhenUsed/>
    <w:rsid w:val="00645B85"/>
    <w:rPr>
      <w:color w:val="2B579A"/>
      <w:shd w:val="clear" w:color="auto" w:fill="E1DFDD"/>
    </w:rPr>
  </w:style>
  <w:style w:type="paragraph" w:styleId="NormalWeb">
    <w:name w:val="Normal (Web)"/>
    <w:basedOn w:val="Normal"/>
    <w:uiPriority w:val="99"/>
    <w:unhideWhenUsed/>
    <w:rsid w:val="00426D45"/>
    <w:pPr>
      <w:tabs>
        <w:tab w:val="clear" w:pos="567"/>
      </w:tabs>
      <w:spacing w:before="100" w:beforeAutospacing="1" w:after="100" w:afterAutospacing="1" w:line="240" w:lineRule="auto"/>
    </w:pPr>
    <w:rPr>
      <w:rFonts w:ascii="Calibri" w:eastAsiaTheme="minorHAnsi" w:hAnsi="Calibri" w:cs="Calibri"/>
      <w:sz w:val="22"/>
      <w:szCs w:val="22"/>
      <w:lang w:val="pt-PT" w:eastAsia="pt-PT"/>
    </w:rPr>
  </w:style>
  <w:style w:type="character" w:customStyle="1" w:styleId="C-TableCallout">
    <w:name w:val="C-Table Callout"/>
    <w:rsid w:val="00ED6347"/>
    <w:rPr>
      <w:rFonts w:ascii="Times New Roman" w:hAnsi="Times New Roman"/>
      <w:dstrike w:val="0"/>
      <w:color w:val="auto"/>
      <w:spacing w:val="0"/>
      <w:w w:val="100"/>
      <w:position w:val="-1"/>
      <w:sz w:val="22"/>
      <w:szCs w:val="22"/>
      <w:u w:val="none"/>
      <w:effect w:val="none"/>
      <w:vertAlign w:val="superscript"/>
      <w:em w:val="none"/>
    </w:rPr>
  </w:style>
  <w:style w:type="character" w:styleId="Strong">
    <w:name w:val="Strong"/>
    <w:basedOn w:val="DefaultParagraphFont"/>
    <w:uiPriority w:val="22"/>
    <w:qFormat/>
    <w:rsid w:val="0097307C"/>
    <w:rPr>
      <w:b/>
      <w:bCs/>
    </w:rPr>
  </w:style>
  <w:style w:type="character" w:customStyle="1" w:styleId="FooterChar">
    <w:name w:val="Footer Char"/>
    <w:basedOn w:val="DefaultParagraphFont"/>
    <w:link w:val="Footer"/>
    <w:rsid w:val="00770CAC"/>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0628">
      <w:bodyDiv w:val="1"/>
      <w:marLeft w:val="0"/>
      <w:marRight w:val="0"/>
      <w:marTop w:val="0"/>
      <w:marBottom w:val="0"/>
      <w:divBdr>
        <w:top w:val="none" w:sz="0" w:space="0" w:color="auto"/>
        <w:left w:val="none" w:sz="0" w:space="0" w:color="auto"/>
        <w:bottom w:val="none" w:sz="0" w:space="0" w:color="auto"/>
        <w:right w:val="none" w:sz="0" w:space="0" w:color="auto"/>
      </w:divBdr>
    </w:div>
    <w:div w:id="464813882">
      <w:bodyDiv w:val="1"/>
      <w:marLeft w:val="0"/>
      <w:marRight w:val="0"/>
      <w:marTop w:val="0"/>
      <w:marBottom w:val="0"/>
      <w:divBdr>
        <w:top w:val="none" w:sz="0" w:space="0" w:color="auto"/>
        <w:left w:val="none" w:sz="0" w:space="0" w:color="auto"/>
        <w:bottom w:val="none" w:sz="0" w:space="0" w:color="auto"/>
        <w:right w:val="none" w:sz="0" w:space="0" w:color="auto"/>
      </w:divBdr>
    </w:div>
    <w:div w:id="537740247">
      <w:bodyDiv w:val="1"/>
      <w:marLeft w:val="0"/>
      <w:marRight w:val="0"/>
      <w:marTop w:val="0"/>
      <w:marBottom w:val="0"/>
      <w:divBdr>
        <w:top w:val="none" w:sz="0" w:space="0" w:color="auto"/>
        <w:left w:val="none" w:sz="0" w:space="0" w:color="auto"/>
        <w:bottom w:val="none" w:sz="0" w:space="0" w:color="auto"/>
        <w:right w:val="none" w:sz="0" w:space="0" w:color="auto"/>
      </w:divBdr>
      <w:divsChild>
        <w:div w:id="1821339689">
          <w:marLeft w:val="0"/>
          <w:marRight w:val="0"/>
          <w:marTop w:val="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5785156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09607452">
      <w:bodyDiv w:val="1"/>
      <w:marLeft w:val="0"/>
      <w:marRight w:val="0"/>
      <w:marTop w:val="0"/>
      <w:marBottom w:val="0"/>
      <w:divBdr>
        <w:top w:val="none" w:sz="0" w:space="0" w:color="auto"/>
        <w:left w:val="none" w:sz="0" w:space="0" w:color="auto"/>
        <w:bottom w:val="none" w:sz="0" w:space="0" w:color="auto"/>
        <w:right w:val="none" w:sz="0" w:space="0" w:color="auto"/>
      </w:divBdr>
    </w:div>
    <w:div w:id="1477380976">
      <w:bodyDiv w:val="1"/>
      <w:marLeft w:val="0"/>
      <w:marRight w:val="0"/>
      <w:marTop w:val="0"/>
      <w:marBottom w:val="0"/>
      <w:divBdr>
        <w:top w:val="none" w:sz="0" w:space="0" w:color="auto"/>
        <w:left w:val="none" w:sz="0" w:space="0" w:color="auto"/>
        <w:bottom w:val="none" w:sz="0" w:space="0" w:color="auto"/>
        <w:right w:val="none" w:sz="0" w:space="0" w:color="auto"/>
      </w:divBdr>
    </w:div>
    <w:div w:id="1551381259">
      <w:bodyDiv w:val="1"/>
      <w:marLeft w:val="0"/>
      <w:marRight w:val="0"/>
      <w:marTop w:val="0"/>
      <w:marBottom w:val="0"/>
      <w:divBdr>
        <w:top w:val="none" w:sz="0" w:space="0" w:color="auto"/>
        <w:left w:val="none" w:sz="0" w:space="0" w:color="auto"/>
        <w:bottom w:val="none" w:sz="0" w:space="0" w:color="auto"/>
        <w:right w:val="none" w:sz="0" w:space="0" w:color="auto"/>
      </w:divBdr>
    </w:div>
    <w:div w:id="1602880193">
      <w:bodyDiv w:val="1"/>
      <w:marLeft w:val="0"/>
      <w:marRight w:val="0"/>
      <w:marTop w:val="0"/>
      <w:marBottom w:val="0"/>
      <w:divBdr>
        <w:top w:val="none" w:sz="0" w:space="0" w:color="auto"/>
        <w:left w:val="none" w:sz="0" w:space="0" w:color="auto"/>
        <w:bottom w:val="none" w:sz="0" w:space="0" w:color="auto"/>
        <w:right w:val="none" w:sz="0" w:space="0" w:color="auto"/>
      </w:divBdr>
      <w:divsChild>
        <w:div w:id="30620332">
          <w:marLeft w:val="0"/>
          <w:marRight w:val="0"/>
          <w:marTop w:val="0"/>
          <w:marBottom w:val="0"/>
          <w:divBdr>
            <w:top w:val="none" w:sz="0" w:space="0" w:color="auto"/>
            <w:left w:val="none" w:sz="0" w:space="0" w:color="auto"/>
            <w:bottom w:val="none" w:sz="0" w:space="0" w:color="auto"/>
            <w:right w:val="none" w:sz="0" w:space="0" w:color="auto"/>
          </w:divBdr>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71124106">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5554182">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tga.gov.au/reporting-proble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48A5C91EB3CB47ABFFAD9B6D93AC2B" ma:contentTypeVersion="157" ma:contentTypeDescription="Create a new document." ma:contentTypeScope="" ma:versionID="18c47167238d39702fe516355d4e02fc">
  <xsd:schema xmlns:xsd="http://www.w3.org/2001/XMLSchema" xmlns:xs="http://www.w3.org/2001/XMLSchema" xmlns:p="http://schemas.microsoft.com/office/2006/metadata/properties" xmlns:ns2="8ae558b2-79af-4005-8cef-e082548966b8" xmlns:ns3="9bc4e68e-783c-4023-887f-6ee525bab6b8" targetNamespace="http://schemas.microsoft.com/office/2006/metadata/properties" ma:root="true" ma:fieldsID="0b9f7c770870ca9d1abf72e58190bc4c" ns2:_="" ns3:_="">
    <xsd:import namespace="8ae558b2-79af-4005-8cef-e082548966b8"/>
    <xsd:import namespace="9bc4e68e-783c-4023-887f-6ee525bab6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558b2-79af-4005-8cef-e082548966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c4e68e-783c-4023-887f-6ee525bab6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ae558b2-79af-4005-8cef-e082548966b8">NTA5KZVP7T7P-1401196828-6773</_dlc_DocId>
    <_dlc_DocIdUrl xmlns="8ae558b2-79af-4005-8cef-e082548966b8">
      <Url>https://bialgroup.sharepoint.com/teams/orgRA1/_layouts/15/DocIdRedir.aspx?ID=NTA5KZVP7T7P-1401196828-6773</Url>
      <Description>NTA5KZVP7T7P-1401196828-6773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8C7D8-DE79-4ECD-91FF-F5AB594D327A}">
  <ds:schemaRefs>
    <ds:schemaRef ds:uri="http://schemas.microsoft.com/sharepoint/v3/contenttype/forms"/>
  </ds:schemaRefs>
</ds:datastoreItem>
</file>

<file path=customXml/itemProps2.xml><?xml version="1.0" encoding="utf-8"?>
<ds:datastoreItem xmlns:ds="http://schemas.openxmlformats.org/officeDocument/2006/customXml" ds:itemID="{AA3E7116-953E-4FBF-9F9B-51CB98D76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558b2-79af-4005-8cef-e082548966b8"/>
    <ds:schemaRef ds:uri="9bc4e68e-783c-4023-887f-6ee525bab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434C1-124D-4311-817B-D64916B520C8}">
  <ds:schemaRefs>
    <ds:schemaRef ds:uri="http://schemas.microsoft.com/sharepoint/events"/>
  </ds:schemaRefs>
</ds:datastoreItem>
</file>

<file path=customXml/itemProps4.xml><?xml version="1.0" encoding="utf-8"?>
<ds:datastoreItem xmlns:ds="http://schemas.openxmlformats.org/officeDocument/2006/customXml" ds:itemID="{04E3C09D-9452-4901-A74A-E0B77055E80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ae558b2-79af-4005-8cef-e082548966b8"/>
    <ds:schemaRef ds:uri="9bc4e68e-783c-4023-887f-6ee525bab6b8"/>
    <ds:schemaRef ds:uri="http://www.w3.org/XML/1998/namespace"/>
    <ds:schemaRef ds:uri="http://purl.org/dc/dcmitype/"/>
  </ds:schemaRefs>
</ds:datastoreItem>
</file>

<file path=customXml/itemProps5.xml><?xml version="1.0" encoding="utf-8"?>
<ds:datastoreItem xmlns:ds="http://schemas.openxmlformats.org/officeDocument/2006/customXml" ds:itemID="{F9DD3B7A-B38B-4B2C-9B95-87E73655F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4500</Words>
  <Characters>26145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Ongentys, INN-opicapone</vt:lpstr>
    </vt:vector>
  </TitlesOfParts>
  <Company/>
  <LinksUpToDate>false</LinksUpToDate>
  <CharactersWithSpaces>30584</CharactersWithSpaces>
  <SharedDoc>false</SharedDoc>
  <HLinks>
    <vt:vector size="18" baseType="variant">
      <vt:variant>
        <vt:i4>5898317</vt:i4>
      </vt:variant>
      <vt:variant>
        <vt:i4>9</vt:i4>
      </vt:variant>
      <vt:variant>
        <vt:i4>0</vt:i4>
      </vt:variant>
      <vt:variant>
        <vt:i4>5</vt:i4>
      </vt:variant>
      <vt:variant>
        <vt:lpwstr>http://www.tga.gov.au/reporting-problems</vt:lpwstr>
      </vt:variant>
      <vt:variant>
        <vt:lpwstr/>
      </vt:variant>
      <vt:variant>
        <vt:i4>5570626</vt:i4>
      </vt:variant>
      <vt:variant>
        <vt:i4>0</vt:i4>
      </vt:variant>
      <vt:variant>
        <vt:i4>0</vt:i4>
      </vt:variant>
      <vt:variant>
        <vt:i4>5</vt:i4>
      </vt:variant>
      <vt:variant>
        <vt:lpwstr>https://www.tga.gov.au/reporting-problems</vt:lpwstr>
      </vt:variant>
      <vt:variant>
        <vt:lpwstr/>
      </vt:variant>
      <vt:variant>
        <vt:i4>6553607</vt:i4>
      </vt:variant>
      <vt:variant>
        <vt:i4>0</vt:i4>
      </vt:variant>
      <vt:variant>
        <vt:i4>0</vt:i4>
      </vt:variant>
      <vt:variant>
        <vt:i4>5</vt:i4>
      </vt:variant>
      <vt:variant>
        <vt:lpwstr>mailto:Helena.Gama@bial.com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Opicapone</dc:title>
  <dc:subject>prescription medicines</dc:subject>
  <dc:creator>CHMP</dc:creator>
  <cp:keywords>Ongentys, INN-opicapone</cp:keywords>
  <cp:lastPrinted>2020-09-07T03:46:00Z</cp:lastPrinted>
  <dcterms:created xsi:type="dcterms:W3CDTF">2021-02-22T22:57:00Z</dcterms:created>
  <dcterms:modified xsi:type="dcterms:W3CDTF">2021-02-22T23:07:00Z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CURRENT,With Annex II,1.2</vt:lpwstr>
  </property>
  <property fmtid="{D5CDD505-2E9C-101B-9397-08002B2CF9AE}" pid="31" name="DM_Name">
    <vt:lpwstr>Ongentys h-2790 PI EN - clean</vt:lpwstr>
  </property>
  <property fmtid="{D5CDD505-2E9C-101B-9397-08002B2CF9AE}" pid="32" name="DM_Creation_Date">
    <vt:lpwstr>25/04/2016 16:40:54</vt:lpwstr>
  </property>
  <property fmtid="{D5CDD505-2E9C-101B-9397-08002B2CF9AE}" pid="33" name="DM_Modify_Date">
    <vt:lpwstr>27/04/2016 12:05:32</vt:lpwstr>
  </property>
  <property fmtid="{D5CDD505-2E9C-101B-9397-08002B2CF9AE}" pid="34" name="DM_Creator_Name">
    <vt:lpwstr>De Chiara Denisa</vt:lpwstr>
  </property>
  <property fmtid="{D5CDD505-2E9C-101B-9397-08002B2CF9AE}" pid="35" name="DM_Modifier_Name">
    <vt:lpwstr>Marletta Lena</vt:lpwstr>
  </property>
  <property fmtid="{D5CDD505-2E9C-101B-9397-08002B2CF9AE}" pid="36" name="DM_Type">
    <vt:lpwstr>emea_document</vt:lpwstr>
  </property>
  <property fmtid="{D5CDD505-2E9C-101B-9397-08002B2CF9AE}" pid="37" name="DM_DocRefId">
    <vt:lpwstr>EMA/291834/2016</vt:lpwstr>
  </property>
  <property fmtid="{D5CDD505-2E9C-101B-9397-08002B2CF9AE}" pid="38" name="DM_Category">
    <vt:lpwstr>Product Information</vt:lpwstr>
  </property>
  <property fmtid="{D5CDD505-2E9C-101B-9397-08002B2CF9AE}" pid="39" name="DM_Path">
    <vt:lpwstr>/01. Evaluation of Medicines/H-C/M-O/Ongentys - 002790/03 Evaluation/The Final Opinion</vt:lpwstr>
  </property>
  <property fmtid="{D5CDD505-2E9C-101B-9397-08002B2CF9AE}" pid="40" name="DM_emea_doc_ref_id">
    <vt:lpwstr>EMA/291834/2016</vt:lpwstr>
  </property>
  <property fmtid="{D5CDD505-2E9C-101B-9397-08002B2CF9AE}" pid="41" name="DM_Modifer_Name">
    <vt:lpwstr>Marletta Lena</vt:lpwstr>
  </property>
  <property fmtid="{D5CDD505-2E9C-101B-9397-08002B2CF9AE}" pid="42" name="DM_Modified_Date">
    <vt:lpwstr>27/04/2016 12:05:32</vt:lpwstr>
  </property>
  <property fmtid="{D5CDD505-2E9C-101B-9397-08002B2CF9AE}" pid="43" name="ContentTypeId">
    <vt:lpwstr>0x0101006148A5C91EB3CB47ABFFAD9B6D93AC2B</vt:lpwstr>
  </property>
  <property fmtid="{D5CDD505-2E9C-101B-9397-08002B2CF9AE}" pid="44" name="_dlc_DocIdItemGuid">
    <vt:lpwstr>2d3fd3bb-b94d-43f3-be84-97e1060d2eee</vt:lpwstr>
  </property>
</Properties>
</file>