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3966DFC" w14:textId="77777777" w:rsidTr="00BF1190">
        <w:trPr>
          <w:trHeight w:val="1863"/>
        </w:trPr>
        <w:tc>
          <w:tcPr>
            <w:tcW w:w="3652" w:type="dxa"/>
            <w:tcBorders>
              <w:top w:val="nil"/>
              <w:left w:val="nil"/>
              <w:bottom w:val="nil"/>
              <w:right w:val="nil"/>
            </w:tcBorders>
          </w:tcPr>
          <w:p w14:paraId="7A9725EA" w14:textId="02E1AA5D" w:rsidR="008E7846" w:rsidRPr="00096AA7" w:rsidRDefault="00463F8D" w:rsidP="00096AA7">
            <w:pPr>
              <w:rPr>
                <w:rFonts w:ascii="Arial" w:hAnsi="Arial" w:cs="Arial"/>
                <w:b/>
                <w:color w:val="002C47"/>
                <w:sz w:val="36"/>
                <w:szCs w:val="36"/>
              </w:rPr>
            </w:pPr>
            <w:r>
              <w:rPr>
                <w:rFonts w:ascii="Arial" w:hAnsi="Arial" w:cs="Arial"/>
                <w:b/>
                <w:color w:val="002C47"/>
                <w:sz w:val="36"/>
                <w:szCs w:val="36"/>
              </w:rPr>
              <w:t xml:space="preserve">April </w:t>
            </w:r>
            <w:r w:rsidR="009038D4">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B2BD8AA" w14:textId="77777777" w:rsidTr="0032583B">
        <w:trPr>
          <w:trHeight w:val="868"/>
        </w:trPr>
        <w:tc>
          <w:tcPr>
            <w:tcW w:w="9079" w:type="dxa"/>
          </w:tcPr>
          <w:p w14:paraId="0D060649" w14:textId="77777777" w:rsidR="0032583B" w:rsidRPr="00A964D1" w:rsidRDefault="0032583B" w:rsidP="008B5174">
            <w:pPr>
              <w:pStyle w:val="Title"/>
              <w:rPr>
                <w:color w:val="FFFFFF" w:themeColor="background1"/>
              </w:rPr>
            </w:pPr>
            <w:r w:rsidRPr="00A964D1">
              <w:rPr>
                <w:color w:val="FFFFFF" w:themeColor="background1"/>
              </w:rPr>
              <w:t xml:space="preserve">Australian Public Assessment Report for </w:t>
            </w:r>
            <w:proofErr w:type="spellStart"/>
            <w:r w:rsidR="008B5174">
              <w:rPr>
                <w:color w:val="FFFFFF" w:themeColor="background1"/>
              </w:rPr>
              <w:t>Onasemnogene</w:t>
            </w:r>
            <w:proofErr w:type="spellEnd"/>
            <w:r w:rsidR="008B5174">
              <w:rPr>
                <w:color w:val="FFFFFF" w:themeColor="background1"/>
              </w:rPr>
              <w:t xml:space="preserve"> </w:t>
            </w:r>
            <w:proofErr w:type="spellStart"/>
            <w:r w:rsidR="008B5174">
              <w:rPr>
                <w:color w:val="FFFFFF" w:themeColor="background1"/>
              </w:rPr>
              <w:t>abeparvovec</w:t>
            </w:r>
            <w:proofErr w:type="spellEnd"/>
          </w:p>
        </w:tc>
      </w:tr>
      <w:tr w:rsidR="0032583B" w:rsidRPr="00B64760" w14:paraId="2401815C" w14:textId="77777777" w:rsidTr="0032583B">
        <w:tc>
          <w:tcPr>
            <w:tcW w:w="9079" w:type="dxa"/>
          </w:tcPr>
          <w:p w14:paraId="1C23C9CD" w14:textId="77777777" w:rsidR="0032583B" w:rsidRPr="008E7846" w:rsidRDefault="0032583B" w:rsidP="008B5174">
            <w:pPr>
              <w:pStyle w:val="Subtitle"/>
              <w:rPr>
                <w:color w:val="FFFFFF" w:themeColor="background1"/>
              </w:rPr>
            </w:pPr>
            <w:r w:rsidRPr="008E7846">
              <w:rPr>
                <w:color w:val="FFFFFF" w:themeColor="background1"/>
              </w:rPr>
              <w:t xml:space="preserve">Proprietary Product Name: </w:t>
            </w:r>
            <w:proofErr w:type="spellStart"/>
            <w:r w:rsidR="008B5174">
              <w:rPr>
                <w:color w:val="FFFFFF" w:themeColor="background1"/>
              </w:rPr>
              <w:t>Zolgensma</w:t>
            </w:r>
            <w:proofErr w:type="spellEnd"/>
          </w:p>
        </w:tc>
      </w:tr>
      <w:tr w:rsidR="0032583B" w:rsidRPr="00B64760" w14:paraId="05E338BA" w14:textId="77777777" w:rsidTr="0032583B">
        <w:trPr>
          <w:trHeight w:val="486"/>
        </w:trPr>
        <w:tc>
          <w:tcPr>
            <w:tcW w:w="9079" w:type="dxa"/>
          </w:tcPr>
          <w:p w14:paraId="68CC6FA0" w14:textId="77777777" w:rsidR="0032583B" w:rsidRPr="008E7846" w:rsidRDefault="00460036" w:rsidP="009038D4">
            <w:pPr>
              <w:pStyle w:val="Subtitle"/>
              <w:rPr>
                <w:color w:val="FFFFFF" w:themeColor="background1"/>
              </w:rPr>
            </w:pPr>
            <w:r>
              <w:rPr>
                <w:color w:val="FFFFFF" w:themeColor="background1"/>
              </w:rPr>
              <w:t xml:space="preserve">Sponsor: </w:t>
            </w:r>
            <w:r w:rsidR="009038D4" w:rsidRPr="009038D4">
              <w:rPr>
                <w:color w:val="FFFFFF" w:themeColor="background1"/>
              </w:rPr>
              <w:t>Novartis Pharma</w:t>
            </w:r>
            <w:r w:rsidR="009038D4">
              <w:rPr>
                <w:color w:val="FFFFFF" w:themeColor="background1"/>
              </w:rPr>
              <w:t>ceuticals Australia Pty Ltd</w:t>
            </w:r>
          </w:p>
        </w:tc>
      </w:tr>
    </w:tbl>
    <w:p w14:paraId="7903E4C0" w14:textId="77777777" w:rsidR="008E7846" w:rsidRPr="0085156D" w:rsidRDefault="008E7846" w:rsidP="0085156D">
      <w:r w:rsidRPr="0085156D">
        <w:br w:type="page"/>
      </w:r>
    </w:p>
    <w:p w14:paraId="256B87E6" w14:textId="77777777" w:rsidR="008E7846" w:rsidRPr="001F6CBA" w:rsidRDefault="008E7846" w:rsidP="008E7846">
      <w:pPr>
        <w:pStyle w:val="NonTOCHeading2"/>
      </w:pPr>
      <w:r w:rsidRPr="001F6CBA">
        <w:lastRenderedPageBreak/>
        <w:t>About the Therapeutic Goods Administration (TGA)</w:t>
      </w:r>
    </w:p>
    <w:p w14:paraId="294936A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8C1A18A"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375F304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9CC0B74"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3E03E0E" w14:textId="443D8F06"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4CB95B8D" w14:textId="77777777" w:rsidR="008E7846" w:rsidRDefault="008E7846" w:rsidP="00875A6B">
      <w:pPr>
        <w:pStyle w:val="NonTOCHeading2"/>
      </w:pPr>
      <w:r>
        <w:t>About AusPARs</w:t>
      </w:r>
    </w:p>
    <w:p w14:paraId="7DFA2076"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7FBC52D0" w14:textId="77777777" w:rsidR="008E7846" w:rsidRDefault="008E7846" w:rsidP="008E7846">
      <w:pPr>
        <w:pStyle w:val="ListBullet"/>
        <w:numPr>
          <w:ilvl w:val="0"/>
          <w:numId w:val="3"/>
        </w:numPr>
        <w:ind w:left="357" w:hanging="357"/>
      </w:pPr>
      <w:r>
        <w:t>AusPARs are prepared and published by the TGA.</w:t>
      </w:r>
    </w:p>
    <w:p w14:paraId="76C1F0D1"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09407A7D"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9A7CAEE"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520C4D0" w14:textId="77777777" w:rsidR="00924482" w:rsidRPr="00DF1D7F" w:rsidRDefault="00924482" w:rsidP="00F54B65">
      <w:pPr>
        <w:pStyle w:val="LegalSubheading"/>
        <w:spacing w:before="3120"/>
      </w:pPr>
      <w:r w:rsidRPr="00DF1D7F">
        <w:t>Copyright</w:t>
      </w:r>
    </w:p>
    <w:p w14:paraId="552B0374" w14:textId="08A4C348"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6E30533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EF4D878" w14:textId="77777777" w:rsidR="0089635C" w:rsidRPr="0089635C" w:rsidRDefault="0089635C" w:rsidP="0010788A">
          <w:pPr>
            <w:pStyle w:val="Contents"/>
          </w:pPr>
          <w:r w:rsidRPr="0010788A">
            <w:t>Co</w:t>
          </w:r>
          <w:bookmarkStart w:id="2" w:name="_GoBack"/>
          <w:bookmarkEnd w:id="2"/>
          <w:r w:rsidRPr="0010788A">
            <w:t>ntents</w:t>
          </w:r>
        </w:p>
        <w:p w14:paraId="2EAC5835" w14:textId="7DF93154" w:rsidR="00D97075"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9909583" w:history="1">
            <w:r w:rsidR="00D97075" w:rsidRPr="0056486A">
              <w:rPr>
                <w:rStyle w:val="Hyperlink"/>
                <w:noProof/>
              </w:rPr>
              <w:t>List of abbreviations</w:t>
            </w:r>
            <w:r w:rsidR="00D97075">
              <w:rPr>
                <w:noProof/>
                <w:webHidden/>
              </w:rPr>
              <w:tab/>
            </w:r>
            <w:r w:rsidR="00D97075">
              <w:rPr>
                <w:noProof/>
                <w:webHidden/>
              </w:rPr>
              <w:fldChar w:fldCharType="begin"/>
            </w:r>
            <w:r w:rsidR="00D97075">
              <w:rPr>
                <w:noProof/>
                <w:webHidden/>
              </w:rPr>
              <w:instrText xml:space="preserve"> PAGEREF _Toc69909583 \h </w:instrText>
            </w:r>
            <w:r w:rsidR="00D97075">
              <w:rPr>
                <w:noProof/>
                <w:webHidden/>
              </w:rPr>
            </w:r>
            <w:r w:rsidR="00D97075">
              <w:rPr>
                <w:noProof/>
                <w:webHidden/>
              </w:rPr>
              <w:fldChar w:fldCharType="separate"/>
            </w:r>
            <w:r w:rsidR="00D97075">
              <w:rPr>
                <w:noProof/>
                <w:webHidden/>
              </w:rPr>
              <w:t>4</w:t>
            </w:r>
            <w:r w:rsidR="00D97075">
              <w:rPr>
                <w:noProof/>
                <w:webHidden/>
              </w:rPr>
              <w:fldChar w:fldCharType="end"/>
            </w:r>
          </w:hyperlink>
        </w:p>
        <w:p w14:paraId="24C0B5D5" w14:textId="422ECE65" w:rsidR="00D97075" w:rsidRDefault="00D97075">
          <w:pPr>
            <w:pStyle w:val="TOC1"/>
            <w:rPr>
              <w:rFonts w:asciiTheme="minorHAnsi" w:eastAsiaTheme="minorEastAsia" w:hAnsiTheme="minorHAnsi" w:cstheme="minorBidi"/>
              <w:b w:val="0"/>
              <w:noProof/>
              <w:sz w:val="22"/>
              <w:lang w:eastAsia="en-AU"/>
            </w:rPr>
          </w:pPr>
          <w:hyperlink w:anchor="_Toc69909584" w:history="1">
            <w:r w:rsidRPr="0056486A">
              <w:rPr>
                <w:rStyle w:val="Hyperlink"/>
                <w:noProof/>
              </w:rPr>
              <w:t>I. Introduction to product submission</w:t>
            </w:r>
            <w:r>
              <w:rPr>
                <w:noProof/>
                <w:webHidden/>
              </w:rPr>
              <w:tab/>
            </w:r>
            <w:r>
              <w:rPr>
                <w:noProof/>
                <w:webHidden/>
              </w:rPr>
              <w:fldChar w:fldCharType="begin"/>
            </w:r>
            <w:r>
              <w:rPr>
                <w:noProof/>
                <w:webHidden/>
              </w:rPr>
              <w:instrText xml:space="preserve"> PAGEREF _Toc69909584 \h </w:instrText>
            </w:r>
            <w:r>
              <w:rPr>
                <w:noProof/>
                <w:webHidden/>
              </w:rPr>
            </w:r>
            <w:r>
              <w:rPr>
                <w:noProof/>
                <w:webHidden/>
              </w:rPr>
              <w:fldChar w:fldCharType="separate"/>
            </w:r>
            <w:r>
              <w:rPr>
                <w:noProof/>
                <w:webHidden/>
              </w:rPr>
              <w:t>7</w:t>
            </w:r>
            <w:r>
              <w:rPr>
                <w:noProof/>
                <w:webHidden/>
              </w:rPr>
              <w:fldChar w:fldCharType="end"/>
            </w:r>
          </w:hyperlink>
        </w:p>
        <w:p w14:paraId="100C7849" w14:textId="40C5AF24" w:rsidR="00D97075" w:rsidRDefault="00D97075">
          <w:pPr>
            <w:pStyle w:val="TOC2"/>
            <w:rPr>
              <w:rFonts w:asciiTheme="minorHAnsi" w:eastAsiaTheme="minorEastAsia" w:hAnsiTheme="minorHAnsi" w:cstheme="minorBidi"/>
              <w:b w:val="0"/>
              <w:noProof/>
              <w:sz w:val="22"/>
              <w:lang w:eastAsia="en-AU"/>
            </w:rPr>
          </w:pPr>
          <w:hyperlink w:anchor="_Toc69909585" w:history="1">
            <w:r w:rsidRPr="0056486A">
              <w:rPr>
                <w:rStyle w:val="Hyperlink"/>
                <w:noProof/>
                <w:lang w:eastAsia="en-AU"/>
              </w:rPr>
              <w:t>Submission details</w:t>
            </w:r>
            <w:r>
              <w:rPr>
                <w:noProof/>
                <w:webHidden/>
              </w:rPr>
              <w:tab/>
            </w:r>
            <w:r>
              <w:rPr>
                <w:noProof/>
                <w:webHidden/>
              </w:rPr>
              <w:fldChar w:fldCharType="begin"/>
            </w:r>
            <w:r>
              <w:rPr>
                <w:noProof/>
                <w:webHidden/>
              </w:rPr>
              <w:instrText xml:space="preserve"> PAGEREF _Toc69909585 \h </w:instrText>
            </w:r>
            <w:r>
              <w:rPr>
                <w:noProof/>
                <w:webHidden/>
              </w:rPr>
            </w:r>
            <w:r>
              <w:rPr>
                <w:noProof/>
                <w:webHidden/>
              </w:rPr>
              <w:fldChar w:fldCharType="separate"/>
            </w:r>
            <w:r>
              <w:rPr>
                <w:noProof/>
                <w:webHidden/>
              </w:rPr>
              <w:t>7</w:t>
            </w:r>
            <w:r>
              <w:rPr>
                <w:noProof/>
                <w:webHidden/>
              </w:rPr>
              <w:fldChar w:fldCharType="end"/>
            </w:r>
          </w:hyperlink>
        </w:p>
        <w:p w14:paraId="496F3C12" w14:textId="18F73579" w:rsidR="00D97075" w:rsidRDefault="00D97075">
          <w:pPr>
            <w:pStyle w:val="TOC2"/>
            <w:rPr>
              <w:rFonts w:asciiTheme="minorHAnsi" w:eastAsiaTheme="minorEastAsia" w:hAnsiTheme="minorHAnsi" w:cstheme="minorBidi"/>
              <w:b w:val="0"/>
              <w:noProof/>
              <w:sz w:val="22"/>
              <w:lang w:eastAsia="en-AU"/>
            </w:rPr>
          </w:pPr>
          <w:hyperlink w:anchor="_Toc69909586" w:history="1">
            <w:r w:rsidRPr="0056486A">
              <w:rPr>
                <w:rStyle w:val="Hyperlink"/>
                <w:noProof/>
              </w:rPr>
              <w:t>Product background</w:t>
            </w:r>
            <w:r>
              <w:rPr>
                <w:noProof/>
                <w:webHidden/>
              </w:rPr>
              <w:tab/>
            </w:r>
            <w:r>
              <w:rPr>
                <w:noProof/>
                <w:webHidden/>
              </w:rPr>
              <w:fldChar w:fldCharType="begin"/>
            </w:r>
            <w:r>
              <w:rPr>
                <w:noProof/>
                <w:webHidden/>
              </w:rPr>
              <w:instrText xml:space="preserve"> PAGEREF _Toc69909586 \h </w:instrText>
            </w:r>
            <w:r>
              <w:rPr>
                <w:noProof/>
                <w:webHidden/>
              </w:rPr>
            </w:r>
            <w:r>
              <w:rPr>
                <w:noProof/>
                <w:webHidden/>
              </w:rPr>
              <w:fldChar w:fldCharType="separate"/>
            </w:r>
            <w:r>
              <w:rPr>
                <w:noProof/>
                <w:webHidden/>
              </w:rPr>
              <w:t>9</w:t>
            </w:r>
            <w:r>
              <w:rPr>
                <w:noProof/>
                <w:webHidden/>
              </w:rPr>
              <w:fldChar w:fldCharType="end"/>
            </w:r>
          </w:hyperlink>
        </w:p>
        <w:p w14:paraId="4B60572E" w14:textId="52AFBACD" w:rsidR="00D97075" w:rsidRDefault="00D97075">
          <w:pPr>
            <w:pStyle w:val="TOC2"/>
            <w:rPr>
              <w:rFonts w:asciiTheme="minorHAnsi" w:eastAsiaTheme="minorEastAsia" w:hAnsiTheme="minorHAnsi" w:cstheme="minorBidi"/>
              <w:b w:val="0"/>
              <w:noProof/>
              <w:sz w:val="22"/>
              <w:lang w:eastAsia="en-AU"/>
            </w:rPr>
          </w:pPr>
          <w:hyperlink w:anchor="_Toc69909587" w:history="1">
            <w:r w:rsidRPr="0056486A">
              <w:rPr>
                <w:rStyle w:val="Hyperlink"/>
                <w:noProof/>
              </w:rPr>
              <w:t>Regulatory status</w:t>
            </w:r>
            <w:r>
              <w:rPr>
                <w:noProof/>
                <w:webHidden/>
              </w:rPr>
              <w:tab/>
            </w:r>
            <w:r>
              <w:rPr>
                <w:noProof/>
                <w:webHidden/>
              </w:rPr>
              <w:fldChar w:fldCharType="begin"/>
            </w:r>
            <w:r>
              <w:rPr>
                <w:noProof/>
                <w:webHidden/>
              </w:rPr>
              <w:instrText xml:space="preserve"> PAGEREF _Toc69909587 \h </w:instrText>
            </w:r>
            <w:r>
              <w:rPr>
                <w:noProof/>
                <w:webHidden/>
              </w:rPr>
            </w:r>
            <w:r>
              <w:rPr>
                <w:noProof/>
                <w:webHidden/>
              </w:rPr>
              <w:fldChar w:fldCharType="separate"/>
            </w:r>
            <w:r>
              <w:rPr>
                <w:noProof/>
                <w:webHidden/>
              </w:rPr>
              <w:t>10</w:t>
            </w:r>
            <w:r>
              <w:rPr>
                <w:noProof/>
                <w:webHidden/>
              </w:rPr>
              <w:fldChar w:fldCharType="end"/>
            </w:r>
          </w:hyperlink>
        </w:p>
        <w:p w14:paraId="49FD54FB" w14:textId="63410C53" w:rsidR="00D97075" w:rsidRDefault="00D97075">
          <w:pPr>
            <w:pStyle w:val="TOC2"/>
            <w:rPr>
              <w:rFonts w:asciiTheme="minorHAnsi" w:eastAsiaTheme="minorEastAsia" w:hAnsiTheme="minorHAnsi" w:cstheme="minorBidi"/>
              <w:b w:val="0"/>
              <w:noProof/>
              <w:sz w:val="22"/>
              <w:lang w:eastAsia="en-AU"/>
            </w:rPr>
          </w:pPr>
          <w:hyperlink w:anchor="_Toc69909588" w:history="1">
            <w:r w:rsidRPr="0056486A">
              <w:rPr>
                <w:rStyle w:val="Hyperlink"/>
                <w:noProof/>
              </w:rPr>
              <w:t>Product Information</w:t>
            </w:r>
            <w:r>
              <w:rPr>
                <w:noProof/>
                <w:webHidden/>
              </w:rPr>
              <w:tab/>
            </w:r>
            <w:r>
              <w:rPr>
                <w:noProof/>
                <w:webHidden/>
              </w:rPr>
              <w:fldChar w:fldCharType="begin"/>
            </w:r>
            <w:r>
              <w:rPr>
                <w:noProof/>
                <w:webHidden/>
              </w:rPr>
              <w:instrText xml:space="preserve"> PAGEREF _Toc69909588 \h </w:instrText>
            </w:r>
            <w:r>
              <w:rPr>
                <w:noProof/>
                <w:webHidden/>
              </w:rPr>
            </w:r>
            <w:r>
              <w:rPr>
                <w:noProof/>
                <w:webHidden/>
              </w:rPr>
              <w:fldChar w:fldCharType="separate"/>
            </w:r>
            <w:r>
              <w:rPr>
                <w:noProof/>
                <w:webHidden/>
              </w:rPr>
              <w:t>13</w:t>
            </w:r>
            <w:r>
              <w:rPr>
                <w:noProof/>
                <w:webHidden/>
              </w:rPr>
              <w:fldChar w:fldCharType="end"/>
            </w:r>
          </w:hyperlink>
        </w:p>
        <w:p w14:paraId="16B1EFC9" w14:textId="12D10D8A" w:rsidR="00D97075" w:rsidRDefault="00D97075">
          <w:pPr>
            <w:pStyle w:val="TOC1"/>
            <w:rPr>
              <w:rFonts w:asciiTheme="minorHAnsi" w:eastAsiaTheme="minorEastAsia" w:hAnsiTheme="minorHAnsi" w:cstheme="minorBidi"/>
              <w:b w:val="0"/>
              <w:noProof/>
              <w:sz w:val="22"/>
              <w:lang w:eastAsia="en-AU"/>
            </w:rPr>
          </w:pPr>
          <w:hyperlink w:anchor="_Toc69909589" w:history="1">
            <w:r w:rsidRPr="0056486A">
              <w:rPr>
                <w:rStyle w:val="Hyperlink"/>
                <w:noProof/>
              </w:rPr>
              <w:t>II. Registration timeline</w:t>
            </w:r>
            <w:r>
              <w:rPr>
                <w:noProof/>
                <w:webHidden/>
              </w:rPr>
              <w:tab/>
            </w:r>
            <w:r>
              <w:rPr>
                <w:noProof/>
                <w:webHidden/>
              </w:rPr>
              <w:fldChar w:fldCharType="begin"/>
            </w:r>
            <w:r>
              <w:rPr>
                <w:noProof/>
                <w:webHidden/>
              </w:rPr>
              <w:instrText xml:space="preserve"> PAGEREF _Toc69909589 \h </w:instrText>
            </w:r>
            <w:r>
              <w:rPr>
                <w:noProof/>
                <w:webHidden/>
              </w:rPr>
            </w:r>
            <w:r>
              <w:rPr>
                <w:noProof/>
                <w:webHidden/>
              </w:rPr>
              <w:fldChar w:fldCharType="separate"/>
            </w:r>
            <w:r>
              <w:rPr>
                <w:noProof/>
                <w:webHidden/>
              </w:rPr>
              <w:t>13</w:t>
            </w:r>
            <w:r>
              <w:rPr>
                <w:noProof/>
                <w:webHidden/>
              </w:rPr>
              <w:fldChar w:fldCharType="end"/>
            </w:r>
          </w:hyperlink>
        </w:p>
        <w:p w14:paraId="4348BA40" w14:textId="621E06C5" w:rsidR="00D97075" w:rsidRDefault="00D97075">
          <w:pPr>
            <w:pStyle w:val="TOC1"/>
            <w:rPr>
              <w:rFonts w:asciiTheme="minorHAnsi" w:eastAsiaTheme="minorEastAsia" w:hAnsiTheme="minorHAnsi" w:cstheme="minorBidi"/>
              <w:b w:val="0"/>
              <w:noProof/>
              <w:sz w:val="22"/>
              <w:lang w:eastAsia="en-AU"/>
            </w:rPr>
          </w:pPr>
          <w:hyperlink w:anchor="_Toc69909590" w:history="1">
            <w:r w:rsidRPr="0056486A">
              <w:rPr>
                <w:rStyle w:val="Hyperlink"/>
                <w:noProof/>
              </w:rPr>
              <w:t>III. Submission overview and risk/benefit assessment</w:t>
            </w:r>
            <w:r>
              <w:rPr>
                <w:noProof/>
                <w:webHidden/>
              </w:rPr>
              <w:tab/>
            </w:r>
            <w:r>
              <w:rPr>
                <w:noProof/>
                <w:webHidden/>
              </w:rPr>
              <w:fldChar w:fldCharType="begin"/>
            </w:r>
            <w:r>
              <w:rPr>
                <w:noProof/>
                <w:webHidden/>
              </w:rPr>
              <w:instrText xml:space="preserve"> PAGEREF _Toc69909590 \h </w:instrText>
            </w:r>
            <w:r>
              <w:rPr>
                <w:noProof/>
                <w:webHidden/>
              </w:rPr>
            </w:r>
            <w:r>
              <w:rPr>
                <w:noProof/>
                <w:webHidden/>
              </w:rPr>
              <w:fldChar w:fldCharType="separate"/>
            </w:r>
            <w:r>
              <w:rPr>
                <w:noProof/>
                <w:webHidden/>
              </w:rPr>
              <w:t>14</w:t>
            </w:r>
            <w:r>
              <w:rPr>
                <w:noProof/>
                <w:webHidden/>
              </w:rPr>
              <w:fldChar w:fldCharType="end"/>
            </w:r>
          </w:hyperlink>
        </w:p>
        <w:p w14:paraId="581E06FC" w14:textId="06A8CFFB" w:rsidR="00D97075" w:rsidRDefault="00D97075">
          <w:pPr>
            <w:pStyle w:val="TOC2"/>
            <w:rPr>
              <w:rFonts w:asciiTheme="minorHAnsi" w:eastAsiaTheme="minorEastAsia" w:hAnsiTheme="minorHAnsi" w:cstheme="minorBidi"/>
              <w:b w:val="0"/>
              <w:noProof/>
              <w:sz w:val="22"/>
              <w:lang w:eastAsia="en-AU"/>
            </w:rPr>
          </w:pPr>
          <w:hyperlink w:anchor="_Toc69909591" w:history="1">
            <w:r w:rsidRPr="0056486A">
              <w:rPr>
                <w:rStyle w:val="Hyperlink"/>
                <w:noProof/>
              </w:rPr>
              <w:t>Quality</w:t>
            </w:r>
            <w:r>
              <w:rPr>
                <w:noProof/>
                <w:webHidden/>
              </w:rPr>
              <w:tab/>
            </w:r>
            <w:r>
              <w:rPr>
                <w:noProof/>
                <w:webHidden/>
              </w:rPr>
              <w:fldChar w:fldCharType="begin"/>
            </w:r>
            <w:r>
              <w:rPr>
                <w:noProof/>
                <w:webHidden/>
              </w:rPr>
              <w:instrText xml:space="preserve"> PAGEREF _Toc69909591 \h </w:instrText>
            </w:r>
            <w:r>
              <w:rPr>
                <w:noProof/>
                <w:webHidden/>
              </w:rPr>
            </w:r>
            <w:r>
              <w:rPr>
                <w:noProof/>
                <w:webHidden/>
              </w:rPr>
              <w:fldChar w:fldCharType="separate"/>
            </w:r>
            <w:r>
              <w:rPr>
                <w:noProof/>
                <w:webHidden/>
              </w:rPr>
              <w:t>14</w:t>
            </w:r>
            <w:r>
              <w:rPr>
                <w:noProof/>
                <w:webHidden/>
              </w:rPr>
              <w:fldChar w:fldCharType="end"/>
            </w:r>
          </w:hyperlink>
        </w:p>
        <w:p w14:paraId="12FED44E" w14:textId="3178A608" w:rsidR="00D97075" w:rsidRDefault="00D97075">
          <w:pPr>
            <w:pStyle w:val="TOC2"/>
            <w:rPr>
              <w:rFonts w:asciiTheme="minorHAnsi" w:eastAsiaTheme="minorEastAsia" w:hAnsiTheme="minorHAnsi" w:cstheme="minorBidi"/>
              <w:b w:val="0"/>
              <w:noProof/>
              <w:sz w:val="22"/>
              <w:lang w:eastAsia="en-AU"/>
            </w:rPr>
          </w:pPr>
          <w:hyperlink w:anchor="_Toc69909592" w:history="1">
            <w:r w:rsidRPr="0056486A">
              <w:rPr>
                <w:rStyle w:val="Hyperlink"/>
                <w:noProof/>
              </w:rPr>
              <w:t>Nonclinical</w:t>
            </w:r>
            <w:r>
              <w:rPr>
                <w:noProof/>
                <w:webHidden/>
              </w:rPr>
              <w:tab/>
            </w:r>
            <w:r>
              <w:rPr>
                <w:noProof/>
                <w:webHidden/>
              </w:rPr>
              <w:fldChar w:fldCharType="begin"/>
            </w:r>
            <w:r>
              <w:rPr>
                <w:noProof/>
                <w:webHidden/>
              </w:rPr>
              <w:instrText xml:space="preserve"> PAGEREF _Toc69909592 \h </w:instrText>
            </w:r>
            <w:r>
              <w:rPr>
                <w:noProof/>
                <w:webHidden/>
              </w:rPr>
            </w:r>
            <w:r>
              <w:rPr>
                <w:noProof/>
                <w:webHidden/>
              </w:rPr>
              <w:fldChar w:fldCharType="separate"/>
            </w:r>
            <w:r>
              <w:rPr>
                <w:noProof/>
                <w:webHidden/>
              </w:rPr>
              <w:t>16</w:t>
            </w:r>
            <w:r>
              <w:rPr>
                <w:noProof/>
                <w:webHidden/>
              </w:rPr>
              <w:fldChar w:fldCharType="end"/>
            </w:r>
          </w:hyperlink>
        </w:p>
        <w:p w14:paraId="5523773F" w14:textId="3522FF88" w:rsidR="00D97075" w:rsidRDefault="00D97075">
          <w:pPr>
            <w:pStyle w:val="TOC2"/>
            <w:rPr>
              <w:rFonts w:asciiTheme="minorHAnsi" w:eastAsiaTheme="minorEastAsia" w:hAnsiTheme="minorHAnsi" w:cstheme="minorBidi"/>
              <w:b w:val="0"/>
              <w:noProof/>
              <w:sz w:val="22"/>
              <w:lang w:eastAsia="en-AU"/>
            </w:rPr>
          </w:pPr>
          <w:hyperlink w:anchor="_Toc69909593" w:history="1">
            <w:r w:rsidRPr="0056486A">
              <w:rPr>
                <w:rStyle w:val="Hyperlink"/>
                <w:noProof/>
              </w:rPr>
              <w:t>Clinical</w:t>
            </w:r>
            <w:r>
              <w:rPr>
                <w:noProof/>
                <w:webHidden/>
              </w:rPr>
              <w:tab/>
            </w:r>
            <w:r>
              <w:rPr>
                <w:noProof/>
                <w:webHidden/>
              </w:rPr>
              <w:fldChar w:fldCharType="begin"/>
            </w:r>
            <w:r>
              <w:rPr>
                <w:noProof/>
                <w:webHidden/>
              </w:rPr>
              <w:instrText xml:space="preserve"> PAGEREF _Toc69909593 \h </w:instrText>
            </w:r>
            <w:r>
              <w:rPr>
                <w:noProof/>
                <w:webHidden/>
              </w:rPr>
            </w:r>
            <w:r>
              <w:rPr>
                <w:noProof/>
                <w:webHidden/>
              </w:rPr>
              <w:fldChar w:fldCharType="separate"/>
            </w:r>
            <w:r>
              <w:rPr>
                <w:noProof/>
                <w:webHidden/>
              </w:rPr>
              <w:t>17</w:t>
            </w:r>
            <w:r>
              <w:rPr>
                <w:noProof/>
                <w:webHidden/>
              </w:rPr>
              <w:fldChar w:fldCharType="end"/>
            </w:r>
          </w:hyperlink>
        </w:p>
        <w:p w14:paraId="4CA28D98" w14:textId="4F522C17" w:rsidR="00D97075" w:rsidRDefault="00D97075">
          <w:pPr>
            <w:pStyle w:val="TOC2"/>
            <w:rPr>
              <w:rFonts w:asciiTheme="minorHAnsi" w:eastAsiaTheme="minorEastAsia" w:hAnsiTheme="minorHAnsi" w:cstheme="minorBidi"/>
              <w:b w:val="0"/>
              <w:noProof/>
              <w:sz w:val="22"/>
              <w:lang w:eastAsia="en-AU"/>
            </w:rPr>
          </w:pPr>
          <w:hyperlink w:anchor="_Toc69909594" w:history="1">
            <w:r w:rsidRPr="0056486A">
              <w:rPr>
                <w:rStyle w:val="Hyperlink"/>
                <w:noProof/>
                <w:lang w:eastAsia="en-AU"/>
              </w:rPr>
              <w:t>Risk management plan</w:t>
            </w:r>
            <w:r>
              <w:rPr>
                <w:noProof/>
                <w:webHidden/>
              </w:rPr>
              <w:tab/>
            </w:r>
            <w:r>
              <w:rPr>
                <w:noProof/>
                <w:webHidden/>
              </w:rPr>
              <w:fldChar w:fldCharType="begin"/>
            </w:r>
            <w:r>
              <w:rPr>
                <w:noProof/>
                <w:webHidden/>
              </w:rPr>
              <w:instrText xml:space="preserve"> PAGEREF _Toc69909594 \h </w:instrText>
            </w:r>
            <w:r>
              <w:rPr>
                <w:noProof/>
                <w:webHidden/>
              </w:rPr>
            </w:r>
            <w:r>
              <w:rPr>
                <w:noProof/>
                <w:webHidden/>
              </w:rPr>
              <w:fldChar w:fldCharType="separate"/>
            </w:r>
            <w:r>
              <w:rPr>
                <w:noProof/>
                <w:webHidden/>
              </w:rPr>
              <w:t>41</w:t>
            </w:r>
            <w:r>
              <w:rPr>
                <w:noProof/>
                <w:webHidden/>
              </w:rPr>
              <w:fldChar w:fldCharType="end"/>
            </w:r>
          </w:hyperlink>
        </w:p>
        <w:p w14:paraId="131ED4AA" w14:textId="7AF41878" w:rsidR="00D97075" w:rsidRDefault="00D97075">
          <w:pPr>
            <w:pStyle w:val="TOC2"/>
            <w:rPr>
              <w:rFonts w:asciiTheme="minorHAnsi" w:eastAsiaTheme="minorEastAsia" w:hAnsiTheme="minorHAnsi" w:cstheme="minorBidi"/>
              <w:b w:val="0"/>
              <w:noProof/>
              <w:sz w:val="22"/>
              <w:lang w:eastAsia="en-AU"/>
            </w:rPr>
          </w:pPr>
          <w:hyperlink w:anchor="_Toc69909595" w:history="1">
            <w:r w:rsidRPr="0056486A">
              <w:rPr>
                <w:rStyle w:val="Hyperlink"/>
                <w:noProof/>
              </w:rPr>
              <w:t>Risk-benefit analysis</w:t>
            </w:r>
            <w:r>
              <w:rPr>
                <w:noProof/>
                <w:webHidden/>
              </w:rPr>
              <w:tab/>
            </w:r>
            <w:r>
              <w:rPr>
                <w:noProof/>
                <w:webHidden/>
              </w:rPr>
              <w:fldChar w:fldCharType="begin"/>
            </w:r>
            <w:r>
              <w:rPr>
                <w:noProof/>
                <w:webHidden/>
              </w:rPr>
              <w:instrText xml:space="preserve"> PAGEREF _Toc69909595 \h </w:instrText>
            </w:r>
            <w:r>
              <w:rPr>
                <w:noProof/>
                <w:webHidden/>
              </w:rPr>
            </w:r>
            <w:r>
              <w:rPr>
                <w:noProof/>
                <w:webHidden/>
              </w:rPr>
              <w:fldChar w:fldCharType="separate"/>
            </w:r>
            <w:r>
              <w:rPr>
                <w:noProof/>
                <w:webHidden/>
              </w:rPr>
              <w:t>42</w:t>
            </w:r>
            <w:r>
              <w:rPr>
                <w:noProof/>
                <w:webHidden/>
              </w:rPr>
              <w:fldChar w:fldCharType="end"/>
            </w:r>
          </w:hyperlink>
        </w:p>
        <w:p w14:paraId="20D14C6F" w14:textId="6F9F8572" w:rsidR="00D97075" w:rsidRDefault="00D97075">
          <w:pPr>
            <w:pStyle w:val="TOC2"/>
            <w:rPr>
              <w:rFonts w:asciiTheme="minorHAnsi" w:eastAsiaTheme="minorEastAsia" w:hAnsiTheme="minorHAnsi" w:cstheme="minorBidi"/>
              <w:b w:val="0"/>
              <w:noProof/>
              <w:sz w:val="22"/>
              <w:lang w:eastAsia="en-AU"/>
            </w:rPr>
          </w:pPr>
          <w:hyperlink w:anchor="_Toc69909596" w:history="1">
            <w:r w:rsidRPr="0056486A">
              <w:rPr>
                <w:rStyle w:val="Hyperlink"/>
                <w:noProof/>
              </w:rPr>
              <w:t>Outcome</w:t>
            </w:r>
            <w:r>
              <w:rPr>
                <w:noProof/>
                <w:webHidden/>
              </w:rPr>
              <w:tab/>
            </w:r>
            <w:r>
              <w:rPr>
                <w:noProof/>
                <w:webHidden/>
              </w:rPr>
              <w:fldChar w:fldCharType="begin"/>
            </w:r>
            <w:r>
              <w:rPr>
                <w:noProof/>
                <w:webHidden/>
              </w:rPr>
              <w:instrText xml:space="preserve"> PAGEREF _Toc69909596 \h </w:instrText>
            </w:r>
            <w:r>
              <w:rPr>
                <w:noProof/>
                <w:webHidden/>
              </w:rPr>
            </w:r>
            <w:r>
              <w:rPr>
                <w:noProof/>
                <w:webHidden/>
              </w:rPr>
              <w:fldChar w:fldCharType="separate"/>
            </w:r>
            <w:r>
              <w:rPr>
                <w:noProof/>
                <w:webHidden/>
              </w:rPr>
              <w:t>53</w:t>
            </w:r>
            <w:r>
              <w:rPr>
                <w:noProof/>
                <w:webHidden/>
              </w:rPr>
              <w:fldChar w:fldCharType="end"/>
            </w:r>
          </w:hyperlink>
        </w:p>
        <w:p w14:paraId="186E0D87" w14:textId="0F6CAAB2" w:rsidR="00D97075" w:rsidRDefault="00D97075">
          <w:pPr>
            <w:pStyle w:val="TOC1"/>
            <w:rPr>
              <w:rFonts w:asciiTheme="minorHAnsi" w:eastAsiaTheme="minorEastAsia" w:hAnsiTheme="minorHAnsi" w:cstheme="minorBidi"/>
              <w:b w:val="0"/>
              <w:noProof/>
              <w:sz w:val="22"/>
              <w:lang w:eastAsia="en-AU"/>
            </w:rPr>
          </w:pPr>
          <w:hyperlink w:anchor="_Toc69909597" w:history="1">
            <w:r w:rsidRPr="0056486A">
              <w:rPr>
                <w:rStyle w:val="Hyperlink"/>
                <w:noProof/>
              </w:rPr>
              <w:t>Attachment 1. Product Information</w:t>
            </w:r>
            <w:r>
              <w:rPr>
                <w:noProof/>
                <w:webHidden/>
              </w:rPr>
              <w:tab/>
            </w:r>
            <w:r>
              <w:rPr>
                <w:noProof/>
                <w:webHidden/>
              </w:rPr>
              <w:fldChar w:fldCharType="begin"/>
            </w:r>
            <w:r>
              <w:rPr>
                <w:noProof/>
                <w:webHidden/>
              </w:rPr>
              <w:instrText xml:space="preserve"> PAGEREF _Toc69909597 \h </w:instrText>
            </w:r>
            <w:r>
              <w:rPr>
                <w:noProof/>
                <w:webHidden/>
              </w:rPr>
            </w:r>
            <w:r>
              <w:rPr>
                <w:noProof/>
                <w:webHidden/>
              </w:rPr>
              <w:fldChar w:fldCharType="separate"/>
            </w:r>
            <w:r>
              <w:rPr>
                <w:noProof/>
                <w:webHidden/>
              </w:rPr>
              <w:t>54</w:t>
            </w:r>
            <w:r>
              <w:rPr>
                <w:noProof/>
                <w:webHidden/>
              </w:rPr>
              <w:fldChar w:fldCharType="end"/>
            </w:r>
          </w:hyperlink>
        </w:p>
        <w:p w14:paraId="2DE1EC86" w14:textId="2B35167C" w:rsidR="003A7F6C" w:rsidRPr="00B811C6" w:rsidRDefault="00C525A2" w:rsidP="00B811C6">
          <w:pPr>
            <w:pStyle w:val="TOC2"/>
          </w:pPr>
          <w:r>
            <w:fldChar w:fldCharType="end"/>
          </w:r>
        </w:p>
      </w:sdtContent>
    </w:sdt>
    <w:bookmarkStart w:id="3" w:name="_Toc314842482" w:displacedByCustomXml="prev"/>
    <w:p w14:paraId="4F3B9098" w14:textId="77777777" w:rsidR="00FD119B" w:rsidRDefault="00FD119B">
      <w:pPr>
        <w:spacing w:before="0" w:after="200" w:line="0" w:lineRule="auto"/>
      </w:pPr>
      <w:r>
        <w:br w:type="page"/>
      </w:r>
    </w:p>
    <w:p w14:paraId="3B26EEBC" w14:textId="77777777" w:rsidR="00C52E24" w:rsidRPr="00C52E24" w:rsidRDefault="00324E45" w:rsidP="009038D4">
      <w:pPr>
        <w:pStyle w:val="Heading2"/>
      </w:pPr>
      <w:bookmarkStart w:id="4" w:name="_Toc351716269"/>
      <w:bookmarkStart w:id="5" w:name="_Toc351718881"/>
      <w:bookmarkStart w:id="6" w:name="_Toc355338616"/>
      <w:bookmarkStart w:id="7" w:name="_Toc356306144"/>
      <w:bookmarkStart w:id="8" w:name="_Toc69909583"/>
      <w:r>
        <w:t>List of</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4"/>
        <w:gridCol w:w="6690"/>
      </w:tblGrid>
      <w:tr w:rsidR="00091E1A" w:rsidRPr="00FD119B" w14:paraId="709429D1"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6B55125D" w14:textId="77777777" w:rsidR="00091E1A" w:rsidRPr="00FD119B" w:rsidRDefault="00091E1A" w:rsidP="00B848D8">
            <w:pPr>
              <w:keepNext w:val="0"/>
              <w:ind w:left="144"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39AE58DF" w14:textId="77777777" w:rsidR="00091E1A" w:rsidRPr="00FD119B" w:rsidRDefault="00091E1A" w:rsidP="00B848D8">
            <w:pPr>
              <w:keepNext w:val="0"/>
              <w:ind w:left="144" w:right="0"/>
              <w:rPr>
                <w:szCs w:val="22"/>
                <w:lang w:eastAsia="en-US"/>
              </w:rPr>
            </w:pPr>
            <w:r w:rsidRPr="00FD119B">
              <w:rPr>
                <w:szCs w:val="22"/>
                <w:lang w:eastAsia="en-US"/>
              </w:rPr>
              <w:t>Meaning</w:t>
            </w:r>
          </w:p>
        </w:tc>
      </w:tr>
      <w:tr w:rsidR="00091E1A" w:rsidRPr="00FD119B" w14:paraId="7293286D" w14:textId="77777777" w:rsidTr="00FD119B">
        <w:tc>
          <w:tcPr>
            <w:tcW w:w="1809" w:type="dxa"/>
          </w:tcPr>
          <w:p w14:paraId="7F1529B6" w14:textId="77777777" w:rsidR="00091E1A" w:rsidRPr="00FD119B" w:rsidRDefault="00091E1A" w:rsidP="00B848D8">
            <w:pPr>
              <w:ind w:left="144"/>
            </w:pPr>
            <w:r>
              <w:rPr>
                <w:lang w:eastAsia="ja-JP"/>
              </w:rPr>
              <w:t>5q SMA</w:t>
            </w:r>
          </w:p>
        </w:tc>
        <w:tc>
          <w:tcPr>
            <w:tcW w:w="6911" w:type="dxa"/>
          </w:tcPr>
          <w:p w14:paraId="69EE35CF" w14:textId="77777777" w:rsidR="00091E1A" w:rsidRPr="00FD119B" w:rsidRDefault="00091E1A" w:rsidP="00B848D8">
            <w:pPr>
              <w:ind w:left="144"/>
            </w:pPr>
            <w:r>
              <w:rPr>
                <w:lang w:eastAsia="ja-JP"/>
              </w:rPr>
              <w:t>Spinal muscular atrophy involving mutations to the survival motor neuron 1 gene located on chromosome 5q13</w:t>
            </w:r>
          </w:p>
        </w:tc>
      </w:tr>
      <w:tr w:rsidR="003958B0" w:rsidRPr="00FD119B" w14:paraId="639815B9" w14:textId="77777777" w:rsidTr="00FD119B">
        <w:tc>
          <w:tcPr>
            <w:tcW w:w="1809" w:type="dxa"/>
          </w:tcPr>
          <w:p w14:paraId="2AD5803A" w14:textId="4A226E5D" w:rsidR="003958B0" w:rsidRDefault="003958B0" w:rsidP="00B848D8">
            <w:pPr>
              <w:ind w:left="144" w:right="0"/>
              <w:rPr>
                <w:lang w:eastAsia="ja-JP"/>
              </w:rPr>
            </w:pPr>
            <w:r>
              <w:rPr>
                <w:lang w:eastAsia="ja-JP"/>
              </w:rPr>
              <w:t>AAV</w:t>
            </w:r>
          </w:p>
        </w:tc>
        <w:tc>
          <w:tcPr>
            <w:tcW w:w="6911" w:type="dxa"/>
          </w:tcPr>
          <w:p w14:paraId="5BA4FD59" w14:textId="51FFCEB9" w:rsidR="003958B0" w:rsidRDefault="003958B0" w:rsidP="00B848D8">
            <w:pPr>
              <w:ind w:left="144" w:right="0"/>
              <w:rPr>
                <w:lang w:eastAsia="ja-JP"/>
              </w:rPr>
            </w:pPr>
            <w:r>
              <w:rPr>
                <w:lang w:eastAsia="ja-JP"/>
              </w:rPr>
              <w:t>Adeno-associated virus</w:t>
            </w:r>
          </w:p>
        </w:tc>
      </w:tr>
      <w:tr w:rsidR="00091E1A" w:rsidRPr="00FD119B" w14:paraId="55BB823F" w14:textId="77777777" w:rsidTr="00FD119B">
        <w:tc>
          <w:tcPr>
            <w:tcW w:w="1809" w:type="dxa"/>
          </w:tcPr>
          <w:p w14:paraId="1282E2D3" w14:textId="77777777" w:rsidR="00091E1A" w:rsidRPr="00FD119B" w:rsidRDefault="00091E1A" w:rsidP="00B848D8">
            <w:pPr>
              <w:ind w:left="144" w:right="0"/>
              <w:rPr>
                <w:color w:val="auto"/>
                <w:szCs w:val="22"/>
                <w:lang w:eastAsia="en-US"/>
              </w:rPr>
            </w:pPr>
            <w:r>
              <w:t>AAV9</w:t>
            </w:r>
          </w:p>
        </w:tc>
        <w:tc>
          <w:tcPr>
            <w:tcW w:w="6911" w:type="dxa"/>
          </w:tcPr>
          <w:p w14:paraId="42446AA1" w14:textId="77777777" w:rsidR="00091E1A" w:rsidRPr="00FD119B" w:rsidRDefault="00091E1A" w:rsidP="00B848D8">
            <w:pPr>
              <w:ind w:left="144" w:right="0"/>
              <w:rPr>
                <w:color w:val="auto"/>
                <w:szCs w:val="22"/>
                <w:lang w:eastAsia="en-US"/>
              </w:rPr>
            </w:pPr>
            <w:r>
              <w:t>Adeno-associated viral vector serotype 9</w:t>
            </w:r>
          </w:p>
        </w:tc>
      </w:tr>
      <w:tr w:rsidR="00091E1A" w:rsidRPr="00FD119B" w14:paraId="69C10942" w14:textId="77777777" w:rsidTr="00CF5DAD">
        <w:tc>
          <w:tcPr>
            <w:tcW w:w="1809" w:type="dxa"/>
            <w:tcBorders>
              <w:top w:val="single" w:sz="4" w:space="0" w:color="auto"/>
            </w:tcBorders>
          </w:tcPr>
          <w:p w14:paraId="158089F9" w14:textId="77777777" w:rsidR="00091E1A" w:rsidRPr="00FD119B" w:rsidRDefault="00091E1A" w:rsidP="00B848D8">
            <w:pPr>
              <w:ind w:left="144" w:right="0"/>
            </w:pPr>
            <w:r>
              <w:t>ACM</w:t>
            </w:r>
          </w:p>
        </w:tc>
        <w:tc>
          <w:tcPr>
            <w:tcW w:w="6911" w:type="dxa"/>
            <w:tcBorders>
              <w:top w:val="single" w:sz="4" w:space="0" w:color="auto"/>
            </w:tcBorders>
          </w:tcPr>
          <w:p w14:paraId="7F39DC30" w14:textId="77777777" w:rsidR="00091E1A" w:rsidRPr="00FD119B" w:rsidRDefault="00091E1A" w:rsidP="00B848D8">
            <w:pPr>
              <w:ind w:left="144" w:right="0"/>
            </w:pPr>
            <w:r w:rsidRPr="00460036">
              <w:t>Advisory Committee on Medicines</w:t>
            </w:r>
          </w:p>
        </w:tc>
      </w:tr>
      <w:tr w:rsidR="00091E1A" w:rsidRPr="00FD119B" w14:paraId="5178228A" w14:textId="77777777" w:rsidTr="00FD119B">
        <w:tc>
          <w:tcPr>
            <w:tcW w:w="1809" w:type="dxa"/>
          </w:tcPr>
          <w:p w14:paraId="2D8D1181" w14:textId="77777777" w:rsidR="00091E1A" w:rsidRPr="00FD119B" w:rsidRDefault="00091E1A" w:rsidP="00B848D8">
            <w:pPr>
              <w:ind w:left="144" w:right="0"/>
            </w:pPr>
            <w:r>
              <w:t>AESI</w:t>
            </w:r>
          </w:p>
        </w:tc>
        <w:tc>
          <w:tcPr>
            <w:tcW w:w="6911" w:type="dxa"/>
          </w:tcPr>
          <w:p w14:paraId="17E54441" w14:textId="77777777" w:rsidR="00091E1A" w:rsidRDefault="00091E1A" w:rsidP="00B848D8">
            <w:pPr>
              <w:ind w:left="144" w:right="0"/>
            </w:pPr>
            <w:r>
              <w:t>Adverse event of special interest</w:t>
            </w:r>
          </w:p>
        </w:tc>
      </w:tr>
      <w:tr w:rsidR="00091E1A" w:rsidRPr="00FD119B" w14:paraId="00524629" w14:textId="77777777" w:rsidTr="00FD119B">
        <w:tc>
          <w:tcPr>
            <w:tcW w:w="1809" w:type="dxa"/>
          </w:tcPr>
          <w:p w14:paraId="08D1F96E" w14:textId="77777777" w:rsidR="00091E1A" w:rsidRPr="00FD119B" w:rsidRDefault="00091E1A" w:rsidP="00B848D8">
            <w:pPr>
              <w:ind w:left="144"/>
            </w:pPr>
            <w:r>
              <w:t>ALT</w:t>
            </w:r>
          </w:p>
        </w:tc>
        <w:tc>
          <w:tcPr>
            <w:tcW w:w="6911" w:type="dxa"/>
          </w:tcPr>
          <w:p w14:paraId="7A5A96A6" w14:textId="77777777" w:rsidR="00091E1A" w:rsidRPr="00FD119B" w:rsidRDefault="00091E1A" w:rsidP="00B848D8">
            <w:pPr>
              <w:ind w:left="144"/>
            </w:pPr>
            <w:r>
              <w:t>Alanine aminotransferase</w:t>
            </w:r>
          </w:p>
        </w:tc>
      </w:tr>
      <w:tr w:rsidR="00091E1A" w:rsidRPr="00FD119B" w14:paraId="5B6FB468" w14:textId="77777777" w:rsidTr="00FD119B">
        <w:tc>
          <w:tcPr>
            <w:tcW w:w="1809" w:type="dxa"/>
          </w:tcPr>
          <w:p w14:paraId="6F5A3D14" w14:textId="77777777" w:rsidR="00091E1A" w:rsidRPr="00FD119B" w:rsidRDefault="00091E1A" w:rsidP="00B848D8">
            <w:pPr>
              <w:ind w:left="144"/>
            </w:pPr>
            <w:r>
              <w:t>anti-</w:t>
            </w:r>
            <w:proofErr w:type="spellStart"/>
            <w:r>
              <w:t>hSMN</w:t>
            </w:r>
            <w:proofErr w:type="spellEnd"/>
          </w:p>
        </w:tc>
        <w:tc>
          <w:tcPr>
            <w:tcW w:w="6911" w:type="dxa"/>
          </w:tcPr>
          <w:p w14:paraId="73E60C38" w14:textId="77777777" w:rsidR="00091E1A" w:rsidRPr="00FD119B" w:rsidRDefault="00091E1A" w:rsidP="00B848D8">
            <w:pPr>
              <w:ind w:left="144"/>
            </w:pPr>
            <w:r>
              <w:t>Anti-human survival motor neuron</w:t>
            </w:r>
          </w:p>
        </w:tc>
      </w:tr>
      <w:tr w:rsidR="00091E1A" w:rsidRPr="00FD119B" w14:paraId="09290761" w14:textId="77777777" w:rsidTr="00FD119B">
        <w:tc>
          <w:tcPr>
            <w:tcW w:w="1809" w:type="dxa"/>
          </w:tcPr>
          <w:p w14:paraId="6768E18E" w14:textId="77777777" w:rsidR="00091E1A" w:rsidRPr="00FD119B" w:rsidRDefault="00091E1A" w:rsidP="00B848D8">
            <w:pPr>
              <w:ind w:left="144"/>
            </w:pPr>
            <w:r>
              <w:t>ARGPM</w:t>
            </w:r>
          </w:p>
        </w:tc>
        <w:tc>
          <w:tcPr>
            <w:tcW w:w="6911" w:type="dxa"/>
          </w:tcPr>
          <w:p w14:paraId="3DA1F461" w14:textId="77777777" w:rsidR="00091E1A" w:rsidRPr="00FD119B" w:rsidRDefault="00091E1A" w:rsidP="00B848D8">
            <w:pPr>
              <w:ind w:left="144"/>
            </w:pPr>
            <w:r>
              <w:t>Australian Regulatory Guidelines for Prescription Medicines</w:t>
            </w:r>
          </w:p>
        </w:tc>
      </w:tr>
      <w:tr w:rsidR="00091E1A" w:rsidRPr="00FD119B" w14:paraId="642F3FCD" w14:textId="77777777" w:rsidTr="00FD119B">
        <w:tc>
          <w:tcPr>
            <w:tcW w:w="1809" w:type="dxa"/>
          </w:tcPr>
          <w:p w14:paraId="060CDB6D" w14:textId="77777777" w:rsidR="00091E1A" w:rsidRPr="00FD119B" w:rsidRDefault="00091E1A" w:rsidP="00B848D8">
            <w:pPr>
              <w:ind w:left="144" w:right="0"/>
            </w:pPr>
            <w:r>
              <w:t>ARTG</w:t>
            </w:r>
          </w:p>
        </w:tc>
        <w:tc>
          <w:tcPr>
            <w:tcW w:w="6911" w:type="dxa"/>
          </w:tcPr>
          <w:p w14:paraId="364A8724" w14:textId="77777777" w:rsidR="00091E1A" w:rsidRPr="00FD119B" w:rsidRDefault="00091E1A" w:rsidP="00B848D8">
            <w:pPr>
              <w:ind w:left="144" w:right="0"/>
            </w:pPr>
            <w:r w:rsidRPr="00460036">
              <w:t>Australian Register of Therapeutic Goods</w:t>
            </w:r>
          </w:p>
        </w:tc>
      </w:tr>
      <w:tr w:rsidR="00091E1A" w:rsidRPr="00FD119B" w14:paraId="704BF9D0" w14:textId="77777777" w:rsidTr="00FD119B">
        <w:tc>
          <w:tcPr>
            <w:tcW w:w="1809" w:type="dxa"/>
          </w:tcPr>
          <w:p w14:paraId="03AF7F82" w14:textId="77777777" w:rsidR="00091E1A" w:rsidRPr="00FD119B" w:rsidRDefault="00091E1A" w:rsidP="00B848D8">
            <w:pPr>
              <w:ind w:left="144" w:right="0"/>
            </w:pPr>
            <w:r>
              <w:t>ASA</w:t>
            </w:r>
          </w:p>
        </w:tc>
        <w:tc>
          <w:tcPr>
            <w:tcW w:w="6911" w:type="dxa"/>
          </w:tcPr>
          <w:p w14:paraId="7EBB3E24" w14:textId="77777777" w:rsidR="00091E1A" w:rsidRDefault="00091E1A" w:rsidP="00B848D8">
            <w:pPr>
              <w:ind w:left="144" w:right="0"/>
            </w:pPr>
            <w:r>
              <w:t>Australian specific Annex</w:t>
            </w:r>
          </w:p>
        </w:tc>
      </w:tr>
      <w:tr w:rsidR="00091E1A" w:rsidRPr="00FD119B" w14:paraId="11EF251C" w14:textId="77777777" w:rsidTr="00FD119B">
        <w:tc>
          <w:tcPr>
            <w:tcW w:w="1809" w:type="dxa"/>
          </w:tcPr>
          <w:p w14:paraId="2DBBA1D1" w14:textId="77777777" w:rsidR="00091E1A" w:rsidRPr="00FD119B" w:rsidRDefault="00091E1A" w:rsidP="00B848D8">
            <w:pPr>
              <w:ind w:left="144"/>
            </w:pPr>
            <w:r>
              <w:t>AST</w:t>
            </w:r>
          </w:p>
        </w:tc>
        <w:tc>
          <w:tcPr>
            <w:tcW w:w="6911" w:type="dxa"/>
          </w:tcPr>
          <w:p w14:paraId="123B8F24" w14:textId="77777777" w:rsidR="00091E1A" w:rsidRPr="00FD119B" w:rsidRDefault="00091E1A" w:rsidP="00B848D8">
            <w:pPr>
              <w:ind w:left="144"/>
            </w:pPr>
            <w:r>
              <w:t>Aspartate transaminase</w:t>
            </w:r>
          </w:p>
        </w:tc>
      </w:tr>
      <w:tr w:rsidR="00091E1A" w:rsidRPr="00FD119B" w14:paraId="03903A85" w14:textId="77777777" w:rsidTr="00FD119B">
        <w:tc>
          <w:tcPr>
            <w:tcW w:w="1809" w:type="dxa"/>
          </w:tcPr>
          <w:p w14:paraId="1E6F4C29" w14:textId="77777777" w:rsidR="00091E1A" w:rsidRPr="00FD119B" w:rsidRDefault="00091E1A" w:rsidP="00B848D8">
            <w:pPr>
              <w:ind w:left="144"/>
            </w:pPr>
            <w:r>
              <w:t>AVXS-101</w:t>
            </w:r>
          </w:p>
        </w:tc>
        <w:tc>
          <w:tcPr>
            <w:tcW w:w="6911" w:type="dxa"/>
          </w:tcPr>
          <w:p w14:paraId="2EC98215" w14:textId="77777777" w:rsidR="00091E1A" w:rsidRPr="00FD119B" w:rsidRDefault="00091E1A" w:rsidP="00B848D8">
            <w:pPr>
              <w:ind w:left="144"/>
            </w:pPr>
            <w:r>
              <w:rPr>
                <w:rFonts w:asciiTheme="minorHAnsi" w:hAnsiTheme="minorHAnsi"/>
              </w:rPr>
              <w:t xml:space="preserve">The drug development code for </w:t>
            </w:r>
            <w:proofErr w:type="spellStart"/>
            <w:r>
              <w:rPr>
                <w:rFonts w:asciiTheme="minorHAnsi" w:hAnsiTheme="minorHAnsi"/>
              </w:rPr>
              <w:t>onasemnogene</w:t>
            </w:r>
            <w:proofErr w:type="spellEnd"/>
            <w:r>
              <w:rPr>
                <w:rFonts w:asciiTheme="minorHAnsi" w:hAnsiTheme="minorHAnsi"/>
              </w:rPr>
              <w:t xml:space="preserve"> </w:t>
            </w:r>
            <w:proofErr w:type="spellStart"/>
            <w:r>
              <w:rPr>
                <w:rFonts w:asciiTheme="minorHAnsi" w:hAnsiTheme="minorHAnsi"/>
              </w:rPr>
              <w:t>abeparvovec</w:t>
            </w:r>
            <w:proofErr w:type="spellEnd"/>
          </w:p>
        </w:tc>
      </w:tr>
      <w:tr w:rsidR="00091E1A" w:rsidRPr="00FD119B" w14:paraId="40F87DC8" w14:textId="77777777" w:rsidTr="00FD119B">
        <w:tc>
          <w:tcPr>
            <w:tcW w:w="1809" w:type="dxa"/>
          </w:tcPr>
          <w:p w14:paraId="4F21C074" w14:textId="77777777" w:rsidR="00091E1A" w:rsidRPr="00FD119B" w:rsidRDefault="00091E1A" w:rsidP="00B848D8">
            <w:pPr>
              <w:ind w:left="144" w:right="0"/>
            </w:pPr>
            <w:proofErr w:type="spellStart"/>
            <w:r>
              <w:t>BiPAP</w:t>
            </w:r>
            <w:proofErr w:type="spellEnd"/>
          </w:p>
        </w:tc>
        <w:tc>
          <w:tcPr>
            <w:tcW w:w="6911" w:type="dxa"/>
          </w:tcPr>
          <w:p w14:paraId="5CE10E8F" w14:textId="77777777" w:rsidR="00091E1A" w:rsidRDefault="00091E1A" w:rsidP="00B848D8">
            <w:pPr>
              <w:ind w:left="144" w:right="0"/>
            </w:pPr>
            <w:r>
              <w:rPr>
                <w:lang w:eastAsia="ja-JP"/>
              </w:rPr>
              <w:t>Bi-level positive airway pressure</w:t>
            </w:r>
          </w:p>
        </w:tc>
      </w:tr>
      <w:tr w:rsidR="00091E1A" w:rsidRPr="00FD119B" w14:paraId="6A14A720" w14:textId="77777777" w:rsidTr="00FD119B">
        <w:tc>
          <w:tcPr>
            <w:tcW w:w="1809" w:type="dxa"/>
          </w:tcPr>
          <w:p w14:paraId="17FE48D6" w14:textId="77777777" w:rsidR="00091E1A" w:rsidRPr="00FD119B" w:rsidRDefault="00091E1A" w:rsidP="00B848D8">
            <w:pPr>
              <w:ind w:left="144" w:right="0"/>
            </w:pPr>
            <w:r>
              <w:t>BLA</w:t>
            </w:r>
          </w:p>
        </w:tc>
        <w:tc>
          <w:tcPr>
            <w:tcW w:w="6911" w:type="dxa"/>
          </w:tcPr>
          <w:p w14:paraId="113CF1CB" w14:textId="77777777" w:rsidR="00091E1A" w:rsidRDefault="00091E1A" w:rsidP="00B848D8">
            <w:pPr>
              <w:ind w:left="144" w:right="0"/>
            </w:pPr>
            <w:r>
              <w:t>Biologics License Application (Food and Drug Administration, United States)</w:t>
            </w:r>
          </w:p>
        </w:tc>
      </w:tr>
      <w:tr w:rsidR="00091E1A" w:rsidRPr="00FD119B" w14:paraId="4DD6D2ED" w14:textId="77777777" w:rsidTr="00FD119B">
        <w:tc>
          <w:tcPr>
            <w:tcW w:w="1809" w:type="dxa"/>
          </w:tcPr>
          <w:p w14:paraId="355C612D" w14:textId="77777777" w:rsidR="00091E1A" w:rsidRPr="00FD119B" w:rsidRDefault="00091E1A" w:rsidP="00B848D8">
            <w:pPr>
              <w:ind w:left="144"/>
            </w:pPr>
            <w:r>
              <w:t>CAT</w:t>
            </w:r>
          </w:p>
        </w:tc>
        <w:tc>
          <w:tcPr>
            <w:tcW w:w="6911" w:type="dxa"/>
          </w:tcPr>
          <w:p w14:paraId="3408BA10" w14:textId="11AB35E0" w:rsidR="00091E1A" w:rsidRPr="00FD119B" w:rsidRDefault="00091E1A" w:rsidP="00B848D8">
            <w:pPr>
              <w:ind w:left="144"/>
            </w:pPr>
            <w:r>
              <w:t>Committee for Advanced Therapies (European Medicines Agency</w:t>
            </w:r>
            <w:r w:rsidR="00463F8D">
              <w:t>, European Union</w:t>
            </w:r>
            <w:r>
              <w:t>)</w:t>
            </w:r>
          </w:p>
        </w:tc>
      </w:tr>
      <w:tr w:rsidR="00091E1A" w:rsidRPr="00FD119B" w14:paraId="07E01F50" w14:textId="77777777" w:rsidTr="00FD119B">
        <w:tc>
          <w:tcPr>
            <w:tcW w:w="1809" w:type="dxa"/>
          </w:tcPr>
          <w:p w14:paraId="4566A324" w14:textId="77777777" w:rsidR="00091E1A" w:rsidRPr="00FD119B" w:rsidRDefault="00091E1A" w:rsidP="00B848D8">
            <w:pPr>
              <w:ind w:left="144"/>
            </w:pPr>
            <w:r>
              <w:t>cDNA</w:t>
            </w:r>
          </w:p>
        </w:tc>
        <w:tc>
          <w:tcPr>
            <w:tcW w:w="6911" w:type="dxa"/>
          </w:tcPr>
          <w:p w14:paraId="0D8D7C24" w14:textId="77777777" w:rsidR="00091E1A" w:rsidRPr="00FD119B" w:rsidRDefault="00091E1A" w:rsidP="00B848D8">
            <w:pPr>
              <w:ind w:left="144"/>
            </w:pPr>
            <w:r>
              <w:t>Complementary deoxyribonucleic acid</w:t>
            </w:r>
          </w:p>
        </w:tc>
      </w:tr>
      <w:tr w:rsidR="00091E1A" w:rsidRPr="00FD119B" w14:paraId="7C48F42D" w14:textId="77777777" w:rsidTr="00FD119B">
        <w:tc>
          <w:tcPr>
            <w:tcW w:w="1809" w:type="dxa"/>
          </w:tcPr>
          <w:p w14:paraId="3C1DF650" w14:textId="77777777" w:rsidR="00091E1A" w:rsidRPr="00FD119B" w:rsidRDefault="00091E1A" w:rsidP="00B848D8">
            <w:pPr>
              <w:ind w:left="144"/>
            </w:pPr>
            <w:r>
              <w:t>CHMP</w:t>
            </w:r>
          </w:p>
        </w:tc>
        <w:tc>
          <w:tcPr>
            <w:tcW w:w="6911" w:type="dxa"/>
          </w:tcPr>
          <w:p w14:paraId="647F2205" w14:textId="5E8449DB" w:rsidR="00091E1A" w:rsidRPr="00FD119B" w:rsidRDefault="00091E1A" w:rsidP="00B848D8">
            <w:pPr>
              <w:ind w:left="144"/>
            </w:pPr>
            <w:r>
              <w:t>Committee for the Medicinal Products for Human Use (European Medicines Agency</w:t>
            </w:r>
            <w:r w:rsidR="00463F8D">
              <w:t>, European Union</w:t>
            </w:r>
            <w:r>
              <w:t>)</w:t>
            </w:r>
          </w:p>
        </w:tc>
      </w:tr>
      <w:tr w:rsidR="00091E1A" w:rsidRPr="00FD119B" w14:paraId="0C864F2D" w14:textId="77777777" w:rsidTr="00FD119B">
        <w:tc>
          <w:tcPr>
            <w:tcW w:w="1809" w:type="dxa"/>
          </w:tcPr>
          <w:p w14:paraId="15CC64CD" w14:textId="77777777" w:rsidR="00091E1A" w:rsidRPr="00FD119B" w:rsidRDefault="00091E1A" w:rsidP="00B848D8">
            <w:pPr>
              <w:ind w:left="144"/>
            </w:pPr>
            <w:r>
              <w:t>CHOP INTEND</w:t>
            </w:r>
          </w:p>
        </w:tc>
        <w:tc>
          <w:tcPr>
            <w:tcW w:w="6911" w:type="dxa"/>
          </w:tcPr>
          <w:p w14:paraId="5D43C917" w14:textId="77777777" w:rsidR="00091E1A" w:rsidRPr="00FD119B" w:rsidRDefault="00091E1A" w:rsidP="00B848D8">
            <w:pPr>
              <w:ind w:left="144"/>
            </w:pPr>
            <w:r w:rsidRPr="002711F5">
              <w:t>Children’s Hospital of Philadelphia Infant Test of Neur</w:t>
            </w:r>
            <w:r>
              <w:t>omuscular Disorders</w:t>
            </w:r>
          </w:p>
        </w:tc>
      </w:tr>
      <w:tr w:rsidR="00091E1A" w:rsidRPr="00FD119B" w14:paraId="6F656C19" w14:textId="77777777" w:rsidTr="00FD119B">
        <w:tc>
          <w:tcPr>
            <w:tcW w:w="1809" w:type="dxa"/>
          </w:tcPr>
          <w:p w14:paraId="17982055" w14:textId="77777777" w:rsidR="00091E1A" w:rsidRPr="00FD119B" w:rsidRDefault="00091E1A" w:rsidP="00B848D8">
            <w:pPr>
              <w:ind w:left="144"/>
            </w:pPr>
            <w:r>
              <w:t>CMI</w:t>
            </w:r>
          </w:p>
        </w:tc>
        <w:tc>
          <w:tcPr>
            <w:tcW w:w="6911" w:type="dxa"/>
          </w:tcPr>
          <w:p w14:paraId="421D0C15" w14:textId="77777777" w:rsidR="00091E1A" w:rsidRPr="00FD119B" w:rsidRDefault="00091E1A" w:rsidP="00B848D8">
            <w:pPr>
              <w:ind w:left="144"/>
            </w:pPr>
            <w:r>
              <w:t>Consumer Medicines Information</w:t>
            </w:r>
          </w:p>
        </w:tc>
      </w:tr>
      <w:tr w:rsidR="00091E1A" w:rsidRPr="00FD119B" w14:paraId="12B351F6" w14:textId="77777777" w:rsidTr="00FD119B">
        <w:tc>
          <w:tcPr>
            <w:tcW w:w="1809" w:type="dxa"/>
          </w:tcPr>
          <w:p w14:paraId="20F0FF8F" w14:textId="77777777" w:rsidR="00091E1A" w:rsidRPr="00FD119B" w:rsidRDefault="00091E1A" w:rsidP="00B848D8">
            <w:pPr>
              <w:ind w:left="144"/>
            </w:pPr>
            <w:r>
              <w:t>CNS</w:t>
            </w:r>
          </w:p>
        </w:tc>
        <w:tc>
          <w:tcPr>
            <w:tcW w:w="6911" w:type="dxa"/>
          </w:tcPr>
          <w:p w14:paraId="5888C9D2" w14:textId="77777777" w:rsidR="00091E1A" w:rsidRPr="00FD119B" w:rsidRDefault="00091E1A" w:rsidP="00B848D8">
            <w:pPr>
              <w:ind w:left="144"/>
            </w:pPr>
            <w:r>
              <w:t>Central nervous system</w:t>
            </w:r>
          </w:p>
        </w:tc>
      </w:tr>
      <w:tr w:rsidR="00091E1A" w:rsidRPr="00FD119B" w14:paraId="48611941" w14:textId="77777777" w:rsidTr="00FD119B">
        <w:tc>
          <w:tcPr>
            <w:tcW w:w="1809" w:type="dxa"/>
          </w:tcPr>
          <w:p w14:paraId="045C0796" w14:textId="77777777" w:rsidR="00091E1A" w:rsidRPr="00FD119B" w:rsidRDefault="00091E1A" w:rsidP="00B848D8">
            <w:pPr>
              <w:ind w:left="144"/>
            </w:pPr>
            <w:r>
              <w:t>CPD</w:t>
            </w:r>
          </w:p>
        </w:tc>
        <w:tc>
          <w:tcPr>
            <w:tcW w:w="6911" w:type="dxa"/>
          </w:tcPr>
          <w:p w14:paraId="599BC854" w14:textId="77777777" w:rsidR="00091E1A" w:rsidRPr="00FD119B" w:rsidRDefault="00091E1A" w:rsidP="00B848D8">
            <w:pPr>
              <w:ind w:left="144"/>
            </w:pPr>
            <w:r>
              <w:t>Certified Product Details</w:t>
            </w:r>
          </w:p>
        </w:tc>
      </w:tr>
      <w:tr w:rsidR="00091E1A" w:rsidRPr="00FD119B" w14:paraId="19AE8FD0" w14:textId="77777777" w:rsidTr="00FD119B">
        <w:tc>
          <w:tcPr>
            <w:tcW w:w="1809" w:type="dxa"/>
          </w:tcPr>
          <w:p w14:paraId="5012AB2E" w14:textId="77777777" w:rsidR="00091E1A" w:rsidRPr="00FD119B" w:rsidRDefault="00091E1A" w:rsidP="00B848D8">
            <w:pPr>
              <w:ind w:left="144"/>
            </w:pPr>
            <w:r>
              <w:t>CPMP</w:t>
            </w:r>
          </w:p>
        </w:tc>
        <w:tc>
          <w:tcPr>
            <w:tcW w:w="6911" w:type="dxa"/>
          </w:tcPr>
          <w:p w14:paraId="773DD202" w14:textId="79DFF463" w:rsidR="00091E1A" w:rsidRPr="00FD119B" w:rsidRDefault="00091E1A" w:rsidP="00B848D8">
            <w:pPr>
              <w:ind w:left="144"/>
            </w:pPr>
            <w:r>
              <w:t>Committee for Proprietary Medicinal Products (European Medicines Agency</w:t>
            </w:r>
            <w:r w:rsidR="00463F8D">
              <w:t>, European Union</w:t>
            </w:r>
            <w:r>
              <w:t>)</w:t>
            </w:r>
          </w:p>
        </w:tc>
      </w:tr>
      <w:tr w:rsidR="00091E1A" w:rsidRPr="00FD119B" w14:paraId="11585AFD" w14:textId="77777777" w:rsidTr="00FD119B">
        <w:tc>
          <w:tcPr>
            <w:tcW w:w="1809" w:type="dxa"/>
          </w:tcPr>
          <w:p w14:paraId="58CFE66B" w14:textId="77777777" w:rsidR="00091E1A" w:rsidRPr="00FD119B" w:rsidRDefault="00091E1A" w:rsidP="00B848D8">
            <w:pPr>
              <w:ind w:left="144" w:right="0"/>
            </w:pPr>
            <w:r w:rsidRPr="0058715D">
              <w:t>CTCAE</w:t>
            </w:r>
          </w:p>
        </w:tc>
        <w:tc>
          <w:tcPr>
            <w:tcW w:w="6911" w:type="dxa"/>
          </w:tcPr>
          <w:p w14:paraId="3AC77821" w14:textId="77777777" w:rsidR="00091E1A" w:rsidRDefault="00091E1A" w:rsidP="00B848D8">
            <w:pPr>
              <w:ind w:left="144" w:right="0"/>
            </w:pPr>
            <w:r w:rsidRPr="0058715D">
              <w:t>Common Terminolo</w:t>
            </w:r>
            <w:r>
              <w:t>gy Criteria for Adverse Events</w:t>
            </w:r>
          </w:p>
        </w:tc>
      </w:tr>
      <w:tr w:rsidR="00091E1A" w:rsidRPr="00FD119B" w14:paraId="6D73D6D0" w14:textId="77777777" w:rsidTr="00FD119B">
        <w:tc>
          <w:tcPr>
            <w:tcW w:w="1809" w:type="dxa"/>
          </w:tcPr>
          <w:p w14:paraId="05A75CF4" w14:textId="77777777" w:rsidR="00091E1A" w:rsidRPr="00FD119B" w:rsidRDefault="00091E1A" w:rsidP="00B848D8">
            <w:pPr>
              <w:ind w:left="144" w:right="0"/>
            </w:pPr>
            <w:r>
              <w:t>DLP</w:t>
            </w:r>
          </w:p>
        </w:tc>
        <w:tc>
          <w:tcPr>
            <w:tcW w:w="6911" w:type="dxa"/>
          </w:tcPr>
          <w:p w14:paraId="00A5A33C" w14:textId="77777777" w:rsidR="00091E1A" w:rsidRDefault="00091E1A" w:rsidP="00B848D8">
            <w:pPr>
              <w:ind w:left="144" w:right="0"/>
            </w:pPr>
            <w:r>
              <w:t>Data lock point</w:t>
            </w:r>
          </w:p>
        </w:tc>
      </w:tr>
      <w:tr w:rsidR="00091E1A" w:rsidRPr="00FD119B" w14:paraId="41E201AD" w14:textId="77777777" w:rsidTr="00FD119B">
        <w:tc>
          <w:tcPr>
            <w:tcW w:w="1809" w:type="dxa"/>
          </w:tcPr>
          <w:p w14:paraId="1004D53D" w14:textId="77777777" w:rsidR="00091E1A" w:rsidRPr="00FD119B" w:rsidRDefault="00091E1A" w:rsidP="00B848D8">
            <w:pPr>
              <w:ind w:left="144"/>
            </w:pPr>
            <w:r>
              <w:t>DNIR</w:t>
            </w:r>
          </w:p>
        </w:tc>
        <w:tc>
          <w:tcPr>
            <w:tcW w:w="6911" w:type="dxa"/>
          </w:tcPr>
          <w:p w14:paraId="247544ED" w14:textId="5989B308" w:rsidR="00091E1A" w:rsidRPr="00FD119B" w:rsidRDefault="00091E1A" w:rsidP="00B848D8">
            <w:pPr>
              <w:ind w:left="144"/>
            </w:pPr>
            <w:r>
              <w:rPr>
                <w:rFonts w:cs="CourierHP"/>
              </w:rPr>
              <w:t xml:space="preserve">Dealings Not Involving an Intentional Release (of </w:t>
            </w:r>
            <w:r w:rsidR="003958B0">
              <w:rPr>
                <w:rFonts w:cs="CourierHP"/>
              </w:rPr>
              <w:t>genetically modified organisms into the e</w:t>
            </w:r>
            <w:r>
              <w:rPr>
                <w:rFonts w:cs="CourierHP"/>
              </w:rPr>
              <w:t>nvironment licence)</w:t>
            </w:r>
          </w:p>
        </w:tc>
      </w:tr>
      <w:tr w:rsidR="00091E1A" w:rsidRPr="00FD119B" w14:paraId="7ABB1949" w14:textId="77777777" w:rsidTr="00FD119B">
        <w:tc>
          <w:tcPr>
            <w:tcW w:w="1809" w:type="dxa"/>
          </w:tcPr>
          <w:p w14:paraId="166731ED" w14:textId="77777777" w:rsidR="00091E1A" w:rsidRPr="00FD119B" w:rsidRDefault="00091E1A" w:rsidP="00B848D8">
            <w:pPr>
              <w:ind w:left="144"/>
            </w:pPr>
            <w:r>
              <w:t>DRG</w:t>
            </w:r>
          </w:p>
        </w:tc>
        <w:tc>
          <w:tcPr>
            <w:tcW w:w="6911" w:type="dxa"/>
          </w:tcPr>
          <w:p w14:paraId="0FF3100A" w14:textId="77777777" w:rsidR="00091E1A" w:rsidRPr="00FD119B" w:rsidRDefault="00091E1A" w:rsidP="00B848D8">
            <w:pPr>
              <w:ind w:left="144"/>
            </w:pPr>
            <w:r>
              <w:t>Dorsal root ganglia</w:t>
            </w:r>
          </w:p>
        </w:tc>
      </w:tr>
      <w:tr w:rsidR="00091E1A" w:rsidRPr="00FD119B" w14:paraId="0698A6FC" w14:textId="77777777" w:rsidTr="00FD119B">
        <w:tc>
          <w:tcPr>
            <w:tcW w:w="1809" w:type="dxa"/>
          </w:tcPr>
          <w:p w14:paraId="76C5F48F" w14:textId="77777777" w:rsidR="00091E1A" w:rsidRPr="00FD119B" w:rsidRDefault="00091E1A" w:rsidP="00B848D8">
            <w:pPr>
              <w:ind w:left="144"/>
            </w:pPr>
            <w:r>
              <w:t>ECG</w:t>
            </w:r>
          </w:p>
        </w:tc>
        <w:tc>
          <w:tcPr>
            <w:tcW w:w="6911" w:type="dxa"/>
          </w:tcPr>
          <w:p w14:paraId="234419A5" w14:textId="5DC44EB1" w:rsidR="00091E1A" w:rsidRPr="00FD119B" w:rsidRDefault="003958B0" w:rsidP="00B848D8">
            <w:pPr>
              <w:ind w:left="144"/>
            </w:pPr>
            <w:r>
              <w:t>Electrocardiogram</w:t>
            </w:r>
          </w:p>
        </w:tc>
      </w:tr>
      <w:tr w:rsidR="00091E1A" w:rsidRPr="00FD119B" w14:paraId="68B542A3" w14:textId="77777777" w:rsidTr="00FD119B">
        <w:tc>
          <w:tcPr>
            <w:tcW w:w="1809" w:type="dxa"/>
          </w:tcPr>
          <w:p w14:paraId="294AD56F" w14:textId="77777777" w:rsidR="00091E1A" w:rsidRPr="00FD119B" w:rsidRDefault="00091E1A" w:rsidP="00B848D8">
            <w:pPr>
              <w:ind w:left="144"/>
            </w:pPr>
            <w:r>
              <w:t>ELISA</w:t>
            </w:r>
          </w:p>
        </w:tc>
        <w:tc>
          <w:tcPr>
            <w:tcW w:w="6911" w:type="dxa"/>
          </w:tcPr>
          <w:p w14:paraId="36EACC88" w14:textId="77777777" w:rsidR="00091E1A" w:rsidRPr="00FD119B" w:rsidRDefault="00091E1A" w:rsidP="00B848D8">
            <w:pPr>
              <w:ind w:left="144"/>
            </w:pPr>
            <w:r>
              <w:t>Enzyme linked immunosorbent assay</w:t>
            </w:r>
          </w:p>
        </w:tc>
      </w:tr>
      <w:tr w:rsidR="00091E1A" w:rsidRPr="00FD119B" w14:paraId="5FD40011" w14:textId="77777777" w:rsidTr="00FD119B">
        <w:tc>
          <w:tcPr>
            <w:tcW w:w="1809" w:type="dxa"/>
          </w:tcPr>
          <w:p w14:paraId="0CCA6120" w14:textId="77777777" w:rsidR="00091E1A" w:rsidRPr="00FD119B" w:rsidRDefault="00091E1A" w:rsidP="00B848D8">
            <w:pPr>
              <w:ind w:left="144"/>
            </w:pPr>
            <w:r>
              <w:t>ELISpot</w:t>
            </w:r>
          </w:p>
        </w:tc>
        <w:tc>
          <w:tcPr>
            <w:tcW w:w="6911" w:type="dxa"/>
          </w:tcPr>
          <w:p w14:paraId="4AFCD068" w14:textId="77777777" w:rsidR="00091E1A" w:rsidRPr="00FD119B" w:rsidRDefault="00091E1A" w:rsidP="00B848D8">
            <w:pPr>
              <w:ind w:left="144"/>
            </w:pPr>
            <w:r>
              <w:t xml:space="preserve">Enzyme-linked </w:t>
            </w:r>
            <w:proofErr w:type="spellStart"/>
            <w:r>
              <w:t>immunospot</w:t>
            </w:r>
            <w:proofErr w:type="spellEnd"/>
          </w:p>
        </w:tc>
      </w:tr>
      <w:tr w:rsidR="00091E1A" w:rsidRPr="00FD119B" w14:paraId="0CDC52ED" w14:textId="77777777" w:rsidTr="00FD119B">
        <w:tc>
          <w:tcPr>
            <w:tcW w:w="1809" w:type="dxa"/>
          </w:tcPr>
          <w:p w14:paraId="631387A8" w14:textId="77777777" w:rsidR="00091E1A" w:rsidRPr="00FD119B" w:rsidRDefault="00091E1A" w:rsidP="00B848D8">
            <w:pPr>
              <w:ind w:left="144"/>
            </w:pPr>
            <w:r>
              <w:t>EMA</w:t>
            </w:r>
          </w:p>
        </w:tc>
        <w:tc>
          <w:tcPr>
            <w:tcW w:w="6911" w:type="dxa"/>
          </w:tcPr>
          <w:p w14:paraId="7F481F0E" w14:textId="77777777" w:rsidR="00091E1A" w:rsidRPr="00FD119B" w:rsidRDefault="00091E1A" w:rsidP="00B848D8">
            <w:pPr>
              <w:ind w:left="144"/>
            </w:pPr>
            <w:r>
              <w:t>European Medicines Agency (European Union)</w:t>
            </w:r>
          </w:p>
        </w:tc>
      </w:tr>
      <w:tr w:rsidR="00091E1A" w:rsidRPr="00FD119B" w14:paraId="07DC83A2" w14:textId="77777777" w:rsidTr="00FD119B">
        <w:tc>
          <w:tcPr>
            <w:tcW w:w="1809" w:type="dxa"/>
          </w:tcPr>
          <w:p w14:paraId="7B6604DE" w14:textId="77777777" w:rsidR="00091E1A" w:rsidRPr="00FD119B" w:rsidRDefault="00091E1A" w:rsidP="00B848D8">
            <w:pPr>
              <w:ind w:left="144" w:right="0"/>
            </w:pPr>
            <w:r>
              <w:t>EPAR</w:t>
            </w:r>
          </w:p>
        </w:tc>
        <w:tc>
          <w:tcPr>
            <w:tcW w:w="6911" w:type="dxa"/>
          </w:tcPr>
          <w:p w14:paraId="13D5B063" w14:textId="0A6C15E4" w:rsidR="00091E1A" w:rsidRDefault="00091E1A" w:rsidP="00B848D8">
            <w:pPr>
              <w:ind w:left="144" w:right="0"/>
            </w:pPr>
            <w:r w:rsidRPr="00091E1A">
              <w:t>European Public Assessment Report (</w:t>
            </w:r>
            <w:r>
              <w:t>European Medicines Agency</w:t>
            </w:r>
            <w:r w:rsidR="00463F8D">
              <w:t>, European Union</w:t>
            </w:r>
            <w:r w:rsidRPr="00091E1A">
              <w:t>)</w:t>
            </w:r>
          </w:p>
        </w:tc>
      </w:tr>
      <w:tr w:rsidR="00091E1A" w:rsidRPr="00FD119B" w14:paraId="61097E62" w14:textId="77777777" w:rsidTr="00FD119B">
        <w:tc>
          <w:tcPr>
            <w:tcW w:w="1809" w:type="dxa"/>
          </w:tcPr>
          <w:p w14:paraId="31B2A423" w14:textId="77777777" w:rsidR="00091E1A" w:rsidRPr="00FD119B" w:rsidRDefault="00091E1A" w:rsidP="00B848D8">
            <w:pPr>
              <w:ind w:left="144"/>
            </w:pPr>
            <w:r>
              <w:t>EU</w:t>
            </w:r>
          </w:p>
        </w:tc>
        <w:tc>
          <w:tcPr>
            <w:tcW w:w="6911" w:type="dxa"/>
          </w:tcPr>
          <w:p w14:paraId="2D4F94BA" w14:textId="08F4E844" w:rsidR="00091E1A" w:rsidRPr="00FD119B" w:rsidRDefault="003958B0" w:rsidP="00B848D8">
            <w:pPr>
              <w:ind w:left="144"/>
            </w:pPr>
            <w:r>
              <w:t>European Union</w:t>
            </w:r>
          </w:p>
        </w:tc>
      </w:tr>
      <w:tr w:rsidR="00091E1A" w:rsidRPr="00FD119B" w14:paraId="19C1C94A" w14:textId="77777777" w:rsidTr="00FD119B">
        <w:tc>
          <w:tcPr>
            <w:tcW w:w="1809" w:type="dxa"/>
          </w:tcPr>
          <w:p w14:paraId="44425523" w14:textId="77777777" w:rsidR="00091E1A" w:rsidRPr="00FD119B" w:rsidRDefault="00091E1A" w:rsidP="00B848D8">
            <w:pPr>
              <w:ind w:left="144" w:right="0"/>
            </w:pPr>
            <w:r>
              <w:t>FDA</w:t>
            </w:r>
          </w:p>
        </w:tc>
        <w:tc>
          <w:tcPr>
            <w:tcW w:w="6911" w:type="dxa"/>
          </w:tcPr>
          <w:p w14:paraId="3FC8E9E5" w14:textId="77777777" w:rsidR="00091E1A" w:rsidRDefault="00091E1A" w:rsidP="00B848D8">
            <w:pPr>
              <w:ind w:left="144" w:right="0"/>
            </w:pPr>
            <w:r>
              <w:t>Food and Drug Administration (United States)</w:t>
            </w:r>
          </w:p>
        </w:tc>
      </w:tr>
      <w:tr w:rsidR="00091E1A" w:rsidRPr="00FD119B" w14:paraId="6F405981" w14:textId="77777777" w:rsidTr="00FD119B">
        <w:tc>
          <w:tcPr>
            <w:tcW w:w="1809" w:type="dxa"/>
          </w:tcPr>
          <w:p w14:paraId="3A53E038" w14:textId="77777777" w:rsidR="00091E1A" w:rsidRPr="00FD119B" w:rsidRDefault="00091E1A" w:rsidP="00B848D8">
            <w:pPr>
              <w:ind w:left="144"/>
            </w:pPr>
            <w:r>
              <w:t>GGT</w:t>
            </w:r>
          </w:p>
        </w:tc>
        <w:tc>
          <w:tcPr>
            <w:tcW w:w="6911" w:type="dxa"/>
          </w:tcPr>
          <w:p w14:paraId="3ECD90FF" w14:textId="77777777" w:rsidR="00091E1A" w:rsidRPr="00FD119B" w:rsidRDefault="00091E1A" w:rsidP="00B848D8">
            <w:pPr>
              <w:ind w:left="144"/>
            </w:pPr>
            <w:r>
              <w:t>Gamma-glutamyl transferase</w:t>
            </w:r>
          </w:p>
        </w:tc>
      </w:tr>
      <w:tr w:rsidR="00091E1A" w:rsidRPr="00FD119B" w14:paraId="57A62AFF" w14:textId="77777777" w:rsidTr="00FD119B">
        <w:tc>
          <w:tcPr>
            <w:tcW w:w="1809" w:type="dxa"/>
          </w:tcPr>
          <w:p w14:paraId="12B6A606" w14:textId="77777777" w:rsidR="00091E1A" w:rsidRPr="00FD119B" w:rsidRDefault="00091E1A" w:rsidP="00B848D8">
            <w:pPr>
              <w:ind w:left="144"/>
            </w:pPr>
            <w:r>
              <w:t>GLP</w:t>
            </w:r>
          </w:p>
        </w:tc>
        <w:tc>
          <w:tcPr>
            <w:tcW w:w="6911" w:type="dxa"/>
          </w:tcPr>
          <w:p w14:paraId="040BE6E9" w14:textId="77777777" w:rsidR="00091E1A" w:rsidRPr="00FD119B" w:rsidRDefault="00091E1A" w:rsidP="00B848D8">
            <w:pPr>
              <w:ind w:left="144"/>
            </w:pPr>
            <w:r>
              <w:t>Good Laboratory Practice</w:t>
            </w:r>
          </w:p>
        </w:tc>
      </w:tr>
      <w:tr w:rsidR="00091E1A" w:rsidRPr="00FD119B" w14:paraId="7EF89D29" w14:textId="77777777" w:rsidTr="00FD119B">
        <w:tc>
          <w:tcPr>
            <w:tcW w:w="1809" w:type="dxa"/>
          </w:tcPr>
          <w:p w14:paraId="1CCC54E0" w14:textId="77777777" w:rsidR="00091E1A" w:rsidRPr="00FD119B" w:rsidRDefault="00091E1A" w:rsidP="00B848D8">
            <w:pPr>
              <w:ind w:left="144"/>
            </w:pPr>
            <w:r>
              <w:t>GMO</w:t>
            </w:r>
          </w:p>
        </w:tc>
        <w:tc>
          <w:tcPr>
            <w:tcW w:w="6911" w:type="dxa"/>
          </w:tcPr>
          <w:p w14:paraId="65E0DFDA" w14:textId="77777777" w:rsidR="00091E1A" w:rsidRPr="00FD119B" w:rsidRDefault="00091E1A" w:rsidP="00B848D8">
            <w:pPr>
              <w:ind w:left="144"/>
            </w:pPr>
            <w:r>
              <w:t>Genetically modified organism</w:t>
            </w:r>
          </w:p>
        </w:tc>
      </w:tr>
      <w:tr w:rsidR="00091E1A" w:rsidRPr="00FD119B" w14:paraId="28CA44F5" w14:textId="77777777" w:rsidTr="00FD119B">
        <w:tc>
          <w:tcPr>
            <w:tcW w:w="1809" w:type="dxa"/>
          </w:tcPr>
          <w:p w14:paraId="22B22E79" w14:textId="77777777" w:rsidR="00091E1A" w:rsidRPr="00FD119B" w:rsidRDefault="00091E1A" w:rsidP="00B848D8">
            <w:pPr>
              <w:ind w:left="144" w:right="0"/>
            </w:pPr>
            <w:r>
              <w:t>GVP</w:t>
            </w:r>
          </w:p>
        </w:tc>
        <w:tc>
          <w:tcPr>
            <w:tcW w:w="6911" w:type="dxa"/>
          </w:tcPr>
          <w:p w14:paraId="28ADA61C" w14:textId="7BE1F850" w:rsidR="00091E1A" w:rsidRDefault="00091E1A" w:rsidP="00B848D8">
            <w:pPr>
              <w:ind w:left="144" w:right="0"/>
            </w:pPr>
            <w:r>
              <w:t>Good Pharmacovigilance Practice</w:t>
            </w:r>
            <w:r w:rsidR="003958B0">
              <w:t>(</w:t>
            </w:r>
            <w:r>
              <w:t>s</w:t>
            </w:r>
            <w:r w:rsidR="003958B0">
              <w:t>)</w:t>
            </w:r>
          </w:p>
        </w:tc>
      </w:tr>
      <w:tr w:rsidR="00091E1A" w:rsidRPr="00FD119B" w14:paraId="6E284CAE" w14:textId="77777777" w:rsidTr="00FD119B">
        <w:tc>
          <w:tcPr>
            <w:tcW w:w="1809" w:type="dxa"/>
          </w:tcPr>
          <w:p w14:paraId="72C43B19" w14:textId="77777777" w:rsidR="00091E1A" w:rsidRPr="00FD119B" w:rsidRDefault="00091E1A" w:rsidP="00B848D8">
            <w:pPr>
              <w:ind w:left="144"/>
            </w:pPr>
            <w:r>
              <w:t>IgG</w:t>
            </w:r>
          </w:p>
        </w:tc>
        <w:tc>
          <w:tcPr>
            <w:tcW w:w="6911" w:type="dxa"/>
          </w:tcPr>
          <w:p w14:paraId="6D1C34F3" w14:textId="77777777" w:rsidR="00091E1A" w:rsidRPr="00FD119B" w:rsidRDefault="00091E1A" w:rsidP="00B848D8">
            <w:pPr>
              <w:ind w:left="144"/>
            </w:pPr>
            <w:r>
              <w:t>Immunoglobulin G</w:t>
            </w:r>
          </w:p>
        </w:tc>
      </w:tr>
      <w:tr w:rsidR="00091E1A" w:rsidRPr="00FD119B" w14:paraId="0CC9A0E7" w14:textId="77777777" w:rsidTr="00FD119B">
        <w:tc>
          <w:tcPr>
            <w:tcW w:w="1809" w:type="dxa"/>
          </w:tcPr>
          <w:p w14:paraId="1B129989" w14:textId="77777777" w:rsidR="00091E1A" w:rsidRPr="00FD119B" w:rsidRDefault="00091E1A" w:rsidP="00B848D8">
            <w:pPr>
              <w:ind w:left="144"/>
            </w:pPr>
            <w:r>
              <w:t>IT</w:t>
            </w:r>
          </w:p>
        </w:tc>
        <w:tc>
          <w:tcPr>
            <w:tcW w:w="6911" w:type="dxa"/>
          </w:tcPr>
          <w:p w14:paraId="3398ED05" w14:textId="77777777" w:rsidR="00091E1A" w:rsidRPr="00FD119B" w:rsidRDefault="00091E1A" w:rsidP="00B848D8">
            <w:pPr>
              <w:ind w:left="144"/>
            </w:pPr>
            <w:r>
              <w:rPr>
                <w:lang w:eastAsia="ja-JP"/>
              </w:rPr>
              <w:t>Intrathecal(</w:t>
            </w:r>
            <w:proofErr w:type="spellStart"/>
            <w:r>
              <w:rPr>
                <w:lang w:eastAsia="ja-JP"/>
              </w:rPr>
              <w:t>ly</w:t>
            </w:r>
            <w:proofErr w:type="spellEnd"/>
            <w:r>
              <w:rPr>
                <w:lang w:eastAsia="ja-JP"/>
              </w:rPr>
              <w:t>)</w:t>
            </w:r>
          </w:p>
        </w:tc>
      </w:tr>
      <w:tr w:rsidR="00091E1A" w:rsidRPr="00FD119B" w14:paraId="3C82B8D4" w14:textId="77777777" w:rsidTr="00FD119B">
        <w:tc>
          <w:tcPr>
            <w:tcW w:w="1809" w:type="dxa"/>
          </w:tcPr>
          <w:p w14:paraId="2E2E675B" w14:textId="77777777" w:rsidR="00091E1A" w:rsidRPr="00FD119B" w:rsidRDefault="00091E1A" w:rsidP="00B848D8">
            <w:pPr>
              <w:ind w:left="144"/>
            </w:pPr>
            <w:r>
              <w:t>ITT</w:t>
            </w:r>
          </w:p>
        </w:tc>
        <w:tc>
          <w:tcPr>
            <w:tcW w:w="6911" w:type="dxa"/>
          </w:tcPr>
          <w:p w14:paraId="453FD2B1" w14:textId="77777777" w:rsidR="00091E1A" w:rsidRPr="00FD119B" w:rsidRDefault="00091E1A" w:rsidP="00B848D8">
            <w:pPr>
              <w:ind w:left="144"/>
            </w:pPr>
            <w:r>
              <w:t>Intent to treat</w:t>
            </w:r>
          </w:p>
        </w:tc>
      </w:tr>
      <w:tr w:rsidR="00091E1A" w:rsidRPr="00FD119B" w14:paraId="0BC01620" w14:textId="77777777" w:rsidTr="00FD119B">
        <w:tc>
          <w:tcPr>
            <w:tcW w:w="1809" w:type="dxa"/>
          </w:tcPr>
          <w:p w14:paraId="7DF95F66" w14:textId="77777777" w:rsidR="00091E1A" w:rsidRPr="00FD119B" w:rsidRDefault="00091E1A" w:rsidP="00B848D8">
            <w:pPr>
              <w:ind w:left="144"/>
            </w:pPr>
            <w:r>
              <w:t>IV</w:t>
            </w:r>
          </w:p>
        </w:tc>
        <w:tc>
          <w:tcPr>
            <w:tcW w:w="6911" w:type="dxa"/>
          </w:tcPr>
          <w:p w14:paraId="62CDC9B5" w14:textId="77777777" w:rsidR="00091E1A" w:rsidRPr="00FD119B" w:rsidRDefault="00091E1A" w:rsidP="00B848D8">
            <w:pPr>
              <w:ind w:left="144"/>
            </w:pPr>
            <w:r>
              <w:t>Intravenous(</w:t>
            </w:r>
            <w:proofErr w:type="spellStart"/>
            <w:r>
              <w:t>ly</w:t>
            </w:r>
            <w:proofErr w:type="spellEnd"/>
            <w:r>
              <w:t>)</w:t>
            </w:r>
          </w:p>
        </w:tc>
      </w:tr>
      <w:tr w:rsidR="00091E1A" w:rsidRPr="00FD119B" w14:paraId="12B6543E" w14:textId="77777777" w:rsidTr="00FD119B">
        <w:tc>
          <w:tcPr>
            <w:tcW w:w="1809" w:type="dxa"/>
          </w:tcPr>
          <w:p w14:paraId="631D7648" w14:textId="77777777" w:rsidR="00091E1A" w:rsidRPr="00FD119B" w:rsidRDefault="00091E1A" w:rsidP="00B848D8">
            <w:pPr>
              <w:ind w:left="144" w:right="0"/>
            </w:pPr>
            <w:r>
              <w:rPr>
                <w:lang w:eastAsia="ja-JP"/>
              </w:rPr>
              <w:t>MAP</w:t>
            </w:r>
          </w:p>
        </w:tc>
        <w:tc>
          <w:tcPr>
            <w:tcW w:w="6911" w:type="dxa"/>
          </w:tcPr>
          <w:p w14:paraId="7C4F8BE2" w14:textId="77777777" w:rsidR="00091E1A" w:rsidRDefault="00091E1A" w:rsidP="00B848D8">
            <w:pPr>
              <w:ind w:left="144" w:right="0"/>
            </w:pPr>
            <w:r>
              <w:rPr>
                <w:lang w:eastAsia="ja-JP"/>
              </w:rPr>
              <w:t>Managed Access Program</w:t>
            </w:r>
          </w:p>
        </w:tc>
      </w:tr>
      <w:tr w:rsidR="00091E1A" w:rsidRPr="00FD119B" w14:paraId="0966E986" w14:textId="77777777" w:rsidTr="00FD119B">
        <w:tc>
          <w:tcPr>
            <w:tcW w:w="1809" w:type="dxa"/>
          </w:tcPr>
          <w:p w14:paraId="77CA7ACE" w14:textId="77777777" w:rsidR="00091E1A" w:rsidRPr="00FD119B" w:rsidRDefault="00091E1A" w:rsidP="00B848D8">
            <w:pPr>
              <w:ind w:left="144" w:right="0"/>
            </w:pPr>
            <w:r w:rsidRPr="0058715D">
              <w:t>MedDRA</w:t>
            </w:r>
          </w:p>
        </w:tc>
        <w:tc>
          <w:tcPr>
            <w:tcW w:w="6911" w:type="dxa"/>
          </w:tcPr>
          <w:p w14:paraId="2DD61817" w14:textId="77777777" w:rsidR="00091E1A" w:rsidRDefault="00091E1A" w:rsidP="00B848D8">
            <w:pPr>
              <w:ind w:left="144" w:right="0"/>
            </w:pPr>
            <w:r w:rsidRPr="0058715D">
              <w:t>Medical Dictionary for Regulatory Activities</w:t>
            </w:r>
          </w:p>
        </w:tc>
      </w:tr>
      <w:tr w:rsidR="00091E1A" w:rsidRPr="00FD119B" w14:paraId="378DD865" w14:textId="77777777" w:rsidTr="00FD119B">
        <w:tc>
          <w:tcPr>
            <w:tcW w:w="1809" w:type="dxa"/>
          </w:tcPr>
          <w:p w14:paraId="4C1971E0" w14:textId="77777777" w:rsidR="00091E1A" w:rsidRPr="00FD119B" w:rsidRDefault="00091E1A" w:rsidP="00B848D8">
            <w:pPr>
              <w:ind w:left="144" w:right="0"/>
            </w:pPr>
            <w:r>
              <w:t>NSQHS</w:t>
            </w:r>
          </w:p>
        </w:tc>
        <w:tc>
          <w:tcPr>
            <w:tcW w:w="6911" w:type="dxa"/>
          </w:tcPr>
          <w:p w14:paraId="0732810F" w14:textId="77777777" w:rsidR="00091E1A" w:rsidRDefault="00091E1A" w:rsidP="00B848D8">
            <w:pPr>
              <w:ind w:left="144" w:right="0"/>
            </w:pPr>
            <w:r>
              <w:t>National Safety and Quality Health Service</w:t>
            </w:r>
          </w:p>
        </w:tc>
      </w:tr>
      <w:tr w:rsidR="00091E1A" w:rsidRPr="00FD119B" w14:paraId="2769DA25" w14:textId="77777777" w:rsidTr="00FD119B">
        <w:tc>
          <w:tcPr>
            <w:tcW w:w="1809" w:type="dxa"/>
          </w:tcPr>
          <w:p w14:paraId="57B35A28" w14:textId="77777777" w:rsidR="00091E1A" w:rsidRPr="00FD119B" w:rsidRDefault="00091E1A" w:rsidP="00B848D8">
            <w:pPr>
              <w:ind w:left="144"/>
            </w:pPr>
            <w:r>
              <w:t>OGTR</w:t>
            </w:r>
          </w:p>
        </w:tc>
        <w:tc>
          <w:tcPr>
            <w:tcW w:w="6911" w:type="dxa"/>
          </w:tcPr>
          <w:p w14:paraId="1696849B" w14:textId="77777777" w:rsidR="00091E1A" w:rsidRPr="00FD119B" w:rsidRDefault="00091E1A" w:rsidP="00B848D8">
            <w:pPr>
              <w:ind w:left="144"/>
            </w:pPr>
            <w:r>
              <w:rPr>
                <w:rFonts w:cs="CourierHP"/>
              </w:rPr>
              <w:t>Office of the Gene Technology Regulator</w:t>
            </w:r>
          </w:p>
        </w:tc>
      </w:tr>
      <w:tr w:rsidR="00091E1A" w:rsidRPr="00FD119B" w14:paraId="07E6B7D9" w14:textId="77777777" w:rsidTr="00FD119B">
        <w:tc>
          <w:tcPr>
            <w:tcW w:w="1809" w:type="dxa"/>
          </w:tcPr>
          <w:p w14:paraId="22E27AE2" w14:textId="77777777" w:rsidR="00091E1A" w:rsidRPr="00FD119B" w:rsidRDefault="00091E1A" w:rsidP="00B848D8">
            <w:pPr>
              <w:ind w:left="144"/>
            </w:pPr>
            <w:r>
              <w:t>PI</w:t>
            </w:r>
          </w:p>
        </w:tc>
        <w:tc>
          <w:tcPr>
            <w:tcW w:w="6911" w:type="dxa"/>
          </w:tcPr>
          <w:p w14:paraId="659107D7" w14:textId="77777777" w:rsidR="00091E1A" w:rsidRPr="00FD119B" w:rsidRDefault="00091E1A" w:rsidP="00B848D8">
            <w:pPr>
              <w:ind w:left="144"/>
            </w:pPr>
            <w:r>
              <w:t>Product Information</w:t>
            </w:r>
          </w:p>
        </w:tc>
      </w:tr>
      <w:tr w:rsidR="00091E1A" w:rsidRPr="00FD119B" w14:paraId="7BC5D51E" w14:textId="77777777" w:rsidTr="00FD119B">
        <w:tc>
          <w:tcPr>
            <w:tcW w:w="1809" w:type="dxa"/>
          </w:tcPr>
          <w:p w14:paraId="3927B329" w14:textId="77777777" w:rsidR="00091E1A" w:rsidRPr="00FD119B" w:rsidRDefault="00091E1A" w:rsidP="00B848D8">
            <w:pPr>
              <w:ind w:left="144"/>
            </w:pPr>
            <w:r>
              <w:t>PNCR</w:t>
            </w:r>
          </w:p>
        </w:tc>
        <w:tc>
          <w:tcPr>
            <w:tcW w:w="6911" w:type="dxa"/>
          </w:tcPr>
          <w:p w14:paraId="4310EFA1" w14:textId="77777777" w:rsidR="00091E1A" w:rsidRPr="00FD119B" w:rsidRDefault="00091E1A" w:rsidP="00B848D8">
            <w:pPr>
              <w:ind w:left="144"/>
            </w:pPr>
            <w:r>
              <w:t>Paediatric Neuromuscular Clinical Research</w:t>
            </w:r>
          </w:p>
        </w:tc>
      </w:tr>
      <w:tr w:rsidR="00091E1A" w:rsidRPr="00FD119B" w14:paraId="4CB63325" w14:textId="77777777" w:rsidTr="00FD119B">
        <w:tc>
          <w:tcPr>
            <w:tcW w:w="1809" w:type="dxa"/>
          </w:tcPr>
          <w:p w14:paraId="6F8DD3BC" w14:textId="77777777" w:rsidR="00091E1A" w:rsidRPr="00FD119B" w:rsidRDefault="00091E1A" w:rsidP="00B848D8">
            <w:pPr>
              <w:ind w:left="144" w:right="0"/>
            </w:pPr>
            <w:r>
              <w:t>RMP</w:t>
            </w:r>
          </w:p>
        </w:tc>
        <w:tc>
          <w:tcPr>
            <w:tcW w:w="6911" w:type="dxa"/>
          </w:tcPr>
          <w:p w14:paraId="2F00CC9B" w14:textId="77777777" w:rsidR="00091E1A" w:rsidRDefault="00091E1A" w:rsidP="00B848D8">
            <w:pPr>
              <w:ind w:left="144" w:right="0"/>
            </w:pPr>
            <w:r>
              <w:t>Risk management plan</w:t>
            </w:r>
          </w:p>
        </w:tc>
      </w:tr>
      <w:tr w:rsidR="00091E1A" w:rsidRPr="00FD119B" w14:paraId="26986474" w14:textId="77777777" w:rsidTr="00FD119B">
        <w:tc>
          <w:tcPr>
            <w:tcW w:w="1809" w:type="dxa"/>
          </w:tcPr>
          <w:p w14:paraId="04D4EE4F" w14:textId="77777777" w:rsidR="00091E1A" w:rsidRPr="00FD119B" w:rsidRDefault="00091E1A" w:rsidP="00B848D8">
            <w:pPr>
              <w:ind w:left="144" w:right="0"/>
            </w:pPr>
            <w:r>
              <w:t>RSV</w:t>
            </w:r>
          </w:p>
        </w:tc>
        <w:tc>
          <w:tcPr>
            <w:tcW w:w="6911" w:type="dxa"/>
          </w:tcPr>
          <w:p w14:paraId="77C6F455" w14:textId="77777777" w:rsidR="00091E1A" w:rsidRDefault="00091E1A" w:rsidP="00B848D8">
            <w:pPr>
              <w:ind w:left="144" w:right="0"/>
            </w:pPr>
            <w:r>
              <w:rPr>
                <w:lang w:eastAsia="ja-JP"/>
              </w:rPr>
              <w:t>Respiratory syncytial virus</w:t>
            </w:r>
          </w:p>
        </w:tc>
      </w:tr>
      <w:tr w:rsidR="00091E1A" w:rsidRPr="00FD119B" w14:paraId="37B8A223" w14:textId="77777777" w:rsidTr="00FD119B">
        <w:tc>
          <w:tcPr>
            <w:tcW w:w="1809" w:type="dxa"/>
          </w:tcPr>
          <w:p w14:paraId="3F528E7B" w14:textId="77777777" w:rsidR="00091E1A" w:rsidRPr="00FD119B" w:rsidRDefault="00091E1A" w:rsidP="00B848D8">
            <w:pPr>
              <w:ind w:left="144" w:right="0"/>
            </w:pPr>
            <w:r>
              <w:t>SAE</w:t>
            </w:r>
          </w:p>
        </w:tc>
        <w:tc>
          <w:tcPr>
            <w:tcW w:w="6911" w:type="dxa"/>
          </w:tcPr>
          <w:p w14:paraId="5D30E471" w14:textId="77777777" w:rsidR="00091E1A" w:rsidRDefault="00091E1A" w:rsidP="00B848D8">
            <w:pPr>
              <w:ind w:left="144" w:right="0"/>
            </w:pPr>
            <w:r>
              <w:rPr>
                <w:lang w:eastAsia="ja-JP"/>
              </w:rPr>
              <w:t>Serious adverse event</w:t>
            </w:r>
          </w:p>
        </w:tc>
      </w:tr>
      <w:tr w:rsidR="00091E1A" w:rsidRPr="00FD119B" w14:paraId="0E245A40" w14:textId="77777777" w:rsidTr="00FD119B">
        <w:tc>
          <w:tcPr>
            <w:tcW w:w="1809" w:type="dxa"/>
          </w:tcPr>
          <w:p w14:paraId="4130DF73" w14:textId="77777777" w:rsidR="00091E1A" w:rsidRPr="00FD119B" w:rsidRDefault="00091E1A" w:rsidP="00B848D8">
            <w:pPr>
              <w:ind w:left="144" w:right="0"/>
              <w:rPr>
                <w:color w:val="auto"/>
                <w:szCs w:val="22"/>
                <w:lang w:eastAsia="en-US"/>
              </w:rPr>
            </w:pPr>
            <w:r>
              <w:t>SMA</w:t>
            </w:r>
          </w:p>
        </w:tc>
        <w:tc>
          <w:tcPr>
            <w:tcW w:w="6911" w:type="dxa"/>
          </w:tcPr>
          <w:p w14:paraId="0AF9043D" w14:textId="77777777" w:rsidR="00091E1A" w:rsidRPr="00FD119B" w:rsidRDefault="00091E1A" w:rsidP="00B848D8">
            <w:pPr>
              <w:ind w:left="144" w:right="0"/>
              <w:rPr>
                <w:color w:val="auto"/>
                <w:szCs w:val="22"/>
                <w:lang w:eastAsia="en-US"/>
              </w:rPr>
            </w:pPr>
            <w:r>
              <w:t>Spinal muscular atrophy</w:t>
            </w:r>
          </w:p>
        </w:tc>
      </w:tr>
      <w:tr w:rsidR="00091E1A" w:rsidRPr="00FD119B" w14:paraId="76742552" w14:textId="77777777" w:rsidTr="00FD119B">
        <w:tc>
          <w:tcPr>
            <w:tcW w:w="1809" w:type="dxa"/>
          </w:tcPr>
          <w:p w14:paraId="23A704AC" w14:textId="77777777" w:rsidR="00091E1A" w:rsidRPr="00FD119B" w:rsidRDefault="00091E1A" w:rsidP="00B848D8">
            <w:pPr>
              <w:ind w:left="144"/>
            </w:pPr>
            <w:r>
              <w:t>SMN</w:t>
            </w:r>
          </w:p>
        </w:tc>
        <w:tc>
          <w:tcPr>
            <w:tcW w:w="6911" w:type="dxa"/>
          </w:tcPr>
          <w:p w14:paraId="596AEF88" w14:textId="77777777" w:rsidR="00091E1A" w:rsidRPr="00FD119B" w:rsidRDefault="00091E1A" w:rsidP="00B848D8">
            <w:pPr>
              <w:ind w:left="144"/>
            </w:pPr>
            <w:r>
              <w:t>Survival motor neuron</w:t>
            </w:r>
          </w:p>
        </w:tc>
      </w:tr>
      <w:tr w:rsidR="00091E1A" w:rsidRPr="00FD119B" w14:paraId="7B55F905" w14:textId="77777777" w:rsidTr="00FD119B">
        <w:tc>
          <w:tcPr>
            <w:tcW w:w="1809" w:type="dxa"/>
          </w:tcPr>
          <w:p w14:paraId="60C8B0B9" w14:textId="77777777" w:rsidR="00091E1A" w:rsidRPr="00FD119B" w:rsidRDefault="00091E1A" w:rsidP="00B848D8">
            <w:pPr>
              <w:ind w:left="144"/>
            </w:pPr>
            <w:r w:rsidRPr="00C04933">
              <w:t>SMN1</w:t>
            </w:r>
          </w:p>
        </w:tc>
        <w:tc>
          <w:tcPr>
            <w:tcW w:w="6911" w:type="dxa"/>
          </w:tcPr>
          <w:p w14:paraId="0E30A5D1" w14:textId="77777777" w:rsidR="00091E1A" w:rsidRPr="00FD119B" w:rsidRDefault="00091E1A" w:rsidP="00B848D8">
            <w:pPr>
              <w:ind w:left="144"/>
            </w:pPr>
            <w:r>
              <w:t>Survival motor neuron 1</w:t>
            </w:r>
          </w:p>
        </w:tc>
      </w:tr>
      <w:tr w:rsidR="00091E1A" w:rsidRPr="00FD119B" w14:paraId="45B25A94" w14:textId="77777777" w:rsidTr="00FD119B">
        <w:tc>
          <w:tcPr>
            <w:tcW w:w="1809" w:type="dxa"/>
          </w:tcPr>
          <w:p w14:paraId="2C3F3A91" w14:textId="77777777" w:rsidR="00091E1A" w:rsidRPr="00FD119B" w:rsidRDefault="00091E1A" w:rsidP="00B848D8">
            <w:pPr>
              <w:ind w:left="144"/>
            </w:pPr>
            <w:r>
              <w:t>SMN2</w:t>
            </w:r>
          </w:p>
        </w:tc>
        <w:tc>
          <w:tcPr>
            <w:tcW w:w="6911" w:type="dxa"/>
          </w:tcPr>
          <w:p w14:paraId="10B688FF" w14:textId="77777777" w:rsidR="00091E1A" w:rsidRPr="00FD119B" w:rsidRDefault="00091E1A" w:rsidP="00B848D8">
            <w:pPr>
              <w:ind w:left="144"/>
            </w:pPr>
            <w:r>
              <w:t>Survival motor neuron 2</w:t>
            </w:r>
          </w:p>
        </w:tc>
      </w:tr>
      <w:tr w:rsidR="00C719B6" w:rsidRPr="00FD119B" w14:paraId="6241CF85" w14:textId="77777777" w:rsidTr="00FD119B">
        <w:tc>
          <w:tcPr>
            <w:tcW w:w="1809" w:type="dxa"/>
          </w:tcPr>
          <w:p w14:paraId="733A3CA9" w14:textId="0457A7CA" w:rsidR="00C719B6" w:rsidRDefault="00C719B6" w:rsidP="00B848D8">
            <w:pPr>
              <w:ind w:left="144" w:right="0"/>
            </w:pPr>
            <w:r>
              <w:t>SmPC</w:t>
            </w:r>
          </w:p>
        </w:tc>
        <w:tc>
          <w:tcPr>
            <w:tcW w:w="6911" w:type="dxa"/>
          </w:tcPr>
          <w:p w14:paraId="1C3617F5" w14:textId="75829804" w:rsidR="00C719B6" w:rsidRDefault="00C719B6" w:rsidP="00B848D8">
            <w:pPr>
              <w:ind w:left="144" w:right="0"/>
            </w:pPr>
            <w:r>
              <w:t>S</w:t>
            </w:r>
            <w:r w:rsidRPr="00091E1A">
              <w:t>um</w:t>
            </w:r>
            <w:r>
              <w:t>mary of product characteristics</w:t>
            </w:r>
          </w:p>
        </w:tc>
      </w:tr>
      <w:tr w:rsidR="00091E1A" w:rsidRPr="00FD119B" w14:paraId="0165E515" w14:textId="77777777" w:rsidTr="00FD119B">
        <w:tc>
          <w:tcPr>
            <w:tcW w:w="1809" w:type="dxa"/>
          </w:tcPr>
          <w:p w14:paraId="6649C597" w14:textId="77777777" w:rsidR="00091E1A" w:rsidRPr="00FD119B" w:rsidRDefault="00091E1A" w:rsidP="00B848D8">
            <w:pPr>
              <w:ind w:left="144" w:right="0"/>
            </w:pPr>
            <w:r>
              <w:t>TEAE</w:t>
            </w:r>
          </w:p>
        </w:tc>
        <w:tc>
          <w:tcPr>
            <w:tcW w:w="6911" w:type="dxa"/>
          </w:tcPr>
          <w:p w14:paraId="372E2C4A" w14:textId="77777777" w:rsidR="00091E1A" w:rsidRDefault="00091E1A" w:rsidP="00B848D8">
            <w:pPr>
              <w:ind w:left="144" w:right="0"/>
            </w:pPr>
            <w:r>
              <w:t>Treatment emergent adverse event</w:t>
            </w:r>
          </w:p>
        </w:tc>
      </w:tr>
      <w:tr w:rsidR="00091E1A" w:rsidRPr="00FD119B" w14:paraId="762E79FE" w14:textId="77777777" w:rsidTr="00FD119B">
        <w:tc>
          <w:tcPr>
            <w:tcW w:w="1809" w:type="dxa"/>
          </w:tcPr>
          <w:p w14:paraId="3D121412" w14:textId="77777777" w:rsidR="00091E1A" w:rsidRPr="00FD119B" w:rsidRDefault="00091E1A" w:rsidP="00B848D8">
            <w:pPr>
              <w:ind w:left="144"/>
            </w:pPr>
            <w:r>
              <w:t>ULN</w:t>
            </w:r>
          </w:p>
        </w:tc>
        <w:tc>
          <w:tcPr>
            <w:tcW w:w="6911" w:type="dxa"/>
          </w:tcPr>
          <w:p w14:paraId="7998CE47" w14:textId="77777777" w:rsidR="00091E1A" w:rsidRPr="00FD119B" w:rsidRDefault="00091E1A" w:rsidP="00B848D8">
            <w:pPr>
              <w:ind w:left="144"/>
            </w:pPr>
            <w:r>
              <w:t>Upper limit of normal</w:t>
            </w:r>
          </w:p>
        </w:tc>
      </w:tr>
      <w:tr w:rsidR="00091E1A" w:rsidRPr="00FD119B" w14:paraId="63DB1F6A" w14:textId="77777777" w:rsidTr="00FD119B">
        <w:tc>
          <w:tcPr>
            <w:tcW w:w="1809" w:type="dxa"/>
          </w:tcPr>
          <w:p w14:paraId="700AFD62" w14:textId="77777777" w:rsidR="00091E1A" w:rsidRPr="00FD119B" w:rsidRDefault="00091E1A" w:rsidP="00B848D8">
            <w:pPr>
              <w:ind w:left="144"/>
            </w:pPr>
            <w:r>
              <w:t>US</w:t>
            </w:r>
          </w:p>
        </w:tc>
        <w:tc>
          <w:tcPr>
            <w:tcW w:w="6911" w:type="dxa"/>
          </w:tcPr>
          <w:p w14:paraId="70A77908" w14:textId="77777777" w:rsidR="00091E1A" w:rsidRPr="00FD119B" w:rsidRDefault="00091E1A" w:rsidP="00B848D8">
            <w:pPr>
              <w:ind w:left="144"/>
            </w:pPr>
            <w:r>
              <w:t>United States</w:t>
            </w:r>
          </w:p>
        </w:tc>
      </w:tr>
      <w:tr w:rsidR="00091E1A" w:rsidRPr="00FD119B" w14:paraId="4F90F684" w14:textId="77777777" w:rsidTr="00FD119B">
        <w:tc>
          <w:tcPr>
            <w:tcW w:w="1809" w:type="dxa"/>
          </w:tcPr>
          <w:p w14:paraId="68511AEB" w14:textId="77777777" w:rsidR="00091E1A" w:rsidRPr="00FD119B" w:rsidRDefault="00091E1A" w:rsidP="00B848D8">
            <w:pPr>
              <w:ind w:left="144"/>
            </w:pPr>
            <w:r>
              <w:t>vg</w:t>
            </w:r>
          </w:p>
        </w:tc>
        <w:tc>
          <w:tcPr>
            <w:tcW w:w="6911" w:type="dxa"/>
          </w:tcPr>
          <w:p w14:paraId="0A829B6A" w14:textId="77777777" w:rsidR="00091E1A" w:rsidRPr="00FD119B" w:rsidRDefault="00091E1A" w:rsidP="00B848D8">
            <w:pPr>
              <w:ind w:left="144"/>
            </w:pPr>
            <w:r>
              <w:t>Vector genomes</w:t>
            </w:r>
          </w:p>
        </w:tc>
      </w:tr>
      <w:tr w:rsidR="00091E1A" w:rsidRPr="00FD119B" w14:paraId="265BE3F9" w14:textId="77777777" w:rsidTr="00FD119B">
        <w:tc>
          <w:tcPr>
            <w:tcW w:w="1809" w:type="dxa"/>
          </w:tcPr>
          <w:p w14:paraId="074E0AF6" w14:textId="77777777" w:rsidR="00091E1A" w:rsidRPr="00FD119B" w:rsidRDefault="00091E1A" w:rsidP="00B848D8">
            <w:pPr>
              <w:ind w:left="144"/>
            </w:pPr>
            <w:r>
              <w:rPr>
                <w:rFonts w:asciiTheme="minorHAnsi" w:hAnsiTheme="minorHAnsi"/>
              </w:rPr>
              <w:t>vg/kg</w:t>
            </w:r>
          </w:p>
        </w:tc>
        <w:tc>
          <w:tcPr>
            <w:tcW w:w="6911" w:type="dxa"/>
          </w:tcPr>
          <w:p w14:paraId="58072D26" w14:textId="77777777" w:rsidR="00091E1A" w:rsidRPr="00FD119B" w:rsidRDefault="00091E1A" w:rsidP="00B848D8">
            <w:pPr>
              <w:ind w:left="144"/>
            </w:pPr>
            <w:r>
              <w:rPr>
                <w:rFonts w:asciiTheme="minorHAnsi" w:hAnsiTheme="minorHAnsi"/>
              </w:rPr>
              <w:t>Vector genomes per kilogram of body weight</w:t>
            </w:r>
          </w:p>
        </w:tc>
      </w:tr>
      <w:tr w:rsidR="00091E1A" w:rsidRPr="00FD119B" w14:paraId="72E9C8FF" w14:textId="77777777" w:rsidTr="00FD119B">
        <w:tc>
          <w:tcPr>
            <w:tcW w:w="1809" w:type="dxa"/>
          </w:tcPr>
          <w:p w14:paraId="2E4580C7" w14:textId="77777777" w:rsidR="00091E1A" w:rsidRPr="00FD119B" w:rsidRDefault="00091E1A" w:rsidP="00B848D8">
            <w:pPr>
              <w:ind w:left="144" w:right="0"/>
            </w:pPr>
            <w:r>
              <w:t>WHO</w:t>
            </w:r>
          </w:p>
        </w:tc>
        <w:tc>
          <w:tcPr>
            <w:tcW w:w="6911" w:type="dxa"/>
          </w:tcPr>
          <w:p w14:paraId="3B6A2A69" w14:textId="77777777" w:rsidR="00091E1A" w:rsidRDefault="00091E1A" w:rsidP="00B848D8">
            <w:pPr>
              <w:ind w:left="144" w:right="0"/>
            </w:pPr>
            <w:r>
              <w:t>World Health Organization</w:t>
            </w:r>
          </w:p>
        </w:tc>
      </w:tr>
    </w:tbl>
    <w:p w14:paraId="443D2C36" w14:textId="77777777" w:rsidR="00FD119B" w:rsidRDefault="00FD119B" w:rsidP="00FD119B"/>
    <w:p w14:paraId="79D5FE9D" w14:textId="77777777" w:rsidR="00FD119B" w:rsidRPr="00FD119B" w:rsidRDefault="00FD119B" w:rsidP="00FD119B">
      <w:pPr>
        <w:spacing w:before="0" w:after="200" w:line="0" w:lineRule="auto"/>
        <w:rPr>
          <w:b/>
          <w:i/>
          <w:sz w:val="24"/>
          <w:szCs w:val="24"/>
        </w:rPr>
      </w:pPr>
      <w:r w:rsidRPr="00FD119B">
        <w:rPr>
          <w:b/>
          <w:i/>
          <w:sz w:val="24"/>
          <w:szCs w:val="24"/>
        </w:rPr>
        <w:br w:type="page"/>
      </w:r>
    </w:p>
    <w:p w14:paraId="2195B590" w14:textId="77777777" w:rsidR="008E7846" w:rsidRDefault="00F53C07" w:rsidP="008E7846">
      <w:pPr>
        <w:pStyle w:val="Heading2"/>
      </w:pPr>
      <w:bookmarkStart w:id="9" w:name="_Toc69909584"/>
      <w:r>
        <w:t>I.</w:t>
      </w:r>
      <w:r w:rsidR="008E7846">
        <w:t xml:space="preserve"> Introduction to product submission</w:t>
      </w:r>
      <w:bookmarkEnd w:id="3"/>
      <w:bookmarkEnd w:id="0"/>
      <w:bookmarkEnd w:id="9"/>
    </w:p>
    <w:p w14:paraId="076317C7" w14:textId="77777777" w:rsidR="008E7846" w:rsidRDefault="008E7846" w:rsidP="008E7846">
      <w:pPr>
        <w:pStyle w:val="Heading3"/>
        <w:rPr>
          <w:lang w:eastAsia="en-AU"/>
        </w:rPr>
      </w:pPr>
      <w:bookmarkStart w:id="10" w:name="_Toc247691502"/>
      <w:bookmarkStart w:id="11" w:name="_Toc314842483"/>
      <w:bookmarkStart w:id="12" w:name="_Toc69909585"/>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9038D4" w:rsidRPr="003D1E62" w14:paraId="2416E02D" w14:textId="77777777" w:rsidTr="003735BC">
        <w:tc>
          <w:tcPr>
            <w:tcW w:w="2907" w:type="dxa"/>
          </w:tcPr>
          <w:p w14:paraId="7F93E530" w14:textId="77777777" w:rsidR="009038D4" w:rsidRPr="003D1E62" w:rsidRDefault="009038D4" w:rsidP="009038D4">
            <w:pPr>
              <w:rPr>
                <w:i/>
              </w:rPr>
            </w:pPr>
            <w:r>
              <w:rPr>
                <w:i/>
              </w:rPr>
              <w:t>Type of s</w:t>
            </w:r>
            <w:r w:rsidRPr="003D1E62">
              <w:rPr>
                <w:i/>
              </w:rPr>
              <w:t>ubmission</w:t>
            </w:r>
            <w:r>
              <w:rPr>
                <w:i/>
              </w:rPr>
              <w:t>:</w:t>
            </w:r>
          </w:p>
        </w:tc>
        <w:tc>
          <w:tcPr>
            <w:tcW w:w="6307" w:type="dxa"/>
          </w:tcPr>
          <w:p w14:paraId="67CC4F9B" w14:textId="77777777" w:rsidR="009038D4" w:rsidRPr="00FC35F5" w:rsidRDefault="009038D4" w:rsidP="009038D4">
            <w:r w:rsidRPr="00FC35F5">
              <w:t>New biological entity</w:t>
            </w:r>
          </w:p>
        </w:tc>
      </w:tr>
      <w:tr w:rsidR="009038D4" w:rsidRPr="003D1E62" w14:paraId="10177312" w14:textId="77777777" w:rsidTr="003735BC">
        <w:tc>
          <w:tcPr>
            <w:tcW w:w="2907" w:type="dxa"/>
          </w:tcPr>
          <w:p w14:paraId="1CA2E349" w14:textId="77777777" w:rsidR="009038D4" w:rsidRPr="003D1E62" w:rsidRDefault="009038D4" w:rsidP="009038D4">
            <w:pPr>
              <w:rPr>
                <w:i/>
              </w:rPr>
            </w:pPr>
            <w:r>
              <w:rPr>
                <w:i/>
              </w:rPr>
              <w:t>Product name</w:t>
            </w:r>
            <w:r w:rsidRPr="00460036">
              <w:rPr>
                <w:i/>
              </w:rPr>
              <w:t>:</w:t>
            </w:r>
          </w:p>
        </w:tc>
        <w:tc>
          <w:tcPr>
            <w:tcW w:w="6307" w:type="dxa"/>
          </w:tcPr>
          <w:p w14:paraId="2FF61F31" w14:textId="77777777" w:rsidR="009038D4" w:rsidRPr="00FC35F5" w:rsidRDefault="009038D4" w:rsidP="009038D4">
            <w:proofErr w:type="spellStart"/>
            <w:r w:rsidRPr="00FC35F5">
              <w:t>Zolgensma</w:t>
            </w:r>
            <w:proofErr w:type="spellEnd"/>
          </w:p>
        </w:tc>
      </w:tr>
      <w:tr w:rsidR="009038D4" w:rsidRPr="003D1E62" w14:paraId="07AC0E8D" w14:textId="77777777" w:rsidTr="003735BC">
        <w:tc>
          <w:tcPr>
            <w:tcW w:w="2907" w:type="dxa"/>
          </w:tcPr>
          <w:p w14:paraId="6EA62BF7" w14:textId="77777777" w:rsidR="009038D4" w:rsidRPr="003D1E62" w:rsidRDefault="009038D4" w:rsidP="009038D4">
            <w:pPr>
              <w:rPr>
                <w:i/>
              </w:rPr>
            </w:pPr>
            <w:r>
              <w:rPr>
                <w:i/>
              </w:rPr>
              <w:t>Active ingredient</w:t>
            </w:r>
            <w:r w:rsidRPr="00460036">
              <w:rPr>
                <w:i/>
              </w:rPr>
              <w:t>:</w:t>
            </w:r>
          </w:p>
        </w:tc>
        <w:tc>
          <w:tcPr>
            <w:tcW w:w="6307" w:type="dxa"/>
          </w:tcPr>
          <w:p w14:paraId="77F185EF" w14:textId="77777777" w:rsidR="009038D4" w:rsidRPr="00FC35F5" w:rsidRDefault="009038D4" w:rsidP="009038D4">
            <w:proofErr w:type="spellStart"/>
            <w:r w:rsidRPr="00FC35F5">
              <w:rPr>
                <w:rFonts w:cs="Cambria"/>
                <w:lang w:eastAsia="en-AU"/>
              </w:rPr>
              <w:t>Onasemnogene</w:t>
            </w:r>
            <w:proofErr w:type="spellEnd"/>
            <w:r w:rsidRPr="00FC35F5">
              <w:rPr>
                <w:rFonts w:cs="Cambria"/>
                <w:lang w:eastAsia="en-AU"/>
              </w:rPr>
              <w:t xml:space="preserve"> </w:t>
            </w:r>
            <w:proofErr w:type="spellStart"/>
            <w:r w:rsidRPr="00FC35F5">
              <w:rPr>
                <w:rFonts w:cs="Cambria"/>
                <w:lang w:eastAsia="en-AU"/>
              </w:rPr>
              <w:t>abeparvovec</w:t>
            </w:r>
            <w:proofErr w:type="spellEnd"/>
          </w:p>
        </w:tc>
      </w:tr>
      <w:tr w:rsidR="008E7846" w:rsidRPr="003D1E62" w14:paraId="6BA9530E" w14:textId="77777777" w:rsidTr="003735BC">
        <w:tc>
          <w:tcPr>
            <w:tcW w:w="2907" w:type="dxa"/>
          </w:tcPr>
          <w:p w14:paraId="6EB6D9E9" w14:textId="77777777" w:rsidR="008E7846" w:rsidRPr="003D1E62" w:rsidRDefault="008E7846" w:rsidP="003D1E62">
            <w:r w:rsidRPr="003D1E62">
              <w:rPr>
                <w:i/>
              </w:rPr>
              <w:t>Decision</w:t>
            </w:r>
            <w:r w:rsidRPr="003D1E62">
              <w:t>:</w:t>
            </w:r>
          </w:p>
        </w:tc>
        <w:tc>
          <w:tcPr>
            <w:tcW w:w="6307" w:type="dxa"/>
          </w:tcPr>
          <w:p w14:paraId="77D2C3AA" w14:textId="77777777" w:rsidR="008E7846" w:rsidRPr="003D1E62" w:rsidRDefault="009038D4" w:rsidP="009038D4">
            <w:r>
              <w:t>Approved</w:t>
            </w:r>
          </w:p>
        </w:tc>
      </w:tr>
      <w:tr w:rsidR="008E7846" w:rsidRPr="003D1E62" w14:paraId="45200FD8" w14:textId="77777777" w:rsidTr="003735BC">
        <w:tc>
          <w:tcPr>
            <w:tcW w:w="2907" w:type="dxa"/>
          </w:tcPr>
          <w:p w14:paraId="59E43B7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3CB30E9" w14:textId="77777777" w:rsidR="008E7846" w:rsidRPr="003D1E62" w:rsidRDefault="009038D4" w:rsidP="001B5C90">
            <w:r w:rsidRPr="00FC35F5">
              <w:t>24 February 2021</w:t>
            </w:r>
          </w:p>
        </w:tc>
      </w:tr>
      <w:tr w:rsidR="009038D4" w:rsidRPr="003D1E62" w14:paraId="1E3DEEDF" w14:textId="77777777" w:rsidTr="003735BC">
        <w:tc>
          <w:tcPr>
            <w:tcW w:w="2907" w:type="dxa"/>
          </w:tcPr>
          <w:p w14:paraId="7A0CA9F5" w14:textId="77777777" w:rsidR="009038D4" w:rsidRPr="00441C3F" w:rsidRDefault="009038D4" w:rsidP="009038D4">
            <w:pPr>
              <w:rPr>
                <w:i/>
              </w:rPr>
            </w:pPr>
            <w:r w:rsidRPr="00441C3F">
              <w:rPr>
                <w:i/>
              </w:rPr>
              <w:t>Date of entry onto ARTG</w:t>
            </w:r>
            <w:r>
              <w:rPr>
                <w:i/>
              </w:rPr>
              <w:t>:</w:t>
            </w:r>
          </w:p>
        </w:tc>
        <w:tc>
          <w:tcPr>
            <w:tcW w:w="6307" w:type="dxa"/>
          </w:tcPr>
          <w:p w14:paraId="52E109B3" w14:textId="130FA319" w:rsidR="009038D4" w:rsidRPr="00C04933" w:rsidRDefault="00C04933" w:rsidP="009038D4">
            <w:r w:rsidRPr="00C04933">
              <w:t>4 March 2021</w:t>
            </w:r>
          </w:p>
        </w:tc>
      </w:tr>
      <w:tr w:rsidR="009038D4" w:rsidRPr="003D1E62" w14:paraId="1065DCD4" w14:textId="77777777" w:rsidTr="003735BC">
        <w:tc>
          <w:tcPr>
            <w:tcW w:w="2907" w:type="dxa"/>
          </w:tcPr>
          <w:p w14:paraId="4901A87E" w14:textId="77777777" w:rsidR="009038D4" w:rsidRPr="00441C3F" w:rsidRDefault="009038D4" w:rsidP="009038D4">
            <w:pPr>
              <w:rPr>
                <w:i/>
              </w:rPr>
            </w:pPr>
            <w:r>
              <w:rPr>
                <w:i/>
              </w:rPr>
              <w:t>ARTG number:</w:t>
            </w:r>
          </w:p>
        </w:tc>
        <w:tc>
          <w:tcPr>
            <w:tcW w:w="6307" w:type="dxa"/>
          </w:tcPr>
          <w:p w14:paraId="5FA9CE8D" w14:textId="77777777" w:rsidR="009038D4" w:rsidRPr="00C04933" w:rsidRDefault="009038D4" w:rsidP="009038D4">
            <w:r w:rsidRPr="00C04933">
              <w:t>327905, 327906, 327907</w:t>
            </w:r>
          </w:p>
        </w:tc>
      </w:tr>
      <w:tr w:rsidR="009038D4" w:rsidRPr="003D1E62" w14:paraId="353581B2" w14:textId="77777777" w:rsidTr="003735BC">
        <w:tc>
          <w:tcPr>
            <w:tcW w:w="2907" w:type="dxa"/>
          </w:tcPr>
          <w:p w14:paraId="2ED5702E" w14:textId="77777777" w:rsidR="009038D4" w:rsidRDefault="009038D4" w:rsidP="009038D4">
            <w:pPr>
              <w:rPr>
                <w:i/>
              </w:rPr>
            </w:pPr>
            <w:r>
              <w:rPr>
                <w:rFonts w:ascii="Wingdings 3" w:hAnsi="Wingdings 3"/>
                <w:sz w:val="34"/>
                <w:szCs w:val="34"/>
                <w:lang w:eastAsia="en-AU"/>
              </w:rPr>
              <w:t></w:t>
            </w:r>
            <w:r w:rsidRPr="003735BC">
              <w:rPr>
                <w:i/>
              </w:rPr>
              <w:t>Black Triangle Scheme</w:t>
            </w:r>
            <w:r>
              <w:rPr>
                <w:i/>
              </w:rPr>
              <w:t>:</w:t>
            </w:r>
            <w:r>
              <w:rPr>
                <w:rStyle w:val="FootnoteReference"/>
                <w:i/>
              </w:rPr>
              <w:footnoteReference w:id="1"/>
            </w:r>
          </w:p>
        </w:tc>
        <w:tc>
          <w:tcPr>
            <w:tcW w:w="6307" w:type="dxa"/>
          </w:tcPr>
          <w:p w14:paraId="4D3D7345" w14:textId="77777777" w:rsidR="009038D4" w:rsidRPr="00C04933" w:rsidRDefault="009038D4" w:rsidP="009038D4">
            <w:r w:rsidRPr="00C04933">
              <w:t>Yes</w:t>
            </w:r>
          </w:p>
          <w:p w14:paraId="497C00BF" w14:textId="77777777" w:rsidR="009038D4" w:rsidRPr="00C04933" w:rsidRDefault="009038D4" w:rsidP="009038D4">
            <w:r w:rsidRPr="00C04933">
              <w:t>This product will remain in the scheme for 5 years, starting on the date the product is first supplied in Australia</w:t>
            </w:r>
          </w:p>
        </w:tc>
      </w:tr>
      <w:tr w:rsidR="009038D4" w:rsidRPr="00487162" w14:paraId="79735020" w14:textId="77777777" w:rsidTr="00BF1190">
        <w:tc>
          <w:tcPr>
            <w:tcW w:w="2907" w:type="dxa"/>
          </w:tcPr>
          <w:p w14:paraId="58AB4B0F" w14:textId="77777777" w:rsidR="009038D4" w:rsidRPr="00487162" w:rsidRDefault="009038D4" w:rsidP="009038D4">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3E6B50A5" w14:textId="22671C27" w:rsidR="009038D4" w:rsidRPr="00FC35F5" w:rsidRDefault="009038D4" w:rsidP="009038D4">
            <w:pPr>
              <w:rPr>
                <w:lang w:val="es-ES"/>
              </w:rPr>
            </w:pPr>
            <w:proofErr w:type="spellStart"/>
            <w:r w:rsidRPr="00FC35F5">
              <w:rPr>
                <w:lang w:val="es-ES"/>
              </w:rPr>
              <w:t>Novartis</w:t>
            </w:r>
            <w:proofErr w:type="spellEnd"/>
            <w:r w:rsidRPr="00FC35F5">
              <w:rPr>
                <w:lang w:val="es-ES"/>
              </w:rPr>
              <w:t xml:space="preserve"> </w:t>
            </w:r>
            <w:proofErr w:type="spellStart"/>
            <w:r w:rsidRPr="00FC35F5">
              <w:rPr>
                <w:lang w:val="es-ES"/>
              </w:rPr>
              <w:t>Pharmaceuticals</w:t>
            </w:r>
            <w:proofErr w:type="spellEnd"/>
            <w:r w:rsidRPr="00FC35F5">
              <w:rPr>
                <w:lang w:val="es-ES"/>
              </w:rPr>
              <w:t xml:space="preserve"> Australia </w:t>
            </w:r>
            <w:proofErr w:type="spellStart"/>
            <w:r w:rsidRPr="00FC35F5">
              <w:rPr>
                <w:lang w:val="es-ES"/>
              </w:rPr>
              <w:t>Pty</w:t>
            </w:r>
            <w:proofErr w:type="spellEnd"/>
            <w:r w:rsidRPr="00FC35F5">
              <w:rPr>
                <w:lang w:val="es-ES"/>
              </w:rPr>
              <w:t xml:space="preserve"> </w:t>
            </w:r>
            <w:proofErr w:type="spellStart"/>
            <w:r w:rsidRPr="00FC35F5">
              <w:rPr>
                <w:lang w:val="es-ES"/>
              </w:rPr>
              <w:t>L</w:t>
            </w:r>
            <w:r w:rsidR="00463F8D">
              <w:rPr>
                <w:lang w:val="es-ES"/>
              </w:rPr>
              <w:t>td</w:t>
            </w:r>
            <w:proofErr w:type="spellEnd"/>
          </w:p>
          <w:p w14:paraId="6D353FE3" w14:textId="77777777" w:rsidR="00463F8D" w:rsidRDefault="009038D4" w:rsidP="009038D4">
            <w:pPr>
              <w:rPr>
                <w:lang w:val="es-ES"/>
              </w:rPr>
            </w:pPr>
            <w:r w:rsidRPr="00FC35F5">
              <w:rPr>
                <w:lang w:val="es-ES"/>
              </w:rPr>
              <w:t>54 Waterloo Road,</w:t>
            </w:r>
          </w:p>
          <w:p w14:paraId="3601ADBF" w14:textId="7958394A" w:rsidR="009038D4" w:rsidRPr="00FC35F5" w:rsidRDefault="009038D4" w:rsidP="009038D4">
            <w:pPr>
              <w:rPr>
                <w:lang w:val="es-ES"/>
              </w:rPr>
            </w:pPr>
            <w:proofErr w:type="spellStart"/>
            <w:r w:rsidRPr="00FC35F5">
              <w:rPr>
                <w:lang w:val="es-ES"/>
              </w:rPr>
              <w:t>Macquarie</w:t>
            </w:r>
            <w:proofErr w:type="spellEnd"/>
            <w:r w:rsidRPr="00FC35F5">
              <w:rPr>
                <w:lang w:val="es-ES"/>
              </w:rPr>
              <w:t xml:space="preserve"> Park NSW 2113</w:t>
            </w:r>
          </w:p>
        </w:tc>
      </w:tr>
      <w:tr w:rsidR="009038D4" w:rsidRPr="00487162" w14:paraId="6F2620CB" w14:textId="77777777" w:rsidTr="00BF1190">
        <w:tc>
          <w:tcPr>
            <w:tcW w:w="2907" w:type="dxa"/>
          </w:tcPr>
          <w:p w14:paraId="57D5D05D" w14:textId="77777777" w:rsidR="009038D4" w:rsidRPr="00487162" w:rsidRDefault="009038D4" w:rsidP="009038D4">
            <w:pPr>
              <w:rPr>
                <w:i/>
              </w:rPr>
            </w:pPr>
            <w:r>
              <w:rPr>
                <w:i/>
              </w:rPr>
              <w:t>Dose form:</w:t>
            </w:r>
          </w:p>
        </w:tc>
        <w:tc>
          <w:tcPr>
            <w:tcW w:w="6307" w:type="dxa"/>
          </w:tcPr>
          <w:p w14:paraId="40A759A0" w14:textId="77777777" w:rsidR="009038D4" w:rsidRPr="00FC35F5" w:rsidRDefault="009038D4" w:rsidP="009038D4">
            <w:r w:rsidRPr="00FC35F5">
              <w:t>Injection for intravenous infusion</w:t>
            </w:r>
          </w:p>
        </w:tc>
      </w:tr>
      <w:tr w:rsidR="009038D4" w:rsidRPr="00487162" w14:paraId="4206BA32" w14:textId="77777777" w:rsidTr="00BF1190">
        <w:tc>
          <w:tcPr>
            <w:tcW w:w="2907" w:type="dxa"/>
          </w:tcPr>
          <w:p w14:paraId="24C50B80" w14:textId="77777777" w:rsidR="009038D4" w:rsidRPr="00487162" w:rsidRDefault="009038D4" w:rsidP="009038D4">
            <w:pPr>
              <w:rPr>
                <w:i/>
              </w:rPr>
            </w:pPr>
            <w:r>
              <w:rPr>
                <w:i/>
              </w:rPr>
              <w:t>Strength:</w:t>
            </w:r>
          </w:p>
        </w:tc>
        <w:tc>
          <w:tcPr>
            <w:tcW w:w="6307" w:type="dxa"/>
          </w:tcPr>
          <w:p w14:paraId="3656FBCD" w14:textId="77777777" w:rsidR="009038D4" w:rsidRPr="00FC35F5" w:rsidRDefault="009038D4" w:rsidP="009038D4">
            <w:r w:rsidRPr="00FC35F5">
              <w:t>2 x 10</w:t>
            </w:r>
            <w:r w:rsidRPr="00FC35F5">
              <w:rPr>
                <w:vertAlign w:val="superscript"/>
              </w:rPr>
              <w:t>13</w:t>
            </w:r>
            <w:r w:rsidRPr="00FC35F5">
              <w:t xml:space="preserve"> vector genomes/mL</w:t>
            </w:r>
          </w:p>
        </w:tc>
      </w:tr>
      <w:tr w:rsidR="009038D4" w:rsidRPr="00487162" w14:paraId="42F3BEE6" w14:textId="77777777" w:rsidTr="00BF1190">
        <w:tc>
          <w:tcPr>
            <w:tcW w:w="2907" w:type="dxa"/>
          </w:tcPr>
          <w:p w14:paraId="1721D806" w14:textId="77777777" w:rsidR="009038D4" w:rsidRPr="00487162" w:rsidRDefault="009038D4" w:rsidP="009038D4">
            <w:pPr>
              <w:rPr>
                <w:i/>
              </w:rPr>
            </w:pPr>
            <w:r>
              <w:rPr>
                <w:i/>
              </w:rPr>
              <w:t>Container</w:t>
            </w:r>
            <w:r w:rsidRPr="00487162">
              <w:rPr>
                <w:i/>
              </w:rPr>
              <w:t>:</w:t>
            </w:r>
          </w:p>
        </w:tc>
        <w:tc>
          <w:tcPr>
            <w:tcW w:w="6307" w:type="dxa"/>
          </w:tcPr>
          <w:p w14:paraId="08691914" w14:textId="77777777" w:rsidR="009038D4" w:rsidRPr="00FC35F5" w:rsidRDefault="009038D4" w:rsidP="009038D4">
            <w:pPr>
              <w:tabs>
                <w:tab w:val="left" w:pos="839"/>
              </w:tabs>
            </w:pPr>
            <w:r w:rsidRPr="00FC35F5">
              <w:t>Vial (</w:t>
            </w:r>
            <w:r w:rsidRPr="00BF21EB">
              <w:t xml:space="preserve">two fill volumes: </w:t>
            </w:r>
            <w:r w:rsidRPr="00FC35F5">
              <w:t>5.5 mL or 8.3 mL)</w:t>
            </w:r>
          </w:p>
        </w:tc>
      </w:tr>
      <w:tr w:rsidR="009038D4" w:rsidRPr="00487162" w14:paraId="3A115793" w14:textId="77777777" w:rsidTr="00A72B01">
        <w:trPr>
          <w:trHeight w:val="3552"/>
        </w:trPr>
        <w:tc>
          <w:tcPr>
            <w:tcW w:w="2907" w:type="dxa"/>
          </w:tcPr>
          <w:p w14:paraId="1BEF64F5" w14:textId="77777777" w:rsidR="009038D4" w:rsidRPr="00487162" w:rsidRDefault="009038D4" w:rsidP="009038D4">
            <w:pPr>
              <w:rPr>
                <w:i/>
              </w:rPr>
            </w:pPr>
            <w:r>
              <w:rPr>
                <w:i/>
              </w:rPr>
              <w:t>Pack sizes</w:t>
            </w:r>
            <w:r w:rsidRPr="00487162">
              <w:rPr>
                <w:i/>
              </w:rPr>
              <w:t>:</w:t>
            </w:r>
          </w:p>
        </w:tc>
        <w:tc>
          <w:tcPr>
            <w:tcW w:w="6307" w:type="dxa"/>
          </w:tcPr>
          <w:p w14:paraId="4A00D7F4" w14:textId="77777777" w:rsidR="009038D4" w:rsidRPr="00BF21EB" w:rsidRDefault="009038D4" w:rsidP="009038D4">
            <w:r w:rsidRPr="00FC35F5">
              <w:t xml:space="preserve">The dose of </w:t>
            </w:r>
            <w:proofErr w:type="spellStart"/>
            <w:r w:rsidRPr="00FC35F5">
              <w:t>Zolgensma</w:t>
            </w:r>
            <w:proofErr w:type="spellEnd"/>
            <w:r w:rsidRPr="00FC35F5">
              <w:t xml:space="preserve"> and exact number of vials required for each patient is calculated according to the patient’s weight (refer to the Product Information for fur</w:t>
            </w:r>
            <w:r w:rsidRPr="00E13A4D">
              <w:t>ther information)</w:t>
            </w:r>
            <w:r w:rsidRPr="00FC35F5">
              <w:t xml:space="preserve">. </w:t>
            </w:r>
            <w:r w:rsidRPr="00BF21EB">
              <w:t>The pack sizes are:</w:t>
            </w:r>
          </w:p>
          <w:p w14:paraId="1D699A63" w14:textId="52B753FC" w:rsidR="009038D4" w:rsidRPr="00BF21EB" w:rsidRDefault="00463F8D" w:rsidP="009038D4">
            <w:pPr>
              <w:pStyle w:val="ListBullet"/>
              <w:numPr>
                <w:ilvl w:val="0"/>
                <w:numId w:val="3"/>
              </w:numPr>
              <w:spacing w:after="180"/>
            </w:pPr>
            <w:r>
              <w:t>p</w:t>
            </w:r>
            <w:r w:rsidR="009038D4">
              <w:t xml:space="preserve">acks consisting of </w:t>
            </w:r>
            <w:r w:rsidR="009038D4" w:rsidRPr="00E13A4D">
              <w:t>t</w:t>
            </w:r>
            <w:r w:rsidR="009038D4" w:rsidRPr="00BF21EB">
              <w:t>wo to nine of the 8.3 mL vials, and</w:t>
            </w:r>
          </w:p>
          <w:p w14:paraId="77548D45" w14:textId="277ADD4F" w:rsidR="009038D4" w:rsidRPr="00BF21EB" w:rsidRDefault="00463F8D" w:rsidP="009038D4">
            <w:pPr>
              <w:pStyle w:val="ListBullet"/>
              <w:numPr>
                <w:ilvl w:val="0"/>
                <w:numId w:val="3"/>
              </w:numPr>
              <w:spacing w:after="180"/>
            </w:pPr>
            <w:r>
              <w:t>a</w:t>
            </w:r>
            <w:r w:rsidR="009038D4" w:rsidRPr="00BF21EB">
              <w:t xml:space="preserve"> composite pack consisting of various combinations of the 5.5 mL and 8.3 mL vials (refer to the Product Information for further information).</w:t>
            </w:r>
          </w:p>
          <w:p w14:paraId="01BC90F2" w14:textId="77777777" w:rsidR="009038D4" w:rsidRPr="00FC35F5" w:rsidRDefault="009038D4" w:rsidP="009038D4">
            <w:r w:rsidRPr="00BF21EB">
              <w:t>Note: the 5.5 mL vial is not supplied on its own.</w:t>
            </w:r>
          </w:p>
        </w:tc>
      </w:tr>
      <w:tr w:rsidR="008E7846" w:rsidRPr="00487162" w14:paraId="4B8BE4A6" w14:textId="77777777" w:rsidTr="00BF1190">
        <w:tc>
          <w:tcPr>
            <w:tcW w:w="2907" w:type="dxa"/>
          </w:tcPr>
          <w:p w14:paraId="46597D1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21FDDC6" w14:textId="01B4FB22" w:rsidR="008E7846" w:rsidRPr="009038D4" w:rsidRDefault="009038D4" w:rsidP="009038D4">
            <w:pPr>
              <w:rPr>
                <w:i/>
              </w:rPr>
            </w:pPr>
            <w:proofErr w:type="spellStart"/>
            <w:r w:rsidRPr="00FC35F5">
              <w:rPr>
                <w:i/>
              </w:rPr>
              <w:t>Zolgensma</w:t>
            </w:r>
            <w:proofErr w:type="spellEnd"/>
            <w:r w:rsidRPr="00FC35F5">
              <w:rPr>
                <w:i/>
              </w:rPr>
              <w:t xml:space="preserve"> (</w:t>
            </w:r>
            <w:proofErr w:type="spellStart"/>
            <w:r w:rsidRPr="00FC35F5">
              <w:rPr>
                <w:i/>
              </w:rPr>
              <w:t>onasemnogene</w:t>
            </w:r>
            <w:proofErr w:type="spellEnd"/>
            <w:r w:rsidRPr="00FC35F5">
              <w:rPr>
                <w:i/>
              </w:rPr>
              <w:t xml:space="preserve"> </w:t>
            </w:r>
            <w:proofErr w:type="spellStart"/>
            <w:r w:rsidRPr="00FC35F5">
              <w:rPr>
                <w:i/>
              </w:rPr>
              <w:t>abeparvovec</w:t>
            </w:r>
            <w:proofErr w:type="spellEnd"/>
            <w:r w:rsidRPr="00FC35F5">
              <w:rPr>
                <w:i/>
              </w:rPr>
              <w:t>) is indicated for the treatment of paediatric patients less than 9 months of age with symptomatic or pre-symptomatic spinal muscular atrophy with bi</w:t>
            </w:r>
            <w:r w:rsidR="003958B0">
              <w:rPr>
                <w:i/>
              </w:rPr>
              <w:noBreakHyphen/>
            </w:r>
            <w:r w:rsidRPr="00FC35F5">
              <w:rPr>
                <w:i/>
              </w:rPr>
              <w:t>allelic mutations in the survival motor neuron 1 (SMN1) gene and 1 to 3 copies of the SMN2 gene.</w:t>
            </w:r>
          </w:p>
        </w:tc>
      </w:tr>
      <w:tr w:rsidR="009038D4" w:rsidRPr="00487162" w14:paraId="6323128B" w14:textId="77777777" w:rsidTr="00BF1190">
        <w:tc>
          <w:tcPr>
            <w:tcW w:w="2907" w:type="dxa"/>
          </w:tcPr>
          <w:p w14:paraId="50CF878D" w14:textId="77777777" w:rsidR="009038D4" w:rsidRPr="00487162" w:rsidRDefault="009038D4" w:rsidP="009038D4">
            <w:pPr>
              <w:rPr>
                <w:i/>
              </w:rPr>
            </w:pPr>
            <w:r>
              <w:rPr>
                <w:i/>
              </w:rPr>
              <w:t>Route</w:t>
            </w:r>
            <w:r w:rsidRPr="00487162">
              <w:rPr>
                <w:i/>
              </w:rPr>
              <w:t xml:space="preserve"> of administration:</w:t>
            </w:r>
          </w:p>
        </w:tc>
        <w:tc>
          <w:tcPr>
            <w:tcW w:w="6307" w:type="dxa"/>
          </w:tcPr>
          <w:p w14:paraId="448FFE7E" w14:textId="77777777" w:rsidR="009038D4" w:rsidRPr="00FC35F5" w:rsidRDefault="009038D4" w:rsidP="009038D4">
            <w:r w:rsidRPr="00FC35F5">
              <w:t>Intravenous infusion</w:t>
            </w:r>
          </w:p>
        </w:tc>
      </w:tr>
      <w:tr w:rsidR="009038D4" w:rsidRPr="00487162" w14:paraId="43B4D9C8" w14:textId="77777777" w:rsidTr="00BF1190">
        <w:tc>
          <w:tcPr>
            <w:tcW w:w="2907" w:type="dxa"/>
          </w:tcPr>
          <w:p w14:paraId="538B587A" w14:textId="77777777" w:rsidR="009038D4" w:rsidRPr="00487162" w:rsidRDefault="009038D4" w:rsidP="009038D4">
            <w:pPr>
              <w:rPr>
                <w:i/>
              </w:rPr>
            </w:pPr>
            <w:r w:rsidRPr="00487162">
              <w:rPr>
                <w:i/>
              </w:rPr>
              <w:t>Dosage:</w:t>
            </w:r>
          </w:p>
        </w:tc>
        <w:tc>
          <w:tcPr>
            <w:tcW w:w="6307" w:type="dxa"/>
          </w:tcPr>
          <w:p w14:paraId="23CE356F" w14:textId="77777777" w:rsidR="009038D4" w:rsidRPr="00FC35F5" w:rsidRDefault="009038D4" w:rsidP="009038D4">
            <w:r w:rsidRPr="00FC35F5">
              <w:t>For single-dose intravenous infusion only.</w:t>
            </w:r>
          </w:p>
          <w:p w14:paraId="38E4B97E" w14:textId="77777777" w:rsidR="009038D4" w:rsidRPr="00FC35F5" w:rsidRDefault="009038D4" w:rsidP="009038D4">
            <w:r w:rsidRPr="00FC35F5">
              <w:t xml:space="preserve">Treatment with </w:t>
            </w:r>
            <w:proofErr w:type="spellStart"/>
            <w:r w:rsidRPr="00FC35F5">
              <w:t>Zolgensma</w:t>
            </w:r>
            <w:proofErr w:type="spellEnd"/>
            <w:r w:rsidRPr="00FC35F5">
              <w:t xml:space="preserve"> should be supervised by a physician experienced in the management of patients with spinal muscular atrophy (SMA).</w:t>
            </w:r>
          </w:p>
          <w:p w14:paraId="39ACEC44" w14:textId="77777777" w:rsidR="009038D4" w:rsidRPr="00FC35F5" w:rsidRDefault="009038D4" w:rsidP="009038D4">
            <w:r w:rsidRPr="00FC35F5">
              <w:t>In order to improve the traceability of biological medicinal products, the name and the batch number of the administered product should be clearly recorded.</w:t>
            </w:r>
          </w:p>
          <w:p w14:paraId="39F0D035" w14:textId="77777777" w:rsidR="009038D4" w:rsidRPr="00FC35F5" w:rsidRDefault="009038D4" w:rsidP="009038D4">
            <w:r w:rsidRPr="00FC35F5">
              <w:t xml:space="preserve">An immune response to the adeno-associated viral vector serotype 9 (AAV9) capsid will occur after infusion of </w:t>
            </w:r>
            <w:proofErr w:type="spellStart"/>
            <w:r w:rsidRPr="00FC35F5">
              <w:t>Zolgensma</w:t>
            </w:r>
            <w:proofErr w:type="spellEnd"/>
            <w:r w:rsidRPr="00FC35F5">
              <w:t xml:space="preserve">, thus patients should not be re-dosed with </w:t>
            </w:r>
            <w:proofErr w:type="spellStart"/>
            <w:r w:rsidRPr="00FC35F5">
              <w:t>Zolgensma</w:t>
            </w:r>
            <w:proofErr w:type="spellEnd"/>
            <w:r w:rsidRPr="00FC35F5">
              <w:t>.</w:t>
            </w:r>
          </w:p>
          <w:p w14:paraId="6670637C" w14:textId="77777777" w:rsidR="009038D4" w:rsidRPr="00FC35F5" w:rsidRDefault="009038D4" w:rsidP="009038D4">
            <w:proofErr w:type="spellStart"/>
            <w:r w:rsidRPr="00FC35F5">
              <w:t>Zolgensma</w:t>
            </w:r>
            <w:proofErr w:type="spellEnd"/>
            <w:r w:rsidRPr="00FC35F5">
              <w:t xml:space="preserve"> is for a single treatment only.</w:t>
            </w:r>
          </w:p>
          <w:p w14:paraId="00A56AE9" w14:textId="77777777" w:rsidR="009038D4" w:rsidRPr="00FC35F5" w:rsidRDefault="009038D4" w:rsidP="009038D4">
            <w:r w:rsidRPr="00FC35F5">
              <w:t xml:space="preserve">The recommended dose of </w:t>
            </w:r>
            <w:proofErr w:type="spellStart"/>
            <w:r w:rsidRPr="00FC35F5">
              <w:t>Zolgensma</w:t>
            </w:r>
            <w:proofErr w:type="spellEnd"/>
            <w:r w:rsidRPr="00FC35F5">
              <w:t xml:space="preserve"> is 1.1 × 10</w:t>
            </w:r>
            <w:r w:rsidRPr="00FC35F5">
              <w:rPr>
                <w:vertAlign w:val="superscript"/>
              </w:rPr>
              <w:t>14</w:t>
            </w:r>
            <w:r w:rsidRPr="00FC35F5">
              <w:t xml:space="preserve"> vector genomes per kilogram (vg/kg) of body weight (see Table 1 in the Product Information).</w:t>
            </w:r>
          </w:p>
          <w:p w14:paraId="65031E78" w14:textId="77777777" w:rsidR="009038D4" w:rsidRPr="00FC35F5" w:rsidRDefault="009038D4" w:rsidP="009038D4">
            <w:r w:rsidRPr="00FC35F5">
              <w:t>For further information on dosage, refer to the Product Information.</w:t>
            </w:r>
          </w:p>
        </w:tc>
      </w:tr>
      <w:tr w:rsidR="009038D4" w:rsidRPr="00487162" w14:paraId="72608153" w14:textId="77777777" w:rsidTr="00BF1190">
        <w:tc>
          <w:tcPr>
            <w:tcW w:w="2907" w:type="dxa"/>
          </w:tcPr>
          <w:p w14:paraId="0C139A16" w14:textId="77777777" w:rsidR="009038D4" w:rsidRPr="00487162" w:rsidRDefault="009038D4" w:rsidP="009038D4">
            <w:pPr>
              <w:rPr>
                <w:i/>
              </w:rPr>
            </w:pPr>
            <w:r w:rsidRPr="00460036">
              <w:rPr>
                <w:i/>
              </w:rPr>
              <w:t>Pregnancy category</w:t>
            </w:r>
            <w:r>
              <w:rPr>
                <w:i/>
              </w:rPr>
              <w:t>:</w:t>
            </w:r>
          </w:p>
        </w:tc>
        <w:tc>
          <w:tcPr>
            <w:tcW w:w="6307" w:type="dxa"/>
          </w:tcPr>
          <w:p w14:paraId="670AFBF5" w14:textId="77777777" w:rsidR="009038D4" w:rsidRPr="00FC35F5" w:rsidRDefault="009038D4" w:rsidP="009038D4">
            <w:r w:rsidRPr="00FC35F5">
              <w:t>B2</w:t>
            </w:r>
          </w:p>
          <w:p w14:paraId="2B70C829" w14:textId="77777777" w:rsidR="009038D4" w:rsidRPr="00FC35F5" w:rsidRDefault="009038D4" w:rsidP="009038D4">
            <w:r w:rsidRPr="00FC35F5">
              <w:t>Drugs which have been taken by only a limited number of pregnant women and women of childbearing age, without an increase in the frequency of malformation or other direct or indirect harmful effects on the human fetus having been observed.</w:t>
            </w:r>
          </w:p>
          <w:p w14:paraId="20BBA4CA" w14:textId="77777777" w:rsidR="009038D4" w:rsidRPr="00FC35F5" w:rsidRDefault="009038D4" w:rsidP="009038D4">
            <w:r w:rsidRPr="00FC35F5">
              <w:t>Studies in animals are inadequate or may be lacking, but available data show no evidence of an increased occurrence of fetal damage.</w:t>
            </w:r>
          </w:p>
          <w:p w14:paraId="59AD8F54" w14:textId="77777777" w:rsidR="009038D4" w:rsidRPr="00FC35F5" w:rsidRDefault="009038D4" w:rsidP="009038D4">
            <w:pPr>
              <w:rPr>
                <w:color w:val="773CBB" w:themeColor="accent5" w:themeTint="BF"/>
              </w:rPr>
            </w:pPr>
            <w:r w:rsidRPr="00FC35F5">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7B4E37FF" w14:textId="77777777" w:rsidR="008E7846" w:rsidRDefault="008E7846" w:rsidP="00A72B01">
      <w:pPr>
        <w:pStyle w:val="Heading3"/>
        <w:pageBreakBefore/>
      </w:pPr>
      <w:bookmarkStart w:id="13" w:name="_Toc247691503"/>
      <w:bookmarkStart w:id="14" w:name="_Toc314842484"/>
      <w:bookmarkStart w:id="15" w:name="_Toc69909586"/>
      <w:r>
        <w:t>Product background</w:t>
      </w:r>
      <w:bookmarkEnd w:id="13"/>
      <w:bookmarkEnd w:id="14"/>
      <w:bookmarkEnd w:id="15"/>
    </w:p>
    <w:p w14:paraId="02C732BE" w14:textId="4A962B11" w:rsidR="008E7846" w:rsidRDefault="00250271" w:rsidP="00A72B01">
      <w:r w:rsidRPr="00250271">
        <w:t xml:space="preserve">This AusPAR describes the application by </w:t>
      </w:r>
      <w:proofErr w:type="spellStart"/>
      <w:r w:rsidR="009038D4">
        <w:rPr>
          <w:lang w:val="es-ES"/>
        </w:rPr>
        <w:t>Novartis</w:t>
      </w:r>
      <w:proofErr w:type="spellEnd"/>
      <w:r w:rsidR="009038D4">
        <w:rPr>
          <w:lang w:val="es-ES"/>
        </w:rPr>
        <w:t xml:space="preserve"> </w:t>
      </w:r>
      <w:proofErr w:type="spellStart"/>
      <w:r w:rsidR="009038D4">
        <w:rPr>
          <w:lang w:val="es-ES"/>
        </w:rPr>
        <w:t>Pharmaceuticals</w:t>
      </w:r>
      <w:proofErr w:type="spellEnd"/>
      <w:r w:rsidR="009038D4">
        <w:rPr>
          <w:lang w:val="es-ES"/>
        </w:rPr>
        <w:t xml:space="preserve"> Australia </w:t>
      </w:r>
      <w:proofErr w:type="spellStart"/>
      <w:r w:rsidR="009038D4">
        <w:rPr>
          <w:lang w:val="es-ES"/>
        </w:rPr>
        <w:t>Pty</w:t>
      </w:r>
      <w:proofErr w:type="spellEnd"/>
      <w:r w:rsidR="009038D4">
        <w:rPr>
          <w:lang w:val="es-ES"/>
        </w:rPr>
        <w:t xml:space="preserve"> </w:t>
      </w:r>
      <w:proofErr w:type="spellStart"/>
      <w:r w:rsidR="009038D4">
        <w:rPr>
          <w:lang w:val="es-ES"/>
        </w:rPr>
        <w:t>Limited</w:t>
      </w:r>
      <w:proofErr w:type="spellEnd"/>
      <w:r w:rsidRPr="00250271">
        <w:t xml:space="preserve"> (the sponsor) to register </w:t>
      </w:r>
      <w:proofErr w:type="spellStart"/>
      <w:r w:rsidR="009038D4" w:rsidRPr="00FC35F5">
        <w:t>Zolgensma</w:t>
      </w:r>
      <w:proofErr w:type="spellEnd"/>
      <w:r w:rsidR="009038D4" w:rsidRPr="00FC35F5">
        <w:t xml:space="preserve"> (</w:t>
      </w:r>
      <w:proofErr w:type="spellStart"/>
      <w:r w:rsidR="009038D4" w:rsidRPr="00FC35F5">
        <w:t>onasemnogene</w:t>
      </w:r>
      <w:proofErr w:type="spellEnd"/>
      <w:r w:rsidR="009038D4" w:rsidRPr="00FC35F5">
        <w:t xml:space="preserve"> </w:t>
      </w:r>
      <w:proofErr w:type="spellStart"/>
      <w:r w:rsidR="009038D4" w:rsidRPr="00FC35F5">
        <w:rPr>
          <w:rFonts w:cs="Cambria"/>
          <w:lang w:eastAsia="en-AU"/>
        </w:rPr>
        <w:t>abeparvovec</w:t>
      </w:r>
      <w:proofErr w:type="spellEnd"/>
      <w:r w:rsidR="009038D4" w:rsidRPr="00FC35F5">
        <w:t>)</w:t>
      </w:r>
      <w:r w:rsidR="009038D4">
        <w:t xml:space="preserve"> 2 x 10</w:t>
      </w:r>
      <w:r w:rsidR="009038D4">
        <w:rPr>
          <w:vertAlign w:val="superscript"/>
        </w:rPr>
        <w:t>13</w:t>
      </w:r>
      <w:r w:rsidR="009038D4">
        <w:t xml:space="preserve"> vector genomes</w:t>
      </w:r>
      <w:r w:rsidR="00EB3813">
        <w:t xml:space="preserve"> (vg)</w:t>
      </w:r>
      <w:r w:rsidR="009038D4">
        <w:t xml:space="preserve">/mL injection for intravenous </w:t>
      </w:r>
      <w:r w:rsidR="005112AB">
        <w:t xml:space="preserve">(IV) </w:t>
      </w:r>
      <w:r w:rsidR="009038D4">
        <w:t>infusion</w:t>
      </w:r>
      <w:r w:rsidRPr="00250271">
        <w:t xml:space="preserve"> </w:t>
      </w:r>
      <w:r w:rsidR="009038D4">
        <w:t>vial (</w:t>
      </w:r>
      <w:r w:rsidR="00735D2B">
        <w:t>5.5 mL,</w:t>
      </w:r>
      <w:r w:rsidR="009038D4" w:rsidRPr="00FC35F5">
        <w:t xml:space="preserve"> 8.3 mL</w:t>
      </w:r>
      <w:r w:rsidR="00BF1781">
        <w:t xml:space="preserve"> fill volume</w:t>
      </w:r>
      <w:r w:rsidR="009038D4">
        <w:t xml:space="preserve">) </w:t>
      </w:r>
      <w:r w:rsidRPr="00250271">
        <w:t>for th</w:t>
      </w:r>
      <w:r w:rsidR="00735D2B">
        <w:t>e following proposed indication</w:t>
      </w:r>
      <w:r w:rsidR="00CF5DAD">
        <w:t>:</w:t>
      </w:r>
    </w:p>
    <w:p w14:paraId="2EF2554D" w14:textId="77777777" w:rsidR="00735D2B" w:rsidRPr="00735D2B" w:rsidRDefault="00735D2B" w:rsidP="00546BF7">
      <w:pPr>
        <w:keepNext/>
        <w:ind w:left="720"/>
        <w:rPr>
          <w:i/>
        </w:rPr>
      </w:pPr>
      <w:proofErr w:type="spellStart"/>
      <w:r w:rsidRPr="00735D2B">
        <w:rPr>
          <w:i/>
        </w:rPr>
        <w:t>Zolgensma</w:t>
      </w:r>
      <w:proofErr w:type="spellEnd"/>
      <w:r w:rsidRPr="00735D2B">
        <w:rPr>
          <w:i/>
        </w:rPr>
        <w:t xml:space="preserve"> (</w:t>
      </w:r>
      <w:proofErr w:type="spellStart"/>
      <w:r w:rsidRPr="00735D2B">
        <w:rPr>
          <w:i/>
        </w:rPr>
        <w:t>onasemnogene</w:t>
      </w:r>
      <w:proofErr w:type="spellEnd"/>
      <w:r w:rsidRPr="00735D2B">
        <w:rPr>
          <w:i/>
        </w:rPr>
        <w:t xml:space="preserve"> </w:t>
      </w:r>
      <w:proofErr w:type="spellStart"/>
      <w:r w:rsidRPr="00735D2B">
        <w:rPr>
          <w:i/>
        </w:rPr>
        <w:t>abeparvovec</w:t>
      </w:r>
      <w:proofErr w:type="spellEnd"/>
      <w:r w:rsidRPr="00735D2B">
        <w:rPr>
          <w:i/>
        </w:rPr>
        <w:t>) is indicated for the treatment of paediatrics patients less than 2 years of age with spinal muscular atrophy (SMA) with bi-allelic mutations in the survival motor neuron 1 (SMN1) gene.</w:t>
      </w:r>
    </w:p>
    <w:p w14:paraId="21BF403F" w14:textId="6DEC32E4" w:rsidR="00735D2B" w:rsidRDefault="005B70CC" w:rsidP="00A72B01">
      <w:r>
        <w:t>Spinal muscular atrophy (</w:t>
      </w:r>
      <w:r w:rsidR="00735D2B">
        <w:t>SMA</w:t>
      </w:r>
      <w:r>
        <w:t>)</w:t>
      </w:r>
      <w:r w:rsidR="00735D2B">
        <w:t xml:space="preserve"> is an autosomal recessive disease of motor neurons caused by a deficiency of the survi</w:t>
      </w:r>
      <w:r>
        <w:t>val motor neuron (SMN) protein.</w:t>
      </w:r>
      <w:r w:rsidR="00735D2B">
        <w:t xml:space="preserve"> It is a rare disorder, with a prev</w:t>
      </w:r>
      <w:r>
        <w:t>alence of about 2 per 100,000</w:t>
      </w:r>
      <w:r w:rsidR="00CF550A">
        <w:t xml:space="preserve"> people</w:t>
      </w:r>
      <w:r>
        <w:t xml:space="preserve">. </w:t>
      </w:r>
      <w:r w:rsidR="00735D2B">
        <w:rPr>
          <w:lang w:eastAsia="ja-JP"/>
        </w:rPr>
        <w:t>The majority</w:t>
      </w:r>
      <w:r w:rsidR="003958B0">
        <w:rPr>
          <w:lang w:eastAsia="ja-JP"/>
        </w:rPr>
        <w:t xml:space="preserve"> of cases of SMA result from bi</w:t>
      </w:r>
      <w:r w:rsidR="003958B0">
        <w:rPr>
          <w:lang w:eastAsia="ja-JP"/>
        </w:rPr>
        <w:noBreakHyphen/>
      </w:r>
      <w:r w:rsidR="00735D2B">
        <w:rPr>
          <w:lang w:eastAsia="ja-JP"/>
        </w:rPr>
        <w:t xml:space="preserve">allelic mutations to the </w:t>
      </w:r>
      <w:r w:rsidR="00C04933">
        <w:rPr>
          <w:lang w:eastAsia="ja-JP"/>
        </w:rPr>
        <w:t>survival motor neuron 1 (</w:t>
      </w:r>
      <w:r w:rsidR="00735D2B" w:rsidRPr="00E94CBF">
        <w:rPr>
          <w:i/>
          <w:lang w:eastAsia="ja-JP"/>
        </w:rPr>
        <w:t>SMN1</w:t>
      </w:r>
      <w:r w:rsidR="00C04933" w:rsidRPr="00C04933">
        <w:rPr>
          <w:lang w:eastAsia="ja-JP"/>
        </w:rPr>
        <w:t>)</w:t>
      </w:r>
      <w:r w:rsidR="00735D2B" w:rsidRPr="00C04933">
        <w:rPr>
          <w:lang w:eastAsia="ja-JP"/>
        </w:rPr>
        <w:t xml:space="preserve"> </w:t>
      </w:r>
      <w:r w:rsidR="00735D2B">
        <w:rPr>
          <w:lang w:eastAsia="ja-JP"/>
        </w:rPr>
        <w:t xml:space="preserve">gene located on chromosome 5q13 (5q SMA), with 95% involving bi-allelic deletions of the </w:t>
      </w:r>
      <w:r w:rsidR="00735D2B" w:rsidRPr="00E94CBF">
        <w:rPr>
          <w:i/>
          <w:lang w:eastAsia="ja-JP"/>
        </w:rPr>
        <w:t>SMN1</w:t>
      </w:r>
      <w:r w:rsidR="00735D2B">
        <w:rPr>
          <w:lang w:eastAsia="ja-JP"/>
        </w:rPr>
        <w:t xml:space="preserve"> gene and 5% involving deletion of </w:t>
      </w:r>
      <w:r w:rsidR="00735D2B" w:rsidRPr="00E94CBF">
        <w:rPr>
          <w:i/>
          <w:lang w:eastAsia="ja-JP"/>
        </w:rPr>
        <w:t>SMN1</w:t>
      </w:r>
      <w:r w:rsidR="00735D2B">
        <w:rPr>
          <w:lang w:eastAsia="ja-JP"/>
        </w:rPr>
        <w:t xml:space="preserve"> on one allele and a point</w:t>
      </w:r>
      <w:r>
        <w:rPr>
          <w:lang w:eastAsia="ja-JP"/>
        </w:rPr>
        <w:t xml:space="preserve"> mutation on the second allele.</w:t>
      </w:r>
      <w:r w:rsidR="00735D2B">
        <w:rPr>
          <w:lang w:eastAsia="ja-JP"/>
        </w:rPr>
        <w:t xml:space="preserve"> Bi-allelic deletions or mutations of the </w:t>
      </w:r>
      <w:r w:rsidR="00735D2B" w:rsidRPr="00556097">
        <w:rPr>
          <w:i/>
          <w:lang w:eastAsia="ja-JP"/>
        </w:rPr>
        <w:t>SMN1</w:t>
      </w:r>
      <w:r w:rsidR="00735D2B">
        <w:rPr>
          <w:lang w:eastAsia="ja-JP"/>
        </w:rPr>
        <w:t xml:space="preserve"> gene result in decreased expression of SMN protein, leading to degeneration and death of motor neurons,</w:t>
      </w:r>
      <w:r w:rsidR="00735D2B">
        <w:t xml:space="preserve"> and progressive weakness of limb muscles, respiratory muscles, and muscles invo</w:t>
      </w:r>
      <w:r w:rsidR="00546BF7">
        <w:t>lved in eating and swallowing.</w:t>
      </w:r>
    </w:p>
    <w:p w14:paraId="41107020" w14:textId="02EF1F0A" w:rsidR="00735D2B" w:rsidRDefault="00735D2B" w:rsidP="00735D2B">
      <w:r>
        <w:t>There is substantial phenotypic variability of SMA, influe</w:t>
      </w:r>
      <w:r w:rsidR="00546BF7">
        <w:t xml:space="preserve">nced largely by the </w:t>
      </w:r>
      <w:r w:rsidR="00C04933">
        <w:rPr>
          <w:lang w:eastAsia="ja-JP"/>
        </w:rPr>
        <w:t>survival motor neuron 2 (</w:t>
      </w:r>
      <w:r w:rsidR="00546BF7" w:rsidRPr="00556097">
        <w:rPr>
          <w:i/>
        </w:rPr>
        <w:t>SMN2</w:t>
      </w:r>
      <w:r w:rsidR="00C04933" w:rsidRPr="00C04933">
        <w:t>)</w:t>
      </w:r>
      <w:r w:rsidR="00546BF7">
        <w:t xml:space="preserve"> gene. </w:t>
      </w:r>
      <w:r>
        <w:t xml:space="preserve">The </w:t>
      </w:r>
      <w:r w:rsidRPr="00556097">
        <w:rPr>
          <w:i/>
        </w:rPr>
        <w:t>SMN2</w:t>
      </w:r>
      <w:r>
        <w:t xml:space="preserve"> gene encodes for SMN protein, but only </w:t>
      </w:r>
      <w:r w:rsidR="00CE2D88">
        <w:t xml:space="preserve">about </w:t>
      </w:r>
      <w:r>
        <w:t>15% of the protein e</w:t>
      </w:r>
      <w:r w:rsidR="00546BF7">
        <w:t xml:space="preserve">ncoded by </w:t>
      </w:r>
      <w:r w:rsidR="00546BF7" w:rsidRPr="00556097">
        <w:rPr>
          <w:i/>
        </w:rPr>
        <w:t>SMN2</w:t>
      </w:r>
      <w:r w:rsidR="00546BF7">
        <w:t xml:space="preserve"> is functional. </w:t>
      </w:r>
      <w:r>
        <w:t xml:space="preserve">In patients with SMA, the number of copies of the </w:t>
      </w:r>
      <w:r w:rsidRPr="00556097">
        <w:rPr>
          <w:i/>
        </w:rPr>
        <w:t>SMN2</w:t>
      </w:r>
      <w:r>
        <w:t xml:space="preserve"> gene correlates inversely with disease severity (</w:t>
      </w:r>
      <w:r w:rsidR="00546BF7">
        <w:t xml:space="preserve">see </w:t>
      </w:r>
      <w:r>
        <w:fldChar w:fldCharType="begin"/>
      </w:r>
      <w:r>
        <w:instrText xml:space="preserve"> REF _Ref44497088 \h </w:instrText>
      </w:r>
      <w:r>
        <w:fldChar w:fldCharType="separate"/>
      </w:r>
      <w:r w:rsidR="009C2F61">
        <w:t xml:space="preserve">Table </w:t>
      </w:r>
      <w:r w:rsidR="009C2F61">
        <w:rPr>
          <w:noProof/>
        </w:rPr>
        <w:t>1</w:t>
      </w:r>
      <w:r>
        <w:fldChar w:fldCharType="end"/>
      </w:r>
      <w:r w:rsidR="00546BF7">
        <w:t>)</w:t>
      </w:r>
      <w:r>
        <w:t>.</w:t>
      </w:r>
    </w:p>
    <w:p w14:paraId="0410D12E" w14:textId="45414CB5" w:rsidR="00546BF7" w:rsidRDefault="00546BF7" w:rsidP="00546BF7">
      <w:pPr>
        <w:pStyle w:val="TableTitle"/>
      </w:pPr>
      <w:bookmarkStart w:id="16" w:name="_Ref44497088"/>
      <w:r>
        <w:t xml:space="preserve">Table </w:t>
      </w:r>
      <w:fldSimple w:instr=" SEQ Table \* ARABIC ">
        <w:r w:rsidR="009C2F61">
          <w:rPr>
            <w:noProof/>
          </w:rPr>
          <w:t>1</w:t>
        </w:r>
      </w:fldSimple>
      <w:bookmarkEnd w:id="16"/>
      <w:r>
        <w:t xml:space="preserve">: </w:t>
      </w:r>
      <w:r w:rsidRPr="00C11600">
        <w:t>Spinal muscular atrophy classification</w:t>
      </w:r>
    </w:p>
    <w:p w14:paraId="6CB92C09" w14:textId="38385363" w:rsidR="00546BF7" w:rsidRDefault="00546BF7" w:rsidP="00546BF7">
      <w:pPr>
        <w:pStyle w:val="Caption"/>
      </w:pPr>
      <w:r>
        <w:rPr>
          <w:noProof/>
          <w:lang w:eastAsia="en-AU"/>
        </w:rPr>
        <w:drawing>
          <wp:inline distT="0" distB="0" distL="0" distR="0" wp14:anchorId="1F341945" wp14:editId="40F9EA55">
            <wp:extent cx="5400040" cy="1050925"/>
            <wp:effectExtent l="0" t="0" r="0" b="0"/>
            <wp:docPr id="1" name="Picture 1" descr="The tables shows information for types 0 to 4 of SMA, including age of onsent, highest function, natural age of death and number of copies of the SMN2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050925"/>
                    </a:xfrm>
                    <a:prstGeom prst="rect">
                      <a:avLst/>
                    </a:prstGeom>
                  </pic:spPr>
                </pic:pic>
              </a:graphicData>
            </a:graphic>
          </wp:inline>
        </w:drawing>
      </w:r>
    </w:p>
    <w:p w14:paraId="1A744641" w14:textId="785B4538" w:rsidR="00463F8D" w:rsidRDefault="00463F8D" w:rsidP="00546BF7">
      <w:pPr>
        <w:pStyle w:val="TableDescription"/>
      </w:pPr>
      <w:r w:rsidRPr="00B848D8">
        <w:rPr>
          <w:i/>
        </w:rPr>
        <w:t>SMN2</w:t>
      </w:r>
      <w:r>
        <w:t xml:space="preserve"> No. = number of copies of survival motor neuron 2 (</w:t>
      </w:r>
      <w:r w:rsidRPr="00B848D8">
        <w:rPr>
          <w:i/>
        </w:rPr>
        <w:t>SMN2</w:t>
      </w:r>
      <w:r>
        <w:t xml:space="preserve">) gene present; </w:t>
      </w:r>
      <w:proofErr w:type="spellStart"/>
      <w:r>
        <w:t>mo</w:t>
      </w:r>
      <w:proofErr w:type="spellEnd"/>
      <w:r>
        <w:t xml:space="preserve"> = months; y = years.</w:t>
      </w:r>
    </w:p>
    <w:p w14:paraId="63E3C532" w14:textId="18F2174B" w:rsidR="00546BF7" w:rsidRPr="00546BF7" w:rsidRDefault="00546BF7" w:rsidP="00546BF7">
      <w:pPr>
        <w:pStyle w:val="TableDescription"/>
      </w:pPr>
      <w:r>
        <w:t>Source: Kolb (2011)</w:t>
      </w:r>
      <w:bookmarkStart w:id="17" w:name="_Ref65505644"/>
      <w:r>
        <w:rPr>
          <w:rStyle w:val="FootnoteReference"/>
        </w:rPr>
        <w:footnoteReference w:id="2"/>
      </w:r>
      <w:bookmarkEnd w:id="17"/>
    </w:p>
    <w:p w14:paraId="3F8402D2" w14:textId="59F44391" w:rsidR="00B32CDB" w:rsidRDefault="00735D2B" w:rsidP="00735D2B">
      <w:r>
        <w:t>SMA is conventionally cl</w:t>
      </w:r>
      <w:r w:rsidR="005112AB">
        <w:t>assified into four phenotypes (</w:t>
      </w:r>
      <w:r w:rsidR="005A2B53">
        <w:t>type</w:t>
      </w:r>
      <w:r>
        <w:t>s 1 to 4</w:t>
      </w:r>
      <w:r w:rsidR="00CE2D88">
        <w:t xml:space="preserve">, see </w:t>
      </w:r>
      <w:r w:rsidR="00CE2D88">
        <w:fldChar w:fldCharType="begin"/>
      </w:r>
      <w:r w:rsidR="00CE2D88">
        <w:instrText xml:space="preserve"> REF _Ref44497088 \h </w:instrText>
      </w:r>
      <w:r w:rsidR="00CE2D88">
        <w:fldChar w:fldCharType="separate"/>
      </w:r>
      <w:r w:rsidR="009C2F61">
        <w:t xml:space="preserve">Table </w:t>
      </w:r>
      <w:r w:rsidR="009C2F61">
        <w:rPr>
          <w:noProof/>
        </w:rPr>
        <w:t>1</w:t>
      </w:r>
      <w:r w:rsidR="00CE2D88">
        <w:fldChar w:fldCharType="end"/>
      </w:r>
      <w:r>
        <w:t>) based on the age of symptom onset and highest motor function achieved,</w:t>
      </w:r>
      <w:r w:rsidR="005112AB">
        <w:t xml:space="preserve"> with an additional phenotype (</w:t>
      </w:r>
      <w:r w:rsidR="005A2B53">
        <w:t>type</w:t>
      </w:r>
      <w:r>
        <w:t xml:space="preserve"> 0) descr</w:t>
      </w:r>
      <w:r w:rsidR="00546BF7">
        <w:t xml:space="preserve">ibing the rare pre-natal form. </w:t>
      </w:r>
      <w:r>
        <w:t>Type 1 is the most common phenotype, and without treatment, is characterised by t</w:t>
      </w:r>
      <w:r w:rsidR="003958B0">
        <w:t>he onset of symptoms prior to 6 </w:t>
      </w:r>
      <w:r>
        <w:t>months of age, failure to achieve independent sitting, and death before</w:t>
      </w:r>
      <w:r w:rsidR="00B32CDB">
        <w:t xml:space="preserve"> the age of 2 years.</w:t>
      </w:r>
    </w:p>
    <w:p w14:paraId="385651F2" w14:textId="513D3C3D" w:rsidR="00735D2B" w:rsidRDefault="00735D2B" w:rsidP="00735D2B">
      <w:r>
        <w:t xml:space="preserve">Advances in </w:t>
      </w:r>
      <w:proofErr w:type="spellStart"/>
      <w:r>
        <w:t>ventilatory</w:t>
      </w:r>
      <w:proofErr w:type="spellEnd"/>
      <w:r>
        <w:t xml:space="preserve"> and nutritional support,</w:t>
      </w:r>
      <w:bookmarkStart w:id="18" w:name="_Ref65505633"/>
      <w:r w:rsidR="00A20897">
        <w:rPr>
          <w:rStyle w:val="FootnoteReference"/>
        </w:rPr>
        <w:footnoteReference w:id="3"/>
      </w:r>
      <w:bookmarkEnd w:id="18"/>
      <w:r>
        <w:t xml:space="preserve"> and the emergence of disease-modifying therapy, are contributing to improvements in survival, but treatment options are limited as only o</w:t>
      </w:r>
      <w:r>
        <w:rPr>
          <w:lang w:eastAsia="ja-JP"/>
        </w:rPr>
        <w:t xml:space="preserve">ne medicine, </w:t>
      </w:r>
      <w:proofErr w:type="spellStart"/>
      <w:r w:rsidR="00546BF7">
        <w:rPr>
          <w:lang w:eastAsia="ja-JP"/>
        </w:rPr>
        <w:t>Spinraza</w:t>
      </w:r>
      <w:proofErr w:type="spellEnd"/>
      <w:r>
        <w:rPr>
          <w:lang w:eastAsia="ja-JP"/>
        </w:rPr>
        <w:t xml:space="preserve"> (</w:t>
      </w:r>
      <w:proofErr w:type="spellStart"/>
      <w:r>
        <w:rPr>
          <w:lang w:eastAsia="ja-JP"/>
        </w:rPr>
        <w:t>nusinersen</w:t>
      </w:r>
      <w:proofErr w:type="spellEnd"/>
      <w:r>
        <w:rPr>
          <w:lang w:eastAsia="ja-JP"/>
        </w:rPr>
        <w:t xml:space="preserve">), </w:t>
      </w:r>
      <w:r w:rsidR="00CE2D88">
        <w:rPr>
          <w:lang w:eastAsia="ja-JP"/>
        </w:rPr>
        <w:t>was</w:t>
      </w:r>
      <w:r>
        <w:rPr>
          <w:lang w:eastAsia="ja-JP"/>
        </w:rPr>
        <w:t xml:space="preserve"> registered in Australia for the treatment of SMA.</w:t>
      </w:r>
      <w:r w:rsidR="00CE2D88">
        <w:rPr>
          <w:rStyle w:val="FootnoteReference"/>
          <w:lang w:eastAsia="ja-JP"/>
        </w:rPr>
        <w:footnoteReference w:id="4"/>
      </w:r>
      <w:r w:rsidR="00262D73">
        <w:t xml:space="preserve"> </w:t>
      </w:r>
      <w:proofErr w:type="spellStart"/>
      <w:r w:rsidR="00FB3C2A">
        <w:rPr>
          <w:lang w:eastAsia="ja-JP"/>
        </w:rPr>
        <w:t>Spinraza</w:t>
      </w:r>
      <w:proofErr w:type="spellEnd"/>
      <w:r>
        <w:rPr>
          <w:lang w:eastAsia="ja-JP"/>
        </w:rPr>
        <w:t xml:space="preserve"> is an antisense oligonucleotide drug designed to increase the production of the SMN protein by modulating</w:t>
      </w:r>
      <w:r w:rsidR="00A20897">
        <w:rPr>
          <w:lang w:eastAsia="ja-JP"/>
        </w:rPr>
        <w:t xml:space="preserve"> the splicing of the SMN2 gene.</w:t>
      </w:r>
      <w:r>
        <w:rPr>
          <w:lang w:eastAsia="ja-JP"/>
        </w:rPr>
        <w:t xml:space="preserve"> It is administered </w:t>
      </w:r>
      <w:proofErr w:type="spellStart"/>
      <w:r>
        <w:rPr>
          <w:lang w:eastAsia="ja-JP"/>
        </w:rPr>
        <w:t>intrathecally</w:t>
      </w:r>
      <w:proofErr w:type="spellEnd"/>
      <w:r w:rsidR="00B20329">
        <w:rPr>
          <w:lang w:eastAsia="ja-JP"/>
        </w:rPr>
        <w:t xml:space="preserve"> (IT)</w:t>
      </w:r>
      <w:r>
        <w:rPr>
          <w:lang w:eastAsia="ja-JP"/>
        </w:rPr>
        <w:t>, with an induction phase followed b</w:t>
      </w:r>
      <w:r w:rsidR="00262D73">
        <w:rPr>
          <w:lang w:eastAsia="ja-JP"/>
        </w:rPr>
        <w:t>y long-term maintenance doses.</w:t>
      </w:r>
    </w:p>
    <w:p w14:paraId="2AE1DFC9" w14:textId="7B96A9EF" w:rsidR="00735D2B" w:rsidRPr="00BE350C" w:rsidRDefault="007359A2" w:rsidP="00735D2B">
      <w:proofErr w:type="spellStart"/>
      <w:r>
        <w:rPr>
          <w:rFonts w:asciiTheme="minorHAnsi" w:hAnsiTheme="minorHAnsi"/>
        </w:rPr>
        <w:t>Zolgensma</w:t>
      </w:r>
      <w:proofErr w:type="spellEnd"/>
      <w:r w:rsidR="00735D2B" w:rsidRPr="00B82D88">
        <w:rPr>
          <w:rFonts w:asciiTheme="minorHAnsi" w:hAnsiTheme="minorHAnsi"/>
        </w:rPr>
        <w:t xml:space="preserve"> is </w:t>
      </w:r>
      <w:r w:rsidR="000F31FE">
        <w:rPr>
          <w:rFonts w:asciiTheme="minorHAnsi" w:hAnsiTheme="minorHAnsi"/>
        </w:rPr>
        <w:t>a</w:t>
      </w:r>
      <w:r w:rsidR="00735D2B">
        <w:rPr>
          <w:rFonts w:asciiTheme="minorHAnsi" w:hAnsiTheme="minorHAnsi"/>
        </w:rPr>
        <w:t xml:space="preserve"> </w:t>
      </w:r>
      <w:r w:rsidR="00EB3813">
        <w:t xml:space="preserve">recombinant adeno-associated virus serotype 9 </w:t>
      </w:r>
      <w:r w:rsidR="00735D2B">
        <w:rPr>
          <w:rFonts w:asciiTheme="minorHAnsi" w:hAnsiTheme="minorHAnsi"/>
        </w:rPr>
        <w:t xml:space="preserve">(AAV9) vector-based </w:t>
      </w:r>
      <w:r w:rsidR="00735D2B" w:rsidRPr="00B82D88">
        <w:rPr>
          <w:rFonts w:asciiTheme="minorHAnsi" w:hAnsiTheme="minorHAnsi"/>
        </w:rPr>
        <w:t xml:space="preserve">gene therapy </w:t>
      </w:r>
      <w:r w:rsidR="00735D2B">
        <w:rPr>
          <w:rFonts w:asciiTheme="minorHAnsi" w:hAnsiTheme="minorHAnsi"/>
        </w:rPr>
        <w:t xml:space="preserve">designed to deliver a normal copy </w:t>
      </w:r>
      <w:r w:rsidR="00735D2B" w:rsidRPr="004C39D4">
        <w:rPr>
          <w:rFonts w:asciiTheme="minorHAnsi" w:hAnsiTheme="minorHAnsi"/>
        </w:rPr>
        <w:t>of the gene encod</w:t>
      </w:r>
      <w:r w:rsidR="00735D2B">
        <w:rPr>
          <w:rFonts w:asciiTheme="minorHAnsi" w:hAnsiTheme="minorHAnsi"/>
        </w:rPr>
        <w:t>ing</w:t>
      </w:r>
      <w:r w:rsidR="00FB3C2A">
        <w:rPr>
          <w:rFonts w:asciiTheme="minorHAnsi" w:hAnsiTheme="minorHAnsi"/>
        </w:rPr>
        <w:t xml:space="preserve"> the SMN protein. </w:t>
      </w:r>
      <w:r w:rsidR="00735D2B" w:rsidRPr="004C39D4">
        <w:t xml:space="preserve">The </w:t>
      </w:r>
      <w:r w:rsidR="00735D2B" w:rsidRPr="00556097">
        <w:rPr>
          <w:i/>
        </w:rPr>
        <w:t>SMN</w:t>
      </w:r>
      <w:r w:rsidR="003958B0">
        <w:t> </w:t>
      </w:r>
      <w:r w:rsidR="00735D2B" w:rsidRPr="00B82D88">
        <w:t xml:space="preserve">gene in </w:t>
      </w:r>
      <w:proofErr w:type="spellStart"/>
      <w:r>
        <w:t>Zolgensma</w:t>
      </w:r>
      <w:proofErr w:type="spellEnd"/>
      <w:r w:rsidR="00735D2B" w:rsidRPr="00B82D88">
        <w:t xml:space="preserve"> is designed to reside as a DNA </w:t>
      </w:r>
      <w:proofErr w:type="spellStart"/>
      <w:r w:rsidR="00735D2B" w:rsidRPr="00B82D88">
        <w:t>episome</w:t>
      </w:r>
      <w:proofErr w:type="spellEnd"/>
      <w:r w:rsidR="00735D2B" w:rsidRPr="00B82D88">
        <w:t xml:space="preserve"> in the nucleus of transduced cells</w:t>
      </w:r>
      <w:r w:rsidR="00735D2B">
        <w:t>, rather than being</w:t>
      </w:r>
      <w:r w:rsidR="00735D2B" w:rsidRPr="00B82D88">
        <w:t xml:space="preserve"> integrate</w:t>
      </w:r>
      <w:r w:rsidR="00735D2B">
        <w:t>d</w:t>
      </w:r>
      <w:r w:rsidR="00735D2B" w:rsidRPr="00B82D88">
        <w:t xml:space="preserve"> into the chromosome.</w:t>
      </w:r>
      <w:r w:rsidR="00FB3C2A">
        <w:t xml:space="preserve"> </w:t>
      </w:r>
      <w:r w:rsidR="00735D2B">
        <w:rPr>
          <w:rFonts w:asciiTheme="minorHAnsi" w:eastAsiaTheme="minorHAnsi" w:hAnsiTheme="minorHAnsi"/>
        </w:rPr>
        <w:t>The clinical rationale is</w:t>
      </w:r>
      <w:r w:rsidR="00735D2B" w:rsidRPr="00B82D88">
        <w:rPr>
          <w:rFonts w:asciiTheme="minorHAnsi" w:eastAsiaTheme="minorHAnsi" w:hAnsiTheme="minorHAnsi"/>
        </w:rPr>
        <w:t xml:space="preserve"> to</w:t>
      </w:r>
      <w:r w:rsidR="00735D2B">
        <w:rPr>
          <w:rFonts w:asciiTheme="minorHAnsi" w:eastAsiaTheme="minorHAnsi" w:hAnsiTheme="minorHAnsi"/>
        </w:rPr>
        <w:t xml:space="preserve"> increase the expression level </w:t>
      </w:r>
      <w:r w:rsidR="00735D2B" w:rsidRPr="00B82D88">
        <w:rPr>
          <w:rFonts w:asciiTheme="minorHAnsi" w:eastAsiaTheme="minorHAnsi" w:hAnsiTheme="minorHAnsi"/>
        </w:rPr>
        <w:t xml:space="preserve">of the SMN protein in motor neurons </w:t>
      </w:r>
      <w:r w:rsidR="00735D2B">
        <w:rPr>
          <w:rFonts w:asciiTheme="minorHAnsi" w:eastAsiaTheme="minorHAnsi" w:hAnsiTheme="minorHAnsi"/>
        </w:rPr>
        <w:t>prior to</w:t>
      </w:r>
      <w:r w:rsidR="00735D2B" w:rsidRPr="00B82D88">
        <w:rPr>
          <w:rFonts w:asciiTheme="minorHAnsi" w:eastAsiaTheme="minorHAnsi" w:hAnsiTheme="minorHAnsi"/>
        </w:rPr>
        <w:t xml:space="preserve"> the onset of irreversible motor neuron loss, </w:t>
      </w:r>
      <w:r w:rsidR="00735D2B">
        <w:rPr>
          <w:rFonts w:asciiTheme="minorHAnsi" w:eastAsiaTheme="minorHAnsi" w:hAnsiTheme="minorHAnsi"/>
        </w:rPr>
        <w:t xml:space="preserve">thereby </w:t>
      </w:r>
      <w:r w:rsidR="00735D2B" w:rsidRPr="00B82D88">
        <w:rPr>
          <w:rFonts w:asciiTheme="minorHAnsi" w:eastAsiaTheme="minorHAnsi" w:hAnsiTheme="minorHAnsi"/>
        </w:rPr>
        <w:t xml:space="preserve">modifying the course </w:t>
      </w:r>
      <w:r w:rsidR="00735D2B">
        <w:rPr>
          <w:rFonts w:asciiTheme="minorHAnsi" w:eastAsiaTheme="minorHAnsi" w:hAnsiTheme="minorHAnsi"/>
        </w:rPr>
        <w:t>of the disease</w:t>
      </w:r>
      <w:r w:rsidR="00735D2B" w:rsidRPr="00B82D88">
        <w:rPr>
          <w:rFonts w:asciiTheme="minorHAnsi" w:eastAsiaTheme="minorHAnsi" w:hAnsiTheme="minorHAnsi"/>
        </w:rPr>
        <w:t xml:space="preserve"> and prolonging survival.</w:t>
      </w:r>
    </w:p>
    <w:p w14:paraId="3652FB69" w14:textId="5B2E6920" w:rsidR="00735D2B" w:rsidRDefault="007359A2" w:rsidP="00735D2B">
      <w:pPr>
        <w:rPr>
          <w:rFonts w:eastAsiaTheme="minorHAnsi" w:cs="CourierHP"/>
        </w:rPr>
      </w:pPr>
      <w:proofErr w:type="spellStart"/>
      <w:r>
        <w:rPr>
          <w:rFonts w:eastAsiaTheme="minorHAnsi" w:cs="CourierHP"/>
        </w:rPr>
        <w:t>Zolgensma</w:t>
      </w:r>
      <w:proofErr w:type="spellEnd"/>
      <w:r w:rsidR="00735D2B">
        <w:rPr>
          <w:rFonts w:eastAsiaTheme="minorHAnsi" w:cs="CourierHP"/>
        </w:rPr>
        <w:t xml:space="preserve"> is the second </w:t>
      </w:r>
      <w:r w:rsidR="0037124F">
        <w:rPr>
          <w:rFonts w:eastAsiaTheme="minorHAnsi" w:cs="CourierHP"/>
          <w:i/>
        </w:rPr>
        <w:t xml:space="preserve">in </w:t>
      </w:r>
      <w:r w:rsidR="00735D2B" w:rsidRPr="00094C5F">
        <w:rPr>
          <w:rFonts w:eastAsiaTheme="minorHAnsi" w:cs="CourierHP"/>
          <w:i/>
        </w:rPr>
        <w:t>vivo</w:t>
      </w:r>
      <w:r w:rsidR="00735D2B">
        <w:rPr>
          <w:rFonts w:eastAsiaTheme="minorHAnsi" w:cs="CourierHP"/>
        </w:rPr>
        <w:t xml:space="preserve"> gene therapy for which registration has been sought in Australia,</w:t>
      </w:r>
      <w:r w:rsidR="00FB3C2A">
        <w:rPr>
          <w:rStyle w:val="FootnoteReference"/>
          <w:rFonts w:eastAsiaTheme="minorHAnsi" w:cs="CourierHP"/>
        </w:rPr>
        <w:footnoteReference w:id="5"/>
      </w:r>
      <w:r w:rsidR="00735D2B">
        <w:rPr>
          <w:rFonts w:eastAsiaTheme="minorHAnsi" w:cs="CourierHP"/>
        </w:rPr>
        <w:t xml:space="preserve"> and the first involving </w:t>
      </w:r>
      <w:r w:rsidR="005112AB">
        <w:rPr>
          <w:rFonts w:eastAsiaTheme="minorHAnsi" w:cs="CourierHP"/>
        </w:rPr>
        <w:t xml:space="preserve">IV </w:t>
      </w:r>
      <w:r w:rsidR="00FB3C2A">
        <w:rPr>
          <w:rFonts w:eastAsiaTheme="minorHAnsi" w:cs="CourierHP"/>
        </w:rPr>
        <w:t>administration.</w:t>
      </w:r>
    </w:p>
    <w:p w14:paraId="5CAF5F1C" w14:textId="48589E0D" w:rsidR="00FB3C2A" w:rsidRPr="00C04933" w:rsidRDefault="00754936" w:rsidP="00735D2B">
      <w:pPr>
        <w:rPr>
          <w:rFonts w:eastAsiaTheme="minorHAnsi" w:cs="CourierHP"/>
        </w:rPr>
      </w:pPr>
      <w:r>
        <w:t>The product contains a genetically modified organism (GMO).</w:t>
      </w:r>
      <w:r w:rsidR="00FB3C2A">
        <w:rPr>
          <w:rFonts w:cs="CourierHP"/>
        </w:rPr>
        <w:t>On 26 May</w:t>
      </w:r>
      <w:r w:rsidR="00735D2B">
        <w:rPr>
          <w:rFonts w:cs="CourierHP"/>
        </w:rPr>
        <w:t xml:space="preserve"> 2020, </w:t>
      </w:r>
      <w:r w:rsidR="00DE4546">
        <w:rPr>
          <w:rFonts w:cs="CourierHP"/>
        </w:rPr>
        <w:t xml:space="preserve">the </w:t>
      </w:r>
      <w:r w:rsidR="00C04933">
        <w:rPr>
          <w:rFonts w:cs="CourierHP"/>
        </w:rPr>
        <w:t>Office of the Gene Technology Regulator (</w:t>
      </w:r>
      <w:r w:rsidR="00DE4546">
        <w:rPr>
          <w:rFonts w:cs="CourierHP"/>
        </w:rPr>
        <w:t>OGTR</w:t>
      </w:r>
      <w:r w:rsidR="00C04933">
        <w:rPr>
          <w:rFonts w:cs="CourierHP"/>
        </w:rPr>
        <w:t>)</w:t>
      </w:r>
      <w:r w:rsidR="00DE4546">
        <w:rPr>
          <w:rFonts w:cs="CourierHP"/>
        </w:rPr>
        <w:t xml:space="preserve"> issued a </w:t>
      </w:r>
      <w:r w:rsidR="00735D2B" w:rsidRPr="00DE4546">
        <w:rPr>
          <w:rFonts w:cs="CourierHP"/>
        </w:rPr>
        <w:t xml:space="preserve">Dealings Not Involving an Intentional Release </w:t>
      </w:r>
      <w:r w:rsidR="00DE4546">
        <w:rPr>
          <w:rFonts w:cs="CourierHP"/>
        </w:rPr>
        <w:t xml:space="preserve">(DNIR) </w:t>
      </w:r>
      <w:r w:rsidR="003958B0">
        <w:rPr>
          <w:rFonts w:cs="CourierHP"/>
        </w:rPr>
        <w:t>of GMOs into the e</w:t>
      </w:r>
      <w:r w:rsidR="00DE4546" w:rsidRPr="00DE4546">
        <w:rPr>
          <w:rFonts w:cs="CourierHP"/>
        </w:rPr>
        <w:t>nvironment</w:t>
      </w:r>
      <w:r w:rsidR="00DE4546">
        <w:rPr>
          <w:rFonts w:cs="CourierHP"/>
        </w:rPr>
        <w:t xml:space="preserve"> licence</w:t>
      </w:r>
      <w:r w:rsidR="00735D2B">
        <w:rPr>
          <w:rFonts w:cs="CourierHP"/>
        </w:rPr>
        <w:t xml:space="preserve"> to </w:t>
      </w:r>
      <w:r w:rsidR="00FB3C2A">
        <w:rPr>
          <w:rFonts w:cs="CourierHP"/>
        </w:rPr>
        <w:t>the sponsor</w:t>
      </w:r>
      <w:r w:rsidR="00735D2B">
        <w:rPr>
          <w:rFonts w:cs="CourierHP"/>
        </w:rPr>
        <w:t xml:space="preserve"> </w:t>
      </w:r>
      <w:r>
        <w:rPr>
          <w:rFonts w:cs="CourierHP"/>
        </w:rPr>
        <w:t xml:space="preserve">under DNIR-621 </w:t>
      </w:r>
      <w:r w:rsidR="00735D2B">
        <w:rPr>
          <w:rFonts w:cs="CourierHP"/>
        </w:rPr>
        <w:t xml:space="preserve">for the supply of </w:t>
      </w:r>
      <w:proofErr w:type="spellStart"/>
      <w:r w:rsidR="00735D2B">
        <w:rPr>
          <w:rFonts w:cs="CourierHP"/>
        </w:rPr>
        <w:t>Zolgensma</w:t>
      </w:r>
      <w:proofErr w:type="spellEnd"/>
      <w:r w:rsidR="00735D2B">
        <w:rPr>
          <w:rFonts w:cs="CourierHP"/>
        </w:rPr>
        <w:t xml:space="preserve"> </w:t>
      </w:r>
      <w:r>
        <w:rPr>
          <w:rFonts w:cs="CourierHP"/>
        </w:rPr>
        <w:t>for the treatment of patients</w:t>
      </w:r>
      <w:r w:rsidR="00AC5270">
        <w:rPr>
          <w:rFonts w:cs="CourierHP"/>
        </w:rPr>
        <w:t xml:space="preserve"> with SMA</w:t>
      </w:r>
      <w:r>
        <w:rPr>
          <w:rFonts w:cs="CourierHP"/>
        </w:rPr>
        <w:t>.</w:t>
      </w:r>
      <w:r>
        <w:rPr>
          <w:rStyle w:val="FootnoteReference"/>
          <w:rFonts w:cs="CourierHP"/>
        </w:rPr>
        <w:footnoteReference w:id="6"/>
      </w:r>
    </w:p>
    <w:p w14:paraId="3F246518" w14:textId="77777777" w:rsidR="008E7846" w:rsidRPr="003F31A2" w:rsidRDefault="00386150" w:rsidP="008E7846">
      <w:pPr>
        <w:pStyle w:val="Heading3"/>
      </w:pPr>
      <w:bookmarkStart w:id="19" w:name="_Toc314842485"/>
      <w:bookmarkStart w:id="20" w:name="_Toc247691504"/>
      <w:bookmarkStart w:id="21" w:name="_Ref65516825"/>
      <w:bookmarkStart w:id="22" w:name="_Ref65517514"/>
      <w:bookmarkStart w:id="23" w:name="_Toc69909587"/>
      <w:r>
        <w:t>Regulatory s</w:t>
      </w:r>
      <w:r w:rsidR="008E7846">
        <w:t>tatus</w:t>
      </w:r>
      <w:bookmarkEnd w:id="19"/>
      <w:bookmarkEnd w:id="20"/>
      <w:bookmarkEnd w:id="21"/>
      <w:bookmarkEnd w:id="22"/>
      <w:bookmarkEnd w:id="23"/>
    </w:p>
    <w:p w14:paraId="72471E3C" w14:textId="77777777" w:rsidR="00940A89" w:rsidRDefault="00006FAB" w:rsidP="00940A89">
      <w:bookmarkStart w:id="24" w:name="_Toc247691505"/>
      <w:bookmarkStart w:id="25" w:name="_Toc314842486"/>
      <w:r w:rsidRPr="00006FAB">
        <w:t>This product is considered a new biological entity for Australian regulatory purposes.</w:t>
      </w:r>
    </w:p>
    <w:p w14:paraId="2D5FDFCE" w14:textId="04E911B8" w:rsidR="000C6E56" w:rsidRDefault="00006FAB" w:rsidP="000C6E56">
      <w:r>
        <w:t xml:space="preserve">At the time the TGA considered this application, a similar application had been approved </w:t>
      </w:r>
      <w:r w:rsidR="00404C6D">
        <w:t xml:space="preserve">in the United States (US), European Union (EU), Japan, Canada and Brazil (see </w:t>
      </w:r>
      <w:r w:rsidR="00404C6D">
        <w:fldChar w:fldCharType="begin"/>
      </w:r>
      <w:r w:rsidR="00404C6D">
        <w:instrText xml:space="preserve"> REF _Ref65241483 \h </w:instrText>
      </w:r>
      <w:r w:rsidR="00404C6D">
        <w:fldChar w:fldCharType="separate"/>
      </w:r>
      <w:r w:rsidR="009C2F61">
        <w:t xml:space="preserve">Table </w:t>
      </w:r>
      <w:r w:rsidR="009C2F61">
        <w:rPr>
          <w:noProof/>
        </w:rPr>
        <w:t>2</w:t>
      </w:r>
      <w:r w:rsidR="00404C6D">
        <w:fldChar w:fldCharType="end"/>
      </w:r>
      <w:r w:rsidR="00404C6D">
        <w:t>), and</w:t>
      </w:r>
      <w:r>
        <w:t xml:space="preserve"> was under</w:t>
      </w:r>
      <w:r w:rsidR="00404C6D">
        <w:t xml:space="preserve"> consideration in Israel (submitted 1 July 2019), Taiwan (submitted 26</w:t>
      </w:r>
      <w:r w:rsidR="005B3281">
        <w:t> </w:t>
      </w:r>
      <w:r w:rsidR="00404C6D">
        <w:t>December 2019), Argentina (submitted 20 January 2</w:t>
      </w:r>
      <w:r w:rsidR="003958B0">
        <w:t>020), South Korea (submitted 30 </w:t>
      </w:r>
      <w:r w:rsidR="00404C6D">
        <w:t>January 2020) and Russia (submitted 16 July 2020).</w:t>
      </w:r>
    </w:p>
    <w:p w14:paraId="5219ACFD" w14:textId="3E023EF8" w:rsidR="00324E45" w:rsidRPr="00F0146F" w:rsidRDefault="00324E45" w:rsidP="00324E45">
      <w:pPr>
        <w:pStyle w:val="TableTitle"/>
      </w:pPr>
      <w:bookmarkStart w:id="26" w:name="_Ref65241483"/>
      <w:r>
        <w:t xml:space="preserve">Table </w:t>
      </w:r>
      <w:fldSimple w:instr=" SEQ Table \* ARABIC ">
        <w:r w:rsidR="009C2F61">
          <w:rPr>
            <w:noProof/>
          </w:rPr>
          <w:t>2</w:t>
        </w:r>
      </w:fldSimple>
      <w:bookmarkEnd w:id="26"/>
      <w:r>
        <w:t xml:space="preserve">: International regulatory </w:t>
      </w:r>
      <w:r w:rsidR="000C6E56">
        <w:t xml:space="preserve">approvals </w:t>
      </w:r>
      <w:r w:rsidR="00404C6D">
        <w:t>as of February 2021</w:t>
      </w:r>
    </w:p>
    <w:tbl>
      <w:tblPr>
        <w:tblStyle w:val="TableTGAblue"/>
        <w:tblW w:w="0" w:type="auto"/>
        <w:tblLayout w:type="fixed"/>
        <w:tblLook w:val="04A0" w:firstRow="1" w:lastRow="0" w:firstColumn="1" w:lastColumn="0" w:noHBand="0" w:noVBand="1"/>
      </w:tblPr>
      <w:tblGrid>
        <w:gridCol w:w="1435"/>
        <w:gridCol w:w="1800"/>
        <w:gridCol w:w="1710"/>
        <w:gridCol w:w="3549"/>
      </w:tblGrid>
      <w:tr w:rsidR="005B3281" w14:paraId="534C8680" w14:textId="77777777" w:rsidTr="00A72B01">
        <w:trPr>
          <w:cnfStyle w:val="100000000000" w:firstRow="1" w:lastRow="0" w:firstColumn="0" w:lastColumn="0" w:oddVBand="0" w:evenVBand="0" w:oddHBand="0" w:evenHBand="0" w:firstRowFirstColumn="0" w:firstRowLastColumn="0" w:lastRowFirstColumn="0" w:lastRowLastColumn="0"/>
        </w:trPr>
        <w:tc>
          <w:tcPr>
            <w:tcW w:w="1435" w:type="dxa"/>
          </w:tcPr>
          <w:p w14:paraId="3E0E46DE" w14:textId="77777777" w:rsidR="00006FAB" w:rsidRDefault="00006FAB" w:rsidP="000C6E56">
            <w:pPr>
              <w:ind w:left="0" w:right="0"/>
            </w:pPr>
            <w:r>
              <w:t>Region</w:t>
            </w:r>
          </w:p>
        </w:tc>
        <w:tc>
          <w:tcPr>
            <w:tcW w:w="1800" w:type="dxa"/>
          </w:tcPr>
          <w:p w14:paraId="44C18E23" w14:textId="77777777" w:rsidR="00006FAB" w:rsidRDefault="00006FAB" w:rsidP="000C6E56">
            <w:pPr>
              <w:ind w:left="0" w:right="0"/>
            </w:pPr>
            <w:r>
              <w:t>Submission date</w:t>
            </w:r>
          </w:p>
        </w:tc>
        <w:tc>
          <w:tcPr>
            <w:tcW w:w="1710" w:type="dxa"/>
          </w:tcPr>
          <w:p w14:paraId="5076A63C" w14:textId="77777777" w:rsidR="00006FAB" w:rsidRDefault="00006FAB" w:rsidP="000C6E56">
            <w:pPr>
              <w:ind w:left="0" w:right="0"/>
            </w:pPr>
            <w:r>
              <w:t>Status</w:t>
            </w:r>
          </w:p>
        </w:tc>
        <w:tc>
          <w:tcPr>
            <w:tcW w:w="3549" w:type="dxa"/>
          </w:tcPr>
          <w:p w14:paraId="72D43D9C" w14:textId="77777777" w:rsidR="00006FAB" w:rsidRDefault="00006FAB" w:rsidP="000C6E56">
            <w:pPr>
              <w:ind w:left="0" w:right="0"/>
            </w:pPr>
            <w:r>
              <w:t>Approved indications</w:t>
            </w:r>
          </w:p>
        </w:tc>
      </w:tr>
      <w:tr w:rsidR="00006FAB" w14:paraId="3073D923" w14:textId="77777777" w:rsidTr="00A72B01">
        <w:tc>
          <w:tcPr>
            <w:tcW w:w="1435" w:type="dxa"/>
          </w:tcPr>
          <w:p w14:paraId="39D0CE04" w14:textId="77777777" w:rsidR="00006FAB" w:rsidRDefault="000C6E56" w:rsidP="000C6E56">
            <w:pPr>
              <w:ind w:left="0" w:right="0"/>
            </w:pPr>
            <w:r>
              <w:t>US</w:t>
            </w:r>
          </w:p>
        </w:tc>
        <w:tc>
          <w:tcPr>
            <w:tcW w:w="1800" w:type="dxa"/>
          </w:tcPr>
          <w:p w14:paraId="1A7C506A" w14:textId="77777777" w:rsidR="00006FAB" w:rsidRDefault="000C6E56" w:rsidP="000C6E56">
            <w:pPr>
              <w:ind w:left="0" w:right="0"/>
            </w:pPr>
            <w:r>
              <w:t>1 October 2018</w:t>
            </w:r>
          </w:p>
        </w:tc>
        <w:tc>
          <w:tcPr>
            <w:tcW w:w="1710" w:type="dxa"/>
          </w:tcPr>
          <w:p w14:paraId="2E25A7A2" w14:textId="2A9301BC" w:rsidR="00006FAB" w:rsidRDefault="00CF550A" w:rsidP="000C6E56">
            <w:pPr>
              <w:ind w:left="0" w:right="0"/>
            </w:pPr>
            <w:r>
              <w:t>Approved on 24 May </w:t>
            </w:r>
            <w:r w:rsidR="000C6E56">
              <w:t>2019</w:t>
            </w:r>
          </w:p>
        </w:tc>
        <w:tc>
          <w:tcPr>
            <w:tcW w:w="3549" w:type="dxa"/>
          </w:tcPr>
          <w:p w14:paraId="759CC35F" w14:textId="1B23945F" w:rsidR="000C6E56" w:rsidRPr="007359A2" w:rsidRDefault="00404C6D" w:rsidP="000C6E56">
            <w:pPr>
              <w:ind w:left="0" w:right="0"/>
              <w:rPr>
                <w:i/>
              </w:rPr>
            </w:pPr>
            <w:proofErr w:type="spellStart"/>
            <w:r w:rsidRPr="007359A2">
              <w:rPr>
                <w:i/>
              </w:rPr>
              <w:t>Zolgensma</w:t>
            </w:r>
            <w:proofErr w:type="spellEnd"/>
            <w:r w:rsidR="000C6E56" w:rsidRPr="007359A2">
              <w:rPr>
                <w:i/>
              </w:rPr>
              <w:t xml:space="preserve"> (</w:t>
            </w:r>
            <w:proofErr w:type="spellStart"/>
            <w:r w:rsidR="000C6E56" w:rsidRPr="007359A2">
              <w:rPr>
                <w:i/>
              </w:rPr>
              <w:t>onasemnogene</w:t>
            </w:r>
            <w:proofErr w:type="spellEnd"/>
            <w:r w:rsidR="000C6E56" w:rsidRPr="007359A2">
              <w:rPr>
                <w:i/>
              </w:rPr>
              <w:t xml:space="preserve"> </w:t>
            </w:r>
            <w:proofErr w:type="spellStart"/>
            <w:r w:rsidR="000C6E56" w:rsidRPr="007359A2">
              <w:rPr>
                <w:i/>
              </w:rPr>
              <w:t>abeparvovec</w:t>
            </w:r>
            <w:r w:rsidR="00207DF8">
              <w:rPr>
                <w:i/>
              </w:rPr>
              <w:t>-</w:t>
            </w:r>
            <w:r w:rsidR="000C6E56" w:rsidRPr="007359A2">
              <w:rPr>
                <w:i/>
              </w:rPr>
              <w:t>xioi</w:t>
            </w:r>
            <w:proofErr w:type="spellEnd"/>
            <w:r w:rsidR="000C6E56" w:rsidRPr="007359A2">
              <w:rPr>
                <w:i/>
              </w:rPr>
              <w:t xml:space="preserve">) is an adeno-associated virus vector-based gene therapy indicated for the treatment of </w:t>
            </w:r>
            <w:proofErr w:type="spellStart"/>
            <w:r w:rsidR="000C6E56" w:rsidRPr="007359A2">
              <w:rPr>
                <w:i/>
              </w:rPr>
              <w:t>pediatric</w:t>
            </w:r>
            <w:proofErr w:type="spellEnd"/>
            <w:r w:rsidR="000C6E56" w:rsidRPr="007359A2">
              <w:rPr>
                <w:i/>
              </w:rPr>
              <w:t xml:space="preserve"> patients less than 2 years of age with spinal muscular atrophy (SMA) with bi-allelic mutations in the survival motor neuron 1 (SMN1) gene.</w:t>
            </w:r>
          </w:p>
          <w:p w14:paraId="1A000555" w14:textId="77777777" w:rsidR="000C6E56" w:rsidRPr="007359A2" w:rsidRDefault="000C6E56" w:rsidP="000C6E56">
            <w:pPr>
              <w:ind w:left="0" w:right="0"/>
              <w:rPr>
                <w:i/>
              </w:rPr>
            </w:pPr>
            <w:r w:rsidRPr="007359A2">
              <w:rPr>
                <w:i/>
              </w:rPr>
              <w:t>Limitation of Use:</w:t>
            </w:r>
          </w:p>
          <w:p w14:paraId="0DD93E10" w14:textId="77777777" w:rsidR="000C6E56" w:rsidRPr="007359A2" w:rsidRDefault="000C6E56" w:rsidP="000C6E56">
            <w:pPr>
              <w:pStyle w:val="ListBullet"/>
              <w:rPr>
                <w:i/>
              </w:rPr>
            </w:pPr>
            <w:r w:rsidRPr="007359A2">
              <w:rPr>
                <w:i/>
              </w:rPr>
              <w:t xml:space="preserve">The safety and effectiveness of repeat administration of </w:t>
            </w:r>
            <w:proofErr w:type="spellStart"/>
            <w:r w:rsidR="007359A2">
              <w:rPr>
                <w:i/>
              </w:rPr>
              <w:t>Zolgensma</w:t>
            </w:r>
            <w:proofErr w:type="spellEnd"/>
            <w:r w:rsidRPr="007359A2">
              <w:rPr>
                <w:i/>
              </w:rPr>
              <w:t xml:space="preserve"> have not been evaluated.</w:t>
            </w:r>
          </w:p>
          <w:p w14:paraId="622E976B" w14:textId="77777777" w:rsidR="00006FAB" w:rsidRPr="007359A2" w:rsidRDefault="000C6E56" w:rsidP="000C6E56">
            <w:pPr>
              <w:pStyle w:val="ListBullet"/>
              <w:rPr>
                <w:i/>
              </w:rPr>
            </w:pPr>
            <w:r w:rsidRPr="007359A2">
              <w:rPr>
                <w:i/>
              </w:rPr>
              <w:t xml:space="preserve">The use of </w:t>
            </w:r>
            <w:proofErr w:type="spellStart"/>
            <w:r w:rsidR="00404C6D" w:rsidRPr="007359A2">
              <w:rPr>
                <w:i/>
              </w:rPr>
              <w:t>Zolgensma</w:t>
            </w:r>
            <w:proofErr w:type="spellEnd"/>
            <w:r w:rsidRPr="007359A2">
              <w:rPr>
                <w:i/>
              </w:rPr>
              <w:t xml:space="preserve"> in patients with advanced SMA (e.g., complete paralysis of limbs, permanent ventilator dependence) has not been evaluated.</w:t>
            </w:r>
          </w:p>
        </w:tc>
      </w:tr>
      <w:tr w:rsidR="00006FAB" w14:paraId="5C632131" w14:textId="77777777" w:rsidTr="00A72B01">
        <w:tc>
          <w:tcPr>
            <w:tcW w:w="1435" w:type="dxa"/>
          </w:tcPr>
          <w:p w14:paraId="675DD174" w14:textId="2F018B82" w:rsidR="00006FAB" w:rsidRDefault="000C6E56" w:rsidP="000C6E56">
            <w:pPr>
              <w:ind w:left="0" w:right="0"/>
            </w:pPr>
            <w:r>
              <w:t>EU (C</w:t>
            </w:r>
            <w:r w:rsidRPr="000C6E56">
              <w:t>entralised</w:t>
            </w:r>
            <w:r>
              <w:t xml:space="preserve"> </w:t>
            </w:r>
            <w:r w:rsidR="005B3281">
              <w:t>p</w:t>
            </w:r>
            <w:r>
              <w:t>rocedure</w:t>
            </w:r>
            <w:r w:rsidRPr="000C6E56">
              <w:t>)</w:t>
            </w:r>
          </w:p>
        </w:tc>
        <w:tc>
          <w:tcPr>
            <w:tcW w:w="1800" w:type="dxa"/>
          </w:tcPr>
          <w:p w14:paraId="153942C2" w14:textId="045C4958" w:rsidR="00006FAB" w:rsidRDefault="00CF550A" w:rsidP="000C6E56">
            <w:pPr>
              <w:ind w:left="0" w:right="0"/>
            </w:pPr>
            <w:r>
              <w:t>11 October </w:t>
            </w:r>
            <w:r w:rsidR="000C6E56">
              <w:t>2018</w:t>
            </w:r>
          </w:p>
        </w:tc>
        <w:tc>
          <w:tcPr>
            <w:tcW w:w="1710" w:type="dxa"/>
          </w:tcPr>
          <w:p w14:paraId="50C2CA5E" w14:textId="65359BD0" w:rsidR="00006FAB" w:rsidRDefault="00CF550A" w:rsidP="000C6E56">
            <w:pPr>
              <w:ind w:left="0" w:right="0"/>
            </w:pPr>
            <w:r>
              <w:t xml:space="preserve">Conditionally approved </w:t>
            </w:r>
            <w:r w:rsidR="00754936">
              <w:t xml:space="preserve">on </w:t>
            </w:r>
            <w:r>
              <w:t>18 </w:t>
            </w:r>
            <w:r w:rsidR="00754936">
              <w:t>May </w:t>
            </w:r>
            <w:r w:rsidR="000C6E56">
              <w:t>2020</w:t>
            </w:r>
          </w:p>
        </w:tc>
        <w:tc>
          <w:tcPr>
            <w:tcW w:w="3549" w:type="dxa"/>
          </w:tcPr>
          <w:p w14:paraId="5BDA5356" w14:textId="77777777" w:rsidR="000C6E56" w:rsidRPr="007359A2" w:rsidRDefault="000C6E56" w:rsidP="000C6E56">
            <w:pPr>
              <w:ind w:left="0" w:right="0"/>
              <w:rPr>
                <w:i/>
              </w:rPr>
            </w:pPr>
            <w:proofErr w:type="spellStart"/>
            <w:r w:rsidRPr="007359A2">
              <w:rPr>
                <w:i/>
              </w:rPr>
              <w:t>Zolgensma</w:t>
            </w:r>
            <w:proofErr w:type="spellEnd"/>
            <w:r w:rsidRPr="007359A2">
              <w:rPr>
                <w:i/>
              </w:rPr>
              <w:t xml:space="preserve"> is indicated for the treatment of:</w:t>
            </w:r>
          </w:p>
          <w:p w14:paraId="61BBE641" w14:textId="77777777" w:rsidR="000C6E56" w:rsidRPr="007359A2" w:rsidRDefault="000C6E56" w:rsidP="000C6E56">
            <w:pPr>
              <w:pStyle w:val="ListBullet"/>
              <w:rPr>
                <w:i/>
              </w:rPr>
            </w:pPr>
            <w:r w:rsidRPr="007359A2">
              <w:rPr>
                <w:i/>
              </w:rPr>
              <w:t>patients with 5q spinal muscular atrophy (SMA) with a bi-allelic mutation in the SMN1 gene and a clinical diagnosis of SMA Type 1, or</w:t>
            </w:r>
          </w:p>
          <w:p w14:paraId="007D278E" w14:textId="77777777" w:rsidR="00006FAB" w:rsidRPr="007359A2" w:rsidRDefault="000C6E56" w:rsidP="000C6E56">
            <w:pPr>
              <w:pStyle w:val="ListBullet"/>
              <w:rPr>
                <w:i/>
              </w:rPr>
            </w:pPr>
            <w:r w:rsidRPr="007359A2">
              <w:rPr>
                <w:i/>
              </w:rPr>
              <w:t>patients with 5q SMA with a bi-allelic mutation in the SMN1 gene and up to 3copies of the SMN2 gene.</w:t>
            </w:r>
          </w:p>
        </w:tc>
      </w:tr>
      <w:tr w:rsidR="000C6E56" w14:paraId="6D395796" w14:textId="77777777" w:rsidTr="00A72B01">
        <w:tc>
          <w:tcPr>
            <w:tcW w:w="1435" w:type="dxa"/>
          </w:tcPr>
          <w:p w14:paraId="61FD2DE4" w14:textId="77777777" w:rsidR="000C6E56" w:rsidRDefault="000C6E56" w:rsidP="000C6E56">
            <w:pPr>
              <w:ind w:left="0" w:right="0"/>
            </w:pPr>
            <w:r>
              <w:t>Japan</w:t>
            </w:r>
          </w:p>
        </w:tc>
        <w:tc>
          <w:tcPr>
            <w:tcW w:w="1800" w:type="dxa"/>
          </w:tcPr>
          <w:p w14:paraId="48D66802" w14:textId="62BC4552" w:rsidR="000C6E56" w:rsidRDefault="00CF550A" w:rsidP="000C6E56">
            <w:pPr>
              <w:ind w:left="0" w:right="0"/>
            </w:pPr>
            <w:r>
              <w:t>1 </w:t>
            </w:r>
            <w:r w:rsidR="000C6E56">
              <w:t>Novem</w:t>
            </w:r>
            <w:r>
              <w:t>ber </w:t>
            </w:r>
            <w:r w:rsidR="000C6E56">
              <w:t>2018</w:t>
            </w:r>
          </w:p>
        </w:tc>
        <w:tc>
          <w:tcPr>
            <w:tcW w:w="1710" w:type="dxa"/>
          </w:tcPr>
          <w:p w14:paraId="6460E8F2" w14:textId="7FEEBC47" w:rsidR="000C6E56" w:rsidRDefault="00CF550A" w:rsidP="000C6E56">
            <w:pPr>
              <w:ind w:left="0" w:right="0"/>
            </w:pPr>
            <w:r>
              <w:t>Approved on 19 March </w:t>
            </w:r>
            <w:r w:rsidR="000C6E56">
              <w:t>2020</w:t>
            </w:r>
          </w:p>
        </w:tc>
        <w:tc>
          <w:tcPr>
            <w:tcW w:w="3549" w:type="dxa"/>
          </w:tcPr>
          <w:p w14:paraId="74D56C0B" w14:textId="77777777" w:rsidR="000C6E56" w:rsidRPr="00A20897" w:rsidRDefault="000C6E56" w:rsidP="00A20897">
            <w:pPr>
              <w:autoSpaceDE w:val="0"/>
              <w:autoSpaceDN w:val="0"/>
              <w:adjustRightInd w:val="0"/>
              <w:spacing w:line="240" w:lineRule="auto"/>
              <w:ind w:left="0" w:right="0"/>
              <w:rPr>
                <w:rFonts w:eastAsiaTheme="minorHAnsi"/>
                <w:i/>
              </w:rPr>
            </w:pPr>
            <w:r w:rsidRPr="00A20897">
              <w:rPr>
                <w:rFonts w:eastAsiaTheme="minorHAnsi"/>
                <w:i/>
              </w:rPr>
              <w:t>Spinal muscular atrophy (including those who do not develop clinical findings but are predicted to develop spinal muscular atrophy by genetic testing), but only patients with anti AAV9 antibodies negative.</w:t>
            </w:r>
          </w:p>
          <w:p w14:paraId="3A9EE3EC" w14:textId="24F28136" w:rsidR="000C6E56" w:rsidRPr="00A20897" w:rsidRDefault="000C6E56" w:rsidP="00A20897">
            <w:pPr>
              <w:autoSpaceDE w:val="0"/>
              <w:autoSpaceDN w:val="0"/>
              <w:adjustRightInd w:val="0"/>
              <w:spacing w:line="240" w:lineRule="auto"/>
              <w:ind w:left="0" w:right="0"/>
              <w:rPr>
                <w:rFonts w:eastAsiaTheme="minorHAnsi"/>
                <w:i/>
              </w:rPr>
            </w:pPr>
            <w:r w:rsidRPr="00A20897">
              <w:rPr>
                <w:rFonts w:eastAsiaTheme="minorHAnsi"/>
                <w:i/>
              </w:rPr>
              <w:t>Precautions-relat</w:t>
            </w:r>
            <w:r w:rsidR="00871924">
              <w:rPr>
                <w:rFonts w:eastAsiaTheme="minorHAnsi"/>
                <w:i/>
              </w:rPr>
              <w:t>ed to Indications</w:t>
            </w:r>
            <w:r w:rsidR="001467AB">
              <w:rPr>
                <w:rFonts w:eastAsiaTheme="minorHAnsi"/>
                <w:i/>
              </w:rPr>
              <w:t xml:space="preserve"> (</w:t>
            </w:r>
            <w:r w:rsidR="001467AB" w:rsidRPr="001467AB">
              <w:rPr>
                <w:rFonts w:eastAsiaTheme="minorHAnsi"/>
                <w:i/>
              </w:rPr>
              <w:t xml:space="preserve">refer to country product information for </w:t>
            </w:r>
            <w:r w:rsidR="001467AB">
              <w:rPr>
                <w:rFonts w:eastAsiaTheme="minorHAnsi"/>
                <w:i/>
              </w:rPr>
              <w:t>full text)</w:t>
            </w:r>
          </w:p>
          <w:p w14:paraId="7C9AAD5F" w14:textId="3C6D3BAB" w:rsidR="000C6E56" w:rsidRPr="00A20897" w:rsidRDefault="007359A2" w:rsidP="00A20897">
            <w:pPr>
              <w:pStyle w:val="Numberbullet0"/>
              <w:spacing w:line="240" w:lineRule="auto"/>
              <w:rPr>
                <w:i/>
              </w:rPr>
            </w:pPr>
            <w:proofErr w:type="spellStart"/>
            <w:r w:rsidRPr="00A20897">
              <w:rPr>
                <w:i/>
              </w:rPr>
              <w:t>Zolgensma</w:t>
            </w:r>
            <w:proofErr w:type="spellEnd"/>
            <w:r w:rsidR="000C6E56" w:rsidRPr="00A20897">
              <w:rPr>
                <w:i/>
              </w:rPr>
              <w:t xml:space="preserve"> should be administered to patients with </w:t>
            </w:r>
            <w:proofErr w:type="spellStart"/>
            <w:r w:rsidR="000C6E56" w:rsidRPr="00A20897">
              <w:rPr>
                <w:i/>
              </w:rPr>
              <w:t>biallelic</w:t>
            </w:r>
            <w:proofErr w:type="spellEnd"/>
            <w:r w:rsidR="000C6E56" w:rsidRPr="00A20897">
              <w:rPr>
                <w:i/>
              </w:rPr>
              <w:t xml:space="preserve"> deletions or mutations in SMN1 gene.</w:t>
            </w:r>
          </w:p>
          <w:p w14:paraId="54FA1124" w14:textId="7F7D6DCB" w:rsidR="000C6E56" w:rsidRPr="00A20897" w:rsidRDefault="007359A2" w:rsidP="00A20897">
            <w:pPr>
              <w:pStyle w:val="Numberbullet0"/>
              <w:spacing w:line="240" w:lineRule="auto"/>
              <w:rPr>
                <w:i/>
              </w:rPr>
            </w:pPr>
            <w:proofErr w:type="spellStart"/>
            <w:r w:rsidRPr="00A20897">
              <w:rPr>
                <w:i/>
              </w:rPr>
              <w:t>Zolgensma</w:t>
            </w:r>
            <w:proofErr w:type="spellEnd"/>
            <w:r w:rsidR="000C6E56" w:rsidRPr="00A20897">
              <w:rPr>
                <w:i/>
              </w:rPr>
              <w:t xml:space="preserve"> should be administered to patients less than 2 years of age</w:t>
            </w:r>
          </w:p>
          <w:p w14:paraId="18708732" w14:textId="313FE529" w:rsidR="000C6E56" w:rsidRPr="00A20897" w:rsidRDefault="000C6E56" w:rsidP="00A20897">
            <w:pPr>
              <w:pStyle w:val="Numberbullet0"/>
              <w:spacing w:line="240" w:lineRule="auto"/>
              <w:rPr>
                <w:i/>
              </w:rPr>
            </w:pPr>
            <w:r w:rsidRPr="00A20897">
              <w:rPr>
                <w:i/>
              </w:rPr>
              <w:t xml:space="preserve">Efficacy and safety of </w:t>
            </w:r>
            <w:proofErr w:type="spellStart"/>
            <w:r w:rsidR="007359A2" w:rsidRPr="00A20897">
              <w:rPr>
                <w:i/>
              </w:rPr>
              <w:t>Zolgensma</w:t>
            </w:r>
            <w:proofErr w:type="spellEnd"/>
            <w:r w:rsidRPr="00A20897">
              <w:rPr>
                <w:i/>
              </w:rPr>
              <w:t xml:space="preserve"> in patients with advanced spinal muscular atrophy (e.g., permanent ventilator-dependence) have not been established. Therefore, the risks and benefits of the administration should be fully considered when </w:t>
            </w:r>
            <w:proofErr w:type="spellStart"/>
            <w:r w:rsidRPr="00A20897">
              <w:rPr>
                <w:i/>
              </w:rPr>
              <w:t>Zolgensma</w:t>
            </w:r>
            <w:proofErr w:type="spellEnd"/>
            <w:r w:rsidRPr="00A20897">
              <w:rPr>
                <w:i/>
              </w:rPr>
              <w:t xml:space="preserve"> is administered to these patients.</w:t>
            </w:r>
          </w:p>
          <w:p w14:paraId="2FFF38F8" w14:textId="48208DBB" w:rsidR="000C6E56" w:rsidRPr="00A20897" w:rsidRDefault="007359A2" w:rsidP="00207DF8">
            <w:pPr>
              <w:pStyle w:val="Numberbullet0"/>
              <w:spacing w:line="240" w:lineRule="auto"/>
              <w:rPr>
                <w:i/>
              </w:rPr>
            </w:pPr>
            <w:proofErr w:type="spellStart"/>
            <w:r w:rsidRPr="00A20897">
              <w:rPr>
                <w:i/>
              </w:rPr>
              <w:t>Zolgensma</w:t>
            </w:r>
            <w:proofErr w:type="spellEnd"/>
            <w:r w:rsidR="000C6E56" w:rsidRPr="00A20897">
              <w:rPr>
                <w:i/>
              </w:rPr>
              <w:t xml:space="preserve"> should be administered to patients whose anti-AAV9 Ab is confirmed as negative by approved in-vi</w:t>
            </w:r>
            <w:r w:rsidR="00207DF8">
              <w:rPr>
                <w:i/>
              </w:rPr>
              <w:t>tro</w:t>
            </w:r>
            <w:r w:rsidR="000C6E56" w:rsidRPr="00A20897">
              <w:rPr>
                <w:i/>
              </w:rPr>
              <w:t xml:space="preserve"> diagnostics.</w:t>
            </w:r>
          </w:p>
        </w:tc>
      </w:tr>
      <w:tr w:rsidR="00404C6D" w14:paraId="637639C4" w14:textId="77777777" w:rsidTr="00A72B01">
        <w:tc>
          <w:tcPr>
            <w:tcW w:w="1435" w:type="dxa"/>
          </w:tcPr>
          <w:p w14:paraId="4BE1F8FF" w14:textId="77777777" w:rsidR="00404C6D" w:rsidRDefault="00404C6D" w:rsidP="00404C6D">
            <w:pPr>
              <w:ind w:left="0" w:right="0"/>
            </w:pPr>
            <w:r>
              <w:t>Canada</w:t>
            </w:r>
          </w:p>
        </w:tc>
        <w:tc>
          <w:tcPr>
            <w:tcW w:w="1800" w:type="dxa"/>
          </w:tcPr>
          <w:p w14:paraId="371A30DE" w14:textId="77777777" w:rsidR="00404C6D" w:rsidRDefault="00404C6D" w:rsidP="00404C6D">
            <w:pPr>
              <w:ind w:left="0" w:right="0"/>
            </w:pPr>
            <w:r>
              <w:t>21 May 2020</w:t>
            </w:r>
          </w:p>
        </w:tc>
        <w:tc>
          <w:tcPr>
            <w:tcW w:w="1710" w:type="dxa"/>
          </w:tcPr>
          <w:p w14:paraId="02D19383" w14:textId="17E01D4B" w:rsidR="00404C6D" w:rsidRDefault="00CF550A" w:rsidP="00404C6D">
            <w:pPr>
              <w:ind w:left="0" w:right="0"/>
            </w:pPr>
            <w:r>
              <w:t>Approved on 15 December</w:t>
            </w:r>
            <w:r w:rsidR="005B3281">
              <w:t xml:space="preserve"> </w:t>
            </w:r>
            <w:r w:rsidR="00404C6D">
              <w:t>2020</w:t>
            </w:r>
          </w:p>
        </w:tc>
        <w:tc>
          <w:tcPr>
            <w:tcW w:w="3549" w:type="dxa"/>
          </w:tcPr>
          <w:p w14:paraId="3D14BA6B" w14:textId="29D8044B" w:rsidR="00404C6D" w:rsidRPr="007359A2" w:rsidRDefault="007359A2" w:rsidP="00404C6D">
            <w:pPr>
              <w:autoSpaceDE w:val="0"/>
              <w:autoSpaceDN w:val="0"/>
              <w:adjustRightInd w:val="0"/>
              <w:spacing w:line="240" w:lineRule="auto"/>
              <w:ind w:left="0" w:right="0"/>
              <w:rPr>
                <w:rFonts w:asciiTheme="minorHAnsi" w:eastAsiaTheme="minorHAnsi" w:hAnsiTheme="minorHAnsi"/>
                <w:i/>
              </w:rPr>
            </w:pPr>
            <w:proofErr w:type="spellStart"/>
            <w:r>
              <w:rPr>
                <w:rFonts w:asciiTheme="minorHAnsi" w:eastAsiaTheme="minorHAnsi" w:hAnsiTheme="minorHAnsi"/>
                <w:i/>
              </w:rPr>
              <w:t>Zolgensma</w:t>
            </w:r>
            <w:proofErr w:type="spellEnd"/>
            <w:r w:rsidR="00404C6D" w:rsidRPr="007359A2">
              <w:rPr>
                <w:rFonts w:asciiTheme="minorHAnsi" w:eastAsiaTheme="minorHAnsi" w:hAnsiTheme="minorHAnsi"/>
                <w:i/>
              </w:rPr>
              <w:t xml:space="preserve"> (</w:t>
            </w:r>
            <w:proofErr w:type="spellStart"/>
            <w:r w:rsidR="00404C6D" w:rsidRPr="007359A2">
              <w:rPr>
                <w:rFonts w:asciiTheme="minorHAnsi" w:eastAsiaTheme="minorHAnsi" w:hAnsiTheme="minorHAnsi"/>
                <w:i/>
              </w:rPr>
              <w:t>onasemnogene</w:t>
            </w:r>
            <w:proofErr w:type="spellEnd"/>
            <w:r w:rsidR="00404C6D" w:rsidRPr="007359A2">
              <w:rPr>
                <w:rFonts w:asciiTheme="minorHAnsi" w:eastAsiaTheme="minorHAnsi" w:hAnsiTheme="minorHAnsi"/>
                <w:i/>
              </w:rPr>
              <w:t xml:space="preserve"> </w:t>
            </w:r>
            <w:proofErr w:type="spellStart"/>
            <w:r w:rsidR="00404C6D" w:rsidRPr="007359A2">
              <w:rPr>
                <w:rFonts w:asciiTheme="minorHAnsi" w:eastAsiaTheme="minorHAnsi" w:hAnsiTheme="minorHAnsi"/>
                <w:i/>
              </w:rPr>
              <w:t>abeparvovec</w:t>
            </w:r>
            <w:proofErr w:type="spellEnd"/>
            <w:r w:rsidR="00404C6D" w:rsidRPr="007359A2">
              <w:rPr>
                <w:rFonts w:asciiTheme="minorHAnsi" w:eastAsiaTheme="minorHAnsi" w:hAnsiTheme="minorHAnsi"/>
                <w:i/>
              </w:rPr>
              <w:t xml:space="preserve">) is indicated for the treatment of </w:t>
            </w:r>
            <w:proofErr w:type="spellStart"/>
            <w:r w:rsidR="00404C6D" w:rsidRPr="007359A2">
              <w:rPr>
                <w:rFonts w:asciiTheme="minorHAnsi" w:eastAsiaTheme="minorHAnsi" w:hAnsiTheme="minorHAnsi"/>
                <w:i/>
              </w:rPr>
              <w:t>pediatric</w:t>
            </w:r>
            <w:proofErr w:type="spellEnd"/>
            <w:r w:rsidR="00404C6D" w:rsidRPr="007359A2">
              <w:rPr>
                <w:rFonts w:asciiTheme="minorHAnsi" w:eastAsiaTheme="minorHAnsi" w:hAnsiTheme="minorHAnsi"/>
                <w:i/>
              </w:rPr>
              <w:t xml:space="preserve"> patients with 5q spinal muscular atrophy (SMA) with bi-allelic mutations in the survival </w:t>
            </w:r>
            <w:r w:rsidR="00C4477A">
              <w:rPr>
                <w:rFonts w:asciiTheme="minorHAnsi" w:eastAsiaTheme="minorHAnsi" w:hAnsiTheme="minorHAnsi"/>
                <w:i/>
              </w:rPr>
              <w:t>motor neuron 1 (SMN1) gene and:</w:t>
            </w:r>
          </w:p>
          <w:p w14:paraId="5F406CB2" w14:textId="4D6824D4" w:rsidR="00404C6D" w:rsidRPr="007359A2" w:rsidRDefault="00404C6D" w:rsidP="00404C6D">
            <w:pPr>
              <w:pStyle w:val="ListBullet"/>
              <w:rPr>
                <w:i/>
              </w:rPr>
            </w:pPr>
            <w:r w:rsidRPr="007359A2">
              <w:rPr>
                <w:i/>
              </w:rPr>
              <w:t>3 o</w:t>
            </w:r>
            <w:r w:rsidR="00C4477A">
              <w:rPr>
                <w:i/>
              </w:rPr>
              <w:t>r fewer copies of SMN2 gene; or</w:t>
            </w:r>
          </w:p>
          <w:p w14:paraId="4596C0A1" w14:textId="61B06D24" w:rsidR="00404C6D" w:rsidRPr="007359A2" w:rsidRDefault="00C4477A" w:rsidP="00404C6D">
            <w:pPr>
              <w:pStyle w:val="ListBullet"/>
              <w:rPr>
                <w:i/>
              </w:rPr>
            </w:pPr>
            <w:r>
              <w:rPr>
                <w:i/>
              </w:rPr>
              <w:t>infantile-onset SMA.</w:t>
            </w:r>
          </w:p>
          <w:p w14:paraId="4368C3C5" w14:textId="7B51C8E3" w:rsidR="00404C6D" w:rsidRPr="007359A2" w:rsidRDefault="00404C6D" w:rsidP="00404C6D">
            <w:pPr>
              <w:autoSpaceDE w:val="0"/>
              <w:autoSpaceDN w:val="0"/>
              <w:adjustRightInd w:val="0"/>
              <w:spacing w:line="240" w:lineRule="auto"/>
              <w:ind w:left="0" w:right="0"/>
              <w:rPr>
                <w:rFonts w:asciiTheme="minorHAnsi" w:eastAsiaTheme="minorHAnsi" w:hAnsiTheme="minorHAnsi"/>
                <w:i/>
              </w:rPr>
            </w:pPr>
            <w:r w:rsidRPr="007359A2">
              <w:rPr>
                <w:rFonts w:asciiTheme="minorHAnsi" w:eastAsiaTheme="minorHAnsi" w:hAnsiTheme="minorHAnsi"/>
                <w:i/>
              </w:rPr>
              <w:t xml:space="preserve">The efficacy and safety data supporting the use of </w:t>
            </w:r>
            <w:proofErr w:type="spellStart"/>
            <w:r w:rsidR="007359A2">
              <w:rPr>
                <w:rFonts w:asciiTheme="minorHAnsi" w:eastAsiaTheme="minorHAnsi" w:hAnsiTheme="minorHAnsi"/>
                <w:i/>
              </w:rPr>
              <w:t>Zolgensma</w:t>
            </w:r>
            <w:proofErr w:type="spellEnd"/>
            <w:r w:rsidRPr="007359A2">
              <w:rPr>
                <w:rFonts w:asciiTheme="minorHAnsi" w:eastAsiaTheme="minorHAnsi" w:hAnsiTheme="minorHAnsi"/>
                <w:i/>
              </w:rPr>
              <w:t xml:space="preserve"> in treating </w:t>
            </w:r>
            <w:proofErr w:type="spellStart"/>
            <w:r w:rsidRPr="007359A2">
              <w:rPr>
                <w:rFonts w:asciiTheme="minorHAnsi" w:eastAsiaTheme="minorHAnsi" w:hAnsiTheme="minorHAnsi"/>
                <w:i/>
              </w:rPr>
              <w:t>pediatric</w:t>
            </w:r>
            <w:proofErr w:type="spellEnd"/>
            <w:r w:rsidRPr="007359A2">
              <w:rPr>
                <w:rFonts w:asciiTheme="minorHAnsi" w:eastAsiaTheme="minorHAnsi" w:hAnsiTheme="minorHAnsi"/>
                <w:i/>
              </w:rPr>
              <w:t xml:space="preserve"> patients with SMA are derived from completed and ongoing open-label, single-arm, cl</w:t>
            </w:r>
            <w:r w:rsidR="00871924">
              <w:rPr>
                <w:rFonts w:asciiTheme="minorHAnsi" w:eastAsiaTheme="minorHAnsi" w:hAnsiTheme="minorHAnsi"/>
                <w:i/>
              </w:rPr>
              <w:t>inical trials in patients with:</w:t>
            </w:r>
          </w:p>
          <w:p w14:paraId="252B29E5" w14:textId="2419AAED" w:rsidR="00404C6D" w:rsidRPr="007359A2" w:rsidRDefault="00404C6D" w:rsidP="00404C6D">
            <w:pPr>
              <w:pStyle w:val="ListBullet"/>
              <w:rPr>
                <w:i/>
              </w:rPr>
            </w:pPr>
            <w:r w:rsidRPr="007359A2">
              <w:rPr>
                <w:i/>
              </w:rPr>
              <w:t>infantile-onset SMA</w:t>
            </w:r>
            <w:r w:rsidR="00C4477A">
              <w:rPr>
                <w:i/>
              </w:rPr>
              <w:t xml:space="preserve"> and 2 copies of SMN2 gene; and</w:t>
            </w:r>
          </w:p>
          <w:p w14:paraId="03F2FB0E" w14:textId="77777777" w:rsidR="00404C6D" w:rsidRPr="007359A2" w:rsidRDefault="00404C6D" w:rsidP="00404C6D">
            <w:pPr>
              <w:pStyle w:val="ListBullet"/>
              <w:rPr>
                <w:i/>
              </w:rPr>
            </w:pPr>
            <w:proofErr w:type="spellStart"/>
            <w:r w:rsidRPr="007359A2">
              <w:rPr>
                <w:i/>
              </w:rPr>
              <w:t>presymptomatic</w:t>
            </w:r>
            <w:proofErr w:type="spellEnd"/>
            <w:r w:rsidRPr="007359A2">
              <w:rPr>
                <w:i/>
              </w:rPr>
              <w:t xml:space="preserve"> genetically diagnosed SMA and 2 or 3 copies of SMN2 gene (see 14 </w:t>
            </w:r>
            <w:r w:rsidR="007359A2" w:rsidRPr="007359A2">
              <w:rPr>
                <w:i/>
              </w:rPr>
              <w:t>Clinical Trials</w:t>
            </w:r>
            <w:r w:rsidRPr="007359A2">
              <w:rPr>
                <w:i/>
              </w:rPr>
              <w:t>).</w:t>
            </w:r>
          </w:p>
          <w:p w14:paraId="1B95F8CB" w14:textId="77777777" w:rsidR="00404C6D" w:rsidRPr="007359A2" w:rsidRDefault="007359A2" w:rsidP="00404C6D">
            <w:pPr>
              <w:autoSpaceDE w:val="0"/>
              <w:autoSpaceDN w:val="0"/>
              <w:adjustRightInd w:val="0"/>
              <w:spacing w:line="240" w:lineRule="auto"/>
              <w:ind w:left="0" w:right="0"/>
              <w:rPr>
                <w:rFonts w:asciiTheme="minorHAnsi" w:eastAsiaTheme="minorHAnsi" w:hAnsiTheme="minorHAnsi"/>
                <w:i/>
              </w:rPr>
            </w:pPr>
            <w:proofErr w:type="spellStart"/>
            <w:r w:rsidRPr="007359A2">
              <w:rPr>
                <w:rFonts w:asciiTheme="minorHAnsi" w:eastAsiaTheme="minorHAnsi" w:hAnsiTheme="minorHAnsi"/>
                <w:i/>
              </w:rPr>
              <w:t>Zolgensma</w:t>
            </w:r>
            <w:proofErr w:type="spellEnd"/>
            <w:r w:rsidR="00404C6D" w:rsidRPr="007359A2">
              <w:rPr>
                <w:rFonts w:asciiTheme="minorHAnsi" w:eastAsiaTheme="minorHAnsi" w:hAnsiTheme="minorHAnsi"/>
                <w:i/>
              </w:rPr>
              <w:t xml:space="preserve"> is an adeno-associated virus (AAV) vector-based gene therapy. Knowledge of the disease natural history and the use of management strategies that assist the patient in coping with the manifestations of SMA, which can include decline in motor function, serious respiratory complications, and feeding difficulties, remain necessary for the overall management of the disease. Administration of </w:t>
            </w:r>
            <w:proofErr w:type="spellStart"/>
            <w:r w:rsidRPr="007359A2">
              <w:rPr>
                <w:rFonts w:asciiTheme="minorHAnsi" w:eastAsiaTheme="minorHAnsi" w:hAnsiTheme="minorHAnsi"/>
                <w:i/>
              </w:rPr>
              <w:t>Zolgensma</w:t>
            </w:r>
            <w:proofErr w:type="spellEnd"/>
            <w:r w:rsidR="00404C6D" w:rsidRPr="007359A2">
              <w:rPr>
                <w:rFonts w:asciiTheme="minorHAnsi" w:eastAsiaTheme="minorHAnsi" w:hAnsiTheme="minorHAnsi"/>
                <w:i/>
              </w:rPr>
              <w:t xml:space="preserve"> should only be performed by healthcare professionals who are experienced in the screening, diagnosis, and management of SMA and trained in the delivery of gene therapy.</w:t>
            </w:r>
          </w:p>
        </w:tc>
      </w:tr>
      <w:tr w:rsidR="000C6E56" w14:paraId="33424378" w14:textId="77777777" w:rsidTr="00A72B01">
        <w:tc>
          <w:tcPr>
            <w:tcW w:w="1435" w:type="dxa"/>
          </w:tcPr>
          <w:p w14:paraId="499312FB" w14:textId="77777777" w:rsidR="000C6E56" w:rsidRDefault="000C6E56" w:rsidP="000C6E56">
            <w:pPr>
              <w:ind w:left="0" w:right="0"/>
            </w:pPr>
            <w:r>
              <w:t>Brazil</w:t>
            </w:r>
          </w:p>
        </w:tc>
        <w:tc>
          <w:tcPr>
            <w:tcW w:w="1800" w:type="dxa"/>
          </w:tcPr>
          <w:p w14:paraId="2A4C0DE9" w14:textId="77777777" w:rsidR="000C6E56" w:rsidRDefault="000C6E56" w:rsidP="000C6E56">
            <w:pPr>
              <w:ind w:left="0" w:right="0"/>
            </w:pPr>
            <w:r>
              <w:t>15 January 2020</w:t>
            </w:r>
          </w:p>
        </w:tc>
        <w:tc>
          <w:tcPr>
            <w:tcW w:w="1710" w:type="dxa"/>
          </w:tcPr>
          <w:p w14:paraId="42BE7E9C" w14:textId="4926654A" w:rsidR="000C6E56" w:rsidRDefault="00CF550A" w:rsidP="000C6E56">
            <w:pPr>
              <w:ind w:left="0" w:right="0"/>
            </w:pPr>
            <w:r>
              <w:t>Approved on 17 </w:t>
            </w:r>
            <w:r w:rsidR="000C6E56">
              <w:t>August 2020</w:t>
            </w:r>
          </w:p>
        </w:tc>
        <w:tc>
          <w:tcPr>
            <w:tcW w:w="3549" w:type="dxa"/>
          </w:tcPr>
          <w:p w14:paraId="210BEDC8" w14:textId="77777777" w:rsidR="000C6E56" w:rsidRPr="007359A2" w:rsidRDefault="007359A2" w:rsidP="000C6E56">
            <w:pPr>
              <w:ind w:left="0" w:right="0"/>
              <w:rPr>
                <w:i/>
              </w:rPr>
            </w:pPr>
            <w:proofErr w:type="spellStart"/>
            <w:r w:rsidRPr="007359A2">
              <w:rPr>
                <w:i/>
              </w:rPr>
              <w:t>Zolgensma</w:t>
            </w:r>
            <w:proofErr w:type="spellEnd"/>
            <w:r w:rsidR="000C6E56" w:rsidRPr="007359A2">
              <w:rPr>
                <w:i/>
              </w:rPr>
              <w:t xml:space="preserve"> is a gene therapy based on an</w:t>
            </w:r>
            <w:r>
              <w:rPr>
                <w:i/>
              </w:rPr>
              <w:t xml:space="preserve"> </w:t>
            </w:r>
            <w:r w:rsidR="000C6E56" w:rsidRPr="007359A2">
              <w:rPr>
                <w:i/>
              </w:rPr>
              <w:t xml:space="preserve">adeno-associated viral vector, indicated for the treatment of </w:t>
            </w:r>
            <w:proofErr w:type="spellStart"/>
            <w:r w:rsidR="000C6E56" w:rsidRPr="007359A2">
              <w:rPr>
                <w:i/>
              </w:rPr>
              <w:t>pediatric</w:t>
            </w:r>
            <w:proofErr w:type="spellEnd"/>
            <w:r w:rsidR="000C6E56" w:rsidRPr="007359A2">
              <w:rPr>
                <w:i/>
              </w:rPr>
              <w:t xml:space="preserve"> patients under 2 years of age with spinal muscular atrophy (SMA), with:</w:t>
            </w:r>
          </w:p>
          <w:p w14:paraId="61ADD397" w14:textId="77777777" w:rsidR="000C6E56" w:rsidRPr="007359A2" w:rsidRDefault="000C6E56" w:rsidP="000C6E56">
            <w:pPr>
              <w:pStyle w:val="ListBullet"/>
              <w:rPr>
                <w:i/>
              </w:rPr>
            </w:pPr>
            <w:r w:rsidRPr="007359A2">
              <w:rPr>
                <w:i/>
              </w:rPr>
              <w:t>Bi-allelic mutations in the survival motor neuron 1 (SMN1) gene and a clinical diagnosis of SMA Type 1, or</w:t>
            </w:r>
          </w:p>
          <w:p w14:paraId="649B4210" w14:textId="77777777" w:rsidR="000C6E56" w:rsidRPr="007359A2" w:rsidRDefault="000C6E56" w:rsidP="000C6E56">
            <w:pPr>
              <w:pStyle w:val="ListBullet"/>
              <w:rPr>
                <w:i/>
              </w:rPr>
            </w:pPr>
            <w:r w:rsidRPr="007359A2">
              <w:rPr>
                <w:i/>
              </w:rPr>
              <w:t>Bi-allelic mutations in the SMN1 gene and up to 3 copies of the SMN2 gene</w:t>
            </w:r>
          </w:p>
        </w:tc>
      </w:tr>
    </w:tbl>
    <w:p w14:paraId="10231C67" w14:textId="77777777" w:rsidR="008E7846" w:rsidRDefault="008E7846" w:rsidP="00940A89">
      <w:pPr>
        <w:pStyle w:val="Heading3"/>
      </w:pPr>
      <w:bookmarkStart w:id="27" w:name="_Toc69909588"/>
      <w:r>
        <w:t>Product Information</w:t>
      </w:r>
      <w:bookmarkEnd w:id="24"/>
      <w:bookmarkEnd w:id="25"/>
      <w:bookmarkEnd w:id="27"/>
    </w:p>
    <w:p w14:paraId="2E054BAC" w14:textId="7C596E5F" w:rsidR="00940A89" w:rsidRDefault="006136D7" w:rsidP="00940A89">
      <w:bookmarkStart w:id="28" w:name="_Toc247691506"/>
      <w:bookmarkStart w:id="29"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1C34DE6D" w14:textId="77777777" w:rsidR="00500337" w:rsidRDefault="00500337" w:rsidP="00500337">
      <w:pPr>
        <w:pStyle w:val="Heading2"/>
      </w:pPr>
      <w:bookmarkStart w:id="30" w:name="_Toc504480011"/>
      <w:bookmarkStart w:id="31" w:name="_Toc69909589"/>
      <w:r>
        <w:t>II. Registration timeline</w:t>
      </w:r>
      <w:bookmarkEnd w:id="30"/>
      <w:bookmarkEnd w:id="31"/>
    </w:p>
    <w:p w14:paraId="3345C661" w14:textId="77777777" w:rsidR="00500337" w:rsidRDefault="00500337" w:rsidP="00500337">
      <w:r>
        <w:t>The following table captures the key steps and dates for this application and which are detailed and discussed in this AusPAR.</w:t>
      </w:r>
    </w:p>
    <w:p w14:paraId="16D8355B" w14:textId="3089EC4A" w:rsidR="00500337" w:rsidRDefault="004A5212" w:rsidP="004A5212">
      <w:pPr>
        <w:pStyle w:val="TableTitle"/>
      </w:pPr>
      <w:r>
        <w:t xml:space="preserve">Table </w:t>
      </w:r>
      <w:fldSimple w:instr=" SEQ Table \* ARABIC ">
        <w:r w:rsidR="009C2F61">
          <w:rPr>
            <w:noProof/>
          </w:rPr>
          <w:t>3</w:t>
        </w:r>
      </w:fldSimple>
      <w:r w:rsidR="00006FAB">
        <w:t>:</w:t>
      </w:r>
      <w:r w:rsidR="006A58A8" w:rsidRPr="006A58A8">
        <w:t xml:space="preserve"> Timeline for Submission </w:t>
      </w:r>
      <w:r w:rsidR="00735D2B">
        <w:t>PM-2019-05979-1-3</w:t>
      </w:r>
    </w:p>
    <w:tbl>
      <w:tblPr>
        <w:tblStyle w:val="TableTGAblue"/>
        <w:tblW w:w="0" w:type="auto"/>
        <w:tblLook w:val="04A0" w:firstRow="1" w:lastRow="0" w:firstColumn="1" w:lastColumn="0" w:noHBand="0" w:noVBand="1"/>
      </w:tblPr>
      <w:tblGrid>
        <w:gridCol w:w="5807"/>
        <w:gridCol w:w="2687"/>
      </w:tblGrid>
      <w:tr w:rsidR="00500337" w14:paraId="46EE860B" w14:textId="77777777" w:rsidTr="00A72B01">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7F83ADC9" w14:textId="77777777" w:rsidR="00500337" w:rsidRDefault="00500337" w:rsidP="00500337">
            <w:pPr>
              <w:ind w:left="0" w:right="0"/>
            </w:pPr>
            <w:r>
              <w:t>Description</w:t>
            </w:r>
          </w:p>
        </w:tc>
        <w:tc>
          <w:tcPr>
            <w:tcW w:w="2687" w:type="dxa"/>
            <w:tcBorders>
              <w:top w:val="single" w:sz="4" w:space="0" w:color="auto"/>
              <w:left w:val="single" w:sz="4" w:space="0" w:color="auto"/>
              <w:bottom w:val="single" w:sz="4" w:space="0" w:color="auto"/>
              <w:right w:val="single" w:sz="4" w:space="0" w:color="auto"/>
            </w:tcBorders>
          </w:tcPr>
          <w:p w14:paraId="79AEEE07" w14:textId="77777777" w:rsidR="00500337" w:rsidRDefault="00500337" w:rsidP="00500337">
            <w:pPr>
              <w:ind w:left="0" w:right="0"/>
            </w:pPr>
            <w:r>
              <w:t>Date</w:t>
            </w:r>
          </w:p>
        </w:tc>
      </w:tr>
      <w:tr w:rsidR="00735D2B" w14:paraId="45CC3425" w14:textId="77777777" w:rsidTr="00A72B01">
        <w:tc>
          <w:tcPr>
            <w:tcW w:w="5807" w:type="dxa"/>
            <w:tcBorders>
              <w:top w:val="single" w:sz="4" w:space="0" w:color="auto"/>
            </w:tcBorders>
          </w:tcPr>
          <w:p w14:paraId="47992571" w14:textId="7BA1CDAD" w:rsidR="00735D2B" w:rsidRDefault="00735D2B" w:rsidP="00735D2B">
            <w:pPr>
              <w:ind w:left="0" w:right="0"/>
            </w:pPr>
            <w:r>
              <w:t>Designation (Orphan)</w:t>
            </w:r>
            <w:r w:rsidR="00E838B1">
              <w:rPr>
                <w:rStyle w:val="FootnoteReference"/>
              </w:rPr>
              <w:footnoteReference w:id="7"/>
            </w:r>
          </w:p>
        </w:tc>
        <w:tc>
          <w:tcPr>
            <w:tcW w:w="2687" w:type="dxa"/>
            <w:tcBorders>
              <w:top w:val="single" w:sz="4" w:space="0" w:color="auto"/>
            </w:tcBorders>
          </w:tcPr>
          <w:p w14:paraId="593E4AE6" w14:textId="77777777" w:rsidR="00735D2B" w:rsidRPr="00F75342" w:rsidRDefault="00735D2B" w:rsidP="00C04933">
            <w:pPr>
              <w:ind w:left="0"/>
            </w:pPr>
            <w:r w:rsidRPr="00F75342">
              <w:t>13 November 2019</w:t>
            </w:r>
          </w:p>
        </w:tc>
      </w:tr>
      <w:tr w:rsidR="00735D2B" w14:paraId="748B4699" w14:textId="77777777" w:rsidTr="00A72B01">
        <w:tc>
          <w:tcPr>
            <w:tcW w:w="5807" w:type="dxa"/>
          </w:tcPr>
          <w:p w14:paraId="45F93A12" w14:textId="77777777" w:rsidR="00735D2B" w:rsidRDefault="00735D2B" w:rsidP="00735D2B">
            <w:pPr>
              <w:ind w:left="0" w:right="0"/>
            </w:pPr>
            <w:r>
              <w:t>Submission dossier accepted and first round evaluation commenced</w:t>
            </w:r>
          </w:p>
        </w:tc>
        <w:tc>
          <w:tcPr>
            <w:tcW w:w="2687" w:type="dxa"/>
          </w:tcPr>
          <w:p w14:paraId="05359B16" w14:textId="77777777" w:rsidR="00735D2B" w:rsidRPr="00F75342" w:rsidRDefault="00735D2B" w:rsidP="00C04933">
            <w:pPr>
              <w:ind w:left="0"/>
            </w:pPr>
            <w:r w:rsidRPr="00F75342">
              <w:t>29 January 2020</w:t>
            </w:r>
          </w:p>
        </w:tc>
      </w:tr>
      <w:tr w:rsidR="00735D2B" w14:paraId="64D17E86" w14:textId="77777777" w:rsidTr="00A72B01">
        <w:tc>
          <w:tcPr>
            <w:tcW w:w="5807" w:type="dxa"/>
          </w:tcPr>
          <w:p w14:paraId="1E2050D9" w14:textId="77777777" w:rsidR="00735D2B" w:rsidRDefault="00735D2B" w:rsidP="00735D2B">
            <w:pPr>
              <w:ind w:left="0" w:right="0"/>
            </w:pPr>
            <w:r>
              <w:t>First round evaluation completed</w:t>
            </w:r>
          </w:p>
        </w:tc>
        <w:tc>
          <w:tcPr>
            <w:tcW w:w="2687" w:type="dxa"/>
          </w:tcPr>
          <w:p w14:paraId="58CA52A6" w14:textId="77777777" w:rsidR="00735D2B" w:rsidRPr="00F75342" w:rsidRDefault="00735D2B" w:rsidP="00C04933">
            <w:pPr>
              <w:ind w:left="0"/>
            </w:pPr>
            <w:r w:rsidRPr="00F75342">
              <w:t>30 June 2020</w:t>
            </w:r>
          </w:p>
        </w:tc>
      </w:tr>
      <w:tr w:rsidR="00735D2B" w14:paraId="2CA5391E" w14:textId="77777777" w:rsidTr="00A72B01">
        <w:tc>
          <w:tcPr>
            <w:tcW w:w="5807" w:type="dxa"/>
          </w:tcPr>
          <w:p w14:paraId="53EFBAD0" w14:textId="77777777" w:rsidR="00735D2B" w:rsidRDefault="00735D2B" w:rsidP="00735D2B">
            <w:pPr>
              <w:ind w:left="0" w:right="0"/>
            </w:pPr>
            <w:r>
              <w:t>Sponsor provides responses on questions raised in first round evaluation</w:t>
            </w:r>
          </w:p>
        </w:tc>
        <w:tc>
          <w:tcPr>
            <w:tcW w:w="2687" w:type="dxa"/>
          </w:tcPr>
          <w:p w14:paraId="2EDE9920" w14:textId="77777777" w:rsidR="00735D2B" w:rsidRPr="00F75342" w:rsidRDefault="00735D2B" w:rsidP="00C04933">
            <w:pPr>
              <w:ind w:left="0"/>
            </w:pPr>
            <w:r w:rsidRPr="00F75342">
              <w:t>31 August 2020</w:t>
            </w:r>
          </w:p>
        </w:tc>
      </w:tr>
      <w:tr w:rsidR="00735D2B" w14:paraId="53CBB446" w14:textId="77777777" w:rsidTr="00A72B01">
        <w:tc>
          <w:tcPr>
            <w:tcW w:w="5807" w:type="dxa"/>
          </w:tcPr>
          <w:p w14:paraId="598CFB3B" w14:textId="77777777" w:rsidR="00735D2B" w:rsidRDefault="00735D2B" w:rsidP="00735D2B">
            <w:pPr>
              <w:ind w:left="0" w:right="0"/>
            </w:pPr>
            <w:r>
              <w:t>Second round evaluation completed</w:t>
            </w:r>
          </w:p>
        </w:tc>
        <w:tc>
          <w:tcPr>
            <w:tcW w:w="2687" w:type="dxa"/>
          </w:tcPr>
          <w:p w14:paraId="108EDD47" w14:textId="77777777" w:rsidR="00735D2B" w:rsidRPr="00F75342" w:rsidRDefault="00735D2B" w:rsidP="00C04933">
            <w:pPr>
              <w:ind w:left="0"/>
            </w:pPr>
            <w:r w:rsidRPr="00F75342">
              <w:t>19 October 2020</w:t>
            </w:r>
          </w:p>
        </w:tc>
      </w:tr>
      <w:tr w:rsidR="00735D2B" w14:paraId="53D3EB16" w14:textId="77777777" w:rsidTr="00A72B01">
        <w:tc>
          <w:tcPr>
            <w:tcW w:w="5807" w:type="dxa"/>
          </w:tcPr>
          <w:p w14:paraId="48CFC635" w14:textId="77777777" w:rsidR="00735D2B" w:rsidRDefault="00735D2B" w:rsidP="00735D2B">
            <w:pPr>
              <w:ind w:left="0" w:right="0"/>
            </w:pPr>
            <w:r>
              <w:t xml:space="preserve">Delegate’s Overall benefit-risk assessment </w:t>
            </w:r>
            <w:r w:rsidRPr="00735D2B">
              <w:rPr>
                <w:color w:val="auto"/>
              </w:rPr>
              <w:t>and request for Advisory Committee advice</w:t>
            </w:r>
          </w:p>
        </w:tc>
        <w:tc>
          <w:tcPr>
            <w:tcW w:w="2687" w:type="dxa"/>
          </w:tcPr>
          <w:p w14:paraId="65F3C4DB" w14:textId="77777777" w:rsidR="00735D2B" w:rsidRPr="00F75342" w:rsidRDefault="00735D2B" w:rsidP="00C04933">
            <w:pPr>
              <w:ind w:left="0"/>
            </w:pPr>
            <w:r w:rsidRPr="00F75342">
              <w:t>29 October 2020</w:t>
            </w:r>
          </w:p>
        </w:tc>
      </w:tr>
      <w:tr w:rsidR="00735D2B" w14:paraId="6B6B2839" w14:textId="77777777" w:rsidTr="00A72B01">
        <w:tc>
          <w:tcPr>
            <w:tcW w:w="5807" w:type="dxa"/>
          </w:tcPr>
          <w:p w14:paraId="03EE898E" w14:textId="77777777" w:rsidR="00735D2B" w:rsidRDefault="00735D2B" w:rsidP="00735D2B">
            <w:pPr>
              <w:ind w:left="0" w:right="0"/>
            </w:pPr>
            <w:r>
              <w:t>Sponsor’s pre-Advisory Committee response</w:t>
            </w:r>
          </w:p>
        </w:tc>
        <w:tc>
          <w:tcPr>
            <w:tcW w:w="2687" w:type="dxa"/>
          </w:tcPr>
          <w:p w14:paraId="711FC8E7" w14:textId="77777777" w:rsidR="00735D2B" w:rsidRPr="00F75342" w:rsidRDefault="00735D2B" w:rsidP="00C04933">
            <w:pPr>
              <w:ind w:left="0"/>
            </w:pPr>
            <w:r w:rsidRPr="00F75342">
              <w:t>11 November 2020</w:t>
            </w:r>
          </w:p>
        </w:tc>
      </w:tr>
      <w:tr w:rsidR="00735D2B" w14:paraId="59ACB12C" w14:textId="77777777" w:rsidTr="00A72B01">
        <w:tc>
          <w:tcPr>
            <w:tcW w:w="5807" w:type="dxa"/>
          </w:tcPr>
          <w:p w14:paraId="08F2F88A" w14:textId="77777777" w:rsidR="00735D2B" w:rsidRDefault="00735D2B" w:rsidP="00735D2B">
            <w:pPr>
              <w:ind w:left="0" w:right="0"/>
            </w:pPr>
            <w:r>
              <w:t>Advisory Committee meeting</w:t>
            </w:r>
          </w:p>
        </w:tc>
        <w:tc>
          <w:tcPr>
            <w:tcW w:w="2687" w:type="dxa"/>
          </w:tcPr>
          <w:p w14:paraId="6C3573E9" w14:textId="0C850276" w:rsidR="003958B0" w:rsidRPr="00F75342" w:rsidRDefault="00735D2B" w:rsidP="00A72B01">
            <w:pPr>
              <w:ind w:left="0"/>
            </w:pPr>
            <w:r w:rsidRPr="00F75342">
              <w:t>3 and 4 December 2020</w:t>
            </w:r>
            <w:r w:rsidR="00A72B01">
              <w:t xml:space="preserve"> </w:t>
            </w:r>
            <w:r w:rsidR="003958B0" w:rsidRPr="00FC35F5">
              <w:t>4 and 5 February 2021</w:t>
            </w:r>
          </w:p>
        </w:tc>
      </w:tr>
      <w:tr w:rsidR="00735D2B" w14:paraId="02373ECD" w14:textId="77777777" w:rsidTr="00A72B01">
        <w:tc>
          <w:tcPr>
            <w:tcW w:w="5807" w:type="dxa"/>
          </w:tcPr>
          <w:p w14:paraId="5115C4D1" w14:textId="77777777" w:rsidR="00735D2B" w:rsidRDefault="00735D2B" w:rsidP="00735D2B">
            <w:pPr>
              <w:ind w:left="0" w:right="0"/>
            </w:pPr>
            <w:r>
              <w:t>Registration decision (Outcome)</w:t>
            </w:r>
          </w:p>
        </w:tc>
        <w:tc>
          <w:tcPr>
            <w:tcW w:w="2687" w:type="dxa"/>
          </w:tcPr>
          <w:p w14:paraId="4B2C6BFA" w14:textId="49E83601" w:rsidR="00735D2B" w:rsidRPr="00F75342" w:rsidRDefault="003958B0" w:rsidP="00C04933">
            <w:pPr>
              <w:ind w:left="0"/>
            </w:pPr>
            <w:r>
              <w:t>24</w:t>
            </w:r>
            <w:r w:rsidR="00735D2B" w:rsidRPr="00F75342">
              <w:t xml:space="preserve"> February 2021</w:t>
            </w:r>
          </w:p>
        </w:tc>
      </w:tr>
      <w:tr w:rsidR="00500337" w14:paraId="4CFF91DD" w14:textId="77777777" w:rsidTr="00A72B01">
        <w:tc>
          <w:tcPr>
            <w:tcW w:w="5807" w:type="dxa"/>
          </w:tcPr>
          <w:p w14:paraId="1C70DDF2" w14:textId="77777777" w:rsidR="00500337" w:rsidRDefault="00500337" w:rsidP="00500337">
            <w:pPr>
              <w:ind w:left="0" w:right="0"/>
            </w:pPr>
            <w:r>
              <w:t xml:space="preserve">Completion of administrative activities and registration on </w:t>
            </w:r>
            <w:r w:rsidR="00006FAB">
              <w:t xml:space="preserve">the </w:t>
            </w:r>
            <w:r>
              <w:t>ARTG</w:t>
            </w:r>
          </w:p>
        </w:tc>
        <w:tc>
          <w:tcPr>
            <w:tcW w:w="2687" w:type="dxa"/>
          </w:tcPr>
          <w:p w14:paraId="30FF4B7C" w14:textId="109B4241" w:rsidR="00500337" w:rsidRDefault="00C04933" w:rsidP="00500337">
            <w:pPr>
              <w:ind w:left="0" w:right="0"/>
            </w:pPr>
            <w:r>
              <w:t>4 March 2021</w:t>
            </w:r>
          </w:p>
        </w:tc>
      </w:tr>
      <w:tr w:rsidR="00500337" w14:paraId="3BA0CD33" w14:textId="77777777" w:rsidTr="00A72B01">
        <w:tc>
          <w:tcPr>
            <w:tcW w:w="5807" w:type="dxa"/>
          </w:tcPr>
          <w:p w14:paraId="038B9F82" w14:textId="77777777" w:rsidR="00500337" w:rsidRDefault="00500337" w:rsidP="00500337">
            <w:pPr>
              <w:ind w:left="0" w:right="0"/>
            </w:pPr>
            <w:r>
              <w:t>Number of working days from submission dossier acceptance to registration decision*</w:t>
            </w:r>
          </w:p>
        </w:tc>
        <w:tc>
          <w:tcPr>
            <w:tcW w:w="2687" w:type="dxa"/>
          </w:tcPr>
          <w:p w14:paraId="1E72F800" w14:textId="77777777" w:rsidR="00500337" w:rsidRDefault="00735D2B" w:rsidP="00500337">
            <w:pPr>
              <w:ind w:left="0" w:right="0"/>
            </w:pPr>
            <w:r w:rsidRPr="00FC35F5">
              <w:t>199</w:t>
            </w:r>
          </w:p>
        </w:tc>
      </w:tr>
    </w:tbl>
    <w:p w14:paraId="22ECF605" w14:textId="77777777" w:rsidR="00500337" w:rsidRDefault="00500337" w:rsidP="00500337">
      <w:pPr>
        <w:pStyle w:val="TableDescription"/>
      </w:pPr>
      <w:r>
        <w:t>*</w:t>
      </w:r>
      <w:r w:rsidR="006603BC" w:rsidRPr="006603BC">
        <w:t>Statutory timeframe for standard applications is 255 working days</w:t>
      </w:r>
    </w:p>
    <w:p w14:paraId="77A6E525" w14:textId="77777777" w:rsidR="008E7846" w:rsidRPr="00792A32" w:rsidRDefault="00456765" w:rsidP="008E7846">
      <w:pPr>
        <w:pStyle w:val="Heading2"/>
      </w:pPr>
      <w:bookmarkStart w:id="32" w:name="_Toc196046504"/>
      <w:bookmarkStart w:id="33" w:name="_Toc247691527"/>
      <w:bookmarkStart w:id="34" w:name="_Toc314842510"/>
      <w:bookmarkStart w:id="35" w:name="_Toc163441390"/>
      <w:bookmarkStart w:id="36" w:name="_Toc69909590"/>
      <w:bookmarkEnd w:id="28"/>
      <w:bookmarkEnd w:id="29"/>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2"/>
      <w:bookmarkEnd w:id="33"/>
      <w:bookmarkEnd w:id="34"/>
      <w:bookmarkEnd w:id="36"/>
    </w:p>
    <w:p w14:paraId="58B1B9A5" w14:textId="77777777" w:rsidR="00006FAB" w:rsidRDefault="00006FAB" w:rsidP="00006FAB">
      <w:bookmarkStart w:id="37" w:name="_Toc247691528"/>
      <w:r>
        <w:t>The submission was summarised in the following Delegate’s overview and recommendations.</w:t>
      </w:r>
    </w:p>
    <w:p w14:paraId="352BDCDD" w14:textId="6D8E4605" w:rsidR="008E7846" w:rsidRDefault="00735D2B" w:rsidP="00735D2B">
      <w:r>
        <w:t>The Delegate referred to the following guidance documents:</w:t>
      </w:r>
    </w:p>
    <w:p w14:paraId="06211C44" w14:textId="150FEB94" w:rsidR="00DE4546" w:rsidRDefault="00CB1BAC" w:rsidP="00DE4546">
      <w:pPr>
        <w:pStyle w:val="ListBullet"/>
      </w:pPr>
      <w:r>
        <w:t xml:space="preserve">European Medicines Agency (EMA), Committee for Proprietary Medicinal Products (CPMP), </w:t>
      </w:r>
      <w:r>
        <w:rPr>
          <w:lang w:val="en-US"/>
        </w:rPr>
        <w:t>N</w:t>
      </w:r>
      <w:proofErr w:type="spellStart"/>
      <w:r w:rsidRPr="00D818B6">
        <w:t>ote</w:t>
      </w:r>
      <w:proofErr w:type="spellEnd"/>
      <w:r w:rsidRPr="00D818B6">
        <w:t xml:space="preserve"> for Guidance on the Quality, Preclinical and Clinical Aspects of Gene Transfer Medicinal Products</w:t>
      </w:r>
      <w:r>
        <w:t>, CPMP/BWP/3088/99, 24 April 2001.</w:t>
      </w:r>
    </w:p>
    <w:p w14:paraId="1ECD4770" w14:textId="4923781E" w:rsidR="00CB1BAC" w:rsidRPr="00CB1BAC" w:rsidRDefault="00CB1BAC" w:rsidP="00CB1BAC">
      <w:pPr>
        <w:pStyle w:val="ListBullet"/>
      </w:pPr>
      <w:r>
        <w:t xml:space="preserve">EMA, </w:t>
      </w:r>
      <w:r w:rsidRPr="00CB1BAC">
        <w:t>Committee for Advanced Therapies (CAT)</w:t>
      </w:r>
      <w:r>
        <w:t xml:space="preserve">, </w:t>
      </w:r>
      <w:r>
        <w:rPr>
          <w:rStyle w:val="field-content"/>
          <w:rFonts w:asciiTheme="minorHAnsi" w:hAnsiTheme="minorHAnsi"/>
          <w:color w:val="000000"/>
        </w:rPr>
        <w:t>G</w:t>
      </w:r>
      <w:r w:rsidRPr="00D818B6">
        <w:rPr>
          <w:rFonts w:asciiTheme="minorHAnsi" w:hAnsiTheme="minorHAnsi"/>
        </w:rPr>
        <w:t>uideline on the quality, non-clinical and clinical aspects of gene therapy medicinal products. EMA/CAT/80183/2014</w:t>
      </w:r>
      <w:r w:rsidR="003958B0">
        <w:rPr>
          <w:rFonts w:asciiTheme="minorHAnsi" w:hAnsiTheme="minorHAnsi"/>
        </w:rPr>
        <w:t>, 22 </w:t>
      </w:r>
      <w:r>
        <w:rPr>
          <w:rFonts w:asciiTheme="minorHAnsi" w:hAnsiTheme="minorHAnsi"/>
        </w:rPr>
        <w:t>March 2018.</w:t>
      </w:r>
    </w:p>
    <w:p w14:paraId="4D0B181D" w14:textId="4DBF91AC" w:rsidR="00CB1BAC" w:rsidRPr="00EB3813" w:rsidRDefault="00CB1BAC" w:rsidP="00CB1BAC">
      <w:pPr>
        <w:pStyle w:val="ListBullet"/>
      </w:pPr>
      <w:r>
        <w:t xml:space="preserve">EMA, </w:t>
      </w:r>
      <w:r w:rsidRPr="00CB1BAC">
        <w:t xml:space="preserve">Committee for the Medicinal Products for Human Use </w:t>
      </w:r>
      <w:r>
        <w:t xml:space="preserve">(CHMP), </w:t>
      </w:r>
      <w:r w:rsidRPr="00D818B6">
        <w:rPr>
          <w:rFonts w:asciiTheme="minorHAnsi" w:hAnsiTheme="minorHAnsi"/>
        </w:rPr>
        <w:t>Reflection paper on quality, non-clinical and clinical issues related to the development of recombinant adeno‑associated viral vectors. EMEA/CHMP/GTWP/587488/2007</w:t>
      </w:r>
      <w:r w:rsidR="003958B0">
        <w:rPr>
          <w:rFonts w:asciiTheme="minorHAnsi" w:hAnsiTheme="minorHAnsi"/>
        </w:rPr>
        <w:t>, 24 </w:t>
      </w:r>
      <w:r>
        <w:rPr>
          <w:rFonts w:asciiTheme="minorHAnsi" w:hAnsiTheme="minorHAnsi"/>
        </w:rPr>
        <w:t>June 2010.</w:t>
      </w:r>
    </w:p>
    <w:p w14:paraId="0DF9F065" w14:textId="42D36796" w:rsidR="00EB3813" w:rsidRDefault="00EB3813" w:rsidP="00EB3813">
      <w:pPr>
        <w:pStyle w:val="ListBullet"/>
      </w:pPr>
      <w:r>
        <w:t xml:space="preserve">EMA, </w:t>
      </w:r>
      <w:r w:rsidRPr="00EB3813">
        <w:t>Gene Therapy Product Quality Aspects in the Production of Vectors and Genetically Modified Somatic Cells</w:t>
      </w:r>
      <w:r>
        <w:t xml:space="preserve">, </w:t>
      </w:r>
      <w:r w:rsidRPr="00EB3813">
        <w:t>3AB6A</w:t>
      </w:r>
      <w:r>
        <w:t>, 31 December 1994.</w:t>
      </w:r>
    </w:p>
    <w:p w14:paraId="4339B8D0" w14:textId="436A243A" w:rsidR="00EB3813" w:rsidRDefault="00EB3813" w:rsidP="00EB3813">
      <w:pPr>
        <w:pStyle w:val="ListBullet"/>
      </w:pPr>
      <w:r>
        <w:t xml:space="preserve">EMA, CHMP, </w:t>
      </w:r>
      <w:r w:rsidRPr="00EB3813">
        <w:t>Guideline on Non-Clinical Testing for Inadvertent Germline Transmission of Gene Transfer Vectors</w:t>
      </w:r>
      <w:r>
        <w:t xml:space="preserve">, </w:t>
      </w:r>
      <w:r w:rsidRPr="00EB3813">
        <w:t>EMEA/273974/2005</w:t>
      </w:r>
      <w:r>
        <w:t>, 16 November 2006.</w:t>
      </w:r>
    </w:p>
    <w:p w14:paraId="7D299D5F" w14:textId="66568BDD" w:rsidR="00735D2B" w:rsidRPr="00EB3813" w:rsidRDefault="00EB3813" w:rsidP="00EB3813">
      <w:pPr>
        <w:pStyle w:val="ListBullet"/>
      </w:pPr>
      <w:r>
        <w:t xml:space="preserve">EMA, CHMP, </w:t>
      </w:r>
      <w:r w:rsidRPr="00EB3813">
        <w:t>Guideline on Clinical Trials in Small Populations</w:t>
      </w:r>
      <w:r>
        <w:t xml:space="preserve">, </w:t>
      </w:r>
      <w:r w:rsidRPr="00EB3813">
        <w:t>CHMP/EWP/83561/2005</w:t>
      </w:r>
      <w:r>
        <w:t>, 27 July 2006.</w:t>
      </w:r>
    </w:p>
    <w:p w14:paraId="40873C93" w14:textId="77777777" w:rsidR="008E7846" w:rsidRDefault="008E7846" w:rsidP="008E7846">
      <w:pPr>
        <w:pStyle w:val="Heading3"/>
      </w:pPr>
      <w:bookmarkStart w:id="38" w:name="_Toc314842511"/>
      <w:bookmarkStart w:id="39" w:name="_Toc69909591"/>
      <w:r>
        <w:t>Quality</w:t>
      </w:r>
      <w:bookmarkEnd w:id="37"/>
      <w:bookmarkEnd w:id="38"/>
      <w:bookmarkEnd w:id="39"/>
    </w:p>
    <w:p w14:paraId="1F2B9F02" w14:textId="766F21E3" w:rsidR="00735D2B" w:rsidRPr="0078394B" w:rsidRDefault="007359A2" w:rsidP="00735D2B">
      <w:pPr>
        <w:rPr>
          <w:lang w:val="en-GB"/>
        </w:rPr>
      </w:pPr>
      <w:proofErr w:type="spellStart"/>
      <w:r>
        <w:rPr>
          <w:rFonts w:asciiTheme="minorHAnsi" w:hAnsiTheme="minorHAnsi"/>
        </w:rPr>
        <w:t>Zolgensma</w:t>
      </w:r>
      <w:proofErr w:type="spellEnd"/>
      <w:r w:rsidR="00735D2B">
        <w:rPr>
          <w:rFonts w:asciiTheme="minorHAnsi" w:hAnsiTheme="minorHAnsi"/>
        </w:rPr>
        <w:t xml:space="preserve"> (</w:t>
      </w:r>
      <w:proofErr w:type="spellStart"/>
      <w:r w:rsidR="00735D2B">
        <w:rPr>
          <w:rFonts w:asciiTheme="minorHAnsi" w:hAnsiTheme="minorHAnsi"/>
        </w:rPr>
        <w:t>onasemnogene</w:t>
      </w:r>
      <w:proofErr w:type="spellEnd"/>
      <w:r w:rsidR="00735D2B">
        <w:rPr>
          <w:rFonts w:asciiTheme="minorHAnsi" w:hAnsiTheme="minorHAnsi"/>
        </w:rPr>
        <w:t xml:space="preserve"> </w:t>
      </w:r>
      <w:proofErr w:type="spellStart"/>
      <w:r w:rsidR="00735D2B">
        <w:rPr>
          <w:rFonts w:asciiTheme="minorHAnsi" w:hAnsiTheme="minorHAnsi"/>
        </w:rPr>
        <w:t>abeparvovec</w:t>
      </w:r>
      <w:proofErr w:type="spellEnd"/>
      <w:r w:rsidR="00735D2B">
        <w:rPr>
          <w:rFonts w:asciiTheme="minorHAnsi" w:hAnsiTheme="minorHAnsi"/>
        </w:rPr>
        <w:t>, AVXS-101)</w:t>
      </w:r>
      <w:r w:rsidR="00B32CDB">
        <w:rPr>
          <w:rStyle w:val="FootnoteReference"/>
          <w:rFonts w:asciiTheme="minorHAnsi" w:hAnsiTheme="minorHAnsi"/>
        </w:rPr>
        <w:footnoteReference w:id="8"/>
      </w:r>
      <w:r w:rsidR="00735D2B">
        <w:t xml:space="preserve"> is a non-replicating recombinant </w:t>
      </w:r>
      <w:r w:rsidR="00C4477A">
        <w:t>AAV9</w:t>
      </w:r>
      <w:r w:rsidR="00735D2B">
        <w:t xml:space="preserve"> vector containing the </w:t>
      </w:r>
      <w:r w:rsidR="00C4477A">
        <w:t>complementary deoxyribonucleic acid (</w:t>
      </w:r>
      <w:r w:rsidR="00735D2B">
        <w:t>cDNA</w:t>
      </w:r>
      <w:r w:rsidR="00C4477A">
        <w:t>)</w:t>
      </w:r>
      <w:r w:rsidR="00735D2B">
        <w:t xml:space="preserve"> of the human </w:t>
      </w:r>
      <w:r w:rsidR="00735D2B" w:rsidRPr="00556097">
        <w:rPr>
          <w:i/>
        </w:rPr>
        <w:t>SMN</w:t>
      </w:r>
      <w:r w:rsidR="00735D2B">
        <w:t xml:space="preserve"> gene </w:t>
      </w:r>
      <w:r w:rsidR="00735D2B" w:rsidRPr="0015690F">
        <w:rPr>
          <w:lang w:val="en-GB"/>
        </w:rPr>
        <w:t>under the control of</w:t>
      </w:r>
      <w:r w:rsidR="00735D2B">
        <w:rPr>
          <w:lang w:val="en-GB"/>
        </w:rPr>
        <w:t xml:space="preserve"> </w:t>
      </w:r>
      <w:r w:rsidR="00735D2B" w:rsidRPr="0015690F">
        <w:rPr>
          <w:lang w:val="en-GB"/>
        </w:rPr>
        <w:t>the cytomegalovirus enhancer/chicken-β-actin-hybrid promoter</w:t>
      </w:r>
      <w:r w:rsidR="00871924">
        <w:t xml:space="preserve">. </w:t>
      </w:r>
      <w:r w:rsidR="00C4477A">
        <w:rPr>
          <w:lang w:val="en-GB"/>
        </w:rPr>
        <w:t>AVXS-101 is produced by co</w:t>
      </w:r>
      <w:r w:rsidR="00C4477A">
        <w:rPr>
          <w:lang w:val="en-GB"/>
        </w:rPr>
        <w:noBreakHyphen/>
      </w:r>
      <w:r w:rsidR="00735D2B" w:rsidRPr="0078394B">
        <w:rPr>
          <w:lang w:val="en-GB"/>
        </w:rPr>
        <w:t xml:space="preserve">transfection of </w:t>
      </w:r>
      <w:r w:rsidR="00EB3813" w:rsidRPr="0078394B">
        <w:rPr>
          <w:lang w:val="en-GB"/>
        </w:rPr>
        <w:t>human embryonic kidney</w:t>
      </w:r>
      <w:r w:rsidR="00735D2B" w:rsidRPr="0078394B">
        <w:rPr>
          <w:lang w:val="en-GB"/>
        </w:rPr>
        <w:t xml:space="preserve"> 293</w:t>
      </w:r>
      <w:r w:rsidR="00735D2B">
        <w:rPr>
          <w:lang w:val="en-GB"/>
        </w:rPr>
        <w:t xml:space="preserve"> </w:t>
      </w:r>
      <w:r w:rsidR="00735D2B" w:rsidRPr="0078394B">
        <w:rPr>
          <w:lang w:val="en-GB"/>
        </w:rPr>
        <w:t>(HEK293) cells with three plasmids:</w:t>
      </w:r>
    </w:p>
    <w:p w14:paraId="677FCDC4" w14:textId="136B0834" w:rsidR="00735D2B" w:rsidRPr="0078394B" w:rsidRDefault="00735D2B" w:rsidP="00871924">
      <w:pPr>
        <w:pStyle w:val="ListBullet"/>
        <w:rPr>
          <w:lang w:val="en-GB"/>
        </w:rPr>
      </w:pPr>
      <w:r w:rsidRPr="0078394B">
        <w:rPr>
          <w:lang w:val="en-GB"/>
        </w:rPr>
        <w:t xml:space="preserve">Vector </w:t>
      </w:r>
      <w:r w:rsidR="00EB3813" w:rsidRPr="0078394B">
        <w:rPr>
          <w:lang w:val="en-GB"/>
        </w:rPr>
        <w:t>plasmid</w:t>
      </w:r>
      <w:r w:rsidRPr="0078394B">
        <w:rPr>
          <w:lang w:val="en-GB"/>
        </w:rPr>
        <w:t xml:space="preserve"> (</w:t>
      </w:r>
      <w:proofErr w:type="spellStart"/>
      <w:r w:rsidRPr="0078394B">
        <w:rPr>
          <w:lang w:val="en-GB"/>
        </w:rPr>
        <w:t>pSMN</w:t>
      </w:r>
      <w:proofErr w:type="spellEnd"/>
      <w:r w:rsidR="007A2543">
        <w:rPr>
          <w:lang w:val="en-GB"/>
        </w:rPr>
        <w:t>)</w:t>
      </w:r>
      <w:r w:rsidR="0037124F">
        <w:rPr>
          <w:lang w:val="en-GB"/>
        </w:rPr>
        <w:t>.</w:t>
      </w:r>
    </w:p>
    <w:p w14:paraId="2D05C154" w14:textId="1C71D8AA" w:rsidR="00735D2B" w:rsidRPr="0078394B" w:rsidRDefault="00735D2B" w:rsidP="00871924">
      <w:pPr>
        <w:pStyle w:val="ListBullet"/>
        <w:rPr>
          <w:lang w:val="en-GB"/>
        </w:rPr>
      </w:pPr>
      <w:r w:rsidRPr="0078394B">
        <w:rPr>
          <w:lang w:val="en-GB"/>
        </w:rPr>
        <w:t xml:space="preserve">AAV </w:t>
      </w:r>
      <w:r w:rsidR="00EB3813" w:rsidRPr="0078394B">
        <w:rPr>
          <w:lang w:val="en-GB"/>
        </w:rPr>
        <w:t>plasmid</w:t>
      </w:r>
      <w:r w:rsidRPr="0078394B">
        <w:rPr>
          <w:lang w:val="en-GB"/>
        </w:rPr>
        <w:t xml:space="preserve"> (pAAV2/9) containing the AAV </w:t>
      </w:r>
      <w:r w:rsidR="00E838B1">
        <w:rPr>
          <w:i/>
          <w:lang w:val="en-GB"/>
        </w:rPr>
        <w:t>REP</w:t>
      </w:r>
      <w:r w:rsidRPr="00B848D8">
        <w:rPr>
          <w:i/>
          <w:lang w:val="en-GB"/>
        </w:rPr>
        <w:t>2</w:t>
      </w:r>
      <w:r w:rsidRPr="0078394B">
        <w:rPr>
          <w:lang w:val="en-GB"/>
        </w:rPr>
        <w:t xml:space="preserve"> and </w:t>
      </w:r>
      <w:r w:rsidR="00E838B1" w:rsidRPr="00B848D8">
        <w:rPr>
          <w:i/>
          <w:lang w:val="en-GB"/>
        </w:rPr>
        <w:t>CAP</w:t>
      </w:r>
      <w:r w:rsidRPr="00B848D8">
        <w:rPr>
          <w:i/>
          <w:lang w:val="en-GB"/>
        </w:rPr>
        <w:t>9</w:t>
      </w:r>
      <w:r w:rsidRPr="0078394B">
        <w:rPr>
          <w:lang w:val="en-GB"/>
        </w:rPr>
        <w:t xml:space="preserve"> wild-type genes</w:t>
      </w:r>
      <w:r w:rsidR="0037124F">
        <w:rPr>
          <w:lang w:val="en-GB"/>
        </w:rPr>
        <w:t>.</w:t>
      </w:r>
    </w:p>
    <w:p w14:paraId="50D68749" w14:textId="64CCABC2" w:rsidR="00735D2B" w:rsidRDefault="00735D2B" w:rsidP="00871924">
      <w:pPr>
        <w:pStyle w:val="ListBullet"/>
        <w:rPr>
          <w:lang w:val="en-GB"/>
        </w:rPr>
      </w:pPr>
      <w:r w:rsidRPr="0078394B">
        <w:rPr>
          <w:lang w:val="en-GB"/>
        </w:rPr>
        <w:t xml:space="preserve">Adenovirus </w:t>
      </w:r>
      <w:r w:rsidR="00EB3813" w:rsidRPr="0078394B">
        <w:rPr>
          <w:lang w:val="en-GB"/>
        </w:rPr>
        <w:t xml:space="preserve">helper plasmid </w:t>
      </w:r>
      <w:r w:rsidRPr="0078394B">
        <w:rPr>
          <w:lang w:val="en-GB"/>
        </w:rPr>
        <w:t>(</w:t>
      </w:r>
      <w:proofErr w:type="spellStart"/>
      <w:r w:rsidRPr="0078394B">
        <w:rPr>
          <w:lang w:val="en-GB"/>
        </w:rPr>
        <w:t>pHELP</w:t>
      </w:r>
      <w:proofErr w:type="spellEnd"/>
      <w:r w:rsidRPr="0078394B">
        <w:rPr>
          <w:lang w:val="en-GB"/>
        </w:rPr>
        <w:t>)</w:t>
      </w:r>
      <w:r w:rsidR="0037124F">
        <w:rPr>
          <w:lang w:val="en-GB"/>
        </w:rPr>
        <w:t>.</w:t>
      </w:r>
    </w:p>
    <w:p w14:paraId="5110D835" w14:textId="59793685" w:rsidR="00735D2B" w:rsidRPr="00081010" w:rsidRDefault="00735D2B" w:rsidP="00735D2B">
      <w:pPr>
        <w:rPr>
          <w:lang w:val="en-GB"/>
        </w:rPr>
      </w:pPr>
      <w:r>
        <w:t xml:space="preserve">All manufacturing steps </w:t>
      </w:r>
      <w:r w:rsidRPr="00081010">
        <w:t>and analytical procedures are validated.</w:t>
      </w:r>
      <w:r w:rsidR="00EB3813">
        <w:rPr>
          <w:lang w:val="en-GB"/>
        </w:rPr>
        <w:t xml:space="preserve"> </w:t>
      </w:r>
      <w:r w:rsidRPr="00081010">
        <w:rPr>
          <w:lang w:val="en-GB"/>
        </w:rPr>
        <w:t xml:space="preserve">There are no </w:t>
      </w:r>
      <w:r>
        <w:rPr>
          <w:lang w:val="en-GB"/>
        </w:rPr>
        <w:t xml:space="preserve">outstanding </w:t>
      </w:r>
      <w:r w:rsidRPr="00081010">
        <w:rPr>
          <w:lang w:val="en-GB"/>
        </w:rPr>
        <w:t>issues pertaining to specifications.</w:t>
      </w:r>
    </w:p>
    <w:p w14:paraId="0E43372F" w14:textId="77FA8458" w:rsidR="00735D2B" w:rsidRDefault="007359A2" w:rsidP="00EB3813">
      <w:proofErr w:type="spellStart"/>
      <w:r>
        <w:t>Zolgensma</w:t>
      </w:r>
      <w:proofErr w:type="spellEnd"/>
      <w:r w:rsidR="00735D2B">
        <w:t xml:space="preserve"> is formulated at 2 x 10</w:t>
      </w:r>
      <w:r w:rsidR="00735D2B" w:rsidRPr="00F251B3">
        <w:rPr>
          <w:vertAlign w:val="superscript"/>
        </w:rPr>
        <w:t>13</w:t>
      </w:r>
      <w:r w:rsidR="00735D2B">
        <w:rPr>
          <w:sz w:val="14"/>
          <w:szCs w:val="14"/>
        </w:rPr>
        <w:t xml:space="preserve"> </w:t>
      </w:r>
      <w:r w:rsidR="00556097">
        <w:t>vg</w:t>
      </w:r>
      <w:r w:rsidR="00735D2B">
        <w:t>/mL and is supplied in vials with two fi</w:t>
      </w:r>
      <w:r w:rsidR="00EB3813">
        <w:t xml:space="preserve">ll volumes: 5.5 mL and 8.3 mL. </w:t>
      </w:r>
      <w:r w:rsidR="00735D2B">
        <w:t>Three ARTG entries are required: one for the 5.5 mL vial, one for the 8.3 mL vial, and one for the composite pack comprising combinations of the 5.5 mL and 8.3</w:t>
      </w:r>
      <w:r w:rsidR="00E838B1">
        <w:t> </w:t>
      </w:r>
      <w:r w:rsidR="00735D2B">
        <w:t>mL vials (</w:t>
      </w:r>
      <w:r w:rsidR="00871924">
        <w:t xml:space="preserve">see </w:t>
      </w:r>
      <w:r w:rsidR="00735D2B">
        <w:fldChar w:fldCharType="begin"/>
      </w:r>
      <w:r w:rsidR="00735D2B">
        <w:instrText xml:space="preserve"> REF _Ref52197988 \h </w:instrText>
      </w:r>
      <w:r w:rsidR="00EB3813">
        <w:instrText xml:space="preserve"> \* MERGEFORMAT </w:instrText>
      </w:r>
      <w:r w:rsidR="00735D2B">
        <w:fldChar w:fldCharType="separate"/>
      </w:r>
      <w:r w:rsidR="009C2F61">
        <w:t xml:space="preserve">Table </w:t>
      </w:r>
      <w:r w:rsidR="009C2F61">
        <w:rPr>
          <w:noProof/>
        </w:rPr>
        <w:t>4</w:t>
      </w:r>
      <w:r w:rsidR="00735D2B">
        <w:fldChar w:fldCharType="end"/>
      </w:r>
      <w:r w:rsidR="00735D2B">
        <w:t>).</w:t>
      </w:r>
    </w:p>
    <w:p w14:paraId="43A8B5F4" w14:textId="59283C56" w:rsidR="00735D2B" w:rsidRDefault="00735D2B" w:rsidP="00871924">
      <w:pPr>
        <w:pStyle w:val="TableTitle"/>
      </w:pPr>
      <w:bookmarkStart w:id="40" w:name="_Ref52197988"/>
      <w:r>
        <w:t xml:space="preserve">Table </w:t>
      </w:r>
      <w:fldSimple w:instr=" SEQ Table \* ARABIC ">
        <w:r w:rsidR="009C2F61">
          <w:rPr>
            <w:noProof/>
          </w:rPr>
          <w:t>4</w:t>
        </w:r>
      </w:fldSimple>
      <w:bookmarkEnd w:id="40"/>
      <w:r w:rsidR="00871924">
        <w:t xml:space="preserve">: </w:t>
      </w:r>
      <w:r w:rsidR="00EB3813">
        <w:rPr>
          <w:lang w:val="en-GB"/>
        </w:rPr>
        <w:t>Proposed p</w:t>
      </w:r>
      <w:r>
        <w:rPr>
          <w:lang w:val="en-GB"/>
        </w:rPr>
        <w:t xml:space="preserve">resentations of </w:t>
      </w:r>
      <w:proofErr w:type="spellStart"/>
      <w:r w:rsidR="007359A2">
        <w:rPr>
          <w:lang w:val="en-GB"/>
        </w:rPr>
        <w:t>Zolgensma</w:t>
      </w:r>
      <w:proofErr w:type="spellEnd"/>
    </w:p>
    <w:p w14:paraId="3A592E1A" w14:textId="77777777" w:rsidR="00735D2B" w:rsidRDefault="00735D2B" w:rsidP="00735D2B">
      <w:r>
        <w:rPr>
          <w:noProof/>
          <w:lang w:eastAsia="en-AU"/>
        </w:rPr>
        <w:drawing>
          <wp:inline distT="0" distB="0" distL="0" distR="0" wp14:anchorId="3FB23C3F" wp14:editId="1BB74205">
            <wp:extent cx="5217160" cy="3148716"/>
            <wp:effectExtent l="0" t="0" r="2540" b="0"/>
            <wp:docPr id="13" name="Picture 13" descr="The table shows the proposed presentations (including concentration and pack size) of the 3 ARTG entries (1) 5.5mL vial, (2) 8.3 mL vial, and (3) composite pack of 5.5 mL and 8.3 mL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9535" r="2646" b="2958"/>
                    <a:stretch/>
                  </pic:blipFill>
                  <pic:spPr bwMode="auto">
                    <a:xfrm>
                      <a:off x="0" y="0"/>
                      <a:ext cx="5291276" cy="3193447"/>
                    </a:xfrm>
                    <a:prstGeom prst="rect">
                      <a:avLst/>
                    </a:prstGeom>
                    <a:noFill/>
                    <a:ln>
                      <a:noFill/>
                    </a:ln>
                    <a:extLst>
                      <a:ext uri="{53640926-AAD7-44D8-BBD7-CCE9431645EC}">
                        <a14:shadowObscured xmlns:a14="http://schemas.microsoft.com/office/drawing/2010/main"/>
                      </a:ext>
                    </a:extLst>
                  </pic:spPr>
                </pic:pic>
              </a:graphicData>
            </a:graphic>
          </wp:inline>
        </w:drawing>
      </w:r>
    </w:p>
    <w:p w14:paraId="0A4A7AD5" w14:textId="0F694A77" w:rsidR="00735D2B" w:rsidRDefault="00735D2B" w:rsidP="00EB3813">
      <w:r>
        <w:t>The</w:t>
      </w:r>
      <w:r>
        <w:rPr>
          <w:lang w:val="en-GB"/>
        </w:rPr>
        <w:t xml:space="preserve"> </w:t>
      </w:r>
      <w:r w:rsidRPr="0015690F">
        <w:rPr>
          <w:lang w:val="en-GB"/>
        </w:rPr>
        <w:t xml:space="preserve">recommended dose of </w:t>
      </w:r>
      <w:proofErr w:type="spellStart"/>
      <w:r w:rsidR="007359A2">
        <w:rPr>
          <w:lang w:val="en-GB"/>
        </w:rPr>
        <w:t>Zolgensma</w:t>
      </w:r>
      <w:proofErr w:type="spellEnd"/>
      <w:r w:rsidRPr="0015690F">
        <w:rPr>
          <w:lang w:val="en-GB"/>
        </w:rPr>
        <w:t xml:space="preserve"> </w:t>
      </w:r>
      <w:r>
        <w:rPr>
          <w:lang w:val="en-GB"/>
        </w:rPr>
        <w:t>is a</w:t>
      </w:r>
      <w:r w:rsidRPr="0015690F">
        <w:rPr>
          <w:lang w:val="en-GB"/>
        </w:rPr>
        <w:t xml:space="preserve"> single</w:t>
      </w:r>
      <w:r>
        <w:rPr>
          <w:lang w:val="en-GB"/>
        </w:rPr>
        <w:t xml:space="preserve"> intravenous infusion of</w:t>
      </w:r>
      <w:r w:rsidRPr="0015690F">
        <w:rPr>
          <w:lang w:val="en-GB"/>
        </w:rPr>
        <w:t xml:space="preserve"> 1.1 x 10</w:t>
      </w:r>
      <w:r w:rsidRPr="000D76C8">
        <w:rPr>
          <w:vertAlign w:val="superscript"/>
          <w:lang w:val="en-GB"/>
        </w:rPr>
        <w:t>14</w:t>
      </w:r>
      <w:r w:rsidRPr="0015690F">
        <w:rPr>
          <w:lang w:val="en-GB"/>
        </w:rPr>
        <w:t xml:space="preserve"> </w:t>
      </w:r>
      <w:r>
        <w:rPr>
          <w:rFonts w:asciiTheme="minorHAnsi" w:hAnsiTheme="minorHAnsi"/>
        </w:rPr>
        <w:t>vector genomes</w:t>
      </w:r>
      <w:r w:rsidRPr="000B52CA">
        <w:rPr>
          <w:rFonts w:asciiTheme="minorHAnsi" w:hAnsiTheme="minorHAnsi"/>
        </w:rPr>
        <w:t xml:space="preserve"> per kilogram of body weight</w:t>
      </w:r>
      <w:r>
        <w:rPr>
          <w:rFonts w:asciiTheme="minorHAnsi" w:hAnsiTheme="minorHAnsi"/>
        </w:rPr>
        <w:t xml:space="preserve"> </w:t>
      </w:r>
      <w:r w:rsidRPr="000B52CA">
        <w:rPr>
          <w:rFonts w:asciiTheme="minorHAnsi" w:hAnsiTheme="minorHAnsi"/>
        </w:rPr>
        <w:t>(vg/kg)</w:t>
      </w:r>
      <w:r w:rsidR="00EB3813">
        <w:t xml:space="preserve">. </w:t>
      </w:r>
      <w:r>
        <w:t>The number of vials of each fill volume supplied to a patient is customised accordin</w:t>
      </w:r>
      <w:r w:rsidR="000F31FE">
        <w:t xml:space="preserve">g to the patient’s bodyweight. </w:t>
      </w:r>
      <w:r>
        <w:rPr>
          <w:rFonts w:eastAsia="MS Mincho"/>
          <w:szCs w:val="20"/>
          <w:lang w:eastAsia="ja-JP"/>
        </w:rPr>
        <w:t>A variable print label will be applied to the carton detailing</w:t>
      </w:r>
      <w:r w:rsidRPr="008E04B8">
        <w:rPr>
          <w:rFonts w:eastAsia="MS Mincho"/>
          <w:szCs w:val="20"/>
          <w:lang w:eastAsia="ja-JP"/>
        </w:rPr>
        <w:t xml:space="preserve"> the number and </w:t>
      </w:r>
      <w:r>
        <w:rPr>
          <w:rFonts w:eastAsia="MS Mincho"/>
          <w:szCs w:val="20"/>
          <w:lang w:eastAsia="ja-JP"/>
        </w:rPr>
        <w:t>strength of vials within the carton, the batch number and expiry of the products and a machine-readable code (</w:t>
      </w:r>
      <w:r w:rsidR="000F31FE">
        <w:rPr>
          <w:rFonts w:eastAsia="MS Mincho"/>
          <w:szCs w:val="20"/>
          <w:lang w:eastAsia="ja-JP"/>
        </w:rPr>
        <w:t xml:space="preserve">see </w:t>
      </w:r>
      <w:r>
        <w:rPr>
          <w:rFonts w:eastAsia="MS Mincho"/>
          <w:szCs w:val="20"/>
          <w:lang w:eastAsia="ja-JP"/>
        </w:rPr>
        <w:fldChar w:fldCharType="begin"/>
      </w:r>
      <w:r>
        <w:rPr>
          <w:rFonts w:eastAsia="MS Mincho"/>
          <w:szCs w:val="20"/>
          <w:lang w:eastAsia="ja-JP"/>
        </w:rPr>
        <w:instrText xml:space="preserve"> REF _Ref53070377 \h </w:instrText>
      </w:r>
      <w:r w:rsidR="00EB3813">
        <w:rPr>
          <w:rFonts w:eastAsia="MS Mincho"/>
          <w:szCs w:val="20"/>
          <w:lang w:eastAsia="ja-JP"/>
        </w:rPr>
        <w:instrText xml:space="preserve"> \* MERGEFORMAT </w:instrText>
      </w:r>
      <w:r>
        <w:rPr>
          <w:rFonts w:eastAsia="MS Mincho"/>
          <w:szCs w:val="20"/>
          <w:lang w:eastAsia="ja-JP"/>
        </w:rPr>
      </w:r>
      <w:r>
        <w:rPr>
          <w:rFonts w:eastAsia="MS Mincho"/>
          <w:szCs w:val="20"/>
          <w:lang w:eastAsia="ja-JP"/>
        </w:rPr>
        <w:fldChar w:fldCharType="separate"/>
      </w:r>
      <w:r w:rsidR="009C2F61">
        <w:t xml:space="preserve">Figure </w:t>
      </w:r>
      <w:r w:rsidR="009C2F61">
        <w:rPr>
          <w:noProof/>
        </w:rPr>
        <w:t>1</w:t>
      </w:r>
      <w:r>
        <w:rPr>
          <w:rFonts w:eastAsia="MS Mincho"/>
          <w:szCs w:val="20"/>
          <w:lang w:eastAsia="ja-JP"/>
        </w:rPr>
        <w:fldChar w:fldCharType="end"/>
      </w:r>
      <w:r>
        <w:rPr>
          <w:rFonts w:eastAsia="MS Mincho"/>
          <w:szCs w:val="20"/>
          <w:lang w:eastAsia="ja-JP"/>
        </w:rPr>
        <w:t>).</w:t>
      </w:r>
      <w:r w:rsidRPr="00DB7825">
        <w:t xml:space="preserve"> </w:t>
      </w:r>
      <w:r w:rsidR="000F31FE">
        <w:t>The s</w:t>
      </w:r>
      <w:r>
        <w:t>ponsor has satisfactorily addressed the evaluator’s concerns relating to labelling.</w:t>
      </w:r>
    </w:p>
    <w:p w14:paraId="6656F99F" w14:textId="7ADA9EBC" w:rsidR="00735D2B" w:rsidRDefault="00735D2B" w:rsidP="000F31FE">
      <w:pPr>
        <w:pStyle w:val="FigureTitle"/>
        <w:rPr>
          <w:rFonts w:eastAsia="MS Mincho"/>
          <w:szCs w:val="20"/>
          <w:lang w:eastAsia="ja-JP"/>
        </w:rPr>
      </w:pPr>
      <w:bookmarkStart w:id="41" w:name="_Ref53070377"/>
      <w:r>
        <w:t xml:space="preserve">Figure </w:t>
      </w:r>
      <w:fldSimple w:instr=" SEQ Figure \* ARABIC ">
        <w:r w:rsidR="009C2F61">
          <w:rPr>
            <w:noProof/>
          </w:rPr>
          <w:t>1</w:t>
        </w:r>
      </w:fldSimple>
      <w:bookmarkEnd w:id="41"/>
      <w:r w:rsidR="00871924">
        <w:rPr>
          <w:noProof/>
        </w:rPr>
        <w:t>:</w:t>
      </w:r>
      <w:r>
        <w:t xml:space="preserve"> Variable print label</w:t>
      </w:r>
      <w:r w:rsidR="000F31FE">
        <w:t xml:space="preserve"> for </w:t>
      </w:r>
      <w:proofErr w:type="spellStart"/>
      <w:r w:rsidR="000F31FE">
        <w:t>Zolgensma</w:t>
      </w:r>
      <w:proofErr w:type="spellEnd"/>
    </w:p>
    <w:p w14:paraId="09CE5CBA" w14:textId="119D0942" w:rsidR="000F31FE" w:rsidRPr="00627545" w:rsidRDefault="00735D2B" w:rsidP="00735D2B">
      <w:pPr>
        <w:rPr>
          <w:rFonts w:asciiTheme="minorHAnsi" w:hAnsiTheme="minorHAnsi"/>
        </w:rPr>
      </w:pPr>
      <w:r>
        <w:rPr>
          <w:noProof/>
          <w:lang w:eastAsia="en-AU"/>
        </w:rPr>
        <w:drawing>
          <wp:inline distT="0" distB="0" distL="0" distR="0" wp14:anchorId="1B80F184" wp14:editId="4F76123F">
            <wp:extent cx="4883150" cy="1542415"/>
            <wp:effectExtent l="0" t="0" r="0" b="635"/>
            <wp:docPr id="102" name="Picture 102" descr="The figure shows the generic outer carton sleeve and variable print label for Zolgensma (which includes the patient weight, tradename, active ingredient, strength, dose form, and date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150" cy="1542415"/>
                    </a:xfrm>
                    <a:prstGeom prst="rect">
                      <a:avLst/>
                    </a:prstGeom>
                    <a:noFill/>
                  </pic:spPr>
                </pic:pic>
              </a:graphicData>
            </a:graphic>
          </wp:inline>
        </w:drawing>
      </w:r>
    </w:p>
    <w:p w14:paraId="407CBD08" w14:textId="3E81AF54" w:rsidR="00735D2B" w:rsidRDefault="00735D2B" w:rsidP="00735D2B">
      <w:r w:rsidRPr="00CB1F6B">
        <w:t xml:space="preserve">The PI, </w:t>
      </w:r>
      <w:r w:rsidR="0054359B">
        <w:t>Consumer Medicines Information (</w:t>
      </w:r>
      <w:r w:rsidRPr="00CB1F6B">
        <w:t>CMI</w:t>
      </w:r>
      <w:r w:rsidR="0054359B">
        <w:t>)</w:t>
      </w:r>
      <w:r w:rsidRPr="00CB1F6B">
        <w:t xml:space="preserve"> and labels are acceptable from </w:t>
      </w:r>
      <w:r>
        <w:t>a</w:t>
      </w:r>
      <w:r w:rsidRPr="00CB1F6B">
        <w:t xml:space="preserve"> </w:t>
      </w:r>
      <w:r w:rsidR="00CF550A">
        <w:t>quality</w:t>
      </w:r>
      <w:r w:rsidRPr="00CB1F6B">
        <w:t xml:space="preserve"> perspective.</w:t>
      </w:r>
      <w:r w:rsidR="000F31FE">
        <w:t xml:space="preserve"> </w:t>
      </w:r>
      <w:r>
        <w:t>The proposed labels do not conform</w:t>
      </w:r>
      <w:r w:rsidRPr="00DD6FD2">
        <w:rPr>
          <w:rFonts w:eastAsia="MS Mincho"/>
          <w:szCs w:val="20"/>
          <w:lang w:eastAsia="ja-JP"/>
        </w:rPr>
        <w:t xml:space="preserve"> to the requirements of</w:t>
      </w:r>
      <w:r w:rsidRPr="008417BB">
        <w:t xml:space="preserve"> </w:t>
      </w:r>
      <w:r>
        <w:t xml:space="preserve">the </w:t>
      </w:r>
      <w:r w:rsidRPr="005B4E00">
        <w:rPr>
          <w:rFonts w:eastAsia="MS Mincho"/>
          <w:i/>
          <w:szCs w:val="20"/>
          <w:lang w:eastAsia="ja-JP"/>
        </w:rPr>
        <w:t>Therapeutic Goods Order No. 91 - Standard for labels of prescription and related medicines</w:t>
      </w:r>
      <w:r>
        <w:rPr>
          <w:rFonts w:eastAsia="MS Mincho"/>
          <w:szCs w:val="20"/>
          <w:lang w:eastAsia="ja-JP"/>
        </w:rPr>
        <w:t>, s</w:t>
      </w:r>
      <w:r w:rsidR="000F31FE">
        <w:t>o the s</w:t>
      </w:r>
      <w:r>
        <w:t xml:space="preserve">ponsor has requested consent </w:t>
      </w:r>
      <w:r w:rsidR="00556097">
        <w:rPr>
          <w:rFonts w:eastAsia="MS Mincho"/>
          <w:szCs w:val="20"/>
          <w:lang w:eastAsia="ja-JP"/>
        </w:rPr>
        <w:t>under S</w:t>
      </w:r>
      <w:r w:rsidRPr="00DD6FD2">
        <w:rPr>
          <w:rFonts w:eastAsia="MS Mincho"/>
          <w:szCs w:val="20"/>
          <w:lang w:eastAsia="ja-JP"/>
        </w:rPr>
        <w:t xml:space="preserve">ections 14 and 14A of the </w:t>
      </w:r>
      <w:r w:rsidRPr="00DD6FD2">
        <w:rPr>
          <w:rFonts w:eastAsia="MS Mincho"/>
          <w:i/>
          <w:szCs w:val="20"/>
          <w:lang w:eastAsia="ja-JP"/>
        </w:rPr>
        <w:t>Therapeutic Goods Act 1989</w:t>
      </w:r>
      <w:r>
        <w:rPr>
          <w:rFonts w:eastAsia="MS Mincho"/>
          <w:szCs w:val="20"/>
          <w:lang w:eastAsia="ja-JP"/>
        </w:rPr>
        <w:t xml:space="preserve"> </w:t>
      </w:r>
      <w:r w:rsidRPr="00DD6FD2">
        <w:rPr>
          <w:rFonts w:eastAsia="MS Mincho"/>
          <w:szCs w:val="20"/>
          <w:lang w:eastAsia="ja-JP"/>
        </w:rPr>
        <w:t>to the</w:t>
      </w:r>
      <w:r>
        <w:rPr>
          <w:rFonts w:eastAsia="MS Mincho"/>
          <w:szCs w:val="20"/>
          <w:lang w:eastAsia="ja-JP"/>
        </w:rPr>
        <w:t xml:space="preserve"> import and supply </w:t>
      </w:r>
      <w:r w:rsidRPr="00DD6FD2">
        <w:rPr>
          <w:rFonts w:eastAsia="MS Mincho"/>
          <w:szCs w:val="20"/>
          <w:lang w:eastAsia="ja-JP"/>
        </w:rPr>
        <w:t>of</w:t>
      </w:r>
      <w:r>
        <w:rPr>
          <w:rFonts w:eastAsia="MS Mincho"/>
          <w:szCs w:val="20"/>
          <w:lang w:eastAsia="ja-JP"/>
        </w:rPr>
        <w:t xml:space="preserve"> </w:t>
      </w:r>
      <w:r w:rsidRPr="00627545">
        <w:t>therapeutic goods that</w:t>
      </w:r>
      <w:r w:rsidR="000F31FE">
        <w:t xml:space="preserve"> do not conform to a standard.</w:t>
      </w:r>
      <w:r w:rsidR="000F31FE">
        <w:rPr>
          <w:rStyle w:val="FootnoteReference"/>
        </w:rPr>
        <w:footnoteReference w:id="9"/>
      </w:r>
      <w:r w:rsidR="000F31FE">
        <w:t xml:space="preserve"> </w:t>
      </w:r>
      <w:r w:rsidRPr="00627545">
        <w:t>Th</w:t>
      </w:r>
      <w:r>
        <w:t xml:space="preserve">is </w:t>
      </w:r>
      <w:r w:rsidRPr="00627545">
        <w:t>request is being assessed in parallel to th</w:t>
      </w:r>
      <w:r>
        <w:t>e</w:t>
      </w:r>
      <w:r w:rsidRPr="00627545">
        <w:t xml:space="preserve"> application for registration.</w:t>
      </w:r>
    </w:p>
    <w:p w14:paraId="40997CAA" w14:textId="47CA8ED1" w:rsidR="00735D2B" w:rsidRPr="00871924" w:rsidRDefault="00735D2B" w:rsidP="000F31FE">
      <w:r w:rsidRPr="00627545">
        <w:t xml:space="preserve">Overall, sufficient evidence has been provided to demonstrate that the risks related to the manufacturing quality of </w:t>
      </w:r>
      <w:proofErr w:type="spellStart"/>
      <w:r w:rsidR="007359A2">
        <w:t>Zolgensma</w:t>
      </w:r>
      <w:proofErr w:type="spellEnd"/>
      <w:r w:rsidRPr="00627545">
        <w:t xml:space="preserve"> have been cont</w:t>
      </w:r>
      <w:r w:rsidR="00556097">
        <w:t xml:space="preserve">rolled to an acceptable level. </w:t>
      </w:r>
      <w:r w:rsidRPr="004B1C7D">
        <w:t xml:space="preserve">There are no objections to the registration of </w:t>
      </w:r>
      <w:proofErr w:type="spellStart"/>
      <w:r w:rsidR="007359A2">
        <w:t>Zolgensma</w:t>
      </w:r>
      <w:proofErr w:type="spellEnd"/>
      <w:r w:rsidRPr="004B1C7D">
        <w:t xml:space="preserve"> from sterility, endotoxin, container safety, and viral safety related aspects.</w:t>
      </w:r>
    </w:p>
    <w:p w14:paraId="09890C81" w14:textId="7DA2483D" w:rsidR="00735D2B" w:rsidRDefault="00735D2B" w:rsidP="00735D2B">
      <w:pPr>
        <w:pStyle w:val="Heading4"/>
      </w:pPr>
      <w:bookmarkStart w:id="42" w:name="_Ref65517081"/>
      <w:r>
        <w:t>P</w:t>
      </w:r>
      <w:r w:rsidRPr="00AA53F4">
        <w:t xml:space="preserve">roposed </w:t>
      </w:r>
      <w:r w:rsidR="00B32CDB">
        <w:t xml:space="preserve">quality </w:t>
      </w:r>
      <w:r w:rsidRPr="00AA53F4">
        <w:t>conditions of registration</w:t>
      </w:r>
      <w:bookmarkEnd w:id="42"/>
      <w:r w:rsidRPr="00AA53F4">
        <w:t xml:space="preserve"> </w:t>
      </w:r>
    </w:p>
    <w:p w14:paraId="67B68B74" w14:textId="77777777" w:rsidR="00B32CDB" w:rsidRPr="00FC35F5" w:rsidRDefault="00B32CDB" w:rsidP="00B32CDB">
      <w:pPr>
        <w:pStyle w:val="ListBullet"/>
        <w:numPr>
          <w:ilvl w:val="0"/>
          <w:numId w:val="3"/>
        </w:numPr>
        <w:rPr>
          <w:lang w:eastAsia="en-AU"/>
        </w:rPr>
      </w:pPr>
      <w:r w:rsidRPr="00FC35F5">
        <w:rPr>
          <w:lang w:eastAsia="en-AU"/>
        </w:rPr>
        <w:t>Laboratory testing and compliance with Certified Product Details (CPD)</w:t>
      </w:r>
    </w:p>
    <w:p w14:paraId="6110D846" w14:textId="77777777" w:rsidR="00B32CDB" w:rsidRPr="00FC35F5" w:rsidRDefault="00B32CDB" w:rsidP="00B32CDB">
      <w:pPr>
        <w:pStyle w:val="ListBullet2"/>
        <w:numPr>
          <w:ilvl w:val="1"/>
          <w:numId w:val="3"/>
        </w:numPr>
        <w:rPr>
          <w:lang w:eastAsia="en-AU"/>
        </w:rPr>
      </w:pPr>
      <w:r w:rsidRPr="00FC35F5">
        <w:rPr>
          <w:lang w:eastAsia="en-AU"/>
        </w:rPr>
        <w:t xml:space="preserve">All batches of </w:t>
      </w:r>
      <w:proofErr w:type="spellStart"/>
      <w:r w:rsidRPr="00FC35F5">
        <w:rPr>
          <w:lang w:eastAsia="en-AU"/>
        </w:rPr>
        <w:t>Zolgensma</w:t>
      </w:r>
      <w:proofErr w:type="spellEnd"/>
      <w:r w:rsidRPr="00FC35F5">
        <w:rPr>
          <w:lang w:eastAsia="en-AU"/>
        </w:rPr>
        <w:t xml:space="preserve"> supplied in Australia must comply with the product details and specifications approved during evaluation and detailed in the Certified Product Details (CPD).</w:t>
      </w:r>
    </w:p>
    <w:p w14:paraId="5E45EE4A" w14:textId="77777777" w:rsidR="00B32CDB" w:rsidRPr="00FC35F5" w:rsidRDefault="00B32CDB" w:rsidP="00B32CDB">
      <w:pPr>
        <w:pStyle w:val="ListBullet2"/>
        <w:numPr>
          <w:ilvl w:val="1"/>
          <w:numId w:val="3"/>
        </w:numPr>
        <w:rPr>
          <w:lang w:eastAsia="en-AU"/>
        </w:rPr>
      </w:pPr>
      <w:r w:rsidRPr="00FC35F5">
        <w:rPr>
          <w:lang w:eastAsia="en-AU"/>
        </w:rP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3BD36633" w14:textId="77777777" w:rsidR="00B32CDB" w:rsidRPr="00FC35F5" w:rsidRDefault="00B32CDB" w:rsidP="00B32CDB">
      <w:pPr>
        <w:pStyle w:val="ListBullet"/>
        <w:numPr>
          <w:ilvl w:val="0"/>
          <w:numId w:val="3"/>
        </w:numPr>
        <w:rPr>
          <w:lang w:eastAsia="en-AU"/>
        </w:rPr>
      </w:pPr>
      <w:r w:rsidRPr="00FC35F5">
        <w:rPr>
          <w:lang w:eastAsia="en-AU"/>
        </w:rPr>
        <w:t>Certified Product Details</w:t>
      </w:r>
    </w:p>
    <w:p w14:paraId="0FB07EBD" w14:textId="1F164A10" w:rsidR="00586133" w:rsidRPr="00586133" w:rsidRDefault="00B32CDB" w:rsidP="00586133">
      <w:pPr>
        <w:pStyle w:val="ListBullet"/>
        <w:numPr>
          <w:ilvl w:val="0"/>
          <w:numId w:val="0"/>
        </w:numPr>
        <w:ind w:left="360"/>
        <w:rPr>
          <w:lang w:eastAsia="en-AU"/>
        </w:rPr>
      </w:pPr>
      <w:r w:rsidRPr="00FC35F5">
        <w:rPr>
          <w:lang w:eastAsia="en-AU"/>
        </w:rP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w:t>
      </w:r>
      <w:r>
        <w:rPr>
          <w:lang w:eastAsia="en-AU"/>
        </w:rPr>
        <w:t>sable change.</w:t>
      </w:r>
    </w:p>
    <w:p w14:paraId="505772D2" w14:textId="77777777" w:rsidR="008E7846" w:rsidRDefault="008E7846" w:rsidP="008E7846">
      <w:pPr>
        <w:pStyle w:val="Heading3"/>
      </w:pPr>
      <w:bookmarkStart w:id="43" w:name="_Toc314842512"/>
      <w:bookmarkStart w:id="44" w:name="_Ref65514917"/>
      <w:bookmarkStart w:id="45" w:name="_Toc69909592"/>
      <w:r>
        <w:t>Nonclinical</w:t>
      </w:r>
      <w:bookmarkEnd w:id="43"/>
      <w:bookmarkEnd w:id="44"/>
      <w:bookmarkEnd w:id="45"/>
    </w:p>
    <w:p w14:paraId="45DCD05C" w14:textId="3A04218D" w:rsidR="00735D2B" w:rsidRDefault="00735D2B" w:rsidP="00B32CDB">
      <w:proofErr w:type="spellStart"/>
      <w:r>
        <w:t>Onasemnogene</w:t>
      </w:r>
      <w:proofErr w:type="spellEnd"/>
      <w:r>
        <w:t xml:space="preserve"> </w:t>
      </w:r>
      <w:proofErr w:type="spellStart"/>
      <w:r>
        <w:t>abeparvovec</w:t>
      </w:r>
      <w:proofErr w:type="spellEnd"/>
      <w:r>
        <w:t xml:space="preserve"> is a non-integrating, non-replicating viral vector expres</w:t>
      </w:r>
      <w:r w:rsidR="00B32CDB">
        <w:t xml:space="preserve">sing the human SMN transcript. </w:t>
      </w:r>
      <w:r>
        <w:t>In a</w:t>
      </w:r>
      <w:r w:rsidRPr="002D42A0">
        <w:t xml:space="preserve"> murine model of severe SMA</w:t>
      </w:r>
      <w:r>
        <w:t>,</w:t>
      </w:r>
      <w:r w:rsidRPr="002D42A0">
        <w:t xml:space="preserve"> </w:t>
      </w:r>
      <w:proofErr w:type="spellStart"/>
      <w:r>
        <w:t>o</w:t>
      </w:r>
      <w:r w:rsidRPr="002D42A0">
        <w:t>nasemnogene</w:t>
      </w:r>
      <w:proofErr w:type="spellEnd"/>
      <w:r w:rsidRPr="002D42A0">
        <w:t xml:space="preserve"> </w:t>
      </w:r>
      <w:proofErr w:type="spellStart"/>
      <w:r w:rsidRPr="002D42A0">
        <w:t>abeparvovec</w:t>
      </w:r>
      <w:proofErr w:type="spellEnd"/>
      <w:r w:rsidRPr="002D42A0">
        <w:t xml:space="preserve"> increased survival</w:t>
      </w:r>
      <w:r>
        <w:t>, restored</w:t>
      </w:r>
      <w:r w:rsidRPr="002D42A0">
        <w:t xml:space="preserve"> neuromuscular transmission and locomotor function</w:t>
      </w:r>
      <w:r>
        <w:t>,</w:t>
      </w:r>
      <w:r w:rsidRPr="002D42A0">
        <w:t xml:space="preserve"> and improve</w:t>
      </w:r>
      <w:r>
        <w:t>d</w:t>
      </w:r>
      <w:r w:rsidRPr="002D42A0">
        <w:t xml:space="preserve"> cardiac function.</w:t>
      </w:r>
      <w:r w:rsidR="00B32CDB">
        <w:t xml:space="preserve"> </w:t>
      </w:r>
      <w:r>
        <w:t>The animal data indicated dosing at early stages of the dise</w:t>
      </w:r>
      <w:r w:rsidR="00B32CDB">
        <w:t xml:space="preserve">ase is necessary for efficacy. </w:t>
      </w:r>
      <w:r>
        <w:t>A minimum effica</w:t>
      </w:r>
      <w:r w:rsidR="00B32CDB">
        <w:t xml:space="preserve">cious dose was not determined. </w:t>
      </w:r>
      <w:r w:rsidRPr="00F472CC">
        <w:t xml:space="preserve">The safety and efficacy of repeated doses of </w:t>
      </w:r>
      <w:proofErr w:type="spellStart"/>
      <w:r w:rsidRPr="00F472CC">
        <w:t>onasemnogene</w:t>
      </w:r>
      <w:proofErr w:type="spellEnd"/>
      <w:r w:rsidRPr="00F472CC">
        <w:t xml:space="preserve"> </w:t>
      </w:r>
      <w:proofErr w:type="spellStart"/>
      <w:r w:rsidRPr="00F472CC">
        <w:t>abe</w:t>
      </w:r>
      <w:r>
        <w:t>parvovec</w:t>
      </w:r>
      <w:proofErr w:type="spellEnd"/>
      <w:r>
        <w:t xml:space="preserve"> have not been assessed</w:t>
      </w:r>
      <w:r w:rsidRPr="00F472CC">
        <w:t>.</w:t>
      </w:r>
    </w:p>
    <w:p w14:paraId="43322CBE" w14:textId="4C4D578B" w:rsidR="00735D2B" w:rsidRPr="002D42A0" w:rsidRDefault="00735D2B" w:rsidP="00B32CDB">
      <w:proofErr w:type="spellStart"/>
      <w:r>
        <w:t>Biodistribution</w:t>
      </w:r>
      <w:proofErr w:type="spellEnd"/>
      <w:r>
        <w:t xml:space="preserve"> studies demonstrated high levels of vector DNA in the heart, lung, liver, </w:t>
      </w:r>
      <w:r w:rsidR="00B32CDB">
        <w:t>central nervous system (</w:t>
      </w:r>
      <w:r>
        <w:t>CNS</w:t>
      </w:r>
      <w:r w:rsidR="00B32CDB">
        <w:t>)</w:t>
      </w:r>
      <w:r>
        <w:t xml:space="preserve"> and skeletal muscl</w:t>
      </w:r>
      <w:r w:rsidR="00B32CDB">
        <w:t xml:space="preserve">e. </w:t>
      </w:r>
      <w:r>
        <w:t>Rela</w:t>
      </w:r>
      <w:r w:rsidR="00B32CDB">
        <w:t>tive levels in the heart of non</w:t>
      </w:r>
      <w:r w:rsidR="00B32CDB">
        <w:noBreakHyphen/>
      </w:r>
      <w:r>
        <w:t xml:space="preserve">human primates and humans appears </w:t>
      </w:r>
      <w:r w:rsidR="00B32CDB">
        <w:t>to be lower than that in mice.</w:t>
      </w:r>
    </w:p>
    <w:p w14:paraId="76EB4E43" w14:textId="77777777" w:rsidR="00735D2B" w:rsidRPr="00FD5120" w:rsidRDefault="00735D2B" w:rsidP="00B32CDB">
      <w:r>
        <w:t>S</w:t>
      </w:r>
      <w:r w:rsidRPr="00314044">
        <w:t xml:space="preserve">tudies </w:t>
      </w:r>
      <w:r>
        <w:t xml:space="preserve">in animals </w:t>
      </w:r>
      <w:r w:rsidRPr="00314044">
        <w:t>revealed the following findings of potential clinical relevance:</w:t>
      </w:r>
    </w:p>
    <w:p w14:paraId="3C2646FE" w14:textId="77777777" w:rsidR="00735D2B" w:rsidRDefault="00735D2B" w:rsidP="00B32CDB">
      <w:pPr>
        <w:pStyle w:val="ListBullet"/>
      </w:pPr>
      <w:r>
        <w:t>neurotoxicity (inflammation of the dorsal root ganglia (DRG) and axonal degeneration),</w:t>
      </w:r>
    </w:p>
    <w:p w14:paraId="237E526C" w14:textId="3EB8EC62" w:rsidR="00735D2B" w:rsidRDefault="00735D2B" w:rsidP="000F31FE">
      <w:pPr>
        <w:pStyle w:val="ListBullet"/>
      </w:pPr>
      <w:r>
        <w:t xml:space="preserve">cardiotoxicity, with secondary effects on </w:t>
      </w:r>
      <w:r w:rsidR="000F31FE" w:rsidRPr="000F31FE">
        <w:t xml:space="preserve">electrocardiogram </w:t>
      </w:r>
      <w:r w:rsidR="000F31FE">
        <w:t>(</w:t>
      </w:r>
      <w:r>
        <w:t>ECG</w:t>
      </w:r>
      <w:r w:rsidR="000F31FE">
        <w:t>)</w:t>
      </w:r>
      <w:r>
        <w:t xml:space="preserve"> parameters,</w:t>
      </w:r>
    </w:p>
    <w:p w14:paraId="402CAC09" w14:textId="77777777" w:rsidR="00735D2B" w:rsidRDefault="00735D2B" w:rsidP="00B32CDB">
      <w:pPr>
        <w:pStyle w:val="ListBullet"/>
      </w:pPr>
      <w:r>
        <w:t>hepatotoxicity,</w:t>
      </w:r>
    </w:p>
    <w:p w14:paraId="0CD0B4F5" w14:textId="77777777" w:rsidR="00735D2B" w:rsidRDefault="00735D2B" w:rsidP="00B32CDB">
      <w:pPr>
        <w:pStyle w:val="ListBullet"/>
      </w:pPr>
      <w:r>
        <w:t xml:space="preserve">disseminated </w:t>
      </w:r>
      <w:r w:rsidRPr="00855F9F">
        <w:t>intravascular coagulation</w:t>
      </w:r>
      <w:r>
        <w:t>,</w:t>
      </w:r>
    </w:p>
    <w:p w14:paraId="3DBACCC2" w14:textId="77777777" w:rsidR="00735D2B" w:rsidRDefault="00735D2B" w:rsidP="00B32CDB">
      <w:pPr>
        <w:pStyle w:val="ListBullet"/>
      </w:pPr>
      <w:r>
        <w:t>innate and adaptive immune responses.</w:t>
      </w:r>
    </w:p>
    <w:p w14:paraId="424DF955" w14:textId="13A46067" w:rsidR="00735D2B" w:rsidRDefault="00B32CDB" w:rsidP="00735D2B">
      <w:r>
        <w:t xml:space="preserve">The 6 </w:t>
      </w:r>
      <w:r w:rsidR="00735D2B" w:rsidRPr="003E23C1">
        <w:t xml:space="preserve">week interim </w:t>
      </w:r>
      <w:r w:rsidR="000F31FE">
        <w:t>euthanasia</w:t>
      </w:r>
      <w:r w:rsidR="00735D2B" w:rsidRPr="003E23C1">
        <w:t xml:space="preserve"> </w:t>
      </w:r>
      <w:r w:rsidR="00735D2B">
        <w:t xml:space="preserve">of an ongoing, </w:t>
      </w:r>
      <w:r>
        <w:t>Good Laboratory Practice (</w:t>
      </w:r>
      <w:r w:rsidR="00735D2B">
        <w:t>GLP</w:t>
      </w:r>
      <w:r>
        <w:t>)</w:t>
      </w:r>
      <w:r w:rsidR="00735D2B">
        <w:t xml:space="preserve">-compliant, non-human </w:t>
      </w:r>
      <w:bookmarkStart w:id="46" w:name="Primate"/>
      <w:r w:rsidR="00735D2B">
        <w:t xml:space="preserve">primate </w:t>
      </w:r>
      <w:bookmarkEnd w:id="46"/>
      <w:r w:rsidR="00735D2B">
        <w:t xml:space="preserve">study of </w:t>
      </w:r>
      <w:r w:rsidR="0054359B">
        <w:t>IT</w:t>
      </w:r>
      <w:r w:rsidR="00735D2B">
        <w:t xml:space="preserve">-administered </w:t>
      </w:r>
      <w:proofErr w:type="spellStart"/>
      <w:r w:rsidR="00735D2B">
        <w:t>onasemnogene</w:t>
      </w:r>
      <w:proofErr w:type="spellEnd"/>
      <w:r w:rsidR="00735D2B">
        <w:t xml:space="preserve"> </w:t>
      </w:r>
      <w:proofErr w:type="spellStart"/>
      <w:r w:rsidR="00735D2B">
        <w:t>abeparvovec</w:t>
      </w:r>
      <w:proofErr w:type="spellEnd"/>
      <w:r w:rsidR="00735D2B">
        <w:t xml:space="preserve"> </w:t>
      </w:r>
      <w:r w:rsidR="00735D2B" w:rsidRPr="003E23C1">
        <w:t>showed the CNS (brain and spinal cord) as</w:t>
      </w:r>
      <w:r w:rsidR="00735D2B">
        <w:t xml:space="preserve"> a target organ of toxicity</w:t>
      </w:r>
      <w:r>
        <w:t xml:space="preserve"> for </w:t>
      </w:r>
      <w:proofErr w:type="spellStart"/>
      <w:r>
        <w:t>onasemnogene</w:t>
      </w:r>
      <w:proofErr w:type="spellEnd"/>
      <w:r>
        <w:t xml:space="preserve"> </w:t>
      </w:r>
      <w:proofErr w:type="spellStart"/>
      <w:r>
        <w:t>abeparvovec</w:t>
      </w:r>
      <w:proofErr w:type="spellEnd"/>
      <w:r>
        <w:t xml:space="preserve">. </w:t>
      </w:r>
      <w:r w:rsidR="00735D2B">
        <w:t xml:space="preserve">Findings included </w:t>
      </w:r>
      <w:r w:rsidR="00735D2B" w:rsidRPr="007100F6">
        <w:t xml:space="preserve">minimal, multifocal and clinically silent dorsal root ganglion degeneration with mononuclear inflammation, consistent with previous findings from </w:t>
      </w:r>
      <w:r w:rsidR="00735D2B">
        <w:t>the preliminary no</w:t>
      </w:r>
      <w:r>
        <w:t xml:space="preserve">n-GLP non-human primate study. </w:t>
      </w:r>
      <w:r w:rsidR="00735D2B">
        <w:t>Histopathological findings in the brain included minimal neuronal degeneration/</w:t>
      </w:r>
      <w:proofErr w:type="spellStart"/>
      <w:r w:rsidR="00735D2B">
        <w:t>satellitosis</w:t>
      </w:r>
      <w:proofErr w:type="spellEnd"/>
      <w:r w:rsidR="00735D2B">
        <w:t xml:space="preserve"> in the cerebellar nuclei, minimal or slight multifocal gliosis in the cerebrum, cerebellum and brain stem, and/or slight axonal degeneration i</w:t>
      </w:r>
      <w:r>
        <w:t xml:space="preserve">n the cerebellar white matter. </w:t>
      </w:r>
      <w:r w:rsidR="00735D2B">
        <w:t>Other spinal cord findings in the dorsal funiculus, or ascending white matter tract of the spinal cord were observed in this study and were considered secondary to mi</w:t>
      </w:r>
      <w:r>
        <w:t xml:space="preserve">croscopic findings in the DRG. </w:t>
      </w:r>
      <w:r w:rsidR="00735D2B">
        <w:t>These findings indicate a risk of neuronal effects with IT-administ</w:t>
      </w:r>
      <w:r>
        <w:t xml:space="preserve">ered </w:t>
      </w:r>
      <w:proofErr w:type="spellStart"/>
      <w:r>
        <w:t>onasemnogene</w:t>
      </w:r>
      <w:proofErr w:type="spellEnd"/>
      <w:r>
        <w:t xml:space="preserve"> </w:t>
      </w:r>
      <w:proofErr w:type="spellStart"/>
      <w:r>
        <w:t>abeparvovec</w:t>
      </w:r>
      <w:proofErr w:type="spellEnd"/>
      <w:r>
        <w:t xml:space="preserve">. </w:t>
      </w:r>
      <w:r w:rsidR="00735D2B">
        <w:t xml:space="preserve">The risk of neuronal effects with IV-administered </w:t>
      </w:r>
      <w:proofErr w:type="spellStart"/>
      <w:r w:rsidR="00735D2B">
        <w:t>onasemnogene</w:t>
      </w:r>
      <w:proofErr w:type="spellEnd"/>
      <w:r w:rsidR="00735D2B">
        <w:t xml:space="preserve"> </w:t>
      </w:r>
      <w:proofErr w:type="spellStart"/>
      <w:r w:rsidR="00735D2B">
        <w:t>abeparvovec</w:t>
      </w:r>
      <w:proofErr w:type="spellEnd"/>
      <w:r w:rsidR="00735D2B">
        <w:t>, where CNS levels of the drug will be lower, is consid</w:t>
      </w:r>
      <w:r>
        <w:t xml:space="preserve">ered lower but still possible. </w:t>
      </w:r>
      <w:r w:rsidR="00735D2B">
        <w:t>Age-appropriate neurological assessments are included in ongo</w:t>
      </w:r>
      <w:r>
        <w:t>ing clinical trial protocols.</w:t>
      </w:r>
    </w:p>
    <w:p w14:paraId="4462F6F6" w14:textId="080F73F3" w:rsidR="00735D2B" w:rsidRPr="00F472CC" w:rsidRDefault="00735D2B" w:rsidP="00735D2B">
      <w:r>
        <w:t xml:space="preserve">No genotoxicity or carcinogenicity studies have been conducted with </w:t>
      </w:r>
      <w:proofErr w:type="spellStart"/>
      <w:r>
        <w:t>onasemnogene</w:t>
      </w:r>
      <w:proofErr w:type="spellEnd"/>
      <w:r>
        <w:t xml:space="preserve"> </w:t>
      </w:r>
      <w:proofErr w:type="spellStart"/>
      <w:r>
        <w:t>abeparvovec</w:t>
      </w:r>
      <w:proofErr w:type="spellEnd"/>
      <w:r w:rsidR="00B32CDB">
        <w:t xml:space="preserve">. </w:t>
      </w:r>
      <w:r>
        <w:t>The vector has been designed to remove the sit</w:t>
      </w:r>
      <w:r w:rsidR="00B32CDB">
        <w:t>e-specific integration feature.</w:t>
      </w:r>
      <w:r>
        <w:t xml:space="preserve"> The integration and oncogenic potential of </w:t>
      </w:r>
      <w:proofErr w:type="spellStart"/>
      <w:r>
        <w:t>onasemnogene</w:t>
      </w:r>
      <w:proofErr w:type="spellEnd"/>
      <w:r>
        <w:t xml:space="preserve"> </w:t>
      </w:r>
      <w:proofErr w:type="spellStart"/>
      <w:r>
        <w:t>abeparvovec</w:t>
      </w:r>
      <w:proofErr w:type="spellEnd"/>
      <w:r>
        <w:t xml:space="preserve"> is not certain, but the risk of an integration event for </w:t>
      </w:r>
      <w:proofErr w:type="spellStart"/>
      <w:r>
        <w:t>onasemnogene</w:t>
      </w:r>
      <w:proofErr w:type="spellEnd"/>
      <w:r>
        <w:t xml:space="preserve"> </w:t>
      </w:r>
      <w:proofErr w:type="spellStart"/>
      <w:r>
        <w:t>abeparvovec</w:t>
      </w:r>
      <w:proofErr w:type="spellEnd"/>
      <w:r>
        <w:t xml:space="preserve"> in non-human primates and humans appears low, and if an integration event is to occur, it is anticipated to have a</w:t>
      </w:r>
      <w:r w:rsidR="00B32CDB">
        <w:t xml:space="preserve"> low risk for carcinogenicity. </w:t>
      </w:r>
      <w:r>
        <w:t>Based on the low risk for integrati</w:t>
      </w:r>
      <w:r w:rsidR="000F31FE">
        <w:t>on and carcinogenicity, the non</w:t>
      </w:r>
      <w:r>
        <w:t xml:space="preserve">clinical evaluator supports the </w:t>
      </w:r>
      <w:r w:rsidR="000F31FE" w:rsidRPr="00F472CC">
        <w:t xml:space="preserve">nonclinical safety specification </w:t>
      </w:r>
      <w:r w:rsidRPr="00F472CC">
        <w:t xml:space="preserve">of the </w:t>
      </w:r>
      <w:r w:rsidR="000F31FE" w:rsidRPr="00F472CC">
        <w:t>risk management plan</w:t>
      </w:r>
      <w:r>
        <w:t xml:space="preserve">, which includes </w:t>
      </w:r>
      <w:r w:rsidRPr="00F472CC">
        <w:t>long-term follow-up studies that specifically include the occurrence of new malignancies and tumours.</w:t>
      </w:r>
    </w:p>
    <w:p w14:paraId="23A92757" w14:textId="7FD0D74C" w:rsidR="00735D2B" w:rsidRDefault="00735D2B" w:rsidP="00735D2B">
      <w:r w:rsidRPr="004443CE">
        <w:t xml:space="preserve">No reproductive or developmental studies were submitted. There was limited distribution and persistence of vector DNA </w:t>
      </w:r>
      <w:r w:rsidR="00B32CDB">
        <w:t xml:space="preserve">in the gonads of treated mice. </w:t>
      </w:r>
      <w:r w:rsidRPr="004443CE">
        <w:t>Given the age of the intended patient group (&lt;</w:t>
      </w:r>
      <w:r w:rsidR="00B32CDB">
        <w:t xml:space="preserve"> </w:t>
      </w:r>
      <w:r w:rsidRPr="004443CE">
        <w:t>2 years), the risk of germline transmission is considered extremely low.</w:t>
      </w:r>
      <w:r>
        <w:t xml:space="preserve"> </w:t>
      </w:r>
      <w:r w:rsidRPr="00385439">
        <w:t>Therefore, the absence of reproductive and developmental toxicity studies is considered acceptable.</w:t>
      </w:r>
    </w:p>
    <w:p w14:paraId="2B5704A1" w14:textId="2C544A66" w:rsidR="00735D2B" w:rsidRDefault="00735D2B" w:rsidP="00735D2B">
      <w:r>
        <w:t>Due to a steep toxicity curve, the accuracy</w:t>
      </w:r>
      <w:r w:rsidR="00B32CDB">
        <w:t xml:space="preserve"> of viral titres is important. </w:t>
      </w:r>
      <w:r>
        <w:t>The specifications for viral titres should be as tight as possible.</w:t>
      </w:r>
    </w:p>
    <w:p w14:paraId="5C51879B" w14:textId="356C0DB6" w:rsidR="005112AB" w:rsidRDefault="005112AB" w:rsidP="005112AB">
      <w:r>
        <w:t xml:space="preserve">There are no objections to the proposed registration of </w:t>
      </w:r>
      <w:proofErr w:type="spellStart"/>
      <w:r>
        <w:t>Zolgensma</w:t>
      </w:r>
      <w:proofErr w:type="spellEnd"/>
      <w:r>
        <w:t xml:space="preserve"> for the proposed indication</w:t>
      </w:r>
      <w:r w:rsidR="0037124F">
        <w:t>,</w:t>
      </w:r>
      <w:r>
        <w:t xml:space="preserve"> provided:</w:t>
      </w:r>
    </w:p>
    <w:p w14:paraId="3ECC3C5F" w14:textId="12D03903" w:rsidR="005112AB" w:rsidRDefault="005112AB" w:rsidP="005112AB">
      <w:pPr>
        <w:pStyle w:val="ListBullet"/>
      </w:pPr>
      <w:r>
        <w:t>the specifications for the viral titres are as tight as possible and the analytical method for viral titres is sufficiently reliable; and</w:t>
      </w:r>
    </w:p>
    <w:p w14:paraId="38B6E593" w14:textId="4795D9F7" w:rsidR="005112AB" w:rsidRDefault="005112AB" w:rsidP="005112AB">
      <w:pPr>
        <w:pStyle w:val="ListBullet"/>
      </w:pPr>
      <w:r>
        <w:t>there is adequate clinical monitoring and management available for the identified potential adverse effects identified above.</w:t>
      </w:r>
    </w:p>
    <w:p w14:paraId="44596E07" w14:textId="36C10F0D" w:rsidR="008E7846" w:rsidRDefault="00735D2B" w:rsidP="00735D2B">
      <w:r>
        <w:t xml:space="preserve">The </w:t>
      </w:r>
      <w:r w:rsidR="000F31FE">
        <w:t>PI</w:t>
      </w:r>
      <w:r w:rsidR="00B32CDB">
        <w:t xml:space="preserve"> is </w:t>
      </w:r>
      <w:r w:rsidR="005112AB">
        <w:t xml:space="preserve">considered </w:t>
      </w:r>
      <w:r w:rsidR="00B32CDB">
        <w:t>acceptable from a non</w:t>
      </w:r>
      <w:r>
        <w:t>clinical perspective.</w:t>
      </w:r>
    </w:p>
    <w:p w14:paraId="35DEDEB5" w14:textId="77777777" w:rsidR="008E7846" w:rsidRDefault="008E7846" w:rsidP="008E7846">
      <w:pPr>
        <w:pStyle w:val="Heading3"/>
      </w:pPr>
      <w:bookmarkStart w:id="47" w:name="_Toc247691530"/>
      <w:bookmarkStart w:id="48" w:name="_Toc314842513"/>
      <w:bookmarkStart w:id="49" w:name="_Toc69909593"/>
      <w:r>
        <w:t>Clinical</w:t>
      </w:r>
      <w:bookmarkEnd w:id="47"/>
      <w:bookmarkEnd w:id="48"/>
      <w:bookmarkEnd w:id="49"/>
    </w:p>
    <w:p w14:paraId="42128944" w14:textId="2C001095" w:rsidR="00735D2B" w:rsidRDefault="00735D2B" w:rsidP="00735D2B">
      <w:bookmarkStart w:id="50" w:name="_Toc314842514"/>
      <w:r>
        <w:t xml:space="preserve">Clinical studies presented in </w:t>
      </w:r>
      <w:r w:rsidR="00B32CDB">
        <w:t>the clinical portion of the dossier</w:t>
      </w:r>
      <w:r>
        <w:t xml:space="preserve"> include:</w:t>
      </w:r>
    </w:p>
    <w:p w14:paraId="5C28C26E" w14:textId="2962F354" w:rsidR="00735D2B" w:rsidRDefault="00B32CDB" w:rsidP="00B32CDB">
      <w:pPr>
        <w:pStyle w:val="ListBullet"/>
        <w:rPr>
          <w:lang w:eastAsia="ja-JP"/>
        </w:rPr>
      </w:pPr>
      <w:r>
        <w:rPr>
          <w:lang w:eastAsia="ja-JP"/>
        </w:rPr>
        <w:t>One completed Phase I</w:t>
      </w:r>
      <w:r w:rsidR="00735D2B">
        <w:rPr>
          <w:lang w:eastAsia="ja-JP"/>
        </w:rPr>
        <w:t xml:space="preserve"> study (Study AVXS-101-CL-101).</w:t>
      </w:r>
    </w:p>
    <w:p w14:paraId="22B7CFCD" w14:textId="71346621" w:rsidR="00735D2B" w:rsidRDefault="00B32CDB" w:rsidP="00B32CDB">
      <w:pPr>
        <w:pStyle w:val="ListBullet"/>
        <w:rPr>
          <w:lang w:eastAsia="ja-JP"/>
        </w:rPr>
      </w:pPr>
      <w:r>
        <w:rPr>
          <w:lang w:eastAsia="ja-JP"/>
        </w:rPr>
        <w:t>One completed Phase III</w:t>
      </w:r>
      <w:r w:rsidR="00735D2B">
        <w:rPr>
          <w:lang w:eastAsia="ja-JP"/>
        </w:rPr>
        <w:t xml:space="preserve"> study (Study AVXS-101-CL-303).</w:t>
      </w:r>
    </w:p>
    <w:p w14:paraId="00ABBD26" w14:textId="77777777" w:rsidR="00735D2B" w:rsidRDefault="00735D2B" w:rsidP="00B32CDB">
      <w:pPr>
        <w:pStyle w:val="ListBullet"/>
        <w:rPr>
          <w:lang w:eastAsia="ja-JP"/>
        </w:rPr>
      </w:pPr>
      <w:r>
        <w:rPr>
          <w:lang w:eastAsia="ja-JP"/>
        </w:rPr>
        <w:t>Five ongoing studies:</w:t>
      </w:r>
    </w:p>
    <w:p w14:paraId="57840DD4" w14:textId="1499D0BD" w:rsidR="00735D2B" w:rsidRDefault="00735D2B" w:rsidP="00B32CDB">
      <w:pPr>
        <w:pStyle w:val="ListBullet2"/>
        <w:rPr>
          <w:lang w:eastAsia="ja-JP"/>
        </w:rPr>
      </w:pPr>
      <w:r>
        <w:rPr>
          <w:lang w:eastAsia="ja-JP"/>
        </w:rPr>
        <w:t>One long-term extension (Study AVXS-101-</w:t>
      </w:r>
      <w:r w:rsidR="00B32CDB">
        <w:rPr>
          <w:lang w:eastAsia="ja-JP"/>
        </w:rPr>
        <w:t>LT-001) of the completed Phase I</w:t>
      </w:r>
      <w:r>
        <w:rPr>
          <w:lang w:eastAsia="ja-JP"/>
        </w:rPr>
        <w:t xml:space="preserve"> study.</w:t>
      </w:r>
    </w:p>
    <w:p w14:paraId="0013729C" w14:textId="5D848336" w:rsidR="00735D2B" w:rsidRDefault="00B32CDB" w:rsidP="00B32CDB">
      <w:pPr>
        <w:pStyle w:val="ListBullet2"/>
        <w:rPr>
          <w:lang w:eastAsia="ja-JP"/>
        </w:rPr>
      </w:pPr>
      <w:r>
        <w:rPr>
          <w:lang w:eastAsia="ja-JP"/>
        </w:rPr>
        <w:t>One Phase III</w:t>
      </w:r>
      <w:r w:rsidR="00735D2B">
        <w:rPr>
          <w:lang w:eastAsia="ja-JP"/>
        </w:rPr>
        <w:t xml:space="preserve"> intravenous study in patients wit</w:t>
      </w:r>
      <w:r w:rsidR="00841DAD">
        <w:rPr>
          <w:lang w:eastAsia="ja-JP"/>
        </w:rPr>
        <w:t xml:space="preserve">h SMA </w:t>
      </w:r>
      <w:r w:rsidR="005A2B53">
        <w:rPr>
          <w:lang w:eastAsia="ja-JP"/>
        </w:rPr>
        <w:t>type</w:t>
      </w:r>
      <w:r w:rsidR="00841DAD">
        <w:rPr>
          <w:lang w:eastAsia="ja-JP"/>
        </w:rPr>
        <w:t xml:space="preserve"> 1 (Study AVXS</w:t>
      </w:r>
      <w:r w:rsidR="00841DAD">
        <w:rPr>
          <w:lang w:eastAsia="ja-JP"/>
        </w:rPr>
        <w:noBreakHyphen/>
        <w:t>101</w:t>
      </w:r>
      <w:r w:rsidR="00841DAD">
        <w:rPr>
          <w:lang w:eastAsia="ja-JP"/>
        </w:rPr>
        <w:noBreakHyphen/>
        <w:t>CL</w:t>
      </w:r>
      <w:r w:rsidR="00841DAD">
        <w:rPr>
          <w:lang w:eastAsia="ja-JP"/>
        </w:rPr>
        <w:noBreakHyphen/>
      </w:r>
      <w:r w:rsidR="00735D2B">
        <w:rPr>
          <w:lang w:eastAsia="ja-JP"/>
        </w:rPr>
        <w:t>302, enrolment completed).</w:t>
      </w:r>
    </w:p>
    <w:p w14:paraId="05207B87" w14:textId="368DE849" w:rsidR="00735D2B" w:rsidRDefault="00B32CDB" w:rsidP="00B32CDB">
      <w:pPr>
        <w:pStyle w:val="ListBullet2"/>
        <w:rPr>
          <w:lang w:eastAsia="ja-JP"/>
        </w:rPr>
      </w:pPr>
      <w:r>
        <w:rPr>
          <w:lang w:eastAsia="ja-JP"/>
        </w:rPr>
        <w:t>One Phase III</w:t>
      </w:r>
      <w:r w:rsidR="00735D2B">
        <w:rPr>
          <w:lang w:eastAsia="ja-JP"/>
        </w:rPr>
        <w:t xml:space="preserve"> intravenous study in </w:t>
      </w:r>
      <w:r w:rsidR="00735D2B" w:rsidRPr="008142B5">
        <w:rPr>
          <w:i/>
          <w:lang w:eastAsia="ja-JP"/>
        </w:rPr>
        <w:t>pre-symptomatic</w:t>
      </w:r>
      <w:r w:rsidR="00735D2B">
        <w:rPr>
          <w:lang w:eastAsia="ja-JP"/>
        </w:rPr>
        <w:t xml:space="preserve"> newborn patients expected to develop SMA </w:t>
      </w:r>
      <w:r w:rsidR="005A2B53">
        <w:rPr>
          <w:lang w:eastAsia="ja-JP"/>
        </w:rPr>
        <w:t>type</w:t>
      </w:r>
      <w:r w:rsidR="00735D2B">
        <w:rPr>
          <w:lang w:eastAsia="ja-JP"/>
        </w:rPr>
        <w:t xml:space="preserve"> 1 or 2 (Study AVXS-101-CL-304, enrolment completed).</w:t>
      </w:r>
    </w:p>
    <w:p w14:paraId="4A2FAE01" w14:textId="762553B6" w:rsidR="00735D2B" w:rsidRDefault="00B32CDB" w:rsidP="00B32CDB">
      <w:pPr>
        <w:pStyle w:val="ListBullet2"/>
        <w:rPr>
          <w:lang w:eastAsia="ja-JP"/>
        </w:rPr>
      </w:pPr>
      <w:r>
        <w:rPr>
          <w:lang w:eastAsia="ja-JP"/>
        </w:rPr>
        <w:t>One Phase III</w:t>
      </w:r>
      <w:r w:rsidR="00735D2B">
        <w:rPr>
          <w:lang w:eastAsia="ja-JP"/>
        </w:rPr>
        <w:t xml:space="preserve"> intravenous study in patients in Japan, Taiwan, and South Korea with SMA </w:t>
      </w:r>
      <w:r w:rsidR="005A2B53">
        <w:rPr>
          <w:lang w:eastAsia="ja-JP"/>
        </w:rPr>
        <w:t>type</w:t>
      </w:r>
      <w:r w:rsidR="00735D2B">
        <w:rPr>
          <w:lang w:eastAsia="ja-JP"/>
        </w:rPr>
        <w:t xml:space="preserve"> 1 (Study AVXS-1</w:t>
      </w:r>
      <w:r w:rsidR="005112AB">
        <w:rPr>
          <w:lang w:eastAsia="ja-JP"/>
        </w:rPr>
        <w:t xml:space="preserve">01-CL-306, enrolment ongoing). </w:t>
      </w:r>
      <w:r w:rsidR="00735D2B">
        <w:rPr>
          <w:lang w:eastAsia="ja-JP"/>
        </w:rPr>
        <w:t xml:space="preserve">The </w:t>
      </w:r>
      <w:r w:rsidR="005112AB">
        <w:rPr>
          <w:lang w:eastAsia="ja-JP"/>
        </w:rPr>
        <w:t>summary of clinical efficacy</w:t>
      </w:r>
      <w:r w:rsidR="00735D2B">
        <w:rPr>
          <w:lang w:eastAsia="ja-JP"/>
        </w:rPr>
        <w:t xml:space="preserve"> (31 December 2019) reported interi</w:t>
      </w:r>
      <w:r>
        <w:rPr>
          <w:lang w:eastAsia="ja-JP"/>
        </w:rPr>
        <w:t>m results for a single patient.</w:t>
      </w:r>
    </w:p>
    <w:p w14:paraId="224C4BA9" w14:textId="4601597D" w:rsidR="00735D2B" w:rsidRPr="00B32CDB" w:rsidRDefault="00B32CDB" w:rsidP="00735D2B">
      <w:pPr>
        <w:pStyle w:val="ListBullet2"/>
      </w:pPr>
      <w:r>
        <w:rPr>
          <w:lang w:eastAsia="ja-JP"/>
        </w:rPr>
        <w:t>One Phase I</w:t>
      </w:r>
      <w:r w:rsidR="0054359B">
        <w:rPr>
          <w:lang w:eastAsia="ja-JP"/>
        </w:rPr>
        <w:t xml:space="preserve"> study of IT</w:t>
      </w:r>
      <w:r w:rsidR="00735D2B" w:rsidRPr="00B32CDB">
        <w:rPr>
          <w:lang w:eastAsia="ja-JP"/>
        </w:rPr>
        <w:t xml:space="preserve"> administered AVXS-101 in patients with SMA </w:t>
      </w:r>
      <w:r w:rsidR="005A2B53">
        <w:rPr>
          <w:lang w:eastAsia="ja-JP"/>
        </w:rPr>
        <w:t>type</w:t>
      </w:r>
      <w:r w:rsidR="005112AB">
        <w:rPr>
          <w:lang w:eastAsia="ja-JP"/>
        </w:rPr>
        <w:t xml:space="preserve"> 2 (Study AVXS-101-CL-102). </w:t>
      </w:r>
      <w:r w:rsidR="00735D2B" w:rsidRPr="00B32CDB">
        <w:rPr>
          <w:lang w:eastAsia="ja-JP"/>
        </w:rPr>
        <w:t>This study does not inform efficacy in the proposed use (IV),</w:t>
      </w:r>
      <w:r w:rsidR="00735D2B" w:rsidRPr="00B32CDB">
        <w:t xml:space="preserve"> so this study is primaril</w:t>
      </w:r>
      <w:r>
        <w:t>y included for safety analysis.</w:t>
      </w:r>
    </w:p>
    <w:p w14:paraId="63FF4E69" w14:textId="2B08E9CD" w:rsidR="00735D2B" w:rsidRDefault="00735D2B" w:rsidP="005112AB">
      <w:pPr>
        <w:pStyle w:val="TableTitle"/>
      </w:pPr>
      <w:r>
        <w:t xml:space="preserve">Table </w:t>
      </w:r>
      <w:fldSimple w:instr=" SEQ Table \* ARABIC ">
        <w:r w:rsidR="009C2F61">
          <w:rPr>
            <w:noProof/>
          </w:rPr>
          <w:t>5</w:t>
        </w:r>
      </w:fldSimple>
      <w:r w:rsidR="005112AB">
        <w:rPr>
          <w:noProof/>
        </w:rPr>
        <w:t>:</w:t>
      </w:r>
      <w:r>
        <w:t xml:space="preserve"> Summary of clinical studies</w:t>
      </w:r>
    </w:p>
    <w:tbl>
      <w:tblPr>
        <w:tblStyle w:val="TableTGAblue"/>
        <w:tblW w:w="5000" w:type="pct"/>
        <w:tblLayout w:type="fixed"/>
        <w:tblLook w:val="04A0" w:firstRow="1" w:lastRow="0" w:firstColumn="1" w:lastColumn="0" w:noHBand="0" w:noVBand="1"/>
      </w:tblPr>
      <w:tblGrid>
        <w:gridCol w:w="1302"/>
        <w:gridCol w:w="1659"/>
        <w:gridCol w:w="3059"/>
        <w:gridCol w:w="1169"/>
        <w:gridCol w:w="1295"/>
      </w:tblGrid>
      <w:tr w:rsidR="000111B1" w:rsidRPr="00AF291C" w14:paraId="21010237" w14:textId="77777777" w:rsidTr="00296D37">
        <w:trPr>
          <w:cnfStyle w:val="100000000000" w:firstRow="1" w:lastRow="0" w:firstColumn="0" w:lastColumn="0" w:oddVBand="0" w:evenVBand="0" w:oddHBand="0" w:evenHBand="0" w:firstRowFirstColumn="0" w:firstRowLastColumn="0" w:lastRowFirstColumn="0" w:lastRowLastColumn="0"/>
        </w:trPr>
        <w:tc>
          <w:tcPr>
            <w:tcW w:w="767" w:type="pct"/>
            <w:vAlign w:val="center"/>
            <w:hideMark/>
          </w:tcPr>
          <w:p w14:paraId="25911292" w14:textId="77777777" w:rsidR="00296D37" w:rsidRDefault="000111B1" w:rsidP="00296D37">
            <w:pPr>
              <w:ind w:left="0" w:right="0"/>
              <w:rPr>
                <w:sz w:val="19"/>
                <w:szCs w:val="19"/>
              </w:rPr>
            </w:pPr>
            <w:r w:rsidRPr="00AF291C">
              <w:rPr>
                <w:sz w:val="19"/>
                <w:szCs w:val="19"/>
              </w:rPr>
              <w:t xml:space="preserve">Study </w:t>
            </w:r>
            <w:r>
              <w:rPr>
                <w:sz w:val="19"/>
                <w:szCs w:val="19"/>
              </w:rPr>
              <w:t>ID</w:t>
            </w:r>
          </w:p>
          <w:p w14:paraId="18D5B62E" w14:textId="77777777" w:rsidR="00296D37" w:rsidRDefault="000111B1" w:rsidP="00296D37">
            <w:pPr>
              <w:ind w:left="0" w:right="0"/>
              <w:rPr>
                <w:sz w:val="19"/>
                <w:szCs w:val="19"/>
              </w:rPr>
            </w:pPr>
            <w:r w:rsidRPr="00AF291C">
              <w:rPr>
                <w:sz w:val="19"/>
                <w:szCs w:val="19"/>
              </w:rPr>
              <w:t>Phase</w:t>
            </w:r>
          </w:p>
          <w:p w14:paraId="2049D147" w14:textId="15B9ED6A" w:rsidR="000111B1" w:rsidRPr="00AF291C" w:rsidRDefault="000111B1" w:rsidP="00296D37">
            <w:pPr>
              <w:ind w:left="0" w:right="0"/>
              <w:rPr>
                <w:sz w:val="19"/>
                <w:szCs w:val="19"/>
              </w:rPr>
            </w:pPr>
            <w:r>
              <w:rPr>
                <w:sz w:val="19"/>
                <w:szCs w:val="19"/>
              </w:rPr>
              <w:t>Location</w:t>
            </w:r>
          </w:p>
        </w:tc>
        <w:tc>
          <w:tcPr>
            <w:tcW w:w="978" w:type="pct"/>
            <w:vAlign w:val="center"/>
            <w:hideMark/>
          </w:tcPr>
          <w:p w14:paraId="4AEE43E5" w14:textId="0FBD0631" w:rsidR="000111B1" w:rsidRPr="00AF291C" w:rsidRDefault="000111B1" w:rsidP="00296D37">
            <w:pPr>
              <w:ind w:left="0" w:right="0"/>
              <w:rPr>
                <w:sz w:val="19"/>
                <w:szCs w:val="19"/>
              </w:rPr>
            </w:pPr>
            <w:r w:rsidRPr="00AF291C">
              <w:rPr>
                <w:sz w:val="19"/>
                <w:szCs w:val="19"/>
              </w:rPr>
              <w:t xml:space="preserve">Study </w:t>
            </w:r>
            <w:r>
              <w:rPr>
                <w:sz w:val="19"/>
                <w:szCs w:val="19"/>
              </w:rPr>
              <w:t>d</w:t>
            </w:r>
            <w:r w:rsidRPr="00AF291C">
              <w:rPr>
                <w:sz w:val="19"/>
                <w:szCs w:val="19"/>
              </w:rPr>
              <w:t>esign</w:t>
            </w:r>
            <w:r>
              <w:rPr>
                <w:sz w:val="19"/>
                <w:szCs w:val="19"/>
              </w:rPr>
              <w:t>/ control;</w:t>
            </w:r>
            <w:r w:rsidR="00B848D8">
              <w:rPr>
                <w:sz w:val="19"/>
                <w:szCs w:val="19"/>
              </w:rPr>
              <w:t xml:space="preserve"> </w:t>
            </w:r>
            <w:r>
              <w:rPr>
                <w:sz w:val="19"/>
                <w:szCs w:val="19"/>
              </w:rPr>
              <w:t>r</w:t>
            </w:r>
            <w:r w:rsidRPr="00AF291C">
              <w:rPr>
                <w:sz w:val="19"/>
                <w:szCs w:val="19"/>
              </w:rPr>
              <w:t xml:space="preserve">oute </w:t>
            </w:r>
            <w:r>
              <w:rPr>
                <w:sz w:val="19"/>
                <w:szCs w:val="19"/>
              </w:rPr>
              <w:t>and duration of t</w:t>
            </w:r>
            <w:r w:rsidRPr="00AF291C">
              <w:rPr>
                <w:sz w:val="19"/>
                <w:szCs w:val="19"/>
              </w:rPr>
              <w:t>reatment</w:t>
            </w:r>
          </w:p>
        </w:tc>
        <w:tc>
          <w:tcPr>
            <w:tcW w:w="1803" w:type="pct"/>
            <w:vAlign w:val="center"/>
            <w:hideMark/>
          </w:tcPr>
          <w:p w14:paraId="3EC2380E" w14:textId="77777777" w:rsidR="00296D37" w:rsidRDefault="000111B1" w:rsidP="00296D37">
            <w:pPr>
              <w:ind w:left="0" w:right="0"/>
              <w:rPr>
                <w:sz w:val="19"/>
                <w:szCs w:val="19"/>
              </w:rPr>
            </w:pPr>
            <w:r w:rsidRPr="00AF291C">
              <w:rPr>
                <w:sz w:val="19"/>
                <w:szCs w:val="19"/>
              </w:rPr>
              <w:t>N</w:t>
            </w:r>
            <w:r>
              <w:rPr>
                <w:sz w:val="19"/>
                <w:szCs w:val="19"/>
              </w:rPr>
              <w:t>umber of subjects p</w:t>
            </w:r>
            <w:r w:rsidRPr="00AF291C">
              <w:rPr>
                <w:sz w:val="19"/>
                <w:szCs w:val="19"/>
              </w:rPr>
              <w:t>lanned</w:t>
            </w:r>
          </w:p>
          <w:p w14:paraId="27DA94F7" w14:textId="77777777" w:rsidR="00296D37" w:rsidRDefault="000111B1" w:rsidP="00296D37">
            <w:pPr>
              <w:ind w:left="0" w:right="0"/>
              <w:rPr>
                <w:sz w:val="19"/>
                <w:szCs w:val="19"/>
              </w:rPr>
            </w:pPr>
            <w:r>
              <w:rPr>
                <w:sz w:val="19"/>
                <w:szCs w:val="19"/>
              </w:rPr>
              <w:t>Healthy or diagnosed subjects</w:t>
            </w:r>
          </w:p>
          <w:p w14:paraId="628BE7EF" w14:textId="7C499180" w:rsidR="000111B1" w:rsidRPr="00AF291C" w:rsidRDefault="00296D37" w:rsidP="00296D37">
            <w:pPr>
              <w:ind w:left="0" w:right="0"/>
              <w:rPr>
                <w:sz w:val="19"/>
                <w:szCs w:val="19"/>
              </w:rPr>
            </w:pPr>
            <w:r>
              <w:rPr>
                <w:sz w:val="19"/>
                <w:szCs w:val="19"/>
              </w:rPr>
              <w:t>Intent to treat p</w:t>
            </w:r>
            <w:r w:rsidR="000111B1" w:rsidRPr="00AF291C">
              <w:rPr>
                <w:sz w:val="19"/>
                <w:szCs w:val="19"/>
              </w:rPr>
              <w:t>opulation</w:t>
            </w:r>
          </w:p>
        </w:tc>
        <w:tc>
          <w:tcPr>
            <w:tcW w:w="689" w:type="pct"/>
            <w:vAlign w:val="center"/>
            <w:hideMark/>
          </w:tcPr>
          <w:p w14:paraId="2C4D9930" w14:textId="3F45D552" w:rsidR="000111B1" w:rsidRPr="00AF291C" w:rsidRDefault="00296D37" w:rsidP="00296D37">
            <w:pPr>
              <w:ind w:left="0" w:right="0"/>
              <w:rPr>
                <w:sz w:val="19"/>
                <w:szCs w:val="19"/>
              </w:rPr>
            </w:pPr>
            <w:r>
              <w:rPr>
                <w:sz w:val="19"/>
                <w:szCs w:val="19"/>
              </w:rPr>
              <w:t>SMA t</w:t>
            </w:r>
            <w:r w:rsidR="000111B1" w:rsidRPr="00AF291C">
              <w:rPr>
                <w:sz w:val="19"/>
                <w:szCs w:val="19"/>
              </w:rPr>
              <w:t>ype (</w:t>
            </w:r>
            <w:r w:rsidR="000111B1" w:rsidRPr="00296D37">
              <w:rPr>
                <w:i/>
                <w:sz w:val="19"/>
                <w:szCs w:val="19"/>
              </w:rPr>
              <w:t>SMN2</w:t>
            </w:r>
            <w:r w:rsidR="000111B1" w:rsidRPr="00AF291C">
              <w:rPr>
                <w:sz w:val="19"/>
                <w:szCs w:val="19"/>
              </w:rPr>
              <w:t xml:space="preserve"> Copy No.)</w:t>
            </w:r>
          </w:p>
        </w:tc>
        <w:tc>
          <w:tcPr>
            <w:tcW w:w="763" w:type="pct"/>
            <w:vAlign w:val="center"/>
            <w:hideMark/>
          </w:tcPr>
          <w:p w14:paraId="37FA865A" w14:textId="6A124F33" w:rsidR="000111B1" w:rsidRPr="00AF291C" w:rsidRDefault="00296D37" w:rsidP="00296D37">
            <w:pPr>
              <w:ind w:left="0" w:right="0"/>
              <w:rPr>
                <w:sz w:val="19"/>
                <w:szCs w:val="19"/>
              </w:rPr>
            </w:pPr>
            <w:r>
              <w:rPr>
                <w:sz w:val="19"/>
                <w:szCs w:val="19"/>
              </w:rPr>
              <w:t>Study status Data included in s</w:t>
            </w:r>
            <w:r w:rsidR="000111B1" w:rsidRPr="00AF291C">
              <w:rPr>
                <w:sz w:val="19"/>
                <w:szCs w:val="19"/>
              </w:rPr>
              <w:t>ubmission (Yes/No)</w:t>
            </w:r>
          </w:p>
        </w:tc>
      </w:tr>
      <w:tr w:rsidR="00CF6381" w:rsidRPr="00AF291C" w14:paraId="42E362DA" w14:textId="77777777" w:rsidTr="00296D37">
        <w:tc>
          <w:tcPr>
            <w:tcW w:w="767" w:type="pct"/>
            <w:hideMark/>
          </w:tcPr>
          <w:p w14:paraId="76A5FC8C" w14:textId="77777777" w:rsidR="00296D37" w:rsidRDefault="000111B1" w:rsidP="00AF291C">
            <w:pPr>
              <w:ind w:left="0" w:right="0"/>
              <w:rPr>
                <w:sz w:val="19"/>
                <w:szCs w:val="19"/>
              </w:rPr>
            </w:pPr>
            <w:r>
              <w:rPr>
                <w:sz w:val="19"/>
                <w:szCs w:val="19"/>
              </w:rPr>
              <w:t>AVXS-101-CL-101</w:t>
            </w:r>
          </w:p>
          <w:p w14:paraId="04B6994D" w14:textId="77777777" w:rsidR="00296D37" w:rsidRDefault="000111B1" w:rsidP="00AF291C">
            <w:pPr>
              <w:ind w:left="0" w:right="0"/>
              <w:rPr>
                <w:sz w:val="19"/>
                <w:szCs w:val="19"/>
              </w:rPr>
            </w:pPr>
            <w:r>
              <w:rPr>
                <w:sz w:val="19"/>
                <w:szCs w:val="19"/>
              </w:rPr>
              <w:t>Phase I</w:t>
            </w:r>
          </w:p>
          <w:p w14:paraId="3EBEB173" w14:textId="6B505AC1" w:rsidR="00CF6381" w:rsidRPr="00AF291C" w:rsidRDefault="00CF6381" w:rsidP="00AF291C">
            <w:pPr>
              <w:ind w:left="0" w:right="0"/>
              <w:rPr>
                <w:sz w:val="19"/>
                <w:szCs w:val="19"/>
              </w:rPr>
            </w:pPr>
            <w:r w:rsidRPr="00AF291C">
              <w:rPr>
                <w:sz w:val="19"/>
                <w:szCs w:val="19"/>
              </w:rPr>
              <w:t>United States</w:t>
            </w:r>
          </w:p>
        </w:tc>
        <w:tc>
          <w:tcPr>
            <w:tcW w:w="978" w:type="pct"/>
            <w:hideMark/>
          </w:tcPr>
          <w:p w14:paraId="34AA6ED5" w14:textId="7FE22534" w:rsidR="00CF6381" w:rsidRPr="00AF291C" w:rsidRDefault="00296D37" w:rsidP="00AF291C">
            <w:pPr>
              <w:ind w:left="0" w:right="0"/>
              <w:rPr>
                <w:sz w:val="19"/>
                <w:szCs w:val="19"/>
              </w:rPr>
            </w:pPr>
            <w:r>
              <w:rPr>
                <w:sz w:val="19"/>
                <w:szCs w:val="19"/>
              </w:rPr>
              <w:t>Open label single centre;</w:t>
            </w:r>
            <w:r w:rsidR="00CF6381" w:rsidRPr="00AF291C">
              <w:rPr>
                <w:sz w:val="19"/>
                <w:szCs w:val="19"/>
              </w:rPr>
              <w:t xml:space="preserve"> IV</w:t>
            </w:r>
            <w:r>
              <w:rPr>
                <w:sz w:val="19"/>
                <w:szCs w:val="19"/>
              </w:rPr>
              <w:t xml:space="preserve">, single </w:t>
            </w:r>
            <w:r w:rsidR="00CF6381" w:rsidRPr="00AF291C">
              <w:rPr>
                <w:sz w:val="19"/>
                <w:szCs w:val="19"/>
              </w:rPr>
              <w:t>dose</w:t>
            </w:r>
          </w:p>
        </w:tc>
        <w:tc>
          <w:tcPr>
            <w:tcW w:w="1803" w:type="pct"/>
            <w:hideMark/>
          </w:tcPr>
          <w:p w14:paraId="3D9AFCD8" w14:textId="77777777" w:rsidR="00CF6381" w:rsidRDefault="00CF6381" w:rsidP="00AF291C">
            <w:pPr>
              <w:ind w:left="0" w:right="0"/>
              <w:rPr>
                <w:sz w:val="19"/>
                <w:szCs w:val="19"/>
              </w:rPr>
            </w:pPr>
            <w:r w:rsidRPr="00AF291C">
              <w:rPr>
                <w:sz w:val="19"/>
                <w:szCs w:val="19"/>
              </w:rPr>
              <w:t>15</w:t>
            </w:r>
          </w:p>
          <w:p w14:paraId="7C9DDE61" w14:textId="6122E34C" w:rsidR="00CF6381" w:rsidRPr="00AF291C" w:rsidRDefault="00CF6381" w:rsidP="00AF291C">
            <w:pPr>
              <w:ind w:left="0" w:right="0"/>
              <w:rPr>
                <w:sz w:val="19"/>
                <w:szCs w:val="19"/>
              </w:rPr>
            </w:pPr>
            <w:r w:rsidRPr="00AF291C">
              <w:rPr>
                <w:sz w:val="19"/>
                <w:szCs w:val="19"/>
              </w:rPr>
              <w:t xml:space="preserve">Patients with SMA </w:t>
            </w:r>
            <w:r w:rsidR="005A2B53">
              <w:rPr>
                <w:sz w:val="19"/>
                <w:szCs w:val="19"/>
              </w:rPr>
              <w:t>type</w:t>
            </w:r>
            <w:r w:rsidR="00503834">
              <w:rPr>
                <w:sz w:val="19"/>
                <w:szCs w:val="19"/>
              </w:rPr>
              <w:t xml:space="preserve"> 1</w:t>
            </w:r>
          </w:p>
          <w:p w14:paraId="445DA9BD" w14:textId="64E627CA" w:rsidR="00CF6381" w:rsidRPr="00AF291C" w:rsidRDefault="00CF6381" w:rsidP="00AF291C">
            <w:pPr>
              <w:ind w:left="0" w:right="0"/>
              <w:rPr>
                <w:sz w:val="19"/>
                <w:szCs w:val="19"/>
              </w:rPr>
            </w:pPr>
            <w:r w:rsidRPr="00AF291C">
              <w:rPr>
                <w:sz w:val="19"/>
                <w:szCs w:val="19"/>
              </w:rPr>
              <w:t xml:space="preserve">All patients had a clinical diagnosis of SMA </w:t>
            </w:r>
            <w:r w:rsidR="005A2B53">
              <w:rPr>
                <w:sz w:val="19"/>
                <w:szCs w:val="19"/>
              </w:rPr>
              <w:t>type</w:t>
            </w:r>
            <w:r w:rsidR="00503834">
              <w:rPr>
                <w:sz w:val="19"/>
                <w:szCs w:val="19"/>
              </w:rPr>
              <w:t xml:space="preserve"> 1</w:t>
            </w:r>
            <w:r w:rsidRPr="00AF291C">
              <w:rPr>
                <w:sz w:val="19"/>
                <w:szCs w:val="19"/>
              </w:rPr>
              <w:t xml:space="preserve"> before 6 months of age, confirmed </w:t>
            </w:r>
            <w:r w:rsidR="005A2B53" w:rsidRPr="005A2B53">
              <w:rPr>
                <w:i/>
                <w:sz w:val="19"/>
                <w:szCs w:val="19"/>
              </w:rPr>
              <w:t>SMN1</w:t>
            </w:r>
            <w:r w:rsidRPr="00AF291C">
              <w:rPr>
                <w:sz w:val="19"/>
                <w:szCs w:val="19"/>
              </w:rPr>
              <w:t xml:space="preserve"> bi-allelic gene mutations (deletion or point mutation). and 2 copies of </w:t>
            </w:r>
            <w:r w:rsidRPr="00503834">
              <w:rPr>
                <w:i/>
                <w:sz w:val="19"/>
                <w:szCs w:val="19"/>
              </w:rPr>
              <w:t>SMN2</w:t>
            </w:r>
            <w:r w:rsidRPr="00AF291C">
              <w:rPr>
                <w:sz w:val="19"/>
                <w:szCs w:val="19"/>
              </w:rPr>
              <w:t xml:space="preserve"> with no known genetic modifier mutation</w:t>
            </w:r>
          </w:p>
        </w:tc>
        <w:tc>
          <w:tcPr>
            <w:tcW w:w="689" w:type="pct"/>
            <w:hideMark/>
          </w:tcPr>
          <w:p w14:paraId="584584D6" w14:textId="28BCE2F4" w:rsidR="00CF6381" w:rsidRPr="00AF291C" w:rsidRDefault="000111B1" w:rsidP="00AF291C">
            <w:pPr>
              <w:ind w:left="0" w:right="0"/>
              <w:rPr>
                <w:sz w:val="19"/>
                <w:szCs w:val="19"/>
              </w:rPr>
            </w:pPr>
            <w:r>
              <w:rPr>
                <w:sz w:val="19"/>
                <w:szCs w:val="19"/>
              </w:rPr>
              <w:t>1</w:t>
            </w:r>
            <w:r w:rsidR="00CF6381" w:rsidRPr="00AF291C">
              <w:rPr>
                <w:sz w:val="19"/>
                <w:szCs w:val="19"/>
              </w:rPr>
              <w:t xml:space="preserve"> (2)</w:t>
            </w:r>
          </w:p>
        </w:tc>
        <w:tc>
          <w:tcPr>
            <w:tcW w:w="763" w:type="pct"/>
            <w:hideMark/>
          </w:tcPr>
          <w:p w14:paraId="42D1AF31" w14:textId="77777777" w:rsidR="00296D37" w:rsidRDefault="00296D37" w:rsidP="00AF291C">
            <w:pPr>
              <w:ind w:left="0" w:right="0"/>
              <w:rPr>
                <w:sz w:val="19"/>
                <w:szCs w:val="19"/>
              </w:rPr>
            </w:pPr>
            <w:r>
              <w:rPr>
                <w:sz w:val="19"/>
                <w:szCs w:val="19"/>
              </w:rPr>
              <w:t>Completed</w:t>
            </w:r>
          </w:p>
          <w:p w14:paraId="7E05E306" w14:textId="1FBD78D8" w:rsidR="00CF6381" w:rsidRPr="00AF291C" w:rsidRDefault="00CF6381" w:rsidP="00AF291C">
            <w:pPr>
              <w:ind w:left="0" w:right="0"/>
              <w:rPr>
                <w:sz w:val="19"/>
                <w:szCs w:val="19"/>
              </w:rPr>
            </w:pPr>
            <w:r w:rsidRPr="00AF291C">
              <w:rPr>
                <w:sz w:val="19"/>
                <w:szCs w:val="19"/>
              </w:rPr>
              <w:t>Yes</w:t>
            </w:r>
          </w:p>
        </w:tc>
      </w:tr>
      <w:tr w:rsidR="00CF6381" w:rsidRPr="00AF291C" w14:paraId="1D62B64D" w14:textId="77777777" w:rsidTr="00296D37">
        <w:trPr>
          <w:cantSplit/>
        </w:trPr>
        <w:tc>
          <w:tcPr>
            <w:tcW w:w="767" w:type="pct"/>
            <w:hideMark/>
          </w:tcPr>
          <w:p w14:paraId="0130E68E" w14:textId="77777777" w:rsidR="00296D37" w:rsidRDefault="00296D37" w:rsidP="00AF291C">
            <w:pPr>
              <w:ind w:left="0" w:right="0"/>
              <w:rPr>
                <w:sz w:val="19"/>
                <w:szCs w:val="19"/>
              </w:rPr>
            </w:pPr>
            <w:r>
              <w:rPr>
                <w:sz w:val="19"/>
                <w:szCs w:val="19"/>
              </w:rPr>
              <w:t>AVXS-101-CL-303</w:t>
            </w:r>
          </w:p>
          <w:p w14:paraId="42C569ED" w14:textId="77777777" w:rsidR="00296D37" w:rsidRDefault="000111B1" w:rsidP="00AF291C">
            <w:pPr>
              <w:ind w:left="0" w:right="0"/>
              <w:rPr>
                <w:sz w:val="19"/>
                <w:szCs w:val="19"/>
              </w:rPr>
            </w:pPr>
            <w:r>
              <w:rPr>
                <w:sz w:val="19"/>
                <w:szCs w:val="19"/>
              </w:rPr>
              <w:t>Phase III</w:t>
            </w:r>
          </w:p>
          <w:p w14:paraId="285420D6" w14:textId="491B98E5" w:rsidR="00CF6381" w:rsidRPr="00AF291C" w:rsidRDefault="00CF6381" w:rsidP="00AF291C">
            <w:pPr>
              <w:ind w:left="0" w:right="0"/>
              <w:rPr>
                <w:sz w:val="19"/>
                <w:szCs w:val="19"/>
              </w:rPr>
            </w:pPr>
            <w:r w:rsidRPr="00AF291C">
              <w:rPr>
                <w:sz w:val="19"/>
                <w:szCs w:val="19"/>
              </w:rPr>
              <w:t>United States</w:t>
            </w:r>
          </w:p>
        </w:tc>
        <w:tc>
          <w:tcPr>
            <w:tcW w:w="978" w:type="pct"/>
            <w:hideMark/>
          </w:tcPr>
          <w:p w14:paraId="3E7C6AD7" w14:textId="23436AB4" w:rsidR="00CF6381" w:rsidRPr="00AF291C" w:rsidRDefault="00296D37" w:rsidP="00AF291C">
            <w:pPr>
              <w:ind w:left="0" w:right="0"/>
              <w:rPr>
                <w:sz w:val="19"/>
                <w:szCs w:val="19"/>
              </w:rPr>
            </w:pPr>
            <w:r>
              <w:rPr>
                <w:sz w:val="19"/>
                <w:szCs w:val="19"/>
              </w:rPr>
              <w:t>Open label single</w:t>
            </w:r>
            <w:r w:rsidR="00CF6381" w:rsidRPr="00AF291C">
              <w:rPr>
                <w:sz w:val="19"/>
                <w:szCs w:val="19"/>
              </w:rPr>
              <w:t xml:space="preserve"> arm</w:t>
            </w:r>
            <w:r>
              <w:rPr>
                <w:sz w:val="19"/>
                <w:szCs w:val="19"/>
              </w:rPr>
              <w:t xml:space="preserve"> m</w:t>
            </w:r>
            <w:r w:rsidR="000111B1" w:rsidRPr="00AF291C">
              <w:rPr>
                <w:sz w:val="19"/>
                <w:szCs w:val="19"/>
              </w:rPr>
              <w:t>ulticentre</w:t>
            </w:r>
            <w:r>
              <w:rPr>
                <w:sz w:val="19"/>
                <w:szCs w:val="19"/>
              </w:rPr>
              <w:t>;</w:t>
            </w:r>
            <w:r w:rsidR="00CF6381" w:rsidRPr="00AF291C">
              <w:rPr>
                <w:sz w:val="19"/>
                <w:szCs w:val="19"/>
              </w:rPr>
              <w:t xml:space="preserve"> IV</w:t>
            </w:r>
            <w:r w:rsidR="00503834">
              <w:rPr>
                <w:sz w:val="19"/>
                <w:szCs w:val="19"/>
              </w:rPr>
              <w:t xml:space="preserve">, single </w:t>
            </w:r>
            <w:r w:rsidR="00CF6381" w:rsidRPr="00AF291C">
              <w:rPr>
                <w:sz w:val="19"/>
                <w:szCs w:val="19"/>
              </w:rPr>
              <w:t>dose</w:t>
            </w:r>
          </w:p>
        </w:tc>
        <w:tc>
          <w:tcPr>
            <w:tcW w:w="1803" w:type="pct"/>
            <w:hideMark/>
          </w:tcPr>
          <w:p w14:paraId="04E84732" w14:textId="77777777" w:rsidR="00CF6381" w:rsidRPr="00AF291C" w:rsidRDefault="00CF6381" w:rsidP="00AF291C">
            <w:pPr>
              <w:ind w:left="0" w:right="0"/>
              <w:rPr>
                <w:sz w:val="19"/>
                <w:szCs w:val="19"/>
              </w:rPr>
            </w:pPr>
            <w:r w:rsidRPr="00AF291C">
              <w:rPr>
                <w:sz w:val="19"/>
                <w:szCs w:val="19"/>
              </w:rPr>
              <w:t>Up to 20</w:t>
            </w:r>
          </w:p>
          <w:p w14:paraId="7F780D64" w14:textId="6C1E4DE6" w:rsidR="00CF6381" w:rsidRPr="00AF291C" w:rsidRDefault="00CF6381" w:rsidP="00AF291C">
            <w:pPr>
              <w:ind w:left="0" w:right="0"/>
              <w:rPr>
                <w:sz w:val="19"/>
                <w:szCs w:val="19"/>
              </w:rPr>
            </w:pPr>
            <w:r w:rsidRPr="00AF291C">
              <w:rPr>
                <w:sz w:val="19"/>
                <w:szCs w:val="19"/>
              </w:rPr>
              <w:t xml:space="preserve">Patients with SMA </w:t>
            </w:r>
            <w:r w:rsidR="005A2B53">
              <w:rPr>
                <w:sz w:val="19"/>
                <w:szCs w:val="19"/>
              </w:rPr>
              <w:t>type</w:t>
            </w:r>
            <w:r w:rsidR="00503834">
              <w:rPr>
                <w:sz w:val="19"/>
                <w:szCs w:val="19"/>
              </w:rPr>
              <w:t xml:space="preserve"> 1</w:t>
            </w:r>
            <w:r w:rsidRPr="00AF291C">
              <w:rPr>
                <w:sz w:val="19"/>
                <w:szCs w:val="19"/>
              </w:rPr>
              <w:t xml:space="preserve"> with 1 or 2 copies of SMN2 </w:t>
            </w:r>
            <w:r w:rsidR="005A2B53">
              <w:rPr>
                <w:sz w:val="19"/>
                <w:szCs w:val="19"/>
              </w:rPr>
              <w:t xml:space="preserve">&lt; </w:t>
            </w:r>
            <w:r w:rsidRPr="00AF291C">
              <w:rPr>
                <w:sz w:val="19"/>
                <w:szCs w:val="19"/>
              </w:rPr>
              <w:t>6 months of age at the time of gene replacement therapy.</w:t>
            </w:r>
          </w:p>
          <w:p w14:paraId="423274E7" w14:textId="3FD306B1" w:rsidR="00CF6381" w:rsidRPr="00AF291C" w:rsidRDefault="00CF6381" w:rsidP="00AF291C">
            <w:pPr>
              <w:ind w:left="0" w:right="0"/>
              <w:rPr>
                <w:sz w:val="19"/>
                <w:szCs w:val="19"/>
              </w:rPr>
            </w:pPr>
            <w:r w:rsidRPr="00AF291C">
              <w:rPr>
                <w:sz w:val="19"/>
                <w:szCs w:val="19"/>
              </w:rPr>
              <w:t xml:space="preserve">Patients with a clinical diagnosis of SMA </w:t>
            </w:r>
            <w:r w:rsidR="005A2B53">
              <w:rPr>
                <w:sz w:val="19"/>
                <w:szCs w:val="19"/>
              </w:rPr>
              <w:t>type</w:t>
            </w:r>
            <w:r w:rsidRPr="00AF291C">
              <w:rPr>
                <w:sz w:val="19"/>
                <w:szCs w:val="19"/>
              </w:rPr>
              <w:t xml:space="preserve"> 1 before 6 months of age. </w:t>
            </w:r>
            <w:r w:rsidR="005A2B53" w:rsidRPr="005A2B53">
              <w:rPr>
                <w:i/>
                <w:sz w:val="19"/>
                <w:szCs w:val="19"/>
              </w:rPr>
              <w:t>SMN1</w:t>
            </w:r>
            <w:r w:rsidRPr="00AF291C">
              <w:rPr>
                <w:sz w:val="19"/>
                <w:szCs w:val="19"/>
              </w:rPr>
              <w:t xml:space="preserve"> bi-allelic gene deletion and 2 copies of </w:t>
            </w:r>
            <w:r w:rsidRPr="00503834">
              <w:rPr>
                <w:i/>
                <w:sz w:val="19"/>
                <w:szCs w:val="19"/>
              </w:rPr>
              <w:t>SMN2</w:t>
            </w:r>
            <w:r w:rsidRPr="00AF291C">
              <w:rPr>
                <w:sz w:val="19"/>
                <w:szCs w:val="19"/>
              </w:rPr>
              <w:t xml:space="preserve"> with no known genetic modifier mutation</w:t>
            </w:r>
          </w:p>
        </w:tc>
        <w:tc>
          <w:tcPr>
            <w:tcW w:w="689" w:type="pct"/>
            <w:hideMark/>
          </w:tcPr>
          <w:p w14:paraId="24BB9218" w14:textId="40774E76" w:rsidR="00CF6381" w:rsidRPr="00AF291C" w:rsidRDefault="000111B1" w:rsidP="00AF291C">
            <w:pPr>
              <w:ind w:left="0" w:right="0"/>
              <w:rPr>
                <w:sz w:val="19"/>
                <w:szCs w:val="19"/>
              </w:rPr>
            </w:pPr>
            <w:r>
              <w:rPr>
                <w:sz w:val="19"/>
                <w:szCs w:val="19"/>
              </w:rPr>
              <w:t xml:space="preserve">1 (1, </w:t>
            </w:r>
            <w:r w:rsidR="00CF6381" w:rsidRPr="00AF291C">
              <w:rPr>
                <w:sz w:val="19"/>
                <w:szCs w:val="19"/>
              </w:rPr>
              <w:t>2)</w:t>
            </w:r>
          </w:p>
        </w:tc>
        <w:tc>
          <w:tcPr>
            <w:tcW w:w="763" w:type="pct"/>
            <w:hideMark/>
          </w:tcPr>
          <w:p w14:paraId="3AC9B6C9" w14:textId="77777777" w:rsidR="000111B1" w:rsidRDefault="000111B1" w:rsidP="00AF291C">
            <w:pPr>
              <w:ind w:left="0" w:right="0"/>
              <w:rPr>
                <w:sz w:val="19"/>
                <w:szCs w:val="19"/>
              </w:rPr>
            </w:pPr>
            <w:r>
              <w:rPr>
                <w:sz w:val="19"/>
                <w:szCs w:val="19"/>
              </w:rPr>
              <w:t>Completed</w:t>
            </w:r>
          </w:p>
          <w:p w14:paraId="4AE063D5" w14:textId="4C1E204B" w:rsidR="00CF6381" w:rsidRPr="00AF291C" w:rsidRDefault="00CF6381" w:rsidP="00AF291C">
            <w:pPr>
              <w:ind w:left="0" w:right="0"/>
              <w:rPr>
                <w:sz w:val="19"/>
                <w:szCs w:val="19"/>
              </w:rPr>
            </w:pPr>
            <w:r w:rsidRPr="00AF291C">
              <w:rPr>
                <w:sz w:val="19"/>
                <w:szCs w:val="19"/>
              </w:rPr>
              <w:t>Yes</w:t>
            </w:r>
          </w:p>
        </w:tc>
      </w:tr>
      <w:tr w:rsidR="000111B1" w:rsidRPr="00AF291C" w14:paraId="7B8BFF6D" w14:textId="77777777" w:rsidTr="00296D37">
        <w:tc>
          <w:tcPr>
            <w:tcW w:w="767" w:type="pct"/>
            <w:hideMark/>
          </w:tcPr>
          <w:p w14:paraId="6EF86C3B" w14:textId="08F28EED" w:rsidR="000111B1" w:rsidRPr="00AF291C" w:rsidRDefault="000111B1" w:rsidP="00AF291C">
            <w:pPr>
              <w:ind w:left="0" w:right="0"/>
              <w:rPr>
                <w:sz w:val="19"/>
                <w:szCs w:val="19"/>
              </w:rPr>
            </w:pPr>
            <w:r>
              <w:rPr>
                <w:sz w:val="19"/>
                <w:szCs w:val="19"/>
              </w:rPr>
              <w:t>AVXS-101-CL-304 Phase III</w:t>
            </w:r>
            <w:r w:rsidR="00503834">
              <w:rPr>
                <w:sz w:val="19"/>
                <w:szCs w:val="19"/>
              </w:rPr>
              <w:t xml:space="preserve"> Australia, Belgium, Canada, Germany, Israel, Italy, Japan,</w:t>
            </w:r>
            <w:r w:rsidRPr="00AF291C">
              <w:rPr>
                <w:sz w:val="19"/>
                <w:szCs w:val="19"/>
              </w:rPr>
              <w:t xml:space="preserve"> Netherlands</w:t>
            </w:r>
            <w:r w:rsidR="00503834">
              <w:rPr>
                <w:sz w:val="19"/>
                <w:szCs w:val="19"/>
              </w:rPr>
              <w:t>, South Korea, Spain, Taiwan,</w:t>
            </w:r>
            <w:r w:rsidRPr="00AF291C">
              <w:rPr>
                <w:sz w:val="19"/>
                <w:szCs w:val="19"/>
              </w:rPr>
              <w:t xml:space="preserve"> United Kingdom</w:t>
            </w:r>
            <w:r w:rsidR="00503834">
              <w:rPr>
                <w:sz w:val="19"/>
                <w:szCs w:val="19"/>
              </w:rPr>
              <w:t>,</w:t>
            </w:r>
            <w:r w:rsidRPr="00AF291C">
              <w:rPr>
                <w:sz w:val="19"/>
                <w:szCs w:val="19"/>
              </w:rPr>
              <w:t xml:space="preserve"> United States</w:t>
            </w:r>
          </w:p>
        </w:tc>
        <w:tc>
          <w:tcPr>
            <w:tcW w:w="978" w:type="pct"/>
            <w:hideMark/>
          </w:tcPr>
          <w:p w14:paraId="4B5CFF7B" w14:textId="40669E32" w:rsidR="000111B1" w:rsidRPr="00AF291C" w:rsidRDefault="00296D37" w:rsidP="00AF291C">
            <w:pPr>
              <w:ind w:left="0" w:right="0"/>
              <w:rPr>
                <w:sz w:val="19"/>
                <w:szCs w:val="19"/>
              </w:rPr>
            </w:pPr>
            <w:r>
              <w:rPr>
                <w:sz w:val="19"/>
                <w:szCs w:val="19"/>
              </w:rPr>
              <w:t>Open label single arm,</w:t>
            </w:r>
            <w:r w:rsidR="000111B1" w:rsidRPr="00AF291C">
              <w:rPr>
                <w:sz w:val="19"/>
                <w:szCs w:val="19"/>
              </w:rPr>
              <w:t xml:space="preserve"> multicentre</w:t>
            </w:r>
            <w:r>
              <w:rPr>
                <w:sz w:val="19"/>
                <w:szCs w:val="19"/>
              </w:rPr>
              <w:t>;</w:t>
            </w:r>
            <w:r w:rsidR="000111B1" w:rsidRPr="00AF291C">
              <w:rPr>
                <w:sz w:val="19"/>
                <w:szCs w:val="19"/>
              </w:rPr>
              <w:t xml:space="preserve"> IV</w:t>
            </w:r>
            <w:r w:rsidR="00503834">
              <w:rPr>
                <w:sz w:val="19"/>
                <w:szCs w:val="19"/>
              </w:rPr>
              <w:t xml:space="preserve">, single </w:t>
            </w:r>
            <w:r w:rsidR="000111B1" w:rsidRPr="00AF291C">
              <w:rPr>
                <w:sz w:val="19"/>
                <w:szCs w:val="19"/>
              </w:rPr>
              <w:t>dose</w:t>
            </w:r>
          </w:p>
        </w:tc>
        <w:tc>
          <w:tcPr>
            <w:tcW w:w="1803" w:type="pct"/>
            <w:hideMark/>
          </w:tcPr>
          <w:p w14:paraId="5039240C" w14:textId="539319AB" w:rsidR="000111B1" w:rsidRPr="00AF291C" w:rsidRDefault="006000D4" w:rsidP="00AF291C">
            <w:pPr>
              <w:ind w:left="0" w:right="0"/>
              <w:rPr>
                <w:sz w:val="19"/>
                <w:szCs w:val="19"/>
              </w:rPr>
            </w:pPr>
            <w:r>
              <w:rPr>
                <w:sz w:val="19"/>
                <w:szCs w:val="19"/>
              </w:rPr>
              <w:t>≥</w:t>
            </w:r>
            <w:r w:rsidR="00296D37">
              <w:rPr>
                <w:sz w:val="19"/>
                <w:szCs w:val="19"/>
              </w:rPr>
              <w:t xml:space="preserve">27: </w:t>
            </w:r>
            <w:r w:rsidR="00503834">
              <w:rPr>
                <w:sz w:val="19"/>
                <w:szCs w:val="19"/>
              </w:rPr>
              <w:t xml:space="preserve">≥ </w:t>
            </w:r>
            <w:r w:rsidR="00296D37">
              <w:rPr>
                <w:sz w:val="19"/>
                <w:szCs w:val="19"/>
              </w:rPr>
              <w:t xml:space="preserve">15 with 2 copies of </w:t>
            </w:r>
            <w:r w:rsidR="00296D37" w:rsidRPr="00503834">
              <w:rPr>
                <w:i/>
                <w:sz w:val="19"/>
                <w:szCs w:val="19"/>
              </w:rPr>
              <w:t>SMN2</w:t>
            </w:r>
            <w:r w:rsidR="00296D37">
              <w:rPr>
                <w:sz w:val="19"/>
                <w:szCs w:val="19"/>
              </w:rPr>
              <w:t xml:space="preserve">, </w:t>
            </w:r>
            <w:r>
              <w:rPr>
                <w:sz w:val="19"/>
                <w:szCs w:val="19"/>
              </w:rPr>
              <w:t>≥ </w:t>
            </w:r>
            <w:r w:rsidR="00296D37">
              <w:rPr>
                <w:sz w:val="19"/>
                <w:szCs w:val="19"/>
              </w:rPr>
              <w:t>12 </w:t>
            </w:r>
            <w:r w:rsidR="00503834">
              <w:rPr>
                <w:sz w:val="19"/>
                <w:szCs w:val="19"/>
              </w:rPr>
              <w:t>with</w:t>
            </w:r>
            <w:r>
              <w:rPr>
                <w:sz w:val="19"/>
                <w:szCs w:val="19"/>
              </w:rPr>
              <w:t xml:space="preserve"> </w:t>
            </w:r>
            <w:r w:rsidR="000111B1" w:rsidRPr="00AF291C">
              <w:rPr>
                <w:sz w:val="19"/>
                <w:szCs w:val="19"/>
              </w:rPr>
              <w:t xml:space="preserve">3 copies of </w:t>
            </w:r>
            <w:r w:rsidR="000111B1" w:rsidRPr="00503834">
              <w:rPr>
                <w:i/>
                <w:sz w:val="19"/>
                <w:szCs w:val="19"/>
              </w:rPr>
              <w:t>SMN2</w:t>
            </w:r>
          </w:p>
          <w:p w14:paraId="0797E4D5" w14:textId="1C54822E" w:rsidR="000111B1" w:rsidRPr="00AF291C" w:rsidRDefault="000111B1" w:rsidP="00AF291C">
            <w:pPr>
              <w:ind w:left="0" w:right="0"/>
              <w:rPr>
                <w:sz w:val="19"/>
                <w:szCs w:val="19"/>
              </w:rPr>
            </w:pPr>
            <w:r w:rsidRPr="00AF291C">
              <w:rPr>
                <w:sz w:val="19"/>
                <w:szCs w:val="19"/>
              </w:rPr>
              <w:t>Pre-symptomati</w:t>
            </w:r>
            <w:r w:rsidR="00296D37">
              <w:rPr>
                <w:sz w:val="19"/>
                <w:szCs w:val="19"/>
              </w:rPr>
              <w:t xml:space="preserve">c patients with SMA </w:t>
            </w:r>
            <w:r w:rsidR="005A2B53">
              <w:rPr>
                <w:sz w:val="19"/>
                <w:szCs w:val="19"/>
              </w:rPr>
              <w:t>type</w:t>
            </w:r>
            <w:r w:rsidR="00296D37">
              <w:rPr>
                <w:sz w:val="19"/>
                <w:szCs w:val="19"/>
              </w:rPr>
              <w:t xml:space="preserve"> 1 or 2</w:t>
            </w:r>
            <w:r w:rsidR="00503834">
              <w:rPr>
                <w:sz w:val="19"/>
                <w:szCs w:val="19"/>
              </w:rPr>
              <w:t>,</w:t>
            </w:r>
            <w:r w:rsidRPr="00AF291C">
              <w:rPr>
                <w:sz w:val="19"/>
                <w:szCs w:val="19"/>
              </w:rPr>
              <w:t xml:space="preserve"> with 2 or 3 copies of </w:t>
            </w:r>
            <w:r w:rsidRPr="00503834">
              <w:rPr>
                <w:i/>
                <w:sz w:val="19"/>
                <w:szCs w:val="19"/>
              </w:rPr>
              <w:t>SMN2</w:t>
            </w:r>
            <w:r w:rsidRPr="00AF291C">
              <w:rPr>
                <w:sz w:val="19"/>
                <w:szCs w:val="19"/>
              </w:rPr>
              <w:t xml:space="preserve">. </w:t>
            </w:r>
            <w:r w:rsidR="00503834">
              <w:rPr>
                <w:sz w:val="19"/>
                <w:szCs w:val="19"/>
              </w:rPr>
              <w:t>≤</w:t>
            </w:r>
            <w:r w:rsidRPr="00AF291C">
              <w:rPr>
                <w:sz w:val="19"/>
                <w:szCs w:val="19"/>
              </w:rPr>
              <w:t xml:space="preserve"> 6 weeks of age at the time of gene replacement therapy</w:t>
            </w:r>
          </w:p>
          <w:p w14:paraId="3F0B8305" w14:textId="4D725CBB" w:rsidR="000111B1" w:rsidRPr="00AF291C" w:rsidRDefault="000111B1" w:rsidP="00AF291C">
            <w:pPr>
              <w:ind w:left="0" w:right="0"/>
              <w:rPr>
                <w:sz w:val="19"/>
                <w:szCs w:val="19"/>
              </w:rPr>
            </w:pPr>
            <w:r w:rsidRPr="00AF291C">
              <w:rPr>
                <w:sz w:val="19"/>
                <w:szCs w:val="19"/>
              </w:rPr>
              <w:t xml:space="preserve">Patients with bi-allelic </w:t>
            </w:r>
            <w:r w:rsidR="005A2B53" w:rsidRPr="005A2B53">
              <w:rPr>
                <w:i/>
                <w:sz w:val="19"/>
                <w:szCs w:val="19"/>
              </w:rPr>
              <w:t>SMN1</w:t>
            </w:r>
            <w:r w:rsidRPr="00AF291C">
              <w:rPr>
                <w:sz w:val="19"/>
                <w:szCs w:val="19"/>
              </w:rPr>
              <w:t xml:space="preserve"> deletion and 2 or 3 copies of </w:t>
            </w:r>
            <w:r w:rsidRPr="00503834">
              <w:rPr>
                <w:i/>
                <w:sz w:val="19"/>
                <w:szCs w:val="19"/>
              </w:rPr>
              <w:t>SMN2</w:t>
            </w:r>
            <w:r w:rsidRPr="00AF291C">
              <w:rPr>
                <w:sz w:val="19"/>
                <w:szCs w:val="19"/>
              </w:rPr>
              <w:t xml:space="preserve"> with no known genetic modifier</w:t>
            </w:r>
          </w:p>
        </w:tc>
        <w:tc>
          <w:tcPr>
            <w:tcW w:w="689" w:type="pct"/>
            <w:hideMark/>
          </w:tcPr>
          <w:p w14:paraId="37AE3DEB" w14:textId="1542CBBA" w:rsidR="000111B1" w:rsidRPr="00AF291C" w:rsidRDefault="000111B1" w:rsidP="00AF291C">
            <w:pPr>
              <w:ind w:left="0" w:right="0"/>
              <w:rPr>
                <w:sz w:val="19"/>
                <w:szCs w:val="19"/>
              </w:rPr>
            </w:pPr>
            <w:r>
              <w:rPr>
                <w:sz w:val="19"/>
                <w:szCs w:val="19"/>
              </w:rPr>
              <w:t>1, 2 (2,</w:t>
            </w:r>
            <w:r w:rsidRPr="00AF291C">
              <w:rPr>
                <w:sz w:val="19"/>
                <w:szCs w:val="19"/>
              </w:rPr>
              <w:t xml:space="preserve"> 3)</w:t>
            </w:r>
          </w:p>
        </w:tc>
        <w:tc>
          <w:tcPr>
            <w:tcW w:w="763" w:type="pct"/>
            <w:hideMark/>
          </w:tcPr>
          <w:p w14:paraId="2223DDC0" w14:textId="77777777" w:rsidR="000111B1" w:rsidRDefault="000111B1" w:rsidP="00AF291C">
            <w:pPr>
              <w:ind w:left="0" w:right="0"/>
              <w:rPr>
                <w:sz w:val="19"/>
                <w:szCs w:val="19"/>
              </w:rPr>
            </w:pPr>
            <w:r w:rsidRPr="00AF291C">
              <w:rPr>
                <w:sz w:val="19"/>
                <w:szCs w:val="19"/>
              </w:rPr>
              <w:t>On</w:t>
            </w:r>
            <w:r>
              <w:rPr>
                <w:sz w:val="19"/>
                <w:szCs w:val="19"/>
              </w:rPr>
              <w:t>going</w:t>
            </w:r>
          </w:p>
          <w:p w14:paraId="64589108" w14:textId="2C2602B8" w:rsidR="000111B1" w:rsidRDefault="000111B1" w:rsidP="00AF291C">
            <w:pPr>
              <w:ind w:left="0" w:right="0"/>
              <w:rPr>
                <w:sz w:val="19"/>
                <w:szCs w:val="19"/>
              </w:rPr>
            </w:pPr>
            <w:r>
              <w:rPr>
                <w:sz w:val="19"/>
                <w:szCs w:val="19"/>
              </w:rPr>
              <w:t>Enrolment completed 8 </w:t>
            </w:r>
            <w:r w:rsidRPr="00AF291C">
              <w:rPr>
                <w:sz w:val="19"/>
                <w:szCs w:val="19"/>
              </w:rPr>
              <w:t>Nov</w:t>
            </w:r>
            <w:r>
              <w:rPr>
                <w:sz w:val="19"/>
                <w:szCs w:val="19"/>
              </w:rPr>
              <w:t>ember 2019</w:t>
            </w:r>
          </w:p>
          <w:p w14:paraId="328A37D0" w14:textId="677DE8CB" w:rsidR="000111B1" w:rsidRPr="00AF291C" w:rsidRDefault="000111B1" w:rsidP="00AF291C">
            <w:pPr>
              <w:ind w:left="0" w:right="0"/>
              <w:rPr>
                <w:sz w:val="19"/>
                <w:szCs w:val="19"/>
              </w:rPr>
            </w:pPr>
            <w:r w:rsidRPr="00AF291C">
              <w:rPr>
                <w:sz w:val="19"/>
                <w:szCs w:val="19"/>
              </w:rPr>
              <w:t>Yes*</w:t>
            </w:r>
          </w:p>
        </w:tc>
      </w:tr>
      <w:tr w:rsidR="000111B1" w:rsidRPr="00AF291C" w14:paraId="1C9A01FD" w14:textId="77777777" w:rsidTr="00296D37">
        <w:tc>
          <w:tcPr>
            <w:tcW w:w="767" w:type="pct"/>
            <w:hideMark/>
          </w:tcPr>
          <w:p w14:paraId="4A4D76A8" w14:textId="77777777" w:rsidR="00296D37" w:rsidRDefault="00296D37" w:rsidP="00AF291C">
            <w:pPr>
              <w:ind w:left="0" w:right="0"/>
              <w:rPr>
                <w:sz w:val="19"/>
                <w:szCs w:val="19"/>
              </w:rPr>
            </w:pPr>
            <w:r>
              <w:rPr>
                <w:sz w:val="19"/>
                <w:szCs w:val="19"/>
              </w:rPr>
              <w:t>AVXS-101-CL-302</w:t>
            </w:r>
          </w:p>
          <w:p w14:paraId="383C6E2D" w14:textId="77777777" w:rsidR="00296D37" w:rsidRDefault="00296D37" w:rsidP="00AF291C">
            <w:pPr>
              <w:ind w:left="0" w:right="0"/>
              <w:rPr>
                <w:sz w:val="19"/>
                <w:szCs w:val="19"/>
              </w:rPr>
            </w:pPr>
            <w:r>
              <w:rPr>
                <w:sz w:val="19"/>
                <w:szCs w:val="19"/>
              </w:rPr>
              <w:t>Phase III</w:t>
            </w:r>
          </w:p>
          <w:p w14:paraId="44D2E2C5" w14:textId="4A0B8D66" w:rsidR="000111B1" w:rsidRPr="00AF291C" w:rsidRDefault="000111B1" w:rsidP="00AF291C">
            <w:pPr>
              <w:ind w:left="0" w:right="0"/>
              <w:rPr>
                <w:sz w:val="19"/>
                <w:szCs w:val="19"/>
              </w:rPr>
            </w:pPr>
            <w:r w:rsidRPr="00AF291C">
              <w:rPr>
                <w:sz w:val="19"/>
                <w:szCs w:val="19"/>
              </w:rPr>
              <w:t>Europe</w:t>
            </w:r>
          </w:p>
        </w:tc>
        <w:tc>
          <w:tcPr>
            <w:tcW w:w="978" w:type="pct"/>
            <w:hideMark/>
          </w:tcPr>
          <w:p w14:paraId="6952883D" w14:textId="37B555E9" w:rsidR="000111B1" w:rsidRPr="00AF291C" w:rsidRDefault="00296D37" w:rsidP="00AF291C">
            <w:pPr>
              <w:ind w:left="0" w:right="0"/>
              <w:rPr>
                <w:sz w:val="19"/>
                <w:szCs w:val="19"/>
              </w:rPr>
            </w:pPr>
            <w:r>
              <w:rPr>
                <w:sz w:val="19"/>
                <w:szCs w:val="19"/>
              </w:rPr>
              <w:t>Open label single arm, multicentre;</w:t>
            </w:r>
            <w:r w:rsidR="00503834">
              <w:rPr>
                <w:sz w:val="19"/>
                <w:szCs w:val="19"/>
              </w:rPr>
              <w:t xml:space="preserve"> IV, single </w:t>
            </w:r>
            <w:r w:rsidR="000111B1" w:rsidRPr="00AF291C">
              <w:rPr>
                <w:sz w:val="19"/>
                <w:szCs w:val="19"/>
              </w:rPr>
              <w:t>dose</w:t>
            </w:r>
          </w:p>
        </w:tc>
        <w:tc>
          <w:tcPr>
            <w:tcW w:w="1803" w:type="pct"/>
            <w:hideMark/>
          </w:tcPr>
          <w:p w14:paraId="17601BE9" w14:textId="77777777" w:rsidR="000111B1" w:rsidRPr="00AF291C" w:rsidRDefault="000111B1" w:rsidP="00AF291C">
            <w:pPr>
              <w:ind w:left="0" w:right="0"/>
              <w:rPr>
                <w:sz w:val="19"/>
                <w:szCs w:val="19"/>
              </w:rPr>
            </w:pPr>
            <w:r w:rsidRPr="00AF291C">
              <w:rPr>
                <w:sz w:val="19"/>
                <w:szCs w:val="19"/>
              </w:rPr>
              <w:t>Up to 30</w:t>
            </w:r>
          </w:p>
          <w:p w14:paraId="51A11FCC" w14:textId="0E626ABD" w:rsidR="000111B1" w:rsidRPr="00AF291C" w:rsidRDefault="000111B1" w:rsidP="00AF291C">
            <w:pPr>
              <w:ind w:left="0" w:right="0"/>
              <w:rPr>
                <w:sz w:val="19"/>
                <w:szCs w:val="19"/>
              </w:rPr>
            </w:pPr>
            <w:r w:rsidRPr="00AF291C">
              <w:rPr>
                <w:sz w:val="19"/>
                <w:szCs w:val="19"/>
              </w:rPr>
              <w:t xml:space="preserve">Patients with SMA </w:t>
            </w:r>
            <w:r w:rsidR="005A2B53">
              <w:rPr>
                <w:sz w:val="19"/>
                <w:szCs w:val="19"/>
              </w:rPr>
              <w:t>type</w:t>
            </w:r>
            <w:r w:rsidR="00503834">
              <w:rPr>
                <w:sz w:val="19"/>
                <w:szCs w:val="19"/>
              </w:rPr>
              <w:t xml:space="preserve"> 1</w:t>
            </w:r>
            <w:r w:rsidRPr="00AF291C">
              <w:rPr>
                <w:sz w:val="19"/>
                <w:szCs w:val="19"/>
              </w:rPr>
              <w:t xml:space="preserve"> with 1 or 2 copies of </w:t>
            </w:r>
            <w:r w:rsidRPr="009C2F61">
              <w:rPr>
                <w:i/>
                <w:sz w:val="19"/>
                <w:szCs w:val="19"/>
              </w:rPr>
              <w:t>SMN2</w:t>
            </w:r>
            <w:r w:rsidRPr="00AF291C">
              <w:rPr>
                <w:sz w:val="19"/>
                <w:szCs w:val="19"/>
              </w:rPr>
              <w:t xml:space="preserve"> </w:t>
            </w:r>
            <w:r w:rsidR="006000D4">
              <w:rPr>
                <w:sz w:val="19"/>
                <w:szCs w:val="19"/>
              </w:rPr>
              <w:t xml:space="preserve">&lt; </w:t>
            </w:r>
            <w:r w:rsidRPr="00AF291C">
              <w:rPr>
                <w:sz w:val="19"/>
                <w:szCs w:val="19"/>
              </w:rPr>
              <w:t>6 months of age at the time of gene replacement therapy.</w:t>
            </w:r>
          </w:p>
          <w:p w14:paraId="5160E2C7" w14:textId="5A4B0E6E" w:rsidR="000111B1" w:rsidRPr="00AF291C" w:rsidRDefault="000111B1" w:rsidP="00AF291C">
            <w:pPr>
              <w:ind w:left="0" w:right="0"/>
              <w:rPr>
                <w:sz w:val="19"/>
                <w:szCs w:val="19"/>
              </w:rPr>
            </w:pPr>
            <w:r w:rsidRPr="00AF291C">
              <w:rPr>
                <w:sz w:val="19"/>
                <w:szCs w:val="19"/>
              </w:rPr>
              <w:t xml:space="preserve">Patients with a clinical diagnosis of SMA </w:t>
            </w:r>
            <w:r w:rsidR="005A2B53">
              <w:rPr>
                <w:sz w:val="19"/>
                <w:szCs w:val="19"/>
              </w:rPr>
              <w:t>type</w:t>
            </w:r>
            <w:r w:rsidRPr="00AF291C">
              <w:rPr>
                <w:sz w:val="19"/>
                <w:szCs w:val="19"/>
              </w:rPr>
              <w:t xml:space="preserve"> </w:t>
            </w:r>
            <w:r w:rsidR="005A2B53">
              <w:rPr>
                <w:sz w:val="19"/>
                <w:szCs w:val="19"/>
              </w:rPr>
              <w:t>1</w:t>
            </w:r>
            <w:r w:rsidRPr="00AF291C">
              <w:rPr>
                <w:sz w:val="19"/>
                <w:szCs w:val="19"/>
              </w:rPr>
              <w:t xml:space="preserve"> before 6 months of age. </w:t>
            </w:r>
            <w:r w:rsidR="005A2B53" w:rsidRPr="005A2B53">
              <w:rPr>
                <w:i/>
                <w:sz w:val="19"/>
                <w:szCs w:val="19"/>
              </w:rPr>
              <w:t>SMN1</w:t>
            </w:r>
            <w:r w:rsidRPr="00AF291C">
              <w:rPr>
                <w:sz w:val="19"/>
                <w:szCs w:val="19"/>
              </w:rPr>
              <w:t xml:space="preserve"> bi-allelic gene deletion and 2 copies of </w:t>
            </w:r>
            <w:r w:rsidRPr="009C2F61">
              <w:rPr>
                <w:i/>
                <w:sz w:val="19"/>
                <w:szCs w:val="19"/>
              </w:rPr>
              <w:t>SMN2</w:t>
            </w:r>
            <w:r w:rsidRPr="00AF291C">
              <w:rPr>
                <w:sz w:val="19"/>
                <w:szCs w:val="19"/>
              </w:rPr>
              <w:t xml:space="preserve"> with no known genetic modifier</w:t>
            </w:r>
          </w:p>
        </w:tc>
        <w:tc>
          <w:tcPr>
            <w:tcW w:w="689" w:type="pct"/>
            <w:hideMark/>
          </w:tcPr>
          <w:p w14:paraId="0CE8D7AB" w14:textId="16FD9E19" w:rsidR="000111B1" w:rsidRPr="00AF291C" w:rsidRDefault="000111B1" w:rsidP="00AF291C">
            <w:pPr>
              <w:ind w:left="0" w:right="0"/>
              <w:rPr>
                <w:sz w:val="19"/>
                <w:szCs w:val="19"/>
              </w:rPr>
            </w:pPr>
            <w:r>
              <w:rPr>
                <w:sz w:val="19"/>
                <w:szCs w:val="19"/>
              </w:rPr>
              <w:t>1 (1, 2)</w:t>
            </w:r>
          </w:p>
        </w:tc>
        <w:tc>
          <w:tcPr>
            <w:tcW w:w="763" w:type="pct"/>
            <w:hideMark/>
          </w:tcPr>
          <w:p w14:paraId="479FBF42" w14:textId="77777777" w:rsidR="00296D37" w:rsidRDefault="00296D37" w:rsidP="00AF291C">
            <w:pPr>
              <w:ind w:left="0" w:right="0"/>
              <w:rPr>
                <w:sz w:val="19"/>
                <w:szCs w:val="19"/>
              </w:rPr>
            </w:pPr>
            <w:r>
              <w:rPr>
                <w:sz w:val="19"/>
                <w:szCs w:val="19"/>
              </w:rPr>
              <w:t>Ongoing</w:t>
            </w:r>
          </w:p>
          <w:p w14:paraId="0E36FDF0" w14:textId="77777777" w:rsidR="00296D37" w:rsidRDefault="00296D37" w:rsidP="00AF291C">
            <w:pPr>
              <w:ind w:left="0" w:right="0"/>
              <w:rPr>
                <w:sz w:val="19"/>
                <w:szCs w:val="19"/>
              </w:rPr>
            </w:pPr>
            <w:r>
              <w:rPr>
                <w:sz w:val="19"/>
                <w:szCs w:val="19"/>
              </w:rPr>
              <w:t>E</w:t>
            </w:r>
            <w:r w:rsidRPr="00AF291C">
              <w:rPr>
                <w:sz w:val="19"/>
                <w:szCs w:val="19"/>
              </w:rPr>
              <w:t>nrolment</w:t>
            </w:r>
            <w:r>
              <w:rPr>
                <w:sz w:val="19"/>
                <w:szCs w:val="19"/>
              </w:rPr>
              <w:t xml:space="preserve"> completed on 21 May 2019</w:t>
            </w:r>
          </w:p>
          <w:p w14:paraId="5BA679C3" w14:textId="18AF5547" w:rsidR="000111B1" w:rsidRPr="00AF291C" w:rsidRDefault="009C2F61" w:rsidP="00AF291C">
            <w:pPr>
              <w:ind w:left="0" w:right="0"/>
              <w:rPr>
                <w:sz w:val="19"/>
                <w:szCs w:val="19"/>
              </w:rPr>
            </w:pPr>
            <w:r>
              <w:rPr>
                <w:sz w:val="19"/>
                <w:szCs w:val="19"/>
              </w:rPr>
              <w:t>Yes*</w:t>
            </w:r>
          </w:p>
        </w:tc>
      </w:tr>
      <w:tr w:rsidR="000111B1" w:rsidRPr="00AF291C" w14:paraId="634E3038" w14:textId="77777777" w:rsidTr="00296D37">
        <w:tc>
          <w:tcPr>
            <w:tcW w:w="767" w:type="pct"/>
            <w:hideMark/>
          </w:tcPr>
          <w:p w14:paraId="5B4AF9B6" w14:textId="12D805A1" w:rsidR="000111B1" w:rsidRPr="00AF291C" w:rsidRDefault="009C2F61" w:rsidP="00AF291C">
            <w:pPr>
              <w:ind w:left="0" w:right="0"/>
              <w:rPr>
                <w:sz w:val="19"/>
                <w:szCs w:val="19"/>
              </w:rPr>
            </w:pPr>
            <w:r>
              <w:rPr>
                <w:sz w:val="19"/>
                <w:szCs w:val="19"/>
              </w:rPr>
              <w:t>AVXS-101-CL-306 Phase III Japan, Taiwan,</w:t>
            </w:r>
            <w:r w:rsidR="000111B1" w:rsidRPr="00AF291C">
              <w:rPr>
                <w:sz w:val="19"/>
                <w:szCs w:val="19"/>
              </w:rPr>
              <w:t xml:space="preserve"> and South Korea</w:t>
            </w:r>
          </w:p>
        </w:tc>
        <w:tc>
          <w:tcPr>
            <w:tcW w:w="978" w:type="pct"/>
            <w:hideMark/>
          </w:tcPr>
          <w:p w14:paraId="665A9ACC" w14:textId="00C5644F" w:rsidR="000111B1" w:rsidRPr="00AF291C" w:rsidRDefault="009C2F61" w:rsidP="00AF291C">
            <w:pPr>
              <w:ind w:left="0" w:right="0"/>
              <w:rPr>
                <w:sz w:val="19"/>
                <w:szCs w:val="19"/>
              </w:rPr>
            </w:pPr>
            <w:r>
              <w:rPr>
                <w:sz w:val="19"/>
                <w:szCs w:val="19"/>
              </w:rPr>
              <w:t xml:space="preserve">Open label multicentre; IV, single </w:t>
            </w:r>
            <w:r w:rsidR="000111B1" w:rsidRPr="00AF291C">
              <w:rPr>
                <w:sz w:val="19"/>
                <w:szCs w:val="19"/>
              </w:rPr>
              <w:t>dose</w:t>
            </w:r>
          </w:p>
        </w:tc>
        <w:tc>
          <w:tcPr>
            <w:tcW w:w="1803" w:type="pct"/>
            <w:hideMark/>
          </w:tcPr>
          <w:p w14:paraId="26BF85D5" w14:textId="77777777" w:rsidR="000111B1" w:rsidRPr="00AF291C" w:rsidRDefault="000111B1" w:rsidP="00AF291C">
            <w:pPr>
              <w:ind w:left="0" w:right="0"/>
              <w:rPr>
                <w:sz w:val="19"/>
                <w:szCs w:val="19"/>
              </w:rPr>
            </w:pPr>
            <w:r w:rsidRPr="00AF291C">
              <w:rPr>
                <w:sz w:val="19"/>
                <w:szCs w:val="19"/>
              </w:rPr>
              <w:t>6</w:t>
            </w:r>
          </w:p>
          <w:p w14:paraId="672C9CC7" w14:textId="700D84C8" w:rsidR="000111B1" w:rsidRPr="00AF291C" w:rsidRDefault="000111B1" w:rsidP="00AF291C">
            <w:pPr>
              <w:ind w:left="0" w:right="0"/>
              <w:rPr>
                <w:sz w:val="19"/>
                <w:szCs w:val="19"/>
              </w:rPr>
            </w:pPr>
            <w:r w:rsidRPr="00AF291C">
              <w:rPr>
                <w:sz w:val="19"/>
                <w:szCs w:val="19"/>
              </w:rPr>
              <w:t xml:space="preserve">Patients with SMA </w:t>
            </w:r>
            <w:r w:rsidR="005A2B53">
              <w:rPr>
                <w:sz w:val="19"/>
                <w:szCs w:val="19"/>
              </w:rPr>
              <w:t>t</w:t>
            </w:r>
            <w:r w:rsidRPr="00AF291C">
              <w:rPr>
                <w:sz w:val="19"/>
                <w:szCs w:val="19"/>
              </w:rPr>
              <w:t xml:space="preserve">ype </w:t>
            </w:r>
            <w:r w:rsidR="005A2B53">
              <w:rPr>
                <w:sz w:val="19"/>
                <w:szCs w:val="19"/>
              </w:rPr>
              <w:t>1</w:t>
            </w:r>
          </w:p>
          <w:p w14:paraId="5D80FC33" w14:textId="7B60570E" w:rsidR="000111B1" w:rsidRPr="00AF291C" w:rsidRDefault="000111B1" w:rsidP="00AF291C">
            <w:pPr>
              <w:ind w:left="0" w:right="0"/>
              <w:rPr>
                <w:sz w:val="19"/>
                <w:szCs w:val="19"/>
              </w:rPr>
            </w:pPr>
            <w:r w:rsidRPr="00AF291C">
              <w:rPr>
                <w:sz w:val="19"/>
                <w:szCs w:val="19"/>
              </w:rPr>
              <w:t xml:space="preserve">Patients with a clinical diagnosis of SMA </w:t>
            </w:r>
            <w:r w:rsidR="005A2B53">
              <w:rPr>
                <w:sz w:val="19"/>
                <w:szCs w:val="19"/>
              </w:rPr>
              <w:t>type</w:t>
            </w:r>
            <w:r w:rsidRPr="00AF291C">
              <w:rPr>
                <w:sz w:val="19"/>
                <w:szCs w:val="19"/>
              </w:rPr>
              <w:t xml:space="preserve"> </w:t>
            </w:r>
            <w:r w:rsidR="005A2B53">
              <w:rPr>
                <w:sz w:val="19"/>
                <w:szCs w:val="19"/>
              </w:rPr>
              <w:t>1</w:t>
            </w:r>
            <w:r w:rsidRPr="00AF291C">
              <w:rPr>
                <w:sz w:val="19"/>
                <w:szCs w:val="19"/>
              </w:rPr>
              <w:t xml:space="preserve"> before 6 months of age. </w:t>
            </w:r>
            <w:r w:rsidR="005A2B53" w:rsidRPr="005A2B53">
              <w:rPr>
                <w:i/>
                <w:sz w:val="19"/>
                <w:szCs w:val="19"/>
              </w:rPr>
              <w:t>SMN1</w:t>
            </w:r>
            <w:r w:rsidRPr="00AF291C">
              <w:rPr>
                <w:sz w:val="19"/>
                <w:szCs w:val="19"/>
              </w:rPr>
              <w:t xml:space="preserve"> bi-allelic gene deletion and 2 copies of </w:t>
            </w:r>
            <w:r w:rsidRPr="009C2F61">
              <w:rPr>
                <w:i/>
                <w:sz w:val="19"/>
                <w:szCs w:val="19"/>
              </w:rPr>
              <w:t>SMN2</w:t>
            </w:r>
            <w:r w:rsidRPr="00AF291C">
              <w:rPr>
                <w:sz w:val="19"/>
                <w:szCs w:val="19"/>
              </w:rPr>
              <w:t xml:space="preserve"> with no known genetic modifier.</w:t>
            </w:r>
          </w:p>
        </w:tc>
        <w:tc>
          <w:tcPr>
            <w:tcW w:w="689" w:type="pct"/>
            <w:hideMark/>
          </w:tcPr>
          <w:p w14:paraId="38581C80" w14:textId="77777777" w:rsidR="000111B1" w:rsidRPr="00AF291C" w:rsidRDefault="000111B1" w:rsidP="00AF291C">
            <w:pPr>
              <w:ind w:left="0" w:right="0"/>
              <w:rPr>
                <w:sz w:val="19"/>
                <w:szCs w:val="19"/>
              </w:rPr>
            </w:pPr>
            <w:r w:rsidRPr="00AF291C">
              <w:rPr>
                <w:sz w:val="19"/>
                <w:szCs w:val="19"/>
              </w:rPr>
              <w:t>1 (2)</w:t>
            </w:r>
          </w:p>
        </w:tc>
        <w:tc>
          <w:tcPr>
            <w:tcW w:w="763" w:type="pct"/>
            <w:hideMark/>
          </w:tcPr>
          <w:p w14:paraId="3881A334" w14:textId="77777777" w:rsidR="009C2F61" w:rsidRDefault="009C2F61" w:rsidP="00AF291C">
            <w:pPr>
              <w:ind w:left="0" w:right="0"/>
              <w:rPr>
                <w:sz w:val="19"/>
                <w:szCs w:val="19"/>
              </w:rPr>
            </w:pPr>
            <w:r>
              <w:rPr>
                <w:sz w:val="19"/>
                <w:szCs w:val="19"/>
              </w:rPr>
              <w:t>Ongoing</w:t>
            </w:r>
          </w:p>
          <w:p w14:paraId="274A2A86" w14:textId="45AF1F83" w:rsidR="000111B1" w:rsidRPr="00AF291C" w:rsidRDefault="000111B1" w:rsidP="00AF291C">
            <w:pPr>
              <w:ind w:left="0" w:right="0"/>
              <w:rPr>
                <w:sz w:val="19"/>
                <w:szCs w:val="19"/>
              </w:rPr>
            </w:pPr>
            <w:r w:rsidRPr="00AF291C">
              <w:rPr>
                <w:sz w:val="19"/>
                <w:szCs w:val="19"/>
              </w:rPr>
              <w:t>Yes</w:t>
            </w:r>
            <w:r w:rsidR="009C2F61">
              <w:rPr>
                <w:sz w:val="19"/>
                <w:szCs w:val="19"/>
              </w:rPr>
              <w:t>*</w:t>
            </w:r>
          </w:p>
        </w:tc>
      </w:tr>
      <w:tr w:rsidR="000111B1" w:rsidRPr="00887FB4" w14:paraId="72F0E8E0" w14:textId="77777777" w:rsidTr="00296D37">
        <w:trPr>
          <w:cantSplit/>
        </w:trPr>
        <w:tc>
          <w:tcPr>
            <w:tcW w:w="767" w:type="pct"/>
            <w:hideMark/>
          </w:tcPr>
          <w:p w14:paraId="75B6763B" w14:textId="77777777" w:rsidR="009C2F61" w:rsidRDefault="000111B1" w:rsidP="009C2F61">
            <w:pPr>
              <w:ind w:left="0" w:right="0"/>
              <w:rPr>
                <w:sz w:val="19"/>
                <w:szCs w:val="19"/>
                <w:lang w:eastAsia="en-US"/>
              </w:rPr>
            </w:pPr>
            <w:r w:rsidRPr="009C2F61">
              <w:rPr>
                <w:sz w:val="19"/>
                <w:szCs w:val="19"/>
                <w:lang w:eastAsia="en-US"/>
              </w:rPr>
              <w:t>AVXS</w:t>
            </w:r>
            <w:r w:rsidR="009C2F61">
              <w:rPr>
                <w:sz w:val="19"/>
                <w:szCs w:val="19"/>
                <w:lang w:eastAsia="en-US"/>
              </w:rPr>
              <w:t>-101-LT-001 Long-term follow-up</w:t>
            </w:r>
          </w:p>
          <w:p w14:paraId="499CB081" w14:textId="4547FCB5" w:rsidR="000111B1" w:rsidRPr="009C2F61" w:rsidRDefault="000111B1" w:rsidP="009C2F61">
            <w:pPr>
              <w:ind w:left="0" w:right="0"/>
              <w:rPr>
                <w:sz w:val="19"/>
                <w:szCs w:val="19"/>
              </w:rPr>
            </w:pPr>
            <w:r w:rsidRPr="009C2F61">
              <w:rPr>
                <w:sz w:val="19"/>
                <w:szCs w:val="19"/>
                <w:lang w:eastAsia="en-US"/>
              </w:rPr>
              <w:t>United States</w:t>
            </w:r>
          </w:p>
        </w:tc>
        <w:tc>
          <w:tcPr>
            <w:tcW w:w="978" w:type="pct"/>
            <w:hideMark/>
          </w:tcPr>
          <w:p w14:paraId="1B2C2EBD" w14:textId="4CED15C8" w:rsidR="000111B1" w:rsidRPr="009C2F61" w:rsidRDefault="009C2F61" w:rsidP="009C2F61">
            <w:pPr>
              <w:ind w:left="0" w:right="0"/>
              <w:rPr>
                <w:sz w:val="19"/>
                <w:szCs w:val="19"/>
              </w:rPr>
            </w:pPr>
            <w:r>
              <w:rPr>
                <w:sz w:val="19"/>
                <w:szCs w:val="19"/>
                <w:lang w:eastAsia="en-US"/>
              </w:rPr>
              <w:t xml:space="preserve">Observational; </w:t>
            </w:r>
            <w:r w:rsidR="000111B1" w:rsidRPr="009C2F61">
              <w:rPr>
                <w:sz w:val="19"/>
                <w:szCs w:val="19"/>
                <w:lang w:eastAsia="en-US"/>
              </w:rPr>
              <w:t>N</w:t>
            </w:r>
            <w:r>
              <w:rPr>
                <w:sz w:val="19"/>
                <w:szCs w:val="19"/>
                <w:lang w:eastAsia="en-US"/>
              </w:rPr>
              <w:t>ot applicable,</w:t>
            </w:r>
            <w:r w:rsidR="000111B1" w:rsidRPr="009C2F61">
              <w:rPr>
                <w:sz w:val="19"/>
                <w:szCs w:val="19"/>
                <w:lang w:eastAsia="en-US"/>
              </w:rPr>
              <w:t xml:space="preserve"> Patients will be followed for up to 15 years</w:t>
            </w:r>
          </w:p>
        </w:tc>
        <w:tc>
          <w:tcPr>
            <w:tcW w:w="1803" w:type="pct"/>
            <w:hideMark/>
          </w:tcPr>
          <w:p w14:paraId="55920A7A" w14:textId="77777777" w:rsidR="000111B1" w:rsidRPr="000111B1" w:rsidRDefault="000111B1" w:rsidP="00887FB4">
            <w:pPr>
              <w:ind w:left="0" w:right="0"/>
              <w:rPr>
                <w:sz w:val="19"/>
                <w:szCs w:val="19"/>
              </w:rPr>
            </w:pPr>
            <w:r w:rsidRPr="009C2F61">
              <w:rPr>
                <w:sz w:val="19"/>
                <w:szCs w:val="19"/>
                <w:lang w:eastAsia="en-US"/>
              </w:rPr>
              <w:t>Up to 15</w:t>
            </w:r>
          </w:p>
          <w:p w14:paraId="22B6590A" w14:textId="48829B71" w:rsidR="000111B1" w:rsidRPr="000111B1" w:rsidRDefault="000111B1" w:rsidP="00887FB4">
            <w:pPr>
              <w:ind w:left="0" w:right="0"/>
              <w:rPr>
                <w:sz w:val="19"/>
                <w:szCs w:val="19"/>
              </w:rPr>
            </w:pPr>
            <w:r w:rsidRPr="009C2F61">
              <w:rPr>
                <w:sz w:val="19"/>
                <w:szCs w:val="19"/>
                <w:lang w:eastAsia="en-US"/>
              </w:rPr>
              <w:t>Patients treated with AVXS-101 in Study CL- 101</w:t>
            </w:r>
          </w:p>
          <w:p w14:paraId="562D8082" w14:textId="13A4D3C3" w:rsidR="000111B1" w:rsidRPr="009C2F61" w:rsidRDefault="009C2F61" w:rsidP="009C2F61">
            <w:pPr>
              <w:ind w:left="0" w:right="0"/>
              <w:rPr>
                <w:sz w:val="19"/>
                <w:szCs w:val="19"/>
              </w:rPr>
            </w:pPr>
            <w:r>
              <w:rPr>
                <w:sz w:val="19"/>
                <w:szCs w:val="19"/>
                <w:lang w:eastAsia="en-US"/>
              </w:rPr>
              <w:t>Not applicable</w:t>
            </w:r>
          </w:p>
        </w:tc>
        <w:tc>
          <w:tcPr>
            <w:tcW w:w="689" w:type="pct"/>
            <w:hideMark/>
          </w:tcPr>
          <w:p w14:paraId="2AA7D49E" w14:textId="77777777" w:rsidR="000111B1" w:rsidRPr="009C2F61" w:rsidRDefault="000111B1" w:rsidP="009C2F61">
            <w:pPr>
              <w:ind w:left="0" w:right="0"/>
              <w:rPr>
                <w:sz w:val="19"/>
                <w:szCs w:val="19"/>
              </w:rPr>
            </w:pPr>
            <w:r w:rsidRPr="009C2F61">
              <w:rPr>
                <w:sz w:val="19"/>
                <w:szCs w:val="19"/>
                <w:lang w:eastAsia="en-US"/>
              </w:rPr>
              <w:t>1 (2)</w:t>
            </w:r>
          </w:p>
        </w:tc>
        <w:tc>
          <w:tcPr>
            <w:tcW w:w="763" w:type="pct"/>
            <w:hideMark/>
          </w:tcPr>
          <w:p w14:paraId="276D3ACE" w14:textId="77777777" w:rsidR="00296D37" w:rsidRDefault="00296D37" w:rsidP="009C2F61">
            <w:pPr>
              <w:ind w:left="0" w:right="0"/>
              <w:rPr>
                <w:sz w:val="19"/>
                <w:szCs w:val="19"/>
              </w:rPr>
            </w:pPr>
            <w:r>
              <w:rPr>
                <w:sz w:val="19"/>
                <w:szCs w:val="19"/>
              </w:rPr>
              <w:t>Ongoing</w:t>
            </w:r>
          </w:p>
          <w:p w14:paraId="03947FA1" w14:textId="2E1D33E2" w:rsidR="000111B1" w:rsidRPr="009C2F61" w:rsidRDefault="009C2F61" w:rsidP="00296D37">
            <w:pPr>
              <w:ind w:left="0" w:right="0"/>
              <w:rPr>
                <w:sz w:val="19"/>
                <w:szCs w:val="19"/>
              </w:rPr>
            </w:pPr>
            <w:r>
              <w:rPr>
                <w:sz w:val="19"/>
                <w:szCs w:val="19"/>
                <w:lang w:eastAsia="en-US"/>
              </w:rPr>
              <w:t>Yes*</w:t>
            </w:r>
          </w:p>
        </w:tc>
      </w:tr>
      <w:tr w:rsidR="000111B1" w:rsidRPr="00887FB4" w14:paraId="5EC63C3B" w14:textId="77777777" w:rsidTr="00296D37">
        <w:tc>
          <w:tcPr>
            <w:tcW w:w="767" w:type="pct"/>
            <w:hideMark/>
          </w:tcPr>
          <w:p w14:paraId="1F22CBB8" w14:textId="3E4F6341" w:rsidR="000111B1" w:rsidRPr="009C2F61" w:rsidRDefault="000111B1" w:rsidP="009C2F61">
            <w:pPr>
              <w:ind w:left="0" w:right="0"/>
              <w:rPr>
                <w:sz w:val="19"/>
                <w:szCs w:val="19"/>
              </w:rPr>
            </w:pPr>
            <w:r w:rsidRPr="009C2F61">
              <w:rPr>
                <w:sz w:val="19"/>
                <w:szCs w:val="19"/>
                <w:lang w:eastAsia="en-US"/>
              </w:rPr>
              <w:t>A</w:t>
            </w:r>
            <w:r w:rsidR="009C2F61">
              <w:rPr>
                <w:sz w:val="19"/>
                <w:szCs w:val="19"/>
                <w:lang w:eastAsia="en-US"/>
              </w:rPr>
              <w:t>VXS-101-CL-102 Phase I</w:t>
            </w:r>
            <w:r w:rsidRPr="009C2F61">
              <w:rPr>
                <w:sz w:val="19"/>
                <w:szCs w:val="19"/>
                <w:lang w:eastAsia="en-US"/>
              </w:rPr>
              <w:t xml:space="preserve"> United States</w:t>
            </w:r>
          </w:p>
        </w:tc>
        <w:tc>
          <w:tcPr>
            <w:tcW w:w="978" w:type="pct"/>
            <w:hideMark/>
          </w:tcPr>
          <w:p w14:paraId="14EE0C84" w14:textId="6463CC9C" w:rsidR="000111B1" w:rsidRPr="009C2F61" w:rsidRDefault="009C2F61" w:rsidP="009C2F61">
            <w:pPr>
              <w:ind w:left="0" w:right="0"/>
              <w:rPr>
                <w:sz w:val="19"/>
                <w:szCs w:val="19"/>
              </w:rPr>
            </w:pPr>
            <w:r>
              <w:rPr>
                <w:sz w:val="19"/>
                <w:szCs w:val="19"/>
                <w:lang w:eastAsia="en-US"/>
              </w:rPr>
              <w:t xml:space="preserve">Open </w:t>
            </w:r>
            <w:r w:rsidR="000111B1" w:rsidRPr="009C2F61">
              <w:rPr>
                <w:sz w:val="19"/>
                <w:szCs w:val="19"/>
                <w:lang w:eastAsia="en-US"/>
              </w:rPr>
              <w:t xml:space="preserve">label dose comparison safety study of 3 potential therapeutic doses, </w:t>
            </w:r>
            <w:r w:rsidR="00296D37" w:rsidRPr="00296D37">
              <w:rPr>
                <w:sz w:val="19"/>
                <w:szCs w:val="19"/>
              </w:rPr>
              <w:t>multicentre</w:t>
            </w:r>
            <w:r>
              <w:rPr>
                <w:sz w:val="19"/>
                <w:szCs w:val="19"/>
              </w:rPr>
              <w:t>;</w:t>
            </w:r>
            <w:r>
              <w:rPr>
                <w:sz w:val="19"/>
                <w:szCs w:val="19"/>
                <w:lang w:eastAsia="en-US"/>
              </w:rPr>
              <w:t xml:space="preserve"> IT, s</w:t>
            </w:r>
            <w:r w:rsidR="000111B1" w:rsidRPr="009C2F61">
              <w:rPr>
                <w:sz w:val="19"/>
                <w:szCs w:val="19"/>
                <w:lang w:eastAsia="en-US"/>
              </w:rPr>
              <w:t>ingle-dose</w:t>
            </w:r>
          </w:p>
        </w:tc>
        <w:tc>
          <w:tcPr>
            <w:tcW w:w="1803" w:type="pct"/>
            <w:hideMark/>
          </w:tcPr>
          <w:p w14:paraId="768C1E24" w14:textId="77777777" w:rsidR="000111B1" w:rsidRPr="000111B1" w:rsidRDefault="000111B1" w:rsidP="00887FB4">
            <w:pPr>
              <w:ind w:left="0" w:right="0"/>
              <w:rPr>
                <w:sz w:val="19"/>
                <w:szCs w:val="19"/>
              </w:rPr>
            </w:pPr>
            <w:r w:rsidRPr="009C2F61">
              <w:rPr>
                <w:sz w:val="19"/>
                <w:szCs w:val="19"/>
                <w:lang w:eastAsia="en-US"/>
              </w:rPr>
              <w:t>Up to 51</w:t>
            </w:r>
          </w:p>
          <w:p w14:paraId="26B160FD" w14:textId="4B029A01" w:rsidR="000111B1" w:rsidRPr="000111B1" w:rsidRDefault="000111B1" w:rsidP="00887FB4">
            <w:pPr>
              <w:ind w:left="0" w:right="0"/>
              <w:rPr>
                <w:sz w:val="19"/>
                <w:szCs w:val="19"/>
              </w:rPr>
            </w:pPr>
            <w:r w:rsidRPr="009C2F61">
              <w:rPr>
                <w:sz w:val="19"/>
                <w:szCs w:val="19"/>
                <w:lang w:eastAsia="en-US"/>
              </w:rPr>
              <w:t xml:space="preserve">Patients with SMA </w:t>
            </w:r>
            <w:r w:rsidR="005A2B53">
              <w:rPr>
                <w:sz w:val="19"/>
                <w:szCs w:val="19"/>
              </w:rPr>
              <w:t>type</w:t>
            </w:r>
            <w:r w:rsidRPr="009C2F61">
              <w:rPr>
                <w:sz w:val="19"/>
                <w:szCs w:val="19"/>
                <w:lang w:eastAsia="en-US"/>
              </w:rPr>
              <w:t xml:space="preserve"> 2 or 3 with 2 copies of </w:t>
            </w:r>
            <w:r w:rsidRPr="009C2F61">
              <w:rPr>
                <w:i/>
                <w:sz w:val="19"/>
                <w:szCs w:val="19"/>
                <w:lang w:eastAsia="en-US"/>
              </w:rPr>
              <w:t>SMN2</w:t>
            </w:r>
            <w:r w:rsidRPr="009C2F61">
              <w:rPr>
                <w:sz w:val="19"/>
                <w:szCs w:val="19"/>
                <w:lang w:eastAsia="en-US"/>
              </w:rPr>
              <w:t xml:space="preserve"> aged 6 to 60 months</w:t>
            </w:r>
          </w:p>
          <w:p w14:paraId="2A2F79AB" w14:textId="37183DCE" w:rsidR="000111B1" w:rsidRPr="009C2F61" w:rsidRDefault="000111B1" w:rsidP="009C2F61">
            <w:pPr>
              <w:ind w:left="0" w:right="0"/>
              <w:rPr>
                <w:sz w:val="19"/>
                <w:szCs w:val="19"/>
              </w:rPr>
            </w:pPr>
            <w:r w:rsidRPr="009C2F61">
              <w:rPr>
                <w:sz w:val="19"/>
                <w:szCs w:val="19"/>
                <w:lang w:eastAsia="en-US"/>
              </w:rPr>
              <w:t xml:space="preserve">Infants and children with a genetic diagnosis consistent with </w:t>
            </w:r>
            <w:r w:rsidR="009C2F61">
              <w:rPr>
                <w:sz w:val="19"/>
                <w:szCs w:val="19"/>
                <w:lang w:eastAsia="en-US"/>
              </w:rPr>
              <w:t xml:space="preserve">SMA. bi-allelic deletion of </w:t>
            </w:r>
            <w:r w:rsidR="009C2F61" w:rsidRPr="009C2F61">
              <w:rPr>
                <w:i/>
                <w:sz w:val="19"/>
                <w:szCs w:val="19"/>
                <w:lang w:eastAsia="en-US"/>
              </w:rPr>
              <w:t>SMN1</w:t>
            </w:r>
            <w:r w:rsidRPr="009C2F61">
              <w:rPr>
                <w:sz w:val="19"/>
                <w:szCs w:val="19"/>
                <w:lang w:eastAsia="en-US"/>
              </w:rPr>
              <w:t xml:space="preserve"> and 3 copies of </w:t>
            </w:r>
            <w:r w:rsidRPr="009C2F61">
              <w:rPr>
                <w:i/>
                <w:sz w:val="19"/>
                <w:szCs w:val="19"/>
                <w:lang w:eastAsia="en-US"/>
              </w:rPr>
              <w:t>SMN2</w:t>
            </w:r>
            <w:r w:rsidRPr="009C2F61">
              <w:rPr>
                <w:sz w:val="19"/>
                <w:szCs w:val="19"/>
                <w:lang w:eastAsia="en-US"/>
              </w:rPr>
              <w:t xml:space="preserve"> without the genetic modifier who can sit but cannot stand or walk at the time of study entry</w:t>
            </w:r>
          </w:p>
        </w:tc>
        <w:tc>
          <w:tcPr>
            <w:tcW w:w="689" w:type="pct"/>
            <w:hideMark/>
          </w:tcPr>
          <w:p w14:paraId="7A5B6810" w14:textId="412A20BA" w:rsidR="000111B1" w:rsidRPr="009C2F61" w:rsidRDefault="000111B1" w:rsidP="009C2F61">
            <w:pPr>
              <w:ind w:left="0" w:right="0"/>
              <w:rPr>
                <w:sz w:val="19"/>
                <w:szCs w:val="19"/>
              </w:rPr>
            </w:pPr>
            <w:r>
              <w:rPr>
                <w:sz w:val="19"/>
                <w:szCs w:val="19"/>
              </w:rPr>
              <w:t>2,</w:t>
            </w:r>
            <w:r w:rsidRPr="009C2F61">
              <w:rPr>
                <w:sz w:val="19"/>
                <w:szCs w:val="19"/>
                <w:lang w:eastAsia="en-US"/>
              </w:rPr>
              <w:t xml:space="preserve"> </w:t>
            </w:r>
            <w:r w:rsidR="009C2F61">
              <w:rPr>
                <w:sz w:val="19"/>
                <w:szCs w:val="19"/>
                <w:lang w:eastAsia="en-US"/>
              </w:rPr>
              <w:t xml:space="preserve">3 </w:t>
            </w:r>
            <w:r w:rsidRPr="009C2F61">
              <w:rPr>
                <w:sz w:val="19"/>
                <w:szCs w:val="19"/>
                <w:lang w:eastAsia="en-US"/>
              </w:rPr>
              <w:t>(3)</w:t>
            </w:r>
          </w:p>
        </w:tc>
        <w:tc>
          <w:tcPr>
            <w:tcW w:w="763" w:type="pct"/>
            <w:hideMark/>
          </w:tcPr>
          <w:p w14:paraId="6AABDBD6" w14:textId="77777777" w:rsidR="00296D37" w:rsidRDefault="00296D37" w:rsidP="009C2F61">
            <w:pPr>
              <w:ind w:left="0" w:right="0"/>
              <w:rPr>
                <w:sz w:val="19"/>
                <w:szCs w:val="19"/>
              </w:rPr>
            </w:pPr>
            <w:r>
              <w:rPr>
                <w:sz w:val="19"/>
                <w:szCs w:val="19"/>
              </w:rPr>
              <w:t>Ongoing</w:t>
            </w:r>
          </w:p>
          <w:p w14:paraId="1FB430F0" w14:textId="296B2C60" w:rsidR="000111B1" w:rsidRPr="009C2F61" w:rsidRDefault="000111B1" w:rsidP="00296D37">
            <w:pPr>
              <w:ind w:left="0" w:right="0"/>
              <w:rPr>
                <w:sz w:val="19"/>
                <w:szCs w:val="19"/>
              </w:rPr>
            </w:pPr>
            <w:r w:rsidRPr="009C2F61">
              <w:rPr>
                <w:sz w:val="19"/>
                <w:szCs w:val="19"/>
                <w:lang w:eastAsia="en-US"/>
              </w:rPr>
              <w:t>Yes</w:t>
            </w:r>
            <w:r w:rsidR="009C2F61">
              <w:rPr>
                <w:sz w:val="19"/>
                <w:szCs w:val="19"/>
                <w:lang w:eastAsia="en-US"/>
              </w:rPr>
              <w:t>*</w:t>
            </w:r>
          </w:p>
        </w:tc>
      </w:tr>
      <w:tr w:rsidR="000111B1" w:rsidRPr="00887FB4" w14:paraId="75336D2C" w14:textId="77777777" w:rsidTr="00296D37">
        <w:tc>
          <w:tcPr>
            <w:tcW w:w="767" w:type="pct"/>
            <w:hideMark/>
          </w:tcPr>
          <w:p w14:paraId="29A72B41" w14:textId="77777777" w:rsidR="009C2F61" w:rsidRDefault="000111B1" w:rsidP="009C2F61">
            <w:pPr>
              <w:ind w:left="0" w:right="0"/>
              <w:rPr>
                <w:sz w:val="19"/>
                <w:szCs w:val="19"/>
                <w:lang w:eastAsia="en-US"/>
              </w:rPr>
            </w:pPr>
            <w:r w:rsidRPr="009C2F61">
              <w:rPr>
                <w:sz w:val="19"/>
                <w:szCs w:val="19"/>
                <w:lang w:eastAsia="en-US"/>
              </w:rPr>
              <w:t>AVXS</w:t>
            </w:r>
            <w:r w:rsidR="009C2F61">
              <w:rPr>
                <w:sz w:val="19"/>
                <w:szCs w:val="19"/>
                <w:lang w:eastAsia="en-US"/>
              </w:rPr>
              <w:t>-101-LT-002 Long-term follow-up</w:t>
            </w:r>
          </w:p>
          <w:p w14:paraId="7601837D" w14:textId="689EA830" w:rsidR="000111B1" w:rsidRPr="009C2F61" w:rsidRDefault="000111B1" w:rsidP="009C2F61">
            <w:pPr>
              <w:ind w:left="0" w:right="0"/>
              <w:rPr>
                <w:sz w:val="19"/>
                <w:szCs w:val="19"/>
              </w:rPr>
            </w:pPr>
            <w:r w:rsidRPr="009C2F61">
              <w:rPr>
                <w:sz w:val="19"/>
                <w:szCs w:val="19"/>
                <w:lang w:eastAsia="en-US"/>
              </w:rPr>
              <w:t>United States and Asia</w:t>
            </w:r>
          </w:p>
        </w:tc>
        <w:tc>
          <w:tcPr>
            <w:tcW w:w="978" w:type="pct"/>
            <w:hideMark/>
          </w:tcPr>
          <w:p w14:paraId="331E4D5E" w14:textId="2BEF1473" w:rsidR="000111B1" w:rsidRPr="009C2F61" w:rsidRDefault="000111B1" w:rsidP="009C2F61">
            <w:pPr>
              <w:ind w:left="0" w:right="0"/>
              <w:rPr>
                <w:sz w:val="19"/>
                <w:szCs w:val="19"/>
              </w:rPr>
            </w:pPr>
            <w:r w:rsidRPr="009C2F61">
              <w:rPr>
                <w:sz w:val="19"/>
                <w:szCs w:val="19"/>
                <w:lang w:eastAsia="en-US"/>
              </w:rPr>
              <w:t>Observational</w:t>
            </w:r>
            <w:r w:rsidR="009C2F61">
              <w:rPr>
                <w:sz w:val="19"/>
                <w:szCs w:val="19"/>
                <w:lang w:eastAsia="en-US"/>
              </w:rPr>
              <w:t>; Not applicable,</w:t>
            </w:r>
            <w:r w:rsidRPr="009C2F61">
              <w:rPr>
                <w:sz w:val="19"/>
                <w:szCs w:val="19"/>
                <w:lang w:eastAsia="en-US"/>
              </w:rPr>
              <w:t xml:space="preserve"> Patients will be followed for up to 15 years</w:t>
            </w:r>
          </w:p>
        </w:tc>
        <w:tc>
          <w:tcPr>
            <w:tcW w:w="1803" w:type="pct"/>
            <w:hideMark/>
          </w:tcPr>
          <w:p w14:paraId="3DF0E31E" w14:textId="77777777" w:rsidR="000111B1" w:rsidRPr="000111B1" w:rsidRDefault="000111B1" w:rsidP="00887FB4">
            <w:pPr>
              <w:ind w:left="0" w:right="0"/>
              <w:rPr>
                <w:sz w:val="19"/>
                <w:szCs w:val="19"/>
              </w:rPr>
            </w:pPr>
            <w:r w:rsidRPr="009C2F61">
              <w:rPr>
                <w:sz w:val="19"/>
                <w:szCs w:val="19"/>
                <w:lang w:eastAsia="en-US"/>
              </w:rPr>
              <w:t>TBD</w:t>
            </w:r>
          </w:p>
          <w:p w14:paraId="6394B927" w14:textId="5B8FFD2F" w:rsidR="000111B1" w:rsidRPr="000111B1" w:rsidRDefault="000111B1" w:rsidP="00887FB4">
            <w:pPr>
              <w:ind w:left="0" w:right="0"/>
              <w:rPr>
                <w:sz w:val="19"/>
                <w:szCs w:val="19"/>
              </w:rPr>
            </w:pPr>
            <w:r w:rsidRPr="009C2F61">
              <w:rPr>
                <w:sz w:val="19"/>
                <w:szCs w:val="19"/>
                <w:lang w:eastAsia="en-US"/>
              </w:rPr>
              <w:t>Patients treated with AVXS-101 in prior efficacy/safety studies</w:t>
            </w:r>
          </w:p>
          <w:p w14:paraId="011EFC5E" w14:textId="7D213CFC" w:rsidR="000111B1" w:rsidRPr="009C2F61" w:rsidRDefault="009C2F61" w:rsidP="009C2F61">
            <w:pPr>
              <w:ind w:left="0" w:right="0"/>
              <w:rPr>
                <w:sz w:val="19"/>
                <w:szCs w:val="19"/>
              </w:rPr>
            </w:pPr>
            <w:r>
              <w:rPr>
                <w:sz w:val="19"/>
                <w:szCs w:val="19"/>
                <w:lang w:eastAsia="en-US"/>
              </w:rPr>
              <w:t>Not applicable</w:t>
            </w:r>
          </w:p>
        </w:tc>
        <w:tc>
          <w:tcPr>
            <w:tcW w:w="689" w:type="pct"/>
            <w:hideMark/>
          </w:tcPr>
          <w:p w14:paraId="1CC45840" w14:textId="53BAE2F2" w:rsidR="000111B1" w:rsidRPr="009C2F61" w:rsidRDefault="000111B1" w:rsidP="009C2F61">
            <w:pPr>
              <w:ind w:left="0" w:right="0"/>
              <w:rPr>
                <w:sz w:val="19"/>
                <w:szCs w:val="19"/>
              </w:rPr>
            </w:pPr>
            <w:r>
              <w:rPr>
                <w:sz w:val="19"/>
                <w:szCs w:val="19"/>
              </w:rPr>
              <w:t>1, 2, 3 (1, 2, 3,</w:t>
            </w:r>
            <w:r w:rsidRPr="009C2F61">
              <w:rPr>
                <w:sz w:val="19"/>
                <w:szCs w:val="19"/>
                <w:lang w:eastAsia="en-US"/>
              </w:rPr>
              <w:t xml:space="preserve"> and 4)</w:t>
            </w:r>
          </w:p>
        </w:tc>
        <w:tc>
          <w:tcPr>
            <w:tcW w:w="763" w:type="pct"/>
            <w:hideMark/>
          </w:tcPr>
          <w:p w14:paraId="093CE353" w14:textId="77777777" w:rsidR="00296D37" w:rsidRDefault="00296D37" w:rsidP="009C2F61">
            <w:pPr>
              <w:ind w:left="0" w:right="0"/>
              <w:rPr>
                <w:sz w:val="19"/>
                <w:szCs w:val="19"/>
              </w:rPr>
            </w:pPr>
            <w:r>
              <w:rPr>
                <w:sz w:val="19"/>
                <w:szCs w:val="19"/>
              </w:rPr>
              <w:t>Ongoing</w:t>
            </w:r>
          </w:p>
          <w:p w14:paraId="337A4846" w14:textId="46997C28" w:rsidR="000111B1" w:rsidRPr="009C2F61" w:rsidRDefault="000111B1" w:rsidP="00296D37">
            <w:pPr>
              <w:ind w:left="0" w:right="0"/>
              <w:rPr>
                <w:sz w:val="19"/>
                <w:szCs w:val="19"/>
              </w:rPr>
            </w:pPr>
            <w:r w:rsidRPr="009C2F61">
              <w:rPr>
                <w:sz w:val="19"/>
                <w:szCs w:val="19"/>
                <w:lang w:eastAsia="en-US"/>
              </w:rPr>
              <w:t>No</w:t>
            </w:r>
          </w:p>
        </w:tc>
      </w:tr>
      <w:tr w:rsidR="000111B1" w:rsidRPr="00887FB4" w14:paraId="4A5632CE" w14:textId="77777777" w:rsidTr="00296D37">
        <w:tc>
          <w:tcPr>
            <w:tcW w:w="767" w:type="pct"/>
            <w:hideMark/>
          </w:tcPr>
          <w:p w14:paraId="50F01AF8" w14:textId="4B982C26" w:rsidR="000111B1" w:rsidRPr="009C2F61" w:rsidRDefault="00296D37" w:rsidP="009C2F61">
            <w:pPr>
              <w:ind w:left="0" w:right="0"/>
              <w:rPr>
                <w:sz w:val="19"/>
                <w:szCs w:val="19"/>
              </w:rPr>
            </w:pPr>
            <w:r>
              <w:rPr>
                <w:sz w:val="19"/>
                <w:szCs w:val="19"/>
              </w:rPr>
              <w:t>AVXS-101-CL-305 Phase III</w:t>
            </w:r>
            <w:r w:rsidR="000111B1" w:rsidRPr="009C2F61">
              <w:rPr>
                <w:sz w:val="19"/>
                <w:szCs w:val="19"/>
                <w:lang w:eastAsia="en-US"/>
              </w:rPr>
              <w:t xml:space="preserve"> TBD</w:t>
            </w:r>
          </w:p>
        </w:tc>
        <w:tc>
          <w:tcPr>
            <w:tcW w:w="978" w:type="pct"/>
            <w:hideMark/>
          </w:tcPr>
          <w:p w14:paraId="26478692" w14:textId="024BF30A" w:rsidR="000111B1" w:rsidRPr="009C2F61" w:rsidRDefault="009C2F61" w:rsidP="009C2F61">
            <w:pPr>
              <w:ind w:left="0" w:right="0"/>
              <w:rPr>
                <w:sz w:val="19"/>
                <w:szCs w:val="19"/>
              </w:rPr>
            </w:pPr>
            <w:r>
              <w:rPr>
                <w:sz w:val="19"/>
                <w:szCs w:val="19"/>
                <w:lang w:eastAsia="en-US"/>
              </w:rPr>
              <w:t xml:space="preserve">Open </w:t>
            </w:r>
            <w:r w:rsidR="000111B1" w:rsidRPr="009C2F61">
              <w:rPr>
                <w:sz w:val="19"/>
                <w:szCs w:val="19"/>
                <w:lang w:eastAsia="en-US"/>
              </w:rPr>
              <w:t xml:space="preserve">label, </w:t>
            </w:r>
            <w:r w:rsidR="00296D37" w:rsidRPr="00296D37">
              <w:rPr>
                <w:sz w:val="19"/>
                <w:szCs w:val="19"/>
              </w:rPr>
              <w:t>multicentre</w:t>
            </w:r>
            <w:r>
              <w:rPr>
                <w:sz w:val="19"/>
                <w:szCs w:val="19"/>
              </w:rPr>
              <w:t>;</w:t>
            </w:r>
            <w:r>
              <w:rPr>
                <w:sz w:val="19"/>
                <w:szCs w:val="19"/>
                <w:lang w:eastAsia="en-US"/>
              </w:rPr>
              <w:t xml:space="preserve"> IT, s</w:t>
            </w:r>
            <w:r w:rsidR="000111B1" w:rsidRPr="009C2F61">
              <w:rPr>
                <w:sz w:val="19"/>
                <w:szCs w:val="19"/>
                <w:lang w:eastAsia="en-US"/>
              </w:rPr>
              <w:t>ingle-dose</w:t>
            </w:r>
          </w:p>
        </w:tc>
        <w:tc>
          <w:tcPr>
            <w:tcW w:w="1803" w:type="pct"/>
            <w:hideMark/>
          </w:tcPr>
          <w:p w14:paraId="729E9720" w14:textId="77777777" w:rsidR="000111B1" w:rsidRPr="000111B1" w:rsidRDefault="000111B1" w:rsidP="00887FB4">
            <w:pPr>
              <w:ind w:left="0" w:right="0"/>
              <w:rPr>
                <w:sz w:val="19"/>
                <w:szCs w:val="19"/>
              </w:rPr>
            </w:pPr>
            <w:r w:rsidRPr="009C2F61">
              <w:rPr>
                <w:sz w:val="19"/>
                <w:szCs w:val="19"/>
                <w:lang w:eastAsia="en-US"/>
              </w:rPr>
              <w:t>73</w:t>
            </w:r>
          </w:p>
          <w:p w14:paraId="75F11752" w14:textId="027040FD" w:rsidR="000111B1" w:rsidRPr="000111B1" w:rsidRDefault="000111B1" w:rsidP="00887FB4">
            <w:pPr>
              <w:ind w:left="0" w:right="0"/>
              <w:rPr>
                <w:sz w:val="19"/>
                <w:szCs w:val="19"/>
              </w:rPr>
            </w:pPr>
            <w:r w:rsidRPr="009C2F61">
              <w:rPr>
                <w:sz w:val="19"/>
                <w:szCs w:val="19"/>
                <w:lang w:eastAsia="en-US"/>
              </w:rPr>
              <w:t xml:space="preserve">Patients with genetically diagnosed SMA </w:t>
            </w:r>
            <w:r w:rsidR="005A2B53">
              <w:rPr>
                <w:sz w:val="19"/>
                <w:szCs w:val="19"/>
              </w:rPr>
              <w:t>type</w:t>
            </w:r>
            <w:r w:rsidR="009C2F61">
              <w:rPr>
                <w:sz w:val="19"/>
                <w:szCs w:val="19"/>
                <w:lang w:eastAsia="en-US"/>
              </w:rPr>
              <w:t xml:space="preserve"> 1. 2. or 3,</w:t>
            </w:r>
            <w:r w:rsidRPr="009C2F61">
              <w:rPr>
                <w:sz w:val="19"/>
                <w:szCs w:val="19"/>
                <w:lang w:eastAsia="en-US"/>
              </w:rPr>
              <w:t xml:space="preserve"> to be enrolled in 4 cohorts.</w:t>
            </w:r>
          </w:p>
          <w:p w14:paraId="2DDFCE49" w14:textId="12698A73" w:rsidR="000111B1" w:rsidRPr="009C2F61" w:rsidRDefault="000111B1" w:rsidP="009C2F61">
            <w:pPr>
              <w:ind w:left="0" w:right="0"/>
              <w:rPr>
                <w:sz w:val="19"/>
                <w:szCs w:val="19"/>
              </w:rPr>
            </w:pPr>
            <w:r w:rsidRPr="009C2F61">
              <w:rPr>
                <w:sz w:val="19"/>
                <w:szCs w:val="19"/>
                <w:lang w:eastAsia="en-US"/>
              </w:rPr>
              <w:t>All enrolled patients who receive the AVXS-101-IT injection in each cohort.</w:t>
            </w:r>
          </w:p>
        </w:tc>
        <w:tc>
          <w:tcPr>
            <w:tcW w:w="689" w:type="pct"/>
            <w:hideMark/>
          </w:tcPr>
          <w:p w14:paraId="7DF983E2" w14:textId="3EB6C187" w:rsidR="000111B1" w:rsidRPr="009C2F61" w:rsidRDefault="00296D37" w:rsidP="009C2F61">
            <w:pPr>
              <w:ind w:left="0" w:right="0"/>
              <w:rPr>
                <w:sz w:val="19"/>
                <w:szCs w:val="19"/>
              </w:rPr>
            </w:pPr>
            <w:r>
              <w:rPr>
                <w:sz w:val="19"/>
                <w:szCs w:val="19"/>
              </w:rPr>
              <w:t>1, 2, 3 (2, 3,</w:t>
            </w:r>
            <w:r w:rsidR="000111B1" w:rsidRPr="009C2F61">
              <w:rPr>
                <w:sz w:val="19"/>
                <w:szCs w:val="19"/>
                <w:lang w:eastAsia="en-US"/>
              </w:rPr>
              <w:t xml:space="preserve"> 4)</w:t>
            </w:r>
          </w:p>
        </w:tc>
        <w:tc>
          <w:tcPr>
            <w:tcW w:w="763" w:type="pct"/>
            <w:hideMark/>
          </w:tcPr>
          <w:p w14:paraId="4CDAE8A8" w14:textId="77777777" w:rsidR="00296D37" w:rsidRDefault="00296D37" w:rsidP="009C2F61">
            <w:pPr>
              <w:ind w:left="0" w:right="0"/>
              <w:rPr>
                <w:sz w:val="19"/>
                <w:szCs w:val="19"/>
              </w:rPr>
            </w:pPr>
            <w:r>
              <w:rPr>
                <w:sz w:val="19"/>
                <w:szCs w:val="19"/>
              </w:rPr>
              <w:t>Planned</w:t>
            </w:r>
          </w:p>
          <w:p w14:paraId="68456C3C" w14:textId="511279E3" w:rsidR="000111B1" w:rsidRPr="009C2F61" w:rsidRDefault="000111B1" w:rsidP="00296D37">
            <w:pPr>
              <w:ind w:left="0" w:right="0"/>
              <w:rPr>
                <w:sz w:val="19"/>
                <w:szCs w:val="19"/>
              </w:rPr>
            </w:pPr>
            <w:r w:rsidRPr="009C2F61">
              <w:rPr>
                <w:sz w:val="19"/>
                <w:szCs w:val="19"/>
                <w:lang w:eastAsia="en-US"/>
              </w:rPr>
              <w:t>No</w:t>
            </w:r>
          </w:p>
        </w:tc>
      </w:tr>
    </w:tbl>
    <w:p w14:paraId="196CC143" w14:textId="77777777" w:rsidR="006000D4" w:rsidRDefault="006000D4" w:rsidP="009C2F61">
      <w:pPr>
        <w:pStyle w:val="TableDescription"/>
      </w:pPr>
      <w:r>
        <w:t xml:space="preserve">IT = intrathecal; IV= intravenous; SMA = spinal muscular atrophy; </w:t>
      </w:r>
      <w:r w:rsidRPr="006000D4">
        <w:rPr>
          <w:i/>
        </w:rPr>
        <w:t>SMN1</w:t>
      </w:r>
      <w:r>
        <w:t xml:space="preserve"> = survival motor neuron gene 1; </w:t>
      </w:r>
      <w:r w:rsidRPr="006000D4">
        <w:rPr>
          <w:i/>
        </w:rPr>
        <w:t>SMN2</w:t>
      </w:r>
      <w:r>
        <w:t xml:space="preserve"> = survival motor neuron gene 2; TBD = to be determined.</w:t>
      </w:r>
    </w:p>
    <w:p w14:paraId="546FFEF1" w14:textId="1EFC7533" w:rsidR="00735D2B" w:rsidRDefault="006000D4" w:rsidP="009C2F61">
      <w:pPr>
        <w:pStyle w:val="TableDescription"/>
      </w:pPr>
      <w:r w:rsidRPr="006000D4">
        <w:t>*</w:t>
      </w:r>
      <w:r>
        <w:t xml:space="preserve"> Partial data; all available data as of 31 December 2019.</w:t>
      </w:r>
    </w:p>
    <w:p w14:paraId="6794337F" w14:textId="77777777" w:rsidR="007B6132" w:rsidRDefault="00735D2B" w:rsidP="00735D2B">
      <w:pPr>
        <w:pStyle w:val="Heading4"/>
      </w:pPr>
      <w:r>
        <w:t>Pharmacology</w:t>
      </w:r>
    </w:p>
    <w:p w14:paraId="3B888812" w14:textId="3E3475B2" w:rsidR="00735D2B" w:rsidRPr="00B32CDB" w:rsidRDefault="00B32CDB" w:rsidP="00B32CDB">
      <w:pPr>
        <w:pStyle w:val="Heading5"/>
      </w:pPr>
      <w:r>
        <w:t>Pharmacokinetics</w:t>
      </w:r>
    </w:p>
    <w:p w14:paraId="7FD8FAD1" w14:textId="4066C98D" w:rsidR="00735D2B" w:rsidRDefault="00735D2B" w:rsidP="00735D2B">
      <w:r>
        <w:t xml:space="preserve">Conventional clinical </w:t>
      </w:r>
      <w:r w:rsidR="00D31923">
        <w:t>pharmacokinetics</w:t>
      </w:r>
      <w:r>
        <w:t xml:space="preserve"> studies were not submitted as they are not applicable to a vi</w:t>
      </w:r>
      <w:r w:rsidR="00B32CDB">
        <w:t>ral vector-based gene therapy. The s</w:t>
      </w:r>
      <w:r>
        <w:t xml:space="preserve">ponsor assessed </w:t>
      </w:r>
      <w:r w:rsidR="00D31923">
        <w:t>clearance of AVXS</w:t>
      </w:r>
      <w:r w:rsidR="00D31923">
        <w:noBreakHyphen/>
      </w:r>
      <w:r w:rsidRPr="00DC01DA">
        <w:t xml:space="preserve">101 by measuring </w:t>
      </w:r>
      <w:r>
        <w:t xml:space="preserve">viral vector </w:t>
      </w:r>
      <w:r w:rsidRPr="00DC01DA">
        <w:t>shed</w:t>
      </w:r>
      <w:r>
        <w:t>ding</w:t>
      </w:r>
      <w:r w:rsidRPr="00791B75">
        <w:t xml:space="preserve"> </w:t>
      </w:r>
      <w:r>
        <w:t xml:space="preserve">in Studies </w:t>
      </w:r>
      <w:r w:rsidR="00D31923">
        <w:rPr>
          <w:lang w:eastAsia="ja-JP"/>
        </w:rPr>
        <w:t>AVXS-101-</w:t>
      </w:r>
      <w:r>
        <w:t>CL-</w:t>
      </w:r>
      <w:r w:rsidRPr="00DC01DA">
        <w:t>101</w:t>
      </w:r>
      <w:r w:rsidR="00B32CDB">
        <w:t xml:space="preserve"> and </w:t>
      </w:r>
      <w:r w:rsidR="00841DAD">
        <w:rPr>
          <w:lang w:eastAsia="ja-JP"/>
        </w:rPr>
        <w:t>AVXS</w:t>
      </w:r>
      <w:r w:rsidR="00841DAD">
        <w:rPr>
          <w:lang w:eastAsia="ja-JP"/>
        </w:rPr>
        <w:noBreakHyphen/>
        <w:t>101</w:t>
      </w:r>
      <w:r w:rsidR="00841DAD">
        <w:rPr>
          <w:lang w:eastAsia="ja-JP"/>
        </w:rPr>
        <w:noBreakHyphen/>
      </w:r>
      <w:r w:rsidR="00B32CDB">
        <w:t xml:space="preserve">CL-303. </w:t>
      </w:r>
      <w:proofErr w:type="spellStart"/>
      <w:r>
        <w:t>Biodistribution</w:t>
      </w:r>
      <w:proofErr w:type="spellEnd"/>
      <w:r>
        <w:t xml:space="preserve"> of AVXS-101 was assessed in two patients in clinical studies who died, one from Study </w:t>
      </w:r>
      <w:r w:rsidR="00D31923">
        <w:rPr>
          <w:lang w:eastAsia="ja-JP"/>
        </w:rPr>
        <w:t>AVXS-101-</w:t>
      </w:r>
      <w:r w:rsidR="00841DAD">
        <w:t>CL-303 and one from Study </w:t>
      </w:r>
      <w:r w:rsidR="00841DAD">
        <w:rPr>
          <w:lang w:eastAsia="ja-JP"/>
        </w:rPr>
        <w:t>AVXS</w:t>
      </w:r>
      <w:r w:rsidR="00841DAD">
        <w:rPr>
          <w:lang w:eastAsia="ja-JP"/>
        </w:rPr>
        <w:noBreakHyphen/>
        <w:t>101</w:t>
      </w:r>
      <w:r w:rsidR="00841DAD">
        <w:rPr>
          <w:lang w:eastAsia="ja-JP"/>
        </w:rPr>
        <w:noBreakHyphen/>
      </w:r>
      <w:r w:rsidR="00841DAD">
        <w:t>CL</w:t>
      </w:r>
      <w:r w:rsidR="00841DAD">
        <w:noBreakHyphen/>
      </w:r>
      <w:r>
        <w:t>302.</w:t>
      </w:r>
    </w:p>
    <w:p w14:paraId="421B33CA" w14:textId="77777777" w:rsidR="00735D2B" w:rsidRPr="00E06D47" w:rsidRDefault="00735D2B" w:rsidP="00B32CDB">
      <w:pPr>
        <w:pStyle w:val="Heading6"/>
      </w:pPr>
      <w:r w:rsidRPr="00E06D47">
        <w:t>Viral vector shedding</w:t>
      </w:r>
    </w:p>
    <w:p w14:paraId="289E9CA2" w14:textId="777AE6CC" w:rsidR="00735D2B" w:rsidRDefault="00735D2B" w:rsidP="00735D2B">
      <w:pPr>
        <w:rPr>
          <w:rFonts w:eastAsia="Times New Roman"/>
          <w:lang w:eastAsia="ja-JP"/>
        </w:rPr>
      </w:pPr>
      <w:r>
        <w:t xml:space="preserve">Five patients from Study </w:t>
      </w:r>
      <w:r w:rsidR="00D31923">
        <w:rPr>
          <w:lang w:eastAsia="ja-JP"/>
        </w:rPr>
        <w:t>AVXS-101-</w:t>
      </w:r>
      <w:r>
        <w:t>CL-101 (study details</w:t>
      </w:r>
      <w:r w:rsidR="00D31923">
        <w:t xml:space="preserve"> in the ‘</w:t>
      </w:r>
      <w:r w:rsidR="00D31923" w:rsidRPr="00D31923">
        <w:rPr>
          <w:i/>
        </w:rPr>
        <w:fldChar w:fldCharType="begin"/>
      </w:r>
      <w:r w:rsidR="00D31923" w:rsidRPr="00D31923">
        <w:rPr>
          <w:i/>
        </w:rPr>
        <w:instrText xml:space="preserve"> REF _Ref65504284 \h </w:instrText>
      </w:r>
      <w:r w:rsidR="00D31923">
        <w:rPr>
          <w:i/>
        </w:rPr>
        <w:instrText xml:space="preserve"> \* MERGEFORMAT </w:instrText>
      </w:r>
      <w:r w:rsidR="00D31923" w:rsidRPr="00D31923">
        <w:rPr>
          <w:i/>
        </w:rPr>
      </w:r>
      <w:r w:rsidR="00D31923" w:rsidRPr="00D31923">
        <w:rPr>
          <w:i/>
        </w:rPr>
        <w:fldChar w:fldCharType="separate"/>
      </w:r>
      <w:r w:rsidR="009C2F61" w:rsidRPr="009C2F61">
        <w:rPr>
          <w:i/>
        </w:rPr>
        <w:t>Efficacy</w:t>
      </w:r>
      <w:r w:rsidR="00D31923" w:rsidRPr="00D31923">
        <w:rPr>
          <w:i/>
        </w:rPr>
        <w:fldChar w:fldCharType="end"/>
      </w:r>
      <w:r w:rsidR="00D31923">
        <w:t>’ section, below</w:t>
      </w:r>
      <w:r>
        <w:t>) were included in the viral vector shedding sub-study, all of whom received the d</w:t>
      </w:r>
      <w:r w:rsidR="00D31923">
        <w:t xml:space="preserve">ose proposed for registration. </w:t>
      </w:r>
      <w:r>
        <w:rPr>
          <w:lang w:eastAsia="ja-JP"/>
        </w:rPr>
        <w:t>Following IV administration of AVXS-101, samples of saliva, urine, and stoo</w:t>
      </w:r>
      <w:r w:rsidR="00D31923">
        <w:rPr>
          <w:lang w:eastAsia="ja-JP"/>
        </w:rPr>
        <w:t xml:space="preserve">l were collected at weekly time </w:t>
      </w:r>
      <w:r>
        <w:rPr>
          <w:lang w:eastAsia="ja-JP"/>
        </w:rPr>
        <w:t>points throu</w:t>
      </w:r>
      <w:r w:rsidR="00D31923">
        <w:rPr>
          <w:lang w:eastAsia="ja-JP"/>
        </w:rPr>
        <w:t xml:space="preserve">gh Day 30 and then monthly time </w:t>
      </w:r>
      <w:r>
        <w:rPr>
          <w:lang w:eastAsia="ja-JP"/>
        </w:rPr>
        <w:t xml:space="preserve">points through Month 12 </w:t>
      </w:r>
      <w:r w:rsidR="00B32CDB">
        <w:rPr>
          <w:lang w:eastAsia="ja-JP"/>
        </w:rPr>
        <w:t xml:space="preserve">and every 3 months thereafter. </w:t>
      </w:r>
      <w:r w:rsidRPr="00927744">
        <w:t xml:space="preserve">Vector DNA was identified in stool, saliva and urine after infusion of </w:t>
      </w:r>
      <w:r>
        <w:rPr>
          <w:lang w:eastAsia="ja-JP"/>
        </w:rPr>
        <w:t>AVXS-101</w:t>
      </w:r>
      <w:r w:rsidRPr="00927744">
        <w:t xml:space="preserve">, with substantially higher concentrations in </w:t>
      </w:r>
      <w:r w:rsidR="00D31923">
        <w:t xml:space="preserve">stool than in saliva or urine. </w:t>
      </w:r>
      <w:r w:rsidRPr="00927744">
        <w:t>Vector DNA</w:t>
      </w:r>
      <w:r w:rsidRPr="00927744">
        <w:rPr>
          <w:lang w:eastAsia="ja-JP"/>
        </w:rPr>
        <w:t xml:space="preserve"> was d</w:t>
      </w:r>
      <w:r>
        <w:rPr>
          <w:lang w:eastAsia="ja-JP"/>
        </w:rPr>
        <w:t>etectable in</w:t>
      </w:r>
      <w:r w:rsidR="00D31923">
        <w:rPr>
          <w:lang w:eastAsia="ja-JP"/>
        </w:rPr>
        <w:t xml:space="preserve"> stool at Day 1 post infusion. </w:t>
      </w:r>
      <w:r>
        <w:rPr>
          <w:lang w:eastAsia="ja-JP"/>
        </w:rPr>
        <w:t>The concentration of vector DNA in stool declined substantially by Day 30, and was below the limit of quantitation for all patients</w:t>
      </w:r>
      <w:r w:rsidRPr="003D22CE">
        <w:rPr>
          <w:lang w:eastAsia="ja-JP"/>
        </w:rPr>
        <w:t xml:space="preserve"> </w:t>
      </w:r>
      <w:r w:rsidR="00B32CDB">
        <w:rPr>
          <w:lang w:eastAsia="ja-JP"/>
        </w:rPr>
        <w:t xml:space="preserve">by Day 60. </w:t>
      </w:r>
      <w:r>
        <w:rPr>
          <w:lang w:eastAsia="ja-JP"/>
        </w:rPr>
        <w:t>Concentrations of vector DNA in urine and saliva w</w:t>
      </w:r>
      <w:r w:rsidR="00B32CDB">
        <w:rPr>
          <w:lang w:eastAsia="ja-JP"/>
        </w:rPr>
        <w:t xml:space="preserve">ere much lower than in stool. </w:t>
      </w:r>
      <w:r w:rsidR="00D31923">
        <w:rPr>
          <w:lang w:eastAsia="ja-JP"/>
        </w:rPr>
        <w:t>Assessment of shedding in Study AVXS-101-</w:t>
      </w:r>
      <w:r>
        <w:rPr>
          <w:lang w:eastAsia="ja-JP"/>
        </w:rPr>
        <w:t>CL-303 showed a similar pattern, with viral vector being shed predominantly in stool, and declining to very low levels by Day 30.</w:t>
      </w:r>
    </w:p>
    <w:p w14:paraId="67EBBAEE" w14:textId="77777777" w:rsidR="00735D2B" w:rsidRPr="00E06D47" w:rsidRDefault="00735D2B" w:rsidP="00B32CDB">
      <w:pPr>
        <w:pStyle w:val="Heading6"/>
      </w:pPr>
      <w:proofErr w:type="spellStart"/>
      <w:r w:rsidRPr="00E06D47">
        <w:t>Biodistribution</w:t>
      </w:r>
      <w:proofErr w:type="spellEnd"/>
    </w:p>
    <w:p w14:paraId="596F329F" w14:textId="11695539" w:rsidR="00735D2B" w:rsidRPr="00385439" w:rsidRDefault="00735D2B" w:rsidP="00735D2B">
      <w:pPr>
        <w:autoSpaceDE w:val="0"/>
        <w:autoSpaceDN w:val="0"/>
        <w:adjustRightInd w:val="0"/>
        <w:spacing w:before="0" w:after="0" w:line="240" w:lineRule="auto"/>
      </w:pPr>
      <w:proofErr w:type="spellStart"/>
      <w:r>
        <w:t>Biodistribution</w:t>
      </w:r>
      <w:proofErr w:type="spellEnd"/>
      <w:r>
        <w:t xml:space="preserve"> of AVXS-101 was assessed in human tis</w:t>
      </w:r>
      <w:r w:rsidR="00841DAD">
        <w:t>sues following the death of two </w:t>
      </w:r>
      <w:r>
        <w:t xml:space="preserve">patients, one in Study </w:t>
      </w:r>
      <w:r w:rsidR="00D31923">
        <w:rPr>
          <w:lang w:eastAsia="ja-JP"/>
        </w:rPr>
        <w:t>AVXS-101-</w:t>
      </w:r>
      <w:r>
        <w:t xml:space="preserve">CL-303 and one in Study </w:t>
      </w:r>
      <w:r w:rsidR="00D31923">
        <w:rPr>
          <w:lang w:eastAsia="ja-JP"/>
        </w:rPr>
        <w:t>AVXS-101-</w:t>
      </w:r>
      <w:r w:rsidR="00D31923">
        <w:t xml:space="preserve">CL-302. </w:t>
      </w:r>
      <w:r>
        <w:rPr>
          <w:lang w:eastAsia="ja-JP"/>
        </w:rPr>
        <w:t>For both patients, AVXS-101 vector genomes and RNA transcripts were detected in the CNS and in peripheral organs and tissues, including the live</w:t>
      </w:r>
      <w:r w:rsidR="00D31923">
        <w:rPr>
          <w:lang w:eastAsia="ja-JP"/>
        </w:rPr>
        <w:t xml:space="preserve">r, heart, and skeletal muscle. </w:t>
      </w:r>
      <w:r>
        <w:rPr>
          <w:lang w:eastAsia="ja-JP"/>
        </w:rPr>
        <w:t xml:space="preserve">SMN protein expression in motor neurons was detected in all regions of the spinal cord and in all regions of </w:t>
      </w:r>
      <w:r w:rsidR="00D31923">
        <w:rPr>
          <w:lang w:eastAsia="ja-JP"/>
        </w:rPr>
        <w:t xml:space="preserve">the brain that were evaluated. </w:t>
      </w:r>
      <w:r w:rsidRPr="00385439">
        <w:t xml:space="preserve">A low level of vector genome </w:t>
      </w:r>
      <w:r>
        <w:t xml:space="preserve">and expression </w:t>
      </w:r>
      <w:r w:rsidRPr="00385439">
        <w:t>was noted in the testis and ovary.</w:t>
      </w:r>
    </w:p>
    <w:p w14:paraId="19F5E8C3" w14:textId="7A7ABDCF" w:rsidR="00735D2B" w:rsidRDefault="00D31923" w:rsidP="00735D2B">
      <w:pPr>
        <w:pStyle w:val="Heading5"/>
      </w:pPr>
      <w:r>
        <w:t>Pharmacodynamics</w:t>
      </w:r>
    </w:p>
    <w:p w14:paraId="09EF4301" w14:textId="6792C706" w:rsidR="00735D2B" w:rsidRDefault="00735D2B" w:rsidP="00735D2B">
      <w:r>
        <w:t xml:space="preserve">There were no primary </w:t>
      </w:r>
      <w:r w:rsidR="00D31923">
        <w:t>pharmacodynamic studies. The s</w:t>
      </w:r>
      <w:r>
        <w:t>ponsor commented on the challenges in measuring SMN expression in motor ne</w:t>
      </w:r>
      <w:r w:rsidR="00D31923">
        <w:t>urons (the therapeutic target). Exploratory pharmacodynamic</w:t>
      </w:r>
      <w:r>
        <w:t xml:space="preserve"> measures (compound motor action potentials,</w:t>
      </w:r>
      <w:r w:rsidR="00F571EB">
        <w:t xml:space="preserve"> and </w:t>
      </w:r>
      <w:r>
        <w:t xml:space="preserve">motor unit number estimation) in Study </w:t>
      </w:r>
      <w:r w:rsidR="00D31923">
        <w:rPr>
          <w:lang w:eastAsia="ja-JP"/>
        </w:rPr>
        <w:t>AVXS-101-</w:t>
      </w:r>
      <w:r>
        <w:t>CL-101 were favourable compared to expected outcomes in untreated patients, supporting the major clinical endpoints of this study.</w:t>
      </w:r>
    </w:p>
    <w:p w14:paraId="3AEA3FC0" w14:textId="77777777" w:rsidR="00735D2B" w:rsidRPr="00E952A8" w:rsidRDefault="00735D2B" w:rsidP="00D31923">
      <w:pPr>
        <w:pStyle w:val="Heading6"/>
      </w:pPr>
      <w:r w:rsidRPr="00E952A8">
        <w:t>Immunogenicity</w:t>
      </w:r>
    </w:p>
    <w:p w14:paraId="479C800B" w14:textId="1EC5B46B" w:rsidR="00735D2B" w:rsidRDefault="00735D2B" w:rsidP="00735D2B">
      <w:r w:rsidRPr="00E952A8">
        <w:t xml:space="preserve">All subjects in the clinical studies </w:t>
      </w:r>
      <w:r>
        <w:t>were required to have</w:t>
      </w:r>
      <w:r w:rsidRPr="00E952A8">
        <w:t xml:space="preserve"> anti-AAV9 titre of </w:t>
      </w:r>
      <w:r w:rsidR="00D31923">
        <w:t xml:space="preserve">≤ </w:t>
      </w:r>
      <w:r w:rsidRPr="00E952A8">
        <w:t>1:50 pri</w:t>
      </w:r>
      <w:r w:rsidR="00D31923">
        <w:t xml:space="preserve">or to AVXS-101 administration. </w:t>
      </w:r>
      <w:r>
        <w:t xml:space="preserve">All subjects except the first subject in Study </w:t>
      </w:r>
      <w:r w:rsidR="00D31923">
        <w:rPr>
          <w:lang w:eastAsia="ja-JP"/>
        </w:rPr>
        <w:t>AVXS-101-</w:t>
      </w:r>
      <w:r>
        <w:t>CL-101 were pre-treated with prednisolone (1 mg/kg/day) to reduce the risk of i</w:t>
      </w:r>
      <w:r w:rsidR="00B6596D">
        <w:t>mmune</w:t>
      </w:r>
      <w:r w:rsidR="00B6596D">
        <w:noBreakHyphen/>
      </w:r>
      <w:r w:rsidR="00D31923">
        <w:t xml:space="preserve">mediated liver toxicity. </w:t>
      </w:r>
      <w:r>
        <w:t>Serological tests included enzyme linked immunosorbent assay (ELISA) for anti-human survival motor neuron (anti-</w:t>
      </w:r>
      <w:proofErr w:type="spellStart"/>
      <w:r>
        <w:t>hSMN</w:t>
      </w:r>
      <w:proofErr w:type="spellEnd"/>
      <w:r>
        <w:t>) and anti-AAV9 immun</w:t>
      </w:r>
      <w:r w:rsidR="00B6596D">
        <w:t xml:space="preserve">oglobulin G (IgG) antibodies. T </w:t>
      </w:r>
      <w:r>
        <w:t xml:space="preserve">cell-mediated immunity to AAV9 and SMN was monitored by enzyme-linked </w:t>
      </w:r>
      <w:proofErr w:type="spellStart"/>
      <w:r>
        <w:t>immunospot</w:t>
      </w:r>
      <w:proofErr w:type="spellEnd"/>
      <w:r>
        <w:t xml:space="preserve"> (ELISpot).</w:t>
      </w:r>
    </w:p>
    <w:p w14:paraId="586F8026" w14:textId="3D2825F3" w:rsidR="00735D2B" w:rsidRDefault="00735D2B" w:rsidP="00841DAD">
      <w:r w:rsidRPr="00E952A8">
        <w:t>High anti-AAV9 antibody titres occurred following infusion</w:t>
      </w:r>
      <w:r w:rsidR="00D31923">
        <w:t xml:space="preserve"> of AVXS-101 in all subjects. </w:t>
      </w:r>
      <w:r w:rsidR="00B6596D">
        <w:t>No antibody</w:t>
      </w:r>
      <w:r w:rsidR="001853C7">
        <w:t xml:space="preserve"> or T-</w:t>
      </w:r>
      <w:r>
        <w:t>cell immune response agains</w:t>
      </w:r>
      <w:r w:rsidR="00D31923">
        <w:t>t the SMN protein was observed.</w:t>
      </w:r>
    </w:p>
    <w:p w14:paraId="489419A8" w14:textId="77777777" w:rsidR="00735D2B" w:rsidRDefault="00735D2B" w:rsidP="00735D2B">
      <w:pPr>
        <w:pStyle w:val="Heading4"/>
      </w:pPr>
      <w:bookmarkStart w:id="51" w:name="_Ref65504284"/>
      <w:r>
        <w:t>Efficacy</w:t>
      </w:r>
      <w:bookmarkEnd w:id="51"/>
    </w:p>
    <w:p w14:paraId="74A9126D" w14:textId="1336993B" w:rsidR="00735D2B" w:rsidRPr="00811268" w:rsidRDefault="00B6596D" w:rsidP="00D31923">
      <w:r>
        <w:t>The application included</w:t>
      </w:r>
      <w:r w:rsidR="00735D2B">
        <w:t xml:space="preserve"> two complet</w:t>
      </w:r>
      <w:r>
        <w:t>ed efficacy studies, the Phase I</w:t>
      </w:r>
      <w:r w:rsidR="00735D2B">
        <w:t xml:space="preserve"> </w:t>
      </w:r>
      <w:r>
        <w:t>Study AVXS</w:t>
      </w:r>
      <w:r>
        <w:noBreakHyphen/>
        <w:t>101</w:t>
      </w:r>
      <w:r>
        <w:noBreakHyphen/>
        <w:t>CL</w:t>
      </w:r>
      <w:r>
        <w:noBreakHyphen/>
      </w:r>
      <w:r w:rsidR="00D31923">
        <w:t>101</w:t>
      </w:r>
      <w:r>
        <w:t xml:space="preserve"> and the Phase III</w:t>
      </w:r>
      <w:r w:rsidR="00735D2B">
        <w:t xml:space="preserve"> </w:t>
      </w:r>
      <w:r w:rsidR="00D31923">
        <w:t>Study AVXS-101-CL-303</w:t>
      </w:r>
      <w:r w:rsidR="00735D2B">
        <w:t>.</w:t>
      </w:r>
      <w:r w:rsidR="00735D2B" w:rsidRPr="00EC1A81">
        <w:t xml:space="preserve"> </w:t>
      </w:r>
      <w:r w:rsidR="00735D2B">
        <w:t>Neither study included a direct comparator arm, but the natural history of the</w:t>
      </w:r>
      <w:r>
        <w:t xml:space="preserve"> study population has been well</w:t>
      </w:r>
      <w:r>
        <w:noBreakHyphen/>
      </w:r>
      <w:r w:rsidR="00735D2B">
        <w:t>defined in recent observational studies, allowing meaningful assessment of the key efficacy endpoints in the absence of a randomised controlled</w:t>
      </w:r>
      <w:r>
        <w:t xml:space="preserve"> design. </w:t>
      </w:r>
      <w:r w:rsidR="00735D2B">
        <w:t xml:space="preserve">The </w:t>
      </w:r>
      <w:proofErr w:type="spellStart"/>
      <w:r w:rsidR="00735D2B">
        <w:t>Pediatric</w:t>
      </w:r>
      <w:proofErr w:type="spellEnd"/>
      <w:r w:rsidR="00735D2B">
        <w:t xml:space="preserve"> Neuromuscular Clinical Research (PNCR) dataset, reported by </w:t>
      </w:r>
      <w:proofErr w:type="spellStart"/>
      <w:r w:rsidR="00735D2B">
        <w:t>Finkel</w:t>
      </w:r>
      <w:proofErr w:type="spellEnd"/>
      <w:r w:rsidR="00735D2B">
        <w:t xml:space="preserve"> et al</w:t>
      </w:r>
      <w:r w:rsidR="00F571EB">
        <w:t>.</w:t>
      </w:r>
      <w:r w:rsidR="00735D2B">
        <w:t xml:space="preserve"> </w:t>
      </w:r>
      <w:r w:rsidR="00F571EB">
        <w:t>(</w:t>
      </w:r>
      <w:r w:rsidR="00735D2B">
        <w:t>2014</w:t>
      </w:r>
      <w:r w:rsidR="00F571EB">
        <w:t>)</w:t>
      </w:r>
      <w:r w:rsidR="00496CF4">
        <w:t>;</w:t>
      </w:r>
      <w:r w:rsidR="00496CF4">
        <w:fldChar w:fldCharType="begin"/>
      </w:r>
      <w:r w:rsidR="00496CF4">
        <w:instrText xml:space="preserve"> NOTEREF _Ref65505633 \f \h </w:instrText>
      </w:r>
      <w:r w:rsidR="00496CF4">
        <w:fldChar w:fldCharType="separate"/>
      </w:r>
      <w:r w:rsidR="009C2F61" w:rsidRPr="009C2F61">
        <w:rPr>
          <w:rStyle w:val="FootnoteReference"/>
        </w:rPr>
        <w:t>3</w:t>
      </w:r>
      <w:r w:rsidR="00496CF4">
        <w:fldChar w:fldCharType="end"/>
      </w:r>
      <w:r w:rsidR="00F571EB">
        <w:rPr>
          <w:vertAlign w:val="superscript"/>
        </w:rPr>
        <w:t>,</w:t>
      </w:r>
      <w:r w:rsidR="00F571EB">
        <w:rPr>
          <w:rStyle w:val="FootnoteReference"/>
        </w:rPr>
        <w:footnoteReference w:id="10"/>
      </w:r>
      <w:r w:rsidR="00735D2B">
        <w:t xml:space="preserve"> and the </w:t>
      </w:r>
      <w:proofErr w:type="spellStart"/>
      <w:r w:rsidR="00735D2B">
        <w:t>NeuroNext</w:t>
      </w:r>
      <w:proofErr w:type="spellEnd"/>
      <w:r w:rsidR="00735D2B">
        <w:t xml:space="preserve"> dataset, reported by Kolb et al</w:t>
      </w:r>
      <w:r w:rsidR="00F571EB">
        <w:t>.</w:t>
      </w:r>
      <w:r w:rsidR="00735D2B">
        <w:t xml:space="preserve"> </w:t>
      </w:r>
      <w:r w:rsidR="00F571EB">
        <w:t>(</w:t>
      </w:r>
      <w:r w:rsidR="00735D2B">
        <w:t>2017</w:t>
      </w:r>
      <w:r w:rsidR="00F571EB">
        <w:t>)</w:t>
      </w:r>
      <w:r w:rsidR="00735D2B">
        <w:t>,</w:t>
      </w:r>
      <w:bookmarkStart w:id="52" w:name="_Ref65861370"/>
      <w:r w:rsidR="00F571EB">
        <w:rPr>
          <w:rStyle w:val="FootnoteReference"/>
        </w:rPr>
        <w:footnoteReference w:id="11"/>
      </w:r>
      <w:r w:rsidR="00F571EB">
        <w:rPr>
          <w:vertAlign w:val="superscript"/>
        </w:rPr>
        <w:t>,</w:t>
      </w:r>
      <w:r w:rsidR="002B1C06">
        <w:rPr>
          <w:rStyle w:val="FootnoteReference"/>
        </w:rPr>
        <w:footnoteReference w:id="12"/>
      </w:r>
      <w:bookmarkEnd w:id="52"/>
      <w:r w:rsidR="00735D2B">
        <w:t xml:space="preserve"> provided natural history control </w:t>
      </w:r>
      <w:r w:rsidR="00D31923">
        <w:t>data for efficacy comparisons.</w:t>
      </w:r>
    </w:p>
    <w:p w14:paraId="1534DBFB" w14:textId="334E41FC" w:rsidR="00735D2B" w:rsidRDefault="00735D2B" w:rsidP="00735D2B">
      <w:pPr>
        <w:pStyle w:val="Heading5"/>
      </w:pPr>
      <w:bookmarkStart w:id="53" w:name="_Ref49241290"/>
      <w:r w:rsidRPr="00AA53F4">
        <w:t xml:space="preserve">Study </w:t>
      </w:r>
      <w:bookmarkEnd w:id="53"/>
      <w:r>
        <w:t>AVXS-101-CL-101</w:t>
      </w:r>
    </w:p>
    <w:p w14:paraId="27E7F3BE" w14:textId="14EC87F3" w:rsidR="00735D2B" w:rsidRDefault="00D31923" w:rsidP="001853C7">
      <w:r>
        <w:t>Study AVXS-101-CL-101</w:t>
      </w:r>
      <w:r w:rsidR="00B6596D">
        <w:t xml:space="preserve"> was a Phase I</w:t>
      </w:r>
      <w:r w:rsidR="00496CF4">
        <w:t xml:space="preserve">, single centre, open label, single infusion, ascending </w:t>
      </w:r>
      <w:r w:rsidR="00735D2B">
        <w:t xml:space="preserve">dose study of the safety and efficacy of intravenous AVXS-101 </w:t>
      </w:r>
      <w:r w:rsidR="00496CF4">
        <w:t xml:space="preserve">in 15 patients with </w:t>
      </w:r>
      <w:r w:rsidR="005A2B53">
        <w:t>type</w:t>
      </w:r>
      <w:r w:rsidR="00496CF4">
        <w:t xml:space="preserve"> 1 SMA.</w:t>
      </w:r>
    </w:p>
    <w:p w14:paraId="087E8569" w14:textId="497B742B" w:rsidR="00735D2B" w:rsidRDefault="00735D2B" w:rsidP="001853C7">
      <w:r>
        <w:t xml:space="preserve">The primary objective was to </w:t>
      </w:r>
      <w:r w:rsidR="00496CF4">
        <w:t>assess the safety of AVXS-101.</w:t>
      </w:r>
      <w:r w:rsidR="001853C7">
        <w:t xml:space="preserve"> </w:t>
      </w:r>
      <w:r>
        <w:t>Effic</w:t>
      </w:r>
      <w:r w:rsidR="00496CF4">
        <w:t>acy objectives were secondary.</w:t>
      </w:r>
    </w:p>
    <w:p w14:paraId="78D0C843" w14:textId="77777777" w:rsidR="00735D2B" w:rsidRDefault="00735D2B" w:rsidP="00735D2B">
      <w:r>
        <w:t>Key inclusion criteria included:</w:t>
      </w:r>
    </w:p>
    <w:p w14:paraId="7C9F983D" w14:textId="1525BECC" w:rsidR="00735D2B" w:rsidRDefault="00BB12D3" w:rsidP="00496CF4">
      <w:pPr>
        <w:pStyle w:val="ListBullet"/>
      </w:pPr>
      <w:r>
        <w:t>t</w:t>
      </w:r>
      <w:r w:rsidR="00735D2B">
        <w:t xml:space="preserve">ype 1 SMA with bi-allelic </w:t>
      </w:r>
      <w:r w:rsidR="00735D2B" w:rsidRPr="00DA0EB9">
        <w:rPr>
          <w:i/>
        </w:rPr>
        <w:t>SMN1</w:t>
      </w:r>
      <w:r w:rsidR="00735D2B">
        <w:t xml:space="preserve"> mutations (deletion or point mutation) and 2 copies of </w:t>
      </w:r>
      <w:r w:rsidR="00735D2B" w:rsidRPr="00DA0EB9">
        <w:rPr>
          <w:i/>
        </w:rPr>
        <w:t>SMN2</w:t>
      </w:r>
      <w:r>
        <w:t>; and</w:t>
      </w:r>
    </w:p>
    <w:p w14:paraId="11A05D91" w14:textId="1D64DE68" w:rsidR="00735D2B" w:rsidRDefault="00BB12D3" w:rsidP="00496CF4">
      <w:pPr>
        <w:pStyle w:val="ListBullet"/>
      </w:pPr>
      <w:r>
        <w:t>a</w:t>
      </w:r>
      <w:r w:rsidR="00735D2B">
        <w:t>ge ≤</w:t>
      </w:r>
      <w:r w:rsidR="00496CF4">
        <w:t xml:space="preserve"> </w:t>
      </w:r>
      <w:r w:rsidR="00735D2B">
        <w:t>6 months with clinical evidence of disease onset up to 6 months of age (an</w:t>
      </w:r>
      <w:r>
        <w:t> </w:t>
      </w:r>
      <w:r w:rsidR="00735D2B">
        <w:t>earlier version of the study protocol allowed patients aged ≤</w:t>
      </w:r>
      <w:r w:rsidR="00496CF4">
        <w:t xml:space="preserve"> </w:t>
      </w:r>
      <w:r w:rsidR="00735D2B">
        <w:t>9 months).</w:t>
      </w:r>
    </w:p>
    <w:p w14:paraId="50322B76" w14:textId="77777777" w:rsidR="00735D2B" w:rsidRDefault="00735D2B" w:rsidP="00735D2B">
      <w:r>
        <w:t>Key exclusion criteria included:</w:t>
      </w:r>
    </w:p>
    <w:p w14:paraId="2FBA3904" w14:textId="29BBD1A1" w:rsidR="00735D2B" w:rsidRPr="009A31C8" w:rsidRDefault="00BB12D3" w:rsidP="00496CF4">
      <w:pPr>
        <w:pStyle w:val="ListBullet"/>
      </w:pPr>
      <w:r>
        <w:t>i</w:t>
      </w:r>
      <w:r w:rsidR="00735D2B">
        <w:t xml:space="preserve">nvasive </w:t>
      </w:r>
      <w:proofErr w:type="spellStart"/>
      <w:r w:rsidR="00735D2B">
        <w:t>ventilatory</w:t>
      </w:r>
      <w:proofErr w:type="spellEnd"/>
      <w:r w:rsidR="00735D2B">
        <w:t xml:space="preserve"> support (tracheotomy with positive pressure) or pulse oximetry &lt;</w:t>
      </w:r>
      <w:r w:rsidR="00496CF4">
        <w:t> </w:t>
      </w:r>
      <w:r w:rsidR="00735D2B">
        <w:t xml:space="preserve">95% at screening </w:t>
      </w:r>
      <w:r w:rsidR="00735D2B" w:rsidRPr="009A31C8">
        <w:t xml:space="preserve">(non-invasive </w:t>
      </w:r>
      <w:proofErr w:type="spellStart"/>
      <w:r w:rsidR="00735D2B" w:rsidRPr="009A31C8">
        <w:t>ventilator</w:t>
      </w:r>
      <w:r w:rsidR="00735D2B">
        <w:t>y</w:t>
      </w:r>
      <w:proofErr w:type="spellEnd"/>
      <w:r w:rsidR="00735D2B" w:rsidRPr="009A31C8">
        <w:t xml:space="preserve"> support for &lt;</w:t>
      </w:r>
      <w:r w:rsidR="00496CF4">
        <w:t xml:space="preserve"> </w:t>
      </w:r>
      <w:r w:rsidR="00735D2B" w:rsidRPr="009A31C8">
        <w:t xml:space="preserve">16 hours/day </w:t>
      </w:r>
      <w:r w:rsidR="00735D2B">
        <w:t xml:space="preserve">was permitted </w:t>
      </w:r>
      <w:r w:rsidR="00735D2B" w:rsidRPr="009A31C8">
        <w:t>at the discretion of the</w:t>
      </w:r>
      <w:r w:rsidR="00735D2B">
        <w:t xml:space="preserve"> treating</w:t>
      </w:r>
      <w:r w:rsidR="00735D2B" w:rsidRPr="009A31C8">
        <w:t xml:space="preserve"> physician</w:t>
      </w:r>
      <w:r w:rsidR="00735D2B">
        <w:t>)</w:t>
      </w:r>
      <w:r>
        <w:t>;</w:t>
      </w:r>
    </w:p>
    <w:p w14:paraId="162A1E8E" w14:textId="2F13C875" w:rsidR="00735D2B" w:rsidRDefault="00BB12D3" w:rsidP="00496CF4">
      <w:pPr>
        <w:pStyle w:val="ListBullet"/>
      </w:pPr>
      <w:r>
        <w:t>a</w:t>
      </w:r>
      <w:r w:rsidR="00735D2B">
        <w:t>nti-AAV9 antibody titre &gt;</w:t>
      </w:r>
      <w:r w:rsidR="00496CF4">
        <w:t xml:space="preserve"> 1:50</w:t>
      </w:r>
      <w:r>
        <w:t>;</w:t>
      </w:r>
    </w:p>
    <w:p w14:paraId="68E2E7BA" w14:textId="05FBB9B4" w:rsidR="00735D2B" w:rsidRDefault="00BB12D3" w:rsidP="00496CF4">
      <w:pPr>
        <w:pStyle w:val="ListBullet"/>
      </w:pPr>
      <w:r>
        <w:t>a</w:t>
      </w:r>
      <w:r w:rsidR="00735D2B">
        <w:t xml:space="preserve">bnormal laboratory values considered to be clinically significant </w:t>
      </w:r>
      <w:r w:rsidR="00735D2B" w:rsidRPr="009B4C80">
        <w:t xml:space="preserve">(gamma-glutamyl transferase </w:t>
      </w:r>
      <w:r w:rsidR="00556097">
        <w:t xml:space="preserve">(GGT) </w:t>
      </w:r>
      <w:r w:rsidR="00735D2B" w:rsidRPr="009B4C80">
        <w:t>&gt;</w:t>
      </w:r>
      <w:r w:rsidR="00496CF4">
        <w:t xml:space="preserve"> 3 x</w:t>
      </w:r>
      <w:r w:rsidR="00735D2B" w:rsidRPr="009B4C80">
        <w:t xml:space="preserve"> </w:t>
      </w:r>
      <w:r w:rsidR="00496CF4">
        <w:t>the upper limit of normal</w:t>
      </w:r>
      <w:r w:rsidR="00556097">
        <w:t xml:space="preserve"> (ULN)</w:t>
      </w:r>
      <w:r w:rsidR="00735D2B" w:rsidRPr="009B4C80">
        <w:t>, bilirubin ≥</w:t>
      </w:r>
      <w:r w:rsidR="00496CF4">
        <w:t xml:space="preserve"> </w:t>
      </w:r>
      <w:r w:rsidR="00735D2B" w:rsidRPr="009B4C80">
        <w:t>3.0 mg/</w:t>
      </w:r>
      <w:proofErr w:type="spellStart"/>
      <w:r w:rsidR="00735D2B" w:rsidRPr="009B4C80">
        <w:t>dL</w:t>
      </w:r>
      <w:proofErr w:type="spellEnd"/>
      <w:r w:rsidR="00735D2B" w:rsidRPr="009B4C80">
        <w:t>, creatinine ≥</w:t>
      </w:r>
      <w:r w:rsidR="00496CF4">
        <w:t xml:space="preserve"> </w:t>
      </w:r>
      <w:r w:rsidR="00735D2B" w:rsidRPr="009B4C80">
        <w:t>1.8 mg/</w:t>
      </w:r>
      <w:proofErr w:type="spellStart"/>
      <w:r w:rsidR="00735D2B" w:rsidRPr="009B4C80">
        <w:t>dL</w:t>
      </w:r>
      <w:proofErr w:type="spellEnd"/>
      <w:r w:rsidR="00735D2B" w:rsidRPr="009B4C80">
        <w:t>, h</w:t>
      </w:r>
      <w:r w:rsidR="00735D2B">
        <w:t>a</w:t>
      </w:r>
      <w:r w:rsidR="00735D2B" w:rsidRPr="009B4C80">
        <w:t>emoglobin &lt;</w:t>
      </w:r>
      <w:r w:rsidR="00496CF4">
        <w:t xml:space="preserve"> </w:t>
      </w:r>
      <w:r w:rsidR="00735D2B" w:rsidRPr="009B4C80">
        <w:t>8 or &gt;</w:t>
      </w:r>
      <w:r w:rsidR="00496CF4">
        <w:t xml:space="preserve"> </w:t>
      </w:r>
      <w:r w:rsidR="00735D2B" w:rsidRPr="009B4C80">
        <w:t>18 g/</w:t>
      </w:r>
      <w:proofErr w:type="spellStart"/>
      <w:r w:rsidR="00735D2B" w:rsidRPr="009B4C80">
        <w:t>dL</w:t>
      </w:r>
      <w:proofErr w:type="spellEnd"/>
      <w:r w:rsidR="00735D2B" w:rsidRPr="009B4C80">
        <w:t>, white blood cell count &gt;</w:t>
      </w:r>
      <w:r w:rsidR="00B6596D">
        <w:t> 20,000 </w:t>
      </w:r>
      <w:r w:rsidR="00735D2B" w:rsidRPr="009B4C80">
        <w:t>per mm</w:t>
      </w:r>
      <w:r w:rsidR="00735D2B" w:rsidRPr="006569A2">
        <w:rPr>
          <w:vertAlign w:val="superscript"/>
        </w:rPr>
        <w:t>3</w:t>
      </w:r>
      <w:r w:rsidR="00735D2B" w:rsidRPr="009B4C80">
        <w:t>)</w:t>
      </w:r>
      <w:r>
        <w:t>; and</w:t>
      </w:r>
    </w:p>
    <w:p w14:paraId="63E0C8F9" w14:textId="3FC0289F" w:rsidR="00735D2B" w:rsidRDefault="00735D2B" w:rsidP="00496CF4">
      <w:pPr>
        <w:pStyle w:val="ListBullet"/>
      </w:pPr>
      <w:r>
        <w:t>c.859G</w:t>
      </w:r>
      <w:r w:rsidR="00496CF4">
        <w:t xml:space="preserve"> </w:t>
      </w:r>
      <w:r>
        <w:t>&gt;</w:t>
      </w:r>
      <w:r w:rsidR="00496CF4">
        <w:t xml:space="preserve"> </w:t>
      </w:r>
      <w:r w:rsidR="00B6596D">
        <w:t>C</w:t>
      </w:r>
      <w:r>
        <w:t xml:space="preserve"> modification in exon 7 (associated with a more favourable prognosis).</w:t>
      </w:r>
    </w:p>
    <w:p w14:paraId="418AE2B5" w14:textId="402CAAFB" w:rsidR="00735D2B" w:rsidRDefault="00735D2B" w:rsidP="00735D2B">
      <w:pPr>
        <w:rPr>
          <w:lang w:eastAsia="ja-JP"/>
        </w:rPr>
      </w:pPr>
      <w:r>
        <w:t>Treatment involved</w:t>
      </w:r>
      <w:r w:rsidRPr="00824002">
        <w:t xml:space="preserve"> </w:t>
      </w:r>
      <w:r>
        <w:t>a s</w:t>
      </w:r>
      <w:r w:rsidR="00496CF4">
        <w:t xml:space="preserve">ingle IV infusion of AVXS-101. </w:t>
      </w:r>
      <w:r>
        <w:t xml:space="preserve">The study had an ascending dose design: 3 patients received the </w:t>
      </w:r>
      <w:r w:rsidR="00496CF4">
        <w:rPr>
          <w:lang w:eastAsia="ja-JP"/>
        </w:rPr>
        <w:t>‘low’</w:t>
      </w:r>
      <w:r>
        <w:rPr>
          <w:lang w:eastAsia="ja-JP"/>
        </w:rPr>
        <w:t xml:space="preserve"> dose (6.7 x 10</w:t>
      </w:r>
      <w:r>
        <w:rPr>
          <w:vertAlign w:val="superscript"/>
          <w:lang w:eastAsia="ja-JP"/>
        </w:rPr>
        <w:t>13</w:t>
      </w:r>
      <w:r>
        <w:rPr>
          <w:lang w:eastAsia="ja-JP"/>
        </w:rPr>
        <w:t xml:space="preserve"> vg/kg</w:t>
      </w:r>
      <w:r w:rsidR="00E94CBF">
        <w:rPr>
          <w:lang w:eastAsia="ja-JP"/>
        </w:rPr>
        <w:t>; known as Cohort 1</w:t>
      </w:r>
      <w:r w:rsidR="00B6596D">
        <w:rPr>
          <w:lang w:eastAsia="ja-JP"/>
        </w:rPr>
        <w:t>) and 12 </w:t>
      </w:r>
      <w:r w:rsidR="00496CF4">
        <w:rPr>
          <w:lang w:eastAsia="ja-JP"/>
        </w:rPr>
        <w:t>patients received the ‘intermediate’</w:t>
      </w:r>
      <w:r>
        <w:rPr>
          <w:lang w:eastAsia="ja-JP"/>
        </w:rPr>
        <w:t xml:space="preserve"> dose (2.0 x 10</w:t>
      </w:r>
      <w:r>
        <w:rPr>
          <w:vertAlign w:val="superscript"/>
          <w:lang w:eastAsia="ja-JP"/>
        </w:rPr>
        <w:t>14</w:t>
      </w:r>
      <w:r w:rsidR="00496CF4">
        <w:rPr>
          <w:lang w:eastAsia="ja-JP"/>
        </w:rPr>
        <w:t xml:space="preserve"> vg/kg</w:t>
      </w:r>
      <w:r w:rsidR="00E94CBF">
        <w:rPr>
          <w:lang w:eastAsia="ja-JP"/>
        </w:rPr>
        <w:t>; known as Cohort 2</w:t>
      </w:r>
      <w:r w:rsidR="00496CF4">
        <w:rPr>
          <w:lang w:eastAsia="ja-JP"/>
        </w:rPr>
        <w:t>). Progression to the ‘high’</w:t>
      </w:r>
      <w:r>
        <w:rPr>
          <w:lang w:eastAsia="ja-JP"/>
        </w:rPr>
        <w:t xml:space="preserve"> dose (3.3 x 10</w:t>
      </w:r>
      <w:r>
        <w:rPr>
          <w:vertAlign w:val="superscript"/>
          <w:lang w:eastAsia="ja-JP"/>
        </w:rPr>
        <w:t>14</w:t>
      </w:r>
      <w:r>
        <w:rPr>
          <w:lang w:eastAsia="ja-JP"/>
        </w:rPr>
        <w:t xml:space="preserve"> vg/kg) did not proceed based on the efficacy achieved with the intermediate dose and concern regarding potential safe</w:t>
      </w:r>
      <w:r w:rsidR="00496CF4">
        <w:rPr>
          <w:lang w:eastAsia="ja-JP"/>
        </w:rPr>
        <w:t xml:space="preserve">ty risks with the higher dose. </w:t>
      </w:r>
      <w:r>
        <w:t>Following refinement of the assay for estimating the numbe</w:t>
      </w:r>
      <w:r w:rsidR="00496CF4">
        <w:t>r of vector genome copies, the ‘intermediate’</w:t>
      </w:r>
      <w:r>
        <w:t xml:space="preserve"> dose used in this study was reassessed as </w:t>
      </w:r>
      <w:r w:rsidR="00B6596D">
        <w:rPr>
          <w:lang w:eastAsia="ja-JP"/>
        </w:rPr>
        <w:t>1.1 x </w:t>
      </w:r>
      <w:r>
        <w:rPr>
          <w:lang w:eastAsia="ja-JP"/>
        </w:rPr>
        <w:t>10</w:t>
      </w:r>
      <w:r>
        <w:rPr>
          <w:vertAlign w:val="superscript"/>
          <w:lang w:eastAsia="ja-JP"/>
        </w:rPr>
        <w:t>14</w:t>
      </w:r>
      <w:r w:rsidR="00B6596D">
        <w:rPr>
          <w:lang w:eastAsia="ja-JP"/>
        </w:rPr>
        <w:t> </w:t>
      </w:r>
      <w:r>
        <w:t>vg/kg, which is the d</w:t>
      </w:r>
      <w:r w:rsidR="00496CF4">
        <w:t>ose proposed for registration.</w:t>
      </w:r>
    </w:p>
    <w:p w14:paraId="082802F6" w14:textId="36B75761" w:rsidR="00735D2B" w:rsidRDefault="00735D2B" w:rsidP="00735D2B">
      <w:r>
        <w:rPr>
          <w:lang w:eastAsia="ja-JP"/>
        </w:rPr>
        <w:t>In response to abnormal liver function tests in the first patient treated, a protocol amendment resulted in all subsequent p</w:t>
      </w:r>
      <w:r w:rsidR="00496CF4">
        <w:rPr>
          <w:lang w:eastAsia="ja-JP"/>
        </w:rPr>
        <w:t xml:space="preserve">atients receiving prednisolone </w:t>
      </w:r>
      <w:r w:rsidR="00B6596D">
        <w:rPr>
          <w:lang w:eastAsia="ja-JP"/>
        </w:rPr>
        <w:t xml:space="preserve">at </w:t>
      </w:r>
      <w:r w:rsidR="00496CF4">
        <w:rPr>
          <w:lang w:eastAsia="ja-JP"/>
        </w:rPr>
        <w:t xml:space="preserve">approximately </w:t>
      </w:r>
      <w:r w:rsidR="00B6596D">
        <w:rPr>
          <w:lang w:eastAsia="ja-JP"/>
        </w:rPr>
        <w:t>1 </w:t>
      </w:r>
      <w:r>
        <w:rPr>
          <w:lang w:eastAsia="ja-JP"/>
        </w:rPr>
        <w:t>mg/kg/day starting 24 hours prior to infusion to dampen the immune response to the viral vector therapy.</w:t>
      </w:r>
    </w:p>
    <w:p w14:paraId="02065C9B" w14:textId="5046F751" w:rsidR="00735D2B" w:rsidRDefault="00735D2B" w:rsidP="00735D2B">
      <w:pPr>
        <w:rPr>
          <w:rFonts w:asciiTheme="minorHAnsi" w:hAnsiTheme="minorHAnsi"/>
        </w:rPr>
      </w:pPr>
      <w:r w:rsidRPr="00273FB6">
        <w:rPr>
          <w:rFonts w:asciiTheme="minorHAnsi" w:hAnsiTheme="minorHAnsi"/>
        </w:rPr>
        <w:t xml:space="preserve">All 15 enrolled patients received treatment with AVXS-101, 3 at the lower dose and 12 at the intermediate dose (the proposed dose), and all 15 completed the study (final review </w:t>
      </w:r>
      <w:r>
        <w:rPr>
          <w:rFonts w:asciiTheme="minorHAnsi" w:hAnsiTheme="minorHAnsi"/>
        </w:rPr>
        <w:t>was</w:t>
      </w:r>
      <w:r w:rsidRPr="00273FB6">
        <w:rPr>
          <w:rFonts w:asciiTheme="minorHAnsi" w:hAnsiTheme="minorHAnsi"/>
        </w:rPr>
        <w:t xml:space="preserve"> 24 months post-treatment)</w:t>
      </w:r>
      <w:r w:rsidR="00496CF4">
        <w:rPr>
          <w:rFonts w:asciiTheme="minorHAnsi" w:hAnsiTheme="minorHAnsi"/>
        </w:rPr>
        <w:t>.</w:t>
      </w:r>
    </w:p>
    <w:p w14:paraId="491B537D" w14:textId="0DF15669" w:rsidR="00735D2B" w:rsidRPr="00BF404E" w:rsidRDefault="00735D2B" w:rsidP="00735D2B">
      <w:pPr>
        <w:autoSpaceDE w:val="0"/>
        <w:autoSpaceDN w:val="0"/>
        <w:adjustRightInd w:val="0"/>
        <w:spacing w:before="0" w:after="0" w:line="240" w:lineRule="auto"/>
        <w:rPr>
          <w:rFonts w:ascii="Times New Roman" w:eastAsiaTheme="minorHAnsi" w:hAnsi="Times New Roman"/>
          <w:sz w:val="24"/>
          <w:szCs w:val="24"/>
        </w:rPr>
      </w:pPr>
      <w:r w:rsidRPr="00BF404E">
        <w:t xml:space="preserve">All patients had bi-allelic deletions of </w:t>
      </w:r>
      <w:r w:rsidRPr="00DA0EB9">
        <w:rPr>
          <w:i/>
        </w:rPr>
        <w:t>SMN1</w:t>
      </w:r>
      <w:r w:rsidRPr="00BF404E">
        <w:t xml:space="preserve"> and 2 copies of </w:t>
      </w:r>
      <w:r w:rsidRPr="00DA0EB9">
        <w:rPr>
          <w:i/>
        </w:rPr>
        <w:t>SMN2</w:t>
      </w:r>
      <w:r w:rsidRPr="00BF404E">
        <w:t xml:space="preserve">, and none </w:t>
      </w:r>
      <w:r>
        <w:t>had the c.859G</w:t>
      </w:r>
      <w:r w:rsidR="00496CF4">
        <w:t xml:space="preserve"> </w:t>
      </w:r>
      <w:r>
        <w:t>&gt;</w:t>
      </w:r>
      <w:r w:rsidR="00496CF4">
        <w:t xml:space="preserve"> </w:t>
      </w:r>
      <w:r>
        <w:t>C mutation.</w:t>
      </w:r>
      <w:r w:rsidR="00496CF4">
        <w:t xml:space="preserve"> </w:t>
      </w:r>
      <w:r w:rsidRPr="00BF404E">
        <w:t>All patients had sym</w:t>
      </w:r>
      <w:r w:rsidR="00496CF4">
        <w:t xml:space="preserve">ptom onset by 3 months of age. </w:t>
      </w:r>
      <w:r w:rsidRPr="00BF404E">
        <w:t>The mean age of the patients on the day of AVXS-101 administration was greater in Cohort 1 (6.3 months, range 5.9 to 7.2 months) than Cohort 2 (3.4 months,</w:t>
      </w:r>
      <w:r>
        <w:rPr>
          <w:rFonts w:asciiTheme="minorHAnsi" w:eastAsiaTheme="minorHAnsi" w:hAnsiTheme="minorHAnsi"/>
        </w:rPr>
        <w:t xml:space="preserve"> </w:t>
      </w:r>
      <w:r w:rsidRPr="00273FB6">
        <w:rPr>
          <w:rFonts w:asciiTheme="minorHAnsi" w:eastAsiaTheme="minorHAnsi" w:hAnsiTheme="minorHAnsi"/>
        </w:rPr>
        <w:t>range 0.9 to 7.9 months).</w:t>
      </w:r>
    </w:p>
    <w:p w14:paraId="385ED08F" w14:textId="0DA0DAC4" w:rsidR="00735D2B" w:rsidRDefault="00735D2B" w:rsidP="00735D2B">
      <w:r>
        <w:rPr>
          <w:rFonts w:asciiTheme="minorHAnsi" w:hAnsiTheme="minorHAnsi"/>
        </w:rPr>
        <w:t>Demographic and baseline characteristics of</w:t>
      </w:r>
      <w:r w:rsidRPr="00273FB6">
        <w:rPr>
          <w:rFonts w:asciiTheme="minorHAnsi" w:hAnsiTheme="minorHAnsi"/>
        </w:rPr>
        <w:t xml:space="preserve"> su</w:t>
      </w:r>
      <w:r>
        <w:rPr>
          <w:rFonts w:asciiTheme="minorHAnsi" w:hAnsiTheme="minorHAnsi"/>
        </w:rPr>
        <w:t xml:space="preserve">bjects and historical controls are shown in </w:t>
      </w:r>
      <w:r w:rsidRPr="00273FB6">
        <w:rPr>
          <w:rFonts w:asciiTheme="minorHAnsi" w:hAnsiTheme="minorHAnsi"/>
        </w:rPr>
        <w:fldChar w:fldCharType="begin"/>
      </w:r>
      <w:r w:rsidRPr="00273FB6">
        <w:rPr>
          <w:rFonts w:asciiTheme="minorHAnsi" w:hAnsiTheme="minorHAnsi"/>
        </w:rPr>
        <w:instrText xml:space="preserve"> REF _Ref49775584 \h  \* MERGEFORMAT </w:instrText>
      </w:r>
      <w:r w:rsidRPr="00273FB6">
        <w:rPr>
          <w:rFonts w:asciiTheme="minorHAnsi" w:hAnsiTheme="minorHAnsi"/>
        </w:rPr>
      </w:r>
      <w:r w:rsidRPr="00273FB6">
        <w:rPr>
          <w:rFonts w:asciiTheme="minorHAnsi" w:hAnsiTheme="minorHAnsi"/>
        </w:rPr>
        <w:fldChar w:fldCharType="separate"/>
      </w:r>
      <w:r w:rsidR="009C2F61" w:rsidRPr="009C2F61">
        <w:rPr>
          <w:rFonts w:asciiTheme="minorHAnsi" w:hAnsiTheme="minorHAnsi"/>
        </w:rPr>
        <w:t xml:space="preserve">Table </w:t>
      </w:r>
      <w:r w:rsidR="009C2F61" w:rsidRPr="009C2F61">
        <w:rPr>
          <w:rFonts w:asciiTheme="minorHAnsi" w:hAnsiTheme="minorHAnsi"/>
          <w:noProof/>
        </w:rPr>
        <w:t>6</w:t>
      </w:r>
      <w:r w:rsidRPr="00273FB6">
        <w:rPr>
          <w:rFonts w:asciiTheme="minorHAnsi" w:hAnsiTheme="minorHAnsi"/>
        </w:rPr>
        <w:fldChar w:fldCharType="end"/>
      </w:r>
      <w:r w:rsidR="00B6596D">
        <w:rPr>
          <w:rFonts w:asciiTheme="minorHAnsi" w:hAnsiTheme="minorHAnsi"/>
        </w:rPr>
        <w:t>.</w:t>
      </w:r>
      <w:r>
        <w:rPr>
          <w:rFonts w:asciiTheme="minorHAnsi" w:hAnsiTheme="minorHAnsi"/>
        </w:rPr>
        <w:t xml:space="preserve"> T</w:t>
      </w:r>
      <w:r w:rsidRPr="00273FB6">
        <w:rPr>
          <w:rFonts w:asciiTheme="minorHAnsi" w:hAnsiTheme="minorHAnsi"/>
        </w:rPr>
        <w:t>h</w:t>
      </w:r>
      <w:r>
        <w:t xml:space="preserve">e earlier age of clinical onset in subjects in </w:t>
      </w:r>
      <w:r w:rsidR="00D31923">
        <w:t>Study AVXS-101-CL-101</w:t>
      </w:r>
      <w:r>
        <w:t xml:space="preserve"> compared to the PNCR control group would potentially bias against the treatment.</w:t>
      </w:r>
    </w:p>
    <w:p w14:paraId="2873C8E1" w14:textId="6F40838C" w:rsidR="00735D2B" w:rsidRDefault="00735D2B" w:rsidP="00735D2B">
      <w:r>
        <w:t>The primary efficacy endpoint was survival without permanent ventilation (defined as ≥</w:t>
      </w:r>
      <w:r w:rsidR="001E55B4">
        <w:t xml:space="preserve"> 16 </w:t>
      </w:r>
      <w:r>
        <w:t>hour respiratory assistance per day continuously for ≥</w:t>
      </w:r>
      <w:r w:rsidR="001E55B4">
        <w:t xml:space="preserve"> </w:t>
      </w:r>
      <w:r>
        <w:t>2 weeks in the absence of an acute reversible illness, excludi</w:t>
      </w:r>
      <w:r w:rsidR="001E55B4">
        <w:t xml:space="preserve">ng perioperative ventilation). </w:t>
      </w:r>
      <w:r>
        <w:t xml:space="preserve">Analyses were performed at </w:t>
      </w:r>
      <w:r w:rsidRPr="004B0BF0">
        <w:t>13.6 months</w:t>
      </w:r>
      <w:r>
        <w:t xml:space="preserve"> of age</w:t>
      </w:r>
      <w:r w:rsidRPr="004B0BF0">
        <w:t xml:space="preserve">, 20 months </w:t>
      </w:r>
      <w:r>
        <w:t xml:space="preserve">of age, </w:t>
      </w:r>
      <w:r w:rsidRPr="004B0BF0">
        <w:t xml:space="preserve">and </w:t>
      </w:r>
      <w:r>
        <w:t xml:space="preserve">at </w:t>
      </w:r>
      <w:r w:rsidRPr="004B0BF0">
        <w:t>24 months</w:t>
      </w:r>
      <w:r>
        <w:t xml:space="preserve"> post-treatment</w:t>
      </w:r>
      <w:r w:rsidRPr="00D94455">
        <w:t xml:space="preserve"> </w:t>
      </w:r>
      <w:r w:rsidR="001E55B4">
        <w:t xml:space="preserve">(end of </w:t>
      </w:r>
      <w:r>
        <w:t xml:space="preserve">study), and the outcomes </w:t>
      </w:r>
      <w:r w:rsidRPr="004B0BF0">
        <w:t>were compared against historical controls</w:t>
      </w:r>
      <w:r>
        <w:t xml:space="preserve"> from </w:t>
      </w:r>
      <w:r w:rsidRPr="004B0BF0">
        <w:t>the PNCR</w:t>
      </w:r>
      <w:r w:rsidR="00B63FF5">
        <w:t>;</w:t>
      </w:r>
      <w:r w:rsidR="00B63FF5">
        <w:fldChar w:fldCharType="begin"/>
      </w:r>
      <w:r w:rsidR="00B63FF5">
        <w:instrText xml:space="preserve"> NOTEREF _Ref65505633 \f \h </w:instrText>
      </w:r>
      <w:r w:rsidR="00B63FF5">
        <w:fldChar w:fldCharType="separate"/>
      </w:r>
      <w:r w:rsidR="009C2F61" w:rsidRPr="009C2F61">
        <w:rPr>
          <w:rStyle w:val="FootnoteReference"/>
        </w:rPr>
        <w:t>3</w:t>
      </w:r>
      <w:r w:rsidR="00B63FF5">
        <w:fldChar w:fldCharType="end"/>
      </w:r>
      <w:r w:rsidRPr="004B0BF0">
        <w:t xml:space="preserve"> </w:t>
      </w:r>
      <w:r>
        <w:t xml:space="preserve">and </w:t>
      </w:r>
      <w:proofErr w:type="spellStart"/>
      <w:r>
        <w:t>NeuroNext</w:t>
      </w:r>
      <w:proofErr w:type="spellEnd"/>
      <w:r>
        <w:t xml:space="preserve"> datasets.</w:t>
      </w:r>
      <w:r w:rsidR="00B63FF5">
        <w:fldChar w:fldCharType="begin"/>
      </w:r>
      <w:r w:rsidR="00B63FF5">
        <w:instrText xml:space="preserve"> NOTEREF _Ref65505644 \f \h </w:instrText>
      </w:r>
      <w:r w:rsidR="00B63FF5">
        <w:fldChar w:fldCharType="separate"/>
      </w:r>
      <w:r w:rsidR="009C2F61" w:rsidRPr="009C2F61">
        <w:rPr>
          <w:rStyle w:val="FootnoteReference"/>
        </w:rPr>
        <w:t>2</w:t>
      </w:r>
      <w:r w:rsidR="00B63FF5">
        <w:fldChar w:fldCharType="end"/>
      </w:r>
      <w:r w:rsidR="00B63FF5">
        <w:t xml:space="preserve"> </w:t>
      </w:r>
      <w:r>
        <w:t>Data cut-off dates for the efficacy analyses at</w:t>
      </w:r>
      <w:r w:rsidR="001E55B4">
        <w:t xml:space="preserve"> 13.6 months, 20 months and end of </w:t>
      </w:r>
      <w:r>
        <w:t>study were 20 January 2017, 7 August 2017 and 1</w:t>
      </w:r>
      <w:r w:rsidR="001E55B4">
        <w:t>4 December 2017, respectively.</w:t>
      </w:r>
    </w:p>
    <w:p w14:paraId="7CEE2BC9" w14:textId="1D8F8F5A" w:rsidR="00735D2B" w:rsidRDefault="00735D2B" w:rsidP="00735D2B">
      <w:r>
        <w:t>Secondary</w:t>
      </w:r>
      <w:r w:rsidRPr="004B0BF0">
        <w:t xml:space="preserve"> efficacy endpoints </w:t>
      </w:r>
      <w:r>
        <w:t>included t</w:t>
      </w:r>
      <w:r w:rsidR="00B63FF5">
        <w:t xml:space="preserve">he change from baseline in CHOP </w:t>
      </w:r>
      <w:r>
        <w:t>INTEND score,</w:t>
      </w:r>
      <w:r w:rsidR="00556097">
        <w:rPr>
          <w:rStyle w:val="FootnoteReference"/>
        </w:rPr>
        <w:footnoteReference w:id="13"/>
      </w:r>
      <w:r>
        <w:t xml:space="preserve"> and</w:t>
      </w:r>
      <w:r w:rsidRPr="004B0BF0">
        <w:t xml:space="preserve"> </w:t>
      </w:r>
      <w:r>
        <w:t xml:space="preserve">the </w:t>
      </w:r>
      <w:r w:rsidRPr="004B0BF0">
        <w:t xml:space="preserve">achievement of major motor milestones, </w:t>
      </w:r>
      <w:r>
        <w:t xml:space="preserve">including the ability to sit alone and roll </w:t>
      </w:r>
      <w:r w:rsidR="001E55B4">
        <w:rPr>
          <w:rFonts w:asciiTheme="minorHAnsi" w:hAnsiTheme="minorHAnsi"/>
        </w:rPr>
        <w:t>over unassisted.</w:t>
      </w:r>
    </w:p>
    <w:p w14:paraId="5812CC3B" w14:textId="0E00BD20" w:rsidR="00735D2B" w:rsidRDefault="00735D2B" w:rsidP="00496CF4">
      <w:pPr>
        <w:pStyle w:val="TableTitle"/>
      </w:pPr>
      <w:bookmarkStart w:id="54" w:name="_Ref49775584"/>
      <w:r>
        <w:t xml:space="preserve">Table </w:t>
      </w:r>
      <w:fldSimple w:instr=" SEQ Table \* ARABIC ">
        <w:r w:rsidR="009C2F61">
          <w:rPr>
            <w:noProof/>
          </w:rPr>
          <w:t>6</w:t>
        </w:r>
      </w:fldSimple>
      <w:bookmarkEnd w:id="54"/>
      <w:r w:rsidR="00496CF4">
        <w:t xml:space="preserve">: </w:t>
      </w:r>
      <w:r w:rsidR="00BB12D3">
        <w:t xml:space="preserve">Study AVXS-101-CL-101 (Cohort 2) </w:t>
      </w:r>
      <w:r w:rsidRPr="000D758E">
        <w:t xml:space="preserve">Demographic and </w:t>
      </w:r>
      <w:r w:rsidR="00496CF4" w:rsidRPr="000D758E">
        <w:t>baseline characteristics</w:t>
      </w:r>
      <w:r>
        <w:t xml:space="preserve"> and </w:t>
      </w:r>
      <w:r w:rsidR="00496CF4">
        <w:t>historical comparators</w:t>
      </w:r>
    </w:p>
    <w:p w14:paraId="69F815EC" w14:textId="1BFA3263" w:rsidR="00735D2B" w:rsidRDefault="00735D2B" w:rsidP="00496CF4">
      <w:r>
        <w:rPr>
          <w:noProof/>
          <w:lang w:eastAsia="en-AU"/>
        </w:rPr>
        <w:drawing>
          <wp:inline distT="0" distB="0" distL="0" distR="0" wp14:anchorId="20653384" wp14:editId="2599DC31">
            <wp:extent cx="5400040" cy="4437096"/>
            <wp:effectExtent l="0" t="0" r="0" b="1905"/>
            <wp:docPr id="15" name="Picture 15" descr="The table shows the demographic and baseline characteristics (including sex, age at enrollment, race, ethinocity and age of onset of SMA, did not require support of nutrition, ventilation, and CHOP INTEND score) in Study 101, PNCR control and NeuroNex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437096"/>
                    </a:xfrm>
                    <a:prstGeom prst="rect">
                      <a:avLst/>
                    </a:prstGeom>
                    <a:noFill/>
                    <a:ln>
                      <a:noFill/>
                    </a:ln>
                  </pic:spPr>
                </pic:pic>
              </a:graphicData>
            </a:graphic>
          </wp:inline>
        </w:drawing>
      </w:r>
    </w:p>
    <w:p w14:paraId="644A3002" w14:textId="264220DA" w:rsidR="00735D2B" w:rsidRDefault="00735D2B" w:rsidP="00496CF4">
      <w:r>
        <w:t>The primary efficacy endpoint was strongly positive re</w:t>
      </w:r>
      <w:r w:rsidR="00496CF4">
        <w:t xml:space="preserve">lative to historical controls. </w:t>
      </w:r>
      <w:r>
        <w:t>At 13.6</w:t>
      </w:r>
      <w:r w:rsidR="00BB12D3">
        <w:t> </w:t>
      </w:r>
      <w:r>
        <w:t xml:space="preserve">months of age, all 15 patients (100%) in </w:t>
      </w:r>
      <w:r w:rsidR="00D31923">
        <w:t>Study AVXS-101-CL-101</w:t>
      </w:r>
      <w:r>
        <w:t xml:space="preserve"> survived without permanent ventilation, which compares favourably to 25% event-free survival for historical co</w:t>
      </w:r>
      <w:r w:rsidR="00496CF4">
        <w:t xml:space="preserve">ntrols from the PNCR dataset. </w:t>
      </w:r>
      <w:r>
        <w:t xml:space="preserve">At 20 months of age, all 15 patients (100%) in </w:t>
      </w:r>
      <w:r w:rsidR="00D31923">
        <w:t>Study AVXS-101-CL-101</w:t>
      </w:r>
      <w:r>
        <w:t xml:space="preserve"> survived event-free, compared to 8% event-free survival for</w:t>
      </w:r>
      <w:r w:rsidR="00496CF4">
        <w:t xml:space="preserve"> the PNCR historical controls. </w:t>
      </w:r>
      <w:r>
        <w:t xml:space="preserve">At the final review 24 months post-treatment, 14 patients (93%) in </w:t>
      </w:r>
      <w:r w:rsidR="00D31923">
        <w:t>Study AVXS-101-CL-101</w:t>
      </w:r>
      <w:r>
        <w:t xml:space="preserve"> (including all 12 patients in Cohort 2) survived event-free, compared to &lt;</w:t>
      </w:r>
      <w:r w:rsidR="00496CF4">
        <w:t xml:space="preserve"> </w:t>
      </w:r>
      <w:r>
        <w:t>8% event-free survival for</w:t>
      </w:r>
      <w:r w:rsidR="00496CF4">
        <w:t xml:space="preserve"> the PNCR historical controls. One patient in C</w:t>
      </w:r>
      <w:r>
        <w:t xml:space="preserve">ohort 1 required </w:t>
      </w:r>
      <w:proofErr w:type="spellStart"/>
      <w:r>
        <w:t>ventilatory</w:t>
      </w:r>
      <w:proofErr w:type="spellEnd"/>
      <w:r>
        <w:t xml:space="preserve"> assistance which met the event criteria at 28 months of age in the lead up to surgery on the salivary glands, after which the need for </w:t>
      </w:r>
      <w:proofErr w:type="spellStart"/>
      <w:r>
        <w:t>ventilatory</w:t>
      </w:r>
      <w:proofErr w:type="spellEnd"/>
      <w:r>
        <w:t xml:space="preserve"> support decreased </w:t>
      </w:r>
      <w:r w:rsidR="00496CF4">
        <w:t>back below the event threshold.</w:t>
      </w:r>
      <w:r w:rsidR="00BB12D3">
        <w:t xml:space="preserve"> </w:t>
      </w:r>
      <w:r w:rsidR="00DA0EB9">
        <w:fldChar w:fldCharType="begin"/>
      </w:r>
      <w:r w:rsidR="00DA0EB9">
        <w:instrText xml:space="preserve"> REF _Ref49780379 \h </w:instrText>
      </w:r>
      <w:r w:rsidR="00DA0EB9">
        <w:fldChar w:fldCharType="separate"/>
      </w:r>
      <w:r w:rsidR="009C2F61">
        <w:t xml:space="preserve">Figure </w:t>
      </w:r>
      <w:r w:rsidR="009C2F61">
        <w:rPr>
          <w:noProof/>
        </w:rPr>
        <w:t>2</w:t>
      </w:r>
      <w:r w:rsidR="00DA0EB9">
        <w:fldChar w:fldCharType="end"/>
      </w:r>
      <w:r w:rsidR="00DA0EB9">
        <w:t xml:space="preserve"> shows</w:t>
      </w:r>
      <w:r w:rsidR="00BB12D3">
        <w:t xml:space="preserve"> a Kaplan-Meier estimate of survival </w:t>
      </w:r>
      <w:r w:rsidR="003650E9">
        <w:t xml:space="preserve">(time to event) for the study population (Cohort 2), compared with historical comparators (the PNCR and </w:t>
      </w:r>
      <w:proofErr w:type="spellStart"/>
      <w:r w:rsidR="003650E9">
        <w:t>NeuroNext</w:t>
      </w:r>
      <w:proofErr w:type="spellEnd"/>
      <w:r w:rsidR="003650E9">
        <w:t xml:space="preserve"> cohorts).</w:t>
      </w:r>
    </w:p>
    <w:p w14:paraId="0D20B451" w14:textId="04922514" w:rsidR="00735D2B" w:rsidRDefault="00735D2B" w:rsidP="00496CF4">
      <w:pPr>
        <w:pStyle w:val="TableTitle"/>
      </w:pPr>
      <w:bookmarkStart w:id="55" w:name="_Ref49780379"/>
      <w:r>
        <w:t xml:space="preserve">Figure </w:t>
      </w:r>
      <w:fldSimple w:instr=" SEQ Figure \* ARABIC ">
        <w:r w:rsidR="009C2F61">
          <w:rPr>
            <w:noProof/>
          </w:rPr>
          <w:t>2</w:t>
        </w:r>
      </w:fldSimple>
      <w:bookmarkEnd w:id="55"/>
      <w:r w:rsidR="00496CF4">
        <w:t xml:space="preserve">: </w:t>
      </w:r>
      <w:r w:rsidR="00BB12D3">
        <w:t xml:space="preserve">Study AVXS-101-CL-101 (Cohort 2) </w:t>
      </w:r>
      <w:r>
        <w:t xml:space="preserve">Kaplan-Meier </w:t>
      </w:r>
      <w:r w:rsidR="00496CF4">
        <w:t xml:space="preserve">estimate of survival (time to event) </w:t>
      </w:r>
      <w:r w:rsidR="003650E9">
        <w:t>for the study population and historical comparators</w:t>
      </w:r>
    </w:p>
    <w:p w14:paraId="6F573EBE" w14:textId="77777777" w:rsidR="00496CF4" w:rsidRDefault="00735D2B" w:rsidP="00735D2B">
      <w:r>
        <w:rPr>
          <w:noProof/>
          <w:lang w:eastAsia="en-AU"/>
        </w:rPr>
        <w:drawing>
          <wp:inline distT="0" distB="0" distL="0" distR="0" wp14:anchorId="7C30DD27" wp14:editId="7CAF9F5F">
            <wp:extent cx="5104738" cy="3185151"/>
            <wp:effectExtent l="0" t="0" r="1270" b="0"/>
            <wp:docPr id="17" name="Picture 17" descr="Kaplan-Meier estimate of survival (time to event) for the Study AVXS-101-CL-101 (Cohort 2), PNCR, and NeuroNext study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65" cy="3209939"/>
                    </a:xfrm>
                    <a:prstGeom prst="rect">
                      <a:avLst/>
                    </a:prstGeom>
                    <a:noFill/>
                    <a:ln>
                      <a:noFill/>
                    </a:ln>
                  </pic:spPr>
                </pic:pic>
              </a:graphicData>
            </a:graphic>
          </wp:inline>
        </w:drawing>
      </w:r>
    </w:p>
    <w:p w14:paraId="3AB23702" w14:textId="445AEC68" w:rsidR="00735D2B" w:rsidRDefault="00735D2B" w:rsidP="00735D2B">
      <w:r>
        <w:t>Mot</w:t>
      </w:r>
      <w:r w:rsidR="00A61CA6">
        <w:t xml:space="preserve">or function as assessed by CHOP </w:t>
      </w:r>
      <w:r>
        <w:t>INTEND scores improved from baseline in both cohorts (</w:t>
      </w:r>
      <w:r w:rsidR="001E55B4">
        <w:t xml:space="preserve">see </w:t>
      </w:r>
      <w:r>
        <w:fldChar w:fldCharType="begin"/>
      </w:r>
      <w:r>
        <w:instrText xml:space="preserve"> REF _Ref49782262 \h </w:instrText>
      </w:r>
      <w:r>
        <w:fldChar w:fldCharType="separate"/>
      </w:r>
      <w:r w:rsidR="009C2F61">
        <w:t xml:space="preserve">Figure </w:t>
      </w:r>
      <w:r w:rsidR="009C2F61">
        <w:rPr>
          <w:noProof/>
        </w:rPr>
        <w:t>3</w:t>
      </w:r>
      <w:r>
        <w:fldChar w:fldCharType="end"/>
      </w:r>
      <w:r w:rsidR="00E94CBF">
        <w:t>, Cohort 1 blue line, C</w:t>
      </w:r>
      <w:r>
        <w:t xml:space="preserve">ohort 2 red line), though the improvement was notably </w:t>
      </w:r>
      <w:r w:rsidR="001E55B4">
        <w:t xml:space="preserve">greater in cohort 2. </w:t>
      </w:r>
      <w:r>
        <w:t>At the end of the study, 11 of 12 (91.7%) Cohort 2 patients achi</w:t>
      </w:r>
      <w:r w:rsidR="00B63FF5">
        <w:t xml:space="preserve">eved a CHOP </w:t>
      </w:r>
      <w:r w:rsidR="001E55B4">
        <w:t xml:space="preserve">INTEND score ≥ 50. </w:t>
      </w:r>
      <w:r>
        <w:t>In contrast, in th</w:t>
      </w:r>
      <w:r w:rsidR="00B63FF5">
        <w:t>e PNCR historical dataset, CHOP </w:t>
      </w:r>
      <w:r>
        <w:t>INTEND scores</w:t>
      </w:r>
      <w:r w:rsidRPr="00DB1298">
        <w:t xml:space="preserve"> </w:t>
      </w:r>
      <w:r>
        <w:t>overall declined progressively over time and no patient achieved a score &gt;</w:t>
      </w:r>
      <w:r w:rsidR="001E55B4">
        <w:t> 40 beyond 12 months of age.</w:t>
      </w:r>
      <w:r w:rsidR="00B63FF5">
        <w:t xml:space="preserve"> </w:t>
      </w:r>
      <w:r>
        <w:t xml:space="preserve">The </w:t>
      </w:r>
      <w:proofErr w:type="spellStart"/>
      <w:r>
        <w:t>NeuroNext</w:t>
      </w:r>
      <w:proofErr w:type="spellEnd"/>
      <w:r>
        <w:t xml:space="preserve"> cohort also showed progressive decline in CHO</w:t>
      </w:r>
      <w:r w:rsidR="00B63FF5">
        <w:t xml:space="preserve">P </w:t>
      </w:r>
      <w:r>
        <w:t>INTEND scores over time.</w:t>
      </w:r>
    </w:p>
    <w:p w14:paraId="61F50850" w14:textId="4D8ECBEE" w:rsidR="00735D2B" w:rsidRDefault="00B63FF5" w:rsidP="00735D2B">
      <w:r>
        <w:t>None of the patients in C</w:t>
      </w:r>
      <w:r w:rsidR="00735D2B">
        <w:t>ohort 1 achieved any motor milestones, but patients in Cohort 2 achieved motor milestones that would not be expected based</w:t>
      </w:r>
      <w:r>
        <w:t xml:space="preserve"> on the natural history of SMA </w:t>
      </w:r>
      <w:r w:rsidR="005A2B53">
        <w:t>type</w:t>
      </w:r>
      <w:r w:rsidR="00735D2B">
        <w:t xml:space="preserve"> 1 with disease onset before 3 months of age (</w:t>
      </w:r>
      <w:r w:rsidR="001E55B4">
        <w:t xml:space="preserve">see </w:t>
      </w:r>
      <w:r w:rsidR="00735D2B">
        <w:fldChar w:fldCharType="begin"/>
      </w:r>
      <w:r w:rsidR="00735D2B">
        <w:instrText xml:space="preserve"> REF _Ref49785249 \h </w:instrText>
      </w:r>
      <w:r w:rsidR="00735D2B">
        <w:fldChar w:fldCharType="separate"/>
      </w:r>
      <w:r w:rsidR="009C2F61">
        <w:t xml:space="preserve">Table </w:t>
      </w:r>
      <w:r w:rsidR="009C2F61">
        <w:rPr>
          <w:noProof/>
        </w:rPr>
        <w:t>7</w:t>
      </w:r>
      <w:r w:rsidR="00735D2B">
        <w:fldChar w:fldCharType="end"/>
      </w:r>
      <w:r w:rsidR="00E94CBF">
        <w:t xml:space="preserve"> and</w:t>
      </w:r>
      <w:r w:rsidR="00735D2B">
        <w:t xml:space="preserve"> </w:t>
      </w:r>
      <w:r w:rsidR="00735D2B">
        <w:fldChar w:fldCharType="begin"/>
      </w:r>
      <w:r w:rsidR="00735D2B">
        <w:instrText xml:space="preserve"> REF _Ref49784964 \h </w:instrText>
      </w:r>
      <w:r w:rsidR="00735D2B">
        <w:fldChar w:fldCharType="separate"/>
      </w:r>
      <w:r w:rsidR="009C2F61">
        <w:t xml:space="preserve">Table </w:t>
      </w:r>
      <w:r w:rsidR="009C2F61">
        <w:rPr>
          <w:noProof/>
        </w:rPr>
        <w:t>8</w:t>
      </w:r>
      <w:r w:rsidR="00735D2B">
        <w:fldChar w:fldCharType="end"/>
      </w:r>
      <w:r w:rsidR="00E94CBF">
        <w:t>).</w:t>
      </w:r>
    </w:p>
    <w:p w14:paraId="104CD4EF" w14:textId="772CE7B9" w:rsidR="00735D2B" w:rsidRDefault="00735D2B" w:rsidP="00E94CBF">
      <w:pPr>
        <w:pStyle w:val="FigureTitle"/>
      </w:pPr>
      <w:bookmarkStart w:id="56" w:name="_Ref49782262"/>
      <w:r>
        <w:t xml:space="preserve">Figure </w:t>
      </w:r>
      <w:fldSimple w:instr=" SEQ Figure \* ARABIC ">
        <w:r w:rsidR="009C2F61">
          <w:rPr>
            <w:noProof/>
          </w:rPr>
          <w:t>3</w:t>
        </w:r>
      </w:fldSimple>
      <w:bookmarkEnd w:id="56"/>
      <w:r w:rsidR="00E94CBF">
        <w:t xml:space="preserve">: Study AVXS-101-CL-101, </w:t>
      </w:r>
      <w:r w:rsidR="00A61CA6">
        <w:t xml:space="preserve">CHOP </w:t>
      </w:r>
      <w:r>
        <w:t xml:space="preserve">INTEND </w:t>
      </w:r>
      <w:r w:rsidR="001E55B4">
        <w:t>change from B</w:t>
      </w:r>
      <w:r w:rsidR="00E94CBF">
        <w:t>aseline by patient and cohort 24 months after AVXS-101 infusion (full analysis set)</w:t>
      </w:r>
    </w:p>
    <w:p w14:paraId="6E918F91" w14:textId="2D031390" w:rsidR="00735D2B" w:rsidRDefault="00150E8B" w:rsidP="00735D2B">
      <w:r>
        <w:rPr>
          <w:noProof/>
          <w:lang w:eastAsia="en-AU"/>
        </w:rPr>
        <w:drawing>
          <wp:inline distT="0" distB="0" distL="0" distR="0" wp14:anchorId="54FF5586" wp14:editId="0D5EB338">
            <wp:extent cx="5400040" cy="3243580"/>
            <wp:effectExtent l="0" t="0" r="0" b="0"/>
            <wp:docPr id="38" name="Picture 38" descr="Study AVXS-101-CL-101, CHOP INTEND change from Baseline by patient and cohort 24 months after AVXS-101 infus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243580"/>
                    </a:xfrm>
                    <a:prstGeom prst="rect">
                      <a:avLst/>
                    </a:prstGeom>
                  </pic:spPr>
                </pic:pic>
              </a:graphicData>
            </a:graphic>
          </wp:inline>
        </w:drawing>
      </w:r>
    </w:p>
    <w:p w14:paraId="6A123E25" w14:textId="0E23854F" w:rsidR="00150E8B" w:rsidRDefault="00150E8B" w:rsidP="00150E8B">
      <w:pPr>
        <w:pStyle w:val="TableDescription"/>
      </w:pPr>
      <w:r>
        <w:t>Each line represents an individual patient. Patient IDs have been redacted.</w:t>
      </w:r>
    </w:p>
    <w:p w14:paraId="613D9719" w14:textId="38D7B2AF" w:rsidR="00735D2B" w:rsidRDefault="00735D2B" w:rsidP="00E94CBF">
      <w:pPr>
        <w:pStyle w:val="TableTitle"/>
      </w:pPr>
      <w:bookmarkStart w:id="57" w:name="_Ref49785249"/>
      <w:r>
        <w:t xml:space="preserve">Table </w:t>
      </w:r>
      <w:fldSimple w:instr=" SEQ Table \* ARABIC ">
        <w:r w:rsidR="009C2F61">
          <w:rPr>
            <w:noProof/>
          </w:rPr>
          <w:t>7</w:t>
        </w:r>
      </w:fldSimple>
      <w:bookmarkEnd w:id="57"/>
      <w:r w:rsidR="00E94CBF">
        <w:t xml:space="preserve">: Study AVXS-101-CL-101 </w:t>
      </w:r>
      <w:r w:rsidR="000A2E25">
        <w:t>P</w:t>
      </w:r>
      <w:r>
        <w:t xml:space="preserve">atients </w:t>
      </w:r>
      <w:r w:rsidR="00E94CBF">
        <w:t>who achieved significant motor function milestones at 13.6 months based on independent central review (full analysis set)</w:t>
      </w:r>
    </w:p>
    <w:p w14:paraId="64E550A4" w14:textId="40089C61" w:rsidR="00735D2B" w:rsidRDefault="00735D2B" w:rsidP="00735D2B">
      <w:r>
        <w:rPr>
          <w:noProof/>
          <w:lang w:eastAsia="en-AU"/>
        </w:rPr>
        <w:drawing>
          <wp:inline distT="0" distB="0" distL="0" distR="0" wp14:anchorId="4F13DBEA" wp14:editId="59C2D7E6">
            <wp:extent cx="5431448" cy="3283889"/>
            <wp:effectExtent l="0" t="0" r="0" b="0"/>
            <wp:docPr id="20" name="Picture 20" descr="The table shows the number and percent of patients who achieve significant motor function milestones at 13.6 months in Study 101, by Cohort 1, Cohort 2 and A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39889" cy="3288992"/>
                    </a:xfrm>
                    <a:prstGeom prst="rect">
                      <a:avLst/>
                    </a:prstGeom>
                    <a:noFill/>
                    <a:ln>
                      <a:noFill/>
                    </a:ln>
                  </pic:spPr>
                </pic:pic>
              </a:graphicData>
            </a:graphic>
          </wp:inline>
        </w:drawing>
      </w:r>
    </w:p>
    <w:p w14:paraId="4C53953E" w14:textId="093EB8A6" w:rsidR="00735D2B" w:rsidRDefault="00735D2B" w:rsidP="00E94CBF">
      <w:pPr>
        <w:pStyle w:val="TableTitle"/>
      </w:pPr>
      <w:bookmarkStart w:id="58" w:name="_Ref49784964"/>
      <w:r>
        <w:t xml:space="preserve">Table </w:t>
      </w:r>
      <w:fldSimple w:instr=" SEQ Table \* ARABIC ">
        <w:r w:rsidR="009C2F61">
          <w:rPr>
            <w:noProof/>
          </w:rPr>
          <w:t>8</w:t>
        </w:r>
      </w:fldSimple>
      <w:bookmarkEnd w:id="58"/>
      <w:r w:rsidR="00E94CBF">
        <w:t>:</w:t>
      </w:r>
      <w:r>
        <w:t xml:space="preserve"> </w:t>
      </w:r>
      <w:r w:rsidR="00E94CBF">
        <w:t xml:space="preserve">Study AVXS-101-CL-101 </w:t>
      </w:r>
      <w:r w:rsidR="000A2E25">
        <w:t>P</w:t>
      </w:r>
      <w:r w:rsidR="00E94CBF">
        <w:t>atients who achieved significant motor function milestones at 24 months based on independent central review (full analysis set)</w:t>
      </w:r>
    </w:p>
    <w:p w14:paraId="0A449F35" w14:textId="07D2E7D2" w:rsidR="00C91EE4" w:rsidRDefault="00C91EE4" w:rsidP="00735D2B">
      <w:r>
        <w:rPr>
          <w:noProof/>
          <w:lang w:eastAsia="en-AU"/>
        </w:rPr>
        <w:drawing>
          <wp:inline distT="0" distB="0" distL="0" distR="0" wp14:anchorId="0C4A9ACE" wp14:editId="4AF8C2A1">
            <wp:extent cx="5400040" cy="3228340"/>
            <wp:effectExtent l="0" t="0" r="0" b="0"/>
            <wp:docPr id="3" name="Picture 3" descr="Study AVXS-101-CL-101, patients who achieved significant motor function milestones at 24 months based on independent central review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228340"/>
                    </a:xfrm>
                    <a:prstGeom prst="rect">
                      <a:avLst/>
                    </a:prstGeom>
                  </pic:spPr>
                </pic:pic>
              </a:graphicData>
            </a:graphic>
          </wp:inline>
        </w:drawing>
      </w:r>
    </w:p>
    <w:p w14:paraId="09C6E72C" w14:textId="1F1F3DCA" w:rsidR="00735D2B" w:rsidRDefault="00735D2B" w:rsidP="00735D2B">
      <w:pPr>
        <w:pStyle w:val="Heading5"/>
      </w:pPr>
      <w:r w:rsidRPr="00AA53F4">
        <w:t xml:space="preserve">Study </w:t>
      </w:r>
      <w:r>
        <w:t>AVXS-101-CL-303</w:t>
      </w:r>
    </w:p>
    <w:p w14:paraId="2E9F4765" w14:textId="2B1C25AF" w:rsidR="00735D2B" w:rsidRPr="002E600A" w:rsidRDefault="00D31923" w:rsidP="00735D2B">
      <w:r>
        <w:t>Study AVXS-101-CL-303</w:t>
      </w:r>
      <w:r w:rsidR="00E94CBF">
        <w:t xml:space="preserve"> was a Phase III, open label, single arm, single </w:t>
      </w:r>
      <w:r w:rsidR="00735D2B" w:rsidRPr="002E600A">
        <w:t xml:space="preserve">dose study of intravenous AVXS-101 in patients with SMA </w:t>
      </w:r>
      <w:r w:rsidR="005A2B53">
        <w:t>type</w:t>
      </w:r>
      <w:r w:rsidR="00735D2B" w:rsidRPr="002E600A">
        <w:t xml:space="preserve"> 1</w:t>
      </w:r>
      <w:r w:rsidR="00735D2B">
        <w:t xml:space="preserve"> </w:t>
      </w:r>
      <w:r w:rsidR="00735D2B" w:rsidRPr="002E600A">
        <w:t xml:space="preserve">with </w:t>
      </w:r>
      <w:r w:rsidR="00735D2B">
        <w:t xml:space="preserve">bi-allelic </w:t>
      </w:r>
      <w:r w:rsidR="00735D2B" w:rsidRPr="00DA0EB9">
        <w:rPr>
          <w:i/>
        </w:rPr>
        <w:t>SMN1</w:t>
      </w:r>
      <w:r w:rsidR="00735D2B">
        <w:t xml:space="preserve"> mutations (deletions or point mutations) and </w:t>
      </w:r>
      <w:r w:rsidR="00735D2B" w:rsidRPr="002E600A">
        <w:t xml:space="preserve">1 or 2 copies of the </w:t>
      </w:r>
      <w:r w:rsidR="00735D2B" w:rsidRPr="002E600A">
        <w:rPr>
          <w:i/>
          <w:iCs/>
        </w:rPr>
        <w:t xml:space="preserve">SMN2 </w:t>
      </w:r>
      <w:r w:rsidR="00735D2B" w:rsidRPr="002E600A">
        <w:t xml:space="preserve">gene. </w:t>
      </w:r>
      <w:r w:rsidR="00735D2B">
        <w:t>Patients had to be aged &lt;</w:t>
      </w:r>
      <w:r w:rsidR="00E94CBF">
        <w:t> </w:t>
      </w:r>
      <w:r w:rsidR="00735D2B">
        <w:t>6 month</w:t>
      </w:r>
      <w:r w:rsidR="00E94CBF">
        <w:t>s at the time of the infusion.</w:t>
      </w:r>
    </w:p>
    <w:p w14:paraId="2F82C150" w14:textId="4E4A056E" w:rsidR="00735D2B" w:rsidRDefault="00E94CBF" w:rsidP="00735D2B">
      <w:r>
        <w:t>Intent to treat (</w:t>
      </w:r>
      <w:r w:rsidR="00735D2B" w:rsidRPr="00982373">
        <w:t>ITT</w:t>
      </w:r>
      <w:r>
        <w:t>)</w:t>
      </w:r>
      <w:r w:rsidR="00735D2B" w:rsidRPr="00982373">
        <w:t xml:space="preserve"> criteria were developed to enable direct comparison between the ITT population in </w:t>
      </w:r>
      <w:r w:rsidR="00D31923">
        <w:t>Study AVXS-101-CL-303</w:t>
      </w:r>
      <w:r w:rsidR="00735D2B" w:rsidRPr="00982373">
        <w:t xml:space="preserve"> and Cohort 2 from </w:t>
      </w:r>
      <w:r w:rsidR="00D31923">
        <w:t>Study AVXS-101-CL-101</w:t>
      </w:r>
      <w:r>
        <w:t>.</w:t>
      </w:r>
      <w:r w:rsidR="00E1586C">
        <w:rPr>
          <w:rStyle w:val="FootnoteReference"/>
        </w:rPr>
        <w:footnoteReference w:id="14"/>
      </w:r>
      <w:r>
        <w:t xml:space="preserve"> </w:t>
      </w:r>
      <w:r w:rsidR="00735D2B" w:rsidRPr="00982373">
        <w:t xml:space="preserve">To be included in the ITT population, patients had to be symptomatic for SMA before 6 months of age and have bi-allelic </w:t>
      </w:r>
      <w:r w:rsidR="00735D2B" w:rsidRPr="00982373">
        <w:rPr>
          <w:i/>
          <w:iCs/>
        </w:rPr>
        <w:t xml:space="preserve">SMN1 </w:t>
      </w:r>
      <w:r w:rsidR="00735D2B" w:rsidRPr="00982373">
        <w:t xml:space="preserve">deletions and only 2 copies of </w:t>
      </w:r>
      <w:r w:rsidR="00735D2B" w:rsidRPr="00982373">
        <w:rPr>
          <w:i/>
          <w:iCs/>
        </w:rPr>
        <w:t xml:space="preserve">SMN2, </w:t>
      </w:r>
      <w:r>
        <w:t>without the c.859G &gt; C mutation.</w:t>
      </w:r>
    </w:p>
    <w:p w14:paraId="463EE8D0" w14:textId="3E2A025D" w:rsidR="00735D2B" w:rsidRDefault="00735D2B" w:rsidP="00735D2B">
      <w:pPr>
        <w:rPr>
          <w:rFonts w:asciiTheme="minorHAnsi" w:eastAsiaTheme="minorHAnsi" w:hAnsiTheme="minorHAnsi"/>
        </w:rPr>
      </w:pPr>
      <w:r>
        <w:t xml:space="preserve">Although the study design allowed the recruitment of a broader spectrum of patients than were evaluated in </w:t>
      </w:r>
      <w:r w:rsidR="00D31923">
        <w:t>Study AVXS-101-CL-101</w:t>
      </w:r>
      <w:r>
        <w:t xml:space="preserve">, including pre-symptomatic patients, patients with 1 copy of </w:t>
      </w:r>
      <w:r w:rsidRPr="00DA0EB9">
        <w:rPr>
          <w:i/>
        </w:rPr>
        <w:t>SMN2</w:t>
      </w:r>
      <w:r>
        <w:t xml:space="preserve">, and patients with the </w:t>
      </w:r>
      <w:r w:rsidRPr="00982373">
        <w:t>c.859G</w:t>
      </w:r>
      <w:r w:rsidR="00556097">
        <w:t xml:space="preserve"> </w:t>
      </w:r>
      <w:r w:rsidRPr="00982373">
        <w:t>&gt;</w:t>
      </w:r>
      <w:r w:rsidR="00556097">
        <w:t xml:space="preserve"> </w:t>
      </w:r>
      <w:r w:rsidRPr="00982373">
        <w:t>C mutation</w:t>
      </w:r>
      <w:r>
        <w:t xml:space="preserve">, ultimately all 22 patients enrolled in </w:t>
      </w:r>
      <w:r w:rsidR="00D31923">
        <w:t>Study AVXS-101-CL-303</w:t>
      </w:r>
      <w:r>
        <w:t xml:space="preserve"> met the ITT criteria.</w:t>
      </w:r>
    </w:p>
    <w:p w14:paraId="767649BA" w14:textId="77777777" w:rsidR="00735D2B" w:rsidRDefault="00735D2B" w:rsidP="00735D2B">
      <w:pPr>
        <w:rPr>
          <w:rFonts w:asciiTheme="minorHAnsi" w:eastAsiaTheme="minorHAnsi" w:hAnsiTheme="minorHAnsi"/>
        </w:rPr>
      </w:pPr>
      <w:r>
        <w:rPr>
          <w:rFonts w:asciiTheme="minorHAnsi" w:eastAsiaTheme="minorHAnsi" w:hAnsiTheme="minorHAnsi"/>
        </w:rPr>
        <w:t>Exclusion criteria included:</w:t>
      </w:r>
    </w:p>
    <w:p w14:paraId="32F7606E" w14:textId="2ACE142C" w:rsidR="00735D2B" w:rsidRDefault="00735D2B" w:rsidP="00556097">
      <w:pPr>
        <w:pStyle w:val="ListBullet"/>
      </w:pPr>
      <w:r w:rsidRPr="009A31C8">
        <w:t>tracheostomy</w:t>
      </w:r>
      <w:r>
        <w:t>,</w:t>
      </w:r>
      <w:r w:rsidRPr="009A31C8">
        <w:t xml:space="preserve"> or </w:t>
      </w:r>
      <w:r>
        <w:t xml:space="preserve">requiring </w:t>
      </w:r>
      <w:r w:rsidRPr="009A31C8">
        <w:t xml:space="preserve">non-invasive </w:t>
      </w:r>
      <w:proofErr w:type="spellStart"/>
      <w:r w:rsidRPr="009A31C8">
        <w:t>ventilator</w:t>
      </w:r>
      <w:r>
        <w:t>y</w:t>
      </w:r>
      <w:proofErr w:type="spellEnd"/>
      <w:r w:rsidRPr="009A31C8">
        <w:t xml:space="preserve"> support ≥</w:t>
      </w:r>
      <w:r w:rsidR="00556097">
        <w:t xml:space="preserve"> 6 hours/day</w:t>
      </w:r>
      <w:r w:rsidR="000A2E25">
        <w:t>;</w:t>
      </w:r>
    </w:p>
    <w:p w14:paraId="573B192D" w14:textId="64A075D6" w:rsidR="00735D2B" w:rsidRDefault="00735D2B" w:rsidP="00556097">
      <w:pPr>
        <w:pStyle w:val="ListBullet"/>
      </w:pPr>
      <w:r>
        <w:t>anti-AAV9 antibody titre &gt;</w:t>
      </w:r>
      <w:r w:rsidR="00556097">
        <w:t xml:space="preserve"> 1:50</w:t>
      </w:r>
      <w:r w:rsidR="000A2E25">
        <w:t>;</w:t>
      </w:r>
    </w:p>
    <w:p w14:paraId="1141BC8D" w14:textId="568EA471" w:rsidR="00735D2B" w:rsidRPr="009A31C8" w:rsidRDefault="00735D2B" w:rsidP="00556097">
      <w:pPr>
        <w:pStyle w:val="ListBullet"/>
      </w:pPr>
      <w:r>
        <w:t xml:space="preserve">abnormal laboratory values considered to be clinically significant </w:t>
      </w:r>
      <w:r w:rsidRPr="009B4C80">
        <w:t>(</w:t>
      </w:r>
      <w:r>
        <w:t xml:space="preserve">GGT, </w:t>
      </w:r>
      <w:r w:rsidR="00556097" w:rsidRPr="00556097">
        <w:t>alanine aminotransferase</w:t>
      </w:r>
      <w:r w:rsidR="00556097">
        <w:t xml:space="preserve"> (</w:t>
      </w:r>
      <w:r>
        <w:t>ALT</w:t>
      </w:r>
      <w:r w:rsidR="00556097">
        <w:t>)</w:t>
      </w:r>
      <w:r>
        <w:t xml:space="preserve">, </w:t>
      </w:r>
      <w:r w:rsidR="00556097">
        <w:t>a</w:t>
      </w:r>
      <w:r w:rsidR="00556097" w:rsidRPr="00556097">
        <w:t>spartate transaminase</w:t>
      </w:r>
      <w:r w:rsidR="00556097">
        <w:t xml:space="preserve"> (</w:t>
      </w:r>
      <w:r>
        <w:t>AST</w:t>
      </w:r>
      <w:r w:rsidR="00556097">
        <w:t>)</w:t>
      </w:r>
      <w:r w:rsidRPr="009B4C80">
        <w:t xml:space="preserve"> &gt;</w:t>
      </w:r>
      <w:r w:rsidR="000A2E25">
        <w:t xml:space="preserve"> </w:t>
      </w:r>
      <w:r w:rsidRPr="009B4C80">
        <w:t xml:space="preserve">3 × </w:t>
      </w:r>
      <w:r>
        <w:t>ULN</w:t>
      </w:r>
      <w:r w:rsidRPr="009B4C80">
        <w:t>, creatinine ≥</w:t>
      </w:r>
      <w:r w:rsidR="002711F5">
        <w:t> </w:t>
      </w:r>
      <w:r w:rsidRPr="009B4C80">
        <w:t>1.</w:t>
      </w:r>
      <w:r>
        <w:t>0</w:t>
      </w:r>
      <w:r w:rsidR="002711F5">
        <w:t> </w:t>
      </w:r>
      <w:r w:rsidRPr="009B4C80">
        <w:t>mg/</w:t>
      </w:r>
      <w:proofErr w:type="spellStart"/>
      <w:r w:rsidRPr="009B4C80">
        <w:t>dL</w:t>
      </w:r>
      <w:proofErr w:type="spellEnd"/>
      <w:r w:rsidRPr="009B4C80">
        <w:t>, h</w:t>
      </w:r>
      <w:r>
        <w:t>a</w:t>
      </w:r>
      <w:r w:rsidRPr="009B4C80">
        <w:t>emoglobin &lt;</w:t>
      </w:r>
      <w:r w:rsidR="00556097">
        <w:t xml:space="preserve"> </w:t>
      </w:r>
      <w:r w:rsidRPr="009B4C80">
        <w:t>8 or &gt;</w:t>
      </w:r>
      <w:r w:rsidR="00556097">
        <w:t xml:space="preserve"> </w:t>
      </w:r>
      <w:r w:rsidRPr="009B4C80">
        <w:t>18 g/</w:t>
      </w:r>
      <w:proofErr w:type="spellStart"/>
      <w:r w:rsidRPr="009B4C80">
        <w:t>dL</w:t>
      </w:r>
      <w:proofErr w:type="spellEnd"/>
      <w:r w:rsidRPr="009B4C80">
        <w:t>, white blood cell count &gt;</w:t>
      </w:r>
      <w:r w:rsidR="00556097">
        <w:t xml:space="preserve"> </w:t>
      </w:r>
      <w:r w:rsidRPr="009B4C80">
        <w:t>20,000 per mm</w:t>
      </w:r>
      <w:r w:rsidRPr="009A31C8">
        <w:rPr>
          <w:vertAlign w:val="superscript"/>
        </w:rPr>
        <w:t>3</w:t>
      </w:r>
      <w:r w:rsidRPr="009B4C80">
        <w:t>)</w:t>
      </w:r>
      <w:r w:rsidR="000A2E25">
        <w:t>; and</w:t>
      </w:r>
    </w:p>
    <w:p w14:paraId="21EB219A" w14:textId="77777777" w:rsidR="00735D2B" w:rsidRPr="009A31C8" w:rsidRDefault="00735D2B" w:rsidP="00556097">
      <w:pPr>
        <w:pStyle w:val="ListBullet"/>
      </w:pPr>
      <w:r>
        <w:t xml:space="preserve">prior treatment with </w:t>
      </w:r>
      <w:proofErr w:type="spellStart"/>
      <w:r>
        <w:t>nusinersen</w:t>
      </w:r>
      <w:proofErr w:type="spellEnd"/>
      <w:r>
        <w:t xml:space="preserve"> or other therapies intended to treat SMA.</w:t>
      </w:r>
    </w:p>
    <w:p w14:paraId="5474C325" w14:textId="7485BA90" w:rsidR="00735D2B" w:rsidRDefault="00735D2B" w:rsidP="00556097">
      <w:r>
        <w:rPr>
          <w:rFonts w:eastAsiaTheme="minorHAnsi"/>
        </w:rPr>
        <w:t>The s</w:t>
      </w:r>
      <w:r w:rsidRPr="002E600A">
        <w:t>tudy was conducted in 12 centres in the USA.</w:t>
      </w:r>
      <w:r w:rsidR="00556097">
        <w:t xml:space="preserve"> </w:t>
      </w:r>
      <w:r w:rsidRPr="002E600A">
        <w:t>The f</w:t>
      </w:r>
      <w:r w:rsidR="002711F5">
        <w:t>irst patient was enrolled on 24 </w:t>
      </w:r>
      <w:r w:rsidRPr="002E600A">
        <w:t>October 2017 and the last patient visit was on 12 November 2019.</w:t>
      </w:r>
    </w:p>
    <w:p w14:paraId="1E6F571B" w14:textId="77777777" w:rsidR="00735D2B" w:rsidRDefault="00735D2B" w:rsidP="00556097">
      <w:pPr>
        <w:rPr>
          <w:rFonts w:eastAsia="Times New Roman"/>
        </w:rPr>
      </w:pPr>
      <w:r>
        <w:t>The co-primary objectives were:</w:t>
      </w:r>
    </w:p>
    <w:p w14:paraId="306D7988" w14:textId="1CD54307" w:rsidR="00735D2B" w:rsidRDefault="000A2E25" w:rsidP="00556097">
      <w:pPr>
        <w:pStyle w:val="ListBullet"/>
      </w:pPr>
      <w:r>
        <w:t>to d</w:t>
      </w:r>
      <w:r w:rsidR="00735D2B">
        <w:t>etermine the efficacy of AVXS-101 by demonstrating achievement of functional independent sitting for ≥ 30 seconds at 18 months of age</w:t>
      </w:r>
      <w:r>
        <w:t>; and</w:t>
      </w:r>
    </w:p>
    <w:p w14:paraId="72DC1E42" w14:textId="5A2B3740" w:rsidR="00735D2B" w:rsidRDefault="000A2E25" w:rsidP="00556097">
      <w:pPr>
        <w:pStyle w:val="ListBullet"/>
      </w:pPr>
      <w:r>
        <w:t>to d</w:t>
      </w:r>
      <w:r w:rsidR="00735D2B">
        <w:t>etermine the efficacy of AVXS-101 based on survival without permanent ventilation at 14 months of age.</w:t>
      </w:r>
    </w:p>
    <w:p w14:paraId="0181D19A" w14:textId="77777777" w:rsidR="00735D2B" w:rsidRPr="002E600A" w:rsidRDefault="00735D2B" w:rsidP="00735D2B">
      <w:pPr>
        <w:autoSpaceDE w:val="0"/>
        <w:autoSpaceDN w:val="0"/>
        <w:jc w:val="both"/>
        <w:rPr>
          <w:rFonts w:eastAsia="Times New Roman"/>
        </w:rPr>
      </w:pPr>
      <w:r>
        <w:t>Secondary objectives were:</w:t>
      </w:r>
    </w:p>
    <w:p w14:paraId="6C52ABBA" w14:textId="49AD5A66" w:rsidR="00735D2B" w:rsidRDefault="000A2E25" w:rsidP="00556097">
      <w:pPr>
        <w:pStyle w:val="ListBullet"/>
      </w:pPr>
      <w:r>
        <w:t>to d</w:t>
      </w:r>
      <w:r w:rsidR="00735D2B">
        <w:t>etermine the effect of AVX</w:t>
      </w:r>
      <w:r w:rsidR="00556097">
        <w:t>S-101 on the ability to thrive</w:t>
      </w:r>
      <w:r>
        <w:t>; and</w:t>
      </w:r>
    </w:p>
    <w:p w14:paraId="3A92F3E9" w14:textId="04DA70B5" w:rsidR="00735D2B" w:rsidRDefault="000A2E25" w:rsidP="00556097">
      <w:pPr>
        <w:pStyle w:val="ListBullet"/>
      </w:pPr>
      <w:r>
        <w:t>to d</w:t>
      </w:r>
      <w:r w:rsidR="00735D2B">
        <w:t xml:space="preserve">etermine the effect of AVXS-101 on the ability to remain independent of </w:t>
      </w:r>
      <w:proofErr w:type="spellStart"/>
      <w:r w:rsidR="00735D2B">
        <w:t>ventilatory</w:t>
      </w:r>
      <w:proofErr w:type="spellEnd"/>
      <w:r w:rsidR="00735D2B">
        <w:t xml:space="preserve"> support.</w:t>
      </w:r>
    </w:p>
    <w:p w14:paraId="32A401E5" w14:textId="12281FD5" w:rsidR="00735D2B" w:rsidRPr="00D94455" w:rsidRDefault="00735D2B" w:rsidP="00735D2B">
      <w:pPr>
        <w:autoSpaceDE w:val="0"/>
        <w:autoSpaceDN w:val="0"/>
        <w:adjustRightInd w:val="0"/>
      </w:pPr>
      <w:r>
        <w:t>All 22 patients received a single IV infusion of AVXS-101 at a dose of 1.1 × 10</w:t>
      </w:r>
      <w:r>
        <w:rPr>
          <w:vertAlign w:val="superscript"/>
        </w:rPr>
        <w:t>14</w:t>
      </w:r>
      <w:r>
        <w:t xml:space="preserve"> vg/kg, which is the dose proposed for regist</w:t>
      </w:r>
      <w:r w:rsidR="00556097">
        <w:t xml:space="preserve">ration. </w:t>
      </w:r>
      <w:r>
        <w:t xml:space="preserve">All </w:t>
      </w:r>
      <w:r w:rsidR="00556097">
        <w:t xml:space="preserve">patients received prednisolone at approximately </w:t>
      </w:r>
      <w:r>
        <w:t>1 mg/kg/day, beginning 24 hours prior to infusion and continuing until at least 30 days post-infusion, after which the dose could be tapered based on liver funct</w:t>
      </w:r>
      <w:r w:rsidR="00556097">
        <w:t>ion tests and T</w:t>
      </w:r>
      <w:r w:rsidR="002711F5">
        <w:t xml:space="preserve"> </w:t>
      </w:r>
      <w:r w:rsidR="00556097">
        <w:t>cell response.</w:t>
      </w:r>
    </w:p>
    <w:p w14:paraId="58E97645" w14:textId="59AAA209" w:rsidR="00735D2B" w:rsidRDefault="00735D2B" w:rsidP="00735D2B">
      <w:r>
        <w:t>The mean age at AVXS-101 administration was 3.7 mon</w:t>
      </w:r>
      <w:r w:rsidR="00556097">
        <w:t xml:space="preserve">ths (range 0.5 to 5.9 months). </w:t>
      </w:r>
      <w:r>
        <w:t>No patients required fee</w:t>
      </w:r>
      <w:r w:rsidR="00556097">
        <w:t xml:space="preserve">ding or </w:t>
      </w:r>
      <w:proofErr w:type="spellStart"/>
      <w:r w:rsidR="00556097">
        <w:t>ventilatory</w:t>
      </w:r>
      <w:proofErr w:type="spellEnd"/>
      <w:r w:rsidR="00556097">
        <w:t xml:space="preserve"> support at B</w:t>
      </w:r>
      <w:r>
        <w:t xml:space="preserve">aseline, in contrast to </w:t>
      </w:r>
      <w:r w:rsidR="002711F5">
        <w:t>Study AVXS </w:t>
      </w:r>
      <w:r w:rsidR="00D31923">
        <w:t>101-CL-101</w:t>
      </w:r>
      <w:r>
        <w:t xml:space="preserve"> where 5 patients (33.3%) required at least some </w:t>
      </w:r>
      <w:proofErr w:type="spellStart"/>
      <w:r>
        <w:t>ventilat</w:t>
      </w:r>
      <w:r w:rsidR="002711F5">
        <w:t>ory</w:t>
      </w:r>
      <w:proofErr w:type="spellEnd"/>
      <w:r w:rsidR="002711F5">
        <w:t xml:space="preserve"> support at B</w:t>
      </w:r>
      <w:r>
        <w:t>aseline.</w:t>
      </w:r>
    </w:p>
    <w:p w14:paraId="0F6B2B3B" w14:textId="52AEDA1C" w:rsidR="00735D2B" w:rsidRDefault="001853C7" w:rsidP="00735D2B">
      <w:pPr>
        <w:autoSpaceDE w:val="0"/>
        <w:autoSpaceDN w:val="0"/>
        <w:adjustRightInd w:val="0"/>
      </w:pPr>
      <w:r>
        <w:t>Nineteen</w:t>
      </w:r>
      <w:r w:rsidR="00735D2B">
        <w:t xml:space="preserve"> patients comp</w:t>
      </w:r>
      <w:r w:rsidR="00556097">
        <w:t xml:space="preserve">leted the study. </w:t>
      </w:r>
      <w:r w:rsidR="002711F5">
        <w:t>Three</w:t>
      </w:r>
      <w:r w:rsidR="00735D2B">
        <w:t xml:space="preserve"> patient</w:t>
      </w:r>
      <w:r w:rsidR="002711F5">
        <w:t>s discontinued from the study (one</w:t>
      </w:r>
      <w:r w:rsidR="00735D2B">
        <w:t xml:space="preserve"> due to </w:t>
      </w:r>
      <w:r w:rsidR="000A2E25">
        <w:t xml:space="preserve">an </w:t>
      </w:r>
      <w:r w:rsidR="00556097">
        <w:t>adverse event (</w:t>
      </w:r>
      <w:r w:rsidR="00735D2B">
        <w:t>AE</w:t>
      </w:r>
      <w:r w:rsidR="002711F5">
        <w:t>), one death, one</w:t>
      </w:r>
      <w:r w:rsidR="00556097">
        <w:t xml:space="preserve"> withdrawal).</w:t>
      </w:r>
      <w:r w:rsidR="00735D2B">
        <w:t xml:space="preserve"> All efficacy analyses were performed on the ITT population, which included a</w:t>
      </w:r>
      <w:r w:rsidR="00735D2B" w:rsidRPr="000C1DEF">
        <w:t>ll 22 patients</w:t>
      </w:r>
      <w:r w:rsidR="00735D2B">
        <w:t>.</w:t>
      </w:r>
    </w:p>
    <w:p w14:paraId="1D663B12" w14:textId="77777777" w:rsidR="00735D2B" w:rsidRDefault="00735D2B" w:rsidP="00735D2B">
      <w:pPr>
        <w:autoSpaceDE w:val="0"/>
        <w:autoSpaceDN w:val="0"/>
        <w:adjustRightInd w:val="0"/>
        <w:jc w:val="both"/>
        <w:rPr>
          <w:rFonts w:eastAsia="Times New Roman"/>
        </w:rPr>
      </w:pPr>
      <w:r>
        <w:t>The co-primary efficacy endpoints were:</w:t>
      </w:r>
    </w:p>
    <w:p w14:paraId="75F4E3B3" w14:textId="4255670F" w:rsidR="00735D2B" w:rsidRDefault="00735D2B" w:rsidP="00556097">
      <w:pPr>
        <w:pStyle w:val="ListBullet"/>
      </w:pPr>
      <w:r>
        <w:t>the proportion of patients that achieved function</w:t>
      </w:r>
      <w:r w:rsidR="002711F5">
        <w:t>al independent sitting for ≥ 30 seconds at 18 months of age;</w:t>
      </w:r>
      <w:r w:rsidR="000A2E25">
        <w:t xml:space="preserve"> and</w:t>
      </w:r>
    </w:p>
    <w:p w14:paraId="4ED032C7" w14:textId="77777777" w:rsidR="00735D2B" w:rsidRDefault="00735D2B" w:rsidP="00556097">
      <w:pPr>
        <w:pStyle w:val="ListBullet"/>
      </w:pPr>
      <w:r>
        <w:t>survival without permanent ventilation at 14 months of age.</w:t>
      </w:r>
    </w:p>
    <w:p w14:paraId="2438D3BC" w14:textId="77777777" w:rsidR="00735D2B" w:rsidRPr="00FA4F90" w:rsidRDefault="00735D2B" w:rsidP="00735D2B">
      <w:r w:rsidRPr="00FA4F90">
        <w:t>The co-secondary efficacy endpoints were:</w:t>
      </w:r>
    </w:p>
    <w:p w14:paraId="331FAC2A" w14:textId="77777777" w:rsidR="00735D2B" w:rsidRDefault="00735D2B" w:rsidP="00556097">
      <w:pPr>
        <w:pStyle w:val="ListBullet"/>
      </w:pPr>
      <w:r w:rsidRPr="00FA4F90">
        <w:t>The proportion of patients maintaining the ability to thrive at 18 months of age</w:t>
      </w:r>
      <w:r>
        <w:t>, defined as achieving all of the following:</w:t>
      </w:r>
    </w:p>
    <w:p w14:paraId="611C8B11" w14:textId="0E5A84D6" w:rsidR="00735D2B" w:rsidRDefault="002711F5" w:rsidP="00556097">
      <w:pPr>
        <w:pStyle w:val="ListBullet2"/>
      </w:pPr>
      <w:r>
        <w:t>d</w:t>
      </w:r>
      <w:r w:rsidR="00735D2B">
        <w:t xml:space="preserve">oes not receive nutrition </w:t>
      </w:r>
      <w:r w:rsidR="00556097">
        <w:t>through mechanical support (for example</w:t>
      </w:r>
      <w:r w:rsidR="00735D2B">
        <w:t>, feeding tube) or other non-oral method</w:t>
      </w:r>
      <w:r>
        <w:t>;</w:t>
      </w:r>
    </w:p>
    <w:p w14:paraId="1F0FF3C7" w14:textId="3D067093" w:rsidR="00735D2B" w:rsidRDefault="002711F5" w:rsidP="00556097">
      <w:pPr>
        <w:pStyle w:val="ListBullet2"/>
      </w:pPr>
      <w:r>
        <w:t>a</w:t>
      </w:r>
      <w:r w:rsidR="00735D2B">
        <w:t>bility to tolerate thin liquids as demonstrated through a formal swallowing test</w:t>
      </w:r>
      <w:r>
        <w:t>;</w:t>
      </w:r>
      <w:r w:rsidR="000A2E25">
        <w:t xml:space="preserve"> and</w:t>
      </w:r>
    </w:p>
    <w:p w14:paraId="4207E2A6" w14:textId="751660E0" w:rsidR="00735D2B" w:rsidRDefault="002711F5" w:rsidP="00556097">
      <w:pPr>
        <w:pStyle w:val="ListBullet2"/>
      </w:pPr>
      <w:r>
        <w:t>m</w:t>
      </w:r>
      <w:r w:rsidR="00735D2B">
        <w:t xml:space="preserve">aintains weight (&gt; </w:t>
      </w:r>
      <w:r w:rsidR="00556097">
        <w:t>third</w:t>
      </w:r>
      <w:r w:rsidR="00735D2B">
        <w:t xml:space="preserve"> percentile for age and gender)</w:t>
      </w:r>
      <w:r>
        <w:t>.</w:t>
      </w:r>
    </w:p>
    <w:p w14:paraId="438ECD7A" w14:textId="77777777" w:rsidR="00735D2B" w:rsidRPr="00FA4F90" w:rsidRDefault="00735D2B" w:rsidP="00556097">
      <w:pPr>
        <w:pStyle w:val="ListBullet"/>
      </w:pPr>
      <w:r w:rsidRPr="00FA4F90">
        <w:t xml:space="preserve">The proportion of patients who were independent of </w:t>
      </w:r>
      <w:proofErr w:type="spellStart"/>
      <w:r w:rsidRPr="00FA4F90">
        <w:t>ventilatory</w:t>
      </w:r>
      <w:proofErr w:type="spellEnd"/>
      <w:r w:rsidRPr="00FA4F90">
        <w:t xml:space="preserve"> support</w:t>
      </w:r>
      <w:r w:rsidRPr="00007656">
        <w:t xml:space="preserve"> </w:t>
      </w:r>
      <w:r w:rsidRPr="00FA4F90">
        <w:t>at 18 months of age</w:t>
      </w:r>
      <w:r>
        <w:t>, defined as requiring no daily ventilator support/usage, excluding acute reversible illness and peri-operative ventilation.</w:t>
      </w:r>
    </w:p>
    <w:p w14:paraId="586D8C9F" w14:textId="769D5D4D" w:rsidR="00735D2B" w:rsidRDefault="00735D2B" w:rsidP="00735D2B">
      <w:r>
        <w:t xml:space="preserve">Exploratory efficacy endpoints </w:t>
      </w:r>
      <w:r w:rsidR="002711F5">
        <w:t xml:space="preserve">included motor milestones, CHOP </w:t>
      </w:r>
      <w:r>
        <w:t>IN</w:t>
      </w:r>
      <w:r w:rsidR="00556097">
        <w:t>TEND scores and Bayley Scales.</w:t>
      </w:r>
      <w:r w:rsidR="001E55B4">
        <w:rPr>
          <w:rStyle w:val="FootnoteReference"/>
        </w:rPr>
        <w:footnoteReference w:id="15"/>
      </w:r>
    </w:p>
    <w:p w14:paraId="7DB89EA7" w14:textId="467037D8" w:rsidR="00735D2B" w:rsidRDefault="00735D2B" w:rsidP="00735D2B">
      <w:r>
        <w:t>For the first co-primary endpoint, 13 of 22 patients (59.1%) were able to sit independently for ≥ 30 seconds at 18 months of age; one additional patient achieved it at an earlier ag</w:t>
      </w:r>
      <w:r w:rsidR="002711F5">
        <w:t xml:space="preserve">e point, but not at 18 months. </w:t>
      </w:r>
      <w:r>
        <w:t>The mean age when this milestone was first demonstrated was 12.91 mont</w:t>
      </w:r>
      <w:r w:rsidR="005E4560">
        <w:t xml:space="preserve">hs (range 9.2 to 18.6 months). </w:t>
      </w:r>
      <w:r>
        <w:t>This represents a significant improvement compared to PNCR historical controls, none of whom were able to achieve independent sitting.</w:t>
      </w:r>
    </w:p>
    <w:p w14:paraId="2EAB6647" w14:textId="7C9A3642" w:rsidR="00735D2B" w:rsidRDefault="00735D2B" w:rsidP="00735D2B">
      <w:pPr>
        <w:rPr>
          <w:rFonts w:eastAsia="Times New Roman"/>
        </w:rPr>
      </w:pPr>
      <w:r>
        <w:t>For the second co-primary endpoint, 20 of 22 patients (90.9%) survived without perma</w:t>
      </w:r>
      <w:r w:rsidR="002711F5">
        <w:t xml:space="preserve">nent ventilation at 14 months. </w:t>
      </w:r>
      <w:r>
        <w:t>This represents a significant improvement compared to the 25% event-free survival at this age in the PNCR</w:t>
      </w:r>
      <w:r w:rsidR="005E4560">
        <w:t xml:space="preserve"> historical cohort (p &lt; 0.0001). </w:t>
      </w:r>
      <w:r>
        <w:t>The same 20 patients (90.9%) survived e</w:t>
      </w:r>
      <w:r w:rsidR="005E4560">
        <w:t xml:space="preserve">vent-free at 18 months of age. </w:t>
      </w:r>
      <w:r>
        <w:t>The two patients who discontinued prior to 13.6 months of age included one who died at age 7.8 months due to respiratory failure and another who discontinued (withdrew consent) at 11.9 months of age, having met permanent ventilation criteria prior to withdrawal of consent.</w:t>
      </w:r>
      <w:r w:rsidR="000A2E25">
        <w:t xml:space="preserve"> Figure 4 </w:t>
      </w:r>
      <w:r w:rsidR="00DA0EB9">
        <w:t>shows</w:t>
      </w:r>
      <w:r w:rsidR="000A2E25">
        <w:t xml:space="preserve"> a Kaplan-Meier plot for event free survival for the study cohort and the historical comparator (PNCR cohort)</w:t>
      </w:r>
      <w:r w:rsidR="001853C7">
        <w:t>.</w:t>
      </w:r>
    </w:p>
    <w:p w14:paraId="007F8425" w14:textId="23573CD8" w:rsidR="00735D2B" w:rsidRPr="000C1DEF" w:rsidRDefault="00735D2B" w:rsidP="005E4560">
      <w:pPr>
        <w:pStyle w:val="TableTitle"/>
      </w:pPr>
      <w:r>
        <w:t xml:space="preserve">Figure </w:t>
      </w:r>
      <w:fldSimple w:instr=" SEQ Figure \* ARABIC ">
        <w:r w:rsidR="009C2F61">
          <w:rPr>
            <w:noProof/>
          </w:rPr>
          <w:t>4</w:t>
        </w:r>
      </w:fldSimple>
      <w:r w:rsidR="005E4560">
        <w:t xml:space="preserve">: Study AVXS-101-CL-303 </w:t>
      </w:r>
      <w:r>
        <w:t xml:space="preserve">Kaplan-Meier </w:t>
      </w:r>
      <w:r w:rsidR="005E4560">
        <w:t>plot for event-free survival</w:t>
      </w:r>
    </w:p>
    <w:p w14:paraId="6DEA7217" w14:textId="77777777" w:rsidR="005E4560" w:rsidRDefault="00735D2B" w:rsidP="00735D2B">
      <w:r>
        <w:rPr>
          <w:noProof/>
          <w:lang w:eastAsia="en-AU"/>
        </w:rPr>
        <w:drawing>
          <wp:inline distT="0" distB="0" distL="0" distR="0" wp14:anchorId="4C844A1C" wp14:editId="2CC31D86">
            <wp:extent cx="5033176" cy="3629770"/>
            <wp:effectExtent l="0" t="0" r="0" b="8890"/>
            <wp:docPr id="14" name="Picture 14" descr="The figure shows the Kaplan Meier curves of survival probability for Study 303 and the PNCR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8521" cy="3648048"/>
                    </a:xfrm>
                    <a:prstGeom prst="rect">
                      <a:avLst/>
                    </a:prstGeom>
                    <a:noFill/>
                    <a:ln>
                      <a:noFill/>
                    </a:ln>
                  </pic:spPr>
                </pic:pic>
              </a:graphicData>
            </a:graphic>
          </wp:inline>
        </w:drawing>
      </w:r>
    </w:p>
    <w:p w14:paraId="36FD2475" w14:textId="62B5A792" w:rsidR="00735D2B" w:rsidRDefault="00735D2B" w:rsidP="00735D2B">
      <w:pPr>
        <w:rPr>
          <w:lang w:eastAsia="ja-JP"/>
        </w:rPr>
      </w:pPr>
      <w:r>
        <w:t xml:space="preserve">For the first co-secondary endpoint, </w:t>
      </w:r>
      <w:r>
        <w:rPr>
          <w:lang w:eastAsia="ja-JP"/>
        </w:rPr>
        <w:t>9 of 22 patients (40.9%) met all three criteria for ability to thrive at 18 months, compared to an expected value of zero in the PNCR cohort.</w:t>
      </w:r>
    </w:p>
    <w:p w14:paraId="286C6C01" w14:textId="33627CFA" w:rsidR="00735D2B" w:rsidRDefault="00735D2B" w:rsidP="00735D2B">
      <w:pPr>
        <w:rPr>
          <w:lang w:eastAsia="ja-JP"/>
        </w:rPr>
      </w:pPr>
      <w:r>
        <w:rPr>
          <w:lang w:eastAsia="ja-JP"/>
        </w:rPr>
        <w:t xml:space="preserve">For the second co-secondary endpoint, 18 of 22 patients (81.8%) remained independent of </w:t>
      </w:r>
      <w:proofErr w:type="spellStart"/>
      <w:r>
        <w:rPr>
          <w:lang w:eastAsia="ja-JP"/>
        </w:rPr>
        <w:t>ventilatory</w:t>
      </w:r>
      <w:proofErr w:type="spellEnd"/>
      <w:r>
        <w:rPr>
          <w:lang w:eastAsia="ja-JP"/>
        </w:rPr>
        <w:t xml:space="preserve"> support</w:t>
      </w:r>
      <w:r w:rsidRPr="001119B7">
        <w:rPr>
          <w:lang w:eastAsia="ja-JP"/>
        </w:rPr>
        <w:t xml:space="preserve"> </w:t>
      </w:r>
      <w:r w:rsidR="005E4560">
        <w:rPr>
          <w:lang w:eastAsia="ja-JP"/>
        </w:rPr>
        <w:t>at 18 months of age. Two</w:t>
      </w:r>
      <w:r w:rsidR="002711F5">
        <w:rPr>
          <w:lang w:eastAsia="ja-JP"/>
        </w:rPr>
        <w:t xml:space="preserve"> patients used a bi-level positive airway pressure</w:t>
      </w:r>
      <w:r>
        <w:rPr>
          <w:lang w:eastAsia="ja-JP"/>
        </w:rPr>
        <w:t xml:space="preserve"> (</w:t>
      </w:r>
      <w:proofErr w:type="spellStart"/>
      <w:r>
        <w:rPr>
          <w:lang w:eastAsia="ja-JP"/>
        </w:rPr>
        <w:t>BiPAP</w:t>
      </w:r>
      <w:proofErr w:type="spellEnd"/>
      <w:r>
        <w:rPr>
          <w:lang w:eastAsia="ja-JP"/>
        </w:rPr>
        <w:t>) device, and 2 patients had withdrawn from the st</w:t>
      </w:r>
      <w:r w:rsidR="005E4560">
        <w:rPr>
          <w:lang w:eastAsia="ja-JP"/>
        </w:rPr>
        <w:t xml:space="preserve">udy prior to 18 months of age. </w:t>
      </w:r>
      <w:r>
        <w:rPr>
          <w:lang w:eastAsia="ja-JP"/>
        </w:rPr>
        <w:t xml:space="preserve">From historical data, virtually all untreated patients would be expected to require </w:t>
      </w:r>
      <w:r w:rsidRPr="001119B7">
        <w:rPr>
          <w:lang w:eastAsia="ja-JP"/>
        </w:rPr>
        <w:t>permanent</w:t>
      </w:r>
      <w:r>
        <w:rPr>
          <w:lang w:eastAsia="ja-JP"/>
        </w:rPr>
        <w:t xml:space="preserve"> </w:t>
      </w:r>
      <w:proofErr w:type="spellStart"/>
      <w:r>
        <w:rPr>
          <w:lang w:eastAsia="ja-JP"/>
        </w:rPr>
        <w:t>ventilatory</w:t>
      </w:r>
      <w:proofErr w:type="spellEnd"/>
      <w:r>
        <w:rPr>
          <w:lang w:eastAsia="ja-JP"/>
        </w:rPr>
        <w:t xml:space="preserve"> support by 18 months of age.</w:t>
      </w:r>
    </w:p>
    <w:p w14:paraId="62783CF3" w14:textId="77777777" w:rsidR="00735D2B" w:rsidRDefault="00735D2B" w:rsidP="005E4560">
      <w:pPr>
        <w:rPr>
          <w:lang w:eastAsia="ja-JP"/>
        </w:rPr>
      </w:pPr>
      <w:r>
        <w:rPr>
          <w:lang w:eastAsia="ja-JP"/>
        </w:rPr>
        <w:t>Other video-confirmed motor milestones included:</w:t>
      </w:r>
    </w:p>
    <w:p w14:paraId="39C72745" w14:textId="77777777" w:rsidR="00735D2B" w:rsidRDefault="00735D2B" w:rsidP="005E4560">
      <w:pPr>
        <w:pStyle w:val="ListBullet"/>
        <w:rPr>
          <w:rFonts w:eastAsia="Times New Roman"/>
        </w:rPr>
      </w:pPr>
      <w:r>
        <w:t>17 patients achieved head control;</w:t>
      </w:r>
    </w:p>
    <w:p w14:paraId="283A589C" w14:textId="77777777" w:rsidR="00735D2B" w:rsidRDefault="00735D2B" w:rsidP="005E4560">
      <w:pPr>
        <w:pStyle w:val="ListBullet"/>
      </w:pPr>
      <w:r>
        <w:t>13 patients achieved rolling from back to side;</w:t>
      </w:r>
    </w:p>
    <w:p w14:paraId="61662AA4" w14:textId="77777777" w:rsidR="00735D2B" w:rsidRDefault="00735D2B" w:rsidP="005E4560">
      <w:pPr>
        <w:pStyle w:val="ListBullet"/>
      </w:pPr>
      <w:r>
        <w:t>14 patients achieved sitting without support for at least 30 seconds;</w:t>
      </w:r>
    </w:p>
    <w:p w14:paraId="277ECAD8" w14:textId="77777777" w:rsidR="00735D2B" w:rsidRDefault="00735D2B" w:rsidP="005E4560">
      <w:pPr>
        <w:pStyle w:val="ListBullet"/>
      </w:pPr>
      <w:r>
        <w:t>1 patient achieved the motor milestones of crawling, pulling to stand, standing with assistance, walking with assistance, standing alone, and walking alone, as defined by the Bayley gross motor scale.</w:t>
      </w:r>
    </w:p>
    <w:p w14:paraId="46387E36" w14:textId="01BC6977" w:rsidR="00735D2B" w:rsidRDefault="00735D2B" w:rsidP="00735D2B">
      <w:r>
        <w:t>The mean incre</w:t>
      </w:r>
      <w:r w:rsidR="002711F5">
        <w:t>ases in CHOP INTEND scores from B</w:t>
      </w:r>
      <w:r>
        <w:t xml:space="preserve">aseline to Month 1, Month 3, Month 6, Month 12 and Month 14 were 6.9, 11.7, 14.6, 16.4, </w:t>
      </w:r>
      <w:r w:rsidR="002711F5">
        <w:t xml:space="preserve">and 23.5 points, respectively. </w:t>
      </w:r>
      <w:r>
        <w:t>21 p</w:t>
      </w:r>
      <w:r w:rsidR="002711F5">
        <w:t xml:space="preserve">atients (95.5%) achieved a CHOP </w:t>
      </w:r>
      <w:r>
        <w:t>INTEND score ≥ 40, 14 (63.6%) achieved a score ≥ 50, and 5 (22.7%) achieved a score ≥ 60, from a</w:t>
      </w:r>
      <w:r w:rsidR="005E4560">
        <w:t xml:space="preserve"> maximum possible score of 64. </w:t>
      </w:r>
      <w:r>
        <w:t>For</w:t>
      </w:r>
      <w:r w:rsidR="002711F5">
        <w:t xml:space="preserve"> most patients, individual CHOP </w:t>
      </w:r>
      <w:r>
        <w:t>INTEND scores improved over the duration of the study (</w:t>
      </w:r>
      <w:r>
        <w:fldChar w:fldCharType="begin"/>
      </w:r>
      <w:r>
        <w:instrText xml:space="preserve"> REF _Ref52205781 \h </w:instrText>
      </w:r>
      <w:r>
        <w:fldChar w:fldCharType="separate"/>
      </w:r>
      <w:r w:rsidR="001853C7">
        <w:t>Figure </w:t>
      </w:r>
      <w:r w:rsidR="009C2F61">
        <w:rPr>
          <w:noProof/>
        </w:rPr>
        <w:t>5</w:t>
      </w:r>
      <w:r>
        <w:fldChar w:fldCharType="end"/>
      </w:r>
      <w:r>
        <w:t>).</w:t>
      </w:r>
    </w:p>
    <w:p w14:paraId="004EAADF" w14:textId="5C738B85" w:rsidR="00735D2B" w:rsidRPr="00465A50" w:rsidRDefault="00735D2B" w:rsidP="005E4560">
      <w:pPr>
        <w:pStyle w:val="TableTitle"/>
      </w:pPr>
      <w:bookmarkStart w:id="59" w:name="_Ref52205781"/>
      <w:r>
        <w:t xml:space="preserve">Figure </w:t>
      </w:r>
      <w:fldSimple w:instr=" SEQ Figure \* ARABIC ">
        <w:r w:rsidR="009C2F61">
          <w:rPr>
            <w:noProof/>
          </w:rPr>
          <w:t>5</w:t>
        </w:r>
      </w:fldSimple>
      <w:bookmarkEnd w:id="59"/>
      <w:r w:rsidR="005E4560">
        <w:t>:</w:t>
      </w:r>
      <w:r>
        <w:t xml:space="preserve"> </w:t>
      </w:r>
      <w:r w:rsidR="005E4560" w:rsidRPr="00465A50">
        <w:t xml:space="preserve">Study AVXS-101-CL-303 </w:t>
      </w:r>
      <w:r w:rsidR="00A61CA6">
        <w:t xml:space="preserve">CHOP </w:t>
      </w:r>
      <w:r w:rsidRPr="00465A50">
        <w:t xml:space="preserve">INTEND </w:t>
      </w:r>
      <w:r w:rsidR="005E4560" w:rsidRPr="00465A50">
        <w:t>score by age</w:t>
      </w:r>
      <w:r w:rsidR="005E4560">
        <w:t xml:space="preserve"> </w:t>
      </w:r>
      <w:r w:rsidRPr="00465A50">
        <w:t>(</w:t>
      </w:r>
      <w:r w:rsidR="005E4560">
        <w:t>intent to treat p</w:t>
      </w:r>
      <w:r w:rsidRPr="00465A50">
        <w:t>opulation)</w:t>
      </w:r>
    </w:p>
    <w:p w14:paraId="7C297B1B" w14:textId="488B89C0" w:rsidR="00735D2B" w:rsidRDefault="00CD074B" w:rsidP="00735D2B">
      <w:r>
        <w:rPr>
          <w:noProof/>
          <w:lang w:eastAsia="en-AU"/>
        </w:rPr>
        <w:drawing>
          <wp:inline distT="0" distB="0" distL="0" distR="0" wp14:anchorId="78A75782" wp14:editId="1B9ACD39">
            <wp:extent cx="5400040" cy="3406140"/>
            <wp:effectExtent l="0" t="0" r="0" b="3810"/>
            <wp:docPr id="36" name="Picture 36" descr="Study AVXS-101-CL-303 CHOP-INTEND score by age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406140"/>
                    </a:xfrm>
                    <a:prstGeom prst="rect">
                      <a:avLst/>
                    </a:prstGeom>
                  </pic:spPr>
                </pic:pic>
              </a:graphicData>
            </a:graphic>
          </wp:inline>
        </w:drawing>
      </w:r>
    </w:p>
    <w:p w14:paraId="2C30578E" w14:textId="21C34D4D" w:rsidR="00CD074B" w:rsidRDefault="000A2E25" w:rsidP="00CD074B">
      <w:pPr>
        <w:pStyle w:val="TableDescription"/>
      </w:pPr>
      <w:r>
        <w:t xml:space="preserve">Note: </w:t>
      </w:r>
      <w:r w:rsidR="00CD074B">
        <w:t>Each line represents an individual patient. Patient IDs have been redacted.</w:t>
      </w:r>
    </w:p>
    <w:p w14:paraId="5E64A535" w14:textId="3ACD87AD" w:rsidR="00735D2B" w:rsidRDefault="00735D2B" w:rsidP="00735D2B">
      <w:pPr>
        <w:pStyle w:val="Heading5"/>
      </w:pPr>
      <w:r w:rsidRPr="00AA53F4">
        <w:t xml:space="preserve">Study </w:t>
      </w:r>
      <w:r>
        <w:t>AVXS-101-LT-001</w:t>
      </w:r>
    </w:p>
    <w:p w14:paraId="5622B965" w14:textId="1940E56F" w:rsidR="00735D2B" w:rsidRDefault="00D31923" w:rsidP="00735D2B">
      <w:r>
        <w:t>Study AVXS-101-LT-001</w:t>
      </w:r>
      <w:r w:rsidR="00735D2B">
        <w:t xml:space="preserve"> is an ongoing, observational, long-term follow-up study of patients who completed </w:t>
      </w:r>
      <w:r>
        <w:t>Study AVXS-101-CL-101</w:t>
      </w:r>
      <w:r w:rsidR="00735D2B">
        <w:t>, with an intended follow-up for safety monitoring for up to 15 years. This</w:t>
      </w:r>
      <w:r w:rsidR="005E4560">
        <w:t xml:space="preserve"> study consists of an initial 5 </w:t>
      </w:r>
      <w:r w:rsidR="00735D2B">
        <w:t>year phase, during which patients are assessed annually for evaluation of long-term safety and durability of efficacy,</w:t>
      </w:r>
      <w:r w:rsidR="005E4560">
        <w:t xml:space="preserve"> followed by a 10 </w:t>
      </w:r>
      <w:r w:rsidR="00735D2B">
        <w:t>year observational phase.</w:t>
      </w:r>
    </w:p>
    <w:p w14:paraId="0D2F3B0D" w14:textId="4A63B7C6" w:rsidR="00735D2B" w:rsidRDefault="00735D2B" w:rsidP="00735D2B">
      <w:r>
        <w:t xml:space="preserve">The primary objective is to collect long-term safety data, but the study is also intended to determine whether the highest achieved milestone in </w:t>
      </w:r>
      <w:r w:rsidR="00D31923">
        <w:t>Study AVXS-101-CL-101</w:t>
      </w:r>
      <w:r w:rsidR="005E4560">
        <w:t xml:space="preserve"> is maintained or surpassed.</w:t>
      </w:r>
    </w:p>
    <w:p w14:paraId="67F90FA7" w14:textId="2E7D4281" w:rsidR="00735D2B" w:rsidRPr="004D3F0B" w:rsidRDefault="00735D2B" w:rsidP="00735D2B">
      <w:r>
        <w:t>The submission included the study protocol and interim summaries of efficacy and safet</w:t>
      </w:r>
      <w:r w:rsidR="005E4560">
        <w:t xml:space="preserve">y data up to 31 December 2019. </w:t>
      </w:r>
      <w:r>
        <w:t xml:space="preserve">The </w:t>
      </w:r>
      <w:r w:rsidR="005E4560">
        <w:t xml:space="preserve">clinical study report </w:t>
      </w:r>
      <w:r w:rsidR="000673B4">
        <w:t xml:space="preserve">is </w:t>
      </w:r>
      <w:r w:rsidR="00D90CF1">
        <w:t>approximately due</w:t>
      </w:r>
      <w:r w:rsidR="005E4560">
        <w:t xml:space="preserve"> </w:t>
      </w:r>
      <w:r w:rsidR="000673B4">
        <w:t xml:space="preserve">in </w:t>
      </w:r>
      <w:r w:rsidR="00D90CF1">
        <w:t xml:space="preserve">the </w:t>
      </w:r>
      <w:r w:rsidR="000673B4">
        <w:t xml:space="preserve">fourth quarter </w:t>
      </w:r>
      <w:r w:rsidR="000A2E25">
        <w:t xml:space="preserve">of </w:t>
      </w:r>
      <w:r w:rsidR="000673B4">
        <w:t xml:space="preserve">2033 </w:t>
      </w:r>
      <w:r w:rsidRPr="004D3F0B">
        <w:t>as part of additional pharmacovigilance commitments.</w:t>
      </w:r>
    </w:p>
    <w:p w14:paraId="58DA60C5" w14:textId="1D7BAE14" w:rsidR="00735D2B" w:rsidRDefault="00735D2B" w:rsidP="00735D2B">
      <w:r>
        <w:t xml:space="preserve">13 patients have been enrolled in </w:t>
      </w:r>
      <w:r w:rsidR="005E4560">
        <w:t>Study AVXS-101-LT-001</w:t>
      </w:r>
      <w:r>
        <w:t xml:space="preserve">, 3 from </w:t>
      </w:r>
      <w:r w:rsidR="005E4560">
        <w:t xml:space="preserve">Cohort 1 and 10 from Cohort 2. </w:t>
      </w:r>
      <w:r>
        <w:t>As at the 31 December 2019 data cut-off (2 years after th</w:t>
      </w:r>
      <w:r w:rsidR="005E4560">
        <w:t xml:space="preserve">e data cut-off date for the end of </w:t>
      </w:r>
      <w:r>
        <w:t xml:space="preserve">study analyses for </w:t>
      </w:r>
      <w:r w:rsidR="00D31923">
        <w:t>Study AVXS-101-CL-101</w:t>
      </w:r>
      <w:r>
        <w:t xml:space="preserve">), all 13 patients were alive </w:t>
      </w:r>
      <w:r w:rsidR="005E4560">
        <w:t xml:space="preserve">without permanent ventilation. </w:t>
      </w:r>
      <w:r>
        <w:t>All patients from Cohort 2 either maintained all previously attained milestones or gained new milestones (</w:t>
      </w:r>
      <w:r w:rsidR="005E4560">
        <w:t xml:space="preserve">see </w:t>
      </w:r>
      <w:r>
        <w:fldChar w:fldCharType="begin"/>
      </w:r>
      <w:r>
        <w:instrText xml:space="preserve"> REF _Ref49788005 \h </w:instrText>
      </w:r>
      <w:r>
        <w:fldChar w:fldCharType="separate"/>
      </w:r>
      <w:r w:rsidR="009C2F61">
        <w:t xml:space="preserve">Table </w:t>
      </w:r>
      <w:r w:rsidR="009C2F61">
        <w:rPr>
          <w:noProof/>
        </w:rPr>
        <w:t>9</w:t>
      </w:r>
      <w:r>
        <w:fldChar w:fldCharType="end"/>
      </w:r>
      <w:r w:rsidR="002711F5">
        <w:t>), though it is noted that 7 </w:t>
      </w:r>
      <w:r>
        <w:t>patients (3 from Cohort 1 and 4 from Cohort 2) were receiving ongoing</w:t>
      </w:r>
      <w:r w:rsidR="005E4560">
        <w:t xml:space="preserve"> treatment with </w:t>
      </w:r>
      <w:proofErr w:type="spellStart"/>
      <w:r w:rsidR="005E4560">
        <w:t>nusinersen</w:t>
      </w:r>
      <w:proofErr w:type="spellEnd"/>
      <w:r w:rsidR="005E4560">
        <w:t>.</w:t>
      </w:r>
    </w:p>
    <w:p w14:paraId="4CBF3D02" w14:textId="5A2BC9B9" w:rsidR="00735D2B" w:rsidRDefault="00735D2B" w:rsidP="005E4560">
      <w:pPr>
        <w:pStyle w:val="TableTitle"/>
      </w:pPr>
      <w:bookmarkStart w:id="60" w:name="_Ref49788005"/>
      <w:r>
        <w:t xml:space="preserve">Table </w:t>
      </w:r>
      <w:fldSimple w:instr=" SEQ Table \* ARABIC ">
        <w:r w:rsidR="009C2F61">
          <w:rPr>
            <w:noProof/>
          </w:rPr>
          <w:t>9</w:t>
        </w:r>
      </w:fldSimple>
      <w:bookmarkEnd w:id="60"/>
      <w:r w:rsidR="005E4560">
        <w:t xml:space="preserve">: </w:t>
      </w:r>
      <w:r w:rsidR="00DA0EB9">
        <w:t>Studies</w:t>
      </w:r>
      <w:r w:rsidR="00D31923">
        <w:t xml:space="preserve"> AVXS-101-CL-101</w:t>
      </w:r>
      <w:r>
        <w:t xml:space="preserve"> and </w:t>
      </w:r>
      <w:r w:rsidR="00D31923">
        <w:t>AVXS-101-LT-001</w:t>
      </w:r>
      <w:r w:rsidR="000A2E25">
        <w:t xml:space="preserve"> Highest development milestone achievement</w:t>
      </w:r>
      <w:r>
        <w:t xml:space="preserve"> and </w:t>
      </w:r>
      <w:proofErr w:type="spellStart"/>
      <w:r w:rsidR="005E4560">
        <w:t>nusinersen</w:t>
      </w:r>
      <w:proofErr w:type="spellEnd"/>
      <w:r w:rsidR="005E4560">
        <w:t xml:space="preserve"> usage (data cut-off </w:t>
      </w:r>
      <w:r>
        <w:t>31 December, 2019)</w:t>
      </w:r>
    </w:p>
    <w:p w14:paraId="5F944E97" w14:textId="1A0B6786" w:rsidR="00735D2B" w:rsidRDefault="00E1586C" w:rsidP="00735D2B">
      <w:r>
        <w:rPr>
          <w:noProof/>
          <w:lang w:eastAsia="en-AU"/>
        </w:rPr>
        <w:drawing>
          <wp:inline distT="0" distB="0" distL="0" distR="0" wp14:anchorId="3C161CA1" wp14:editId="01434D82">
            <wp:extent cx="5400040" cy="2788285"/>
            <wp:effectExtent l="0" t="0" r="0" b="0"/>
            <wp:docPr id="6" name="Picture 6" descr="The table shows information for individual patients in Study CL-101 and LT-001, including highest milestone achieved in Study CL-101, highest milestone achieved in Study LT-001, nusinersen usage at Baseline in Study LT-001, and nusinersen useage at Year 1 in Study L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788285"/>
                    </a:xfrm>
                    <a:prstGeom prst="rect">
                      <a:avLst/>
                    </a:prstGeom>
                  </pic:spPr>
                </pic:pic>
              </a:graphicData>
            </a:graphic>
          </wp:inline>
        </w:drawing>
      </w:r>
    </w:p>
    <w:p w14:paraId="5797E107" w14:textId="34721F25" w:rsidR="00735D2B" w:rsidRDefault="000A2E25" w:rsidP="00E1586C">
      <w:pPr>
        <w:pStyle w:val="TableDescription"/>
      </w:pPr>
      <w:r>
        <w:t>Note: e</w:t>
      </w:r>
      <w:r w:rsidR="00CD074B">
        <w:t>ach row represents an individual patient. P</w:t>
      </w:r>
      <w:r w:rsidR="00E1586C">
        <w:t xml:space="preserve">atient IDs </w:t>
      </w:r>
      <w:r w:rsidR="00CD074B">
        <w:t xml:space="preserve">have been </w:t>
      </w:r>
      <w:r w:rsidR="00E1586C">
        <w:t>redacted.</w:t>
      </w:r>
    </w:p>
    <w:p w14:paraId="78A0B224" w14:textId="3C9BD006" w:rsidR="00735D2B" w:rsidRDefault="00735D2B" w:rsidP="00735D2B">
      <w:pPr>
        <w:pStyle w:val="Heading5"/>
      </w:pPr>
      <w:r w:rsidRPr="00AA53F4">
        <w:t xml:space="preserve">Study </w:t>
      </w:r>
      <w:r>
        <w:t>AVXS-101-CL-302</w:t>
      </w:r>
    </w:p>
    <w:p w14:paraId="47DEFECC" w14:textId="3756C791" w:rsidR="00735D2B" w:rsidRDefault="00D31923" w:rsidP="00735D2B">
      <w:r>
        <w:t>Study AVXS-101-CL-302</w:t>
      </w:r>
      <w:r w:rsidR="00E1586C">
        <w:t xml:space="preserve"> is an ongoing Phase III</w:t>
      </w:r>
      <w:r w:rsidR="002711F5">
        <w:t xml:space="preserve">, multi centre, open label, single </w:t>
      </w:r>
      <w:r w:rsidR="00735D2B">
        <w:t>arm, single-dose study being conducted in Europe to assess the</w:t>
      </w:r>
      <w:r w:rsidR="00E1586C">
        <w:t xml:space="preserve"> efficacy and safety of IV AVXS</w:t>
      </w:r>
      <w:r w:rsidR="00E1586C">
        <w:noBreakHyphen/>
      </w:r>
      <w:r w:rsidR="00735D2B">
        <w:t>101 (1.1 x 10</w:t>
      </w:r>
      <w:r w:rsidR="00735D2B" w:rsidRPr="00144B49">
        <w:rPr>
          <w:vertAlign w:val="superscript"/>
        </w:rPr>
        <w:t>14</w:t>
      </w:r>
      <w:r w:rsidR="00735D2B">
        <w:t xml:space="preserve"> vg/kg) administered prior to 6 months of age to patients with symptomatic SMA </w:t>
      </w:r>
      <w:r w:rsidR="005A2B53">
        <w:t>type</w:t>
      </w:r>
      <w:r w:rsidR="00735D2B">
        <w:t xml:space="preserve"> 1 with 1 or 2 copies of the </w:t>
      </w:r>
      <w:r w:rsidR="00E1586C" w:rsidRPr="00DA0EB9">
        <w:rPr>
          <w:i/>
        </w:rPr>
        <w:t>SMN2</w:t>
      </w:r>
      <w:r w:rsidR="00E1586C">
        <w:t xml:space="preserve"> gene. </w:t>
      </w:r>
      <w:r w:rsidR="00735D2B">
        <w:t>The primary objective is to determine efficacy by demonstrating achievement of the developmental milestone of sitting without support for at least 10 seconds at any study</w:t>
      </w:r>
      <w:r w:rsidR="00E1586C">
        <w:t xml:space="preserve"> visit up to 18 months of age. </w:t>
      </w:r>
      <w:r w:rsidR="00735D2B">
        <w:t>The secondary objective is to determine efficacy based on survival without permanent ve</w:t>
      </w:r>
      <w:r w:rsidR="00E1586C">
        <w:t xml:space="preserve">ntilation at 14 months of age. </w:t>
      </w:r>
      <w:r w:rsidR="00735D2B">
        <w:t>The submission included the study protocol and interim summaries of efficacy and safet</w:t>
      </w:r>
      <w:r w:rsidR="00E1586C">
        <w:t>y data up to 31 December 2019.</w:t>
      </w:r>
      <w:r w:rsidR="00F1696C">
        <w:t xml:space="preserve"> The clinical study report is </w:t>
      </w:r>
      <w:r w:rsidR="00D90CF1">
        <w:t xml:space="preserve">approximately due </w:t>
      </w:r>
      <w:r w:rsidR="006D57D0">
        <w:t xml:space="preserve">in the </w:t>
      </w:r>
      <w:r w:rsidR="00F1696C">
        <w:t>second quarter</w:t>
      </w:r>
      <w:r w:rsidR="006D57D0">
        <w:t xml:space="preserve"> of</w:t>
      </w:r>
      <w:r w:rsidR="00F1696C">
        <w:t xml:space="preserve"> 2021.</w:t>
      </w:r>
    </w:p>
    <w:p w14:paraId="50E1AB5B" w14:textId="217BD6B9" w:rsidR="00735D2B" w:rsidRDefault="00735D2B" w:rsidP="00735D2B">
      <w:r>
        <w:t>Enrolment of 33 patients</w:t>
      </w:r>
      <w:r w:rsidR="00E1586C">
        <w:t xml:space="preserve"> was completed on 21 May 2019. </w:t>
      </w:r>
      <w:r>
        <w:t xml:space="preserve">32 patients met the ITT criteria (symptomatic patients with bi-allelic </w:t>
      </w:r>
      <w:r w:rsidRPr="00DA0EB9">
        <w:rPr>
          <w:i/>
        </w:rPr>
        <w:t>SMN1</w:t>
      </w:r>
      <w:r>
        <w:t xml:space="preserve"> deletions and 2 copies of </w:t>
      </w:r>
      <w:r w:rsidRPr="00DA0EB9">
        <w:rPr>
          <w:i/>
        </w:rPr>
        <w:t>SMN2</w:t>
      </w:r>
      <w:r>
        <w:t xml:space="preserve"> without the c.859G</w:t>
      </w:r>
      <w:r w:rsidR="00E1586C">
        <w:t> </w:t>
      </w:r>
      <w:r>
        <w:t>&gt;</w:t>
      </w:r>
      <w:r w:rsidR="00E1586C">
        <w:t> </w:t>
      </w:r>
      <w:r>
        <w:t>C gene modifier mutation who receive an infusion of AVXS-101 at le</w:t>
      </w:r>
      <w:r w:rsidR="00E1586C">
        <w:t>ss than 180 </w:t>
      </w:r>
      <w:r>
        <w:t>days of age), which were</w:t>
      </w:r>
      <w:r w:rsidRPr="001266CA">
        <w:t xml:space="preserve"> </w:t>
      </w:r>
      <w:r>
        <w:t xml:space="preserve">similar to the ITT criteria in </w:t>
      </w:r>
      <w:r w:rsidR="00D31923">
        <w:t>Study AVXS-101-CL-303</w:t>
      </w:r>
      <w:r w:rsidR="00E1586C">
        <w:t xml:space="preserve">. </w:t>
      </w:r>
      <w:r>
        <w:t>One patient was dosed at 181 days of age, so was not i</w:t>
      </w:r>
      <w:r w:rsidR="00E1586C">
        <w:t>ncluded in the ITT population.</w:t>
      </w:r>
    </w:p>
    <w:p w14:paraId="7C779454" w14:textId="2CDA918E" w:rsidR="00735D2B" w:rsidRDefault="00735D2B" w:rsidP="00735D2B">
      <w:r>
        <w:t>The mean age at infu</w:t>
      </w:r>
      <w:r w:rsidR="00E1586C">
        <w:t>sion was 4.1 months (range 1.8 to 6.0 months). At B</w:t>
      </w:r>
      <w:r>
        <w:t xml:space="preserve">aseline, 39% of patients needed feeding support and 17% needed </w:t>
      </w:r>
      <w:proofErr w:type="spellStart"/>
      <w:r>
        <w:t>ventilatory</w:t>
      </w:r>
      <w:proofErr w:type="spellEnd"/>
      <w:r>
        <w:t xml:space="preserve"> support.</w:t>
      </w:r>
    </w:p>
    <w:p w14:paraId="1282454B" w14:textId="5151D2E2" w:rsidR="00735D2B" w:rsidRDefault="00735D2B" w:rsidP="00474E4C">
      <w:pPr>
        <w:pageBreakBefore/>
      </w:pPr>
      <w:r>
        <w:t xml:space="preserve">The primary efficacy endpoint of the study is the proportion of patients who achieve the developmental milestone of sitting without support for at least 10 seconds (by the </w:t>
      </w:r>
      <w:r w:rsidR="00E67515">
        <w:t>World Health Organization (</w:t>
      </w:r>
      <w:r>
        <w:t>WHO</w:t>
      </w:r>
      <w:r w:rsidR="00E67515">
        <w:t>)</w:t>
      </w:r>
      <w:r>
        <w:t xml:space="preserve"> definition)</w:t>
      </w:r>
      <w:r w:rsidR="00BF28AF">
        <w:rPr>
          <w:rStyle w:val="FootnoteReference"/>
        </w:rPr>
        <w:footnoteReference w:id="16"/>
      </w:r>
      <w:r>
        <w:t xml:space="preserve"> at any study</w:t>
      </w:r>
      <w:r w:rsidR="00E1586C">
        <w:t xml:space="preserve"> visit up to 18 months of age. </w:t>
      </w:r>
      <w:r>
        <w:t>The secondary efficacy endpoint is survival without permanent ventilation at 14 months of age.</w:t>
      </w:r>
    </w:p>
    <w:p w14:paraId="2AA8FB94" w14:textId="6F4A600E" w:rsidR="00735D2B" w:rsidRDefault="00735D2B" w:rsidP="00735D2B">
      <w:r>
        <w:t xml:space="preserve">As at 31 December 2019 data cut-off, 6 of 33 patients (18.8%) had achieved the primary endpoint of sitting without support for at least 10 </w:t>
      </w:r>
      <w:r w:rsidR="00E67515">
        <w:t xml:space="preserve">seconds by the WHO definition. </w:t>
      </w:r>
      <w:r>
        <w:t>32 of 33</w:t>
      </w:r>
      <w:r w:rsidR="006D57D0">
        <w:t> </w:t>
      </w:r>
      <w:r>
        <w:t xml:space="preserve">patients (97.0%) were alive </w:t>
      </w:r>
      <w:r w:rsidR="00E67515">
        <w:t xml:space="preserve">without permanent ventilation. </w:t>
      </w:r>
      <w:r>
        <w:t xml:space="preserve">One patient (3.0%) discontinued from the study at the age of 6.9 months due a </w:t>
      </w:r>
      <w:r w:rsidR="00E67515">
        <w:t>treatment emergent adverse event (</w:t>
      </w:r>
      <w:r>
        <w:t>TEAE</w:t>
      </w:r>
      <w:r w:rsidR="00E67515">
        <w:t>)</w:t>
      </w:r>
      <w:r>
        <w:t xml:space="preserve"> of </w:t>
      </w:r>
      <w:r w:rsidRPr="00A340F7">
        <w:t>respiratory distress and hypoxic-ischemic encephalopathy</w:t>
      </w:r>
      <w:r w:rsidR="00E67515">
        <w:t xml:space="preserve"> and subsequently died.</w:t>
      </w:r>
    </w:p>
    <w:p w14:paraId="2DDEB4AF" w14:textId="2291F518" w:rsidR="006D57D0" w:rsidRDefault="006D57D0" w:rsidP="00735D2B">
      <w:r>
        <w:t>Figure 6 show</w:t>
      </w:r>
      <w:r w:rsidR="00DA0EB9">
        <w:t>s</w:t>
      </w:r>
      <w:r>
        <w:t xml:space="preserve"> a timeline of event free survival for each study patient.</w:t>
      </w:r>
    </w:p>
    <w:p w14:paraId="2FC8327C" w14:textId="00427478" w:rsidR="00735D2B" w:rsidRPr="00910190" w:rsidRDefault="00735D2B" w:rsidP="00E67515">
      <w:pPr>
        <w:pStyle w:val="FigureTitle"/>
      </w:pPr>
      <w:r w:rsidRPr="00910190">
        <w:t xml:space="preserve">Figure </w:t>
      </w:r>
      <w:fldSimple w:instr=" SEQ Figure \* ARABIC ">
        <w:r w:rsidR="009C2F61">
          <w:rPr>
            <w:noProof/>
          </w:rPr>
          <w:t>6</w:t>
        </w:r>
      </w:fldSimple>
      <w:r w:rsidR="00E67515">
        <w:t>:</w:t>
      </w:r>
      <w:r w:rsidRPr="00910190">
        <w:t xml:space="preserve"> </w:t>
      </w:r>
      <w:r w:rsidR="006D57D0" w:rsidRPr="00910190">
        <w:t xml:space="preserve">Study AVXS-101-CL-302 </w:t>
      </w:r>
      <w:r w:rsidRPr="00910190">
        <w:t>Event-</w:t>
      </w:r>
      <w:r w:rsidR="00BF28AF" w:rsidRPr="00910190">
        <w:t xml:space="preserve">free survival </w:t>
      </w:r>
      <w:r w:rsidRPr="00910190">
        <w:t>(</w:t>
      </w:r>
      <w:r w:rsidR="00E67515" w:rsidRPr="00910190">
        <w:t>safety population</w:t>
      </w:r>
      <w:r w:rsidR="00A61CA6">
        <w:t>, 31 </w:t>
      </w:r>
      <w:r w:rsidRPr="00910190">
        <w:t>Dec</w:t>
      </w:r>
      <w:r w:rsidR="00E67515">
        <w:t>ember 2019 c</w:t>
      </w:r>
      <w:r w:rsidRPr="00910190">
        <w:t>ut</w:t>
      </w:r>
      <w:r>
        <w:t>-</w:t>
      </w:r>
      <w:r w:rsidRPr="00910190">
        <w:t>off)</w:t>
      </w:r>
    </w:p>
    <w:p w14:paraId="2E459118" w14:textId="023FCCD0" w:rsidR="00735D2B" w:rsidRDefault="00E67515" w:rsidP="00735D2B">
      <w:r>
        <w:rPr>
          <w:noProof/>
          <w:lang w:eastAsia="en-AU"/>
        </w:rPr>
        <w:drawing>
          <wp:inline distT="0" distB="0" distL="0" distR="0" wp14:anchorId="05B2867E" wp14:editId="74808783">
            <wp:extent cx="5400040" cy="2966085"/>
            <wp:effectExtent l="0" t="0" r="0" b="5715"/>
            <wp:docPr id="8" name="Picture 8" descr="Event-free survival in Study AVXS-101-CL-302 (safety population, 31 December 2019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966085"/>
                    </a:xfrm>
                    <a:prstGeom prst="rect">
                      <a:avLst/>
                    </a:prstGeom>
                  </pic:spPr>
                </pic:pic>
              </a:graphicData>
            </a:graphic>
          </wp:inline>
        </w:drawing>
      </w:r>
    </w:p>
    <w:p w14:paraId="3DDC1B96" w14:textId="6FF744C6" w:rsidR="00735D2B" w:rsidRDefault="00CD074B" w:rsidP="00E67515">
      <w:pPr>
        <w:pStyle w:val="TableDescription"/>
      </w:pPr>
      <w:r>
        <w:t>Each bar represents an individual patient. P</w:t>
      </w:r>
      <w:r w:rsidR="00E67515">
        <w:t xml:space="preserve">atient IDs </w:t>
      </w:r>
      <w:r>
        <w:t xml:space="preserve">have been </w:t>
      </w:r>
      <w:r w:rsidR="00E67515">
        <w:t>redacted.</w:t>
      </w:r>
    </w:p>
    <w:p w14:paraId="401B297A" w14:textId="6AF1EA0C" w:rsidR="00735D2B" w:rsidRDefault="00735D2B" w:rsidP="00735D2B">
      <w:pPr>
        <w:pStyle w:val="Heading5"/>
      </w:pPr>
      <w:r w:rsidRPr="00AA53F4">
        <w:t xml:space="preserve">Study </w:t>
      </w:r>
      <w:r>
        <w:t>AVXS-101-CL-304</w:t>
      </w:r>
    </w:p>
    <w:p w14:paraId="6D12FAF2" w14:textId="0F072AA3" w:rsidR="00735D2B" w:rsidRDefault="00D31923" w:rsidP="00735D2B">
      <w:r>
        <w:t>Study AVXS-101-CL-304</w:t>
      </w:r>
      <w:r w:rsidR="00D24401">
        <w:t xml:space="preserve"> is an ongoing Phase III</w:t>
      </w:r>
      <w:r w:rsidR="00735D2B">
        <w:t>, mul</w:t>
      </w:r>
      <w:r w:rsidR="00BF28AF">
        <w:t xml:space="preserve">ti </w:t>
      </w:r>
      <w:r w:rsidR="00735D2B">
        <w:t>centr</w:t>
      </w:r>
      <w:r w:rsidR="00D24401">
        <w:t xml:space="preserve">e, open label, single arm, single </w:t>
      </w:r>
      <w:r w:rsidR="00735D2B">
        <w:t>dose study to assess the efficacy and safety of IV AVXS-101 (1.1 x 10</w:t>
      </w:r>
      <w:r w:rsidR="00735D2B" w:rsidRPr="00144B49">
        <w:rPr>
          <w:vertAlign w:val="superscript"/>
        </w:rPr>
        <w:t>14</w:t>
      </w:r>
      <w:r w:rsidR="00735D2B">
        <w:t xml:space="preserve"> vg/kg) administered prior to 6 weeks of age in genetically diagnosed and pre-symptomatic patients who are expected to develop SMA </w:t>
      </w:r>
      <w:r w:rsidR="005A2B53">
        <w:t>type</w:t>
      </w:r>
      <w:r w:rsidR="00735D2B">
        <w:t xml:space="preserve"> 1 or 2, and who have bi-allelic deletions of </w:t>
      </w:r>
      <w:r w:rsidR="00735D2B" w:rsidRPr="00DA0EB9">
        <w:rPr>
          <w:i/>
        </w:rPr>
        <w:t>S</w:t>
      </w:r>
      <w:r w:rsidR="00D24401" w:rsidRPr="00DA0EB9">
        <w:rPr>
          <w:i/>
        </w:rPr>
        <w:t>MN1</w:t>
      </w:r>
      <w:r w:rsidR="00D24401">
        <w:t xml:space="preserve"> and 2 or 3 copies of </w:t>
      </w:r>
      <w:r w:rsidR="00D24401" w:rsidRPr="00DA0EB9">
        <w:rPr>
          <w:i/>
        </w:rPr>
        <w:t>SMN2</w:t>
      </w:r>
      <w:r w:rsidR="00D24401">
        <w:t>.</w:t>
      </w:r>
    </w:p>
    <w:p w14:paraId="0C31F6A6" w14:textId="0FE7DF65" w:rsidR="00735D2B" w:rsidRDefault="00735D2B" w:rsidP="00735D2B">
      <w:r>
        <w:t>The submission included the study protocol and interim summaries of efficacy and safet</w:t>
      </w:r>
      <w:r w:rsidR="00D24401">
        <w:t xml:space="preserve">y data up to 31 December 2019. </w:t>
      </w:r>
      <w:r>
        <w:t xml:space="preserve">The </w:t>
      </w:r>
      <w:r w:rsidR="00D24401">
        <w:t xml:space="preserve">clinical study report </w:t>
      </w:r>
      <w:r w:rsidR="00F1696C">
        <w:t xml:space="preserve">is </w:t>
      </w:r>
      <w:r w:rsidR="00D90CF1">
        <w:t xml:space="preserve">approximately due </w:t>
      </w:r>
      <w:r w:rsidR="00F1696C">
        <w:t xml:space="preserve">in </w:t>
      </w:r>
      <w:r w:rsidR="00D90CF1">
        <w:t xml:space="preserve">the </w:t>
      </w:r>
      <w:r w:rsidR="00F1696C">
        <w:t xml:space="preserve">first quarter 2022 </w:t>
      </w:r>
      <w:r w:rsidRPr="009825F4">
        <w:t>as part of additional pharmacovigilance commitments</w:t>
      </w:r>
      <w:r>
        <w:t>.</w:t>
      </w:r>
    </w:p>
    <w:p w14:paraId="73D004F6" w14:textId="3CA5EC55" w:rsidR="00735D2B" w:rsidRDefault="00735D2B" w:rsidP="00735D2B">
      <w:r>
        <w:t xml:space="preserve">Enrolment was completed on 8 November 2019 with 30 patients, 14 having 2 copies of </w:t>
      </w:r>
      <w:r w:rsidRPr="00DA0EB9">
        <w:rPr>
          <w:i/>
        </w:rPr>
        <w:t>SMN2</w:t>
      </w:r>
      <w:r w:rsidRPr="00A216FA">
        <w:t xml:space="preserve"> </w:t>
      </w:r>
      <w:r>
        <w:t>(Cohort 1) and 15 havin</w:t>
      </w:r>
      <w:r w:rsidR="00D24401">
        <w:t xml:space="preserve">g 3 copies of </w:t>
      </w:r>
      <w:r w:rsidR="00D24401" w:rsidRPr="00DA0EB9">
        <w:rPr>
          <w:i/>
        </w:rPr>
        <w:t>SMN2</w:t>
      </w:r>
      <w:r w:rsidR="00D24401">
        <w:t xml:space="preserve"> (Cohort 2). One</w:t>
      </w:r>
      <w:r>
        <w:t xml:space="preserve"> patient initially enrolled in Cohort 2 was later found to have 4 copies of SMN2, so is not accounted as a participant of Cohort 2 and is not part of the ITT population, but is included in the safety population.</w:t>
      </w:r>
      <w:r w:rsidRPr="0011714F">
        <w:t xml:space="preserve"> </w:t>
      </w:r>
      <w:r>
        <w:t>Efficacy will be assessed ind</w:t>
      </w:r>
      <w:r w:rsidR="00D24401">
        <w:t>ependently for the each cohort.</w:t>
      </w:r>
      <w:r>
        <w:t xml:space="preserve"> The two cohorts have different underlying genetics, so different endpoints have </w:t>
      </w:r>
      <w:r w:rsidR="00D24401">
        <w:t>been selected for each cohort.</w:t>
      </w:r>
    </w:p>
    <w:p w14:paraId="0E5B3639" w14:textId="53186CE3" w:rsidR="00735D2B" w:rsidRDefault="00735D2B" w:rsidP="00735D2B">
      <w:r>
        <w:rPr>
          <w:lang w:eastAsia="ja-JP"/>
        </w:rPr>
        <w:t xml:space="preserve">The primary efficacy endpoint for Cohort 1 is the proportion of patients achieving the development milestone of functional independent sitting for at least 30 seconds at any visit up to 18 months of age. The first secondary efficacy endpoint for Cohort 1 is survival without permanent ventilation at 14 months of age. </w:t>
      </w:r>
      <w:r>
        <w:t>The primary efficacy endpoint in Cohort 2 is the proportion of patients achieving the development milestone of the ability to stand without support for at least 3 seconds at any vis</w:t>
      </w:r>
      <w:r w:rsidR="00D24401">
        <w:t xml:space="preserve">it up to the age of 24 months. </w:t>
      </w:r>
      <w:r>
        <w:t>The secondary efficacy endpoint for Cohort 2 is the proportion of patients demonstrating the ability to take at least 5 steps independently displaying coordination and balance at any vis</w:t>
      </w:r>
      <w:r w:rsidR="00D24401">
        <w:t>it up to the age of 24 months.</w:t>
      </w:r>
    </w:p>
    <w:p w14:paraId="5C3BEF10" w14:textId="66BD7088" w:rsidR="00735D2B" w:rsidRDefault="00735D2B" w:rsidP="00735D2B">
      <w:r>
        <w:t>Efficacy data were immature at the 31 De</w:t>
      </w:r>
      <w:r w:rsidR="00D24401">
        <w:t xml:space="preserve">cember 2019 data cut-off date. </w:t>
      </w:r>
      <w:r>
        <w:t xml:space="preserve">Patients in </w:t>
      </w:r>
      <w:r w:rsidR="00BF28AF">
        <w:t>Cohort </w:t>
      </w:r>
      <w:r w:rsidRPr="009B6BF0">
        <w:t xml:space="preserve">1 (2 copies of </w:t>
      </w:r>
      <w:r w:rsidRPr="00DA0EB9">
        <w:rPr>
          <w:i/>
          <w:iCs/>
        </w:rPr>
        <w:t>SMN2</w:t>
      </w:r>
      <w:r w:rsidRPr="009B6BF0">
        <w:rPr>
          <w:iCs/>
        </w:rPr>
        <w:t>)</w:t>
      </w:r>
      <w:r w:rsidRPr="009B6BF0">
        <w:t xml:space="preserve"> were between 6 and 18.6 months</w:t>
      </w:r>
      <w:r>
        <w:t xml:space="preserve"> of age</w:t>
      </w:r>
      <w:r w:rsidRPr="009B6BF0">
        <w:t xml:space="preserve">, and patients in Cohort 2 (3 copies of </w:t>
      </w:r>
      <w:r w:rsidRPr="00DA0EB9">
        <w:rPr>
          <w:i/>
          <w:iCs/>
        </w:rPr>
        <w:t>SMN2</w:t>
      </w:r>
      <w:r w:rsidRPr="009B6BF0">
        <w:rPr>
          <w:iCs/>
        </w:rPr>
        <w:t>)</w:t>
      </w:r>
      <w:r w:rsidRPr="009B6BF0">
        <w:t xml:space="preserve"> were between 3.3 and 15.1 months of age at their most recent</w:t>
      </w:r>
      <w:r w:rsidR="00D24401">
        <w:t xml:space="preserve"> visit. </w:t>
      </w:r>
      <w:r>
        <w:t>As at 31 December 2019</w:t>
      </w:r>
      <w:r>
        <w:rPr>
          <w:lang w:eastAsia="ja-JP"/>
        </w:rPr>
        <w:t xml:space="preserve">, all patients were alive and </w:t>
      </w:r>
      <w:r w:rsidR="00D24401">
        <w:rPr>
          <w:lang w:eastAsia="ja-JP"/>
        </w:rPr>
        <w:t xml:space="preserve">free of permanent ventilation. </w:t>
      </w:r>
      <w:r>
        <w:rPr>
          <w:lang w:eastAsia="ja-JP"/>
        </w:rPr>
        <w:t xml:space="preserve">No patients required </w:t>
      </w:r>
      <w:proofErr w:type="spellStart"/>
      <w:r>
        <w:rPr>
          <w:lang w:eastAsia="ja-JP"/>
        </w:rPr>
        <w:t>ventilatory</w:t>
      </w:r>
      <w:proofErr w:type="spellEnd"/>
      <w:r>
        <w:rPr>
          <w:lang w:eastAsia="ja-JP"/>
        </w:rPr>
        <w:t xml:space="preserve"> support of any kind.</w:t>
      </w:r>
    </w:p>
    <w:p w14:paraId="024F2829" w14:textId="259D40D5" w:rsidR="00735D2B" w:rsidRDefault="00735D2B" w:rsidP="00735D2B">
      <w:r>
        <w:rPr>
          <w:lang w:eastAsia="ja-JP"/>
        </w:rPr>
        <w:t>In Cohort 1, 8 of 14</w:t>
      </w:r>
      <w:r w:rsidRPr="00A216FA">
        <w:rPr>
          <w:lang w:eastAsia="ja-JP"/>
        </w:rPr>
        <w:t xml:space="preserve"> </w:t>
      </w:r>
      <w:r>
        <w:rPr>
          <w:lang w:eastAsia="ja-JP"/>
        </w:rPr>
        <w:t>patients (57.1%) had achieved the primary efficacy endpoint of sitting without support for 30 seconds.</w:t>
      </w:r>
      <w:r w:rsidR="00D24401">
        <w:t xml:space="preserve"> </w:t>
      </w:r>
      <w:r>
        <w:t>The 6 patients who had not achieved this endpoint by the cut-off date were all younger than 9.2 months of age (the 99</w:t>
      </w:r>
      <w:r w:rsidRPr="00DA0EB9">
        <w:t>th</w:t>
      </w:r>
      <w:r>
        <w:t xml:space="preserve"> percentile for sitting without support) at their last visit prior to the cu</w:t>
      </w:r>
      <w:r w:rsidR="00D24401">
        <w:t>t-off.</w:t>
      </w:r>
    </w:p>
    <w:p w14:paraId="7ABFC59A" w14:textId="2D399C2D" w:rsidR="00CD074B" w:rsidRDefault="00735D2B" w:rsidP="00FF2204">
      <w:r>
        <w:t>In Cohort 2, 4 of 15 patients (26.7%) had achieved the primary efficacy endpoint of standing without support (at ages of 9.5 months, 12.0 months,</w:t>
      </w:r>
      <w:r w:rsidR="00D24401">
        <w:t xml:space="preserve"> 12.2 months and 12.4</w:t>
      </w:r>
      <w:r w:rsidR="006D57D0">
        <w:t> </w:t>
      </w:r>
      <w:r w:rsidR="00D24401">
        <w:t xml:space="preserve">months). </w:t>
      </w:r>
      <w:r>
        <w:t>All 15 patients were less than 16.9 months of age (the 99th percentile for d</w:t>
      </w:r>
      <w:r w:rsidR="00D24401">
        <w:t xml:space="preserve">evelopment of standing alone). </w:t>
      </w:r>
      <w:r>
        <w:t>2 patients in Cohort 2 had also achieved the secondary efficacy endpoint of walking alone for at least 5 steps (at ages of</w:t>
      </w:r>
      <w:r w:rsidR="00D24401">
        <w:t xml:space="preserve"> 12.2 months and 15.1</w:t>
      </w:r>
      <w:r w:rsidR="006D57D0">
        <w:t> </w:t>
      </w:r>
      <w:r w:rsidR="00D24401">
        <w:t>months).</w:t>
      </w:r>
    </w:p>
    <w:p w14:paraId="2D39DC1C" w14:textId="6406C71B" w:rsidR="006D57D0" w:rsidRPr="00CD074B" w:rsidRDefault="00DA0EB9" w:rsidP="00FF2204">
      <w:r>
        <w:fldChar w:fldCharType="begin"/>
      </w:r>
      <w:r>
        <w:instrText xml:space="preserve"> REF _Ref68106532 \h </w:instrText>
      </w:r>
      <w:r>
        <w:fldChar w:fldCharType="separate"/>
      </w:r>
      <w:r w:rsidR="009C2F61">
        <w:t xml:space="preserve">Figure </w:t>
      </w:r>
      <w:r w:rsidR="009C2F61">
        <w:rPr>
          <w:noProof/>
        </w:rPr>
        <w:t>7</w:t>
      </w:r>
      <w:r>
        <w:fldChar w:fldCharType="end"/>
      </w:r>
      <w:r>
        <w:t xml:space="preserve"> </w:t>
      </w:r>
      <w:r w:rsidR="006D57D0">
        <w:t>sho</w:t>
      </w:r>
      <w:r>
        <w:t>ws</w:t>
      </w:r>
      <w:r w:rsidR="006D57D0">
        <w:t xml:space="preserve"> the event free survival for Cohorts 1 and 2.</w:t>
      </w:r>
    </w:p>
    <w:p w14:paraId="38628E41" w14:textId="6F019AED" w:rsidR="006D57D0" w:rsidRDefault="006D57D0" w:rsidP="00FF2204">
      <w:pPr>
        <w:pStyle w:val="FigureTitle"/>
      </w:pPr>
      <w:bookmarkStart w:id="61" w:name="_Ref68106532"/>
      <w:r>
        <w:t xml:space="preserve">Figure </w:t>
      </w:r>
      <w:fldSimple w:instr=" SEQ Figure \* ARABIC ">
        <w:r w:rsidR="009C2F61">
          <w:rPr>
            <w:noProof/>
          </w:rPr>
          <w:t>7</w:t>
        </w:r>
      </w:fldSimple>
      <w:bookmarkEnd w:id="61"/>
      <w:r>
        <w:t xml:space="preserve">: </w:t>
      </w:r>
      <w:r w:rsidRPr="00C86431">
        <w:t>Study AVXS-101-CL-304</w:t>
      </w:r>
      <w:r>
        <w:t xml:space="preserve"> </w:t>
      </w:r>
      <w:r w:rsidRPr="00C86431">
        <w:t>Event-free survival in</w:t>
      </w:r>
      <w:r>
        <w:t xml:space="preserve"> Cohort 1 (2 copies of </w:t>
      </w:r>
      <w:r w:rsidRPr="003F408A">
        <w:rPr>
          <w:i/>
        </w:rPr>
        <w:t>SMN2</w:t>
      </w:r>
      <w:r>
        <w:t xml:space="preserve">) and Cohort 2 (3 copies of </w:t>
      </w:r>
      <w:r w:rsidRPr="003F408A">
        <w:rPr>
          <w:i/>
        </w:rPr>
        <w:t>SMN2</w:t>
      </w:r>
      <w:r>
        <w:t xml:space="preserve">), </w:t>
      </w:r>
      <w:r w:rsidRPr="00C86431">
        <w:t>safety population</w:t>
      </w:r>
      <w:r>
        <w:t xml:space="preserve"> (31 December 2019 data cut-off)</w:t>
      </w:r>
    </w:p>
    <w:p w14:paraId="1587A53D" w14:textId="04D835A9" w:rsidR="00735D2B" w:rsidRDefault="00CD074B" w:rsidP="00735D2B">
      <w:r>
        <w:rPr>
          <w:noProof/>
          <w:lang w:eastAsia="en-AU"/>
        </w:rPr>
        <w:drawing>
          <wp:inline distT="0" distB="0" distL="0" distR="0" wp14:anchorId="389B5782" wp14:editId="6924A930">
            <wp:extent cx="5216056" cy="6080286"/>
            <wp:effectExtent l="0" t="0" r="3810" b="0"/>
            <wp:docPr id="25" name="Picture 25" descr="Event-free survival in Study AVXS-101-CL-304, Cohort 1 (2 copies of SMN2) and Cohort 2 (3 copies SMN2), safety population, 31 December 2019 data 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1088" cy="6156093"/>
                    </a:xfrm>
                    <a:prstGeom prst="rect">
                      <a:avLst/>
                    </a:prstGeom>
                  </pic:spPr>
                </pic:pic>
              </a:graphicData>
            </a:graphic>
          </wp:inline>
        </w:drawing>
      </w:r>
    </w:p>
    <w:p w14:paraId="758F56C7" w14:textId="74A27762" w:rsidR="00CD074B" w:rsidRDefault="00CD074B" w:rsidP="00CD074B">
      <w:pPr>
        <w:pStyle w:val="TableDescription"/>
      </w:pPr>
      <w:r>
        <w:t xml:space="preserve">Each bar represents an individual patient. Patients IDs </w:t>
      </w:r>
      <w:r w:rsidR="001853C7">
        <w:t xml:space="preserve">have been </w:t>
      </w:r>
      <w:r>
        <w:t>redacted.</w:t>
      </w:r>
    </w:p>
    <w:p w14:paraId="5A3E2522" w14:textId="01D83DED" w:rsidR="00735D2B" w:rsidRDefault="00BF28AF" w:rsidP="00735D2B">
      <w:r>
        <w:t xml:space="preserve">CHOP </w:t>
      </w:r>
      <w:r w:rsidR="00735D2B">
        <w:t xml:space="preserve">INTEND results for Cohort 1 are shown in </w:t>
      </w:r>
      <w:r w:rsidR="00735D2B">
        <w:fldChar w:fldCharType="begin"/>
      </w:r>
      <w:r w:rsidR="00735D2B">
        <w:instrText xml:space="preserve"> REF _Ref51255921 \h  \* MERGEFORMAT </w:instrText>
      </w:r>
      <w:r w:rsidR="00735D2B">
        <w:fldChar w:fldCharType="separate"/>
      </w:r>
      <w:r w:rsidR="009C2F61">
        <w:t xml:space="preserve">Figure </w:t>
      </w:r>
      <w:r w:rsidR="009C2F61">
        <w:rPr>
          <w:noProof/>
        </w:rPr>
        <w:t>8</w:t>
      </w:r>
      <w:r w:rsidR="00735D2B">
        <w:fldChar w:fldCharType="end"/>
      </w:r>
      <w:r w:rsidR="00CD074B">
        <w:t xml:space="preserve">. </w:t>
      </w:r>
      <w:r>
        <w:t xml:space="preserve">CHOP </w:t>
      </w:r>
      <w:r w:rsidR="00735D2B">
        <w:t>INTEND was not assessed in Cohort</w:t>
      </w:r>
      <w:r w:rsidR="00150E8B">
        <w:t xml:space="preserve"> 2, as per the study protocol. The mean B</w:t>
      </w:r>
      <w:r w:rsidR="00735D2B">
        <w:t>asel</w:t>
      </w:r>
      <w:r>
        <w:t xml:space="preserve">ine CHOP </w:t>
      </w:r>
      <w:r w:rsidR="00150E8B">
        <w:t>INTEND score was 46.1. The mean increases from B</w:t>
      </w:r>
      <w:r w:rsidR="00735D2B">
        <w:t>aseline to Month 1 (n</w:t>
      </w:r>
      <w:r w:rsidR="00150E8B">
        <w:t xml:space="preserve"> </w:t>
      </w:r>
      <w:r w:rsidR="00735D2B">
        <w:t>=</w:t>
      </w:r>
      <w:r w:rsidR="00150E8B">
        <w:t xml:space="preserve"> </w:t>
      </w:r>
      <w:r w:rsidR="00735D2B">
        <w:t>14), Month 3 (n</w:t>
      </w:r>
      <w:r w:rsidR="00150E8B">
        <w:t xml:space="preserve"> </w:t>
      </w:r>
      <w:r w:rsidR="00735D2B">
        <w:t>=</w:t>
      </w:r>
      <w:r w:rsidR="00150E8B">
        <w:t xml:space="preserve"> </w:t>
      </w:r>
      <w:r w:rsidR="00735D2B">
        <w:t>9), and Month 6 (n</w:t>
      </w:r>
      <w:r w:rsidR="00150E8B">
        <w:t> </w:t>
      </w:r>
      <w:r w:rsidR="00735D2B">
        <w:t>=</w:t>
      </w:r>
      <w:r w:rsidR="00150E8B">
        <w:t> </w:t>
      </w:r>
      <w:r w:rsidR="00735D2B">
        <w:t xml:space="preserve">7) after dosing were 3.9, 12.1, </w:t>
      </w:r>
      <w:r w:rsidR="00150E8B">
        <w:t xml:space="preserve">and 16.3 points, respectively. </w:t>
      </w:r>
      <w:r w:rsidR="00735D2B">
        <w:t>All 14 patie</w:t>
      </w:r>
      <w:r>
        <w:t xml:space="preserve">nts in Cohort 1 achieved a CHOP </w:t>
      </w:r>
      <w:r w:rsidR="00735D2B">
        <w:t>INTEND score ≥</w:t>
      </w:r>
      <w:r w:rsidR="00150E8B">
        <w:t xml:space="preserve"> </w:t>
      </w:r>
      <w:r w:rsidR="00735D2B">
        <w:t>50 by 6 months of age, and 12</w:t>
      </w:r>
      <w:r>
        <w:t xml:space="preserve"> patients (85.7%) achieved CHOP </w:t>
      </w:r>
      <w:r w:rsidR="00735D2B">
        <w:t>INTEND scores ≥</w:t>
      </w:r>
      <w:r w:rsidR="00150E8B">
        <w:t xml:space="preserve"> </w:t>
      </w:r>
      <w:r w:rsidR="00735D2B">
        <w:t>60 by</w:t>
      </w:r>
      <w:r w:rsidR="00150E8B">
        <w:t xml:space="preserve"> the 31 December 2019 cut-off. </w:t>
      </w:r>
      <w:r w:rsidR="00735D2B">
        <w:t>These results are preliminary and have not yet been subjected to formal analysis, but they compare favourably to the maximal score of 33 in untreated SMA patients reported by Kolb</w:t>
      </w:r>
      <w:r>
        <w:t xml:space="preserve"> et al.</w:t>
      </w:r>
      <w:r w:rsidR="00735D2B">
        <w:t xml:space="preserve"> </w:t>
      </w:r>
      <w:r w:rsidR="0095251B">
        <w:t>(</w:t>
      </w:r>
      <w:r w:rsidR="00735D2B">
        <w:t>2017</w:t>
      </w:r>
      <w:r w:rsidR="0095251B">
        <w:t xml:space="preserve">) as shown in </w:t>
      </w:r>
      <w:r w:rsidR="00735D2B">
        <w:fldChar w:fldCharType="begin"/>
      </w:r>
      <w:r w:rsidR="00735D2B">
        <w:instrText xml:space="preserve"> REF _Ref54100726 \h </w:instrText>
      </w:r>
      <w:r w:rsidR="00735D2B">
        <w:fldChar w:fldCharType="separate"/>
      </w:r>
      <w:r w:rsidR="009C2F61">
        <w:t xml:space="preserve">Figure </w:t>
      </w:r>
      <w:r w:rsidR="009C2F61">
        <w:rPr>
          <w:noProof/>
        </w:rPr>
        <w:t>9</w:t>
      </w:r>
      <w:r w:rsidR="00735D2B">
        <w:fldChar w:fldCharType="end"/>
      </w:r>
      <w:r w:rsidR="00CD074B">
        <w:t>.</w:t>
      </w:r>
      <w:r w:rsidR="002B1C06">
        <w:fldChar w:fldCharType="begin"/>
      </w:r>
      <w:r w:rsidR="002B1C06">
        <w:instrText xml:space="preserve"> NOTEREF _Ref65861370 \f \h </w:instrText>
      </w:r>
      <w:r w:rsidR="002B1C06">
        <w:fldChar w:fldCharType="separate"/>
      </w:r>
      <w:r w:rsidR="009C2F61" w:rsidRPr="009C2F61">
        <w:rPr>
          <w:rStyle w:val="FootnoteReference"/>
        </w:rPr>
        <w:t>11</w:t>
      </w:r>
      <w:r w:rsidR="002B1C06">
        <w:fldChar w:fldCharType="end"/>
      </w:r>
    </w:p>
    <w:p w14:paraId="1D236152" w14:textId="4D1854B4" w:rsidR="00735D2B" w:rsidRDefault="00735D2B" w:rsidP="00CD074B">
      <w:pPr>
        <w:pStyle w:val="FigureTitle"/>
      </w:pPr>
      <w:bookmarkStart w:id="62" w:name="_Ref51255921"/>
      <w:r>
        <w:t xml:space="preserve">Figure </w:t>
      </w:r>
      <w:fldSimple w:instr=" SEQ Figure \* ARABIC ">
        <w:r w:rsidR="009C2F61">
          <w:rPr>
            <w:noProof/>
          </w:rPr>
          <w:t>8</w:t>
        </w:r>
      </w:fldSimple>
      <w:bookmarkEnd w:id="62"/>
      <w:r w:rsidR="00BF28AF">
        <w:t xml:space="preserve">: </w:t>
      </w:r>
      <w:r w:rsidR="0095251B">
        <w:t xml:space="preserve">Study AVXS-101-CL-304 </w:t>
      </w:r>
      <w:r w:rsidR="00BF28AF">
        <w:t xml:space="preserve">CHOP </w:t>
      </w:r>
      <w:r w:rsidR="00CD074B">
        <w:t xml:space="preserve">INTEND response in patients with 2 copies of </w:t>
      </w:r>
      <w:r w:rsidR="00CD074B" w:rsidRPr="00FF2204">
        <w:rPr>
          <w:i/>
        </w:rPr>
        <w:t>SMN2</w:t>
      </w:r>
    </w:p>
    <w:p w14:paraId="715943B4" w14:textId="01619263" w:rsidR="00735D2B" w:rsidRDefault="00CD074B" w:rsidP="00735D2B">
      <w:r>
        <w:rPr>
          <w:noProof/>
          <w:lang w:eastAsia="en-AU"/>
        </w:rPr>
        <w:drawing>
          <wp:inline distT="0" distB="0" distL="0" distR="0" wp14:anchorId="1739804D" wp14:editId="50E5054C">
            <wp:extent cx="5054600" cy="3201920"/>
            <wp:effectExtent l="0" t="0" r="0" b="0"/>
            <wp:docPr id="37" name="Picture 37" descr="CHOP-INTEND response in Phase III Study AVXS-101-CL-304 in patients with 2 copies of SM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9777" cy="3205199"/>
                    </a:xfrm>
                    <a:prstGeom prst="rect">
                      <a:avLst/>
                    </a:prstGeom>
                  </pic:spPr>
                </pic:pic>
              </a:graphicData>
            </a:graphic>
          </wp:inline>
        </w:drawing>
      </w:r>
    </w:p>
    <w:p w14:paraId="484B9E7D" w14:textId="2F5E5A99" w:rsidR="00735D2B" w:rsidRDefault="00150E8B" w:rsidP="00150E8B">
      <w:pPr>
        <w:pStyle w:val="TableDescription"/>
      </w:pPr>
      <w:r>
        <w:t>Each line represents an individual patient. Patient IDs have been redacted.</w:t>
      </w:r>
      <w:bookmarkStart w:id="63" w:name="_Ref51255849"/>
    </w:p>
    <w:p w14:paraId="180BF87B" w14:textId="4030C064" w:rsidR="00735D2B" w:rsidRDefault="00735D2B" w:rsidP="00150E8B">
      <w:pPr>
        <w:pStyle w:val="FigureTitle"/>
      </w:pPr>
      <w:bookmarkStart w:id="64" w:name="_Ref54100726"/>
      <w:r>
        <w:t xml:space="preserve">Figure </w:t>
      </w:r>
      <w:fldSimple w:instr=" SEQ Figure \* ARABIC ">
        <w:r w:rsidR="009C2F61">
          <w:rPr>
            <w:noProof/>
          </w:rPr>
          <w:t>9</w:t>
        </w:r>
      </w:fldSimple>
      <w:bookmarkEnd w:id="63"/>
      <w:bookmarkEnd w:id="64"/>
      <w:r w:rsidR="00BF28AF">
        <w:t xml:space="preserve">: </w:t>
      </w:r>
      <w:r w:rsidR="0095251B">
        <w:t xml:space="preserve">Kolb et al. (2017) </w:t>
      </w:r>
      <w:r w:rsidR="00BF28AF">
        <w:t xml:space="preserve">CHOP </w:t>
      </w:r>
      <w:r w:rsidR="00150E8B">
        <w:t>INTEND scores in untreated spinal muscular atrophy</w:t>
      </w:r>
    </w:p>
    <w:p w14:paraId="1E483CB6" w14:textId="4BCB3FB1" w:rsidR="00735D2B" w:rsidRDefault="00735D2B" w:rsidP="00735D2B">
      <w:r>
        <w:rPr>
          <w:noProof/>
          <w:lang w:eastAsia="en-AU"/>
        </w:rPr>
        <w:drawing>
          <wp:inline distT="0" distB="0" distL="0" distR="0" wp14:anchorId="57F5587D" wp14:editId="31081408">
            <wp:extent cx="3581400" cy="2669575"/>
            <wp:effectExtent l="0" t="0" r="0" b="0"/>
            <wp:docPr id="35" name="Picture 35" descr="CHOP-INTEND scores in untreated spinal muscular a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7228" cy="2688827"/>
                    </a:xfrm>
                    <a:prstGeom prst="rect">
                      <a:avLst/>
                    </a:prstGeom>
                    <a:noFill/>
                    <a:ln>
                      <a:noFill/>
                    </a:ln>
                  </pic:spPr>
                </pic:pic>
              </a:graphicData>
            </a:graphic>
          </wp:inline>
        </w:drawing>
      </w:r>
    </w:p>
    <w:p w14:paraId="544DC42B" w14:textId="4108DD67" w:rsidR="00735D2B" w:rsidRDefault="00150E8B" w:rsidP="00150E8B">
      <w:pPr>
        <w:pStyle w:val="TableDescription"/>
      </w:pPr>
      <w:r>
        <w:t xml:space="preserve">Source: Kolb </w:t>
      </w:r>
      <w:r w:rsidR="00BF28AF">
        <w:t>et al</w:t>
      </w:r>
      <w:r w:rsidR="0095251B">
        <w:t>.</w:t>
      </w:r>
      <w:r w:rsidR="00BF28AF">
        <w:t xml:space="preserve"> </w:t>
      </w:r>
      <w:r>
        <w:t>(2017).</w:t>
      </w:r>
      <w:r w:rsidR="002B1C06">
        <w:fldChar w:fldCharType="begin"/>
      </w:r>
      <w:r w:rsidR="002B1C06">
        <w:instrText xml:space="preserve"> NOTEREF _Ref65861370 \f \h </w:instrText>
      </w:r>
      <w:r w:rsidR="002B1C06">
        <w:fldChar w:fldCharType="separate"/>
      </w:r>
      <w:r w:rsidR="009C2F61" w:rsidRPr="009C2F61">
        <w:rPr>
          <w:rStyle w:val="FootnoteReference"/>
        </w:rPr>
        <w:t>11</w:t>
      </w:r>
      <w:r w:rsidR="002B1C06">
        <w:fldChar w:fldCharType="end"/>
      </w:r>
    </w:p>
    <w:p w14:paraId="466B8C59" w14:textId="77777777" w:rsidR="00735D2B" w:rsidRDefault="00735D2B" w:rsidP="00735D2B">
      <w:pPr>
        <w:pStyle w:val="Heading4"/>
      </w:pPr>
      <w:r>
        <w:t>Safety</w:t>
      </w:r>
    </w:p>
    <w:p w14:paraId="26F40D4C" w14:textId="7D6D3D1D" w:rsidR="00735D2B" w:rsidRDefault="00735D2B" w:rsidP="00735D2B">
      <w:pPr>
        <w:rPr>
          <w:lang w:eastAsia="ja-JP"/>
        </w:rPr>
      </w:pPr>
      <w:r>
        <w:t>Clinical studies contributing to the safety dataset include the two completed studies (</w:t>
      </w:r>
      <w:r w:rsidR="00150E8B">
        <w:t>Studies AVXS-101-</w:t>
      </w:r>
      <w:r>
        <w:t xml:space="preserve">CL-101 and </w:t>
      </w:r>
      <w:r w:rsidR="00150E8B">
        <w:t>AVXS-101-</w:t>
      </w:r>
      <w:r>
        <w:t>CL-303), the ongoing IV studies (</w:t>
      </w:r>
      <w:r w:rsidR="002B1C06">
        <w:t>Studies AVXS</w:t>
      </w:r>
      <w:r w:rsidR="002B1C06">
        <w:noBreakHyphen/>
      </w:r>
      <w:r w:rsidR="00150E8B">
        <w:t>101-</w:t>
      </w:r>
      <w:r>
        <w:t xml:space="preserve">CL-302, </w:t>
      </w:r>
      <w:r w:rsidR="00150E8B">
        <w:t>AVXS-101-CL-304 and AVXS-101-</w:t>
      </w:r>
      <w:r w:rsidR="002B1C06">
        <w:t>CL-306), the ongoing long</w:t>
      </w:r>
      <w:r w:rsidR="002B1C06">
        <w:noBreakHyphen/>
      </w:r>
      <w:r>
        <w:t>term observational study (</w:t>
      </w:r>
      <w:r w:rsidR="00150E8B">
        <w:t>Study AVXS-101-</w:t>
      </w:r>
      <w:r>
        <w:t xml:space="preserve">LT-001), and the ongoing </w:t>
      </w:r>
      <w:r w:rsidR="00150E8B">
        <w:t>IT S</w:t>
      </w:r>
      <w:r w:rsidR="002B1C06">
        <w:t>tudy AVXS</w:t>
      </w:r>
      <w:r w:rsidR="002B1C06">
        <w:noBreakHyphen/>
      </w:r>
      <w:r w:rsidR="00150E8B">
        <w:t>101-</w:t>
      </w:r>
      <w:r>
        <w:t>CL-102</w:t>
      </w:r>
      <w:r>
        <w:rPr>
          <w:lang w:eastAsia="ja-JP"/>
        </w:rPr>
        <w:t xml:space="preserve">. </w:t>
      </w:r>
      <w:r>
        <w:t xml:space="preserve">The submission also included </w:t>
      </w:r>
      <w:r>
        <w:rPr>
          <w:lang w:eastAsia="ja-JP"/>
        </w:rPr>
        <w:t>post-marketing safety data, and non-trial safety data from the US Managed Access Program</w:t>
      </w:r>
      <w:r w:rsidR="00B10045">
        <w:rPr>
          <w:lang w:eastAsia="ja-JP"/>
        </w:rPr>
        <w:t xml:space="preserve"> (MAP)</w:t>
      </w:r>
      <w:r>
        <w:rPr>
          <w:lang w:eastAsia="ja-JP"/>
        </w:rPr>
        <w:t>.</w:t>
      </w:r>
    </w:p>
    <w:p w14:paraId="7BAEE3B7" w14:textId="02512488" w:rsidR="00735D2B" w:rsidRDefault="00735D2B" w:rsidP="00735D2B">
      <w:pPr>
        <w:rPr>
          <w:lang w:eastAsia="ja-JP"/>
        </w:rPr>
      </w:pPr>
      <w:r w:rsidRPr="008577A9">
        <w:rPr>
          <w:lang w:eastAsia="ja-JP"/>
        </w:rPr>
        <w:t xml:space="preserve">As at 31 December 2019, the total number of patients exposed to AVXS-101 </w:t>
      </w:r>
      <w:r>
        <w:rPr>
          <w:lang w:eastAsia="ja-JP"/>
        </w:rPr>
        <w:t>wa</w:t>
      </w:r>
      <w:r w:rsidRPr="008577A9">
        <w:rPr>
          <w:lang w:eastAsia="ja-JP"/>
        </w:rPr>
        <w:t>s 133</w:t>
      </w:r>
      <w:r w:rsidR="00150E8B">
        <w:rPr>
          <w:lang w:eastAsia="ja-JP"/>
        </w:rPr>
        <w:t xml:space="preserve">. </w:t>
      </w:r>
      <w:r>
        <w:rPr>
          <w:lang w:eastAsia="ja-JP"/>
        </w:rPr>
        <w:t>101</w:t>
      </w:r>
      <w:r w:rsidR="0095251B">
        <w:rPr>
          <w:lang w:eastAsia="ja-JP"/>
        </w:rPr>
        <w:t> </w:t>
      </w:r>
      <w:r>
        <w:rPr>
          <w:lang w:eastAsia="ja-JP"/>
        </w:rPr>
        <w:t xml:space="preserve">received a single dose by IV infusion and 32 received </w:t>
      </w:r>
      <w:r w:rsidR="00150E8B">
        <w:rPr>
          <w:lang w:eastAsia="ja-JP"/>
        </w:rPr>
        <w:t xml:space="preserve">a single dose by IT injection. </w:t>
      </w:r>
      <w:r w:rsidR="00A61CA6">
        <w:rPr>
          <w:lang w:eastAsia="ja-JP"/>
        </w:rPr>
        <w:t>98 </w:t>
      </w:r>
      <w:r>
        <w:rPr>
          <w:lang w:eastAsia="ja-JP"/>
        </w:rPr>
        <w:t>subjects who received IV AVXS-101 received the proposed dose (1.1 x 10</w:t>
      </w:r>
      <w:r w:rsidRPr="00F950B6">
        <w:rPr>
          <w:vertAlign w:val="superscript"/>
          <w:lang w:eastAsia="ja-JP"/>
        </w:rPr>
        <w:t>14</w:t>
      </w:r>
      <w:r w:rsidR="00150E8B">
        <w:rPr>
          <w:lang w:eastAsia="ja-JP"/>
        </w:rPr>
        <w:t xml:space="preserve"> vg/kg). This includes one</w:t>
      </w:r>
      <w:r>
        <w:rPr>
          <w:lang w:eastAsia="ja-JP"/>
        </w:rPr>
        <w:t xml:space="preserve"> subject from Study </w:t>
      </w:r>
      <w:r w:rsidR="002B1C06">
        <w:t>AVXS-101-CL-</w:t>
      </w:r>
      <w:r>
        <w:rPr>
          <w:lang w:eastAsia="ja-JP"/>
        </w:rPr>
        <w:t>306 which had enrolled</w:t>
      </w:r>
      <w:r w:rsidRPr="00F950B6">
        <w:rPr>
          <w:lang w:eastAsia="ja-JP"/>
        </w:rPr>
        <w:t xml:space="preserve"> </w:t>
      </w:r>
      <w:r>
        <w:rPr>
          <w:lang w:eastAsia="ja-JP"/>
        </w:rPr>
        <w:t>only a single patien</w:t>
      </w:r>
      <w:r w:rsidR="00150E8B">
        <w:rPr>
          <w:lang w:eastAsia="ja-JP"/>
        </w:rPr>
        <w:t>t at the time of data cut-off.</w:t>
      </w:r>
    </w:p>
    <w:p w14:paraId="7F62CBC7" w14:textId="60011C6F" w:rsidR="00735D2B" w:rsidRDefault="00735D2B" w:rsidP="00735D2B">
      <w:pPr>
        <w:rPr>
          <w:lang w:eastAsia="ja-JP"/>
        </w:rPr>
      </w:pPr>
      <w:r>
        <w:rPr>
          <w:lang w:eastAsia="ja-JP"/>
        </w:rPr>
        <w:t xml:space="preserve">37 patients were in the completed studies (15 from </w:t>
      </w:r>
      <w:r w:rsidR="00D31923">
        <w:rPr>
          <w:lang w:eastAsia="ja-JP"/>
        </w:rPr>
        <w:t>Study AVXS-101-CL-101</w:t>
      </w:r>
      <w:r>
        <w:rPr>
          <w:lang w:eastAsia="ja-JP"/>
        </w:rPr>
        <w:t xml:space="preserve"> and 22 from </w:t>
      </w:r>
      <w:r w:rsidR="00D31923">
        <w:rPr>
          <w:lang w:eastAsia="ja-JP"/>
        </w:rPr>
        <w:t>Study AVXS-101-CL-303</w:t>
      </w:r>
      <w:r w:rsidR="00150E8B">
        <w:rPr>
          <w:lang w:eastAsia="ja-JP"/>
        </w:rPr>
        <w:t xml:space="preserve">). </w:t>
      </w:r>
      <w:r>
        <w:rPr>
          <w:lang w:eastAsia="ja-JP"/>
        </w:rPr>
        <w:t>96 patients are in ongoing studies, so safety data for</w:t>
      </w:r>
      <w:r w:rsidR="00150E8B">
        <w:rPr>
          <w:lang w:eastAsia="ja-JP"/>
        </w:rPr>
        <w:t xml:space="preserve"> these subjects is incomplete. </w:t>
      </w:r>
      <w:r>
        <w:rPr>
          <w:lang w:eastAsia="ja-JP"/>
        </w:rPr>
        <w:t xml:space="preserve">13 patients from </w:t>
      </w:r>
      <w:r w:rsidR="00D31923">
        <w:rPr>
          <w:lang w:eastAsia="ja-JP"/>
        </w:rPr>
        <w:t>Study AVXS-101-CL-101</w:t>
      </w:r>
      <w:r>
        <w:rPr>
          <w:lang w:eastAsia="ja-JP"/>
        </w:rPr>
        <w:t xml:space="preserve"> were enrolled in </w:t>
      </w:r>
      <w:r w:rsidR="00150E8B">
        <w:rPr>
          <w:lang w:eastAsia="ja-JP"/>
        </w:rPr>
        <w:t>Study </w:t>
      </w:r>
      <w:r w:rsidR="00D31923">
        <w:rPr>
          <w:lang w:eastAsia="ja-JP"/>
        </w:rPr>
        <w:t>AVXS-101-LT-001</w:t>
      </w:r>
      <w:r w:rsidRPr="00245576">
        <w:rPr>
          <w:lang w:eastAsia="ja-JP"/>
        </w:rPr>
        <w:t xml:space="preserve"> </w:t>
      </w:r>
      <w:r>
        <w:rPr>
          <w:lang w:eastAsia="ja-JP"/>
        </w:rPr>
        <w:t>and followed for up to 68.6 months fro</w:t>
      </w:r>
      <w:r w:rsidR="002B1C06">
        <w:rPr>
          <w:lang w:eastAsia="ja-JP"/>
        </w:rPr>
        <w:t>m dosing (median 57.0 </w:t>
      </w:r>
      <w:r w:rsidR="00150E8B">
        <w:rPr>
          <w:lang w:eastAsia="ja-JP"/>
        </w:rPr>
        <w:t xml:space="preserve">months). </w:t>
      </w:r>
      <w:r w:rsidR="00D31923">
        <w:rPr>
          <w:lang w:eastAsia="ja-JP"/>
        </w:rPr>
        <w:t>Study AVXS-101-LT-001</w:t>
      </w:r>
      <w:r>
        <w:rPr>
          <w:lang w:eastAsia="ja-JP"/>
        </w:rPr>
        <w:t xml:space="preserve"> is collecting data for</w:t>
      </w:r>
      <w:r w:rsidRPr="00F17960">
        <w:rPr>
          <w:lang w:eastAsia="ja-JP"/>
        </w:rPr>
        <w:t xml:space="preserve"> </w:t>
      </w:r>
      <w:r w:rsidR="00150E8B">
        <w:rPr>
          <w:lang w:eastAsia="ja-JP"/>
        </w:rPr>
        <w:t>serious adverse events (</w:t>
      </w:r>
      <w:r>
        <w:rPr>
          <w:lang w:eastAsia="ja-JP"/>
        </w:rPr>
        <w:t>SAEs</w:t>
      </w:r>
      <w:r w:rsidR="00150E8B">
        <w:rPr>
          <w:lang w:eastAsia="ja-JP"/>
        </w:rPr>
        <w:t>)</w:t>
      </w:r>
      <w:r>
        <w:rPr>
          <w:lang w:eastAsia="ja-JP"/>
        </w:rPr>
        <w:t xml:space="preserve"> and </w:t>
      </w:r>
      <w:r>
        <w:t>adverse events of special interest</w:t>
      </w:r>
      <w:r w:rsidR="00150E8B">
        <w:t xml:space="preserve"> (AESIs)</w:t>
      </w:r>
      <w:r w:rsidR="00150E8B">
        <w:rPr>
          <w:lang w:eastAsia="ja-JP"/>
        </w:rPr>
        <w:t xml:space="preserve">, but not </w:t>
      </w:r>
      <w:r w:rsidR="0095251B">
        <w:rPr>
          <w:lang w:eastAsia="ja-JP"/>
        </w:rPr>
        <w:t>treatment emergent adverse events (</w:t>
      </w:r>
      <w:r w:rsidR="00150E8B">
        <w:rPr>
          <w:lang w:eastAsia="ja-JP"/>
        </w:rPr>
        <w:t>TEAE</w:t>
      </w:r>
      <w:r w:rsidR="00FF2204">
        <w:rPr>
          <w:lang w:eastAsia="ja-JP"/>
        </w:rPr>
        <w:t>s</w:t>
      </w:r>
      <w:r w:rsidR="0095251B">
        <w:rPr>
          <w:lang w:eastAsia="ja-JP"/>
        </w:rPr>
        <w:t>)</w:t>
      </w:r>
      <w:r w:rsidR="00150E8B">
        <w:rPr>
          <w:lang w:eastAsia="ja-JP"/>
        </w:rPr>
        <w:t>.</w:t>
      </w:r>
    </w:p>
    <w:p w14:paraId="0C308B81" w14:textId="5F907459" w:rsidR="00735D2B" w:rsidRDefault="00735D2B" w:rsidP="00735D2B">
      <w:pPr>
        <w:rPr>
          <w:lang w:eastAsia="ja-JP"/>
        </w:rPr>
      </w:pPr>
      <w:r>
        <w:rPr>
          <w:lang w:eastAsia="ja-JP"/>
        </w:rPr>
        <w:t xml:space="preserve">TEAEs for the pooled dataset from the IV Studies </w:t>
      </w:r>
      <w:r w:rsidR="00150E8B">
        <w:t>AVXS-101-</w:t>
      </w:r>
      <w:r>
        <w:rPr>
          <w:lang w:eastAsia="ja-JP"/>
        </w:rPr>
        <w:t xml:space="preserve">CL-101, </w:t>
      </w:r>
      <w:r w:rsidR="00B77CCC">
        <w:t>AVXS-101-</w:t>
      </w:r>
      <w:r>
        <w:rPr>
          <w:lang w:eastAsia="ja-JP"/>
        </w:rPr>
        <w:t xml:space="preserve">CL-303, </w:t>
      </w:r>
      <w:r w:rsidR="00B77CCC">
        <w:t>AVXS-101-</w:t>
      </w:r>
      <w:r>
        <w:rPr>
          <w:lang w:eastAsia="ja-JP"/>
        </w:rPr>
        <w:t xml:space="preserve">CL-302 and </w:t>
      </w:r>
      <w:r w:rsidR="00B77CCC">
        <w:t>AVXS-101-</w:t>
      </w:r>
      <w:r>
        <w:rPr>
          <w:lang w:eastAsia="ja-JP"/>
        </w:rPr>
        <w:t xml:space="preserve">CL-304 are summarised in </w:t>
      </w:r>
      <w:r>
        <w:rPr>
          <w:lang w:eastAsia="ja-JP"/>
        </w:rPr>
        <w:fldChar w:fldCharType="begin"/>
      </w:r>
      <w:r>
        <w:rPr>
          <w:lang w:eastAsia="ja-JP"/>
        </w:rPr>
        <w:instrText xml:space="preserve"> REF _Ref50369044 \h </w:instrText>
      </w:r>
      <w:r>
        <w:rPr>
          <w:lang w:eastAsia="ja-JP"/>
        </w:rPr>
      </w:r>
      <w:r>
        <w:rPr>
          <w:lang w:eastAsia="ja-JP"/>
        </w:rPr>
        <w:fldChar w:fldCharType="separate"/>
      </w:r>
      <w:r w:rsidR="009C2F61">
        <w:t xml:space="preserve">Table </w:t>
      </w:r>
      <w:r w:rsidR="009C2F61">
        <w:rPr>
          <w:noProof/>
        </w:rPr>
        <w:t>10</w:t>
      </w:r>
      <w:r>
        <w:rPr>
          <w:lang w:eastAsia="ja-JP"/>
        </w:rPr>
        <w:fldChar w:fldCharType="end"/>
      </w:r>
      <w:r w:rsidR="00B77CCC">
        <w:rPr>
          <w:lang w:eastAsia="ja-JP"/>
        </w:rPr>
        <w:t xml:space="preserve">. </w:t>
      </w:r>
      <w:r>
        <w:rPr>
          <w:lang w:eastAsia="ja-JP"/>
        </w:rPr>
        <w:t>The most frequently reported TEAEs (&gt;</w:t>
      </w:r>
      <w:r w:rsidR="00B77CCC">
        <w:rPr>
          <w:lang w:eastAsia="ja-JP"/>
        </w:rPr>
        <w:t xml:space="preserve"> </w:t>
      </w:r>
      <w:r>
        <w:rPr>
          <w:lang w:eastAsia="ja-JP"/>
        </w:rPr>
        <w:t>20%) in the pooled dataset at the proposed IV dose were pyrexia (48.5%), upper respiratory tract infection (37.1%), vomiting (24.7%), constipat</w:t>
      </w:r>
      <w:r w:rsidR="00B77CCC">
        <w:rPr>
          <w:lang w:eastAsia="ja-JP"/>
        </w:rPr>
        <w:t>ion (22.7%) and cough (20.6%).</w:t>
      </w:r>
    </w:p>
    <w:p w14:paraId="3D64913B" w14:textId="15676D53" w:rsidR="00735D2B" w:rsidRDefault="00735D2B" w:rsidP="00B77CCC">
      <w:pPr>
        <w:pStyle w:val="TableTitle"/>
        <w:rPr>
          <w:lang w:eastAsia="ja-JP"/>
        </w:rPr>
      </w:pPr>
      <w:bookmarkStart w:id="65" w:name="_Ref50369044"/>
      <w:r>
        <w:t xml:space="preserve">Table </w:t>
      </w:r>
      <w:fldSimple w:instr=" SEQ Table \* ARABIC ">
        <w:r w:rsidR="009C2F61">
          <w:rPr>
            <w:noProof/>
          </w:rPr>
          <w:t>10</w:t>
        </w:r>
      </w:fldSimple>
      <w:bookmarkEnd w:id="65"/>
      <w:r w:rsidR="00B77CCC">
        <w:rPr>
          <w:noProof/>
        </w:rPr>
        <w:t>:</w:t>
      </w:r>
      <w:r w:rsidR="00B77CCC">
        <w:t xml:space="preserve"> </w:t>
      </w:r>
      <w:r w:rsidR="0095251B">
        <w:t>Pooled dataset (intravenous</w:t>
      </w:r>
      <w:r w:rsidR="00AF48F7">
        <w:t xml:space="preserve"> route studies) </w:t>
      </w:r>
      <w:r w:rsidR="00B77CCC">
        <w:t>Treatment emergent adverse events</w:t>
      </w:r>
      <w:r>
        <w:t xml:space="preserve"> (</w:t>
      </w:r>
      <w:r w:rsidR="00B77CCC">
        <w:t>safety analysis set</w:t>
      </w:r>
      <w:r>
        <w:t>)</w:t>
      </w:r>
    </w:p>
    <w:p w14:paraId="2B1A0228" w14:textId="2D2AF60E" w:rsidR="00B20329" w:rsidRDefault="00735D2B" w:rsidP="00735D2B">
      <w:pPr>
        <w:rPr>
          <w:lang w:eastAsia="ja-JP"/>
        </w:rPr>
      </w:pPr>
      <w:r>
        <w:rPr>
          <w:noProof/>
          <w:lang w:eastAsia="en-AU"/>
        </w:rPr>
        <w:drawing>
          <wp:inline distT="0" distB="0" distL="0" distR="0" wp14:anchorId="7E842AB6" wp14:editId="44D9557F">
            <wp:extent cx="5335326" cy="1438142"/>
            <wp:effectExtent l="0" t="0" r="0" b="0"/>
            <wp:docPr id="16" name="Picture 16" descr="Treatment emergent adverse events (safety analysis set) for Studies AVXS-101-CL-101, AVXS-101-CL-303, AVXS-101-CL-304, and AVXS-101-CL-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9927" cy="1444773"/>
                    </a:xfrm>
                    <a:prstGeom prst="rect">
                      <a:avLst/>
                    </a:prstGeom>
                    <a:noFill/>
                    <a:ln>
                      <a:noFill/>
                    </a:ln>
                  </pic:spPr>
                </pic:pic>
              </a:graphicData>
            </a:graphic>
          </wp:inline>
        </w:drawing>
      </w:r>
    </w:p>
    <w:p w14:paraId="642E34E6" w14:textId="4D795EFF" w:rsidR="00AF48F7" w:rsidRDefault="00AF48F7" w:rsidP="00FF2204">
      <w:pPr>
        <w:pStyle w:val="TableDescription"/>
        <w:rPr>
          <w:lang w:eastAsia="ja-JP"/>
        </w:rPr>
      </w:pPr>
      <w:r>
        <w:t>Pooled dataset comprises of the</w:t>
      </w:r>
      <w:r w:rsidR="00FF2204">
        <w:t xml:space="preserve"> following</w:t>
      </w:r>
      <w:r>
        <w:t xml:space="preserve"> intravenous route of administration studies: Studies AVXS-101-CL-101, AVXS-101-CL-303, AVXS-101-CL-304, and AVXS-101-CL-302</w:t>
      </w:r>
      <w:r w:rsidR="00FF2204">
        <w:t>.</w:t>
      </w:r>
    </w:p>
    <w:p w14:paraId="56245535" w14:textId="109C98CC" w:rsidR="00735D2B" w:rsidRDefault="00735D2B" w:rsidP="00735D2B">
      <w:pPr>
        <w:rPr>
          <w:lang w:eastAsia="ja-JP"/>
        </w:rPr>
      </w:pPr>
      <w:r>
        <w:rPr>
          <w:lang w:eastAsia="ja-JP"/>
        </w:rPr>
        <w:t xml:space="preserve">Treatment-related TEAEs were reported in 57.7% of patients who </w:t>
      </w:r>
      <w:r w:rsidR="00B77CCC">
        <w:rPr>
          <w:lang w:eastAsia="ja-JP"/>
        </w:rPr>
        <w:t xml:space="preserve">received the proposed IV dose. </w:t>
      </w:r>
      <w:r>
        <w:rPr>
          <w:lang w:eastAsia="ja-JP"/>
        </w:rPr>
        <w:t>The most frequently reported treatment-related TEAEs (&gt;</w:t>
      </w:r>
      <w:r w:rsidR="00B77CCC">
        <w:rPr>
          <w:lang w:eastAsia="ja-JP"/>
        </w:rPr>
        <w:t xml:space="preserve"> </w:t>
      </w:r>
      <w:r>
        <w:rPr>
          <w:lang w:eastAsia="ja-JP"/>
        </w:rPr>
        <w:t xml:space="preserve">5%) were transaminases increased (12.4%), AST increased (9.3%), ALT increased (8.2%), </w:t>
      </w:r>
      <w:proofErr w:type="spellStart"/>
      <w:r>
        <w:rPr>
          <w:lang w:eastAsia="ja-JP"/>
        </w:rPr>
        <w:t>hypertransaminas</w:t>
      </w:r>
      <w:r w:rsidR="00AF48F7">
        <w:rPr>
          <w:lang w:eastAsia="ja-JP"/>
        </w:rPr>
        <w:t>a</w:t>
      </w:r>
      <w:r>
        <w:rPr>
          <w:lang w:eastAsia="ja-JP"/>
        </w:rPr>
        <w:t>emi</w:t>
      </w:r>
      <w:r w:rsidR="00B77CCC">
        <w:rPr>
          <w:lang w:eastAsia="ja-JP"/>
        </w:rPr>
        <w:t>a</w:t>
      </w:r>
      <w:proofErr w:type="spellEnd"/>
      <w:r w:rsidR="00B77CCC">
        <w:rPr>
          <w:lang w:eastAsia="ja-JP"/>
        </w:rPr>
        <w:t xml:space="preserve"> (8.2%), and vomiting (8.2%).</w:t>
      </w:r>
    </w:p>
    <w:p w14:paraId="4AE5A4C0" w14:textId="754A5A64" w:rsidR="00735D2B" w:rsidRDefault="00735D2B" w:rsidP="00735D2B">
      <w:pPr>
        <w:rPr>
          <w:lang w:eastAsia="ja-JP"/>
        </w:rPr>
      </w:pPr>
      <w:r>
        <w:rPr>
          <w:lang w:eastAsia="ja-JP"/>
        </w:rPr>
        <w:t xml:space="preserve">In </w:t>
      </w:r>
      <w:r w:rsidR="00D31923">
        <w:rPr>
          <w:lang w:eastAsia="ja-JP"/>
        </w:rPr>
        <w:t>Study AVXS-101-CL-303</w:t>
      </w:r>
      <w:r>
        <w:rPr>
          <w:lang w:eastAsia="ja-JP"/>
        </w:rPr>
        <w:t>, treatment-related TEAEs reported in &gt;</w:t>
      </w:r>
      <w:r w:rsidR="00B77CCC">
        <w:rPr>
          <w:lang w:eastAsia="ja-JP"/>
        </w:rPr>
        <w:t xml:space="preserve"> </w:t>
      </w:r>
      <w:r>
        <w:rPr>
          <w:lang w:eastAsia="ja-JP"/>
        </w:rPr>
        <w:t>5% of patients included AST increased (27.3%), ALT increased (22.7%), transaminases increased (9.1%), GGT increased (9.1%), thrombocytopaenia (9.1%), lymphocyte count decreased (9.1%), and diastolic hypertension (9.1%).</w:t>
      </w:r>
    </w:p>
    <w:p w14:paraId="66EE3310" w14:textId="75704831" w:rsidR="00735D2B" w:rsidRDefault="00B77CCC" w:rsidP="00735D2B">
      <w:pPr>
        <w:rPr>
          <w:rFonts w:eastAsia="Times New Roman"/>
          <w:lang w:eastAsia="ja-JP"/>
        </w:rPr>
      </w:pPr>
      <w:r>
        <w:rPr>
          <w:rFonts w:eastAsia="Times New Roman"/>
          <w:lang w:eastAsia="ja-JP"/>
        </w:rPr>
        <w:t>SAEs</w:t>
      </w:r>
      <w:r w:rsidR="00735D2B">
        <w:rPr>
          <w:rFonts w:eastAsia="Times New Roman"/>
          <w:lang w:eastAsia="ja-JP"/>
        </w:rPr>
        <w:t xml:space="preserve"> </w:t>
      </w:r>
      <w:r w:rsidR="00735D2B">
        <w:rPr>
          <w:lang w:eastAsia="ja-JP"/>
        </w:rPr>
        <w:t>were reported in 46.4% of patients in the IV studies w</w:t>
      </w:r>
      <w:r>
        <w:rPr>
          <w:lang w:eastAsia="ja-JP"/>
        </w:rPr>
        <w:t xml:space="preserve">ho received the proposed dose. </w:t>
      </w:r>
      <w:r w:rsidR="00735D2B">
        <w:rPr>
          <w:lang w:eastAsia="ja-JP"/>
        </w:rPr>
        <w:t xml:space="preserve">The incidence of SAEs was highest in </w:t>
      </w:r>
      <w:r w:rsidR="00D31923">
        <w:rPr>
          <w:lang w:eastAsia="ja-JP"/>
        </w:rPr>
        <w:t>Study AVXS-101-CL-101</w:t>
      </w:r>
      <w:r w:rsidR="00735D2B">
        <w:rPr>
          <w:lang w:eastAsia="ja-JP"/>
        </w:rPr>
        <w:t xml:space="preserve"> (83.3% in Cohort 2, 86.7% overall) and lowest in </w:t>
      </w:r>
      <w:r w:rsidR="00D31923">
        <w:rPr>
          <w:lang w:eastAsia="ja-JP"/>
        </w:rPr>
        <w:t>Study AVXS-101-CL-304</w:t>
      </w:r>
      <w:r w:rsidR="00735D2B">
        <w:rPr>
          <w:lang w:eastAsia="ja-JP"/>
        </w:rPr>
        <w:t xml:space="preserve"> (20%) which recru</w:t>
      </w:r>
      <w:r>
        <w:rPr>
          <w:lang w:eastAsia="ja-JP"/>
        </w:rPr>
        <w:t xml:space="preserve">ited pre-symptomatic patients. </w:t>
      </w:r>
      <w:r w:rsidR="00735D2B">
        <w:rPr>
          <w:lang w:eastAsia="ja-JP"/>
        </w:rPr>
        <w:t>The most common</w:t>
      </w:r>
      <w:r w:rsidR="00735D2B" w:rsidRPr="00727D0B">
        <w:rPr>
          <w:lang w:eastAsia="ja-JP"/>
        </w:rPr>
        <w:t xml:space="preserve"> </w:t>
      </w:r>
      <w:r w:rsidR="00735D2B">
        <w:rPr>
          <w:lang w:eastAsia="ja-JP"/>
        </w:rPr>
        <w:t>SAEs (&gt;</w:t>
      </w:r>
      <w:r>
        <w:rPr>
          <w:lang w:eastAsia="ja-JP"/>
        </w:rPr>
        <w:t xml:space="preserve"> </w:t>
      </w:r>
      <w:r w:rsidR="00735D2B">
        <w:rPr>
          <w:lang w:eastAsia="ja-JP"/>
        </w:rPr>
        <w:t xml:space="preserve">3%) by </w:t>
      </w:r>
      <w:r>
        <w:rPr>
          <w:lang w:eastAsia="ja-JP"/>
        </w:rPr>
        <w:t xml:space="preserve">Preferred Term </w:t>
      </w:r>
      <w:r w:rsidR="00735D2B">
        <w:rPr>
          <w:lang w:eastAsia="ja-JP"/>
        </w:rPr>
        <w:t xml:space="preserve">for the pooled dataset were pneumonia (13.4%), respiratory distress (7.2%), upper respiratory tract infection (6.2%), </w:t>
      </w:r>
      <w:r>
        <w:rPr>
          <w:lang w:eastAsia="ja-JP"/>
        </w:rPr>
        <w:t xml:space="preserve">respiratory </w:t>
      </w:r>
      <w:r w:rsidRPr="00B77CCC">
        <w:rPr>
          <w:lang w:eastAsia="ja-JP"/>
        </w:rPr>
        <w:t>syncytial virus</w:t>
      </w:r>
      <w:r w:rsidR="00735D2B">
        <w:rPr>
          <w:lang w:eastAsia="ja-JP"/>
        </w:rPr>
        <w:t xml:space="preserve"> </w:t>
      </w:r>
      <w:r w:rsidR="002B1C06">
        <w:rPr>
          <w:lang w:eastAsia="ja-JP"/>
        </w:rPr>
        <w:t xml:space="preserve">(RSV) </w:t>
      </w:r>
      <w:r w:rsidR="00735D2B">
        <w:rPr>
          <w:lang w:eastAsia="ja-JP"/>
        </w:rPr>
        <w:t>bronchiolitis (4.1%), rhinovirus infection (4.1%),</w:t>
      </w:r>
      <w:r w:rsidR="00735D2B" w:rsidRPr="0083697C">
        <w:rPr>
          <w:lang w:eastAsia="ja-JP"/>
        </w:rPr>
        <w:t xml:space="preserve"> </w:t>
      </w:r>
      <w:r w:rsidR="00735D2B">
        <w:rPr>
          <w:lang w:eastAsia="ja-JP"/>
        </w:rPr>
        <w:t>respiratory tract infection (3.1%), pneumonia aspiration (3.1%), respiratory failure (3.1%), transaminases increased (3.1%</w:t>
      </w:r>
      <w:r>
        <w:rPr>
          <w:lang w:eastAsia="ja-JP"/>
        </w:rPr>
        <w:t>), and gastroenteritis (3.1%).</w:t>
      </w:r>
    </w:p>
    <w:p w14:paraId="5B29DA6E" w14:textId="42428E0C" w:rsidR="00735D2B" w:rsidRDefault="00735D2B" w:rsidP="00735D2B">
      <w:pPr>
        <w:rPr>
          <w:rFonts w:eastAsia="Times New Roman"/>
          <w:lang w:eastAsia="ja-JP"/>
        </w:rPr>
      </w:pPr>
      <w:r>
        <w:rPr>
          <w:lang w:eastAsia="ja-JP"/>
        </w:rPr>
        <w:t xml:space="preserve">In </w:t>
      </w:r>
      <w:r w:rsidR="00D31923">
        <w:rPr>
          <w:lang w:eastAsia="ja-JP"/>
        </w:rPr>
        <w:t>Study AVXS-101-CL-303</w:t>
      </w:r>
      <w:r>
        <w:rPr>
          <w:lang w:eastAsia="ja-JP"/>
        </w:rPr>
        <w:t>, a total of 38 SAEs were reported in 10 of 22 patients (45.5%). The most frequent SAEs, reported in ≥</w:t>
      </w:r>
      <w:r w:rsidR="00B77CCC">
        <w:rPr>
          <w:lang w:eastAsia="ja-JP"/>
        </w:rPr>
        <w:t xml:space="preserve"> </w:t>
      </w:r>
      <w:r>
        <w:rPr>
          <w:lang w:eastAsia="ja-JP"/>
        </w:rPr>
        <w:t>2 patients, were respiratory distress (18.2%), bronchiolitis (9.1%), pneumonia (9.1%), RSV bronchiolitis (9.1%), and acu</w:t>
      </w:r>
      <w:r w:rsidR="00B77CCC">
        <w:rPr>
          <w:lang w:eastAsia="ja-JP"/>
        </w:rPr>
        <w:t xml:space="preserve">te respiratory failure (9.1%). </w:t>
      </w:r>
      <w:r>
        <w:rPr>
          <w:lang w:eastAsia="ja-JP"/>
        </w:rPr>
        <w:t xml:space="preserve">In </w:t>
      </w:r>
      <w:r w:rsidR="00D31923">
        <w:rPr>
          <w:lang w:eastAsia="ja-JP"/>
        </w:rPr>
        <w:t>Study AVXS-101-CL-101</w:t>
      </w:r>
      <w:r>
        <w:rPr>
          <w:lang w:eastAsia="ja-JP"/>
        </w:rPr>
        <w:t>, a total of 60 SAEs were reported in 13 of 15 patients (86.7</w:t>
      </w:r>
      <w:r w:rsidR="00B77CCC">
        <w:rPr>
          <w:lang w:eastAsia="ja-JP"/>
        </w:rPr>
        <w:t xml:space="preserve">%). </w:t>
      </w:r>
      <w:r>
        <w:rPr>
          <w:lang w:eastAsia="ja-JP"/>
        </w:rPr>
        <w:t>The most frequent SAEs, reported in ≥</w:t>
      </w:r>
      <w:r w:rsidR="00B77CCC">
        <w:rPr>
          <w:lang w:eastAsia="ja-JP"/>
        </w:rPr>
        <w:t xml:space="preserve"> </w:t>
      </w:r>
      <w:r>
        <w:rPr>
          <w:lang w:eastAsia="ja-JP"/>
        </w:rPr>
        <w:t>3 patients (≥</w:t>
      </w:r>
      <w:r w:rsidR="00B77CCC">
        <w:rPr>
          <w:lang w:eastAsia="ja-JP"/>
        </w:rPr>
        <w:t xml:space="preserve"> </w:t>
      </w:r>
      <w:r>
        <w:rPr>
          <w:lang w:eastAsia="ja-JP"/>
        </w:rPr>
        <w:t xml:space="preserve">20.0%), were pneumonia (46.7%), parainfluenza virus infection (20.0%), pneumonia respiratory syncytial viral (20.0%), </w:t>
      </w:r>
      <w:r w:rsidR="002B1C06">
        <w:rPr>
          <w:lang w:eastAsia="ja-JP"/>
        </w:rPr>
        <w:t>RSV</w:t>
      </w:r>
      <w:r>
        <w:rPr>
          <w:lang w:eastAsia="ja-JP"/>
        </w:rPr>
        <w:t xml:space="preserve"> bronchiolitis (20.0%), and upper respiratory tract infe</w:t>
      </w:r>
      <w:r w:rsidR="00B77CCC">
        <w:rPr>
          <w:lang w:eastAsia="ja-JP"/>
        </w:rPr>
        <w:t xml:space="preserve">ction (20.0%). </w:t>
      </w:r>
      <w:r>
        <w:rPr>
          <w:lang w:eastAsia="ja-JP"/>
        </w:rPr>
        <w:t xml:space="preserve">In </w:t>
      </w:r>
      <w:r w:rsidR="00D31923">
        <w:rPr>
          <w:lang w:eastAsia="ja-JP"/>
        </w:rPr>
        <w:t>Study AVXS-101-LT-001</w:t>
      </w:r>
      <w:r>
        <w:rPr>
          <w:lang w:eastAsia="ja-JP"/>
        </w:rPr>
        <w:t>, a total of 39 SAEs were reported in 8 of 13 patients (61.5%), and all were assessed as unrelated to treatment.</w:t>
      </w:r>
    </w:p>
    <w:p w14:paraId="6FADA432" w14:textId="6981589A" w:rsidR="00735D2B" w:rsidRDefault="00735D2B" w:rsidP="00735D2B">
      <w:pPr>
        <w:rPr>
          <w:lang w:eastAsia="ja-JP"/>
        </w:rPr>
      </w:pPr>
      <w:r>
        <w:rPr>
          <w:lang w:eastAsia="ja-JP"/>
        </w:rPr>
        <w:t xml:space="preserve">In </w:t>
      </w:r>
      <w:r w:rsidR="00D31923">
        <w:rPr>
          <w:lang w:eastAsia="ja-JP"/>
        </w:rPr>
        <w:t>Study AVXS-101-CL-303</w:t>
      </w:r>
      <w:r>
        <w:rPr>
          <w:lang w:eastAsia="ja-JP"/>
        </w:rPr>
        <w:t xml:space="preserve">, TEAEs by maximum severity are summarised in </w:t>
      </w:r>
      <w:r>
        <w:rPr>
          <w:lang w:eastAsia="ja-JP"/>
        </w:rPr>
        <w:fldChar w:fldCharType="begin"/>
      </w:r>
      <w:r>
        <w:rPr>
          <w:lang w:eastAsia="ja-JP"/>
        </w:rPr>
        <w:instrText xml:space="preserve"> REF _Ref51838612 \h </w:instrText>
      </w:r>
      <w:r>
        <w:rPr>
          <w:lang w:eastAsia="ja-JP"/>
        </w:rPr>
      </w:r>
      <w:r>
        <w:rPr>
          <w:lang w:eastAsia="ja-JP"/>
        </w:rPr>
        <w:fldChar w:fldCharType="separate"/>
      </w:r>
      <w:r w:rsidR="009C2F61">
        <w:t xml:space="preserve">Table </w:t>
      </w:r>
      <w:r w:rsidR="009C2F61">
        <w:rPr>
          <w:noProof/>
        </w:rPr>
        <w:t>11</w:t>
      </w:r>
      <w:r>
        <w:rPr>
          <w:lang w:eastAsia="ja-JP"/>
        </w:rPr>
        <w:fldChar w:fldCharType="end"/>
      </w:r>
      <w:r w:rsidR="00B77CCC">
        <w:rPr>
          <w:lang w:eastAsia="ja-JP"/>
        </w:rPr>
        <w:t>.</w:t>
      </w:r>
      <w:r>
        <w:rPr>
          <w:lang w:eastAsia="ja-JP"/>
        </w:rPr>
        <w:t xml:space="preserve"> Grade 3 and 4 TEAEs occurring in &gt;</w:t>
      </w:r>
      <w:r w:rsidR="00B77CCC">
        <w:rPr>
          <w:lang w:eastAsia="ja-JP"/>
        </w:rPr>
        <w:t xml:space="preserve"> </w:t>
      </w:r>
      <w:r>
        <w:rPr>
          <w:lang w:eastAsia="ja-JP"/>
        </w:rPr>
        <w:t xml:space="preserve">5% of patients in </w:t>
      </w:r>
      <w:r w:rsidR="00D31923">
        <w:rPr>
          <w:lang w:eastAsia="ja-JP"/>
        </w:rPr>
        <w:t>Study AVXS-101-CL-303</w:t>
      </w:r>
      <w:r>
        <w:rPr>
          <w:lang w:eastAsia="ja-JP"/>
        </w:rPr>
        <w:t xml:space="preserve"> were r</w:t>
      </w:r>
      <w:r>
        <w:t xml:space="preserve">espiratory distress (13.6%), </w:t>
      </w:r>
      <w:r w:rsidR="00B77CCC">
        <w:rPr>
          <w:lang w:eastAsia="ja-JP"/>
        </w:rPr>
        <w:t>respiratory syncytial virus</w:t>
      </w:r>
      <w:r>
        <w:t xml:space="preserve"> bronchiolitis (13.6%), respiratory failure (9.1%), and transaminases increased (9.1%).</w:t>
      </w:r>
    </w:p>
    <w:p w14:paraId="73810421" w14:textId="1B4B5596" w:rsidR="00735D2B" w:rsidRPr="00B21503" w:rsidRDefault="00735D2B" w:rsidP="002B1C06">
      <w:pPr>
        <w:pStyle w:val="TableTitle"/>
        <w:rPr>
          <w:rFonts w:eastAsia="TimesNewRomanPS-BoldMT" w:cs="TimesNewRomanPS-BoldMT"/>
          <w:sz w:val="20"/>
          <w:szCs w:val="20"/>
        </w:rPr>
      </w:pPr>
      <w:bookmarkStart w:id="66" w:name="_Ref51838612"/>
      <w:r>
        <w:t xml:space="preserve">Table </w:t>
      </w:r>
      <w:fldSimple w:instr=" SEQ Table \* ARABIC ">
        <w:r w:rsidR="009C2F61">
          <w:rPr>
            <w:noProof/>
          </w:rPr>
          <w:t>11</w:t>
        </w:r>
      </w:fldSimple>
      <w:bookmarkEnd w:id="66"/>
      <w:r w:rsidR="00B77CCC">
        <w:t>:</w:t>
      </w:r>
      <w:r>
        <w:t xml:space="preserve"> </w:t>
      </w:r>
      <w:r w:rsidR="00B77CCC" w:rsidRPr="00B21503">
        <w:t>Study AVXS-101-CL-303</w:t>
      </w:r>
      <w:r w:rsidR="00B77CCC">
        <w:t xml:space="preserve"> s</w:t>
      </w:r>
      <w:r w:rsidRPr="00B21503">
        <w:t xml:space="preserve">ummary of </w:t>
      </w:r>
      <w:r w:rsidR="00B77CCC" w:rsidRPr="00B21503">
        <w:t xml:space="preserve">treatment-emergent adverse events by maximum severity </w:t>
      </w:r>
      <w:r w:rsidR="00AF48F7">
        <w:rPr>
          <w:rFonts w:eastAsia="TimesNewRomanPS-BoldMT" w:cs="TimesNewRomanPS-BoldMT"/>
        </w:rPr>
        <w:t>(</w:t>
      </w:r>
      <w:r w:rsidR="00B77CCC">
        <w:t>safety analysis set</w:t>
      </w:r>
      <w:r w:rsidR="00AF48F7">
        <w:t>)</w:t>
      </w:r>
    </w:p>
    <w:p w14:paraId="37884A78" w14:textId="4C909B42" w:rsidR="00735D2B" w:rsidRDefault="00735D2B" w:rsidP="00735D2B">
      <w:pPr>
        <w:rPr>
          <w:lang w:eastAsia="ja-JP"/>
        </w:rPr>
      </w:pPr>
      <w:r>
        <w:rPr>
          <w:noProof/>
          <w:lang w:eastAsia="en-AU"/>
        </w:rPr>
        <w:drawing>
          <wp:inline distT="0" distB="0" distL="0" distR="0" wp14:anchorId="339A6FE1" wp14:editId="72594BD6">
            <wp:extent cx="5400040" cy="1787525"/>
            <wp:effectExtent l="0" t="0" r="0" b="3175"/>
            <wp:docPr id="12" name="Picture 12" descr="Study AVXS-101-CL-303 summary of treatment-emergent adverse events by maximum severity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1787525"/>
                    </a:xfrm>
                    <a:prstGeom prst="rect">
                      <a:avLst/>
                    </a:prstGeom>
                  </pic:spPr>
                </pic:pic>
              </a:graphicData>
            </a:graphic>
          </wp:inline>
        </w:drawing>
      </w:r>
    </w:p>
    <w:p w14:paraId="029DA767" w14:textId="31313587" w:rsidR="00735D2B" w:rsidRDefault="00735D2B" w:rsidP="00735D2B">
      <w:r>
        <w:t>As at 31 December 2019, there had been two deaths in the clinical study program</w:t>
      </w:r>
      <w:r w:rsidRPr="00A340F7">
        <w:t xml:space="preserve">, one </w:t>
      </w:r>
      <w:r>
        <w:t xml:space="preserve">in </w:t>
      </w:r>
      <w:r w:rsidR="00D31923">
        <w:t>Study AVXS-101-CL-303</w:t>
      </w:r>
      <w:r>
        <w:t xml:space="preserve"> </w:t>
      </w:r>
      <w:r w:rsidRPr="00A340F7">
        <w:t xml:space="preserve">due to a TEAE of respiratory arrest and one </w:t>
      </w:r>
      <w:r>
        <w:t xml:space="preserve">in </w:t>
      </w:r>
      <w:r w:rsidR="00D31923">
        <w:t>Study AVXS-101-CL-302</w:t>
      </w:r>
      <w:r>
        <w:t xml:space="preserve"> due a TEAE of </w:t>
      </w:r>
      <w:r w:rsidRPr="00A340F7">
        <w:t>respiratory distress and hypoxic-ischemic encephalopathy</w:t>
      </w:r>
      <w:r w:rsidR="00B77CCC">
        <w:t>.</w:t>
      </w:r>
      <w:r>
        <w:t xml:space="preserve"> B</w:t>
      </w:r>
      <w:r w:rsidRPr="00A340F7">
        <w:t xml:space="preserve">oth </w:t>
      </w:r>
      <w:r>
        <w:t>deaths</w:t>
      </w:r>
      <w:r w:rsidRPr="00A340F7">
        <w:t xml:space="preserve"> were </w:t>
      </w:r>
      <w:r>
        <w:t>assessed as</w:t>
      </w:r>
      <w:r w:rsidRPr="00A340F7">
        <w:t xml:space="preserve"> unrelated to AVXS-101.</w:t>
      </w:r>
      <w:r w:rsidR="00B77CCC">
        <w:t xml:space="preserve"> </w:t>
      </w:r>
      <w:r>
        <w:t>Survival was a primary efficacy endpoint in both of the completed studies, and both studies showed a strong survival benefit relative to untreated subjects f</w:t>
      </w:r>
      <w:r w:rsidR="00B77CCC">
        <w:t>rom natural history studies.</w:t>
      </w:r>
    </w:p>
    <w:p w14:paraId="752BCAAB" w14:textId="6E8CE51D" w:rsidR="00735D2B" w:rsidRDefault="00735D2B" w:rsidP="00735D2B">
      <w:r>
        <w:t>One death</w:t>
      </w:r>
      <w:r w:rsidRPr="002B77F3">
        <w:t xml:space="preserve"> </w:t>
      </w:r>
      <w:r w:rsidR="00B77CCC">
        <w:t xml:space="preserve">was reported in a 15 </w:t>
      </w:r>
      <w:r>
        <w:t>month old child 3 days after treatmen</w:t>
      </w:r>
      <w:r w:rsidR="00B77CCC">
        <w:t xml:space="preserve">t via an Early Access Program. </w:t>
      </w:r>
      <w:r>
        <w:t>This case was complex with multiple medical co-morbidities in a child at an ad</w:t>
      </w:r>
      <w:r w:rsidR="00B77CCC">
        <w:t xml:space="preserve">vanced stage of SMA </w:t>
      </w:r>
      <w:r w:rsidR="005A2B53">
        <w:t>type</w:t>
      </w:r>
      <w:r w:rsidR="00B77CCC">
        <w:t xml:space="preserve"> 1. </w:t>
      </w:r>
      <w:r>
        <w:t xml:space="preserve">The notification reported unexpected, </w:t>
      </w:r>
      <w:r w:rsidR="00B77CCC">
        <w:t>AEs</w:t>
      </w:r>
      <w:r>
        <w:t xml:space="preserve"> of myocarditis, decreas</w:t>
      </w:r>
      <w:r w:rsidR="00B77CCC">
        <w:t xml:space="preserve">ed cardiac function and death. </w:t>
      </w:r>
      <w:r>
        <w:t xml:space="preserve">There were confounding factors and the death is suspected to be due to cardiac arrest and systemic </w:t>
      </w:r>
      <w:proofErr w:type="spellStart"/>
      <w:r>
        <w:t>hypoperfusion</w:t>
      </w:r>
      <w:proofErr w:type="spellEnd"/>
      <w:r>
        <w:t xml:space="preserve"> in the setting of sepsis, but the possibility of AVXS-101 being a contributory factor in the death ca</w:t>
      </w:r>
      <w:r w:rsidR="00B77CCC">
        <w:t>nnot be definitively excluded.</w:t>
      </w:r>
    </w:p>
    <w:p w14:paraId="2C0B016E" w14:textId="126C6A90" w:rsidR="00735D2B" w:rsidRDefault="00735D2B" w:rsidP="00735D2B">
      <w:pPr>
        <w:rPr>
          <w:lang w:eastAsia="ja-JP"/>
        </w:rPr>
      </w:pPr>
      <w:r>
        <w:t xml:space="preserve">In </w:t>
      </w:r>
      <w:r w:rsidR="00D31923">
        <w:t>Study AVXS-101-CL-101</w:t>
      </w:r>
      <w:r>
        <w:t xml:space="preserve">, </w:t>
      </w:r>
      <w:r w:rsidR="00B77CCC">
        <w:t>AESIs</w:t>
      </w:r>
      <w:r>
        <w:t xml:space="preserve"> were defined as elevated liver enzymes (</w:t>
      </w:r>
      <w:r>
        <w:fldChar w:fldCharType="begin"/>
      </w:r>
      <w:r>
        <w:instrText xml:space="preserve"> REF _Ref50383074 \h </w:instrText>
      </w:r>
      <w:r>
        <w:fldChar w:fldCharType="separate"/>
      </w:r>
      <w:r w:rsidR="009C2F61">
        <w:t xml:space="preserve">Table </w:t>
      </w:r>
      <w:r w:rsidR="009C2F61">
        <w:rPr>
          <w:noProof/>
        </w:rPr>
        <w:t>12</w:t>
      </w:r>
      <w:r>
        <w:fldChar w:fldCharType="end"/>
      </w:r>
      <w:r w:rsidR="00B10045">
        <w:t xml:space="preserve">). </w:t>
      </w:r>
      <w:r>
        <w:rPr>
          <w:lang w:eastAsia="ja-JP"/>
        </w:rPr>
        <w:t xml:space="preserve">A protocol amendment requiring all patients to receive prophylactic treatment with prednisolone was implemented in </w:t>
      </w:r>
      <w:r w:rsidR="00D31923">
        <w:rPr>
          <w:lang w:eastAsia="ja-JP"/>
        </w:rPr>
        <w:t>Study AVXS-101-CL-101</w:t>
      </w:r>
      <w:r>
        <w:rPr>
          <w:lang w:eastAsia="ja-JP"/>
        </w:rPr>
        <w:t xml:space="preserve"> after the first patient developed elevated transaminases &gt;</w:t>
      </w:r>
      <w:r w:rsidR="00B10045">
        <w:rPr>
          <w:lang w:eastAsia="ja-JP"/>
        </w:rPr>
        <w:t xml:space="preserve"> </w:t>
      </w:r>
      <w:r>
        <w:rPr>
          <w:lang w:eastAsia="ja-JP"/>
        </w:rPr>
        <w:t xml:space="preserve">20 x ULN following treatment with AVXS-101. </w:t>
      </w:r>
      <w:r>
        <w:t xml:space="preserve">In </w:t>
      </w:r>
      <w:r w:rsidR="00D31923">
        <w:t>Study AVXS-101-CL-101</w:t>
      </w:r>
      <w:r>
        <w:t xml:space="preserve">, clinically significant elevations </w:t>
      </w:r>
      <w:r w:rsidR="00B10045">
        <w:t>of transaminases were seen in 3 </w:t>
      </w:r>
      <w:r>
        <w:t>patients (20.0%), and one (6.</w:t>
      </w:r>
      <w:r w:rsidR="002B1C06">
        <w:t xml:space="preserve">7%) had an elevated bilirubin. </w:t>
      </w:r>
      <w:r>
        <w:t xml:space="preserve">In two patients, the abnormal </w:t>
      </w:r>
      <w:r w:rsidR="00B10045">
        <w:t>liver function test</w:t>
      </w:r>
      <w:r>
        <w:t xml:space="preserve">s were considered SAEs and met </w:t>
      </w:r>
      <w:r w:rsidR="00B10045">
        <w:t>criteria for Grade 4 toxicity.</w:t>
      </w:r>
    </w:p>
    <w:p w14:paraId="3D429461" w14:textId="3E4AC41F" w:rsidR="00735D2B" w:rsidRDefault="00735D2B" w:rsidP="00735D2B">
      <w:r>
        <w:t xml:space="preserve">In </w:t>
      </w:r>
      <w:r w:rsidR="00D31923">
        <w:t>Study AVXS-101-CL-303</w:t>
      </w:r>
      <w:r>
        <w:t>, AESI</w:t>
      </w:r>
      <w:r w:rsidR="00B10045">
        <w:t>s</w:t>
      </w:r>
      <w:r>
        <w:t xml:space="preserve"> included events related to hepatotoxicity, thrombocytopaenia, cardiac </w:t>
      </w:r>
      <w:r w:rsidRPr="001E1CBA">
        <w:t xml:space="preserve">adverse events, and sensory symptoms suggestive of </w:t>
      </w:r>
      <w:proofErr w:type="spellStart"/>
      <w:r w:rsidRPr="001E1CBA">
        <w:t>ganglionopathy</w:t>
      </w:r>
      <w:proofErr w:type="spellEnd"/>
      <w:r w:rsidRPr="001E1CBA">
        <w:t xml:space="preserve"> (</w:t>
      </w:r>
      <w:r w:rsidR="002B1C06">
        <w:fldChar w:fldCharType="begin"/>
      </w:r>
      <w:r w:rsidR="002B1C06">
        <w:instrText xml:space="preserve"> REF _Ref65861716 \h </w:instrText>
      </w:r>
      <w:r w:rsidR="002B1C06">
        <w:fldChar w:fldCharType="separate"/>
      </w:r>
      <w:r w:rsidR="009C2F61" w:rsidRPr="00220ECA">
        <w:t xml:space="preserve">Table </w:t>
      </w:r>
      <w:r w:rsidR="009C2F61">
        <w:rPr>
          <w:noProof/>
        </w:rPr>
        <w:t>13</w:t>
      </w:r>
      <w:r w:rsidR="002B1C06">
        <w:fldChar w:fldCharType="end"/>
      </w:r>
      <w:r w:rsidRPr="001E1CBA">
        <w:t xml:space="preserve">). </w:t>
      </w:r>
      <w:r>
        <w:t xml:space="preserve">In </w:t>
      </w:r>
      <w:r w:rsidR="00D31923">
        <w:t>Study AVXS-101-CL-303</w:t>
      </w:r>
      <w:r>
        <w:t>, clinically significant elevations of ALT and AST were reported in 4 (18.2%) and 5 (</w:t>
      </w:r>
      <w:r w:rsidR="00B10045">
        <w:t xml:space="preserve">22.7%) patients, respectively. </w:t>
      </w:r>
      <w:r>
        <w:t xml:space="preserve">Similar findings were reported in Studies </w:t>
      </w:r>
      <w:r w:rsidR="00B10045">
        <w:t>AVXS-101-</w:t>
      </w:r>
      <w:r>
        <w:t xml:space="preserve">CL-302 and </w:t>
      </w:r>
      <w:r w:rsidR="00B10045">
        <w:t>AVXS-101-</w:t>
      </w:r>
      <w:r>
        <w:t>CL-204.</w:t>
      </w:r>
    </w:p>
    <w:p w14:paraId="3E4328A7" w14:textId="350859C3" w:rsidR="00735D2B" w:rsidRDefault="00735D2B" w:rsidP="00B77CCC">
      <w:pPr>
        <w:pStyle w:val="TableTitle"/>
      </w:pPr>
      <w:bookmarkStart w:id="67" w:name="_Ref50383074"/>
      <w:r>
        <w:t xml:space="preserve">Table </w:t>
      </w:r>
      <w:fldSimple w:instr=" SEQ Table \* ARABIC ">
        <w:r w:rsidR="009C2F61">
          <w:rPr>
            <w:noProof/>
          </w:rPr>
          <w:t>12</w:t>
        </w:r>
      </w:fldSimple>
      <w:bookmarkEnd w:id="67"/>
      <w:r w:rsidR="00B77CCC">
        <w:t xml:space="preserve">: </w:t>
      </w:r>
      <w:r w:rsidR="00AF48F7">
        <w:t xml:space="preserve">Study AVXS-101-CL-101 </w:t>
      </w:r>
      <w:r w:rsidR="00B77CCC">
        <w:t>Treatment e</w:t>
      </w:r>
      <w:r>
        <w:t xml:space="preserve">mergent </w:t>
      </w:r>
      <w:r w:rsidR="00B77CCC">
        <w:t>adverse events of special interest</w:t>
      </w:r>
      <w:r>
        <w:t xml:space="preserve"> (elevated liver enzymes only)</w:t>
      </w:r>
    </w:p>
    <w:p w14:paraId="49B2D9EA" w14:textId="1497B1A4" w:rsidR="00B77CCC" w:rsidRDefault="00B77CCC" w:rsidP="00735D2B">
      <w:pPr>
        <w:autoSpaceDE w:val="0"/>
        <w:autoSpaceDN w:val="0"/>
        <w:adjustRightInd w:val="0"/>
        <w:spacing w:before="0" w:after="0" w:line="240" w:lineRule="auto"/>
      </w:pPr>
      <w:r>
        <w:rPr>
          <w:noProof/>
          <w:lang w:eastAsia="en-AU"/>
        </w:rPr>
        <w:drawing>
          <wp:inline distT="0" distB="0" distL="0" distR="0" wp14:anchorId="31E62F09" wp14:editId="6246FEC2">
            <wp:extent cx="5314950" cy="1693734"/>
            <wp:effectExtent l="0" t="0" r="0" b="1905"/>
            <wp:docPr id="39" name="Picture 39" descr="Treatment emergent adverse events of special interest in Study AVXS-101-CL-101 (elevated liver enzyme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18543" cy="1694879"/>
                    </a:xfrm>
                    <a:prstGeom prst="rect">
                      <a:avLst/>
                    </a:prstGeom>
                  </pic:spPr>
                </pic:pic>
              </a:graphicData>
            </a:graphic>
          </wp:inline>
        </w:drawing>
      </w:r>
      <w:bookmarkStart w:id="68" w:name="_Ref50383375"/>
    </w:p>
    <w:p w14:paraId="1A86ACA3" w14:textId="11CA6B8A" w:rsidR="00B77CCC" w:rsidRPr="00B77CCC" w:rsidRDefault="002B1C06" w:rsidP="00B77CCC">
      <w:pPr>
        <w:pStyle w:val="TableDescription"/>
      </w:pPr>
      <w:r>
        <w:t>Each row</w:t>
      </w:r>
      <w:r w:rsidR="00B77CCC" w:rsidRPr="00B77CCC">
        <w:t xml:space="preserve"> represents an individual patient. Patient IDs have been redacted.</w:t>
      </w:r>
    </w:p>
    <w:p w14:paraId="317B5939" w14:textId="44F33548" w:rsidR="00735D2B" w:rsidRPr="00220ECA" w:rsidRDefault="00735D2B" w:rsidP="00B77CCC">
      <w:pPr>
        <w:pStyle w:val="TableTitle"/>
        <w:rPr>
          <w:rFonts w:eastAsia="Times New Roman"/>
          <w:lang w:eastAsia="ja-JP"/>
        </w:rPr>
      </w:pPr>
      <w:bookmarkStart w:id="69" w:name="_Ref65861716"/>
      <w:r w:rsidRPr="00220ECA">
        <w:t xml:space="preserve">Table </w:t>
      </w:r>
      <w:fldSimple w:instr=" SEQ Table \* ARABIC ">
        <w:r w:rsidR="009C2F61">
          <w:rPr>
            <w:noProof/>
          </w:rPr>
          <w:t>13</w:t>
        </w:r>
      </w:fldSimple>
      <w:bookmarkEnd w:id="68"/>
      <w:bookmarkEnd w:id="69"/>
      <w:r w:rsidR="00B77CCC">
        <w:t xml:space="preserve">: Study AVXS-101-CL-303 </w:t>
      </w:r>
      <w:r w:rsidR="00AF48F7">
        <w:t>T</w:t>
      </w:r>
      <w:r w:rsidR="00B77CCC" w:rsidRPr="00B77CCC">
        <w:t>reatment emergent adverse events of special interest</w:t>
      </w:r>
      <w:r w:rsidRPr="00220ECA">
        <w:t xml:space="preserve"> by P</w:t>
      </w:r>
      <w:r>
        <w:t xml:space="preserve">referred </w:t>
      </w:r>
      <w:r w:rsidRPr="00220ECA">
        <w:t>T</w:t>
      </w:r>
      <w:r>
        <w:t>erm</w:t>
      </w:r>
      <w:r w:rsidRPr="00220ECA">
        <w:t xml:space="preserve"> </w:t>
      </w:r>
      <w:r w:rsidR="00AF48F7">
        <w:t>(</w:t>
      </w:r>
      <w:r w:rsidR="00B77CCC">
        <w:t>safety analysis set</w:t>
      </w:r>
      <w:r w:rsidR="00AF48F7">
        <w:t>)</w:t>
      </w:r>
    </w:p>
    <w:p w14:paraId="51B50E56" w14:textId="65290D65" w:rsidR="00B77CCC" w:rsidRDefault="00B10045" w:rsidP="00735D2B">
      <w:r>
        <w:rPr>
          <w:noProof/>
          <w:lang w:eastAsia="en-AU"/>
        </w:rPr>
        <w:drawing>
          <wp:inline distT="0" distB="0" distL="0" distR="0" wp14:anchorId="66C3D394" wp14:editId="7405CBB8">
            <wp:extent cx="5194300" cy="4220674"/>
            <wp:effectExtent l="0" t="0" r="6350" b="8890"/>
            <wp:docPr id="41" name="Picture 41" descr="Study AVXS-101-CL-303 treatment emergent adverse events of special interest by Preferred Term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0666" cy="4225847"/>
                    </a:xfrm>
                    <a:prstGeom prst="rect">
                      <a:avLst/>
                    </a:prstGeom>
                  </pic:spPr>
                </pic:pic>
              </a:graphicData>
            </a:graphic>
          </wp:inline>
        </w:drawing>
      </w:r>
    </w:p>
    <w:p w14:paraId="641AAF47" w14:textId="60E481BE" w:rsidR="00735D2B" w:rsidRPr="00AA6298" w:rsidRDefault="00735D2B" w:rsidP="00735D2B">
      <w:r>
        <w:rPr>
          <w:lang w:eastAsia="ja-JP"/>
        </w:rPr>
        <w:t>Across the pooled data, including 97 patients who received AVXS-101 at the proposed dose in clinical trials, 87 patients (89.7%) experienced elevation of at least 1 liver function param</w:t>
      </w:r>
      <w:r w:rsidR="00B77CCC">
        <w:rPr>
          <w:lang w:eastAsia="ja-JP"/>
        </w:rPr>
        <w:t xml:space="preserve">eter (AST, ALT, or bilirubin). </w:t>
      </w:r>
      <w:r>
        <w:rPr>
          <w:lang w:eastAsia="ja-JP"/>
        </w:rPr>
        <w:t>Of these, 33 patients (34%) had liver-</w:t>
      </w:r>
      <w:r w:rsidR="00B77CCC">
        <w:rPr>
          <w:lang w:eastAsia="ja-JP"/>
        </w:rPr>
        <w:t xml:space="preserve">associated TEAEs. </w:t>
      </w:r>
      <w:r w:rsidRPr="00AA6298">
        <w:t xml:space="preserve">No cases of Hy’s law have been reported in Studies </w:t>
      </w:r>
      <w:r w:rsidR="00B77CCC">
        <w:t>AVXS-101-</w:t>
      </w:r>
      <w:r w:rsidRPr="00AA6298">
        <w:t xml:space="preserve">CL-303, </w:t>
      </w:r>
      <w:r w:rsidR="002B4381">
        <w:t>AVXS</w:t>
      </w:r>
      <w:r w:rsidR="002B4381">
        <w:noBreakHyphen/>
        <w:t>101</w:t>
      </w:r>
      <w:r w:rsidR="002B4381">
        <w:noBreakHyphen/>
      </w:r>
      <w:r w:rsidRPr="00AA6298">
        <w:t>CL-101, and the ongoing studie</w:t>
      </w:r>
      <w:r w:rsidR="00B77CCC">
        <w:t>s.</w:t>
      </w:r>
      <w:r w:rsidR="00B77CCC">
        <w:rPr>
          <w:rStyle w:val="FootnoteReference"/>
        </w:rPr>
        <w:footnoteReference w:id="17"/>
      </w:r>
    </w:p>
    <w:p w14:paraId="6EC3333F" w14:textId="38FC32B1" w:rsidR="00735D2B" w:rsidRDefault="00735D2B" w:rsidP="00735D2B">
      <w:r>
        <w:t>Hepatic abnormalities were one of the m</w:t>
      </w:r>
      <w:r w:rsidR="00B10045">
        <w:t>ost common TEAEs reported in a</w:t>
      </w:r>
      <w:r>
        <w:t xml:space="preserve"> </w:t>
      </w:r>
      <w:r w:rsidR="00B10045">
        <w:t>MAP</w:t>
      </w:r>
      <w:r>
        <w:t xml:space="preserve"> in </w:t>
      </w:r>
      <w:r w:rsidR="00B10045">
        <w:t xml:space="preserve">the </w:t>
      </w:r>
      <w:r>
        <w:t>USA: increased ALT and increased AST were each reported in 10 of 43 patients (23%), and liver function test increased was reported in 5 (11.6%) patients.</w:t>
      </w:r>
    </w:p>
    <w:p w14:paraId="5191ECC6" w14:textId="579B1229" w:rsidR="00735D2B" w:rsidRDefault="00735D2B" w:rsidP="00735D2B">
      <w:r>
        <w:t xml:space="preserve">Two cases of severe hepatotoxicity were reported in patients treated with </w:t>
      </w:r>
      <w:r w:rsidR="00B10045">
        <w:t xml:space="preserve">AVXS-101 through a MAP in </w:t>
      </w:r>
      <w:r w:rsidR="00AF48F7">
        <w:t xml:space="preserve">the </w:t>
      </w:r>
      <w:r w:rsidR="00B10045">
        <w:t xml:space="preserve">USA. </w:t>
      </w:r>
      <w:r>
        <w:t>Both cases met the bio</w:t>
      </w:r>
      <w:r w:rsidR="00B10045">
        <w:t xml:space="preserve">chemical criteria of Hy’s law. </w:t>
      </w:r>
      <w:r>
        <w:t>These cases were described in a recently published article by Feldman et al</w:t>
      </w:r>
      <w:r w:rsidR="00B10045">
        <w:t>.</w:t>
      </w:r>
      <w:bookmarkStart w:id="70" w:name="_Ref65515939"/>
      <w:r w:rsidR="002B1C06">
        <w:t xml:space="preserve"> (2020).</w:t>
      </w:r>
      <w:r>
        <w:rPr>
          <w:rStyle w:val="FootnoteReference"/>
        </w:rPr>
        <w:footnoteReference w:id="18"/>
      </w:r>
      <w:bookmarkEnd w:id="70"/>
      <w:r>
        <w:t xml:space="preserve"> The authors reported two cases of subacute liver failure diagnosed approximately 7 weeks after treatment w</w:t>
      </w:r>
      <w:r w:rsidR="00B10045">
        <w:t>ith IV AVXS-101 through a MAP. The s</w:t>
      </w:r>
      <w:r>
        <w:t>ponsor disputes the diagnoses of subacute liver failure, but both cases invol</w:t>
      </w:r>
      <w:r w:rsidR="00B10045">
        <w:t xml:space="preserve">ved severe acute liver injury. </w:t>
      </w:r>
      <w:r>
        <w:t>Both patients had recei</w:t>
      </w:r>
      <w:r w:rsidR="00B10045">
        <w:t xml:space="preserve">ved prophylactic prednisolone. </w:t>
      </w:r>
      <w:r>
        <w:t>One patient had abnormal baseline liver function, and the other had n</w:t>
      </w:r>
      <w:r w:rsidR="00B10045">
        <w:t xml:space="preserve">ormal baseline liver function. </w:t>
      </w:r>
      <w:r>
        <w:t>In both cases, the liver abnormalities responded to treatment with high-dose corticosteroids, with subsequent normalisation o</w:t>
      </w:r>
      <w:r w:rsidR="00B10045">
        <w:t>f liver function tests within 4 </w:t>
      </w:r>
      <w:r>
        <w:t>months.</w:t>
      </w:r>
    </w:p>
    <w:p w14:paraId="66354F8E" w14:textId="6F6C5132" w:rsidR="00735D2B" w:rsidRDefault="00735D2B" w:rsidP="00735D2B">
      <w:r>
        <w:t>Transient decreases in platelet counts were observed in the clinical studies, with 4 (4.1%) patients experiencing a TEAE for thrombocytopaenia</w:t>
      </w:r>
      <w:r>
        <w:rPr>
          <w:lang w:eastAsia="ja-JP"/>
        </w:rPr>
        <w:t>.</w:t>
      </w:r>
    </w:p>
    <w:p w14:paraId="2639DC72" w14:textId="02FE7AB0" w:rsidR="00735D2B" w:rsidRDefault="00735D2B" w:rsidP="00735D2B">
      <w:pPr>
        <w:rPr>
          <w:lang w:eastAsia="ja-JP"/>
        </w:rPr>
      </w:pPr>
      <w:r>
        <w:rPr>
          <w:lang w:eastAsia="ja-JP"/>
        </w:rPr>
        <w:t>The</w:t>
      </w:r>
      <w:r w:rsidRPr="00AB3B5D">
        <w:rPr>
          <w:lang w:eastAsia="ja-JP"/>
        </w:rPr>
        <w:t xml:space="preserve"> </w:t>
      </w:r>
      <w:r>
        <w:rPr>
          <w:lang w:eastAsia="ja-JP"/>
        </w:rPr>
        <w:t>available clinical data show no evidence of significant</w:t>
      </w:r>
      <w:r w:rsidR="00B10045">
        <w:rPr>
          <w:lang w:eastAsia="ja-JP"/>
        </w:rPr>
        <w:t xml:space="preserve"> renal toxicity from AVXS-101.</w:t>
      </w:r>
    </w:p>
    <w:p w14:paraId="14CABD6F" w14:textId="48ACD68F" w:rsidR="00735D2B" w:rsidRDefault="00735D2B" w:rsidP="00735D2B">
      <w:r>
        <w:rPr>
          <w:lang w:eastAsia="ja-JP"/>
        </w:rPr>
        <w:t xml:space="preserve">Elevated </w:t>
      </w:r>
      <w:r w:rsidR="00B10045">
        <w:rPr>
          <w:lang w:eastAsia="ja-JP"/>
        </w:rPr>
        <w:t xml:space="preserve">creatinine kinase </w:t>
      </w:r>
      <w:r>
        <w:rPr>
          <w:lang w:eastAsia="ja-JP"/>
        </w:rPr>
        <w:t>was observed in most patients with symptomatic SMA, but this can be an expe</w:t>
      </w:r>
      <w:r w:rsidR="00B10045">
        <w:rPr>
          <w:lang w:eastAsia="ja-JP"/>
        </w:rPr>
        <w:t>cted finding in this condition.</w:t>
      </w:r>
      <w:r>
        <w:rPr>
          <w:lang w:eastAsia="ja-JP"/>
        </w:rPr>
        <w:t xml:space="preserve"> </w:t>
      </w:r>
      <w:r>
        <w:t>Limited data are ava</w:t>
      </w:r>
      <w:r w:rsidR="00B10045">
        <w:t xml:space="preserve">ilable for cardiac troponin. </w:t>
      </w:r>
      <w:r>
        <w:t xml:space="preserve">Troponin was assessed in </w:t>
      </w:r>
      <w:r w:rsidR="00D31923">
        <w:t>Study AVXS-101-CL-101</w:t>
      </w:r>
      <w:r>
        <w:t xml:space="preserve"> but not in </w:t>
      </w:r>
      <w:r w:rsidR="00D31923">
        <w:t>Study AVXS-101-CL-303</w:t>
      </w:r>
      <w:r w:rsidR="00B10045">
        <w:t>. The other Phase III</w:t>
      </w:r>
      <w:r>
        <w:t xml:space="preserve"> studies did not initially include troponin testing, but this was added in protocol amendments based on finding</w:t>
      </w:r>
      <w:r w:rsidR="00B10045">
        <w:t xml:space="preserve">s in mouse toxicology studies. </w:t>
      </w:r>
      <w:r>
        <w:t xml:space="preserve">In </w:t>
      </w:r>
      <w:r w:rsidR="002B1C06">
        <w:t>Study </w:t>
      </w:r>
      <w:r w:rsidR="00D31923">
        <w:t>AVXS-101-CL-101</w:t>
      </w:r>
      <w:r>
        <w:t>, 8 of 15 patients (53.3%) had elevations in cardiac troponin levels that met the pre-specified criterion for potential clinic</w:t>
      </w:r>
      <w:r w:rsidR="00B10045">
        <w:t xml:space="preserve">al significance (&gt; 0.05 μg/L). </w:t>
      </w:r>
      <w:r>
        <w:t>Of these, 2 patients had elevated troponin levels prior to administration of AVXS-101.</w:t>
      </w:r>
    </w:p>
    <w:p w14:paraId="40D211C2" w14:textId="77777777" w:rsidR="00735D2B" w:rsidRPr="006C7610" w:rsidRDefault="00735D2B" w:rsidP="00B20329">
      <w:pPr>
        <w:pStyle w:val="Heading5"/>
        <w:rPr>
          <w:lang w:eastAsia="ja-JP"/>
        </w:rPr>
      </w:pPr>
      <w:r w:rsidRPr="006C7610">
        <w:rPr>
          <w:lang w:eastAsia="ja-JP"/>
        </w:rPr>
        <w:t>Immunogenicity</w:t>
      </w:r>
    </w:p>
    <w:p w14:paraId="56000F6D" w14:textId="4BD310C5" w:rsidR="00735D2B" w:rsidRDefault="00735D2B" w:rsidP="00735D2B">
      <w:r>
        <w:rPr>
          <w:lang w:eastAsia="ja-JP"/>
        </w:rPr>
        <w:t>The clinical studies measured antibod</w:t>
      </w:r>
      <w:r w:rsidR="00B10045">
        <w:rPr>
          <w:lang w:eastAsia="ja-JP"/>
        </w:rPr>
        <w:t xml:space="preserve">y and T </w:t>
      </w:r>
      <w:r>
        <w:rPr>
          <w:lang w:eastAsia="ja-JP"/>
        </w:rPr>
        <w:t>cell responses to AAV9 and SMN.</w:t>
      </w:r>
      <w:r w:rsidRPr="003477D3">
        <w:t xml:space="preserve"> </w:t>
      </w:r>
      <w:r w:rsidRPr="00EE19A3">
        <w:t xml:space="preserve">All </w:t>
      </w:r>
      <w:r>
        <w:t>patients</w:t>
      </w:r>
      <w:r w:rsidRPr="00EE19A3">
        <w:t xml:space="preserve"> in the clinical studies were required to have AAV9 </w:t>
      </w:r>
      <w:r>
        <w:t xml:space="preserve">antibody </w:t>
      </w:r>
      <w:r w:rsidRPr="00EE19A3">
        <w:t>titre ≤</w:t>
      </w:r>
      <w:r w:rsidR="00B10045">
        <w:t xml:space="preserve"> </w:t>
      </w:r>
      <w:r w:rsidRPr="00EE19A3">
        <w:t xml:space="preserve">1:50 prior to </w:t>
      </w:r>
      <w:r>
        <w:t>AVXS-101</w:t>
      </w:r>
      <w:r w:rsidRPr="00EE19A3">
        <w:t xml:space="preserve"> administration</w:t>
      </w:r>
      <w:r w:rsidR="00B10045">
        <w:t xml:space="preserve">. </w:t>
      </w:r>
      <w:r w:rsidRPr="00EE19A3">
        <w:t xml:space="preserve">High anti-AAV9 antibody titres occurred following infusion of </w:t>
      </w:r>
      <w:r>
        <w:t xml:space="preserve">AVXS-101 </w:t>
      </w:r>
      <w:r w:rsidRPr="007A6FB3">
        <w:t xml:space="preserve">in all </w:t>
      </w:r>
      <w:r>
        <w:t>patients</w:t>
      </w:r>
      <w:r w:rsidRPr="00EE19A3">
        <w:t xml:space="preserve"> </w:t>
      </w:r>
      <w:r w:rsidR="00B10045">
        <w:rPr>
          <w:lang w:eastAsia="ja-JP"/>
        </w:rPr>
        <w:t xml:space="preserve">and T </w:t>
      </w:r>
      <w:r>
        <w:rPr>
          <w:lang w:eastAsia="ja-JP"/>
        </w:rPr>
        <w:t>cell responses to the AAV9 vector were also observed</w:t>
      </w:r>
      <w:r w:rsidR="00B10045">
        <w:t>.</w:t>
      </w:r>
    </w:p>
    <w:p w14:paraId="5B5C9B2B" w14:textId="6E451B93" w:rsidR="00735D2B" w:rsidRDefault="00735D2B" w:rsidP="00735D2B">
      <w:pPr>
        <w:rPr>
          <w:lang w:eastAsia="ja-JP"/>
        </w:rPr>
      </w:pPr>
      <w:r>
        <w:rPr>
          <w:lang w:eastAsia="ja-JP"/>
        </w:rPr>
        <w:t>Patients did not de</w:t>
      </w:r>
      <w:r w:rsidR="00B10045">
        <w:rPr>
          <w:lang w:eastAsia="ja-JP"/>
        </w:rPr>
        <w:t xml:space="preserve">velop an antibody response or T cell response to SMN protein. </w:t>
      </w:r>
      <w:r>
        <w:rPr>
          <w:lang w:eastAsia="ja-JP"/>
        </w:rPr>
        <w:t>SMN protein is an endogenous human protein</w:t>
      </w:r>
      <w:r w:rsidRPr="003477D3">
        <w:t xml:space="preserve"> </w:t>
      </w:r>
      <w:r>
        <w:t xml:space="preserve">and </w:t>
      </w:r>
      <w:r w:rsidRPr="00D723FF">
        <w:t xml:space="preserve">patients with SMA are </w:t>
      </w:r>
      <w:r>
        <w:t xml:space="preserve">already </w:t>
      </w:r>
      <w:r w:rsidRPr="00D723FF">
        <w:t xml:space="preserve">exposed to </w:t>
      </w:r>
      <w:r>
        <w:t>this</w:t>
      </w:r>
      <w:r w:rsidRPr="00D723FF">
        <w:t xml:space="preserve"> protein to a </w:t>
      </w:r>
      <w:r>
        <w:t>limited</w:t>
      </w:r>
      <w:r w:rsidRPr="00D723FF">
        <w:t xml:space="preserve"> extent from the </w:t>
      </w:r>
      <w:r w:rsidRPr="005F7A49">
        <w:rPr>
          <w:i/>
        </w:rPr>
        <w:t>SMN2</w:t>
      </w:r>
      <w:r w:rsidRPr="00D723FF">
        <w:t xml:space="preserve"> gene.</w:t>
      </w:r>
    </w:p>
    <w:p w14:paraId="0AB9A0E8" w14:textId="77777777" w:rsidR="00735D2B" w:rsidRPr="00DB554A" w:rsidRDefault="00735D2B" w:rsidP="00B20329">
      <w:pPr>
        <w:pStyle w:val="Heading5"/>
      </w:pPr>
      <w:r w:rsidRPr="00DB554A">
        <w:t xml:space="preserve">Other </w:t>
      </w:r>
      <w:r>
        <w:t xml:space="preserve">potential </w:t>
      </w:r>
      <w:r w:rsidRPr="00DB554A">
        <w:t>risks relating to gene therapy</w:t>
      </w:r>
    </w:p>
    <w:p w14:paraId="0E5EA76C" w14:textId="0753D5ED" w:rsidR="00735D2B" w:rsidRDefault="00735D2B" w:rsidP="00735D2B">
      <w:pPr>
        <w:rPr>
          <w:lang w:eastAsia="ja-JP"/>
        </w:rPr>
      </w:pPr>
      <w:r w:rsidRPr="004B5ADD">
        <w:rPr>
          <w:lang w:eastAsia="ja-JP"/>
        </w:rPr>
        <w:t>The</w:t>
      </w:r>
      <w:r>
        <w:rPr>
          <w:lang w:eastAsia="ja-JP"/>
        </w:rPr>
        <w:t xml:space="preserve"> submission addressed other</w:t>
      </w:r>
      <w:r w:rsidRPr="004B5ADD">
        <w:rPr>
          <w:lang w:eastAsia="ja-JP"/>
        </w:rPr>
        <w:t xml:space="preserve"> </w:t>
      </w:r>
      <w:r>
        <w:rPr>
          <w:lang w:eastAsia="ja-JP"/>
        </w:rPr>
        <w:t xml:space="preserve">potential </w:t>
      </w:r>
      <w:r w:rsidRPr="004B5ADD">
        <w:rPr>
          <w:lang w:eastAsia="ja-JP"/>
        </w:rPr>
        <w:t xml:space="preserve">risks </w:t>
      </w:r>
      <w:r>
        <w:rPr>
          <w:lang w:eastAsia="ja-JP"/>
        </w:rPr>
        <w:t>relating to</w:t>
      </w:r>
      <w:r w:rsidRPr="004B5ADD">
        <w:rPr>
          <w:lang w:eastAsia="ja-JP"/>
        </w:rPr>
        <w:t xml:space="preserve"> gene vector technology, including accidental self-inoculation, vector shedding, </w:t>
      </w:r>
      <w:proofErr w:type="spellStart"/>
      <w:r w:rsidRPr="004B5ADD">
        <w:rPr>
          <w:lang w:eastAsia="ja-JP"/>
        </w:rPr>
        <w:t>tumourigenicity</w:t>
      </w:r>
      <w:proofErr w:type="spellEnd"/>
      <w:r w:rsidRPr="004B5ADD">
        <w:rPr>
          <w:lang w:eastAsia="ja-JP"/>
        </w:rPr>
        <w:t xml:space="preserve"> due to chromosomal integration, and the risk of germ-line transmission</w:t>
      </w:r>
      <w:r w:rsidR="00B10045">
        <w:rPr>
          <w:lang w:eastAsia="ja-JP"/>
        </w:rPr>
        <w:t>.</w:t>
      </w:r>
      <w:r>
        <w:rPr>
          <w:lang w:eastAsia="ja-JP"/>
        </w:rPr>
        <w:t xml:space="preserve"> </w:t>
      </w:r>
      <w:r w:rsidRPr="004B5ADD">
        <w:rPr>
          <w:lang w:eastAsia="ja-JP"/>
        </w:rPr>
        <w:t xml:space="preserve">The clinical evaluator concluded that these risks cannot be inferred from the limited exposure reported in the submitted clinical studies, but </w:t>
      </w:r>
      <w:r>
        <w:rPr>
          <w:lang w:eastAsia="ja-JP"/>
        </w:rPr>
        <w:t xml:space="preserve">agreed that </w:t>
      </w:r>
      <w:r w:rsidR="00B10045">
        <w:rPr>
          <w:lang w:eastAsia="ja-JP"/>
        </w:rPr>
        <w:t>the s</w:t>
      </w:r>
      <w:r w:rsidRPr="004B5ADD">
        <w:rPr>
          <w:lang w:eastAsia="ja-JP"/>
        </w:rPr>
        <w:t xml:space="preserve">ponsor’s assessment that these risks are minimal </w:t>
      </w:r>
      <w:r>
        <w:rPr>
          <w:lang w:eastAsia="ja-JP"/>
        </w:rPr>
        <w:t>i</w:t>
      </w:r>
      <w:r w:rsidR="00B10045">
        <w:rPr>
          <w:lang w:eastAsia="ja-JP"/>
        </w:rPr>
        <w:t xml:space="preserve">s plausible. </w:t>
      </w:r>
      <w:r w:rsidRPr="004B5ADD">
        <w:rPr>
          <w:lang w:eastAsia="ja-JP"/>
        </w:rPr>
        <w:t>The clinical evaluator recommend</w:t>
      </w:r>
      <w:r>
        <w:rPr>
          <w:lang w:eastAsia="ja-JP"/>
        </w:rPr>
        <w:t>ed</w:t>
      </w:r>
      <w:r w:rsidRPr="004B5ADD">
        <w:rPr>
          <w:lang w:eastAsia="ja-JP"/>
        </w:rPr>
        <w:t xml:space="preserve"> further </w:t>
      </w:r>
      <w:r>
        <w:rPr>
          <w:lang w:eastAsia="ja-JP"/>
        </w:rPr>
        <w:t>advice</w:t>
      </w:r>
      <w:r w:rsidRPr="004B5ADD">
        <w:rPr>
          <w:lang w:eastAsia="ja-JP"/>
        </w:rPr>
        <w:t xml:space="preserve"> on these risks</w:t>
      </w:r>
      <w:r>
        <w:rPr>
          <w:lang w:eastAsia="ja-JP"/>
        </w:rPr>
        <w:t xml:space="preserve"> from experts in virology and genetics (</w:t>
      </w:r>
      <w:r w:rsidR="00B10045">
        <w:rPr>
          <w:lang w:eastAsia="ja-JP"/>
        </w:rPr>
        <w:t>see ‘</w:t>
      </w:r>
      <w:r w:rsidR="00B10045" w:rsidRPr="00B10045">
        <w:rPr>
          <w:i/>
          <w:lang w:eastAsia="ja-JP"/>
        </w:rPr>
        <w:fldChar w:fldCharType="begin"/>
      </w:r>
      <w:r w:rsidR="00B10045" w:rsidRPr="00B10045">
        <w:rPr>
          <w:i/>
          <w:lang w:eastAsia="ja-JP"/>
        </w:rPr>
        <w:instrText xml:space="preserve"> REF _Ref65514766 \h </w:instrText>
      </w:r>
      <w:r w:rsidR="00B10045">
        <w:rPr>
          <w:i/>
          <w:lang w:eastAsia="ja-JP"/>
        </w:rPr>
        <w:instrText xml:space="preserve"> \* MERGEFORMAT </w:instrText>
      </w:r>
      <w:r w:rsidR="00B10045" w:rsidRPr="00B10045">
        <w:rPr>
          <w:i/>
          <w:lang w:eastAsia="ja-JP"/>
        </w:rPr>
      </w:r>
      <w:r w:rsidR="00B10045" w:rsidRPr="00B10045">
        <w:rPr>
          <w:i/>
          <w:lang w:eastAsia="ja-JP"/>
        </w:rPr>
        <w:fldChar w:fldCharType="separate"/>
      </w:r>
      <w:r w:rsidR="009C2F61" w:rsidRPr="009C2F61">
        <w:rPr>
          <w:i/>
        </w:rPr>
        <w:t>Advisory Committee considerations</w:t>
      </w:r>
      <w:r w:rsidR="00B10045" w:rsidRPr="00B10045">
        <w:rPr>
          <w:i/>
          <w:lang w:eastAsia="ja-JP"/>
        </w:rPr>
        <w:fldChar w:fldCharType="end"/>
      </w:r>
      <w:r w:rsidR="00B10045">
        <w:rPr>
          <w:lang w:eastAsia="ja-JP"/>
        </w:rPr>
        <w:t>’ section, below</w:t>
      </w:r>
      <w:r>
        <w:rPr>
          <w:lang w:eastAsia="ja-JP"/>
        </w:rPr>
        <w:t>).</w:t>
      </w:r>
    </w:p>
    <w:p w14:paraId="6049841E" w14:textId="77777777" w:rsidR="00735D2B" w:rsidRPr="00E5425C" w:rsidRDefault="00735D2B" w:rsidP="00B20329">
      <w:pPr>
        <w:pStyle w:val="Heading5"/>
      </w:pPr>
      <w:r w:rsidRPr="00E5425C">
        <w:t>Intrathecal studies</w:t>
      </w:r>
    </w:p>
    <w:p w14:paraId="5D2D1646" w14:textId="2644D1CD" w:rsidR="00735D2B" w:rsidRDefault="00735D2B" w:rsidP="00735D2B">
      <w:r>
        <w:t>Stu</w:t>
      </w:r>
      <w:r w:rsidR="00B10045">
        <w:t>dy AVXS-101-CL-102 is an ongoing, Phase I</w:t>
      </w:r>
      <w:r w:rsidR="0058715D">
        <w:t xml:space="preserve">, open label, single </w:t>
      </w:r>
      <w:r>
        <w:t xml:space="preserve">dose study of </w:t>
      </w:r>
      <w:r w:rsidR="00B10045" w:rsidRPr="00B10045">
        <w:t>IT</w:t>
      </w:r>
      <w:r w:rsidRPr="00B10045">
        <w:t xml:space="preserve"> </w:t>
      </w:r>
      <w:r w:rsidR="0058715D">
        <w:t>AVXS</w:t>
      </w:r>
      <w:r w:rsidR="0058715D">
        <w:noBreakHyphen/>
      </w:r>
      <w:r>
        <w:t xml:space="preserve">101 in infants and children with a genetic diagnosis consistent with SMA, bi-allelic deletion of </w:t>
      </w:r>
      <w:r w:rsidRPr="005F7A49">
        <w:rPr>
          <w:i/>
        </w:rPr>
        <w:t>SMN1</w:t>
      </w:r>
      <w:r>
        <w:t xml:space="preserve"> and 3 copies of </w:t>
      </w:r>
      <w:r w:rsidRPr="005F7A49">
        <w:rPr>
          <w:i/>
        </w:rPr>
        <w:t>SMN2</w:t>
      </w:r>
      <w:r>
        <w:t>, who are able to sit but cannot stand or wa</w:t>
      </w:r>
      <w:r w:rsidR="00B10045">
        <w:t xml:space="preserve">lk at the time of study entry. </w:t>
      </w:r>
      <w:r>
        <w:t xml:space="preserve">The summary of safety as at 31 December 2019 is shown in </w:t>
      </w:r>
      <w:r>
        <w:fldChar w:fldCharType="begin"/>
      </w:r>
      <w:r>
        <w:instrText xml:space="preserve"> REF _Ref50369569 \h </w:instrText>
      </w:r>
      <w:r>
        <w:fldChar w:fldCharType="separate"/>
      </w:r>
      <w:r w:rsidR="009C2F61">
        <w:t xml:space="preserve">Table </w:t>
      </w:r>
      <w:r w:rsidR="009C2F61">
        <w:rPr>
          <w:noProof/>
        </w:rPr>
        <w:t>14</w:t>
      </w:r>
      <w:r>
        <w:fldChar w:fldCharType="end"/>
      </w:r>
      <w:r w:rsidR="00B20329">
        <w:t>.</w:t>
      </w:r>
    </w:p>
    <w:p w14:paraId="25BC6AED" w14:textId="08661D1C" w:rsidR="00735D2B" w:rsidRDefault="00735D2B" w:rsidP="00B10045">
      <w:pPr>
        <w:pStyle w:val="TableTitle"/>
        <w:rPr>
          <w:lang w:eastAsia="ja-JP"/>
        </w:rPr>
      </w:pPr>
      <w:bookmarkStart w:id="71" w:name="_Ref50369569"/>
      <w:r>
        <w:t xml:space="preserve">Table </w:t>
      </w:r>
      <w:fldSimple w:instr=" SEQ Table \* ARABIC ">
        <w:r w:rsidR="009C2F61">
          <w:rPr>
            <w:noProof/>
          </w:rPr>
          <w:t>14</w:t>
        </w:r>
      </w:fldSimple>
      <w:bookmarkEnd w:id="71"/>
      <w:r w:rsidR="00B10045">
        <w:t>: Study CL-102</w:t>
      </w:r>
      <w:r w:rsidR="00B10045" w:rsidRPr="00B24D0E">
        <w:t xml:space="preserve"> </w:t>
      </w:r>
      <w:r w:rsidR="00B10045">
        <w:t>(intrathecal) treatment emergent adverse events</w:t>
      </w:r>
      <w:r>
        <w:t xml:space="preserve"> </w:t>
      </w:r>
      <w:r w:rsidR="00AF48F7">
        <w:t>(</w:t>
      </w:r>
      <w:r w:rsidR="00B10045">
        <w:t>safety analysis set</w:t>
      </w:r>
      <w:r w:rsidR="00AF48F7">
        <w:t>)</w:t>
      </w:r>
    </w:p>
    <w:p w14:paraId="586D37A7" w14:textId="3FDB38BF" w:rsidR="00B10045" w:rsidRPr="008577A9" w:rsidRDefault="00735D2B" w:rsidP="00735D2B">
      <w:pPr>
        <w:rPr>
          <w:lang w:eastAsia="ja-JP"/>
        </w:rPr>
      </w:pPr>
      <w:r>
        <w:rPr>
          <w:noProof/>
          <w:lang w:eastAsia="en-AU"/>
        </w:rPr>
        <w:drawing>
          <wp:inline distT="0" distB="0" distL="0" distR="0" wp14:anchorId="0A83C2A6" wp14:editId="3E77FD13">
            <wp:extent cx="5400040" cy="2309169"/>
            <wp:effectExtent l="0" t="0" r="0" b="0"/>
            <wp:docPr id="28" name="Picture 28" descr="Study CL-102 (intrathecal) treatment emergent adverse events –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309169"/>
                    </a:xfrm>
                    <a:prstGeom prst="rect">
                      <a:avLst/>
                    </a:prstGeom>
                    <a:noFill/>
                    <a:ln>
                      <a:noFill/>
                    </a:ln>
                  </pic:spPr>
                </pic:pic>
              </a:graphicData>
            </a:graphic>
          </wp:inline>
        </w:drawing>
      </w:r>
    </w:p>
    <w:p w14:paraId="769FFB73" w14:textId="6C0808E8" w:rsidR="00735D2B" w:rsidRDefault="00735D2B" w:rsidP="00735D2B">
      <w:r>
        <w:t xml:space="preserve">This study was placed on partial clinical hold on 29 October 2019 in response to an </w:t>
      </w:r>
      <w:r w:rsidR="00DF3E6D">
        <w:t xml:space="preserve">urgent safety measure </w:t>
      </w:r>
      <w:r>
        <w:t xml:space="preserve">notification relating to </w:t>
      </w:r>
      <w:r w:rsidR="0058715D">
        <w:t>DRG</w:t>
      </w:r>
      <w:r>
        <w:t xml:space="preserve"> findings following </w:t>
      </w:r>
      <w:r w:rsidR="0058715D">
        <w:t>IT administration of AVXS</w:t>
      </w:r>
      <w:r w:rsidR="0058715D">
        <w:noBreakHyphen/>
      </w:r>
      <w:r>
        <w:t xml:space="preserve">101 in a non-human primate </w:t>
      </w:r>
      <w:r w:rsidR="00DF3E6D">
        <w:t xml:space="preserve">study. </w:t>
      </w:r>
      <w:r>
        <w:t>The partial clinical hold prevented screening or treatment of further patients in intrathecal</w:t>
      </w:r>
      <w:r w:rsidR="00DF3E6D">
        <w:t xml:space="preserve"> studies until further notice. </w:t>
      </w:r>
      <w:r>
        <w:t>The partial clinical hold did not apply to</w:t>
      </w:r>
      <w:r w:rsidR="00DF3E6D">
        <w:t xml:space="preserve"> the IV clinical studies. </w:t>
      </w:r>
      <w:r>
        <w:t xml:space="preserve">At that time, the clinical trial sponsor, </w:t>
      </w:r>
      <w:proofErr w:type="spellStart"/>
      <w:r w:rsidRPr="00964E01">
        <w:rPr>
          <w:lang w:eastAsia="ja-JP"/>
        </w:rPr>
        <w:t>AveXis</w:t>
      </w:r>
      <w:proofErr w:type="spellEnd"/>
      <w:r>
        <w:rPr>
          <w:lang w:eastAsia="ja-JP"/>
        </w:rPr>
        <w:t>,</w:t>
      </w:r>
      <w:r>
        <w:t xml:space="preserve"> updated protocols of ongoin</w:t>
      </w:r>
      <w:r w:rsidR="0058715D">
        <w:t>g clinical studies with the non</w:t>
      </w:r>
      <w:r>
        <w:t xml:space="preserve">clinical safety information, and emphasised the importance of age-appropriate sensory testing and monitoring of symptoms of </w:t>
      </w:r>
      <w:r w:rsidR="0058715D">
        <w:t>pain, numbness or paraesthesia.</w:t>
      </w:r>
    </w:p>
    <w:p w14:paraId="0518BD5F" w14:textId="58266230" w:rsidR="00DF3E6D" w:rsidRDefault="00735D2B" w:rsidP="00735D2B">
      <w:r w:rsidRPr="00964E01">
        <w:t xml:space="preserve">On 22 July 2020, </w:t>
      </w:r>
      <w:proofErr w:type="spellStart"/>
      <w:r w:rsidRPr="00964E01">
        <w:t>AveXis</w:t>
      </w:r>
      <w:proofErr w:type="spellEnd"/>
      <w:r w:rsidRPr="00964E01">
        <w:t xml:space="preserve"> notified all investigators involved in AVXS-101 studies of new CNS findings from the interim analysis of the ongoing GLP-compliant </w:t>
      </w:r>
      <w:r w:rsidR="00DF3E6D">
        <w:t>IT</w:t>
      </w:r>
      <w:r w:rsidRPr="00964E01">
        <w:t xml:space="preserve"> non-human primate study (</w:t>
      </w:r>
      <w:r w:rsidR="00DF3E6D">
        <w:t>see ‘</w:t>
      </w:r>
      <w:r w:rsidR="00DF3E6D" w:rsidRPr="00DF3E6D">
        <w:rPr>
          <w:i/>
        </w:rPr>
        <w:fldChar w:fldCharType="begin"/>
      </w:r>
      <w:r w:rsidR="00DF3E6D" w:rsidRPr="00DF3E6D">
        <w:rPr>
          <w:i/>
        </w:rPr>
        <w:instrText xml:space="preserve"> REF _Ref65514917 \h </w:instrText>
      </w:r>
      <w:r w:rsidR="00DF3E6D">
        <w:rPr>
          <w:i/>
        </w:rPr>
        <w:instrText xml:space="preserve"> \* MERGEFORMAT </w:instrText>
      </w:r>
      <w:r w:rsidR="00DF3E6D" w:rsidRPr="00DF3E6D">
        <w:rPr>
          <w:i/>
        </w:rPr>
      </w:r>
      <w:r w:rsidR="00DF3E6D" w:rsidRPr="00DF3E6D">
        <w:rPr>
          <w:i/>
        </w:rPr>
        <w:fldChar w:fldCharType="separate"/>
      </w:r>
      <w:r w:rsidR="009C2F61" w:rsidRPr="009C2F61">
        <w:rPr>
          <w:i/>
        </w:rPr>
        <w:t>Nonclinical</w:t>
      </w:r>
      <w:r w:rsidR="00DF3E6D" w:rsidRPr="00DF3E6D">
        <w:rPr>
          <w:i/>
        </w:rPr>
        <w:fldChar w:fldCharType="end"/>
      </w:r>
      <w:r w:rsidR="00DF3E6D">
        <w:t>’ section, above</w:t>
      </w:r>
      <w:r>
        <w:t xml:space="preserve">), and advised that Study </w:t>
      </w:r>
      <w:r w:rsidR="00DF3E6D">
        <w:t>AVXS-101-</w:t>
      </w:r>
      <w:r>
        <w:t>CL-102 continues to b</w:t>
      </w:r>
      <w:r w:rsidR="006231CB">
        <w:t xml:space="preserve">e on partial clinical hold. </w:t>
      </w:r>
      <w:proofErr w:type="spellStart"/>
      <w:r w:rsidR="006231CB">
        <w:t>AveX</w:t>
      </w:r>
      <w:r>
        <w:t>is</w:t>
      </w:r>
      <w:proofErr w:type="spellEnd"/>
      <w:r>
        <w:t xml:space="preserve"> provided the following assessment of the c</w:t>
      </w:r>
      <w:r w:rsidR="00DF3E6D">
        <w:t>linical implications of the non</w:t>
      </w:r>
      <w:r>
        <w:t>clinical findings</w:t>
      </w:r>
      <w:r w:rsidRPr="00964E01">
        <w:t>:</w:t>
      </w:r>
    </w:p>
    <w:p w14:paraId="524EABB7" w14:textId="706758FA" w:rsidR="00DF3E6D" w:rsidRDefault="00DF3E6D" w:rsidP="00DF3E6D">
      <w:pPr>
        <w:ind w:left="720"/>
      </w:pPr>
      <w:r>
        <w:t>‘</w:t>
      </w:r>
      <w:r w:rsidR="00735D2B" w:rsidRPr="00964E01">
        <w:t xml:space="preserve">These CNS findings are considered likely AVXS-101 related, lack a dose response, have no neurologic or clinical observation correlates and generally were of low incidence and severity affecting only a few neurons. It remains unclear if these </w:t>
      </w:r>
      <w:r>
        <w:t>non-human primate</w:t>
      </w:r>
      <w:r w:rsidR="00735D2B" w:rsidRPr="00964E01">
        <w:t xml:space="preserve"> findings will translate to patients administered AVXS-101.</w:t>
      </w:r>
    </w:p>
    <w:p w14:paraId="5DC28249" w14:textId="1904D1B2" w:rsidR="00DF3E6D" w:rsidRDefault="00735D2B" w:rsidP="00DF3E6D">
      <w:pPr>
        <w:ind w:left="720"/>
      </w:pPr>
      <w:r w:rsidRPr="00964E01">
        <w:t>To evaluate the clinical data with regards to the n</w:t>
      </w:r>
      <w:r w:rsidR="0058715D">
        <w:t>ew interim findings of this pre</w:t>
      </w:r>
      <w:r w:rsidR="0058715D">
        <w:noBreakHyphen/>
      </w:r>
      <w:r w:rsidRPr="00964E01">
        <w:t xml:space="preserve">clinical study, a specific search of the Novartis global safety database was conducted to include available safety data from all sources (including clinical studies with either intravenous or IT administrations, open access programs and post-marketing spontaneous reports) in over 600 patients dosed with AVXS-101. No new safety signals were identified based on the acute onset of the findings (within 6 weeks post dose) for the development of the CNS findings relative to the duration of available patient follow-up (months to years) for the completed and ongoing clinical studies. </w:t>
      </w:r>
      <w:proofErr w:type="spellStart"/>
      <w:r w:rsidRPr="00964E01">
        <w:t>AveXis</w:t>
      </w:r>
      <w:proofErr w:type="spellEnd"/>
      <w:r w:rsidRPr="00964E01">
        <w:t xml:space="preserve"> has assessed that there are no new immediate clinical implications for patients treated with AVXS-101 in the past or those currently being </w:t>
      </w:r>
      <w:r w:rsidR="00DF3E6D">
        <w:t xml:space="preserve">treated in ongoing trials. </w:t>
      </w:r>
    </w:p>
    <w:p w14:paraId="727E588B" w14:textId="00B7E003" w:rsidR="00735D2B" w:rsidRPr="00964E01" w:rsidRDefault="00735D2B" w:rsidP="00DF3E6D">
      <w:pPr>
        <w:ind w:left="720"/>
      </w:pPr>
      <w:r w:rsidRPr="00964E01">
        <w:t xml:space="preserve">Although the clinical relevance of these </w:t>
      </w:r>
      <w:r w:rsidR="00DF3E6D">
        <w:t>non-human primate</w:t>
      </w:r>
      <w:r w:rsidRPr="00964E01">
        <w:t xml:space="preserve"> findings is unknown, we would like to reinforce importance of conducting a careful neurological exam at each visit in all ongoing clinical trials. Protocol required neurological assessments are considered sufficient to detect clinical abnormalities related to these findings. </w:t>
      </w:r>
      <w:proofErr w:type="spellStart"/>
      <w:r w:rsidRPr="00964E01">
        <w:t>AveXis</w:t>
      </w:r>
      <w:proofErr w:type="spellEnd"/>
      <w:r w:rsidRPr="00964E01">
        <w:t xml:space="preserve"> has conducted a careful assessment based on all available information and concludes the overall benefit-risk profile for AVXS-101 clinical trial patients re</w:t>
      </w:r>
      <w:r w:rsidR="00DF3E6D">
        <w:t xml:space="preserve">mains </w:t>
      </w:r>
      <w:proofErr w:type="spellStart"/>
      <w:r w:rsidR="00DF3E6D">
        <w:t>favorable</w:t>
      </w:r>
      <w:proofErr w:type="spellEnd"/>
      <w:r w:rsidR="00DF3E6D">
        <w:t>.’</w:t>
      </w:r>
    </w:p>
    <w:p w14:paraId="7417D0BE" w14:textId="77777777" w:rsidR="00735D2B" w:rsidRPr="002A4084" w:rsidRDefault="00735D2B" w:rsidP="00B20329">
      <w:pPr>
        <w:pStyle w:val="Heading5"/>
      </w:pPr>
      <w:r w:rsidRPr="002A4084">
        <w:t>Post-market</w:t>
      </w:r>
      <w:r>
        <w:t xml:space="preserve"> safety</w:t>
      </w:r>
    </w:p>
    <w:p w14:paraId="50AFF9CA" w14:textId="22914DDF" w:rsidR="00735D2B" w:rsidRDefault="00735D2B" w:rsidP="00B20329">
      <w:pPr>
        <w:rPr>
          <w:lang w:eastAsia="ja-JP"/>
        </w:rPr>
      </w:pPr>
      <w:r>
        <w:rPr>
          <w:lang w:eastAsia="ja-JP"/>
        </w:rPr>
        <w:t xml:space="preserve">In the post-marketing data base, 488 AEs were reported in 192 cases, with the most common events being pyrexia (50 cases), vomiting (42), hepatic enzyme increased (24), aspartate aminotransferase increased (23), alanine aminotransferase increased (19), liver function test increased (17), platelet decreased (16), troponin increased (7), thrombocytopenia (7), cough (7), </w:t>
      </w:r>
      <w:proofErr w:type="spellStart"/>
      <w:r>
        <w:rPr>
          <w:lang w:eastAsia="ja-JP"/>
        </w:rPr>
        <w:t>nasopharyngitis</w:t>
      </w:r>
      <w:proofErr w:type="spellEnd"/>
      <w:r w:rsidR="00DF3E6D">
        <w:rPr>
          <w:lang w:eastAsia="ja-JP"/>
        </w:rPr>
        <w:t xml:space="preserve"> (7), and weight decreased (6).</w:t>
      </w:r>
    </w:p>
    <w:p w14:paraId="0A0EA276" w14:textId="0F26B1F2" w:rsidR="00735D2B" w:rsidRDefault="00735D2B" w:rsidP="00B20329">
      <w:pPr>
        <w:rPr>
          <w:lang w:eastAsia="ja-JP"/>
        </w:rPr>
      </w:pPr>
      <w:r>
        <w:rPr>
          <w:lang w:eastAsia="ja-JP"/>
        </w:rPr>
        <w:t>Three cases</w:t>
      </w:r>
      <w:r w:rsidRPr="002A4084">
        <w:rPr>
          <w:lang w:eastAsia="ja-JP"/>
        </w:rPr>
        <w:t xml:space="preserve"> </w:t>
      </w:r>
      <w:r>
        <w:rPr>
          <w:lang w:eastAsia="ja-JP"/>
        </w:rPr>
        <w:t xml:space="preserve">of </w:t>
      </w:r>
      <w:r w:rsidR="00DF3E6D">
        <w:rPr>
          <w:lang w:eastAsia="ja-JP"/>
        </w:rPr>
        <w:t xml:space="preserve">thrombotic </w:t>
      </w:r>
      <w:proofErr w:type="spellStart"/>
      <w:r w:rsidR="00DF3E6D">
        <w:rPr>
          <w:lang w:eastAsia="ja-JP"/>
        </w:rPr>
        <w:t>microangiopathy</w:t>
      </w:r>
      <w:proofErr w:type="spellEnd"/>
      <w:r>
        <w:rPr>
          <w:lang w:eastAsia="ja-JP"/>
        </w:rPr>
        <w:t xml:space="preserve">, characterised by thrombocytopaenia, </w:t>
      </w:r>
      <w:proofErr w:type="spellStart"/>
      <w:r>
        <w:rPr>
          <w:lang w:eastAsia="ja-JP"/>
        </w:rPr>
        <w:t>microangiopathic</w:t>
      </w:r>
      <w:proofErr w:type="spellEnd"/>
      <w:r>
        <w:rPr>
          <w:lang w:eastAsia="ja-JP"/>
        </w:rPr>
        <w:t xml:space="preserve"> haemolytic anaemia and acute renal injury, have been report</w:t>
      </w:r>
      <w:r w:rsidR="00DF3E6D">
        <w:rPr>
          <w:lang w:eastAsia="ja-JP"/>
        </w:rPr>
        <w:t xml:space="preserve">ed in the post-market setting. </w:t>
      </w:r>
      <w:r>
        <w:rPr>
          <w:lang w:eastAsia="ja-JP"/>
        </w:rPr>
        <w:t>Thes</w:t>
      </w:r>
      <w:r w:rsidR="00DF3E6D">
        <w:rPr>
          <w:lang w:eastAsia="ja-JP"/>
        </w:rPr>
        <w:t>e cases occurred approximately one</w:t>
      </w:r>
      <w:r>
        <w:rPr>
          <w:lang w:eastAsia="ja-JP"/>
        </w:rPr>
        <w:t xml:space="preserve"> week after </w:t>
      </w:r>
      <w:proofErr w:type="spellStart"/>
      <w:r w:rsidR="007359A2">
        <w:rPr>
          <w:lang w:eastAsia="ja-JP"/>
        </w:rPr>
        <w:t>Zolgensma</w:t>
      </w:r>
      <w:proofErr w:type="spellEnd"/>
      <w:r w:rsidR="00DF3E6D">
        <w:rPr>
          <w:lang w:eastAsia="ja-JP"/>
        </w:rPr>
        <w:t xml:space="preserve"> infusion. The s</w:t>
      </w:r>
      <w:r>
        <w:rPr>
          <w:lang w:eastAsia="ja-JP"/>
        </w:rPr>
        <w:t>ponsor concluded that a causal association cannot be ruled out, and a precaution has been added to the PI.</w:t>
      </w:r>
    </w:p>
    <w:p w14:paraId="6E7B47CE" w14:textId="6526178E" w:rsidR="00735D2B" w:rsidRDefault="002A00EE" w:rsidP="004A5212">
      <w:pPr>
        <w:pStyle w:val="Heading4"/>
      </w:pPr>
      <w:r>
        <w:t>Clinical evaluator’s recommendation and p</w:t>
      </w:r>
      <w:r w:rsidR="00DF3E6D">
        <w:t>roposed clinical</w:t>
      </w:r>
      <w:r w:rsidR="004A5212">
        <w:t xml:space="preserve"> conditions of registration</w:t>
      </w:r>
    </w:p>
    <w:p w14:paraId="345C0D7F" w14:textId="46F61282" w:rsidR="002A00EE" w:rsidRDefault="002A00EE" w:rsidP="002A00EE">
      <w:pPr>
        <w:rPr>
          <w:lang w:eastAsia="ja-JP"/>
        </w:rPr>
      </w:pPr>
      <w:r>
        <w:rPr>
          <w:lang w:eastAsia="ja-JP"/>
        </w:rPr>
        <w:t>The clinical evaluator recommended that the application was approvable.</w:t>
      </w:r>
    </w:p>
    <w:p w14:paraId="4A7E8C24" w14:textId="30D00307" w:rsidR="002A00EE" w:rsidRDefault="002A00EE" w:rsidP="002A00EE">
      <w:pPr>
        <w:rPr>
          <w:lang w:eastAsia="ja-JP"/>
        </w:rPr>
      </w:pPr>
      <w:r>
        <w:rPr>
          <w:lang w:eastAsia="ja-JP"/>
        </w:rPr>
        <w:t>The following indication wording was recommended by the clinical evaluator:</w:t>
      </w:r>
    </w:p>
    <w:p w14:paraId="03B6E6D1" w14:textId="2D8BD533" w:rsidR="002A00EE" w:rsidRPr="002A00EE" w:rsidRDefault="002A00EE" w:rsidP="002A00EE">
      <w:pPr>
        <w:ind w:left="720"/>
        <w:rPr>
          <w:i/>
          <w:lang w:eastAsia="ja-JP"/>
        </w:rPr>
      </w:pPr>
      <w:proofErr w:type="spellStart"/>
      <w:r w:rsidRPr="00A37392">
        <w:rPr>
          <w:i/>
          <w:lang w:eastAsia="ja-JP"/>
        </w:rPr>
        <w:t>Zolgensma</w:t>
      </w:r>
      <w:proofErr w:type="spellEnd"/>
      <w:r w:rsidRPr="00A37392">
        <w:rPr>
          <w:i/>
          <w:lang w:eastAsia="ja-JP"/>
        </w:rPr>
        <w:t xml:space="preserve"> (</w:t>
      </w:r>
      <w:proofErr w:type="spellStart"/>
      <w:r w:rsidRPr="00A37392">
        <w:rPr>
          <w:i/>
          <w:lang w:eastAsia="ja-JP"/>
        </w:rPr>
        <w:t>onasemnogene</w:t>
      </w:r>
      <w:proofErr w:type="spellEnd"/>
      <w:r w:rsidRPr="00A37392">
        <w:rPr>
          <w:i/>
          <w:lang w:eastAsia="ja-JP"/>
        </w:rPr>
        <w:t xml:space="preserve"> </w:t>
      </w:r>
      <w:proofErr w:type="spellStart"/>
      <w:r w:rsidRPr="00A37392">
        <w:rPr>
          <w:i/>
          <w:lang w:eastAsia="ja-JP"/>
        </w:rPr>
        <w:t>abeparvovec</w:t>
      </w:r>
      <w:proofErr w:type="spellEnd"/>
      <w:r w:rsidRPr="00A37392">
        <w:rPr>
          <w:i/>
          <w:lang w:eastAsia="ja-JP"/>
        </w:rPr>
        <w:t>) is indicated for the treatment of paediatric patients less than 2 years of age with spinal muscular atrophy (SMA) with bi-allelic mutations in the survi</w:t>
      </w:r>
      <w:r>
        <w:rPr>
          <w:i/>
          <w:lang w:eastAsia="ja-JP"/>
        </w:rPr>
        <w:t>val motor neuron 1 (SMN1) gene and up to 3 copies of the SMN2 gene.</w:t>
      </w:r>
    </w:p>
    <w:p w14:paraId="01628D10" w14:textId="3414FFAE" w:rsidR="002A00EE" w:rsidRPr="002A00EE" w:rsidRDefault="0058715D" w:rsidP="002A00EE">
      <w:r>
        <w:rPr>
          <w:lang w:eastAsia="ja-JP"/>
        </w:rPr>
        <w:t>The clinical evaluator advised that it</w:t>
      </w:r>
      <w:r w:rsidR="002A00EE">
        <w:rPr>
          <w:lang w:eastAsia="ja-JP"/>
        </w:rPr>
        <w:t xml:space="preserve"> could be argued that the treatment should be limited to subjects with only 2 copies of the </w:t>
      </w:r>
      <w:r w:rsidR="002A00EE" w:rsidRPr="005F7A49">
        <w:rPr>
          <w:i/>
          <w:lang w:eastAsia="ja-JP"/>
        </w:rPr>
        <w:t>SMN2</w:t>
      </w:r>
      <w:r w:rsidR="002A00EE">
        <w:rPr>
          <w:lang w:eastAsia="ja-JP"/>
        </w:rPr>
        <w:t xml:space="preserve"> gene, but the balance of evidence suggests that subjects with 3 copies are very likely to receive major benefit, and it would be inappropriate to deny such subjects access to the treatment while awaiting better evidence. The benefit-risk balance in such subjects will need to be re-evaluated as soon as the ongoing studies in 3 copy patients have been completed, including </w:t>
      </w:r>
      <w:r>
        <w:t>Study AVXS</w:t>
      </w:r>
      <w:r>
        <w:noBreakHyphen/>
        <w:t>101</w:t>
      </w:r>
      <w:r>
        <w:noBreakHyphen/>
      </w:r>
      <w:r w:rsidR="002A00EE">
        <w:t>CL-304</w:t>
      </w:r>
      <w:r w:rsidR="002A00EE">
        <w:rPr>
          <w:lang w:eastAsia="ja-JP"/>
        </w:rPr>
        <w:t>.</w:t>
      </w:r>
    </w:p>
    <w:p w14:paraId="4E912ACA" w14:textId="0EB54183" w:rsidR="00DF3E6D" w:rsidRDefault="00DF3E6D" w:rsidP="004A5212">
      <w:r>
        <w:t>The clinical evaluator recommended the following conditions of registration:</w:t>
      </w:r>
    </w:p>
    <w:p w14:paraId="782102D1" w14:textId="3DA149F8" w:rsidR="00DF3E6D" w:rsidRDefault="00DF3E6D" w:rsidP="00DF3E6D">
      <w:pPr>
        <w:pStyle w:val="ListBullet"/>
        <w:rPr>
          <w:lang w:eastAsia="ja-JP"/>
        </w:rPr>
      </w:pPr>
      <w:r>
        <w:rPr>
          <w:lang w:eastAsia="ja-JP"/>
        </w:rPr>
        <w:t>A guarantee from the sponsor that the currently ongoing studies will be submitted for evaluation when they have been completed.</w:t>
      </w:r>
    </w:p>
    <w:p w14:paraId="25760636" w14:textId="6BAE0073" w:rsidR="00DF3E6D" w:rsidRDefault="00DF3E6D" w:rsidP="00DF3E6D">
      <w:pPr>
        <w:pStyle w:val="ListBullet"/>
        <w:rPr>
          <w:lang w:eastAsia="ja-JP"/>
        </w:rPr>
      </w:pPr>
      <w:r>
        <w:rPr>
          <w:lang w:eastAsia="ja-JP"/>
        </w:rPr>
        <w:t xml:space="preserve">A guarantee from the sponsor that a new integrated safety analysis will be submitted for a comprehensive safety evaluation upon completion of the major on-going studies, including </w:t>
      </w:r>
      <w:r>
        <w:t>Study AVXS-101-CL-302</w:t>
      </w:r>
      <w:r>
        <w:rPr>
          <w:lang w:eastAsia="ja-JP"/>
        </w:rPr>
        <w:t xml:space="preserve"> and </w:t>
      </w:r>
      <w:r>
        <w:t>Study AVXS-101-CL-304</w:t>
      </w:r>
      <w:r>
        <w:rPr>
          <w:lang w:eastAsia="ja-JP"/>
        </w:rPr>
        <w:t>.</w:t>
      </w:r>
    </w:p>
    <w:p w14:paraId="3BD91844" w14:textId="55F9850A" w:rsidR="00DF3E6D" w:rsidRDefault="00DF3E6D" w:rsidP="00DF3E6D">
      <w:pPr>
        <w:pStyle w:val="ListBullet"/>
        <w:rPr>
          <w:lang w:eastAsia="ja-JP"/>
        </w:rPr>
      </w:pPr>
      <w:r>
        <w:rPr>
          <w:lang w:eastAsia="ja-JP"/>
        </w:rPr>
        <w:t>A guarantee from the sponsor that, wherever possible, all treated patients will be closely monitored for new safety signals, including clarification of hepatic and cardiac risk.</w:t>
      </w:r>
    </w:p>
    <w:p w14:paraId="5A9EE49B" w14:textId="2778E1D6" w:rsidR="00DF3E6D" w:rsidRDefault="00DF3E6D" w:rsidP="00DF3E6D">
      <w:pPr>
        <w:pStyle w:val="ListBullet"/>
      </w:pPr>
      <w:r>
        <w:rPr>
          <w:lang w:eastAsia="ja-JP"/>
        </w:rPr>
        <w:t xml:space="preserve">A guarantee that all reporting and monitoring activities performed as a part of the current conditional approval in Europe will also be shared with the TGA, including (but not limited to) periodic safety update reports </w:t>
      </w:r>
      <w:r w:rsidR="00082A66">
        <w:rPr>
          <w:lang w:eastAsia="ja-JP"/>
        </w:rPr>
        <w:t>(PSUR</w:t>
      </w:r>
      <w:r w:rsidR="005F7A49">
        <w:rPr>
          <w:lang w:eastAsia="ja-JP"/>
        </w:rPr>
        <w:t>s</w:t>
      </w:r>
      <w:r w:rsidR="00082A66">
        <w:rPr>
          <w:lang w:eastAsia="ja-JP"/>
        </w:rPr>
        <w:t xml:space="preserve">) </w:t>
      </w:r>
      <w:r>
        <w:rPr>
          <w:lang w:eastAsia="ja-JP"/>
        </w:rPr>
        <w:t>and provision of results in ongoing studies.</w:t>
      </w:r>
    </w:p>
    <w:p w14:paraId="0A7E99DB" w14:textId="2E36251B" w:rsidR="004A5212" w:rsidRPr="004A5212" w:rsidRDefault="004A5212" w:rsidP="004A5212">
      <w:r>
        <w:t xml:space="preserve">In response to the </w:t>
      </w:r>
      <w:r w:rsidRPr="007C2514">
        <w:t>clinical evaluator</w:t>
      </w:r>
      <w:r>
        <w:t>’s comments regarding</w:t>
      </w:r>
      <w:r w:rsidRPr="007C2514">
        <w:t xml:space="preserve"> </w:t>
      </w:r>
      <w:r>
        <w:t>conditions of registration</w:t>
      </w:r>
      <w:r w:rsidR="00DF3E6D">
        <w:t>, the s</w:t>
      </w:r>
      <w:r>
        <w:t xml:space="preserve">ponsor explained that TGA conditions of registration will include implementation of the EU </w:t>
      </w:r>
      <w:r w:rsidR="00DF3E6D">
        <w:t xml:space="preserve">risk management plan </w:t>
      </w:r>
      <w:r w:rsidR="006C3493">
        <w:t xml:space="preserve">(RMP) </w:t>
      </w:r>
      <w:r w:rsidR="00DF3E6D">
        <w:t>and Australian s</w:t>
      </w:r>
      <w:r>
        <w:t>pecific Annex</w:t>
      </w:r>
      <w:r w:rsidR="006C3493">
        <w:t xml:space="preserve"> (ASA)</w:t>
      </w:r>
      <w:r>
        <w:t xml:space="preserve">, and submission of </w:t>
      </w:r>
      <w:r w:rsidR="00082A66">
        <w:t>PSURs (</w:t>
      </w:r>
      <w:r w:rsidR="00DF3E6D">
        <w:t>see ‘</w:t>
      </w:r>
      <w:r w:rsidR="00DF3E6D" w:rsidRPr="00DF3E6D">
        <w:rPr>
          <w:i/>
        </w:rPr>
        <w:fldChar w:fldCharType="begin"/>
      </w:r>
      <w:r w:rsidR="00DF3E6D" w:rsidRPr="00DF3E6D">
        <w:rPr>
          <w:i/>
        </w:rPr>
        <w:instrText xml:space="preserve"> REF _Ref65515448 \h </w:instrText>
      </w:r>
      <w:r w:rsidR="00DF3E6D">
        <w:rPr>
          <w:i/>
        </w:rPr>
        <w:instrText xml:space="preserve"> \* MERGEFORMAT </w:instrText>
      </w:r>
      <w:r w:rsidR="00DF3E6D" w:rsidRPr="00DF3E6D">
        <w:rPr>
          <w:i/>
        </w:rPr>
      </w:r>
      <w:r w:rsidR="00DF3E6D" w:rsidRPr="00DF3E6D">
        <w:rPr>
          <w:i/>
        </w:rPr>
        <w:fldChar w:fldCharType="separate"/>
      </w:r>
      <w:r w:rsidR="009C2F61" w:rsidRPr="009C2F61">
        <w:rPr>
          <w:i/>
          <w:lang w:eastAsia="en-AU"/>
        </w:rPr>
        <w:t>Risk management plan</w:t>
      </w:r>
      <w:r w:rsidR="00DF3E6D" w:rsidRPr="00DF3E6D">
        <w:rPr>
          <w:i/>
        </w:rPr>
        <w:fldChar w:fldCharType="end"/>
      </w:r>
      <w:r w:rsidR="00DF3E6D">
        <w:t>’ section, below). AE</w:t>
      </w:r>
      <w:r>
        <w:t xml:space="preserve"> reporting and signal detection are part of routine pharmacovigilance activit</w:t>
      </w:r>
      <w:r w:rsidR="00DF3E6D">
        <w:t xml:space="preserve">ies. </w:t>
      </w:r>
      <w:r>
        <w:t>Hepatotoxicity is an important identified risk and cardiac adverse events ar</w:t>
      </w:r>
      <w:r w:rsidR="00DF3E6D">
        <w:t xml:space="preserve">e an important potential risk. </w:t>
      </w:r>
      <w:r>
        <w:t>Targeted follow-up questionnaires for elevated liver enzymes, transient thrombocytopenia, peripheral neuropathy and cardiac AEs are required a</w:t>
      </w:r>
      <w:r w:rsidR="0058715D">
        <w:t xml:space="preserve">s per RMP </w:t>
      </w:r>
      <w:r w:rsidR="00082A66">
        <w:t xml:space="preserve">version </w:t>
      </w:r>
      <w:r w:rsidR="006C3493">
        <w:t xml:space="preserve">0.7. </w:t>
      </w:r>
      <w:r>
        <w:t xml:space="preserve">The final clinical study </w:t>
      </w:r>
      <w:r w:rsidR="002B4381">
        <w:t xml:space="preserve">reports for the ongoing </w:t>
      </w:r>
      <w:r w:rsidR="006C3493">
        <w:t xml:space="preserve">Studies </w:t>
      </w:r>
      <w:r w:rsidR="0058715D">
        <w:t>AVXS-101-CL-304, AVXS</w:t>
      </w:r>
      <w:r w:rsidR="0058715D">
        <w:noBreakHyphen/>
      </w:r>
      <w:r>
        <w:t>101-LT-001 and AVXS-101-RG-001 will be submitted to TGA as part of th</w:t>
      </w:r>
      <w:r w:rsidR="006C3493">
        <w:t>e risk management commitments.</w:t>
      </w:r>
    </w:p>
    <w:p w14:paraId="35E12F51" w14:textId="77777777" w:rsidR="008E7846" w:rsidRDefault="00386150" w:rsidP="007B6132">
      <w:pPr>
        <w:pStyle w:val="Heading3"/>
        <w:rPr>
          <w:lang w:eastAsia="en-AU"/>
        </w:rPr>
      </w:pPr>
      <w:bookmarkStart w:id="72" w:name="_Ref65515448"/>
      <w:bookmarkStart w:id="73" w:name="_Toc69909594"/>
      <w:r>
        <w:rPr>
          <w:lang w:eastAsia="en-AU"/>
        </w:rPr>
        <w:t>Risk m</w:t>
      </w:r>
      <w:r w:rsidR="008E7846">
        <w:rPr>
          <w:lang w:eastAsia="en-AU"/>
        </w:rPr>
        <w:t xml:space="preserve">anagement </w:t>
      </w:r>
      <w:r>
        <w:rPr>
          <w:lang w:eastAsia="en-AU"/>
        </w:rPr>
        <w:t>p</w:t>
      </w:r>
      <w:r w:rsidR="008E7846">
        <w:rPr>
          <w:lang w:eastAsia="en-AU"/>
        </w:rPr>
        <w:t>lan</w:t>
      </w:r>
      <w:bookmarkEnd w:id="50"/>
      <w:bookmarkEnd w:id="72"/>
      <w:bookmarkEnd w:id="73"/>
    </w:p>
    <w:p w14:paraId="1AE0F837" w14:textId="08568580" w:rsidR="007D53B6" w:rsidRDefault="0087348F" w:rsidP="004A5212">
      <w:r>
        <w:t>The sponsor</w:t>
      </w:r>
      <w:r w:rsidR="004A5212" w:rsidRPr="004A5212">
        <w:t xml:space="preserve"> has submitted EU-RMP versi</w:t>
      </w:r>
      <w:r w:rsidR="006C3493">
        <w:t>on 0.3 (date 2 October 2019; data lock point (DLP)</w:t>
      </w:r>
      <w:r w:rsidR="004A5212" w:rsidRPr="004A5212">
        <w:t xml:space="preserve"> 8 March 2019) and ASA version 1.0 (date 26 November 2019) in support of this application. With the </w:t>
      </w:r>
      <w:r w:rsidR="006C3493">
        <w:t>response to TGA questions</w:t>
      </w:r>
      <w:r w:rsidR="004A5212" w:rsidRPr="004A5212">
        <w:t>, the</w:t>
      </w:r>
      <w:r w:rsidR="0058715D">
        <w:t xml:space="preserve"> sponsor provided an updated EU</w:t>
      </w:r>
      <w:r w:rsidR="0058715D">
        <w:noBreakHyphen/>
      </w:r>
      <w:r w:rsidR="004A5212" w:rsidRPr="004A5212">
        <w:t>RMP version 0.7 (date 19 March 2020; DLP 31 December 2019) and an updated ASA version 1.1 (date 17 August 2020).</w:t>
      </w:r>
    </w:p>
    <w:p w14:paraId="439F1BE4" w14:textId="2F678864" w:rsidR="007D53B6" w:rsidRDefault="007D53B6" w:rsidP="007D53B6">
      <w:r>
        <w:t>The summary of safety concerns and their associated risk monitoring and mitigation strategies are summarised in</w:t>
      </w:r>
      <w:r w:rsidR="008D6DA3">
        <w:t xml:space="preserve"> </w:t>
      </w:r>
      <w:r w:rsidR="008D6DA3">
        <w:fldChar w:fldCharType="begin"/>
      </w:r>
      <w:r w:rsidR="008D6DA3">
        <w:instrText xml:space="preserve"> REF _Ref65245775 \h </w:instrText>
      </w:r>
      <w:r w:rsidR="008D6DA3">
        <w:fldChar w:fldCharType="separate"/>
      </w:r>
      <w:r w:rsidR="009C2F61">
        <w:t xml:space="preserve">Table </w:t>
      </w:r>
      <w:r w:rsidR="009C2F61">
        <w:rPr>
          <w:noProof/>
        </w:rPr>
        <w:t>15</w:t>
      </w:r>
      <w:r w:rsidR="008D6DA3">
        <w:fldChar w:fldCharType="end"/>
      </w:r>
      <w:r>
        <w:t>.</w:t>
      </w:r>
      <w:r>
        <w:rPr>
          <w:rStyle w:val="FootnoteReference"/>
        </w:rPr>
        <w:footnoteReference w:id="19"/>
      </w:r>
    </w:p>
    <w:p w14:paraId="402A1B4D" w14:textId="2D3877D4" w:rsidR="008D6DA3" w:rsidRDefault="008D6DA3" w:rsidP="008D6DA3">
      <w:pPr>
        <w:pStyle w:val="TableTitle"/>
      </w:pPr>
      <w:bookmarkStart w:id="74" w:name="_Ref65245775"/>
      <w:r>
        <w:t xml:space="preserve">Table </w:t>
      </w:r>
      <w:fldSimple w:instr=" SEQ Table \* ARABIC ">
        <w:r w:rsidR="009C2F61">
          <w:rPr>
            <w:noProof/>
          </w:rPr>
          <w:t>15</w:t>
        </w:r>
      </w:fldSimple>
      <w:bookmarkEnd w:id="74"/>
      <w:r>
        <w:t>: Summary of safety concerns</w:t>
      </w:r>
    </w:p>
    <w:tbl>
      <w:tblPr>
        <w:tblStyle w:val="TableTGAblue"/>
        <w:tblW w:w="5000" w:type="pct"/>
        <w:tblLook w:val="04A0" w:firstRow="1" w:lastRow="0" w:firstColumn="1" w:lastColumn="0" w:noHBand="0" w:noVBand="1"/>
      </w:tblPr>
      <w:tblGrid>
        <w:gridCol w:w="1327"/>
        <w:gridCol w:w="2891"/>
        <w:gridCol w:w="945"/>
        <w:gridCol w:w="1188"/>
        <w:gridCol w:w="945"/>
        <w:gridCol w:w="1188"/>
      </w:tblGrid>
      <w:tr w:rsidR="004A5212" w:rsidRPr="0087348F" w14:paraId="11A80EFE" w14:textId="77777777" w:rsidTr="0058715D">
        <w:trPr>
          <w:cnfStyle w:val="100000000000" w:firstRow="1" w:lastRow="0" w:firstColumn="0" w:lastColumn="0" w:oddVBand="0" w:evenVBand="0" w:oddHBand="0" w:evenHBand="0" w:firstRowFirstColumn="0" w:firstRowLastColumn="0" w:lastRowFirstColumn="0" w:lastRowLastColumn="0"/>
          <w:trHeight w:val="131"/>
        </w:trPr>
        <w:tc>
          <w:tcPr>
            <w:tcW w:w="2554" w:type="pct"/>
            <w:gridSpan w:val="2"/>
            <w:vMerge w:val="restart"/>
          </w:tcPr>
          <w:p w14:paraId="49FDBF5C" w14:textId="77777777" w:rsidR="004A5212" w:rsidRPr="0087348F" w:rsidRDefault="004A5212" w:rsidP="0087348F">
            <w:pPr>
              <w:pStyle w:val="Tabletext"/>
              <w:ind w:left="0" w:right="0"/>
              <w:rPr>
                <w:sz w:val="20"/>
                <w:szCs w:val="20"/>
              </w:rPr>
            </w:pPr>
            <w:r w:rsidRPr="0087348F">
              <w:rPr>
                <w:sz w:val="20"/>
                <w:szCs w:val="20"/>
              </w:rPr>
              <w:t>Summary of safety concerns</w:t>
            </w:r>
          </w:p>
        </w:tc>
        <w:tc>
          <w:tcPr>
            <w:tcW w:w="1223" w:type="pct"/>
            <w:gridSpan w:val="2"/>
          </w:tcPr>
          <w:p w14:paraId="26A31BD8" w14:textId="77777777" w:rsidR="004A5212" w:rsidRPr="0087348F" w:rsidRDefault="004A5212" w:rsidP="0087348F">
            <w:pPr>
              <w:pStyle w:val="Tabletext"/>
              <w:ind w:left="0" w:right="0"/>
              <w:rPr>
                <w:sz w:val="20"/>
                <w:szCs w:val="20"/>
              </w:rPr>
            </w:pPr>
            <w:r w:rsidRPr="0087348F">
              <w:rPr>
                <w:sz w:val="20"/>
                <w:szCs w:val="20"/>
              </w:rPr>
              <w:t>Pharmacovigilance</w:t>
            </w:r>
          </w:p>
        </w:tc>
        <w:tc>
          <w:tcPr>
            <w:tcW w:w="1223" w:type="pct"/>
            <w:gridSpan w:val="2"/>
          </w:tcPr>
          <w:p w14:paraId="5A6FE4C4" w14:textId="64AA6077" w:rsidR="004A5212" w:rsidRPr="0087348F" w:rsidRDefault="0087348F" w:rsidP="0087348F">
            <w:pPr>
              <w:pStyle w:val="Tabletext"/>
              <w:ind w:left="0" w:right="0"/>
              <w:rPr>
                <w:sz w:val="20"/>
                <w:szCs w:val="20"/>
              </w:rPr>
            </w:pPr>
            <w:r>
              <w:rPr>
                <w:sz w:val="20"/>
                <w:szCs w:val="20"/>
              </w:rPr>
              <w:t>Risk m</w:t>
            </w:r>
            <w:r w:rsidR="004A5212" w:rsidRPr="0087348F">
              <w:rPr>
                <w:sz w:val="20"/>
                <w:szCs w:val="20"/>
              </w:rPr>
              <w:t>inimisation</w:t>
            </w:r>
          </w:p>
        </w:tc>
      </w:tr>
      <w:tr w:rsidR="004A5212" w:rsidRPr="0087348F" w14:paraId="7DF4128A" w14:textId="77777777" w:rsidTr="0058715D">
        <w:trPr>
          <w:trHeight w:val="150"/>
        </w:trPr>
        <w:tc>
          <w:tcPr>
            <w:tcW w:w="2554" w:type="pct"/>
            <w:gridSpan w:val="2"/>
            <w:vMerge/>
          </w:tcPr>
          <w:p w14:paraId="7753ED4D" w14:textId="77777777" w:rsidR="004A5212" w:rsidRPr="0087348F" w:rsidRDefault="004A5212" w:rsidP="0087348F">
            <w:pPr>
              <w:pStyle w:val="Tabletext"/>
              <w:keepNext/>
              <w:ind w:left="0" w:right="0"/>
              <w:rPr>
                <w:sz w:val="20"/>
                <w:szCs w:val="20"/>
              </w:rPr>
            </w:pPr>
          </w:p>
        </w:tc>
        <w:tc>
          <w:tcPr>
            <w:tcW w:w="542" w:type="pct"/>
            <w:shd w:val="clear" w:color="auto" w:fill="006DA7"/>
          </w:tcPr>
          <w:p w14:paraId="69C3AAAA" w14:textId="77777777" w:rsidR="004A5212" w:rsidRPr="0087348F" w:rsidRDefault="004A5212" w:rsidP="0087348F">
            <w:pPr>
              <w:pStyle w:val="Tabletext"/>
              <w:keepNext/>
              <w:ind w:left="0" w:right="0"/>
              <w:rPr>
                <w:b/>
                <w:color w:val="FFFFFF" w:themeColor="background1"/>
                <w:sz w:val="20"/>
                <w:szCs w:val="20"/>
              </w:rPr>
            </w:pPr>
            <w:r w:rsidRPr="0087348F">
              <w:rPr>
                <w:b/>
                <w:color w:val="FFFFFF" w:themeColor="background1"/>
                <w:sz w:val="20"/>
                <w:szCs w:val="20"/>
              </w:rPr>
              <w:t>Routine</w:t>
            </w:r>
          </w:p>
        </w:tc>
        <w:tc>
          <w:tcPr>
            <w:tcW w:w="681" w:type="pct"/>
            <w:shd w:val="clear" w:color="auto" w:fill="006DA7"/>
          </w:tcPr>
          <w:p w14:paraId="12773A2A" w14:textId="77777777" w:rsidR="004A5212" w:rsidRPr="0087348F" w:rsidRDefault="004A5212" w:rsidP="0087348F">
            <w:pPr>
              <w:pStyle w:val="Tabletext"/>
              <w:keepNext/>
              <w:ind w:left="0" w:right="0"/>
              <w:rPr>
                <w:b/>
                <w:color w:val="FFFFFF" w:themeColor="background1"/>
                <w:sz w:val="20"/>
                <w:szCs w:val="20"/>
              </w:rPr>
            </w:pPr>
            <w:r w:rsidRPr="0087348F">
              <w:rPr>
                <w:b/>
                <w:color w:val="FFFFFF" w:themeColor="background1"/>
                <w:sz w:val="20"/>
                <w:szCs w:val="20"/>
              </w:rPr>
              <w:t>Additional</w:t>
            </w:r>
          </w:p>
        </w:tc>
        <w:tc>
          <w:tcPr>
            <w:tcW w:w="542" w:type="pct"/>
            <w:shd w:val="clear" w:color="auto" w:fill="006DA7"/>
          </w:tcPr>
          <w:p w14:paraId="02FF2126" w14:textId="77777777" w:rsidR="004A5212" w:rsidRPr="0087348F" w:rsidRDefault="004A5212" w:rsidP="0087348F">
            <w:pPr>
              <w:pStyle w:val="Tabletext"/>
              <w:keepNext/>
              <w:ind w:left="0" w:right="0"/>
              <w:rPr>
                <w:b/>
                <w:color w:val="FFFFFF" w:themeColor="background1"/>
                <w:sz w:val="20"/>
                <w:szCs w:val="20"/>
              </w:rPr>
            </w:pPr>
            <w:r w:rsidRPr="0087348F">
              <w:rPr>
                <w:b/>
                <w:color w:val="FFFFFF" w:themeColor="background1"/>
                <w:sz w:val="20"/>
                <w:szCs w:val="20"/>
              </w:rPr>
              <w:t>Routine</w:t>
            </w:r>
          </w:p>
        </w:tc>
        <w:tc>
          <w:tcPr>
            <w:tcW w:w="681" w:type="pct"/>
            <w:shd w:val="clear" w:color="auto" w:fill="006DA7"/>
          </w:tcPr>
          <w:p w14:paraId="10A751A6" w14:textId="77777777" w:rsidR="004A5212" w:rsidRPr="0087348F" w:rsidRDefault="004A5212" w:rsidP="0087348F">
            <w:pPr>
              <w:pStyle w:val="Tabletext"/>
              <w:keepNext/>
              <w:ind w:left="0" w:right="0"/>
              <w:rPr>
                <w:b/>
                <w:color w:val="FFFFFF" w:themeColor="background1"/>
                <w:sz w:val="20"/>
                <w:szCs w:val="20"/>
              </w:rPr>
            </w:pPr>
            <w:r w:rsidRPr="0087348F">
              <w:rPr>
                <w:b/>
                <w:color w:val="FFFFFF" w:themeColor="background1"/>
                <w:sz w:val="20"/>
                <w:szCs w:val="20"/>
              </w:rPr>
              <w:t>Additional</w:t>
            </w:r>
          </w:p>
        </w:tc>
      </w:tr>
      <w:tr w:rsidR="004A5212" w:rsidRPr="0087348F" w14:paraId="15FCA24D" w14:textId="77777777" w:rsidTr="0058715D">
        <w:trPr>
          <w:trHeight w:val="137"/>
        </w:trPr>
        <w:tc>
          <w:tcPr>
            <w:tcW w:w="761" w:type="pct"/>
            <w:vMerge w:val="restart"/>
          </w:tcPr>
          <w:p w14:paraId="177822AF" w14:textId="77777777" w:rsidR="004A5212" w:rsidRPr="0087348F" w:rsidRDefault="004A5212" w:rsidP="0087348F">
            <w:pPr>
              <w:pStyle w:val="Tabletext"/>
              <w:keepNext/>
              <w:ind w:left="0" w:right="0"/>
              <w:rPr>
                <w:b/>
                <w:sz w:val="20"/>
                <w:szCs w:val="20"/>
              </w:rPr>
            </w:pPr>
            <w:r w:rsidRPr="0087348F">
              <w:rPr>
                <w:b/>
                <w:sz w:val="20"/>
                <w:szCs w:val="20"/>
              </w:rPr>
              <w:t>Important identified risks</w:t>
            </w:r>
          </w:p>
        </w:tc>
        <w:tc>
          <w:tcPr>
            <w:tcW w:w="1793" w:type="pct"/>
          </w:tcPr>
          <w:p w14:paraId="76D75270" w14:textId="77777777" w:rsidR="004A5212" w:rsidRPr="0087348F" w:rsidRDefault="004A5212" w:rsidP="0087348F">
            <w:pPr>
              <w:pStyle w:val="Tabletext"/>
              <w:keepNext/>
              <w:ind w:left="0" w:right="0"/>
              <w:rPr>
                <w:sz w:val="20"/>
                <w:szCs w:val="20"/>
              </w:rPr>
            </w:pPr>
            <w:r w:rsidRPr="0087348F">
              <w:rPr>
                <w:sz w:val="20"/>
                <w:szCs w:val="20"/>
              </w:rPr>
              <w:t xml:space="preserve">Hepatotoxicity </w:t>
            </w:r>
          </w:p>
        </w:tc>
        <w:tc>
          <w:tcPr>
            <w:tcW w:w="542" w:type="pct"/>
          </w:tcPr>
          <w:p w14:paraId="3D827BBD"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rPr>
              <w:t>*</w:t>
            </w:r>
          </w:p>
        </w:tc>
        <w:tc>
          <w:tcPr>
            <w:tcW w:w="681" w:type="pct"/>
          </w:tcPr>
          <w:p w14:paraId="51D1CE9C"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78F0256A"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2FD83F2E"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67A0B234" w14:textId="77777777" w:rsidTr="0058715D">
        <w:trPr>
          <w:trHeight w:val="94"/>
        </w:trPr>
        <w:tc>
          <w:tcPr>
            <w:tcW w:w="761" w:type="pct"/>
            <w:vMerge/>
          </w:tcPr>
          <w:p w14:paraId="17EB2E9B" w14:textId="77777777" w:rsidR="004A5212" w:rsidRPr="0087348F" w:rsidRDefault="004A5212" w:rsidP="0087348F">
            <w:pPr>
              <w:pStyle w:val="Tabletext"/>
              <w:keepNext/>
              <w:ind w:left="0" w:right="0"/>
              <w:rPr>
                <w:b/>
                <w:sz w:val="20"/>
                <w:szCs w:val="20"/>
              </w:rPr>
            </w:pPr>
          </w:p>
        </w:tc>
        <w:tc>
          <w:tcPr>
            <w:tcW w:w="1793" w:type="pct"/>
          </w:tcPr>
          <w:p w14:paraId="3467A07D" w14:textId="77777777" w:rsidR="004A5212" w:rsidRPr="0087348F" w:rsidRDefault="004A5212" w:rsidP="0087348F">
            <w:pPr>
              <w:pStyle w:val="Tabletext"/>
              <w:keepNext/>
              <w:ind w:left="0" w:right="0"/>
              <w:rPr>
                <w:sz w:val="20"/>
                <w:szCs w:val="20"/>
              </w:rPr>
            </w:pPr>
            <w:r w:rsidRPr="0087348F">
              <w:rPr>
                <w:rFonts w:cstheme="minorHAnsi"/>
                <w:sz w:val="20"/>
                <w:szCs w:val="20"/>
              </w:rPr>
              <w:t>Transient thrombocytopenia</w:t>
            </w:r>
          </w:p>
        </w:tc>
        <w:tc>
          <w:tcPr>
            <w:tcW w:w="542" w:type="pct"/>
          </w:tcPr>
          <w:p w14:paraId="0684AD63"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rPr>
              <w:t>*</w:t>
            </w:r>
          </w:p>
        </w:tc>
        <w:tc>
          <w:tcPr>
            <w:tcW w:w="681" w:type="pct"/>
          </w:tcPr>
          <w:p w14:paraId="2AFC5781"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2DB5AD9B"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2DD1E090"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4AF4FF38" w14:textId="77777777" w:rsidTr="0058715D">
        <w:trPr>
          <w:trHeight w:val="159"/>
        </w:trPr>
        <w:tc>
          <w:tcPr>
            <w:tcW w:w="761" w:type="pct"/>
            <w:vMerge w:val="restart"/>
          </w:tcPr>
          <w:p w14:paraId="1AE15015" w14:textId="77777777" w:rsidR="004A5212" w:rsidRPr="0087348F" w:rsidRDefault="004A5212" w:rsidP="0087348F">
            <w:pPr>
              <w:pStyle w:val="Tabletext"/>
              <w:keepNext/>
              <w:ind w:left="0" w:right="0"/>
              <w:rPr>
                <w:b/>
                <w:sz w:val="20"/>
                <w:szCs w:val="20"/>
              </w:rPr>
            </w:pPr>
            <w:r w:rsidRPr="0087348F">
              <w:rPr>
                <w:b/>
                <w:sz w:val="20"/>
                <w:szCs w:val="20"/>
              </w:rPr>
              <w:t>Important potential risks</w:t>
            </w:r>
          </w:p>
        </w:tc>
        <w:tc>
          <w:tcPr>
            <w:tcW w:w="1793" w:type="pct"/>
          </w:tcPr>
          <w:p w14:paraId="50C9EB47" w14:textId="77777777" w:rsidR="004A5212" w:rsidRPr="0087348F" w:rsidRDefault="004A5212" w:rsidP="0087348F">
            <w:pPr>
              <w:pStyle w:val="Tabletext"/>
              <w:keepNext/>
              <w:ind w:left="0" w:right="0"/>
              <w:rPr>
                <w:sz w:val="20"/>
                <w:szCs w:val="20"/>
              </w:rPr>
            </w:pPr>
            <w:r w:rsidRPr="0087348F">
              <w:rPr>
                <w:sz w:val="20"/>
                <w:szCs w:val="20"/>
              </w:rPr>
              <w:t>Cardiac adverse events</w:t>
            </w:r>
          </w:p>
        </w:tc>
        <w:tc>
          <w:tcPr>
            <w:tcW w:w="542" w:type="pct"/>
          </w:tcPr>
          <w:p w14:paraId="6D53DEBA"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rPr>
              <w:t>*</w:t>
            </w:r>
          </w:p>
        </w:tc>
        <w:tc>
          <w:tcPr>
            <w:tcW w:w="681" w:type="pct"/>
          </w:tcPr>
          <w:p w14:paraId="459480E7"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6D21F728"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4B13A02F"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42EC3443" w14:textId="77777777" w:rsidTr="0058715D">
        <w:trPr>
          <w:trHeight w:val="122"/>
        </w:trPr>
        <w:tc>
          <w:tcPr>
            <w:tcW w:w="761" w:type="pct"/>
            <w:vMerge/>
          </w:tcPr>
          <w:p w14:paraId="33EFE082" w14:textId="77777777" w:rsidR="004A5212" w:rsidRPr="0087348F" w:rsidRDefault="004A5212" w:rsidP="0087348F">
            <w:pPr>
              <w:pStyle w:val="Tabletext"/>
              <w:keepNext/>
              <w:ind w:left="0" w:right="0"/>
              <w:rPr>
                <w:b/>
                <w:sz w:val="20"/>
                <w:szCs w:val="20"/>
              </w:rPr>
            </w:pPr>
          </w:p>
        </w:tc>
        <w:tc>
          <w:tcPr>
            <w:tcW w:w="1793" w:type="pct"/>
          </w:tcPr>
          <w:p w14:paraId="1484BAEA" w14:textId="07571F41" w:rsidR="004A5212" w:rsidRPr="0087348F" w:rsidRDefault="004A5212" w:rsidP="0087348F">
            <w:pPr>
              <w:keepNext/>
              <w:autoSpaceDE w:val="0"/>
              <w:autoSpaceDN w:val="0"/>
              <w:adjustRightInd w:val="0"/>
              <w:ind w:left="0" w:right="0"/>
              <w:rPr>
                <w:rFonts w:cstheme="minorHAnsi"/>
                <w:sz w:val="20"/>
                <w:szCs w:val="20"/>
              </w:rPr>
            </w:pPr>
            <w:r w:rsidRPr="0087348F">
              <w:rPr>
                <w:rFonts w:cstheme="minorHAnsi"/>
                <w:sz w:val="20"/>
                <w:szCs w:val="20"/>
              </w:rPr>
              <w:t>Use in patients with anti-AAV9 antibody titres &gt;</w:t>
            </w:r>
            <w:r w:rsidR="006C3493">
              <w:rPr>
                <w:rFonts w:cstheme="minorHAnsi"/>
                <w:sz w:val="20"/>
                <w:szCs w:val="20"/>
              </w:rPr>
              <w:t xml:space="preserve"> </w:t>
            </w:r>
            <w:r w:rsidRPr="0087348F">
              <w:rPr>
                <w:rFonts w:cstheme="minorHAnsi"/>
                <w:sz w:val="20"/>
                <w:szCs w:val="20"/>
              </w:rPr>
              <w:t>1:50 and higher vector loads required</w:t>
            </w:r>
          </w:p>
        </w:tc>
        <w:tc>
          <w:tcPr>
            <w:tcW w:w="542" w:type="pct"/>
          </w:tcPr>
          <w:p w14:paraId="430354C3"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71D787B1"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747D7CBF"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0D279783"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6DB408DC" w14:textId="77777777" w:rsidTr="0058715D">
        <w:trPr>
          <w:trHeight w:val="122"/>
        </w:trPr>
        <w:tc>
          <w:tcPr>
            <w:tcW w:w="761" w:type="pct"/>
            <w:vMerge/>
          </w:tcPr>
          <w:p w14:paraId="7A9DC69A" w14:textId="77777777" w:rsidR="004A5212" w:rsidRPr="0087348F" w:rsidRDefault="004A5212" w:rsidP="0087348F">
            <w:pPr>
              <w:pStyle w:val="Tabletext"/>
              <w:keepNext/>
              <w:ind w:left="0" w:right="0"/>
              <w:rPr>
                <w:b/>
                <w:sz w:val="20"/>
                <w:szCs w:val="20"/>
              </w:rPr>
            </w:pPr>
          </w:p>
        </w:tc>
        <w:tc>
          <w:tcPr>
            <w:tcW w:w="1793" w:type="pct"/>
          </w:tcPr>
          <w:p w14:paraId="11D9011A" w14:textId="77777777" w:rsidR="004A5212" w:rsidRPr="0087348F" w:rsidRDefault="004A5212" w:rsidP="0087348F">
            <w:pPr>
              <w:keepNext/>
              <w:autoSpaceDE w:val="0"/>
              <w:autoSpaceDN w:val="0"/>
              <w:adjustRightInd w:val="0"/>
              <w:ind w:left="0" w:right="0"/>
              <w:rPr>
                <w:rFonts w:cstheme="minorHAnsi"/>
                <w:sz w:val="20"/>
                <w:szCs w:val="20"/>
              </w:rPr>
            </w:pPr>
            <w:r w:rsidRPr="0087348F">
              <w:rPr>
                <w:rFonts w:cstheme="minorHAnsi"/>
                <w:sz w:val="20"/>
                <w:szCs w:val="20"/>
              </w:rPr>
              <w:t>Dorsal root ganglia cell inflammation</w:t>
            </w:r>
          </w:p>
        </w:tc>
        <w:tc>
          <w:tcPr>
            <w:tcW w:w="542" w:type="pct"/>
          </w:tcPr>
          <w:p w14:paraId="4D0BFF5D"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6050601C"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0683FD66"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109CE2C3"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013CA871" w14:textId="77777777" w:rsidTr="0058715D">
        <w:trPr>
          <w:trHeight w:val="178"/>
        </w:trPr>
        <w:tc>
          <w:tcPr>
            <w:tcW w:w="761" w:type="pct"/>
            <w:vMerge w:val="restart"/>
          </w:tcPr>
          <w:p w14:paraId="2EC4DEB4" w14:textId="77777777" w:rsidR="004A5212" w:rsidRPr="0087348F" w:rsidRDefault="004A5212" w:rsidP="0087348F">
            <w:pPr>
              <w:pStyle w:val="Tabletext"/>
              <w:keepNext/>
              <w:ind w:left="0" w:right="0"/>
              <w:rPr>
                <w:b/>
                <w:sz w:val="20"/>
                <w:szCs w:val="20"/>
              </w:rPr>
            </w:pPr>
            <w:r w:rsidRPr="0087348F">
              <w:rPr>
                <w:b/>
                <w:sz w:val="20"/>
                <w:szCs w:val="20"/>
              </w:rPr>
              <w:t>Missing information</w:t>
            </w:r>
          </w:p>
        </w:tc>
        <w:tc>
          <w:tcPr>
            <w:tcW w:w="1793" w:type="pct"/>
          </w:tcPr>
          <w:p w14:paraId="51A05FC1" w14:textId="77777777" w:rsidR="004A5212" w:rsidRPr="0087348F" w:rsidRDefault="004A5212" w:rsidP="0087348F">
            <w:pPr>
              <w:pStyle w:val="Summaryofsafetyconcerns"/>
              <w:keepNext/>
              <w:keepLines/>
              <w:ind w:left="0" w:right="0"/>
              <w:rPr>
                <w:rFonts w:cstheme="minorHAnsi"/>
                <w:b w:val="0"/>
                <w:kern w:val="0"/>
                <w:szCs w:val="20"/>
              </w:rPr>
            </w:pPr>
            <w:r w:rsidRPr="0087348F">
              <w:rPr>
                <w:rFonts w:cstheme="minorHAnsi"/>
                <w:b w:val="0"/>
                <w:szCs w:val="20"/>
              </w:rPr>
              <w:t xml:space="preserve">Long-term effect of </w:t>
            </w:r>
            <w:proofErr w:type="spellStart"/>
            <w:r w:rsidRPr="0087348F">
              <w:rPr>
                <w:rFonts w:cstheme="minorHAnsi"/>
                <w:b w:val="0"/>
                <w:szCs w:val="20"/>
              </w:rPr>
              <w:t>onasemnogene</w:t>
            </w:r>
            <w:proofErr w:type="spellEnd"/>
            <w:r w:rsidRPr="0087348F">
              <w:rPr>
                <w:rFonts w:cstheme="minorHAnsi"/>
                <w:b w:val="0"/>
                <w:szCs w:val="20"/>
              </w:rPr>
              <w:t xml:space="preserve"> </w:t>
            </w:r>
            <w:proofErr w:type="spellStart"/>
            <w:r w:rsidRPr="0087348F">
              <w:rPr>
                <w:rFonts w:cstheme="minorHAnsi"/>
                <w:b w:val="0"/>
                <w:szCs w:val="20"/>
              </w:rPr>
              <w:t>abeparvovec</w:t>
            </w:r>
            <w:proofErr w:type="spellEnd"/>
            <w:r w:rsidRPr="0087348F">
              <w:rPr>
                <w:rFonts w:cstheme="minorHAnsi"/>
                <w:b w:val="0"/>
                <w:szCs w:val="20"/>
              </w:rPr>
              <w:t xml:space="preserve"> therapy</w:t>
            </w:r>
          </w:p>
        </w:tc>
        <w:tc>
          <w:tcPr>
            <w:tcW w:w="542" w:type="pct"/>
          </w:tcPr>
          <w:p w14:paraId="10864A14"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0AD4A860"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1B4C2CD1" w14:textId="77777777" w:rsidR="004A5212" w:rsidRPr="0087348F" w:rsidRDefault="004A5212" w:rsidP="0087348F">
            <w:pPr>
              <w:pStyle w:val="Tabletext"/>
              <w:keepNext/>
              <w:ind w:left="0" w:right="0"/>
              <w:jc w:val="center"/>
              <w:rPr>
                <w:sz w:val="20"/>
                <w:szCs w:val="20"/>
              </w:rPr>
            </w:pPr>
            <w:r w:rsidRPr="0087348F">
              <w:rPr>
                <w:sz w:val="20"/>
                <w:szCs w:val="20"/>
              </w:rPr>
              <w:t>–</w:t>
            </w:r>
          </w:p>
        </w:tc>
        <w:tc>
          <w:tcPr>
            <w:tcW w:w="681" w:type="pct"/>
          </w:tcPr>
          <w:p w14:paraId="545FFB68" w14:textId="77777777" w:rsidR="004A5212" w:rsidRPr="0087348F" w:rsidRDefault="004A5212" w:rsidP="0087348F">
            <w:pPr>
              <w:pStyle w:val="Tabletext"/>
              <w:keepNext/>
              <w:ind w:left="0" w:right="0"/>
              <w:jc w:val="center"/>
              <w:rPr>
                <w:sz w:val="20"/>
                <w:szCs w:val="20"/>
              </w:rPr>
            </w:pPr>
            <w:r w:rsidRPr="0087348F">
              <w:rPr>
                <w:sz w:val="20"/>
                <w:szCs w:val="20"/>
              </w:rPr>
              <w:t>–</w:t>
            </w:r>
          </w:p>
        </w:tc>
      </w:tr>
      <w:tr w:rsidR="004A5212" w:rsidRPr="0087348F" w14:paraId="16CB1991" w14:textId="77777777" w:rsidTr="0058715D">
        <w:trPr>
          <w:trHeight w:val="178"/>
        </w:trPr>
        <w:tc>
          <w:tcPr>
            <w:tcW w:w="761" w:type="pct"/>
            <w:vMerge/>
          </w:tcPr>
          <w:p w14:paraId="0F169A7F" w14:textId="77777777" w:rsidR="004A5212" w:rsidRPr="0087348F" w:rsidRDefault="004A5212" w:rsidP="0087348F">
            <w:pPr>
              <w:pStyle w:val="Tabletext"/>
              <w:keepNext/>
              <w:ind w:left="0" w:right="0"/>
              <w:rPr>
                <w:b/>
                <w:sz w:val="20"/>
                <w:szCs w:val="20"/>
              </w:rPr>
            </w:pPr>
          </w:p>
        </w:tc>
        <w:tc>
          <w:tcPr>
            <w:tcW w:w="1793" w:type="pct"/>
          </w:tcPr>
          <w:p w14:paraId="7131AA64" w14:textId="1B4AD5E7" w:rsidR="004A5212" w:rsidRPr="0087348F" w:rsidRDefault="004A5212" w:rsidP="0087348F">
            <w:pPr>
              <w:pStyle w:val="Summaryofsafetyconcerns"/>
              <w:keepNext/>
              <w:keepLines/>
              <w:ind w:left="0" w:right="0"/>
              <w:rPr>
                <w:rFonts w:cstheme="minorHAnsi"/>
                <w:b w:val="0"/>
                <w:szCs w:val="20"/>
              </w:rPr>
            </w:pPr>
            <w:r w:rsidRPr="0087348F">
              <w:rPr>
                <w:rFonts w:cstheme="minorHAnsi"/>
                <w:b w:val="0"/>
                <w:szCs w:val="20"/>
              </w:rPr>
              <w:t>Risks related to off-label use for patients with &gt;</w:t>
            </w:r>
            <w:r w:rsidR="0087348F" w:rsidRPr="0087348F">
              <w:rPr>
                <w:rFonts w:cstheme="minorHAnsi"/>
                <w:b w:val="0"/>
                <w:szCs w:val="20"/>
              </w:rPr>
              <w:t xml:space="preserve"> 3 </w:t>
            </w:r>
            <w:r w:rsidR="0087348F" w:rsidRPr="005F7A49">
              <w:rPr>
                <w:rFonts w:cstheme="minorHAnsi"/>
                <w:b w:val="0"/>
                <w:i/>
                <w:szCs w:val="20"/>
              </w:rPr>
              <w:t>SMN2</w:t>
            </w:r>
            <w:r w:rsidR="0087348F" w:rsidRPr="0087348F">
              <w:rPr>
                <w:rFonts w:cstheme="minorHAnsi"/>
                <w:b w:val="0"/>
                <w:szCs w:val="20"/>
              </w:rPr>
              <w:t xml:space="preserve"> copies that is</w:t>
            </w:r>
            <w:r w:rsidRPr="0087348F">
              <w:rPr>
                <w:rFonts w:cstheme="minorHAnsi"/>
                <w:b w:val="0"/>
                <w:szCs w:val="20"/>
              </w:rPr>
              <w:t>, higher prevalence of anti-AAV9 antibodies and higher vector loads required</w:t>
            </w:r>
          </w:p>
        </w:tc>
        <w:tc>
          <w:tcPr>
            <w:tcW w:w="542" w:type="pct"/>
          </w:tcPr>
          <w:p w14:paraId="1962A2C6"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780B391A"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r w:rsidRPr="0087348F">
              <w:rPr>
                <w:sz w:val="20"/>
                <w:szCs w:val="20"/>
                <w:vertAlign w:val="superscript"/>
              </w:rPr>
              <w:t>‡¶</w:t>
            </w:r>
          </w:p>
        </w:tc>
        <w:tc>
          <w:tcPr>
            <w:tcW w:w="542" w:type="pct"/>
          </w:tcPr>
          <w:p w14:paraId="619A9CF8" w14:textId="77777777" w:rsidR="004A5212" w:rsidRPr="0087348F" w:rsidRDefault="004A5212" w:rsidP="0087348F">
            <w:pPr>
              <w:pStyle w:val="Tabletext"/>
              <w:keepNext/>
              <w:ind w:left="0" w:right="0"/>
              <w:jc w:val="center"/>
              <w:rPr>
                <w:sz w:val="20"/>
                <w:szCs w:val="20"/>
              </w:rPr>
            </w:pPr>
            <w:r w:rsidRPr="0087348F">
              <w:rPr>
                <w:sz w:val="20"/>
                <w:szCs w:val="20"/>
              </w:rPr>
              <w:sym w:font="Wingdings" w:char="F0FC"/>
            </w:r>
          </w:p>
        </w:tc>
        <w:tc>
          <w:tcPr>
            <w:tcW w:w="681" w:type="pct"/>
          </w:tcPr>
          <w:p w14:paraId="0384C01F" w14:textId="77777777" w:rsidR="004A5212" w:rsidRPr="0087348F" w:rsidRDefault="004A5212" w:rsidP="0087348F">
            <w:pPr>
              <w:pStyle w:val="Tabletext"/>
              <w:keepNext/>
              <w:ind w:left="0" w:right="0"/>
              <w:jc w:val="center"/>
              <w:rPr>
                <w:sz w:val="20"/>
                <w:szCs w:val="20"/>
              </w:rPr>
            </w:pPr>
            <w:r w:rsidRPr="0087348F">
              <w:rPr>
                <w:sz w:val="20"/>
                <w:szCs w:val="20"/>
              </w:rPr>
              <w:t>–</w:t>
            </w:r>
          </w:p>
        </w:tc>
      </w:tr>
    </w:tbl>
    <w:p w14:paraId="0F980F12" w14:textId="08F81DAA" w:rsidR="004A5212" w:rsidRPr="00900703" w:rsidRDefault="004A5212" w:rsidP="008D6DA3">
      <w:pPr>
        <w:pStyle w:val="TableDescription"/>
      </w:pPr>
      <w:r w:rsidRPr="00900703">
        <w:t>*Targeted follow-up questionnaires</w:t>
      </w:r>
      <w:r w:rsidR="008D6DA3">
        <w:t xml:space="preserve">, </w:t>
      </w:r>
      <w:r w:rsidRPr="00900703">
        <w:rPr>
          <w:vertAlign w:val="superscript"/>
        </w:rPr>
        <w:t>‡</w:t>
      </w:r>
      <w:r w:rsidR="008D6DA3">
        <w:t xml:space="preserve">Clinical trials, </w:t>
      </w:r>
      <w:r w:rsidRPr="00900703">
        <w:rPr>
          <w:vertAlign w:val="superscript"/>
        </w:rPr>
        <w:t xml:space="preserve">¶ </w:t>
      </w:r>
      <w:r w:rsidRPr="00900703">
        <w:t>Prospective long-term registry – data from Australian patients will be included</w:t>
      </w:r>
      <w:r w:rsidR="008D6DA3">
        <w:t>.</w:t>
      </w:r>
    </w:p>
    <w:p w14:paraId="5786D185" w14:textId="1F67DC44" w:rsidR="004A5212" w:rsidRPr="00426BD5" w:rsidRDefault="004A5212" w:rsidP="008D6DA3">
      <w:r>
        <w:t>O</w:t>
      </w:r>
      <w:r w:rsidRPr="009F5997">
        <w:t xml:space="preserve">ngoing and planned studies </w:t>
      </w:r>
      <w:r>
        <w:t>included in</w:t>
      </w:r>
      <w:r w:rsidRPr="009F5997">
        <w:t xml:space="preserve"> additional pharmacovigilance </w:t>
      </w:r>
      <w:r>
        <w:t>are</w:t>
      </w:r>
      <w:r w:rsidRPr="009F5997">
        <w:t xml:space="preserve"> </w:t>
      </w:r>
      <w:r w:rsidR="0058715D">
        <w:t>Studies AVXS</w:t>
      </w:r>
      <w:r w:rsidR="0058715D">
        <w:noBreakHyphen/>
      </w:r>
      <w:r w:rsidRPr="009F5997">
        <w:t>101-LT-001</w:t>
      </w:r>
      <w:r w:rsidR="00F1696C">
        <w:t xml:space="preserve"> (final study report </w:t>
      </w:r>
      <w:r w:rsidR="00D90CF1">
        <w:t xml:space="preserve">due </w:t>
      </w:r>
      <w:r w:rsidR="00082A66">
        <w:t xml:space="preserve">in the </w:t>
      </w:r>
      <w:r w:rsidR="00F1696C">
        <w:t xml:space="preserve">fourth quarter </w:t>
      </w:r>
      <w:r w:rsidR="00082A66">
        <w:t xml:space="preserve">of </w:t>
      </w:r>
      <w:r w:rsidR="00F1696C">
        <w:t>2033)</w:t>
      </w:r>
      <w:r w:rsidRPr="009F5997">
        <w:t>, AVXS-101-CL-304</w:t>
      </w:r>
      <w:r w:rsidR="00F1696C">
        <w:t xml:space="preserve"> (final study report </w:t>
      </w:r>
      <w:r w:rsidR="00D90CF1">
        <w:t>due</w:t>
      </w:r>
      <w:r w:rsidR="00F1696C">
        <w:t xml:space="preserve"> </w:t>
      </w:r>
      <w:r w:rsidR="00082A66">
        <w:t xml:space="preserve">in the </w:t>
      </w:r>
      <w:r w:rsidR="00F1696C">
        <w:t xml:space="preserve">first quarter </w:t>
      </w:r>
      <w:r w:rsidR="00082A66">
        <w:t xml:space="preserve">of </w:t>
      </w:r>
      <w:r w:rsidR="00F1696C">
        <w:t>2022)</w:t>
      </w:r>
      <w:r w:rsidR="0058715D">
        <w:t>, AVXS</w:t>
      </w:r>
      <w:r w:rsidR="0058715D">
        <w:noBreakHyphen/>
      </w:r>
      <w:r w:rsidRPr="009F5997">
        <w:t>101-CL-302</w:t>
      </w:r>
      <w:r w:rsidR="00F1696C">
        <w:t xml:space="preserve"> (final study report due </w:t>
      </w:r>
      <w:r w:rsidR="00082A66">
        <w:t xml:space="preserve">in the </w:t>
      </w:r>
      <w:r w:rsidR="00F1696C">
        <w:t>second quarter</w:t>
      </w:r>
      <w:r w:rsidR="00082A66">
        <w:t xml:space="preserve"> of</w:t>
      </w:r>
      <w:r w:rsidR="00F1696C">
        <w:t xml:space="preserve"> 2021)</w:t>
      </w:r>
      <w:r w:rsidRPr="009F5997">
        <w:t>, AVXS-101-RG-001</w:t>
      </w:r>
      <w:r w:rsidR="00F1696C">
        <w:t xml:space="preserve"> (final study report </w:t>
      </w:r>
      <w:r w:rsidR="00D90CF1">
        <w:t>due</w:t>
      </w:r>
      <w:r w:rsidR="005F7A49">
        <w:t xml:space="preserve"> </w:t>
      </w:r>
      <w:r w:rsidR="00082A66">
        <w:t>in</w:t>
      </w:r>
      <w:r w:rsidR="00F1696C">
        <w:t xml:space="preserve"> 2038</w:t>
      </w:r>
      <w:r w:rsidRPr="009F5997">
        <w:t>, and AVXS-101-LT-002</w:t>
      </w:r>
      <w:r w:rsidR="00F1696C">
        <w:t xml:space="preserve"> (final study report due</w:t>
      </w:r>
      <w:r w:rsidR="00082A66">
        <w:t xml:space="preserve"> in the</w:t>
      </w:r>
      <w:r w:rsidR="00F1696C">
        <w:t xml:space="preserve"> second quarter</w:t>
      </w:r>
      <w:r w:rsidR="00082A66">
        <w:t xml:space="preserve"> of</w:t>
      </w:r>
      <w:r w:rsidR="00F1696C">
        <w:t xml:space="preserve"> 2035)</w:t>
      </w:r>
      <w:r w:rsidR="006C3493">
        <w:t xml:space="preserve">. </w:t>
      </w:r>
      <w:r>
        <w:t>D</w:t>
      </w:r>
      <w:r w:rsidRPr="00426BD5">
        <w:t xml:space="preserve">ata from Australian patients </w:t>
      </w:r>
      <w:r>
        <w:t>will be included in the multinational</w:t>
      </w:r>
      <w:r w:rsidRPr="00426BD5">
        <w:t xml:space="preserve"> </w:t>
      </w:r>
      <w:r>
        <w:t xml:space="preserve">long-term </w:t>
      </w:r>
      <w:r w:rsidRPr="00426BD5">
        <w:t>patient registry</w:t>
      </w:r>
      <w:r>
        <w:t xml:space="preserve"> study, </w:t>
      </w:r>
      <w:r w:rsidR="006C3493">
        <w:t xml:space="preserve">Study </w:t>
      </w:r>
      <w:r>
        <w:rPr>
          <w:rFonts w:asciiTheme="minorHAnsi" w:eastAsiaTheme="minorHAnsi" w:hAnsiTheme="minorHAnsi" w:cs="Georgia"/>
        </w:rPr>
        <w:t>AVXS-101-RG-001</w:t>
      </w:r>
      <w:r w:rsidR="006C3493">
        <w:t>. The s</w:t>
      </w:r>
      <w:r>
        <w:t xml:space="preserve">ponsor is requested to clarify why the final study report for </w:t>
      </w:r>
      <w:r w:rsidR="006C3493">
        <w:t xml:space="preserve">Study </w:t>
      </w:r>
      <w:r>
        <w:t>AVXS-101-LT-002 is not proposed to be submitted to TGA (see</w:t>
      </w:r>
      <w:r w:rsidR="006C3493">
        <w:t xml:space="preserve"> ‘</w:t>
      </w:r>
      <w:r w:rsidR="006C3493" w:rsidRPr="006C3493">
        <w:rPr>
          <w:i/>
        </w:rPr>
        <w:fldChar w:fldCharType="begin"/>
      </w:r>
      <w:r w:rsidR="006C3493" w:rsidRPr="006C3493">
        <w:rPr>
          <w:i/>
        </w:rPr>
        <w:instrText xml:space="preserve"> REF _Ref65515660 \h </w:instrText>
      </w:r>
      <w:r w:rsidR="006C3493">
        <w:rPr>
          <w:i/>
        </w:rPr>
        <w:instrText xml:space="preserve"> \* MERGEFORMAT </w:instrText>
      </w:r>
      <w:r w:rsidR="006C3493" w:rsidRPr="006C3493">
        <w:rPr>
          <w:i/>
        </w:rPr>
      </w:r>
      <w:r w:rsidR="006C3493" w:rsidRPr="006C3493">
        <w:rPr>
          <w:i/>
        </w:rPr>
        <w:fldChar w:fldCharType="separate"/>
      </w:r>
      <w:r w:rsidR="009C2F61" w:rsidRPr="009C2F61">
        <w:rPr>
          <w:i/>
        </w:rPr>
        <w:t>Questions for the sponsor</w:t>
      </w:r>
      <w:r w:rsidR="006C3493" w:rsidRPr="006C3493">
        <w:rPr>
          <w:i/>
        </w:rPr>
        <w:fldChar w:fldCharType="end"/>
      </w:r>
      <w:r w:rsidR="006C3493">
        <w:t>’ section, below</w:t>
      </w:r>
      <w:r>
        <w:t>).</w:t>
      </w:r>
    </w:p>
    <w:p w14:paraId="6A20CD0E" w14:textId="3A192EF2" w:rsidR="004A5212" w:rsidRDefault="006C3493" w:rsidP="008D6DA3">
      <w:r>
        <w:t>The s</w:t>
      </w:r>
      <w:r w:rsidR="004A5212" w:rsidRPr="0031636E">
        <w:t>ponsor has agreed to implement a patient alert card in Australia</w:t>
      </w:r>
      <w:r w:rsidR="004A5212">
        <w:t xml:space="preserve"> as an additional risk minimisation activity.</w:t>
      </w:r>
      <w:r>
        <w:t xml:space="preserve"> </w:t>
      </w:r>
      <w:r w:rsidR="004A5212" w:rsidRPr="0031636E">
        <w:t>Th</w:t>
      </w:r>
      <w:r w:rsidR="004A5212">
        <w:t>e patient alert card will be an Australian-</w:t>
      </w:r>
      <w:r w:rsidR="004A5212" w:rsidRPr="0031636E">
        <w:t xml:space="preserve">specific requirement, and will provide details of the patient name, treating physician name and contact details, </w:t>
      </w:r>
      <w:r w:rsidR="004A5212">
        <w:t xml:space="preserve">and </w:t>
      </w:r>
      <w:r>
        <w:t>date of treatment. The s</w:t>
      </w:r>
      <w:r w:rsidR="004A5212" w:rsidRPr="0031636E">
        <w:t>ponsor will provide the patient alert card to identified pres</w:t>
      </w:r>
      <w:r w:rsidR="004A5212">
        <w:t>c</w:t>
      </w:r>
      <w:r w:rsidR="004A5212" w:rsidRPr="0031636E">
        <w:t>ribers in the treatment of SMA.</w:t>
      </w:r>
    </w:p>
    <w:p w14:paraId="076787F4" w14:textId="2AEFA239" w:rsidR="004A5212" w:rsidRPr="000340A3" w:rsidRDefault="008D6DA3" w:rsidP="004A5212">
      <w:pPr>
        <w:pStyle w:val="Heading4"/>
      </w:pPr>
      <w:bookmarkStart w:id="75" w:name="_Ref65517071"/>
      <w:r>
        <w:t>Proposed risk management</w:t>
      </w:r>
      <w:r w:rsidR="004A5212" w:rsidRPr="000340A3">
        <w:t xml:space="preserve"> conditions of registration</w:t>
      </w:r>
      <w:bookmarkEnd w:id="75"/>
    </w:p>
    <w:p w14:paraId="5B61336F" w14:textId="594F2423" w:rsidR="008D6DA3" w:rsidRPr="008D6DA3" w:rsidRDefault="008D6DA3" w:rsidP="008D6DA3">
      <w:pPr>
        <w:pStyle w:val="ListBullet"/>
      </w:pPr>
      <w:proofErr w:type="spellStart"/>
      <w:r w:rsidRPr="008D6DA3">
        <w:t>Zolgensma</w:t>
      </w:r>
      <w:proofErr w:type="spellEnd"/>
      <w:r w:rsidRPr="008D6DA3">
        <w:t xml:space="preserve"> (</w:t>
      </w:r>
      <w:proofErr w:type="spellStart"/>
      <w:r w:rsidRPr="008D6DA3">
        <w:t>onasemnogene</w:t>
      </w:r>
      <w:proofErr w:type="spellEnd"/>
      <w:r w:rsidRPr="008D6DA3">
        <w:t xml:space="preserve"> </w:t>
      </w:r>
      <w:proofErr w:type="spellStart"/>
      <w:r w:rsidRPr="008D6DA3">
        <w:t>abeparvovec</w:t>
      </w:r>
      <w:proofErr w:type="spellEnd"/>
      <w:r w:rsidRPr="008D6DA3">
        <w:t xml:space="preserve">) is to be included in the Black Triangle Scheme. The </w:t>
      </w:r>
      <w:r w:rsidR="0058715D">
        <w:t>PI</w:t>
      </w:r>
      <w:r w:rsidRPr="008D6DA3">
        <w:t xml:space="preserve"> and </w:t>
      </w:r>
      <w:r w:rsidR="0058715D">
        <w:t>CMI</w:t>
      </w:r>
      <w:r w:rsidRPr="008D6DA3">
        <w:t xml:space="preserve"> for </w:t>
      </w:r>
      <w:proofErr w:type="spellStart"/>
      <w:r w:rsidRPr="008D6DA3">
        <w:t>Zolgensma</w:t>
      </w:r>
      <w:proofErr w:type="spellEnd"/>
      <w:r w:rsidRPr="008D6DA3">
        <w:t xml:space="preserve"> must include the black triangle symbol and mandatory accompanying text for five years, which starts from the date that the sponsor notifies the TGA of supply of the product.</w:t>
      </w:r>
    </w:p>
    <w:p w14:paraId="3AFEFF6B" w14:textId="7785CCF3" w:rsidR="008D6DA3" w:rsidRPr="008D6DA3" w:rsidRDefault="008D6DA3" w:rsidP="008D6DA3">
      <w:pPr>
        <w:pStyle w:val="ListBullet"/>
      </w:pPr>
      <w:r w:rsidRPr="008D6DA3">
        <w:t xml:space="preserve">The </w:t>
      </w:r>
      <w:proofErr w:type="spellStart"/>
      <w:r w:rsidRPr="008D6DA3">
        <w:t>Zolgensma</w:t>
      </w:r>
      <w:proofErr w:type="spellEnd"/>
      <w:r w:rsidRPr="008D6DA3">
        <w:t xml:space="preserve"> </w:t>
      </w:r>
      <w:r w:rsidR="0058715D">
        <w:t>EU</w:t>
      </w:r>
      <w:r w:rsidRPr="008D6DA3">
        <w:t>-</w:t>
      </w:r>
      <w:r w:rsidR="0058715D">
        <w:t>RMP</w:t>
      </w:r>
      <w:r w:rsidRPr="008D6DA3">
        <w:t xml:space="preserve">, (version 0.7, dated 19 March 2020; </w:t>
      </w:r>
      <w:r w:rsidR="0058715D">
        <w:t>DLP</w:t>
      </w:r>
      <w:r w:rsidRPr="008D6DA3">
        <w:t xml:space="preserve"> 31 December 2019) with </w:t>
      </w:r>
      <w:r w:rsidR="0058715D">
        <w:t>ASA</w:t>
      </w:r>
      <w:r w:rsidRPr="008D6DA3">
        <w:t xml:space="preserve"> (version 1.1, dated 17 August 2020), i</w:t>
      </w:r>
      <w:r w:rsidR="0058715D">
        <w:t>ncluded with submission PM</w:t>
      </w:r>
      <w:r w:rsidR="0058715D">
        <w:noBreakHyphen/>
        <w:t>2019</w:t>
      </w:r>
      <w:r w:rsidR="0058715D">
        <w:noBreakHyphen/>
      </w:r>
      <w:r w:rsidRPr="008D6DA3">
        <w:t>05979-1-3, and any subsequent revisions, as agreed with the TGA will be implemented in Australia.</w:t>
      </w:r>
    </w:p>
    <w:p w14:paraId="63999166" w14:textId="1C6DCBCA" w:rsidR="008D6DA3" w:rsidRPr="008D6DA3" w:rsidRDefault="008D6DA3" w:rsidP="008D6DA3">
      <w:pPr>
        <w:pStyle w:val="ListBullet"/>
        <w:numPr>
          <w:ilvl w:val="0"/>
          <w:numId w:val="0"/>
        </w:numPr>
        <w:ind w:left="360"/>
      </w:pPr>
      <w:r w:rsidRPr="008D6DA3">
        <w:t xml:space="preserve">An obligatory component of risk management plans is routine pharmacovigilance. Routine pharmacovigilance includes the submission of </w:t>
      </w:r>
      <w:r w:rsidR="0058715D">
        <w:t>PSURs</w:t>
      </w:r>
      <w:r w:rsidRPr="008D6DA3">
        <w:t>.</w:t>
      </w:r>
    </w:p>
    <w:p w14:paraId="156BD49E" w14:textId="77777777" w:rsidR="008D6DA3" w:rsidRPr="008D6DA3" w:rsidRDefault="008D6DA3" w:rsidP="008D6DA3">
      <w:pPr>
        <w:pStyle w:val="ListBullet"/>
        <w:numPr>
          <w:ilvl w:val="0"/>
          <w:numId w:val="0"/>
        </w:numPr>
        <w:ind w:left="360"/>
      </w:pPr>
      <w:r w:rsidRPr="008D6DA3">
        <w:t>Reports are to be provided in line with the current published list of EU reference dates and frequency of submission of PSURs until the period covered by such reports is not less than three years from the date of the approval letter.</w:t>
      </w:r>
    </w:p>
    <w:p w14:paraId="2957AB11" w14:textId="250F427B" w:rsidR="008E7846" w:rsidRPr="004A5212" w:rsidRDefault="008D6DA3" w:rsidP="008D6DA3">
      <w:pPr>
        <w:pStyle w:val="ListBullet"/>
        <w:numPr>
          <w:ilvl w:val="0"/>
          <w:numId w:val="0"/>
        </w:numPr>
        <w:ind w:left="360"/>
      </w:pPr>
      <w:r w:rsidRPr="008D6DA3">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34A6A31" w14:textId="77777777" w:rsidR="008E7846" w:rsidRDefault="00AA0ED0" w:rsidP="008E7846">
      <w:pPr>
        <w:pStyle w:val="Heading3"/>
      </w:pPr>
      <w:bookmarkStart w:id="76" w:name="_Toc247691531"/>
      <w:bookmarkStart w:id="77" w:name="_Toc314842515"/>
      <w:bookmarkStart w:id="78" w:name="_Toc196046505"/>
      <w:bookmarkStart w:id="79" w:name="_Toc196046949"/>
      <w:bookmarkStart w:id="80" w:name="_Toc69909595"/>
      <w:r>
        <w:t>Risk-benefit a</w:t>
      </w:r>
      <w:r w:rsidR="008E7846">
        <w:t>nalysis</w:t>
      </w:r>
      <w:bookmarkEnd w:id="76"/>
      <w:bookmarkEnd w:id="77"/>
      <w:bookmarkEnd w:id="80"/>
    </w:p>
    <w:p w14:paraId="78D8AA6C" w14:textId="77777777" w:rsidR="00D23139" w:rsidRDefault="007D53B6" w:rsidP="00D23139">
      <w:pPr>
        <w:pStyle w:val="Heading4"/>
      </w:pPr>
      <w:r>
        <w:t>Delegate’s considerations</w:t>
      </w:r>
    </w:p>
    <w:p w14:paraId="2B0EDC29" w14:textId="77777777" w:rsidR="004A5212" w:rsidRDefault="004A5212" w:rsidP="008D6DA3">
      <w:pPr>
        <w:pStyle w:val="Heading5"/>
      </w:pPr>
      <w:r>
        <w:t>Efficacy</w:t>
      </w:r>
    </w:p>
    <w:p w14:paraId="7420CC29" w14:textId="437C70C9" w:rsidR="004A5212" w:rsidRDefault="006C3493" w:rsidP="004A5212">
      <w:pPr>
        <w:rPr>
          <w:rFonts w:eastAsia="Times New Roman"/>
          <w:lang w:eastAsia="ja-JP"/>
        </w:rPr>
      </w:pPr>
      <w:r>
        <w:t>The completed Phase III</w:t>
      </w:r>
      <w:r w:rsidR="004A5212">
        <w:t xml:space="preserve"> </w:t>
      </w:r>
      <w:r>
        <w:t>Study AVXS-101-CL-303 and the completed Phase I</w:t>
      </w:r>
      <w:r w:rsidR="004A5212">
        <w:t xml:space="preserve"> </w:t>
      </w:r>
      <w:r w:rsidR="0058715D">
        <w:t>Study AVXS</w:t>
      </w:r>
      <w:r w:rsidR="0058715D">
        <w:noBreakHyphen/>
      </w:r>
      <w:r w:rsidR="00D31923">
        <w:t>101-CL-101</w:t>
      </w:r>
      <w:r w:rsidR="004A5212">
        <w:t xml:space="preserve"> demonstrated substantial efficacy benefits following a single IV dose of </w:t>
      </w:r>
      <w:proofErr w:type="spellStart"/>
      <w:r w:rsidR="007359A2">
        <w:t>Zolgensma</w:t>
      </w:r>
      <w:proofErr w:type="spellEnd"/>
      <w:r w:rsidR="004A5212">
        <w:t xml:space="preserve"> compared to the natural history of </w:t>
      </w:r>
      <w:r w:rsidR="005A2B53">
        <w:t>type</w:t>
      </w:r>
      <w:r w:rsidR="004A5212">
        <w:t xml:space="preserve"> 1 SMA.</w:t>
      </w:r>
      <w:r w:rsidR="004A5212" w:rsidRPr="00245887">
        <w:t xml:space="preserve"> </w:t>
      </w:r>
      <w:r w:rsidR="004A5212">
        <w:t>Both studies demonstrated marked improvements in survival without permanent ventilation, and achievement of motor milestones, relative to untreated historical controls.</w:t>
      </w:r>
      <w:r w:rsidR="004A5212" w:rsidRPr="0072323F">
        <w:rPr>
          <w:lang w:eastAsia="ja-JP"/>
        </w:rPr>
        <w:t xml:space="preserve"> </w:t>
      </w:r>
      <w:r w:rsidR="004A5212">
        <w:rPr>
          <w:lang w:eastAsia="ja-JP"/>
        </w:rPr>
        <w:t>In addition, motor scores generally showed steady improvement following treatment, in contrast to the progressive decli</w:t>
      </w:r>
      <w:r w:rsidR="0058715D">
        <w:rPr>
          <w:lang w:eastAsia="ja-JP"/>
        </w:rPr>
        <w:t>ne seen in historical controls.</w:t>
      </w:r>
    </w:p>
    <w:p w14:paraId="294534BC" w14:textId="5CE09621" w:rsidR="004A5212" w:rsidRDefault="004A5212" w:rsidP="004A5212">
      <w:r>
        <w:t>The patients in these studies had a severe form of SMA with a very poor prognosis and a high likelihood of ventilator dependence and/or death d</w:t>
      </w:r>
      <w:r w:rsidR="006C3493">
        <w:t xml:space="preserve">uring the course of the study. </w:t>
      </w:r>
      <w:r>
        <w:t>The natural history of this study population has been well-defined in recent observational studies, allowing clinically meaningful assessment of the efficacy outcomes observe</w:t>
      </w:r>
      <w:r w:rsidR="006C3493">
        <w:t xml:space="preserve">d in these single arm studies. </w:t>
      </w:r>
      <w:r>
        <w:t>The event-free survival and motor milestones</w:t>
      </w:r>
      <w:r w:rsidRPr="004B0BF0">
        <w:t xml:space="preserve"> </w:t>
      </w:r>
      <w:r>
        <w:t>achieved in these studies represent substantial improvements on the outcomes that would be expected in</w:t>
      </w:r>
      <w:r w:rsidRPr="004B0BF0">
        <w:t xml:space="preserve"> the</w:t>
      </w:r>
      <w:r>
        <w:t xml:space="preserve"> untreated</w:t>
      </w:r>
      <w:r w:rsidRPr="004B0BF0">
        <w:t xml:space="preserve"> target population.</w:t>
      </w:r>
    </w:p>
    <w:p w14:paraId="5F04E33E" w14:textId="13101586" w:rsidR="004A5212" w:rsidRPr="008B7815" w:rsidRDefault="004A5212" w:rsidP="004A5212">
      <w:pPr>
        <w:rPr>
          <w:rFonts w:eastAsiaTheme="minorHAnsi" w:cs="Georgia"/>
        </w:rPr>
      </w:pPr>
      <w:r w:rsidRPr="008B7815">
        <w:rPr>
          <w:rFonts w:eastAsiaTheme="minorHAnsi" w:cs="Georgia"/>
        </w:rPr>
        <w:t xml:space="preserve">All patients in these studies had genetically confirmed bi-allelic </w:t>
      </w:r>
      <w:r w:rsidRPr="008B7815">
        <w:rPr>
          <w:rFonts w:eastAsiaTheme="minorHAnsi" w:cs="Georgia"/>
          <w:iCs/>
        </w:rPr>
        <w:t>mutations (</w:t>
      </w:r>
      <w:r w:rsidRPr="008B7815">
        <w:rPr>
          <w:rFonts w:eastAsiaTheme="minorHAnsi" w:cs="Georgia"/>
        </w:rPr>
        <w:t>deletions)</w:t>
      </w:r>
      <w:r>
        <w:rPr>
          <w:rFonts w:eastAsiaTheme="minorHAnsi" w:cs="Georgia"/>
        </w:rPr>
        <w:t xml:space="preserve"> of </w:t>
      </w:r>
      <w:r w:rsidRPr="005F7A49">
        <w:rPr>
          <w:rFonts w:eastAsiaTheme="minorHAnsi" w:cs="Georgia"/>
          <w:i/>
        </w:rPr>
        <w:t>SMN1</w:t>
      </w:r>
      <w:r w:rsidRPr="008B7815">
        <w:rPr>
          <w:rFonts w:eastAsiaTheme="minorHAnsi" w:cs="Georgia"/>
        </w:rPr>
        <w:t xml:space="preserve">, 2 copies of </w:t>
      </w:r>
      <w:r w:rsidRPr="005F7A49">
        <w:rPr>
          <w:rFonts w:eastAsiaTheme="minorHAnsi" w:cs="Georgia"/>
          <w:i/>
          <w:iCs/>
        </w:rPr>
        <w:t>SMN2</w:t>
      </w:r>
      <w:r w:rsidRPr="008B7815">
        <w:rPr>
          <w:rFonts w:eastAsiaTheme="minorHAnsi" w:cs="Georgia"/>
          <w:iCs/>
        </w:rPr>
        <w:t xml:space="preserve">, </w:t>
      </w:r>
      <w:r w:rsidRPr="008B7815">
        <w:rPr>
          <w:rFonts w:eastAsiaTheme="minorHAnsi" w:cs="Georgia"/>
        </w:rPr>
        <w:t>absence of the c.859G</w:t>
      </w:r>
      <w:r w:rsidR="006C3493">
        <w:rPr>
          <w:rFonts w:eastAsiaTheme="minorHAnsi" w:cs="Georgia"/>
        </w:rPr>
        <w:t xml:space="preserve"> </w:t>
      </w:r>
      <w:r w:rsidRPr="008B7815">
        <w:rPr>
          <w:rFonts w:eastAsiaTheme="minorHAnsi" w:cs="Georgia"/>
        </w:rPr>
        <w:t>&gt;</w:t>
      </w:r>
      <w:r w:rsidR="006C3493">
        <w:rPr>
          <w:rFonts w:eastAsiaTheme="minorHAnsi" w:cs="Georgia"/>
        </w:rPr>
        <w:t xml:space="preserve"> </w:t>
      </w:r>
      <w:r w:rsidRPr="008B7815">
        <w:rPr>
          <w:rFonts w:eastAsiaTheme="minorHAnsi" w:cs="Georgia"/>
        </w:rPr>
        <w:t>C mutation</w:t>
      </w:r>
      <w:r>
        <w:rPr>
          <w:rFonts w:eastAsiaTheme="minorHAnsi" w:cs="Georgia"/>
        </w:rPr>
        <w:t>,</w:t>
      </w:r>
      <w:r w:rsidRPr="008B7815">
        <w:rPr>
          <w:rFonts w:eastAsiaTheme="minorHAnsi" w:cs="Georgia"/>
        </w:rPr>
        <w:t xml:space="preserve"> and onset of clinical symptoms </w:t>
      </w:r>
      <w:r w:rsidR="006C3493">
        <w:rPr>
          <w:rFonts w:eastAsiaTheme="minorHAnsi" w:cs="Georgia"/>
        </w:rPr>
        <w:t xml:space="preserve">of SMA before 6 months of age. </w:t>
      </w:r>
      <w:r>
        <w:t xml:space="preserve">In </w:t>
      </w:r>
      <w:r w:rsidR="00D31923">
        <w:t>Study AVXS-101-CL-303</w:t>
      </w:r>
      <w:r>
        <w:t xml:space="preserve">, all patients were treated prior to 6 months of age, and in </w:t>
      </w:r>
      <w:r w:rsidR="00D31923">
        <w:t>Study AVXS-101-CL-101</w:t>
      </w:r>
      <w:r>
        <w:t>, all patients were treated prior to 8 months of age.</w:t>
      </w:r>
      <w:r>
        <w:rPr>
          <w:rFonts w:eastAsiaTheme="minorHAnsi" w:cs="Georgia"/>
        </w:rPr>
        <w:t xml:space="preserve"> B</w:t>
      </w:r>
      <w:r w:rsidRPr="008B7815">
        <w:rPr>
          <w:rFonts w:eastAsiaTheme="minorHAnsi" w:cs="Georgia"/>
        </w:rPr>
        <w:t xml:space="preserve">oth </w:t>
      </w:r>
      <w:r>
        <w:rPr>
          <w:rFonts w:eastAsiaTheme="minorHAnsi" w:cs="Georgia"/>
        </w:rPr>
        <w:t>studies involved</w:t>
      </w:r>
      <w:r w:rsidRPr="008B7815">
        <w:rPr>
          <w:rFonts w:eastAsiaTheme="minorHAnsi" w:cs="Georgia"/>
        </w:rPr>
        <w:t xml:space="preserve"> a single dose of </w:t>
      </w:r>
      <w:proofErr w:type="spellStart"/>
      <w:r w:rsidR="007359A2">
        <w:rPr>
          <w:rFonts w:eastAsiaTheme="minorHAnsi" w:cs="Georgia"/>
        </w:rPr>
        <w:t>Zolgensma</w:t>
      </w:r>
      <w:proofErr w:type="spellEnd"/>
      <w:r w:rsidRPr="008B7815">
        <w:rPr>
          <w:rFonts w:eastAsiaTheme="minorHAnsi" w:cs="Georgia"/>
        </w:rPr>
        <w:t xml:space="preserve"> administered by intravenous infusion</w:t>
      </w:r>
      <w:r w:rsidR="006C3493">
        <w:rPr>
          <w:rFonts w:eastAsiaTheme="minorHAnsi" w:cs="Georgia"/>
        </w:rPr>
        <w:t xml:space="preserve">. </w:t>
      </w:r>
      <w:r>
        <w:rPr>
          <w:rFonts w:eastAsiaTheme="minorHAnsi" w:cs="Georgia"/>
        </w:rPr>
        <w:t xml:space="preserve">All 22 patients in </w:t>
      </w:r>
      <w:r w:rsidR="00D31923">
        <w:rPr>
          <w:rFonts w:eastAsiaTheme="minorHAnsi" w:cs="Georgia"/>
        </w:rPr>
        <w:t>Study AVXS-101-CL-303</w:t>
      </w:r>
      <w:r>
        <w:rPr>
          <w:rFonts w:eastAsiaTheme="minorHAnsi" w:cs="Georgia"/>
        </w:rPr>
        <w:t xml:space="preserve"> and 12 of 15 patients in </w:t>
      </w:r>
      <w:r w:rsidR="00D31923">
        <w:rPr>
          <w:rFonts w:eastAsiaTheme="minorHAnsi" w:cs="Georgia"/>
        </w:rPr>
        <w:t>Study AVXS-101-CL-101</w:t>
      </w:r>
      <w:r>
        <w:rPr>
          <w:rFonts w:eastAsiaTheme="minorHAnsi" w:cs="Georgia"/>
        </w:rPr>
        <w:t xml:space="preserve"> received the d</w:t>
      </w:r>
      <w:r w:rsidR="006C3493">
        <w:rPr>
          <w:rFonts w:eastAsiaTheme="minorHAnsi" w:cs="Georgia"/>
        </w:rPr>
        <w:t>ose proposed for registration.</w:t>
      </w:r>
    </w:p>
    <w:p w14:paraId="598E9E49" w14:textId="7AA1F256" w:rsidR="004A5212" w:rsidRDefault="004A5212" w:rsidP="004A5212">
      <w:pPr>
        <w:rPr>
          <w:lang w:eastAsia="ja-JP"/>
        </w:rPr>
      </w:pPr>
      <w:r>
        <w:t xml:space="preserve">All 12 patients (100%) in Cohort 2 of </w:t>
      </w:r>
      <w:r w:rsidR="00D31923">
        <w:t>Study AVXS-101-CL-101</w:t>
      </w:r>
      <w:r>
        <w:t xml:space="preserve"> survived without permanent ventilation to 24 months post-treatment, and 20 of 22 (90.9%) patients in </w:t>
      </w:r>
      <w:r w:rsidR="00D31923">
        <w:t>Study AVXS-101-CL-303</w:t>
      </w:r>
      <w:r>
        <w:t xml:space="preserve"> survived without permanent ventilation to 18 months of age. </w:t>
      </w:r>
      <w:r>
        <w:rPr>
          <w:lang w:eastAsia="ja-JP"/>
        </w:rPr>
        <w:t>This represents a substantial improvement on the 8% event-free survival reported for historical controls at 18 months of age in the PNCR dataset.</w:t>
      </w:r>
    </w:p>
    <w:p w14:paraId="4F5B2B6A" w14:textId="2BB5BA5E" w:rsidR="004A5212" w:rsidRDefault="004A5212" w:rsidP="004A5212">
      <w:pPr>
        <w:rPr>
          <w:lang w:eastAsia="ja-JP"/>
        </w:rPr>
      </w:pPr>
      <w:r>
        <w:rPr>
          <w:lang w:eastAsia="ja-JP"/>
        </w:rPr>
        <w:t xml:space="preserve">Many subjects achieved motor milestones that are seldom or never achieved in untreated historical control subjects </w:t>
      </w:r>
      <w:r w:rsidR="006C3493">
        <w:rPr>
          <w:lang w:eastAsia="ja-JP"/>
        </w:rPr>
        <w:t xml:space="preserve">with the same genetic profile. </w:t>
      </w:r>
      <w:r>
        <w:rPr>
          <w:lang w:eastAsia="ja-JP"/>
        </w:rPr>
        <w:t xml:space="preserve">No untreated patients with this genetic profile would be </w:t>
      </w:r>
      <w:r w:rsidR="006C3493">
        <w:rPr>
          <w:lang w:eastAsia="ja-JP"/>
        </w:rPr>
        <w:t xml:space="preserve">expected to sit independently. </w:t>
      </w:r>
      <w:r>
        <w:rPr>
          <w:lang w:eastAsia="ja-JP"/>
        </w:rPr>
        <w:t xml:space="preserve">No patients in Cohort 1 of </w:t>
      </w:r>
      <w:r w:rsidR="006C3493">
        <w:rPr>
          <w:lang w:eastAsia="ja-JP"/>
        </w:rPr>
        <w:t>Study </w:t>
      </w:r>
      <w:r w:rsidR="00D31923">
        <w:rPr>
          <w:lang w:eastAsia="ja-JP"/>
        </w:rPr>
        <w:t>AVXS-101-CL-101</w:t>
      </w:r>
      <w:r>
        <w:rPr>
          <w:lang w:eastAsia="ja-JP"/>
        </w:rPr>
        <w:t xml:space="preserve"> achieved motor milestones, but 9</w:t>
      </w:r>
      <w:r w:rsidR="006C3493">
        <w:rPr>
          <w:lang w:eastAsia="ja-JP"/>
        </w:rPr>
        <w:t xml:space="preserve"> of 12 patients (75%) in Cohort </w:t>
      </w:r>
      <w:r>
        <w:rPr>
          <w:lang w:eastAsia="ja-JP"/>
        </w:rPr>
        <w:t xml:space="preserve">2 achieved independent sitting, and in </w:t>
      </w:r>
      <w:r w:rsidR="00D31923">
        <w:rPr>
          <w:lang w:eastAsia="ja-JP"/>
        </w:rPr>
        <w:t>Study AVXS-101-CL-303</w:t>
      </w:r>
      <w:r>
        <w:rPr>
          <w:lang w:eastAsia="ja-JP"/>
        </w:rPr>
        <w:t>, 13 of 22 patients (59.1%) were able to sit independentl</w:t>
      </w:r>
      <w:r w:rsidR="006C3493">
        <w:rPr>
          <w:lang w:eastAsia="ja-JP"/>
        </w:rPr>
        <w:t>y for 30 seconds at 18 months.</w:t>
      </w:r>
    </w:p>
    <w:p w14:paraId="779D53A0" w14:textId="3B6AEF6A" w:rsidR="004A5212" w:rsidRDefault="004A5212" w:rsidP="004A5212">
      <w:r>
        <w:rPr>
          <w:rFonts w:eastAsiaTheme="minorHAnsi" w:cs="Georgia"/>
        </w:rPr>
        <w:t>All patients had clinical evidence of disease onset prior to treatment, but patients with more advanced disease requiring invasive or perman</w:t>
      </w:r>
      <w:r w:rsidR="006C3493">
        <w:rPr>
          <w:rFonts w:eastAsiaTheme="minorHAnsi" w:cs="Georgia"/>
        </w:rPr>
        <w:t xml:space="preserve">ent </w:t>
      </w:r>
      <w:proofErr w:type="spellStart"/>
      <w:r w:rsidR="006C3493">
        <w:rPr>
          <w:rFonts w:eastAsiaTheme="minorHAnsi" w:cs="Georgia"/>
        </w:rPr>
        <w:t>ventilatory</w:t>
      </w:r>
      <w:proofErr w:type="spellEnd"/>
      <w:r w:rsidR="006C3493">
        <w:rPr>
          <w:rFonts w:eastAsiaTheme="minorHAnsi" w:cs="Georgia"/>
        </w:rPr>
        <w:t xml:space="preserve"> support (or non</w:t>
      </w:r>
      <w:r w:rsidR="006C3493">
        <w:rPr>
          <w:rFonts w:eastAsiaTheme="minorHAnsi" w:cs="Georgia"/>
        </w:rPr>
        <w:noBreakHyphen/>
      </w:r>
      <w:r>
        <w:rPr>
          <w:rFonts w:eastAsiaTheme="minorHAnsi" w:cs="Georgia"/>
        </w:rPr>
        <w:t xml:space="preserve">invasive </w:t>
      </w:r>
      <w:proofErr w:type="spellStart"/>
      <w:r>
        <w:rPr>
          <w:rFonts w:eastAsiaTheme="minorHAnsi" w:cs="Georgia"/>
        </w:rPr>
        <w:t>ventilatory</w:t>
      </w:r>
      <w:proofErr w:type="spellEnd"/>
      <w:r>
        <w:rPr>
          <w:rFonts w:eastAsiaTheme="minorHAnsi" w:cs="Georgia"/>
        </w:rPr>
        <w:t xml:space="preserve"> support ≥</w:t>
      </w:r>
      <w:r w:rsidR="006C3493">
        <w:rPr>
          <w:rFonts w:eastAsiaTheme="minorHAnsi" w:cs="Georgia"/>
        </w:rPr>
        <w:t xml:space="preserve"> </w:t>
      </w:r>
      <w:r>
        <w:rPr>
          <w:rFonts w:eastAsiaTheme="minorHAnsi" w:cs="Georgia"/>
        </w:rPr>
        <w:t xml:space="preserve">6 hours/day for </w:t>
      </w:r>
      <w:r w:rsidR="00D31923">
        <w:rPr>
          <w:rFonts w:eastAsiaTheme="minorHAnsi" w:cs="Georgia"/>
        </w:rPr>
        <w:t>Study AVXS-101-CL-303</w:t>
      </w:r>
      <w:r>
        <w:rPr>
          <w:rFonts w:eastAsiaTheme="minorHAnsi" w:cs="Georgia"/>
        </w:rPr>
        <w:t>)</w:t>
      </w:r>
      <w:r w:rsidRPr="00E14F11">
        <w:rPr>
          <w:rFonts w:eastAsiaTheme="minorHAnsi" w:cs="Georgia"/>
        </w:rPr>
        <w:t xml:space="preserve"> </w:t>
      </w:r>
      <w:r w:rsidR="006C3493">
        <w:rPr>
          <w:rFonts w:eastAsiaTheme="minorHAnsi" w:cs="Georgia"/>
        </w:rPr>
        <w:t xml:space="preserve">were excluded. </w:t>
      </w:r>
      <w:r>
        <w:rPr>
          <w:lang w:eastAsia="ja-JP"/>
        </w:rPr>
        <w:t xml:space="preserve">The efficacy of </w:t>
      </w:r>
      <w:proofErr w:type="spellStart"/>
      <w:r w:rsidR="007359A2">
        <w:rPr>
          <w:lang w:eastAsia="ja-JP"/>
        </w:rPr>
        <w:t>Zolgensma</w:t>
      </w:r>
      <w:proofErr w:type="spellEnd"/>
      <w:r>
        <w:rPr>
          <w:lang w:eastAsia="ja-JP"/>
        </w:rPr>
        <w:t xml:space="preserve"> in patients with advanced disease, particularly those requiring invasive or permanent venti</w:t>
      </w:r>
      <w:r w:rsidR="006C3493">
        <w:rPr>
          <w:lang w:eastAsia="ja-JP"/>
        </w:rPr>
        <w:t>lation, has not been assessed.</w:t>
      </w:r>
    </w:p>
    <w:p w14:paraId="699E2452" w14:textId="339DE247" w:rsidR="004A5212" w:rsidRDefault="004A5212" w:rsidP="004A5212">
      <w:r w:rsidRPr="00FF29BC">
        <w:t xml:space="preserve">In Study </w:t>
      </w:r>
      <w:r w:rsidR="006C3493">
        <w:t>AVXS-101-</w:t>
      </w:r>
      <w:r w:rsidRPr="00FF29BC">
        <w:t>LT-</w:t>
      </w:r>
      <w:r w:rsidR="00EA1D26">
        <w:t>001</w:t>
      </w:r>
      <w:r w:rsidRPr="00FF29BC">
        <w:t xml:space="preserve">, the long-term extension study of </w:t>
      </w:r>
      <w:r w:rsidR="006C3493">
        <w:t>Study AVXS-101-</w:t>
      </w:r>
      <w:r w:rsidRPr="00FF29BC">
        <w:t xml:space="preserve">CL-101, </w:t>
      </w:r>
      <w:r>
        <w:t xml:space="preserve">all 13 patients survived without permanent ventilation </w:t>
      </w:r>
      <w:r w:rsidRPr="00FF29BC">
        <w:t>at the 31 December 2019 data cut-off</w:t>
      </w:r>
      <w:r>
        <w:t>, and</w:t>
      </w:r>
      <w:r w:rsidRPr="00FF29BC">
        <w:t xml:space="preserve"> motor milestones for patients who received the proposed dose were maintain</w:t>
      </w:r>
      <w:r w:rsidR="006C3493">
        <w:t xml:space="preserve">ed, or in some cases improved. </w:t>
      </w:r>
      <w:r>
        <w:t>Seven</w:t>
      </w:r>
      <w:r w:rsidRPr="00FF29BC">
        <w:t xml:space="preserve"> patients were receiving treatment with </w:t>
      </w:r>
      <w:proofErr w:type="spellStart"/>
      <w:r w:rsidRPr="00FF29BC">
        <w:t>nusinersen</w:t>
      </w:r>
      <w:proofErr w:type="spellEnd"/>
      <w:r w:rsidRPr="00FF29BC">
        <w:t xml:space="preserve"> in this study, </w:t>
      </w:r>
      <w:r>
        <w:t xml:space="preserve">so there is some </w:t>
      </w:r>
      <w:r w:rsidRPr="00FF29BC">
        <w:t>uncertainty regarding the relative contributions of each treatment to ongoing efficacy.</w:t>
      </w:r>
    </w:p>
    <w:p w14:paraId="72E46016" w14:textId="39FC2BF0" w:rsidR="004A5212" w:rsidRDefault="006C3493" w:rsidP="004A5212">
      <w:r>
        <w:t>The ongoing Phase III</w:t>
      </w:r>
      <w:r w:rsidR="004A5212">
        <w:t xml:space="preserve"> </w:t>
      </w:r>
      <w:r w:rsidR="00D31923">
        <w:t>Study AVXS-101-CL-304</w:t>
      </w:r>
      <w:r w:rsidR="004A5212">
        <w:t xml:space="preserve"> is assessing efficacy and safety of the proposed dose administered prior to 6 weeks of age in p</w:t>
      </w:r>
      <w:r>
        <w:t>re-symptomatic patients with bi</w:t>
      </w:r>
      <w:r>
        <w:noBreakHyphen/>
      </w:r>
      <w:r w:rsidR="004A5212">
        <w:t xml:space="preserve">allelic deletions of </w:t>
      </w:r>
      <w:r w:rsidR="004A5212" w:rsidRPr="005F7A49">
        <w:rPr>
          <w:i/>
        </w:rPr>
        <w:t>S</w:t>
      </w:r>
      <w:r w:rsidRPr="005F7A49">
        <w:rPr>
          <w:i/>
        </w:rPr>
        <w:t>MN1</w:t>
      </w:r>
      <w:r>
        <w:t xml:space="preserve"> and 2 or 3 copies of </w:t>
      </w:r>
      <w:r w:rsidRPr="005F7A49">
        <w:rPr>
          <w:i/>
        </w:rPr>
        <w:t>SMN2</w:t>
      </w:r>
      <w:r>
        <w:t xml:space="preserve">. </w:t>
      </w:r>
      <w:r w:rsidR="0058715D">
        <w:t>Preliminary data up to 31 </w:t>
      </w:r>
      <w:r w:rsidR="004A5212">
        <w:t>Dec</w:t>
      </w:r>
      <w:r>
        <w:t>ember 2019 have been presented.</w:t>
      </w:r>
      <w:r w:rsidR="004A5212">
        <w:t xml:space="preserve"> The early data for Cohort 1 (2 copi</w:t>
      </w:r>
      <w:r>
        <w:t xml:space="preserve">es of </w:t>
      </w:r>
      <w:r w:rsidRPr="005F7A49">
        <w:rPr>
          <w:i/>
        </w:rPr>
        <w:t>SMN2</w:t>
      </w:r>
      <w:r>
        <w:t xml:space="preserve">) appear favourable. </w:t>
      </w:r>
      <w:r w:rsidR="004A5212">
        <w:t xml:space="preserve">Assessment of clinical benefit in Cohort 2 (3 copies of </w:t>
      </w:r>
      <w:r w:rsidR="004A5212" w:rsidRPr="005F7A49">
        <w:rPr>
          <w:i/>
        </w:rPr>
        <w:t>SMN2</w:t>
      </w:r>
      <w:r w:rsidR="004A5212">
        <w:t>) is uncertain because of the immaturity of the data and the heterogeneity in the n</w:t>
      </w:r>
      <w:r>
        <w:t>atural history of the disease.</w:t>
      </w:r>
    </w:p>
    <w:p w14:paraId="3E472753" w14:textId="77777777" w:rsidR="004A5212" w:rsidRPr="00FF29BC" w:rsidRDefault="004A5212" w:rsidP="004A5212">
      <w:r>
        <w:t xml:space="preserve">There are no studies which directly compare the efficacy of </w:t>
      </w:r>
      <w:proofErr w:type="spellStart"/>
      <w:r w:rsidR="007359A2">
        <w:t>Zolgensma</w:t>
      </w:r>
      <w:proofErr w:type="spellEnd"/>
      <w:r>
        <w:t xml:space="preserve"> to </w:t>
      </w:r>
      <w:proofErr w:type="spellStart"/>
      <w:r>
        <w:t>nusinersen</w:t>
      </w:r>
      <w:proofErr w:type="spellEnd"/>
      <w:r>
        <w:t>.</w:t>
      </w:r>
    </w:p>
    <w:p w14:paraId="4ABC7464" w14:textId="77777777" w:rsidR="004A5212" w:rsidRDefault="004A5212" w:rsidP="008D6DA3">
      <w:pPr>
        <w:pStyle w:val="Heading5"/>
      </w:pPr>
      <w:r>
        <w:t>Safety</w:t>
      </w:r>
    </w:p>
    <w:p w14:paraId="3ACA06FB" w14:textId="0E0953DA" w:rsidR="004A5212" w:rsidRPr="00A22033" w:rsidRDefault="004A5212" w:rsidP="004A5212">
      <w:r>
        <w:t xml:space="preserve">As at 31 December 2019, 101 patients have been treated with IV </w:t>
      </w:r>
      <w:proofErr w:type="spellStart"/>
      <w:r w:rsidR="007359A2">
        <w:t>Zolgensma</w:t>
      </w:r>
      <w:proofErr w:type="spellEnd"/>
      <w:r w:rsidR="006C3493">
        <w:t xml:space="preserve"> in clinical studies. </w:t>
      </w:r>
      <w:r>
        <w:t>All of the clinical studies are single arm studies</w:t>
      </w:r>
      <w:r w:rsidR="006C3493">
        <w:t>, and only 2 of the studies (37 patients) are complete.</w:t>
      </w:r>
      <w:r>
        <w:t xml:space="preserve"> L</w:t>
      </w:r>
      <w:r w:rsidR="006C3493">
        <w:t xml:space="preserve">ong-term follow-up is limited. </w:t>
      </w:r>
      <w:r>
        <w:t>The</w:t>
      </w:r>
      <w:r w:rsidRPr="006B74DE">
        <w:t xml:space="preserve"> </w:t>
      </w:r>
      <w:r>
        <w:t>limitations of the safety dataset are understandable in the context of this rare disease with s</w:t>
      </w:r>
      <w:r w:rsidR="006C3493">
        <w:t xml:space="preserve">evere morbidity and mortality. </w:t>
      </w:r>
      <w:r>
        <w:t xml:space="preserve">The limitations of the safety dataset mean that the safety profile of </w:t>
      </w:r>
      <w:proofErr w:type="spellStart"/>
      <w:r w:rsidR="007359A2">
        <w:t>Zolgensma</w:t>
      </w:r>
      <w:proofErr w:type="spellEnd"/>
      <w:r>
        <w:t xml:space="preserve"> m</w:t>
      </w:r>
      <w:r w:rsidR="006C3493">
        <w:t xml:space="preserve">ay not be fully characterised. </w:t>
      </w:r>
      <w:r>
        <w:t>It is possible that uncommon and ra</w:t>
      </w:r>
      <w:r w:rsidR="0058715D">
        <w:t>re adverse events, or later </w:t>
      </w:r>
      <w:r>
        <w:t>onset toxicities, have not yet been characterised</w:t>
      </w:r>
      <w:r w:rsidR="006C3493">
        <w:t>.</w:t>
      </w:r>
    </w:p>
    <w:p w14:paraId="737A9F2D" w14:textId="3368D035" w:rsidR="004A5212" w:rsidRPr="00A22033" w:rsidRDefault="004A5212" w:rsidP="004A5212">
      <w:pPr>
        <w:rPr>
          <w:rFonts w:asciiTheme="minorHAnsi" w:eastAsiaTheme="minorHAnsi" w:hAnsiTheme="minorHAnsi" w:cs="Georgia"/>
        </w:rPr>
      </w:pPr>
      <w:r w:rsidRPr="00A22033">
        <w:rPr>
          <w:rFonts w:asciiTheme="minorHAnsi" w:eastAsiaTheme="minorHAnsi" w:hAnsiTheme="minorHAnsi" w:cs="Georgia"/>
        </w:rPr>
        <w:t xml:space="preserve">Hepatotoxicity has been identified as an important safety concern in the clinical development program, as well as in </w:t>
      </w:r>
      <w:r w:rsidR="006C3493">
        <w:rPr>
          <w:rFonts w:asciiTheme="minorHAnsi" w:eastAsiaTheme="minorHAnsi" w:hAnsiTheme="minorHAnsi" w:cs="Georgia"/>
        </w:rPr>
        <w:t>MAPs and post-market use.</w:t>
      </w:r>
      <w:r w:rsidRPr="00A22033">
        <w:rPr>
          <w:rFonts w:asciiTheme="minorHAnsi" w:eastAsiaTheme="minorHAnsi" w:hAnsiTheme="minorHAnsi" w:cs="Georgia"/>
        </w:rPr>
        <w:t xml:space="preserve"> In some cases, the h</w:t>
      </w:r>
      <w:r w:rsidR="006C3493">
        <w:rPr>
          <w:rFonts w:asciiTheme="minorHAnsi" w:eastAsiaTheme="minorHAnsi" w:hAnsiTheme="minorHAnsi" w:cs="Georgia"/>
        </w:rPr>
        <w:t xml:space="preserve">epatotoxicity has been severe. </w:t>
      </w:r>
      <w:r w:rsidRPr="00A22033">
        <w:rPr>
          <w:rFonts w:asciiTheme="minorHAnsi" w:eastAsiaTheme="minorHAnsi" w:hAnsiTheme="minorHAnsi" w:cs="Georgia"/>
        </w:rPr>
        <w:t xml:space="preserve">There have been several </w:t>
      </w:r>
      <w:r>
        <w:rPr>
          <w:rFonts w:asciiTheme="minorHAnsi" w:eastAsiaTheme="minorHAnsi" w:hAnsiTheme="minorHAnsi" w:cs="Georgia"/>
        </w:rPr>
        <w:t xml:space="preserve">case </w:t>
      </w:r>
      <w:r w:rsidRPr="00A22033">
        <w:rPr>
          <w:rFonts w:asciiTheme="minorHAnsi" w:eastAsiaTheme="minorHAnsi" w:hAnsiTheme="minorHAnsi" w:cs="Georgia"/>
        </w:rPr>
        <w:t xml:space="preserve">reports of subacute liver failure following treatment with </w:t>
      </w:r>
      <w:proofErr w:type="spellStart"/>
      <w:r w:rsidR="007359A2">
        <w:rPr>
          <w:rFonts w:asciiTheme="minorHAnsi" w:eastAsiaTheme="minorHAnsi" w:hAnsiTheme="minorHAnsi" w:cs="Georgia"/>
        </w:rPr>
        <w:t>Zolgensma</w:t>
      </w:r>
      <w:proofErr w:type="spellEnd"/>
      <w:r w:rsidR="006C3493">
        <w:rPr>
          <w:rFonts w:asciiTheme="minorHAnsi" w:eastAsiaTheme="minorHAnsi" w:hAnsiTheme="minorHAnsi" w:cs="Georgia"/>
        </w:rPr>
        <w:t xml:space="preserve">. </w:t>
      </w:r>
      <w:r w:rsidRPr="00A22033">
        <w:rPr>
          <w:rFonts w:asciiTheme="minorHAnsi" w:eastAsiaTheme="minorHAnsi" w:hAnsiTheme="minorHAnsi" w:cs="Georgia"/>
        </w:rPr>
        <w:t>The hepatotoxicity is considered likely to be related to an AAV vector-induced immune response, and is typically responsiv</w:t>
      </w:r>
      <w:r w:rsidR="006C3493">
        <w:rPr>
          <w:rFonts w:asciiTheme="minorHAnsi" w:eastAsiaTheme="minorHAnsi" w:hAnsiTheme="minorHAnsi" w:cs="Georgia"/>
        </w:rPr>
        <w:t xml:space="preserve">e to systemic corticosteroids. </w:t>
      </w:r>
      <w:r w:rsidRPr="00A22033">
        <w:rPr>
          <w:rFonts w:asciiTheme="minorHAnsi" w:eastAsiaTheme="minorHAnsi" w:hAnsiTheme="minorHAnsi" w:cs="Georgia"/>
        </w:rPr>
        <w:t xml:space="preserve">The risk of hepatotoxicity and clinical guidance for monitoring and treatment are described in detail in the Product Information: </w:t>
      </w:r>
      <w:r w:rsidR="006C3493" w:rsidRPr="00A22033">
        <w:rPr>
          <w:rFonts w:asciiTheme="minorHAnsi" w:eastAsiaTheme="minorHAnsi" w:hAnsiTheme="minorHAnsi" w:cs="Georgia"/>
        </w:rPr>
        <w:t>Boxed Warning,</w:t>
      </w:r>
      <w:r w:rsidR="00A15AD9">
        <w:rPr>
          <w:rFonts w:asciiTheme="minorHAnsi" w:eastAsiaTheme="minorHAnsi" w:hAnsiTheme="minorHAnsi" w:cs="Georgia"/>
        </w:rPr>
        <w:t xml:space="preserve"> Section </w:t>
      </w:r>
      <w:r w:rsidR="006C3493" w:rsidRPr="00A22033">
        <w:rPr>
          <w:rFonts w:asciiTheme="minorHAnsi" w:eastAsiaTheme="minorHAnsi" w:hAnsiTheme="minorHAnsi" w:cs="Georgia"/>
        </w:rPr>
        <w:t xml:space="preserve">4.2 Dose </w:t>
      </w:r>
      <w:r w:rsidR="0058715D" w:rsidRPr="00A22033">
        <w:rPr>
          <w:rFonts w:asciiTheme="minorHAnsi" w:eastAsiaTheme="minorHAnsi" w:hAnsiTheme="minorHAnsi" w:cs="Georgia"/>
        </w:rPr>
        <w:t>and method of administration</w:t>
      </w:r>
      <w:r w:rsidR="006C3493" w:rsidRPr="00A22033">
        <w:rPr>
          <w:rFonts w:asciiTheme="minorHAnsi" w:eastAsiaTheme="minorHAnsi" w:hAnsiTheme="minorHAnsi" w:cs="Georgia"/>
        </w:rPr>
        <w:t xml:space="preserve">, </w:t>
      </w:r>
      <w:r w:rsidR="00A15AD9">
        <w:rPr>
          <w:rFonts w:asciiTheme="minorHAnsi" w:eastAsiaTheme="minorHAnsi" w:hAnsiTheme="minorHAnsi" w:cs="Georgia"/>
        </w:rPr>
        <w:t xml:space="preserve">Section </w:t>
      </w:r>
      <w:r w:rsidR="006C3493" w:rsidRPr="00A22033">
        <w:rPr>
          <w:rFonts w:asciiTheme="minorHAnsi" w:eastAsiaTheme="minorHAnsi" w:hAnsiTheme="minorHAnsi" w:cs="Georgia"/>
        </w:rPr>
        <w:t xml:space="preserve">4.4 Special </w:t>
      </w:r>
      <w:r w:rsidR="0058715D" w:rsidRPr="00A22033">
        <w:rPr>
          <w:rFonts w:asciiTheme="minorHAnsi" w:eastAsiaTheme="minorHAnsi" w:hAnsiTheme="minorHAnsi" w:cs="Georgia"/>
        </w:rPr>
        <w:t>warnings and precautions for use</w:t>
      </w:r>
      <w:r w:rsidR="0058715D">
        <w:rPr>
          <w:rFonts w:asciiTheme="minorHAnsi" w:eastAsiaTheme="minorHAnsi" w:hAnsiTheme="minorHAnsi" w:cs="Georgia"/>
        </w:rPr>
        <w:t xml:space="preserve">, and </w:t>
      </w:r>
      <w:r w:rsidR="00A15AD9">
        <w:rPr>
          <w:rFonts w:asciiTheme="minorHAnsi" w:eastAsiaTheme="minorHAnsi" w:hAnsiTheme="minorHAnsi" w:cs="Georgia"/>
        </w:rPr>
        <w:t xml:space="preserve">Section </w:t>
      </w:r>
      <w:r w:rsidR="0058715D">
        <w:rPr>
          <w:rFonts w:asciiTheme="minorHAnsi" w:eastAsiaTheme="minorHAnsi" w:hAnsiTheme="minorHAnsi" w:cs="Georgia"/>
        </w:rPr>
        <w:t>4.8 </w:t>
      </w:r>
      <w:r w:rsidR="006C3493" w:rsidRPr="00A22033">
        <w:rPr>
          <w:rFonts w:asciiTheme="minorHAnsi" w:eastAsiaTheme="minorHAnsi" w:hAnsiTheme="minorHAnsi" w:cs="Georgia"/>
        </w:rPr>
        <w:t xml:space="preserve">Adverse </w:t>
      </w:r>
      <w:r w:rsidR="0058715D">
        <w:rPr>
          <w:rFonts w:asciiTheme="minorHAnsi" w:eastAsiaTheme="minorHAnsi" w:hAnsiTheme="minorHAnsi" w:cs="Georgia"/>
        </w:rPr>
        <w:t>effects (undesirable effects</w:t>
      </w:r>
      <w:r w:rsidR="006C3493">
        <w:rPr>
          <w:rFonts w:asciiTheme="minorHAnsi" w:eastAsiaTheme="minorHAnsi" w:hAnsiTheme="minorHAnsi" w:cs="Georgia"/>
        </w:rPr>
        <w:t>).</w:t>
      </w:r>
    </w:p>
    <w:p w14:paraId="423972F0" w14:textId="56D770F8" w:rsidR="004A5212" w:rsidRPr="00A22033" w:rsidRDefault="004A5212" w:rsidP="004A5212">
      <w:pPr>
        <w:rPr>
          <w:rFonts w:asciiTheme="minorHAnsi" w:eastAsiaTheme="minorHAnsi" w:hAnsiTheme="minorHAnsi" w:cs="Georgia"/>
        </w:rPr>
      </w:pPr>
      <w:r w:rsidRPr="00A22033">
        <w:rPr>
          <w:rFonts w:asciiTheme="minorHAnsi" w:eastAsiaTheme="minorHAnsi" w:hAnsiTheme="minorHAnsi" w:cs="Georgia"/>
        </w:rPr>
        <w:t xml:space="preserve">The risk factors for developing severe hepatotoxicity following treatment with </w:t>
      </w:r>
      <w:proofErr w:type="spellStart"/>
      <w:r w:rsidR="007359A2">
        <w:rPr>
          <w:rFonts w:asciiTheme="minorHAnsi" w:eastAsiaTheme="minorHAnsi" w:hAnsiTheme="minorHAnsi" w:cs="Georgia"/>
        </w:rPr>
        <w:t>Zolgensma</w:t>
      </w:r>
      <w:proofErr w:type="spellEnd"/>
      <w:r w:rsidRPr="00A22033">
        <w:rPr>
          <w:rFonts w:asciiTheme="minorHAnsi" w:eastAsiaTheme="minorHAnsi" w:hAnsiTheme="minorHAnsi" w:cs="Georgia"/>
        </w:rPr>
        <w:t xml:space="preserve"> are not f</w:t>
      </w:r>
      <w:r w:rsidR="006C3493">
        <w:rPr>
          <w:rFonts w:asciiTheme="minorHAnsi" w:eastAsiaTheme="minorHAnsi" w:hAnsiTheme="minorHAnsi" w:cs="Georgia"/>
        </w:rPr>
        <w:t xml:space="preserve">ully delineated at this stage. </w:t>
      </w:r>
      <w:r w:rsidRPr="00A22033">
        <w:rPr>
          <w:rFonts w:asciiTheme="minorHAnsi" w:eastAsiaTheme="minorHAnsi" w:hAnsiTheme="minorHAnsi" w:cs="Georgia"/>
        </w:rPr>
        <w:t>Patients with abnormal baseline liver function may be at higher risk, but patients with clinically significant abnormalities of liver function were exclu</w:t>
      </w:r>
      <w:r w:rsidR="006C3493">
        <w:rPr>
          <w:rFonts w:asciiTheme="minorHAnsi" w:eastAsiaTheme="minorHAnsi" w:hAnsiTheme="minorHAnsi" w:cs="Georgia"/>
        </w:rPr>
        <w:t xml:space="preserve">ded from the clinical studies. </w:t>
      </w:r>
      <w:r w:rsidRPr="00A22033">
        <w:rPr>
          <w:rFonts w:asciiTheme="minorHAnsi" w:eastAsiaTheme="minorHAnsi" w:hAnsiTheme="minorHAnsi" w:cs="Georgia"/>
        </w:rPr>
        <w:t>The cases of subacute liver failure reported by Feldman et al</w:t>
      </w:r>
      <w:r w:rsidR="00082A66">
        <w:rPr>
          <w:rFonts w:asciiTheme="minorHAnsi" w:eastAsiaTheme="minorHAnsi" w:hAnsiTheme="minorHAnsi" w:cs="Georgia"/>
        </w:rPr>
        <w:t>. (2020)</w:t>
      </w:r>
      <w:r w:rsidRPr="00A22033">
        <w:rPr>
          <w:rFonts w:asciiTheme="minorHAnsi" w:eastAsiaTheme="minorHAnsi" w:hAnsiTheme="minorHAnsi" w:cs="Georgia"/>
        </w:rPr>
        <w:t xml:space="preserve"> involved one child with abnormal baseline liver function prior to treatment with </w:t>
      </w:r>
      <w:proofErr w:type="spellStart"/>
      <w:r w:rsidR="007359A2">
        <w:rPr>
          <w:rFonts w:asciiTheme="minorHAnsi" w:eastAsiaTheme="minorHAnsi" w:hAnsiTheme="minorHAnsi" w:cs="Georgia"/>
        </w:rPr>
        <w:t>Zolgensma</w:t>
      </w:r>
      <w:proofErr w:type="spellEnd"/>
      <w:r w:rsidRPr="00A22033">
        <w:rPr>
          <w:rFonts w:asciiTheme="minorHAnsi" w:eastAsiaTheme="minorHAnsi" w:hAnsiTheme="minorHAnsi" w:cs="Georgia"/>
        </w:rPr>
        <w:t>, and one child with nor</w:t>
      </w:r>
      <w:r w:rsidR="006C3493">
        <w:rPr>
          <w:rFonts w:asciiTheme="minorHAnsi" w:eastAsiaTheme="minorHAnsi" w:hAnsiTheme="minorHAnsi" w:cs="Georgia"/>
        </w:rPr>
        <w:t>mal baseline liver function.</w:t>
      </w:r>
      <w:r w:rsidR="006C3493">
        <w:rPr>
          <w:rFonts w:asciiTheme="minorHAnsi" w:eastAsiaTheme="minorHAnsi" w:hAnsiTheme="minorHAnsi" w:cs="Georgia"/>
        </w:rPr>
        <w:fldChar w:fldCharType="begin"/>
      </w:r>
      <w:r w:rsidR="006C3493">
        <w:rPr>
          <w:rFonts w:asciiTheme="minorHAnsi" w:eastAsiaTheme="minorHAnsi" w:hAnsiTheme="minorHAnsi" w:cs="Georgia"/>
        </w:rPr>
        <w:instrText xml:space="preserve"> NOTEREF _Ref65515939 \f \h </w:instrText>
      </w:r>
      <w:r w:rsidR="006C3493">
        <w:rPr>
          <w:rFonts w:asciiTheme="minorHAnsi" w:eastAsiaTheme="minorHAnsi" w:hAnsiTheme="minorHAnsi" w:cs="Georgia"/>
        </w:rPr>
      </w:r>
      <w:r w:rsidR="006C3493">
        <w:rPr>
          <w:rFonts w:asciiTheme="minorHAnsi" w:eastAsiaTheme="minorHAnsi" w:hAnsiTheme="minorHAnsi" w:cs="Georgia"/>
        </w:rPr>
        <w:fldChar w:fldCharType="separate"/>
      </w:r>
      <w:r w:rsidR="009C2F61" w:rsidRPr="009C2F61">
        <w:rPr>
          <w:rStyle w:val="FootnoteReference"/>
        </w:rPr>
        <w:t>18</w:t>
      </w:r>
      <w:r w:rsidR="006C3493">
        <w:rPr>
          <w:rFonts w:asciiTheme="minorHAnsi" w:eastAsiaTheme="minorHAnsi" w:hAnsiTheme="minorHAnsi" w:cs="Georgia"/>
        </w:rPr>
        <w:fldChar w:fldCharType="end"/>
      </w:r>
    </w:p>
    <w:p w14:paraId="30FB491D" w14:textId="34EA7ECC" w:rsidR="004A5212" w:rsidRPr="00A22033" w:rsidRDefault="004A5212" w:rsidP="004A5212">
      <w:pPr>
        <w:rPr>
          <w:rFonts w:asciiTheme="minorHAnsi" w:eastAsiaTheme="minorHAnsi" w:hAnsiTheme="minorHAnsi" w:cs="Georgia"/>
        </w:rPr>
      </w:pPr>
      <w:r w:rsidRPr="00A22033">
        <w:rPr>
          <w:rFonts w:asciiTheme="minorHAnsi" w:eastAsiaTheme="minorHAnsi" w:hAnsiTheme="minorHAnsi" w:cs="Georgia"/>
        </w:rPr>
        <w:t xml:space="preserve">Prophylactic corticosteroids are recommended for all patients, starting before and continuing after infusion of </w:t>
      </w:r>
      <w:proofErr w:type="spellStart"/>
      <w:r w:rsidR="007359A2">
        <w:rPr>
          <w:rFonts w:asciiTheme="minorHAnsi" w:eastAsiaTheme="minorHAnsi" w:hAnsiTheme="minorHAnsi" w:cs="Georgia"/>
        </w:rPr>
        <w:t>Zolgensma</w:t>
      </w:r>
      <w:proofErr w:type="spellEnd"/>
      <w:r w:rsidR="006C3493">
        <w:rPr>
          <w:rFonts w:asciiTheme="minorHAnsi" w:eastAsiaTheme="minorHAnsi" w:hAnsiTheme="minorHAnsi" w:cs="Georgia"/>
        </w:rPr>
        <w:t>.</w:t>
      </w:r>
      <w:r w:rsidRPr="00A22033">
        <w:rPr>
          <w:rFonts w:asciiTheme="minorHAnsi" w:eastAsiaTheme="minorHAnsi" w:hAnsiTheme="minorHAnsi" w:cs="Georgia"/>
        </w:rPr>
        <w:t xml:space="preserve"> Cases of hepatotoxicity have been reported in clinical studies and in </w:t>
      </w:r>
      <w:r w:rsidR="006C3493">
        <w:rPr>
          <w:rFonts w:asciiTheme="minorHAnsi" w:eastAsiaTheme="minorHAnsi" w:hAnsiTheme="minorHAnsi" w:cs="Georgia"/>
        </w:rPr>
        <w:t>MAP</w:t>
      </w:r>
      <w:r w:rsidRPr="00A22033">
        <w:rPr>
          <w:rFonts w:asciiTheme="minorHAnsi" w:eastAsiaTheme="minorHAnsi" w:hAnsiTheme="minorHAnsi" w:cs="Georgia"/>
        </w:rPr>
        <w:t>s despite prophylactic treatment with systemic corticosteroids, so there remains some uncertainty regarding the optimal dose and durati</w:t>
      </w:r>
      <w:r w:rsidR="006C3493">
        <w:rPr>
          <w:rFonts w:asciiTheme="minorHAnsi" w:eastAsiaTheme="minorHAnsi" w:hAnsiTheme="minorHAnsi" w:cs="Georgia"/>
        </w:rPr>
        <w:t>on of corticosteroid treatment.</w:t>
      </w:r>
    </w:p>
    <w:p w14:paraId="3330B4E7" w14:textId="1E2D5AEB" w:rsidR="004A5212" w:rsidRDefault="004A5212" w:rsidP="004A5212">
      <w:pPr>
        <w:rPr>
          <w:rFonts w:asciiTheme="minorHAnsi" w:eastAsiaTheme="minorHAnsi" w:hAnsiTheme="minorHAnsi" w:cs="Georgia"/>
        </w:rPr>
      </w:pPr>
      <w:r w:rsidRPr="00A22033">
        <w:rPr>
          <w:rFonts w:asciiTheme="minorHAnsi" w:eastAsiaTheme="minorHAnsi" w:hAnsiTheme="minorHAnsi" w:cs="Georgia"/>
        </w:rPr>
        <w:t xml:space="preserve">Thrombocytopaenia has been </w:t>
      </w:r>
      <w:r>
        <w:rPr>
          <w:rFonts w:asciiTheme="minorHAnsi" w:eastAsiaTheme="minorHAnsi" w:hAnsiTheme="minorHAnsi" w:cs="Georgia"/>
        </w:rPr>
        <w:t>observ</w:t>
      </w:r>
      <w:r w:rsidRPr="00A22033">
        <w:rPr>
          <w:rFonts w:asciiTheme="minorHAnsi" w:eastAsiaTheme="minorHAnsi" w:hAnsiTheme="minorHAnsi" w:cs="Georgia"/>
        </w:rPr>
        <w:t>ed in clin</w:t>
      </w:r>
      <w:r w:rsidR="006C3493">
        <w:rPr>
          <w:rFonts w:asciiTheme="minorHAnsi" w:eastAsiaTheme="minorHAnsi" w:hAnsiTheme="minorHAnsi" w:cs="Georgia"/>
        </w:rPr>
        <w:t xml:space="preserve">ical studies. </w:t>
      </w:r>
      <w:r>
        <w:t>Other significant haematolog</w:t>
      </w:r>
      <w:r w:rsidR="006C3493">
        <w:t>ical toxicity appears unlikely.</w:t>
      </w:r>
      <w:r>
        <w:t xml:space="preserve"> </w:t>
      </w:r>
      <w:r w:rsidRPr="00A22033">
        <w:rPr>
          <w:rFonts w:asciiTheme="minorHAnsi" w:eastAsiaTheme="minorHAnsi" w:hAnsiTheme="minorHAnsi" w:cs="Georgia"/>
        </w:rPr>
        <w:t xml:space="preserve">The PI has a warning regarding thrombocytopaenia. A warning for </w:t>
      </w:r>
      <w:r w:rsidR="006C3493" w:rsidRPr="00A22033">
        <w:rPr>
          <w:rFonts w:asciiTheme="minorHAnsi" w:eastAsiaTheme="minorHAnsi" w:hAnsiTheme="minorHAnsi" w:cs="Georgia"/>
        </w:rPr>
        <w:t xml:space="preserve">thrombotic </w:t>
      </w:r>
      <w:proofErr w:type="spellStart"/>
      <w:r w:rsidR="006C3493" w:rsidRPr="00A22033">
        <w:rPr>
          <w:rFonts w:asciiTheme="minorHAnsi" w:eastAsiaTheme="minorHAnsi" w:hAnsiTheme="minorHAnsi" w:cs="Georgia"/>
        </w:rPr>
        <w:t>microangiopathy</w:t>
      </w:r>
      <w:proofErr w:type="spellEnd"/>
      <w:r w:rsidR="006C3493" w:rsidRPr="00A22033">
        <w:rPr>
          <w:rFonts w:asciiTheme="minorHAnsi" w:eastAsiaTheme="minorHAnsi" w:hAnsiTheme="minorHAnsi" w:cs="Georgia"/>
        </w:rPr>
        <w:t xml:space="preserve"> has </w:t>
      </w:r>
      <w:r w:rsidRPr="00A22033">
        <w:rPr>
          <w:rFonts w:asciiTheme="minorHAnsi" w:eastAsiaTheme="minorHAnsi" w:hAnsiTheme="minorHAnsi" w:cs="Georgia"/>
        </w:rPr>
        <w:t>also been added to the PI following 3 case reports occurr</w:t>
      </w:r>
      <w:r>
        <w:rPr>
          <w:rFonts w:asciiTheme="minorHAnsi" w:eastAsiaTheme="minorHAnsi" w:hAnsiTheme="minorHAnsi" w:cs="Georgia"/>
        </w:rPr>
        <w:t>ing</w:t>
      </w:r>
      <w:r w:rsidRPr="00A22033">
        <w:rPr>
          <w:rFonts w:asciiTheme="minorHAnsi" w:eastAsiaTheme="minorHAnsi" w:hAnsiTheme="minorHAnsi" w:cs="Georgia"/>
        </w:rPr>
        <w:t xml:space="preserve"> approximately 1 week </w:t>
      </w:r>
      <w:r>
        <w:rPr>
          <w:rFonts w:asciiTheme="minorHAnsi" w:eastAsiaTheme="minorHAnsi" w:hAnsiTheme="minorHAnsi" w:cs="Georgia"/>
        </w:rPr>
        <w:t>post-</w:t>
      </w:r>
      <w:r w:rsidR="006C3493">
        <w:rPr>
          <w:rFonts w:asciiTheme="minorHAnsi" w:eastAsiaTheme="minorHAnsi" w:hAnsiTheme="minorHAnsi" w:cs="Georgia"/>
        </w:rPr>
        <w:t>infusion.</w:t>
      </w:r>
    </w:p>
    <w:p w14:paraId="6E98D3D0" w14:textId="0E63DDD6" w:rsidR="004A5212" w:rsidRPr="00A22033" w:rsidRDefault="004A5212" w:rsidP="004A5212">
      <w:pPr>
        <w:rPr>
          <w:rFonts w:asciiTheme="minorHAnsi" w:eastAsiaTheme="minorHAnsi" w:hAnsiTheme="minorHAnsi" w:cs="Georgia"/>
        </w:rPr>
      </w:pPr>
      <w:r w:rsidRPr="00A22033">
        <w:rPr>
          <w:rFonts w:asciiTheme="minorHAnsi" w:eastAsiaTheme="minorHAnsi" w:hAnsiTheme="minorHAnsi" w:cs="Georgia"/>
        </w:rPr>
        <w:t>Cardiac toxicity was observed in animal studies and increases in troponin levels have been</w:t>
      </w:r>
      <w:r w:rsidR="006C3493">
        <w:rPr>
          <w:rFonts w:asciiTheme="minorHAnsi" w:eastAsiaTheme="minorHAnsi" w:hAnsiTheme="minorHAnsi" w:cs="Georgia"/>
        </w:rPr>
        <w:t xml:space="preserve"> observed in clinical studies. </w:t>
      </w:r>
      <w:r w:rsidRPr="00A22033">
        <w:rPr>
          <w:rFonts w:asciiTheme="minorHAnsi" w:eastAsiaTheme="minorHAnsi" w:hAnsiTheme="minorHAnsi" w:cs="Georgia"/>
        </w:rPr>
        <w:t>The PI contains a precaution regarding monitoring of troponin leve</w:t>
      </w:r>
      <w:r w:rsidR="006C3493">
        <w:rPr>
          <w:rFonts w:asciiTheme="minorHAnsi" w:eastAsiaTheme="minorHAnsi" w:hAnsiTheme="minorHAnsi" w:cs="Georgia"/>
        </w:rPr>
        <w:t xml:space="preserve">ls before and after treatment. </w:t>
      </w:r>
      <w:r w:rsidRPr="00A22033">
        <w:rPr>
          <w:rFonts w:asciiTheme="minorHAnsi" w:eastAsiaTheme="minorHAnsi" w:hAnsiTheme="minorHAnsi" w:cs="Georgia"/>
        </w:rPr>
        <w:t>The clinical studies have not identified concern</w:t>
      </w:r>
      <w:r>
        <w:rPr>
          <w:rFonts w:asciiTheme="minorHAnsi" w:eastAsiaTheme="minorHAnsi" w:hAnsiTheme="minorHAnsi" w:cs="Georgia"/>
        </w:rPr>
        <w:t>s</w:t>
      </w:r>
      <w:r w:rsidRPr="00A22033">
        <w:rPr>
          <w:rFonts w:asciiTheme="minorHAnsi" w:eastAsiaTheme="minorHAnsi" w:hAnsiTheme="minorHAnsi" w:cs="Georgia"/>
        </w:rPr>
        <w:t xml:space="preserve"> with clinically significant cardiac adverse events, but the studied population is small and the disease </w:t>
      </w:r>
      <w:r>
        <w:rPr>
          <w:rFonts w:asciiTheme="minorHAnsi" w:eastAsiaTheme="minorHAnsi" w:hAnsiTheme="minorHAnsi" w:cs="Georgia"/>
        </w:rPr>
        <w:t xml:space="preserve">itself </w:t>
      </w:r>
      <w:r w:rsidRPr="00A22033">
        <w:rPr>
          <w:rFonts w:asciiTheme="minorHAnsi" w:eastAsiaTheme="minorHAnsi" w:hAnsiTheme="minorHAnsi" w:cs="Georgia"/>
        </w:rPr>
        <w:t xml:space="preserve">is associated with </w:t>
      </w:r>
      <w:r w:rsidR="006C3493">
        <w:rPr>
          <w:rFonts w:asciiTheme="minorHAnsi" w:eastAsiaTheme="minorHAnsi" w:hAnsiTheme="minorHAnsi" w:cs="Georgia"/>
        </w:rPr>
        <w:t xml:space="preserve">cardiac and ECG abnormalities. </w:t>
      </w:r>
      <w:r w:rsidRPr="00A22033">
        <w:rPr>
          <w:rFonts w:asciiTheme="minorHAnsi" w:eastAsiaTheme="minorHAnsi" w:hAnsiTheme="minorHAnsi" w:cs="Georgia"/>
        </w:rPr>
        <w:t xml:space="preserve">There was one death from a cardiac event </w:t>
      </w:r>
      <w:r>
        <w:rPr>
          <w:rFonts w:asciiTheme="minorHAnsi" w:eastAsiaTheme="minorHAnsi" w:hAnsiTheme="minorHAnsi" w:cs="Georgia"/>
        </w:rPr>
        <w:t>3 days after treatment</w:t>
      </w:r>
      <w:r w:rsidRPr="00A22033">
        <w:rPr>
          <w:rFonts w:asciiTheme="minorHAnsi" w:eastAsiaTheme="minorHAnsi" w:hAnsiTheme="minorHAnsi" w:cs="Georgia"/>
        </w:rPr>
        <w:t xml:space="preserve"> in</w:t>
      </w:r>
      <w:r w:rsidR="006C3493">
        <w:rPr>
          <w:rFonts w:asciiTheme="minorHAnsi" w:eastAsiaTheme="minorHAnsi" w:hAnsiTheme="minorHAnsi" w:cs="Georgia"/>
        </w:rPr>
        <w:t xml:space="preserve"> an Early Access Program. </w:t>
      </w:r>
      <w:r>
        <w:rPr>
          <w:rFonts w:asciiTheme="minorHAnsi" w:eastAsiaTheme="minorHAnsi" w:hAnsiTheme="minorHAnsi" w:cs="Georgia"/>
        </w:rPr>
        <w:t xml:space="preserve">This patient had </w:t>
      </w:r>
      <w:r w:rsidRPr="00A22033">
        <w:rPr>
          <w:rFonts w:asciiTheme="minorHAnsi" w:eastAsiaTheme="minorHAnsi" w:hAnsiTheme="minorHAnsi" w:cs="Georgia"/>
        </w:rPr>
        <w:t xml:space="preserve">advanced SMA </w:t>
      </w:r>
      <w:r>
        <w:rPr>
          <w:rFonts w:asciiTheme="minorHAnsi" w:eastAsiaTheme="minorHAnsi" w:hAnsiTheme="minorHAnsi" w:cs="Georgia"/>
        </w:rPr>
        <w:t xml:space="preserve">and multiple </w:t>
      </w:r>
      <w:r w:rsidRPr="00A22033">
        <w:rPr>
          <w:rFonts w:asciiTheme="minorHAnsi" w:eastAsiaTheme="minorHAnsi" w:hAnsiTheme="minorHAnsi" w:cs="Georgia"/>
        </w:rPr>
        <w:t>medical co-morbidities</w:t>
      </w:r>
      <w:r w:rsidR="006C3493">
        <w:rPr>
          <w:rFonts w:asciiTheme="minorHAnsi" w:eastAsiaTheme="minorHAnsi" w:hAnsiTheme="minorHAnsi" w:cs="Georgia"/>
        </w:rPr>
        <w:t>. The s</w:t>
      </w:r>
      <w:r>
        <w:rPr>
          <w:rFonts w:asciiTheme="minorHAnsi" w:eastAsiaTheme="minorHAnsi" w:hAnsiTheme="minorHAnsi" w:cs="Georgia"/>
        </w:rPr>
        <w:t xml:space="preserve">ponsor assessed this death as not related to </w:t>
      </w:r>
      <w:proofErr w:type="spellStart"/>
      <w:r w:rsidR="007359A2">
        <w:rPr>
          <w:rFonts w:asciiTheme="minorHAnsi" w:eastAsiaTheme="minorHAnsi" w:hAnsiTheme="minorHAnsi" w:cs="Georgia"/>
        </w:rPr>
        <w:t>Zolgensma</w:t>
      </w:r>
      <w:proofErr w:type="spellEnd"/>
      <w:r>
        <w:rPr>
          <w:rFonts w:asciiTheme="minorHAnsi" w:eastAsiaTheme="minorHAnsi" w:hAnsiTheme="minorHAnsi" w:cs="Georgia"/>
        </w:rPr>
        <w:t>, but a</w:t>
      </w:r>
      <w:r w:rsidRPr="00A22033">
        <w:rPr>
          <w:rFonts w:asciiTheme="minorHAnsi" w:eastAsiaTheme="minorHAnsi" w:hAnsiTheme="minorHAnsi" w:cs="Georgia"/>
        </w:rPr>
        <w:t xml:space="preserve"> contributory role from </w:t>
      </w:r>
      <w:proofErr w:type="spellStart"/>
      <w:r w:rsidR="007359A2">
        <w:rPr>
          <w:rFonts w:asciiTheme="minorHAnsi" w:eastAsiaTheme="minorHAnsi" w:hAnsiTheme="minorHAnsi" w:cs="Georgia"/>
        </w:rPr>
        <w:t>Zolgensma</w:t>
      </w:r>
      <w:proofErr w:type="spellEnd"/>
      <w:r w:rsidRPr="00A22033">
        <w:rPr>
          <w:rFonts w:asciiTheme="minorHAnsi" w:eastAsiaTheme="minorHAnsi" w:hAnsiTheme="minorHAnsi" w:cs="Georgia"/>
        </w:rPr>
        <w:t xml:space="preserve"> </w:t>
      </w:r>
      <w:r>
        <w:rPr>
          <w:rFonts w:asciiTheme="minorHAnsi" w:eastAsiaTheme="minorHAnsi" w:hAnsiTheme="minorHAnsi" w:cs="Georgia"/>
        </w:rPr>
        <w:t>cannot be fully excluded</w:t>
      </w:r>
      <w:r w:rsidRPr="00A22033">
        <w:rPr>
          <w:rFonts w:asciiTheme="minorHAnsi" w:eastAsiaTheme="minorHAnsi" w:hAnsiTheme="minorHAnsi" w:cs="Georgia"/>
        </w:rPr>
        <w:t>.</w:t>
      </w:r>
    </w:p>
    <w:p w14:paraId="7802C0DB" w14:textId="5A414C75" w:rsidR="004A5212" w:rsidRDefault="004A5212" w:rsidP="004A5212">
      <w:r w:rsidRPr="00EC388A">
        <w:t xml:space="preserve">The clinical relevance of CNS toxicities reported in </w:t>
      </w:r>
      <w:r>
        <w:t xml:space="preserve">a </w:t>
      </w:r>
      <w:r w:rsidRPr="00EC388A">
        <w:t xml:space="preserve">non-human primate </w:t>
      </w:r>
      <w:r w:rsidR="006C3493">
        <w:t>IT</w:t>
      </w:r>
      <w:r w:rsidRPr="00EC388A">
        <w:t xml:space="preserve"> stud</w:t>
      </w:r>
      <w:r>
        <w:t>y</w:t>
      </w:r>
      <w:r w:rsidR="006C3493">
        <w:t xml:space="preserve"> is unknown.</w:t>
      </w:r>
      <w:r w:rsidRPr="00EC388A">
        <w:t xml:space="preserve"> </w:t>
      </w:r>
      <w:r>
        <w:t>C</w:t>
      </w:r>
      <w:r w:rsidRPr="00EC388A">
        <w:t xml:space="preserve">linically evident CNS toxicity has not been identified in clinical studies involving IV </w:t>
      </w:r>
      <w:r>
        <w:t xml:space="preserve">or IT </w:t>
      </w:r>
      <w:r w:rsidR="006C3493">
        <w:t>administration.</w:t>
      </w:r>
    </w:p>
    <w:p w14:paraId="1CAD79C9" w14:textId="77777777" w:rsidR="004A5212" w:rsidRPr="00DB554A" w:rsidRDefault="004A5212" w:rsidP="008D6DA3">
      <w:pPr>
        <w:pStyle w:val="Heading5"/>
      </w:pPr>
      <w:r w:rsidRPr="00DB554A">
        <w:t>Immunogenicity</w:t>
      </w:r>
    </w:p>
    <w:p w14:paraId="4625E0F9" w14:textId="4EA2B8B8" w:rsidR="004A5212" w:rsidRDefault="004A5212" w:rsidP="004A5212">
      <w:r w:rsidRPr="00EE19A3">
        <w:t xml:space="preserve">All subjects in the clinical studies were required to have AAV9 </w:t>
      </w:r>
      <w:r>
        <w:t xml:space="preserve">antibody </w:t>
      </w:r>
      <w:r w:rsidRPr="00EE19A3">
        <w:t>titre ≤</w:t>
      </w:r>
      <w:r w:rsidR="006C3493">
        <w:t xml:space="preserve"> </w:t>
      </w:r>
      <w:r w:rsidRPr="00EE19A3">
        <w:t xml:space="preserve">1:50 prior to </w:t>
      </w:r>
      <w:proofErr w:type="spellStart"/>
      <w:r w:rsidR="007359A2">
        <w:t>Zolgensma</w:t>
      </w:r>
      <w:proofErr w:type="spellEnd"/>
      <w:r w:rsidRPr="00EE19A3">
        <w:t xml:space="preserve"> administration</w:t>
      </w:r>
      <w:r w:rsidR="006C3493">
        <w:t xml:space="preserve">. </w:t>
      </w:r>
      <w:r>
        <w:t xml:space="preserve">Efficacy and safety have not been established in patients with </w:t>
      </w:r>
      <w:r w:rsidRPr="00EE19A3">
        <w:t xml:space="preserve">AAV9 </w:t>
      </w:r>
      <w:r>
        <w:t xml:space="preserve">antibody </w:t>
      </w:r>
      <w:r w:rsidRPr="00EE19A3">
        <w:t xml:space="preserve">titre </w:t>
      </w:r>
      <w:r>
        <w:t>&gt;</w:t>
      </w:r>
      <w:r w:rsidR="006C3493">
        <w:t xml:space="preserve"> </w:t>
      </w:r>
      <w:r w:rsidRPr="00EE19A3">
        <w:t>1:50</w:t>
      </w:r>
      <w:r w:rsidR="006C3493">
        <w:t>.</w:t>
      </w:r>
    </w:p>
    <w:p w14:paraId="363478D7" w14:textId="5FD50773" w:rsidR="004A5212" w:rsidRDefault="004A5212" w:rsidP="004A5212">
      <w:r w:rsidRPr="00EE19A3">
        <w:t xml:space="preserve">High anti-AAV9 antibody titres occurred following infusion of </w:t>
      </w:r>
      <w:proofErr w:type="spellStart"/>
      <w:r w:rsidR="007359A2">
        <w:t>Zolgensma</w:t>
      </w:r>
      <w:proofErr w:type="spellEnd"/>
      <w:r>
        <w:t xml:space="preserve"> </w:t>
      </w:r>
      <w:r w:rsidR="006C3493">
        <w:t xml:space="preserve">in all subjects. </w:t>
      </w:r>
      <w:r>
        <w:t xml:space="preserve">The efficacy and safety of repeat administration of </w:t>
      </w:r>
      <w:proofErr w:type="spellStart"/>
      <w:r w:rsidR="007359A2">
        <w:t>Zolgensma</w:t>
      </w:r>
      <w:proofErr w:type="spellEnd"/>
      <w:r w:rsidR="006C3493">
        <w:t xml:space="preserve"> have not been established.</w:t>
      </w:r>
      <w:r>
        <w:t xml:space="preserve"> </w:t>
      </w:r>
      <w:r w:rsidRPr="007A6FB3">
        <w:t>The proposed registration</w:t>
      </w:r>
      <w:r w:rsidR="006C3493">
        <w:t xml:space="preserve"> is for single treatment only.</w:t>
      </w:r>
    </w:p>
    <w:p w14:paraId="160C956B" w14:textId="5A76FA1C" w:rsidR="004A5212" w:rsidRPr="006C3493" w:rsidRDefault="004A5212" w:rsidP="004A5212">
      <w:r w:rsidRPr="00EE19A3">
        <w:t xml:space="preserve">AAV9 </w:t>
      </w:r>
      <w:r>
        <w:t xml:space="preserve">antibody testing is required prior to treatment with </w:t>
      </w:r>
      <w:proofErr w:type="spellStart"/>
      <w:r w:rsidR="007359A2">
        <w:t>Zolgensma</w:t>
      </w:r>
      <w:proofErr w:type="spellEnd"/>
      <w:r w:rsidR="00A15AD9">
        <w:t xml:space="preserve">. </w:t>
      </w:r>
      <w:r>
        <w:t xml:space="preserve">This test </w:t>
      </w:r>
      <w:r w:rsidR="006C3493">
        <w:t xml:space="preserve">is not performed in Australia. </w:t>
      </w:r>
      <w:r>
        <w:t xml:space="preserve">In </w:t>
      </w:r>
      <w:r w:rsidR="006C3493">
        <w:t>response to TGA questions, the sponsor advised ‘</w:t>
      </w:r>
      <w:r w:rsidRPr="006C3493">
        <w:rPr>
          <w:i/>
        </w:rPr>
        <w:t xml:space="preserve">At this time, the </w:t>
      </w:r>
      <w:r w:rsidR="00B46684">
        <w:rPr>
          <w:i/>
        </w:rPr>
        <w:t>anti-AAV9</w:t>
      </w:r>
      <w:r w:rsidRPr="006C3493">
        <w:rPr>
          <w:i/>
        </w:rPr>
        <w:t xml:space="preserve"> antibody test has not been transferre</w:t>
      </w:r>
      <w:r w:rsidR="006C3493" w:rsidRPr="006C3493">
        <w:rPr>
          <w:i/>
        </w:rPr>
        <w:t xml:space="preserve">d to an Australian laboratory. </w:t>
      </w:r>
      <w:proofErr w:type="spellStart"/>
      <w:r w:rsidRPr="006C3493">
        <w:rPr>
          <w:i/>
        </w:rPr>
        <w:t>Viroclinics</w:t>
      </w:r>
      <w:proofErr w:type="spellEnd"/>
      <w:r w:rsidRPr="006C3493">
        <w:rPr>
          <w:i/>
        </w:rPr>
        <w:t xml:space="preserve">, Netherlands will continue to provide this service for both clinical and commercial sites. The laboratory accreditation certificate was provided in </w:t>
      </w:r>
      <w:r w:rsidR="006C3493" w:rsidRPr="006C3493">
        <w:rPr>
          <w:i/>
        </w:rPr>
        <w:t>[the dossier]</w:t>
      </w:r>
      <w:r w:rsidRPr="006C3493">
        <w:rPr>
          <w:i/>
        </w:rPr>
        <w:t>.</w:t>
      </w:r>
      <w:r w:rsidR="00E75E84">
        <w:rPr>
          <w:i/>
        </w:rPr>
        <w:t xml:space="preserve">[information redacted] are using </w:t>
      </w:r>
      <w:proofErr w:type="spellStart"/>
      <w:r w:rsidR="00E75E84">
        <w:rPr>
          <w:i/>
        </w:rPr>
        <w:t>Viroclinics</w:t>
      </w:r>
      <w:proofErr w:type="spellEnd"/>
      <w:r w:rsidR="00E75E84">
        <w:rPr>
          <w:i/>
        </w:rPr>
        <w:t>’</w:t>
      </w:r>
      <w:r w:rsidR="006C3493">
        <w:t xml:space="preserve"> </w:t>
      </w:r>
      <w:r>
        <w:t xml:space="preserve">The turnaround time for the test result from </w:t>
      </w:r>
      <w:proofErr w:type="spellStart"/>
      <w:r>
        <w:t>ViroClinics</w:t>
      </w:r>
      <w:proofErr w:type="spellEnd"/>
      <w:r>
        <w:t xml:space="preserve"> is now 3 da</w:t>
      </w:r>
      <w:r w:rsidR="006C3493">
        <w:t>ys after sending the specimen.</w:t>
      </w:r>
    </w:p>
    <w:p w14:paraId="7BCCDE05" w14:textId="77777777" w:rsidR="004A5212" w:rsidRDefault="004A5212" w:rsidP="008D6DA3">
      <w:pPr>
        <w:pStyle w:val="Heading5"/>
      </w:pPr>
      <w:r>
        <w:t>Vector shedding</w:t>
      </w:r>
    </w:p>
    <w:p w14:paraId="7D6E4FD6" w14:textId="7E689C20" w:rsidR="004A5212" w:rsidRPr="00403446" w:rsidRDefault="004A5212" w:rsidP="004A5212">
      <w:r>
        <w:t xml:space="preserve">Following intravenous infusion of </w:t>
      </w:r>
      <w:proofErr w:type="spellStart"/>
      <w:r w:rsidR="007359A2">
        <w:t>Zolgensma</w:t>
      </w:r>
      <w:proofErr w:type="spellEnd"/>
      <w:r>
        <w:t>, v</w:t>
      </w:r>
      <w:r w:rsidRPr="00352346">
        <w:t xml:space="preserve">iral vector </w:t>
      </w:r>
      <w:r>
        <w:t xml:space="preserve">is </w:t>
      </w:r>
      <w:r w:rsidRPr="00352346">
        <w:t>shed</w:t>
      </w:r>
      <w:r>
        <w:t xml:space="preserve"> primarily in faeces (and to a lesser extent in urine and saliva) and is largely clear</w:t>
      </w:r>
      <w:r w:rsidR="002A00EE">
        <w:t>ed within 30 days of treatment. The s</w:t>
      </w:r>
      <w:r>
        <w:t xml:space="preserve">ponsor’s guidance regarding handling of bodily waste was developed based on </w:t>
      </w:r>
      <w:r w:rsidR="00B76A61">
        <w:t xml:space="preserve">the US </w:t>
      </w:r>
      <w:proofErr w:type="spellStart"/>
      <w:r>
        <w:t>Cente</w:t>
      </w:r>
      <w:r w:rsidR="00B76A61">
        <w:t>rs</w:t>
      </w:r>
      <w:proofErr w:type="spellEnd"/>
      <w:r>
        <w:t xml:space="preserve"> for Disease Control </w:t>
      </w:r>
      <w:r w:rsidR="00B76A61">
        <w:t>b</w:t>
      </w:r>
      <w:r>
        <w:t xml:space="preserve">iosafety </w:t>
      </w:r>
      <w:r w:rsidR="00B76A61">
        <w:t>l</w:t>
      </w:r>
      <w:r>
        <w:t>evel 1 criteria for organisms not expected to contribute to human disease and that present minimal risk to indi</w:t>
      </w:r>
      <w:r w:rsidR="002A00EE">
        <w:t xml:space="preserve">viduals or to the environment. </w:t>
      </w:r>
      <w:r>
        <w:t xml:space="preserve">The guidance in the proposed </w:t>
      </w:r>
      <w:r w:rsidR="00A15AD9">
        <w:t>PI</w:t>
      </w:r>
      <w:r>
        <w:t xml:space="preserve"> recommends good hand hygiene when coming into direct contact with patient bodily waste for a minimum of 1</w:t>
      </w:r>
      <w:r w:rsidR="002A00EE">
        <w:t xml:space="preserve"> month after treatment. </w:t>
      </w:r>
      <w:r>
        <w:t xml:space="preserve">Disposable nappies should be sealed </w:t>
      </w:r>
      <w:r w:rsidRPr="009E133E">
        <w:t xml:space="preserve">in plastic bags </w:t>
      </w:r>
      <w:r>
        <w:t>and can be disposed of in household waste.</w:t>
      </w:r>
    </w:p>
    <w:p w14:paraId="0BF9C5D9" w14:textId="77777777" w:rsidR="004A5212" w:rsidRDefault="004A5212" w:rsidP="008D6DA3">
      <w:pPr>
        <w:pStyle w:val="Heading5"/>
      </w:pPr>
      <w:r>
        <w:t>Other potential risks associated with vector-based gene therapies</w:t>
      </w:r>
    </w:p>
    <w:p w14:paraId="0827C81D" w14:textId="6BB69533" w:rsidR="004A5212" w:rsidRDefault="004A5212" w:rsidP="004A5212">
      <w:pPr>
        <w:rPr>
          <w:rFonts w:eastAsia="Times New Roman"/>
          <w:lang w:eastAsia="ja-JP"/>
        </w:rPr>
      </w:pPr>
      <w:r>
        <w:rPr>
          <w:rFonts w:eastAsia="Times New Roman"/>
          <w:lang w:eastAsia="ja-JP"/>
        </w:rPr>
        <w:t xml:space="preserve">The submission addressed other potential risks associated with vector-based gene therapies, including accidental self-inoculation, chromosomal integration, </w:t>
      </w:r>
      <w:proofErr w:type="spellStart"/>
      <w:r>
        <w:rPr>
          <w:rFonts w:eastAsia="Times New Roman"/>
          <w:lang w:eastAsia="ja-JP"/>
        </w:rPr>
        <w:t>tumourigenicity</w:t>
      </w:r>
      <w:proofErr w:type="spellEnd"/>
      <w:r>
        <w:rPr>
          <w:rFonts w:eastAsia="Times New Roman"/>
          <w:lang w:eastAsia="ja-JP"/>
        </w:rPr>
        <w:t>, and ger</w:t>
      </w:r>
      <w:r w:rsidR="002A00EE">
        <w:rPr>
          <w:rFonts w:eastAsia="Times New Roman"/>
          <w:lang w:eastAsia="ja-JP"/>
        </w:rPr>
        <w:t>mline (vertical) transmission.</w:t>
      </w:r>
    </w:p>
    <w:p w14:paraId="7934AF70" w14:textId="41B3F24A" w:rsidR="004A5212" w:rsidRDefault="004A5212" w:rsidP="004A5212">
      <w:pPr>
        <w:rPr>
          <w:rFonts w:asciiTheme="minorHAnsi" w:eastAsiaTheme="minorHAnsi" w:hAnsiTheme="minorHAnsi"/>
        </w:rPr>
      </w:pPr>
      <w:r>
        <w:rPr>
          <w:rFonts w:asciiTheme="minorHAnsi" w:eastAsiaTheme="minorHAnsi" w:hAnsiTheme="minorHAnsi"/>
        </w:rPr>
        <w:t>T</w:t>
      </w:r>
      <w:r>
        <w:rPr>
          <w:lang w:eastAsia="ja-JP"/>
        </w:rPr>
        <w:t>he viral vector is replication-deficient</w:t>
      </w:r>
      <w:r>
        <w:rPr>
          <w:rFonts w:asciiTheme="minorHAnsi" w:eastAsiaTheme="minorHAnsi" w:hAnsiTheme="minorHAnsi"/>
        </w:rPr>
        <w:t xml:space="preserve">, and </w:t>
      </w:r>
      <w:r w:rsidRPr="00161F2C">
        <w:rPr>
          <w:rFonts w:asciiTheme="minorHAnsi" w:eastAsiaTheme="minorHAnsi" w:hAnsiTheme="minorHAnsi"/>
        </w:rPr>
        <w:t>AAVs are not known to cause disease in humans</w:t>
      </w:r>
      <w:r w:rsidR="002A00EE">
        <w:rPr>
          <w:rFonts w:asciiTheme="minorHAnsi" w:eastAsiaTheme="minorHAnsi" w:hAnsiTheme="minorHAnsi"/>
        </w:rPr>
        <w:t>.</w:t>
      </w:r>
      <w:r>
        <w:rPr>
          <w:rFonts w:asciiTheme="minorHAnsi" w:eastAsiaTheme="minorHAnsi" w:hAnsiTheme="minorHAnsi"/>
        </w:rPr>
        <w:t xml:space="preserve"> There is no known toxicity associated with ove</w:t>
      </w:r>
      <w:r w:rsidR="002A00EE">
        <w:rPr>
          <w:rFonts w:asciiTheme="minorHAnsi" w:eastAsiaTheme="minorHAnsi" w:hAnsiTheme="minorHAnsi"/>
        </w:rPr>
        <w:t>rexpression of the SMN protein.</w:t>
      </w:r>
      <w:r>
        <w:rPr>
          <w:rFonts w:asciiTheme="minorHAnsi" w:eastAsiaTheme="minorHAnsi" w:hAnsiTheme="minorHAnsi"/>
        </w:rPr>
        <w:t xml:space="preserve"> Accidental exposure is estimated to result i</w:t>
      </w:r>
      <w:r w:rsidR="002A00EE">
        <w:rPr>
          <w:rFonts w:asciiTheme="minorHAnsi" w:eastAsiaTheme="minorHAnsi" w:hAnsiTheme="minorHAnsi"/>
        </w:rPr>
        <w:t xml:space="preserve">n very limited local exposure. </w:t>
      </w:r>
      <w:r>
        <w:rPr>
          <w:rFonts w:asciiTheme="minorHAnsi" w:eastAsiaTheme="minorHAnsi" w:hAnsiTheme="minorHAnsi"/>
        </w:rPr>
        <w:t xml:space="preserve">The </w:t>
      </w:r>
      <w:r w:rsidR="002A00EE">
        <w:rPr>
          <w:rFonts w:asciiTheme="minorHAnsi" w:eastAsiaTheme="minorHAnsi" w:hAnsiTheme="minorHAnsi"/>
        </w:rPr>
        <w:t>PI</w:t>
      </w:r>
      <w:r>
        <w:rPr>
          <w:rFonts w:asciiTheme="minorHAnsi" w:eastAsiaTheme="minorHAnsi" w:hAnsiTheme="minorHAnsi"/>
        </w:rPr>
        <w:t xml:space="preserve"> provides guidance on handling and preparation of </w:t>
      </w:r>
      <w:proofErr w:type="spellStart"/>
      <w:r w:rsidR="007359A2">
        <w:rPr>
          <w:rFonts w:asciiTheme="minorHAnsi" w:eastAsiaTheme="minorHAnsi" w:hAnsiTheme="minorHAnsi"/>
        </w:rPr>
        <w:t>Zolgensma</w:t>
      </w:r>
      <w:proofErr w:type="spellEnd"/>
      <w:r>
        <w:rPr>
          <w:rFonts w:asciiTheme="minorHAnsi" w:eastAsiaTheme="minorHAnsi" w:hAnsiTheme="minorHAnsi"/>
        </w:rPr>
        <w:t xml:space="preserve"> and mana</w:t>
      </w:r>
      <w:r w:rsidR="002A00EE">
        <w:rPr>
          <w:rFonts w:asciiTheme="minorHAnsi" w:eastAsiaTheme="minorHAnsi" w:hAnsiTheme="minorHAnsi"/>
        </w:rPr>
        <w:t xml:space="preserve">gement of accidental exposure. </w:t>
      </w:r>
      <w:r>
        <w:rPr>
          <w:rFonts w:asciiTheme="minorHAnsi" w:eastAsiaTheme="minorHAnsi" w:hAnsiTheme="minorHAnsi"/>
        </w:rPr>
        <w:t xml:space="preserve">This guidance should be supplemented with advice that </w:t>
      </w:r>
      <w:proofErr w:type="spellStart"/>
      <w:r w:rsidR="007359A2">
        <w:rPr>
          <w:rFonts w:asciiTheme="minorHAnsi" w:eastAsiaTheme="minorHAnsi" w:hAnsiTheme="minorHAnsi"/>
        </w:rPr>
        <w:t>Zolgensma</w:t>
      </w:r>
      <w:proofErr w:type="spellEnd"/>
      <w:r>
        <w:rPr>
          <w:rFonts w:asciiTheme="minorHAnsi" w:eastAsiaTheme="minorHAnsi" w:hAnsiTheme="minorHAnsi"/>
        </w:rPr>
        <w:t xml:space="preserve"> should be prepared using</w:t>
      </w:r>
      <w:r w:rsidRPr="00EA6A02">
        <w:rPr>
          <w:rFonts w:asciiTheme="minorHAnsi" w:eastAsiaTheme="minorHAnsi" w:hAnsiTheme="minorHAnsi" w:cs="CIDFont+F1"/>
        </w:rPr>
        <w:t xml:space="preserve"> a Class II </w:t>
      </w:r>
      <w:r w:rsidR="00B76A61">
        <w:rPr>
          <w:rFonts w:asciiTheme="minorHAnsi" w:eastAsiaTheme="minorHAnsi" w:hAnsiTheme="minorHAnsi" w:cs="CIDFont+F1"/>
        </w:rPr>
        <w:t>b</w:t>
      </w:r>
      <w:r w:rsidRPr="00EA6A02">
        <w:rPr>
          <w:rFonts w:asciiTheme="minorHAnsi" w:eastAsiaTheme="minorHAnsi" w:hAnsiTheme="minorHAnsi" w:cs="CIDFont+F1"/>
        </w:rPr>
        <w:t xml:space="preserve">iological </w:t>
      </w:r>
      <w:r w:rsidR="00B76A61">
        <w:rPr>
          <w:rFonts w:asciiTheme="minorHAnsi" w:eastAsiaTheme="minorHAnsi" w:hAnsiTheme="minorHAnsi" w:cs="CIDFont+F1"/>
        </w:rPr>
        <w:t>s</w:t>
      </w:r>
      <w:r w:rsidRPr="00EA6A02">
        <w:rPr>
          <w:rFonts w:asciiTheme="minorHAnsi" w:eastAsiaTheme="minorHAnsi" w:hAnsiTheme="minorHAnsi" w:cs="CIDFont+F1"/>
        </w:rPr>
        <w:t xml:space="preserve">afety </w:t>
      </w:r>
      <w:r w:rsidR="00B76A61">
        <w:rPr>
          <w:rFonts w:asciiTheme="minorHAnsi" w:eastAsiaTheme="minorHAnsi" w:hAnsiTheme="minorHAnsi" w:cs="CIDFont+F1"/>
        </w:rPr>
        <w:t>c</w:t>
      </w:r>
      <w:r w:rsidRPr="00EA6A02">
        <w:rPr>
          <w:rFonts w:asciiTheme="minorHAnsi" w:eastAsiaTheme="minorHAnsi" w:hAnsiTheme="minorHAnsi" w:cs="CIDFont+F1"/>
        </w:rPr>
        <w:t>abinet.</w:t>
      </w:r>
    </w:p>
    <w:p w14:paraId="753B50A6" w14:textId="0E6B97EA" w:rsidR="004A5212" w:rsidRDefault="004A5212" w:rsidP="004A5212">
      <w:r>
        <w:t xml:space="preserve">The integration and oncogenic potential of </w:t>
      </w:r>
      <w:proofErr w:type="spellStart"/>
      <w:r>
        <w:t>onasemnogene</w:t>
      </w:r>
      <w:proofErr w:type="spellEnd"/>
      <w:r>
        <w:t xml:space="preserve"> </w:t>
      </w:r>
      <w:proofErr w:type="spellStart"/>
      <w:r>
        <w:t>abeparvovec</w:t>
      </w:r>
      <w:proofErr w:type="spellEnd"/>
      <w:r>
        <w:t xml:space="preserve"> was evaluate</w:t>
      </w:r>
      <w:r w:rsidR="002A00EE">
        <w:t xml:space="preserve">d primarily in the nonclinical evaluation. </w:t>
      </w:r>
      <w:r>
        <w:t xml:space="preserve">No genotoxicity or carcinogenicity studies have been conducted with </w:t>
      </w:r>
      <w:proofErr w:type="spellStart"/>
      <w:r w:rsidR="007359A2">
        <w:t>Zolgensma</w:t>
      </w:r>
      <w:proofErr w:type="spellEnd"/>
      <w:r w:rsidR="002A00EE">
        <w:t xml:space="preserve">. </w:t>
      </w:r>
      <w:r>
        <w:t>The risk of chromosomal integration in humans is assessed to be low, and the risk of carcinogeni</w:t>
      </w:r>
      <w:r w:rsidR="002A00EE">
        <w:t xml:space="preserve">city is anticipated to be low. </w:t>
      </w:r>
      <w:r>
        <w:t xml:space="preserve">Residual uncertainty regarding oncogenic potential is addressed in the </w:t>
      </w:r>
      <w:r w:rsidR="002A00EE">
        <w:t>RMP</w:t>
      </w:r>
      <w:r>
        <w:t xml:space="preserve">, which includes </w:t>
      </w:r>
      <w:r w:rsidR="00A15AD9">
        <w:t>long</w:t>
      </w:r>
      <w:r w:rsidR="00A15AD9">
        <w:noBreakHyphen/>
      </w:r>
      <w:r w:rsidRPr="00F472CC">
        <w:t xml:space="preserve">term follow-up studies </w:t>
      </w:r>
      <w:r>
        <w:t>that</w:t>
      </w:r>
      <w:r w:rsidRPr="00F472CC">
        <w:t xml:space="preserve"> </w:t>
      </w:r>
      <w:r>
        <w:t xml:space="preserve">will </w:t>
      </w:r>
      <w:r w:rsidRPr="00F472CC">
        <w:t xml:space="preserve">specifically </w:t>
      </w:r>
      <w:r>
        <w:t>assess</w:t>
      </w:r>
      <w:r w:rsidRPr="00F472CC">
        <w:t xml:space="preserve"> the occurrence of new malignancies </w:t>
      </w:r>
      <w:r>
        <w:t>or</w:t>
      </w:r>
      <w:r w:rsidRPr="00F472CC">
        <w:t xml:space="preserve"> tumours.</w:t>
      </w:r>
    </w:p>
    <w:p w14:paraId="7F91DEF8" w14:textId="6004AF5B" w:rsidR="004A5212" w:rsidRPr="009E133E" w:rsidRDefault="004A5212" w:rsidP="004A5212">
      <w:pPr>
        <w:rPr>
          <w:rFonts w:eastAsia="Times New Roman"/>
          <w:lang w:eastAsia="ja-JP"/>
        </w:rPr>
      </w:pPr>
      <w:r>
        <w:rPr>
          <w:rFonts w:eastAsia="Times New Roman"/>
          <w:lang w:eastAsia="ja-JP"/>
        </w:rPr>
        <w:t>The risk of germline transmission was evaluate</w:t>
      </w:r>
      <w:r w:rsidR="002A00EE">
        <w:rPr>
          <w:rFonts w:eastAsia="Times New Roman"/>
          <w:lang w:eastAsia="ja-JP"/>
        </w:rPr>
        <w:t>d primarily in the non</w:t>
      </w:r>
      <w:r>
        <w:rPr>
          <w:rFonts w:eastAsia="Times New Roman"/>
          <w:lang w:eastAsia="ja-JP"/>
        </w:rPr>
        <w:t>clinical evaluation, and was also assess</w:t>
      </w:r>
      <w:r w:rsidR="002A00EE">
        <w:rPr>
          <w:rFonts w:eastAsia="Times New Roman"/>
          <w:lang w:eastAsia="ja-JP"/>
        </w:rPr>
        <w:t xml:space="preserve">ed in the clinical evaluation. </w:t>
      </w:r>
      <w:r>
        <w:t>The non-integrating and non-replicating features of the vector minimise the potent</w:t>
      </w:r>
      <w:r w:rsidR="002A00EE">
        <w:t xml:space="preserve">ial for vertical transmission. </w:t>
      </w:r>
      <w:r>
        <w:t>A risk of vertical transmission cannot be excluded with certainty, but g</w:t>
      </w:r>
      <w:r w:rsidRPr="004443CE">
        <w:t>iven the age of the intended patient group</w:t>
      </w:r>
      <w:r>
        <w:t xml:space="preserve"> and the low risk of integration</w:t>
      </w:r>
      <w:r w:rsidRPr="004443CE">
        <w:t>,</w:t>
      </w:r>
      <w:r>
        <w:rPr>
          <w:rFonts w:eastAsia="Times New Roman"/>
          <w:lang w:eastAsia="ja-JP"/>
        </w:rPr>
        <w:t xml:space="preserve"> </w:t>
      </w:r>
      <w:r w:rsidRPr="004443CE">
        <w:t xml:space="preserve">the risk of </w:t>
      </w:r>
      <w:r>
        <w:t>vertical</w:t>
      </w:r>
      <w:r w:rsidRPr="004443CE">
        <w:t xml:space="preserve"> transmission is considered </w:t>
      </w:r>
      <w:r>
        <w:t>to be extremel</w:t>
      </w:r>
      <w:r w:rsidRPr="004443CE">
        <w:t>y low.</w:t>
      </w:r>
    </w:p>
    <w:p w14:paraId="1A23DB3D" w14:textId="77777777" w:rsidR="004A5212" w:rsidRDefault="004A5212" w:rsidP="008D6DA3">
      <w:pPr>
        <w:pStyle w:val="Heading5"/>
      </w:pPr>
      <w:r>
        <w:t>Uncertainties and limitations of the data</w:t>
      </w:r>
    </w:p>
    <w:p w14:paraId="6C9E7279" w14:textId="2FE70F77" w:rsidR="004A5212" w:rsidRPr="00E14F11" w:rsidRDefault="004A5212" w:rsidP="004A5212">
      <w:pPr>
        <w:rPr>
          <w:rFonts w:asciiTheme="minorHAnsi" w:eastAsiaTheme="minorHAnsi" w:hAnsiTheme="minorHAnsi" w:cs="Georgia"/>
        </w:rPr>
      </w:pPr>
      <w:r>
        <w:t xml:space="preserve">As of 31 December 2019, 101 patients have been enrolled in studies assessing </w:t>
      </w:r>
      <w:r w:rsidR="002A00EE">
        <w:t>IV</w:t>
      </w:r>
      <w:r>
        <w:t xml:space="preserve"> AVXS-101 (Studies </w:t>
      </w:r>
      <w:r w:rsidR="002A00EE">
        <w:t>AVXS-101-</w:t>
      </w:r>
      <w:r>
        <w:t xml:space="preserve">CL-101, </w:t>
      </w:r>
      <w:r w:rsidR="002A00EE">
        <w:t>AVXS-101-</w:t>
      </w:r>
      <w:r>
        <w:t xml:space="preserve">CL-303, </w:t>
      </w:r>
      <w:r w:rsidR="002A00EE">
        <w:t>AVXS-101-</w:t>
      </w:r>
      <w:r>
        <w:t xml:space="preserve">CL-302, </w:t>
      </w:r>
      <w:r w:rsidR="002A00EE">
        <w:t>AVXS-101-</w:t>
      </w:r>
      <w:r>
        <w:t xml:space="preserve">CL-304 and </w:t>
      </w:r>
      <w:r w:rsidR="002A00EE">
        <w:t>AVXS-101-</w:t>
      </w:r>
      <w:r>
        <w:t>CL-306), including 37 enrolled</w:t>
      </w:r>
      <w:r w:rsidR="002A00EE">
        <w:t xml:space="preserve"> in the two completed studies. </w:t>
      </w:r>
      <w:r w:rsidRPr="00E14F11">
        <w:t>Long-term efficac</w:t>
      </w:r>
      <w:r w:rsidR="002A00EE">
        <w:t xml:space="preserve">y and safety data are limited. </w:t>
      </w:r>
      <w:r w:rsidRPr="00E14F11">
        <w:t>Th</w:t>
      </w:r>
      <w:r>
        <w:t>ese limitations of the clinical dataset are</w:t>
      </w:r>
      <w:r w:rsidRPr="00E14F11">
        <w:t xml:space="preserve"> being addressed through post-marketing commitments to the </w:t>
      </w:r>
      <w:r w:rsidR="00B76A61">
        <w:t xml:space="preserve">US </w:t>
      </w:r>
      <w:r w:rsidR="002A00EE">
        <w:t>Food and Drug Administration (</w:t>
      </w:r>
      <w:r w:rsidRPr="00E14F11">
        <w:t>FDA</w:t>
      </w:r>
      <w:r w:rsidR="002A00EE">
        <w:t>)</w:t>
      </w:r>
      <w:r w:rsidRPr="00E14F11">
        <w:t xml:space="preserve"> and EMA, including </w:t>
      </w:r>
      <w:r>
        <w:t xml:space="preserve">clinical studies </w:t>
      </w:r>
      <w:r w:rsidRPr="00E14F11">
        <w:t xml:space="preserve">monitoring efficacy and safety for </w:t>
      </w:r>
      <w:r w:rsidR="00A61CA6">
        <w:rPr>
          <w:rFonts w:asciiTheme="minorHAnsi" w:hAnsiTheme="minorHAnsi"/>
        </w:rPr>
        <w:t>15 years post</w:t>
      </w:r>
      <w:r w:rsidR="00A61CA6">
        <w:rPr>
          <w:rFonts w:asciiTheme="minorHAnsi" w:hAnsiTheme="minorHAnsi"/>
        </w:rPr>
        <w:noBreakHyphen/>
      </w:r>
      <w:r w:rsidRPr="00E14F11">
        <w:rPr>
          <w:rFonts w:asciiTheme="minorHAnsi" w:hAnsiTheme="minorHAnsi"/>
        </w:rPr>
        <w:t xml:space="preserve">treatment for patients treated </w:t>
      </w:r>
      <w:r>
        <w:rPr>
          <w:rFonts w:asciiTheme="minorHAnsi" w:hAnsiTheme="minorHAnsi"/>
        </w:rPr>
        <w:t>in</w:t>
      </w:r>
      <w:r w:rsidRPr="00E14F11">
        <w:rPr>
          <w:rFonts w:asciiTheme="minorHAnsi" w:hAnsiTheme="minorHAnsi"/>
        </w:rPr>
        <w:t xml:space="preserve"> </w:t>
      </w:r>
      <w:proofErr w:type="spellStart"/>
      <w:r w:rsidR="007359A2">
        <w:rPr>
          <w:rFonts w:asciiTheme="minorHAnsi" w:hAnsiTheme="minorHAnsi"/>
        </w:rPr>
        <w:t>Zolgensma</w:t>
      </w:r>
      <w:proofErr w:type="spellEnd"/>
      <w:r w:rsidRPr="00E14F11">
        <w:rPr>
          <w:rFonts w:asciiTheme="minorHAnsi" w:hAnsiTheme="minorHAnsi"/>
        </w:rPr>
        <w:t xml:space="preserve"> clinical </w:t>
      </w:r>
      <w:r>
        <w:rPr>
          <w:rFonts w:asciiTheme="minorHAnsi" w:hAnsiTheme="minorHAnsi"/>
        </w:rPr>
        <w:t xml:space="preserve">studies </w:t>
      </w:r>
      <w:r>
        <w:t>(</w:t>
      </w:r>
      <w:r w:rsidR="00A61CA6">
        <w:t>Studies AVXS</w:t>
      </w:r>
      <w:r w:rsidR="00A61CA6">
        <w:noBreakHyphen/>
        <w:t>101</w:t>
      </w:r>
      <w:r w:rsidR="00A61CA6">
        <w:noBreakHyphen/>
        <w:t>LT</w:t>
      </w:r>
      <w:r w:rsidR="00A61CA6">
        <w:noBreakHyphen/>
      </w:r>
      <w:r>
        <w:t>001 and AVXS-101-LT-002)</w:t>
      </w:r>
      <w:r w:rsidRPr="00E14F11">
        <w:rPr>
          <w:rFonts w:asciiTheme="minorHAnsi" w:hAnsiTheme="minorHAnsi"/>
        </w:rPr>
        <w:t xml:space="preserve">, and </w:t>
      </w:r>
      <w:r w:rsidR="00A15AD9">
        <w:rPr>
          <w:rFonts w:asciiTheme="minorHAnsi" w:eastAsiaTheme="minorHAnsi" w:hAnsiTheme="minorHAnsi" w:cs="Georgia"/>
        </w:rPr>
        <w:t xml:space="preserve">a prospective, multi </w:t>
      </w:r>
      <w:r w:rsidRPr="00E14F11">
        <w:rPr>
          <w:rFonts w:asciiTheme="minorHAnsi" w:eastAsiaTheme="minorHAnsi" w:hAnsiTheme="minorHAnsi" w:cs="Georgia"/>
        </w:rPr>
        <w:t>centre, mu</w:t>
      </w:r>
      <w:r w:rsidR="00A15AD9">
        <w:rPr>
          <w:rFonts w:asciiTheme="minorHAnsi" w:eastAsiaTheme="minorHAnsi" w:hAnsiTheme="minorHAnsi" w:cs="Georgia"/>
        </w:rPr>
        <w:t>ltinational, observational long</w:t>
      </w:r>
      <w:r w:rsidR="00A15AD9">
        <w:rPr>
          <w:rFonts w:asciiTheme="minorHAnsi" w:eastAsiaTheme="minorHAnsi" w:hAnsiTheme="minorHAnsi" w:cs="Georgia"/>
        </w:rPr>
        <w:noBreakHyphen/>
      </w:r>
      <w:r w:rsidRPr="00E14F11">
        <w:rPr>
          <w:rFonts w:asciiTheme="minorHAnsi" w:eastAsiaTheme="minorHAnsi" w:hAnsiTheme="minorHAnsi" w:cs="Georgia"/>
        </w:rPr>
        <w:t>term registry of patients with a diagnosis of SMA</w:t>
      </w:r>
      <w:r>
        <w:rPr>
          <w:rFonts w:asciiTheme="minorHAnsi" w:eastAsiaTheme="minorHAnsi" w:hAnsiTheme="minorHAnsi" w:cs="Georgia"/>
        </w:rPr>
        <w:t xml:space="preserve"> (</w:t>
      </w:r>
      <w:r w:rsidR="00A61CA6">
        <w:rPr>
          <w:rFonts w:asciiTheme="minorHAnsi" w:eastAsiaTheme="minorHAnsi" w:hAnsiTheme="minorHAnsi" w:cs="Georgia"/>
        </w:rPr>
        <w:t>Study </w:t>
      </w:r>
      <w:r w:rsidR="002A00EE">
        <w:rPr>
          <w:rFonts w:asciiTheme="minorHAnsi" w:eastAsiaTheme="minorHAnsi" w:hAnsiTheme="minorHAnsi" w:cs="Georgia"/>
        </w:rPr>
        <w:t xml:space="preserve">AVXS-101-RG-001). </w:t>
      </w:r>
      <w:r>
        <w:rPr>
          <w:rFonts w:asciiTheme="minorHAnsi" w:eastAsiaTheme="minorHAnsi" w:hAnsiTheme="minorHAnsi" w:cs="Georgia"/>
        </w:rPr>
        <w:t xml:space="preserve">This voluntary registry study </w:t>
      </w:r>
      <w:r w:rsidRPr="00E14F11">
        <w:rPr>
          <w:rFonts w:asciiTheme="minorHAnsi" w:eastAsiaTheme="minorHAnsi" w:hAnsiTheme="minorHAnsi" w:cs="Georgia"/>
        </w:rPr>
        <w:t xml:space="preserve">will assess effectiveness of treatments for SMA, the long-term safety of patients treated with </w:t>
      </w:r>
      <w:proofErr w:type="spellStart"/>
      <w:r w:rsidR="007359A2">
        <w:rPr>
          <w:rFonts w:asciiTheme="minorHAnsi" w:eastAsiaTheme="minorHAnsi" w:hAnsiTheme="minorHAnsi" w:cs="Georgia"/>
        </w:rPr>
        <w:t>Zolgensma</w:t>
      </w:r>
      <w:proofErr w:type="spellEnd"/>
      <w:r w:rsidRPr="00E14F11">
        <w:rPr>
          <w:rFonts w:asciiTheme="minorHAnsi" w:eastAsiaTheme="minorHAnsi" w:hAnsiTheme="minorHAnsi" w:cs="Georgia"/>
        </w:rPr>
        <w:t>, and the overall</w:t>
      </w:r>
      <w:r w:rsidR="002A00EE">
        <w:rPr>
          <w:rFonts w:asciiTheme="minorHAnsi" w:eastAsiaTheme="minorHAnsi" w:hAnsiTheme="minorHAnsi" w:cs="Georgia"/>
        </w:rPr>
        <w:t xml:space="preserve"> survival of patients with SMA.</w:t>
      </w:r>
      <w:r w:rsidRPr="00E14F11">
        <w:rPr>
          <w:rFonts w:asciiTheme="minorHAnsi" w:eastAsiaTheme="minorHAnsi" w:hAnsiTheme="minorHAnsi" w:cs="Georgia"/>
        </w:rPr>
        <w:t xml:space="preserve"> The </w:t>
      </w:r>
      <w:r>
        <w:rPr>
          <w:rFonts w:asciiTheme="minorHAnsi" w:eastAsiaTheme="minorHAnsi" w:hAnsiTheme="minorHAnsi" w:cs="Georgia"/>
        </w:rPr>
        <w:t>registry</w:t>
      </w:r>
      <w:r w:rsidRPr="00E14F11">
        <w:rPr>
          <w:rFonts w:asciiTheme="minorHAnsi" w:eastAsiaTheme="minorHAnsi" w:hAnsiTheme="minorHAnsi" w:cs="Georgia"/>
        </w:rPr>
        <w:t xml:space="preserve"> will enrol at least 500 patients and follow-up will be for 15 years or until death, whichever is sooner.</w:t>
      </w:r>
    </w:p>
    <w:p w14:paraId="159A7875" w14:textId="05EC19D9" w:rsidR="004A5212" w:rsidRPr="00E14F11" w:rsidRDefault="004A5212" w:rsidP="004A5212">
      <w:r w:rsidRPr="00E14F11">
        <w:t xml:space="preserve">The use of </w:t>
      </w:r>
      <w:proofErr w:type="spellStart"/>
      <w:r w:rsidR="007359A2">
        <w:t>Zolgensma</w:t>
      </w:r>
      <w:proofErr w:type="spellEnd"/>
      <w:r w:rsidRPr="00E14F11">
        <w:t xml:space="preserve"> in </w:t>
      </w:r>
      <w:r w:rsidR="002A00EE">
        <w:t>patients with advanced SMA (for example,</w:t>
      </w:r>
      <w:r w:rsidRPr="00E14F11">
        <w:t xml:space="preserve"> complete paralysis of limbs, permanent ventilator dependence) has not been evaluated</w:t>
      </w:r>
      <w:r>
        <w:t xml:space="preserve"> in </w:t>
      </w:r>
      <w:r w:rsidR="002A00EE">
        <w:t xml:space="preserve">the </w:t>
      </w:r>
      <w:r>
        <w:t>clinical studies</w:t>
      </w:r>
      <w:r w:rsidR="002A00EE">
        <w:t>.</w:t>
      </w:r>
      <w:r w:rsidRPr="00E14F11">
        <w:t xml:space="preserve"> Benefits are expected to be limited in patients with advanced disease</w:t>
      </w:r>
      <w:r>
        <w:t>, ba</w:t>
      </w:r>
      <w:r w:rsidRPr="00E14F11">
        <w:t xml:space="preserve">sed on the mechanism </w:t>
      </w:r>
      <w:r w:rsidR="002A00EE">
        <w:t xml:space="preserve">of action and findings from nonclinical studies. </w:t>
      </w:r>
      <w:r w:rsidRPr="00E14F11">
        <w:t xml:space="preserve">This is addressed in the proposed </w:t>
      </w:r>
      <w:r w:rsidR="002A00EE">
        <w:t>PI</w:t>
      </w:r>
      <w:r w:rsidRPr="00E14F11">
        <w:t>.</w:t>
      </w:r>
    </w:p>
    <w:p w14:paraId="620BD494" w14:textId="2DCD5F74" w:rsidR="004A5212" w:rsidRPr="002A00EE" w:rsidRDefault="004A5212" w:rsidP="004A5212">
      <w:r>
        <w:t xml:space="preserve">All subjects in Studies </w:t>
      </w:r>
      <w:r w:rsidR="002A00EE">
        <w:t>AVXS-101-</w:t>
      </w:r>
      <w:r>
        <w:t xml:space="preserve">CL-101 and </w:t>
      </w:r>
      <w:r w:rsidR="002A00EE">
        <w:t xml:space="preserve">AVXS-101-CL-303 had 2 copies of </w:t>
      </w:r>
      <w:r w:rsidR="002A00EE" w:rsidRPr="005F7A49">
        <w:rPr>
          <w:i/>
        </w:rPr>
        <w:t>SMN2</w:t>
      </w:r>
      <w:r w:rsidR="002A00EE">
        <w:t>.</w:t>
      </w:r>
      <w:r>
        <w:t xml:space="preserve"> There are no data i</w:t>
      </w:r>
      <w:r w:rsidR="002A00EE">
        <w:t xml:space="preserve">n patients with 1 copy of </w:t>
      </w:r>
      <w:r w:rsidR="002A00EE" w:rsidRPr="005F7A49">
        <w:rPr>
          <w:i/>
        </w:rPr>
        <w:t>SMN2</w:t>
      </w:r>
      <w:r w:rsidR="002A00EE">
        <w:t>.</w:t>
      </w:r>
      <w:r>
        <w:t xml:space="preserve"> It is not known whether </w:t>
      </w:r>
      <w:proofErr w:type="spellStart"/>
      <w:r w:rsidR="007359A2">
        <w:t>Zolgensma</w:t>
      </w:r>
      <w:proofErr w:type="spellEnd"/>
      <w:r>
        <w:t xml:space="preserve"> would provide a meaningful clinical benefit to patients with 1 copy of </w:t>
      </w:r>
      <w:r w:rsidRPr="005F7A49">
        <w:rPr>
          <w:i/>
        </w:rPr>
        <w:t>SMN2</w:t>
      </w:r>
      <w:r>
        <w:t xml:space="preserve"> prior to i</w:t>
      </w:r>
      <w:r w:rsidR="002A00EE">
        <w:t xml:space="preserve">rreversible motor neuron loss. </w:t>
      </w:r>
      <w:r>
        <w:t xml:space="preserve">Data for patients with 3 copies of </w:t>
      </w:r>
      <w:r w:rsidRPr="005F7A49">
        <w:rPr>
          <w:i/>
        </w:rPr>
        <w:t>SMN2</w:t>
      </w:r>
      <w:r>
        <w:t xml:space="preserve"> are limited, as </w:t>
      </w:r>
      <w:r w:rsidR="00D31923">
        <w:t>Study AVXS-101-CL-304</w:t>
      </w:r>
      <w:r>
        <w:t xml:space="preserve"> is ongoing and only preliminary results were</w:t>
      </w:r>
      <w:r w:rsidR="002A00EE">
        <w:t xml:space="preserve"> presented in this submission. </w:t>
      </w:r>
      <w:r>
        <w:t xml:space="preserve">The benefit-risk in patients with 3 copies of </w:t>
      </w:r>
      <w:r w:rsidRPr="005F7A49">
        <w:rPr>
          <w:i/>
        </w:rPr>
        <w:t>SMN2</w:t>
      </w:r>
      <w:r>
        <w:t xml:space="preserve"> is uncertain because the data are immature and there is heterogeneity in the natural history of the disease.</w:t>
      </w:r>
      <w:r w:rsidRPr="00264825">
        <w:t xml:space="preserve"> The clinical evaluator’s assessment is that treatment of patients with 3 copies of </w:t>
      </w:r>
      <w:r w:rsidRPr="005F7A49">
        <w:rPr>
          <w:i/>
        </w:rPr>
        <w:t>SMN2</w:t>
      </w:r>
      <w:r w:rsidRPr="00264825">
        <w:t xml:space="preserve"> is likely to have a net positive benefit-risk balance because such subjects usually have profoundly impaired quality of life, but this has not yet been confirmed</w:t>
      </w:r>
      <w:r>
        <w:t xml:space="preserve"> in a clinical study</w:t>
      </w:r>
      <w:r w:rsidR="002A00EE">
        <w:t>.</w:t>
      </w:r>
      <w:r w:rsidRPr="00264825">
        <w:t xml:space="preserve"> </w:t>
      </w:r>
      <w:r w:rsidR="00A15AD9">
        <w:t>The benefit</w:t>
      </w:r>
      <w:r w:rsidR="00A15AD9">
        <w:noBreakHyphen/>
      </w:r>
      <w:r>
        <w:t xml:space="preserve">risk in patients with 4 or more copies of </w:t>
      </w:r>
      <w:r w:rsidRPr="005F7A49">
        <w:rPr>
          <w:i/>
        </w:rPr>
        <w:t>SMN2</w:t>
      </w:r>
      <w:r>
        <w:t xml:space="preserve"> has not been established, as patients with this genetic profile have not been assessed in clinical studies (other tha</w:t>
      </w:r>
      <w:r w:rsidR="002A00EE">
        <w:t xml:space="preserve">n one patient enrolled in the 3 </w:t>
      </w:r>
      <w:r>
        <w:t xml:space="preserve">copy cohort of </w:t>
      </w:r>
      <w:r w:rsidR="00D31923">
        <w:t>Study AVXS-101-CL-304</w:t>
      </w:r>
      <w:r w:rsidRPr="005D33BA">
        <w:t xml:space="preserve"> </w:t>
      </w:r>
      <w:r>
        <w:t>but subsequently confirme</w:t>
      </w:r>
      <w:r w:rsidR="00A15AD9">
        <w:t xml:space="preserve">d as having 4 copies of </w:t>
      </w:r>
      <w:r w:rsidR="00A15AD9" w:rsidRPr="005F7A49">
        <w:rPr>
          <w:i/>
        </w:rPr>
        <w:t>SMN2</w:t>
      </w:r>
      <w:r w:rsidR="00A15AD9">
        <w:t xml:space="preserve">). </w:t>
      </w:r>
      <w:r>
        <w:t xml:space="preserve">These limitations in the clinical dataset need to be described in the </w:t>
      </w:r>
      <w:r w:rsidR="002A00EE">
        <w:t>PI.</w:t>
      </w:r>
    </w:p>
    <w:p w14:paraId="7AE714D1" w14:textId="17B8A77F" w:rsidR="004A5212" w:rsidRDefault="004A5212" w:rsidP="004A5212">
      <w:r w:rsidRPr="00565093">
        <w:t xml:space="preserve">All subjects in the clinical studies were required to have </w:t>
      </w:r>
      <w:r>
        <w:t>anti-</w:t>
      </w:r>
      <w:r w:rsidRPr="00565093">
        <w:t>AAV9</w:t>
      </w:r>
      <w:r>
        <w:t xml:space="preserve"> antibody</w:t>
      </w:r>
      <w:r w:rsidRPr="00565093">
        <w:t xml:space="preserve"> titre ≤</w:t>
      </w:r>
      <w:r w:rsidR="002A00EE">
        <w:t xml:space="preserve"> </w:t>
      </w:r>
      <w:r w:rsidRPr="00565093">
        <w:t xml:space="preserve">1:50 prior to </w:t>
      </w:r>
      <w:proofErr w:type="spellStart"/>
      <w:r w:rsidR="007359A2">
        <w:t>Zolgensma</w:t>
      </w:r>
      <w:proofErr w:type="spellEnd"/>
      <w:r w:rsidRPr="00565093">
        <w:t xml:space="preserve"> administration, so efficacy and safety have not been established in patients with anti-AAV9 titres &gt;</w:t>
      </w:r>
      <w:r w:rsidR="002A00EE">
        <w:t xml:space="preserve"> 1:50. </w:t>
      </w:r>
      <w:r w:rsidRPr="007A6FB3">
        <w:t xml:space="preserve">The efficacy and safety of repeat </w:t>
      </w:r>
      <w:r>
        <w:t>administration of</w:t>
      </w:r>
      <w:r w:rsidRPr="007A6FB3">
        <w:t xml:space="preserve"> </w:t>
      </w:r>
      <w:proofErr w:type="spellStart"/>
      <w:r w:rsidR="007359A2">
        <w:t>Zolgensma</w:t>
      </w:r>
      <w:proofErr w:type="spellEnd"/>
      <w:r>
        <w:t xml:space="preserve"> have not been assessed</w:t>
      </w:r>
      <w:r w:rsidRPr="007A6FB3">
        <w:t xml:space="preserve">. </w:t>
      </w:r>
      <w:r>
        <w:t xml:space="preserve">These issues have been </w:t>
      </w:r>
      <w:r w:rsidRPr="00565093">
        <w:t xml:space="preserve">addressed in the proposed </w:t>
      </w:r>
      <w:r w:rsidR="002A00EE">
        <w:t>PI</w:t>
      </w:r>
      <w:r w:rsidRPr="00565093">
        <w:t>.</w:t>
      </w:r>
    </w:p>
    <w:p w14:paraId="0E169B14" w14:textId="393C801D" w:rsidR="004A5212" w:rsidRPr="00565093" w:rsidRDefault="004A5212" w:rsidP="004A5212">
      <w:pPr>
        <w:rPr>
          <w:rFonts w:asciiTheme="minorHAnsi" w:eastAsiaTheme="minorHAnsi" w:hAnsiTheme="minorHAnsi" w:cs="Georgia"/>
        </w:rPr>
      </w:pPr>
      <w:r>
        <w:rPr>
          <w:rFonts w:asciiTheme="minorHAnsi" w:eastAsiaTheme="minorHAnsi" w:hAnsiTheme="minorHAnsi" w:cs="Georgia"/>
        </w:rPr>
        <w:t>R</w:t>
      </w:r>
      <w:r w:rsidRPr="00565093">
        <w:rPr>
          <w:rFonts w:asciiTheme="minorHAnsi" w:eastAsiaTheme="minorHAnsi" w:hAnsiTheme="minorHAnsi" w:cs="Georgia"/>
        </w:rPr>
        <w:t xml:space="preserve">isk factors for developing acute severe liver injury following treatment with </w:t>
      </w:r>
      <w:proofErr w:type="spellStart"/>
      <w:r w:rsidR="007359A2">
        <w:rPr>
          <w:rFonts w:asciiTheme="minorHAnsi" w:eastAsiaTheme="minorHAnsi" w:hAnsiTheme="minorHAnsi" w:cs="Georgia"/>
        </w:rPr>
        <w:t>Zolgensma</w:t>
      </w:r>
      <w:proofErr w:type="spellEnd"/>
      <w:r>
        <w:rPr>
          <w:rFonts w:asciiTheme="minorHAnsi" w:eastAsiaTheme="minorHAnsi" w:hAnsiTheme="minorHAnsi" w:cs="Georgia"/>
        </w:rPr>
        <w:t xml:space="preserve"> have not been fully delineated</w:t>
      </w:r>
      <w:r w:rsidR="002A00EE">
        <w:rPr>
          <w:rFonts w:asciiTheme="minorHAnsi" w:eastAsiaTheme="minorHAnsi" w:hAnsiTheme="minorHAnsi" w:cs="Georgia"/>
        </w:rPr>
        <w:t xml:space="preserve">. </w:t>
      </w:r>
      <w:r w:rsidRPr="00565093">
        <w:rPr>
          <w:rFonts w:asciiTheme="minorHAnsi" w:eastAsiaTheme="minorHAnsi" w:hAnsiTheme="minorHAnsi" w:cs="Georgia"/>
        </w:rPr>
        <w:t>Patients with significant abnormalities of baseline liver function were exclu</w:t>
      </w:r>
      <w:r w:rsidR="00A15AD9">
        <w:rPr>
          <w:rFonts w:asciiTheme="minorHAnsi" w:eastAsiaTheme="minorHAnsi" w:hAnsiTheme="minorHAnsi" w:cs="Georgia"/>
        </w:rPr>
        <w:t xml:space="preserve">ded from the clinical studies. </w:t>
      </w:r>
      <w:r>
        <w:rPr>
          <w:rFonts w:asciiTheme="minorHAnsi" w:eastAsiaTheme="minorHAnsi" w:hAnsiTheme="minorHAnsi" w:cs="Georgia"/>
        </w:rPr>
        <w:t>The</w:t>
      </w:r>
      <w:r w:rsidRPr="00565093">
        <w:rPr>
          <w:rFonts w:asciiTheme="minorHAnsi" w:eastAsiaTheme="minorHAnsi" w:hAnsiTheme="minorHAnsi" w:cs="Georgia"/>
        </w:rPr>
        <w:t xml:space="preserve"> two cases of subacute liver failure </w:t>
      </w:r>
      <w:r>
        <w:rPr>
          <w:rFonts w:asciiTheme="minorHAnsi" w:eastAsiaTheme="minorHAnsi" w:hAnsiTheme="minorHAnsi" w:cs="Georgia"/>
        </w:rPr>
        <w:t>described by Feldman et al</w:t>
      </w:r>
      <w:r w:rsidR="00B76A61">
        <w:rPr>
          <w:rFonts w:asciiTheme="minorHAnsi" w:eastAsiaTheme="minorHAnsi" w:hAnsiTheme="minorHAnsi" w:cs="Georgia"/>
        </w:rPr>
        <w:t>. (2020)</w:t>
      </w:r>
      <w:r>
        <w:rPr>
          <w:rFonts w:asciiTheme="minorHAnsi" w:eastAsiaTheme="minorHAnsi" w:hAnsiTheme="minorHAnsi" w:cs="Georgia"/>
        </w:rPr>
        <w:t xml:space="preserve"> involved</w:t>
      </w:r>
      <w:r w:rsidRPr="00565093">
        <w:rPr>
          <w:rFonts w:asciiTheme="minorHAnsi" w:eastAsiaTheme="minorHAnsi" w:hAnsiTheme="minorHAnsi" w:cs="Georgia"/>
        </w:rPr>
        <w:t xml:space="preserve"> one child </w:t>
      </w:r>
      <w:r>
        <w:rPr>
          <w:rFonts w:asciiTheme="minorHAnsi" w:eastAsiaTheme="minorHAnsi" w:hAnsiTheme="minorHAnsi" w:cs="Georgia"/>
        </w:rPr>
        <w:t>with</w:t>
      </w:r>
      <w:r w:rsidRPr="00565093">
        <w:rPr>
          <w:rFonts w:asciiTheme="minorHAnsi" w:eastAsiaTheme="minorHAnsi" w:hAnsiTheme="minorHAnsi" w:cs="Georgia"/>
        </w:rPr>
        <w:t xml:space="preserve"> abnormal baseline liver function prior to treatment with </w:t>
      </w:r>
      <w:proofErr w:type="spellStart"/>
      <w:r w:rsidR="007359A2">
        <w:rPr>
          <w:rFonts w:asciiTheme="minorHAnsi" w:eastAsiaTheme="minorHAnsi" w:hAnsiTheme="minorHAnsi" w:cs="Georgia"/>
        </w:rPr>
        <w:t>Zolgensma</w:t>
      </w:r>
      <w:proofErr w:type="spellEnd"/>
      <w:r w:rsidRPr="00565093">
        <w:rPr>
          <w:rFonts w:asciiTheme="minorHAnsi" w:eastAsiaTheme="minorHAnsi" w:hAnsiTheme="minorHAnsi" w:cs="Georgia"/>
        </w:rPr>
        <w:t xml:space="preserve">, and one </w:t>
      </w:r>
      <w:r>
        <w:rPr>
          <w:rFonts w:asciiTheme="minorHAnsi" w:eastAsiaTheme="minorHAnsi" w:hAnsiTheme="minorHAnsi" w:cs="Georgia"/>
        </w:rPr>
        <w:t>with</w:t>
      </w:r>
      <w:r w:rsidRPr="00565093">
        <w:rPr>
          <w:rFonts w:asciiTheme="minorHAnsi" w:eastAsiaTheme="minorHAnsi" w:hAnsiTheme="minorHAnsi" w:cs="Georgia"/>
        </w:rPr>
        <w:t xml:space="preserve"> normal baseline liver function.</w:t>
      </w:r>
      <w:r w:rsidR="002A00EE">
        <w:rPr>
          <w:rFonts w:asciiTheme="minorHAnsi" w:eastAsiaTheme="minorHAnsi" w:hAnsiTheme="minorHAnsi" w:cs="Georgia"/>
        </w:rPr>
        <w:fldChar w:fldCharType="begin"/>
      </w:r>
      <w:r w:rsidR="002A00EE">
        <w:rPr>
          <w:rFonts w:asciiTheme="minorHAnsi" w:eastAsiaTheme="minorHAnsi" w:hAnsiTheme="minorHAnsi" w:cs="Georgia"/>
        </w:rPr>
        <w:instrText xml:space="preserve"> NOTEREF _Ref65515939 \f \h </w:instrText>
      </w:r>
      <w:r w:rsidR="002A00EE">
        <w:rPr>
          <w:rFonts w:asciiTheme="minorHAnsi" w:eastAsiaTheme="minorHAnsi" w:hAnsiTheme="minorHAnsi" w:cs="Georgia"/>
        </w:rPr>
      </w:r>
      <w:r w:rsidR="002A00EE">
        <w:rPr>
          <w:rFonts w:asciiTheme="minorHAnsi" w:eastAsiaTheme="minorHAnsi" w:hAnsiTheme="minorHAnsi" w:cs="Georgia"/>
        </w:rPr>
        <w:fldChar w:fldCharType="separate"/>
      </w:r>
      <w:r w:rsidR="009C2F61" w:rsidRPr="009C2F61">
        <w:rPr>
          <w:rStyle w:val="FootnoteReference"/>
        </w:rPr>
        <w:t>18</w:t>
      </w:r>
      <w:r w:rsidR="002A00EE">
        <w:rPr>
          <w:rFonts w:asciiTheme="minorHAnsi" w:eastAsiaTheme="minorHAnsi" w:hAnsiTheme="minorHAnsi" w:cs="Georgia"/>
        </w:rPr>
        <w:fldChar w:fldCharType="end"/>
      </w:r>
      <w:r w:rsidR="002A00EE">
        <w:rPr>
          <w:rFonts w:asciiTheme="minorHAnsi" w:eastAsiaTheme="minorHAnsi" w:hAnsiTheme="minorHAnsi" w:cs="Georgia"/>
        </w:rPr>
        <w:t xml:space="preserve"> </w:t>
      </w:r>
      <w:r w:rsidRPr="00565093">
        <w:rPr>
          <w:rFonts w:asciiTheme="minorHAnsi" w:eastAsiaTheme="minorHAnsi" w:hAnsiTheme="minorHAnsi" w:cs="Georgia"/>
        </w:rPr>
        <w:t xml:space="preserve">The </w:t>
      </w:r>
      <w:r w:rsidR="002A00EE">
        <w:rPr>
          <w:rFonts w:asciiTheme="minorHAnsi" w:eastAsiaTheme="minorHAnsi" w:hAnsiTheme="minorHAnsi" w:cs="Georgia"/>
        </w:rPr>
        <w:t>PI</w:t>
      </w:r>
      <w:r w:rsidRPr="00565093">
        <w:rPr>
          <w:rFonts w:asciiTheme="minorHAnsi" w:eastAsiaTheme="minorHAnsi" w:hAnsiTheme="minorHAnsi" w:cs="Georgia"/>
        </w:rPr>
        <w:t xml:space="preserve"> contains detailed warnings regarding the risk of acute serious liver injury and clinical guidance on monitoring and treatment (</w:t>
      </w:r>
      <w:r w:rsidR="002A00EE" w:rsidRPr="00565093">
        <w:rPr>
          <w:rFonts w:asciiTheme="minorHAnsi" w:eastAsiaTheme="minorHAnsi" w:hAnsiTheme="minorHAnsi" w:cs="Georgia"/>
        </w:rPr>
        <w:t xml:space="preserve">Boxed Warning; </w:t>
      </w:r>
      <w:r w:rsidR="00A15AD9">
        <w:rPr>
          <w:rFonts w:asciiTheme="minorHAnsi" w:eastAsiaTheme="minorHAnsi" w:hAnsiTheme="minorHAnsi" w:cs="Georgia"/>
        </w:rPr>
        <w:t xml:space="preserve">Section </w:t>
      </w:r>
      <w:r w:rsidR="002A00EE" w:rsidRPr="00565093">
        <w:rPr>
          <w:rFonts w:asciiTheme="minorHAnsi" w:eastAsiaTheme="minorHAnsi" w:hAnsiTheme="minorHAnsi" w:cs="Georgia"/>
        </w:rPr>
        <w:t xml:space="preserve">4.2 Dosage </w:t>
      </w:r>
      <w:r w:rsidR="00A15AD9" w:rsidRPr="00565093">
        <w:rPr>
          <w:rFonts w:asciiTheme="minorHAnsi" w:eastAsiaTheme="minorHAnsi" w:hAnsiTheme="minorHAnsi" w:cs="Georgia"/>
        </w:rPr>
        <w:t>and method of administration</w:t>
      </w:r>
      <w:r w:rsidR="002A00EE" w:rsidRPr="00565093">
        <w:rPr>
          <w:rFonts w:asciiTheme="minorHAnsi" w:eastAsiaTheme="minorHAnsi" w:hAnsiTheme="minorHAnsi" w:cs="Georgia"/>
        </w:rPr>
        <w:t xml:space="preserve">; </w:t>
      </w:r>
      <w:r w:rsidR="00A15AD9">
        <w:rPr>
          <w:rFonts w:asciiTheme="minorHAnsi" w:eastAsiaTheme="minorHAnsi" w:hAnsiTheme="minorHAnsi" w:cs="Georgia"/>
        </w:rPr>
        <w:t xml:space="preserve">Section </w:t>
      </w:r>
      <w:r w:rsidR="002A00EE" w:rsidRPr="00565093">
        <w:rPr>
          <w:rFonts w:asciiTheme="minorHAnsi" w:eastAsiaTheme="minorHAnsi" w:hAnsiTheme="minorHAnsi" w:cs="Georgia"/>
        </w:rPr>
        <w:t xml:space="preserve">4.4 Special </w:t>
      </w:r>
      <w:r w:rsidR="00A15AD9" w:rsidRPr="00565093">
        <w:rPr>
          <w:rFonts w:asciiTheme="minorHAnsi" w:eastAsiaTheme="minorHAnsi" w:hAnsiTheme="minorHAnsi" w:cs="Georgia"/>
        </w:rPr>
        <w:t>warnings and precautions for use</w:t>
      </w:r>
      <w:r w:rsidR="002A00EE" w:rsidRPr="00565093">
        <w:rPr>
          <w:rFonts w:asciiTheme="minorHAnsi" w:eastAsiaTheme="minorHAnsi" w:hAnsiTheme="minorHAnsi" w:cs="Georgia"/>
        </w:rPr>
        <w:t xml:space="preserve">; </w:t>
      </w:r>
      <w:r w:rsidR="00A15AD9">
        <w:rPr>
          <w:rFonts w:asciiTheme="minorHAnsi" w:eastAsiaTheme="minorHAnsi" w:hAnsiTheme="minorHAnsi" w:cs="Georgia"/>
        </w:rPr>
        <w:t xml:space="preserve">Section </w:t>
      </w:r>
      <w:r w:rsidR="002A00EE" w:rsidRPr="00565093">
        <w:rPr>
          <w:rFonts w:asciiTheme="minorHAnsi" w:eastAsiaTheme="minorHAnsi" w:hAnsiTheme="minorHAnsi" w:cs="Georgia"/>
        </w:rPr>
        <w:t xml:space="preserve">4.8 Adverse </w:t>
      </w:r>
      <w:r w:rsidR="00A15AD9" w:rsidRPr="00565093">
        <w:rPr>
          <w:rFonts w:asciiTheme="minorHAnsi" w:eastAsiaTheme="minorHAnsi" w:hAnsiTheme="minorHAnsi" w:cs="Georgia"/>
        </w:rPr>
        <w:t>effects (undesirable effects</w:t>
      </w:r>
      <w:r w:rsidRPr="00565093">
        <w:rPr>
          <w:rFonts w:asciiTheme="minorHAnsi" w:eastAsiaTheme="minorHAnsi" w:hAnsiTheme="minorHAnsi" w:cs="Georgia"/>
        </w:rPr>
        <w:t>)).</w:t>
      </w:r>
    </w:p>
    <w:p w14:paraId="1447F934" w14:textId="5D485034" w:rsidR="004A5212" w:rsidRDefault="004A5212" w:rsidP="004A5212">
      <w:r w:rsidRPr="00EC388A">
        <w:t xml:space="preserve">The clinical relevance of CNS toxicities reported in </w:t>
      </w:r>
      <w:r>
        <w:t xml:space="preserve">the </w:t>
      </w:r>
      <w:r w:rsidRPr="00EC388A">
        <w:t xml:space="preserve">non-human primate </w:t>
      </w:r>
      <w:r w:rsidR="002A00EE" w:rsidRPr="002A00EE">
        <w:t>IT</w:t>
      </w:r>
      <w:r w:rsidRPr="002A00EE">
        <w:t xml:space="preserve"> </w:t>
      </w:r>
      <w:r w:rsidRPr="00EC388A">
        <w:t>stud</w:t>
      </w:r>
      <w:r>
        <w:t>y</w:t>
      </w:r>
      <w:r w:rsidR="002A00EE">
        <w:t xml:space="preserve"> is unknown. </w:t>
      </w:r>
      <w:r>
        <w:t>C</w:t>
      </w:r>
      <w:r w:rsidRPr="00EC388A">
        <w:t xml:space="preserve">linically evident CNS toxicity has not been </w:t>
      </w:r>
      <w:r>
        <w:t>report</w:t>
      </w:r>
      <w:r w:rsidRPr="00EC388A">
        <w:t xml:space="preserve">ed in clinical studies involving IV </w:t>
      </w:r>
      <w:r>
        <w:t xml:space="preserve">or IT </w:t>
      </w:r>
      <w:r w:rsidR="002A00EE">
        <w:t>administration.</w:t>
      </w:r>
    </w:p>
    <w:p w14:paraId="282FF671" w14:textId="6884A492" w:rsidR="004A5212" w:rsidRDefault="004A5212" w:rsidP="004A5212">
      <w:r w:rsidRPr="00D723FF">
        <w:t xml:space="preserve">There are no studies directly comparing </w:t>
      </w:r>
      <w:proofErr w:type="spellStart"/>
      <w:r w:rsidR="007359A2">
        <w:t>Zolgensma</w:t>
      </w:r>
      <w:proofErr w:type="spellEnd"/>
      <w:r w:rsidRPr="00D723FF">
        <w:t xml:space="preserve"> </w:t>
      </w:r>
      <w:r>
        <w:t>to</w:t>
      </w:r>
      <w:r w:rsidR="002A00EE">
        <w:t xml:space="preserve"> </w:t>
      </w:r>
      <w:proofErr w:type="spellStart"/>
      <w:r w:rsidR="002A00EE">
        <w:t>nusinersen</w:t>
      </w:r>
      <w:proofErr w:type="spellEnd"/>
      <w:r w:rsidR="002A00EE">
        <w:t xml:space="preserve">. </w:t>
      </w:r>
      <w:r>
        <w:t xml:space="preserve">Prior treatment with </w:t>
      </w:r>
      <w:proofErr w:type="spellStart"/>
      <w:r>
        <w:t>nusinersen</w:t>
      </w:r>
      <w:proofErr w:type="spellEnd"/>
      <w:r>
        <w:t xml:space="preserve"> was an exclusion criterion in </w:t>
      </w:r>
      <w:r w:rsidR="00D31923">
        <w:t>Study AVXS-101-CL-303</w:t>
      </w:r>
      <w:r w:rsidR="002A00EE">
        <w:t xml:space="preserve">. </w:t>
      </w:r>
      <w:r>
        <w:t>Some patients are be</w:t>
      </w:r>
      <w:r w:rsidR="002A00EE">
        <w:t xml:space="preserve">ing treated with </w:t>
      </w:r>
      <w:proofErr w:type="spellStart"/>
      <w:r w:rsidR="002A00EE">
        <w:t>nusinersen</w:t>
      </w:r>
      <w:proofErr w:type="spellEnd"/>
      <w:r w:rsidR="002A00EE">
        <w:t xml:space="preserve"> in S</w:t>
      </w:r>
      <w:r>
        <w:t xml:space="preserve">tudy </w:t>
      </w:r>
      <w:r w:rsidR="002A00EE">
        <w:t>AVXS-101-</w:t>
      </w:r>
      <w:r>
        <w:t>LT-</w:t>
      </w:r>
      <w:r w:rsidR="00946C8F">
        <w:t>001</w:t>
      </w:r>
      <w:r>
        <w:t xml:space="preserve"> after treatment with AVXS-101 in </w:t>
      </w:r>
      <w:r w:rsidR="00D31923">
        <w:t>Study AVXS-101-CL-101</w:t>
      </w:r>
      <w:r>
        <w:t>, but data on sequenti</w:t>
      </w:r>
      <w:r w:rsidR="002A00EE">
        <w:t>al treatment are very limited.</w:t>
      </w:r>
    </w:p>
    <w:p w14:paraId="530E0984" w14:textId="77777777" w:rsidR="004A5212" w:rsidRDefault="004A5212" w:rsidP="008D6DA3">
      <w:pPr>
        <w:pStyle w:val="Heading5"/>
      </w:pPr>
      <w:r>
        <w:t>Treatment sites</w:t>
      </w:r>
    </w:p>
    <w:p w14:paraId="5C8FFD32" w14:textId="56DCAF54" w:rsidR="00456765" w:rsidRDefault="002A00EE" w:rsidP="004A5212">
      <w:r>
        <w:t>The s</w:t>
      </w:r>
      <w:r w:rsidR="004A5212">
        <w:t xml:space="preserve">ponsor advised that, at the time of the </w:t>
      </w:r>
      <w:r>
        <w:t>response to first round TGA questions</w:t>
      </w:r>
      <w:r w:rsidR="004A5212">
        <w:t xml:space="preserve">, two sites are prepared to administer </w:t>
      </w:r>
      <w:proofErr w:type="spellStart"/>
      <w:r w:rsidR="007359A2">
        <w:t>Zolgensma</w:t>
      </w:r>
      <w:proofErr w:type="spellEnd"/>
      <w:r w:rsidR="004A5212">
        <w:t xml:space="preserve"> in Australia</w:t>
      </w:r>
      <w:r>
        <w:t>. The s</w:t>
      </w:r>
      <w:r w:rsidR="004A5212">
        <w:t>ponsor is requested to comment on whether other treatment sites are planned in Australia (see</w:t>
      </w:r>
      <w:r>
        <w:t xml:space="preserve"> ‘</w:t>
      </w:r>
      <w:r w:rsidRPr="002A00EE">
        <w:rPr>
          <w:i/>
        </w:rPr>
        <w:fldChar w:fldCharType="begin"/>
      </w:r>
      <w:r w:rsidRPr="002A00EE">
        <w:rPr>
          <w:i/>
        </w:rPr>
        <w:instrText xml:space="preserve"> REF _Ref65515660 \h </w:instrText>
      </w:r>
      <w:r>
        <w:rPr>
          <w:i/>
        </w:rPr>
        <w:instrText xml:space="preserve"> \* MERGEFORMAT </w:instrText>
      </w:r>
      <w:r w:rsidRPr="002A00EE">
        <w:rPr>
          <w:i/>
        </w:rPr>
      </w:r>
      <w:r w:rsidRPr="002A00EE">
        <w:rPr>
          <w:i/>
        </w:rPr>
        <w:fldChar w:fldCharType="separate"/>
      </w:r>
      <w:r w:rsidR="009C2F61" w:rsidRPr="009C2F61">
        <w:rPr>
          <w:i/>
        </w:rPr>
        <w:t>Questions for the sponsor</w:t>
      </w:r>
      <w:r w:rsidRPr="002A00EE">
        <w:rPr>
          <w:i/>
        </w:rPr>
        <w:fldChar w:fldCharType="end"/>
      </w:r>
      <w:r>
        <w:t>’ section, below</w:t>
      </w:r>
      <w:r w:rsidR="004A5212">
        <w:t>).</w:t>
      </w:r>
    </w:p>
    <w:p w14:paraId="28BE0232" w14:textId="3B9A540E" w:rsidR="004A5212" w:rsidRPr="00D723FF" w:rsidRDefault="0033524C" w:rsidP="004A5212">
      <w:r>
        <w:t xml:space="preserve">Table [information </w:t>
      </w:r>
      <w:r w:rsidR="004D63D2">
        <w:t>redacted]</w:t>
      </w:r>
      <w:r>
        <w:t>.</w:t>
      </w:r>
    </w:p>
    <w:p w14:paraId="1C66F2C3" w14:textId="77777777" w:rsidR="004A5212" w:rsidRDefault="004A5212" w:rsidP="00262D73">
      <w:pPr>
        <w:pStyle w:val="Heading5"/>
      </w:pPr>
      <w:r w:rsidRPr="005529C3">
        <w:t>Proposed indication</w:t>
      </w:r>
    </w:p>
    <w:p w14:paraId="347BD7F7" w14:textId="77777777" w:rsidR="004A5212" w:rsidRDefault="004A5212" w:rsidP="00262D73">
      <w:r>
        <w:t>The proposed indication is:</w:t>
      </w:r>
    </w:p>
    <w:p w14:paraId="0E18F041" w14:textId="77777777" w:rsidR="004A5212" w:rsidRPr="00262D73" w:rsidRDefault="007359A2" w:rsidP="00262D73">
      <w:pPr>
        <w:ind w:left="720"/>
        <w:rPr>
          <w:i/>
        </w:rPr>
      </w:pPr>
      <w:proofErr w:type="spellStart"/>
      <w:r w:rsidRPr="00262D73">
        <w:rPr>
          <w:i/>
        </w:rPr>
        <w:t>Zolgensma</w:t>
      </w:r>
      <w:proofErr w:type="spellEnd"/>
      <w:r w:rsidR="004A5212" w:rsidRPr="00262D73">
        <w:rPr>
          <w:i/>
        </w:rPr>
        <w:t xml:space="preserve"> (</w:t>
      </w:r>
      <w:proofErr w:type="spellStart"/>
      <w:r w:rsidR="004A5212" w:rsidRPr="00262D73">
        <w:rPr>
          <w:i/>
        </w:rPr>
        <w:t>onasemnogene</w:t>
      </w:r>
      <w:proofErr w:type="spellEnd"/>
      <w:r w:rsidR="004A5212" w:rsidRPr="00262D73">
        <w:rPr>
          <w:i/>
        </w:rPr>
        <w:t xml:space="preserve"> </w:t>
      </w:r>
      <w:proofErr w:type="spellStart"/>
      <w:r w:rsidR="004A5212" w:rsidRPr="00262D73">
        <w:rPr>
          <w:i/>
        </w:rPr>
        <w:t>abeparvovec</w:t>
      </w:r>
      <w:proofErr w:type="spellEnd"/>
      <w:r w:rsidR="004A5212" w:rsidRPr="00262D73">
        <w:rPr>
          <w:i/>
        </w:rPr>
        <w:t xml:space="preserve">) is indicated for the treatment of paediatric patients less than 2 years of age with spinal muscular atrophy (SMA) with bi-allelic mutations in the </w:t>
      </w:r>
      <w:r w:rsidR="004A5212" w:rsidRPr="00262D73">
        <w:rPr>
          <w:rFonts w:cs="Cambria-Italic"/>
          <w:i/>
          <w:iCs/>
        </w:rPr>
        <w:t xml:space="preserve">survival motor neuron 1 (SMN1) </w:t>
      </w:r>
      <w:r w:rsidR="004A5212" w:rsidRPr="00262D73">
        <w:rPr>
          <w:i/>
        </w:rPr>
        <w:t>gene.</w:t>
      </w:r>
    </w:p>
    <w:p w14:paraId="6DC5B910" w14:textId="77777777" w:rsidR="004A5212" w:rsidRDefault="004A5212" w:rsidP="004A5212">
      <w:r>
        <w:t>The clinical evaluator has recommended the following indication:</w:t>
      </w:r>
    </w:p>
    <w:p w14:paraId="555997A4" w14:textId="77777777" w:rsidR="004A5212" w:rsidRPr="00262D73" w:rsidRDefault="007359A2" w:rsidP="00262D73">
      <w:pPr>
        <w:ind w:left="720"/>
        <w:rPr>
          <w:rFonts w:eastAsia="Times New Roman"/>
          <w:i/>
          <w:lang w:eastAsia="ja-JP"/>
        </w:rPr>
      </w:pPr>
      <w:proofErr w:type="spellStart"/>
      <w:r w:rsidRPr="00262D73">
        <w:rPr>
          <w:i/>
          <w:lang w:eastAsia="ja-JP"/>
        </w:rPr>
        <w:t>Zolgensma</w:t>
      </w:r>
      <w:proofErr w:type="spellEnd"/>
      <w:r w:rsidR="004A5212" w:rsidRPr="00262D73">
        <w:rPr>
          <w:i/>
          <w:lang w:eastAsia="ja-JP"/>
        </w:rPr>
        <w:t xml:space="preserve"> (</w:t>
      </w:r>
      <w:proofErr w:type="spellStart"/>
      <w:r w:rsidR="004A5212" w:rsidRPr="00262D73">
        <w:rPr>
          <w:i/>
          <w:lang w:eastAsia="ja-JP"/>
        </w:rPr>
        <w:t>onasemnogene</w:t>
      </w:r>
      <w:proofErr w:type="spellEnd"/>
      <w:r w:rsidR="004A5212" w:rsidRPr="00262D73">
        <w:rPr>
          <w:i/>
          <w:lang w:eastAsia="ja-JP"/>
        </w:rPr>
        <w:t xml:space="preserve"> </w:t>
      </w:r>
      <w:proofErr w:type="spellStart"/>
      <w:r w:rsidR="004A5212" w:rsidRPr="00262D73">
        <w:rPr>
          <w:i/>
          <w:lang w:eastAsia="ja-JP"/>
        </w:rPr>
        <w:t>abeparvovec</w:t>
      </w:r>
      <w:proofErr w:type="spellEnd"/>
      <w:r w:rsidR="004A5212" w:rsidRPr="00262D73">
        <w:rPr>
          <w:i/>
          <w:lang w:eastAsia="ja-JP"/>
        </w:rPr>
        <w:t>) is indicated for the treatment of paediatric patients less than 2 years of age with spinal muscular atrophy (SMA) with bi-allelic mutations in the survival motor neuron 1 (SMN1) gene and up to 3 copies of the SMN2 gene.</w:t>
      </w:r>
    </w:p>
    <w:p w14:paraId="691B6018" w14:textId="5CA6A5A2" w:rsidR="004A5212" w:rsidRDefault="004A5212" w:rsidP="00262D73">
      <w:r>
        <w:t xml:space="preserve">The treatment population in the proposed indication is broader than the populations assessed in Studies </w:t>
      </w:r>
      <w:r w:rsidR="00DC4F13">
        <w:t>AVXS-101-CL-303</w:t>
      </w:r>
      <w:r>
        <w:t xml:space="preserve"> and </w:t>
      </w:r>
      <w:r w:rsidR="00DC4F13">
        <w:t xml:space="preserve">AVXS-101-CL-101. </w:t>
      </w:r>
      <w:r>
        <w:t>The upper limit of the proposed age range is greater than the age at which treatment was given in the clinical studies, and the proposed indication is silent with regard to onset of clinical symptoms, SMA type,</w:t>
      </w:r>
      <w:r w:rsidR="00DC4F13">
        <w:t xml:space="preserve"> and number of copies of </w:t>
      </w:r>
      <w:r w:rsidR="00DC4F13" w:rsidRPr="005F7A49">
        <w:rPr>
          <w:i/>
        </w:rPr>
        <w:t>SMN2</w:t>
      </w:r>
      <w:r w:rsidR="00DC4F13">
        <w:t>.</w:t>
      </w:r>
    </w:p>
    <w:p w14:paraId="5A4259AD" w14:textId="09E51A32" w:rsidR="004A5212" w:rsidRDefault="004A5212" w:rsidP="00262D73">
      <w:r>
        <w:t xml:space="preserve">All patients in </w:t>
      </w:r>
      <w:r w:rsidR="00DC4F13">
        <w:t>Studies AVXS-101-CL-303 and AVXS-101-CL-101</w:t>
      </w:r>
      <w:r>
        <w:t xml:space="preserve"> had bi-allelic mutations (deletions) of </w:t>
      </w:r>
      <w:r w:rsidRPr="005F7A49">
        <w:rPr>
          <w:i/>
        </w:rPr>
        <w:t>SMN1</w:t>
      </w:r>
      <w:r>
        <w:t xml:space="preserve">, two copies of </w:t>
      </w:r>
      <w:r w:rsidRPr="005F7A49">
        <w:rPr>
          <w:i/>
        </w:rPr>
        <w:t>SMN2</w:t>
      </w:r>
      <w:r>
        <w:t>, absence of the c.859G</w:t>
      </w:r>
      <w:r w:rsidR="00DC4F13">
        <w:t xml:space="preserve"> </w:t>
      </w:r>
      <w:r>
        <w:t>&gt;</w:t>
      </w:r>
      <w:r w:rsidR="00DC4F13">
        <w:t xml:space="preserve"> </w:t>
      </w:r>
      <w:r>
        <w:t>C mutation, and clinical o</w:t>
      </w:r>
      <w:r w:rsidR="00DC4F13">
        <w:t>nset prior to 6 months of age. In the Phase III</w:t>
      </w:r>
      <w:r>
        <w:t xml:space="preserve"> </w:t>
      </w:r>
      <w:r w:rsidR="00D31923">
        <w:t>Study AVXS-101-CL-303</w:t>
      </w:r>
      <w:r>
        <w:t>, all patients were tre</w:t>
      </w:r>
      <w:r w:rsidR="00DC4F13">
        <w:t xml:space="preserve">ated prior to 6 months of age. </w:t>
      </w:r>
      <w:r>
        <w:t xml:space="preserve">In </w:t>
      </w:r>
      <w:r w:rsidR="00D31923">
        <w:t>Study AVXS-101-CL-101</w:t>
      </w:r>
      <w:r>
        <w:t>, all patients were treated prior to 8 months of age, as an earlier protocol allowe</w:t>
      </w:r>
      <w:r w:rsidR="00DC4F13">
        <w:t xml:space="preserve">d enrolment of patients up to 9 months of age. </w:t>
      </w:r>
      <w:r>
        <w:t xml:space="preserve">Although </w:t>
      </w:r>
      <w:r w:rsidR="00D31923">
        <w:t>Study AVXS-101-CL-303</w:t>
      </w:r>
      <w:r>
        <w:t xml:space="preserve"> was des</w:t>
      </w:r>
      <w:r w:rsidR="00DC4F13">
        <w:t>igned to allow inclusion of pre</w:t>
      </w:r>
      <w:r w:rsidR="00DC4F13">
        <w:noBreakHyphen/>
      </w:r>
      <w:r>
        <w:t xml:space="preserve">symptomatic patients, patients with 1 copy of </w:t>
      </w:r>
      <w:r w:rsidRPr="005F7A49">
        <w:rPr>
          <w:i/>
        </w:rPr>
        <w:t>SMN2</w:t>
      </w:r>
      <w:r>
        <w:t xml:space="preserve">, and patients with the </w:t>
      </w:r>
      <w:r w:rsidRPr="00982373">
        <w:t>c.859G</w:t>
      </w:r>
      <w:r w:rsidR="00DC4F13">
        <w:t> </w:t>
      </w:r>
      <w:r w:rsidRPr="00982373">
        <w:t>&gt;</w:t>
      </w:r>
      <w:r w:rsidR="00DC4F13">
        <w:t> </w:t>
      </w:r>
      <w:r w:rsidRPr="00982373">
        <w:t>C mutation</w:t>
      </w:r>
      <w:r>
        <w:t>, ultimately no patients with these characteristic</w:t>
      </w:r>
      <w:r w:rsidR="00DC4F13">
        <w:t>s were enrolled in the study.</w:t>
      </w:r>
    </w:p>
    <w:p w14:paraId="3E771D56" w14:textId="2092D4A5" w:rsidR="004A5212" w:rsidRDefault="00DC4F13" w:rsidP="00262D73">
      <w:r>
        <w:t>Studies AVXS-101-CL-303 and AVXS-101-CL-101</w:t>
      </w:r>
      <w:r w:rsidR="002B4381">
        <w:t xml:space="preserve"> </w:t>
      </w:r>
      <w:r w:rsidR="004A5212">
        <w:t xml:space="preserve">did not include </w:t>
      </w:r>
      <w:r>
        <w:t xml:space="preserve">patients with 3 copies of </w:t>
      </w:r>
      <w:r w:rsidRPr="005F7A49">
        <w:rPr>
          <w:i/>
        </w:rPr>
        <w:t>SMN2</w:t>
      </w:r>
      <w:r>
        <w:t>.</w:t>
      </w:r>
      <w:r w:rsidR="004A5212">
        <w:t xml:space="preserve"> </w:t>
      </w:r>
      <w:r w:rsidR="00D31923">
        <w:t>Study AVXS-101-CL-304</w:t>
      </w:r>
      <w:r w:rsidR="004A5212">
        <w:t xml:space="preserve"> has enrolled pre-symptomatic patients expected to develop SMA </w:t>
      </w:r>
      <w:r w:rsidR="005A2B53">
        <w:t>type</w:t>
      </w:r>
      <w:r w:rsidR="004A5212">
        <w:t xml:space="preserve"> 1 or 2 and who have 2 or 3 copies of </w:t>
      </w:r>
      <w:r>
        <w:t xml:space="preserve">the </w:t>
      </w:r>
      <w:r w:rsidRPr="005F7A49">
        <w:rPr>
          <w:i/>
        </w:rPr>
        <w:t>SMN2</w:t>
      </w:r>
      <w:r>
        <w:t xml:space="preserve"> gene. </w:t>
      </w:r>
      <w:r w:rsidR="004A5212">
        <w:t>This study is ongoing and only preliminary re</w:t>
      </w:r>
      <w:r>
        <w:t xml:space="preserve">sults are currently available. </w:t>
      </w:r>
      <w:r w:rsidR="00A15AD9">
        <w:t>The early data in Cohort 1 (2 </w:t>
      </w:r>
      <w:r w:rsidR="004A5212">
        <w:t>copi</w:t>
      </w:r>
      <w:r>
        <w:t xml:space="preserve">es of </w:t>
      </w:r>
      <w:r w:rsidRPr="005F7A49">
        <w:rPr>
          <w:i/>
        </w:rPr>
        <w:t>SMN2</w:t>
      </w:r>
      <w:r>
        <w:t xml:space="preserve">) appear favourable. </w:t>
      </w:r>
      <w:r w:rsidR="004A5212">
        <w:t xml:space="preserve">The clinical benefit in patients with 3 copies of </w:t>
      </w:r>
      <w:r w:rsidR="004A5212" w:rsidRPr="005F7A49">
        <w:rPr>
          <w:i/>
        </w:rPr>
        <w:t>SMN2</w:t>
      </w:r>
      <w:r w:rsidR="004A5212">
        <w:t xml:space="preserve"> is less certain because the data are immature and there is heterogeneity in the n</w:t>
      </w:r>
      <w:r>
        <w:t>atural history of the disease.</w:t>
      </w:r>
    </w:p>
    <w:p w14:paraId="7AAD3DC3" w14:textId="6DD1B081" w:rsidR="004A5212" w:rsidRDefault="004A5212" w:rsidP="00262D73">
      <w:r>
        <w:t xml:space="preserve">The treatment population can be defined by various clinical and genetic criteria, including age, </w:t>
      </w:r>
      <w:r w:rsidRPr="005F7A49">
        <w:rPr>
          <w:i/>
        </w:rPr>
        <w:t>SMN1</w:t>
      </w:r>
      <w:r>
        <w:t xml:space="preserve"> gene mutations, SMA type, number of copies of </w:t>
      </w:r>
      <w:r w:rsidRPr="005F7A49">
        <w:rPr>
          <w:i/>
        </w:rPr>
        <w:t>SMN2</w:t>
      </w:r>
      <w:r>
        <w:t xml:space="preserve">, </w:t>
      </w:r>
      <w:r w:rsidR="00A15AD9">
        <w:t xml:space="preserve">and clinical onset of disease. </w:t>
      </w:r>
      <w:r>
        <w:t>Internationally, regulators have adopted different criteria to define the treatment population (</w:t>
      </w:r>
      <w:r w:rsidR="00DC4F13">
        <w:t>see ‘</w:t>
      </w:r>
      <w:r w:rsidR="00DC4F13" w:rsidRPr="00DC4F13">
        <w:rPr>
          <w:i/>
        </w:rPr>
        <w:fldChar w:fldCharType="begin"/>
      </w:r>
      <w:r w:rsidR="00DC4F13" w:rsidRPr="00DC4F13">
        <w:rPr>
          <w:i/>
        </w:rPr>
        <w:instrText xml:space="preserve"> REF _Ref65516825 \h </w:instrText>
      </w:r>
      <w:r w:rsidR="00DC4F13">
        <w:rPr>
          <w:i/>
        </w:rPr>
        <w:instrText xml:space="preserve"> \* MERGEFORMAT </w:instrText>
      </w:r>
      <w:r w:rsidR="00DC4F13" w:rsidRPr="00DC4F13">
        <w:rPr>
          <w:i/>
        </w:rPr>
      </w:r>
      <w:r w:rsidR="00DC4F13" w:rsidRPr="00DC4F13">
        <w:rPr>
          <w:i/>
        </w:rPr>
        <w:fldChar w:fldCharType="separate"/>
      </w:r>
      <w:r w:rsidR="009C2F61" w:rsidRPr="009C2F61">
        <w:rPr>
          <w:i/>
        </w:rPr>
        <w:t>Regulatory status</w:t>
      </w:r>
      <w:r w:rsidR="00DC4F13" w:rsidRPr="00DC4F13">
        <w:rPr>
          <w:i/>
        </w:rPr>
        <w:fldChar w:fldCharType="end"/>
      </w:r>
      <w:r w:rsidR="00DC4F13">
        <w:t>’ section, above).</w:t>
      </w:r>
    </w:p>
    <w:p w14:paraId="632753A7" w14:textId="38983D78" w:rsidR="004A5212" w:rsidRPr="00A73466" w:rsidRDefault="004A5212" w:rsidP="00262D73">
      <w:r w:rsidRPr="00A73466">
        <w:t>The clinical evaluator h</w:t>
      </w:r>
      <w:r w:rsidR="00DC4F13">
        <w:t>as recommended the addition of ‘</w:t>
      </w:r>
      <w:r w:rsidRPr="00A15AD9">
        <w:rPr>
          <w:i/>
        </w:rPr>
        <w:t xml:space="preserve">and </w:t>
      </w:r>
      <w:r w:rsidR="00DC4F13" w:rsidRPr="00A15AD9">
        <w:rPr>
          <w:i/>
        </w:rPr>
        <w:t>up to 3 copies of the SMN2 gene</w:t>
      </w:r>
      <w:r w:rsidR="00DC4F13">
        <w:t>’</w:t>
      </w:r>
      <w:r w:rsidRPr="00A73466">
        <w:t xml:space="preserve"> to the proposed indication, </w:t>
      </w:r>
      <w:r w:rsidR="00DC4F13">
        <w:t>however, the Delegate is</w:t>
      </w:r>
      <w:r w:rsidRPr="00A73466">
        <w:t xml:space="preserve"> concerned that the data in patients with 3 copies of </w:t>
      </w:r>
      <w:r w:rsidRPr="005F7A49">
        <w:rPr>
          <w:i/>
        </w:rPr>
        <w:t>SMN2</w:t>
      </w:r>
      <w:r>
        <w:t xml:space="preserve"> </w:t>
      </w:r>
      <w:r w:rsidRPr="00A73466">
        <w:t>are</w:t>
      </w:r>
      <w:r>
        <w:t xml:space="preserve"> im</w:t>
      </w:r>
      <w:r w:rsidR="00DC4F13">
        <w:t xml:space="preserve">mature. The Delegate notes </w:t>
      </w:r>
      <w:r w:rsidRPr="00A73466">
        <w:t xml:space="preserve">that this wording is </w:t>
      </w:r>
      <w:r>
        <w:t xml:space="preserve">included </w:t>
      </w:r>
      <w:r w:rsidRPr="00A73466">
        <w:t>in the European indication, but that is a conditional marketing authorisation (broadly equivalent to provisional registration in Austr</w:t>
      </w:r>
      <w:r w:rsidR="00DC4F13">
        <w:t>alia). The s</w:t>
      </w:r>
      <w:r w:rsidRPr="00A73466">
        <w:t>ponsor did not apply for provisio</w:t>
      </w:r>
      <w:r w:rsidR="00DC4F13">
        <w:t>nal registration in Australia.</w:t>
      </w:r>
      <w:r w:rsidR="00DC4F13">
        <w:rPr>
          <w:rStyle w:val="FootnoteReference"/>
        </w:rPr>
        <w:footnoteReference w:id="20"/>
      </w:r>
    </w:p>
    <w:p w14:paraId="76C12A92" w14:textId="30A04AB8" w:rsidR="004A5212" w:rsidRDefault="00DC4F13" w:rsidP="00474E4C">
      <w:pPr>
        <w:pageBreakBefore/>
      </w:pPr>
      <w:bookmarkStart w:id="81" w:name="Indication"/>
      <w:r>
        <w:t>The Delegate is</w:t>
      </w:r>
      <w:r w:rsidR="004A5212" w:rsidRPr="00A73466">
        <w:t xml:space="preserve"> considering whether the indication should be restricted to a population more closely aligned to the populations </w:t>
      </w:r>
      <w:r w:rsidR="004A5212">
        <w:t>assess</w:t>
      </w:r>
      <w:r w:rsidR="004A5212" w:rsidRPr="00A73466">
        <w:t xml:space="preserve">ed in </w:t>
      </w:r>
      <w:r>
        <w:t>S</w:t>
      </w:r>
      <w:r w:rsidR="00A15AD9">
        <w:t>tudies AVXS-101-CL-303 and AVXS</w:t>
      </w:r>
      <w:r w:rsidR="00A15AD9">
        <w:noBreakHyphen/>
      </w:r>
      <w:r>
        <w:t xml:space="preserve">101-CL-101. The Delegate is </w:t>
      </w:r>
      <w:r w:rsidR="004A5212" w:rsidRPr="00A73466">
        <w:t xml:space="preserve">also considering whether the proposed indication </w:t>
      </w:r>
      <w:r w:rsidR="004A5212">
        <w:t>c</w:t>
      </w:r>
      <w:r w:rsidR="004A5212" w:rsidRPr="00A73466">
        <w:t xml:space="preserve">ould be acceptable if the </w:t>
      </w:r>
      <w:r>
        <w:t>PI</w:t>
      </w:r>
      <w:r w:rsidR="004A5212" w:rsidRPr="00A73466">
        <w:t xml:space="preserve"> contained detailed descriptions of the limit</w:t>
      </w:r>
      <w:r>
        <w:t>ations of the clinical dataset.</w:t>
      </w:r>
      <w:r w:rsidR="004A5212" w:rsidRPr="00A73466">
        <w:t xml:space="preserve"> </w:t>
      </w:r>
      <w:r>
        <w:t xml:space="preserve">The Delegate </w:t>
      </w:r>
      <w:r w:rsidR="004A5212" w:rsidRPr="00A73466">
        <w:t xml:space="preserve">would like to consider advice from </w:t>
      </w:r>
      <w:r w:rsidR="004A5212">
        <w:t xml:space="preserve">clinical experts before formalising </w:t>
      </w:r>
      <w:r>
        <w:t>their</w:t>
      </w:r>
      <w:r w:rsidR="004A5212">
        <w:t xml:space="preserve"> position on the indication.</w:t>
      </w:r>
      <w:r w:rsidR="004A5212" w:rsidRPr="00B5484A">
        <w:t xml:space="preserve"> </w:t>
      </w:r>
      <w:r>
        <w:t xml:space="preserve">The Delegate is </w:t>
      </w:r>
      <w:r w:rsidR="004A5212">
        <w:t xml:space="preserve">particularly </w:t>
      </w:r>
      <w:bookmarkEnd w:id="81"/>
      <w:r w:rsidR="004A5212">
        <w:t>interested in the perspective of the clinical experts with regard to whether:</w:t>
      </w:r>
    </w:p>
    <w:p w14:paraId="6B8B1B5F" w14:textId="1E2AFAAA" w:rsidR="004A5212" w:rsidRPr="00262D73" w:rsidRDefault="004A5212" w:rsidP="00262D73">
      <w:pPr>
        <w:pStyle w:val="ListBullet"/>
      </w:pPr>
      <w:r w:rsidRPr="00262D73">
        <w:t>the indication should be restrict</w:t>
      </w:r>
      <w:r w:rsidR="00DC4F13">
        <w:t xml:space="preserve">ed to patients with SMA </w:t>
      </w:r>
      <w:r w:rsidR="005A2B53">
        <w:t>type</w:t>
      </w:r>
      <w:r w:rsidR="00DC4F13">
        <w:t xml:space="preserve"> 1;</w:t>
      </w:r>
    </w:p>
    <w:p w14:paraId="52A600EC" w14:textId="1BF7A982" w:rsidR="004A5212" w:rsidRPr="00262D73" w:rsidRDefault="004A5212" w:rsidP="00262D73">
      <w:pPr>
        <w:pStyle w:val="ListBullet"/>
      </w:pPr>
      <w:r w:rsidRPr="00262D73">
        <w:t>the indication should be restricted to patients with ev</w:t>
      </w:r>
      <w:r w:rsidR="00DC4F13">
        <w:t>idence of clinical onset of SMA;</w:t>
      </w:r>
    </w:p>
    <w:p w14:paraId="457E4FDA" w14:textId="41DB357A" w:rsidR="004A5212" w:rsidRPr="00262D73" w:rsidRDefault="004A5212" w:rsidP="00262D73">
      <w:pPr>
        <w:pStyle w:val="ListBullet"/>
      </w:pPr>
      <w:r w:rsidRPr="00262D73">
        <w:t>the pr</w:t>
      </w:r>
      <w:r w:rsidR="00DC4F13">
        <w:t>oposed age range is appropriate;</w:t>
      </w:r>
    </w:p>
    <w:p w14:paraId="19CA2A2D" w14:textId="662A2088" w:rsidR="004A5212" w:rsidRDefault="004A5212" w:rsidP="00262D73">
      <w:pPr>
        <w:pStyle w:val="ListBullet"/>
      </w:pPr>
      <w:r w:rsidRPr="00262D73">
        <w:t xml:space="preserve">the indication should specify the number of copies of </w:t>
      </w:r>
      <w:r w:rsidRPr="005F7A49">
        <w:rPr>
          <w:i/>
        </w:rPr>
        <w:t>SMN2</w:t>
      </w:r>
      <w:r w:rsidRPr="00262D73">
        <w:t>.</w:t>
      </w:r>
    </w:p>
    <w:p w14:paraId="1757F190" w14:textId="77777777" w:rsidR="00262D73" w:rsidRPr="002B0782" w:rsidRDefault="00262D73" w:rsidP="00262D73">
      <w:pPr>
        <w:pStyle w:val="Heading5"/>
      </w:pPr>
      <w:r>
        <w:t>Proposed conditions of registration</w:t>
      </w:r>
    </w:p>
    <w:p w14:paraId="2EAEE901" w14:textId="0AEAC04D" w:rsidR="00262D73" w:rsidRPr="003E788F" w:rsidRDefault="00DC4F13" w:rsidP="00DC4F13">
      <w:pPr>
        <w:pStyle w:val="ListBullet"/>
      </w:pPr>
      <w:r>
        <w:t>Risk management conditions as outlined in ‘</w:t>
      </w:r>
      <w:r w:rsidRPr="00DC4F13">
        <w:rPr>
          <w:i/>
        </w:rPr>
        <w:fldChar w:fldCharType="begin"/>
      </w:r>
      <w:r w:rsidRPr="00DC4F13">
        <w:rPr>
          <w:i/>
        </w:rPr>
        <w:instrText xml:space="preserve"> REF _Ref65517071 \h </w:instrText>
      </w:r>
      <w:r>
        <w:rPr>
          <w:i/>
        </w:rPr>
        <w:instrText xml:space="preserve"> \* MERGEFORMAT </w:instrText>
      </w:r>
      <w:r w:rsidRPr="00DC4F13">
        <w:rPr>
          <w:i/>
        </w:rPr>
      </w:r>
      <w:r w:rsidRPr="00DC4F13">
        <w:rPr>
          <w:i/>
        </w:rPr>
        <w:fldChar w:fldCharType="separate"/>
      </w:r>
      <w:r w:rsidR="009C2F61" w:rsidRPr="009C2F61">
        <w:rPr>
          <w:i/>
        </w:rPr>
        <w:t>Proposed risk management conditions of registration</w:t>
      </w:r>
      <w:r w:rsidRPr="00DC4F13">
        <w:rPr>
          <w:i/>
        </w:rPr>
        <w:fldChar w:fldCharType="end"/>
      </w:r>
      <w:r>
        <w:t>’ section, above.</w:t>
      </w:r>
    </w:p>
    <w:p w14:paraId="072D8E6E" w14:textId="51D791DB" w:rsidR="00262D73" w:rsidRPr="00367BA2" w:rsidRDefault="00262D73" w:rsidP="00DC4F13">
      <w:pPr>
        <w:pStyle w:val="ListBullet"/>
      </w:pPr>
      <w:r w:rsidRPr="00367BA2">
        <w:t xml:space="preserve">Preparation and administration of </w:t>
      </w:r>
      <w:proofErr w:type="spellStart"/>
      <w:r>
        <w:t>Zolgensma</w:t>
      </w:r>
      <w:proofErr w:type="spellEnd"/>
      <w:r w:rsidRPr="00367BA2">
        <w:t xml:space="preserve"> is restricted to clinical facilities accredited to the National Safety and Quality He</w:t>
      </w:r>
      <w:r w:rsidR="00DC4F13">
        <w:t>alth Service (NSQHS) Standards.</w:t>
      </w:r>
    </w:p>
    <w:p w14:paraId="792EDBC4" w14:textId="457B8F82" w:rsidR="00262D73" w:rsidRPr="00262D73" w:rsidRDefault="00DC4F13" w:rsidP="00DC4F13">
      <w:pPr>
        <w:pStyle w:val="ListBullet"/>
      </w:pPr>
      <w:r>
        <w:t>Quality conditions as outlined in ‘</w:t>
      </w:r>
      <w:r w:rsidRPr="00DC4F13">
        <w:rPr>
          <w:i/>
        </w:rPr>
        <w:fldChar w:fldCharType="begin"/>
      </w:r>
      <w:r w:rsidRPr="00DC4F13">
        <w:rPr>
          <w:i/>
        </w:rPr>
        <w:instrText xml:space="preserve"> REF _Ref65517081 \h </w:instrText>
      </w:r>
      <w:r>
        <w:rPr>
          <w:i/>
        </w:rPr>
        <w:instrText xml:space="preserve"> \* MERGEFORMAT </w:instrText>
      </w:r>
      <w:r w:rsidRPr="00DC4F13">
        <w:rPr>
          <w:i/>
        </w:rPr>
      </w:r>
      <w:r w:rsidRPr="00DC4F13">
        <w:rPr>
          <w:i/>
        </w:rPr>
        <w:fldChar w:fldCharType="separate"/>
      </w:r>
      <w:r w:rsidR="009C2F61" w:rsidRPr="009C2F61">
        <w:rPr>
          <w:i/>
        </w:rPr>
        <w:t>Proposed quality conditions of registration</w:t>
      </w:r>
      <w:r w:rsidRPr="00DC4F13">
        <w:rPr>
          <w:i/>
        </w:rPr>
        <w:fldChar w:fldCharType="end"/>
      </w:r>
      <w:r>
        <w:t>’ section, above.</w:t>
      </w:r>
    </w:p>
    <w:p w14:paraId="7BC0BADD" w14:textId="77777777" w:rsidR="004A5212" w:rsidRDefault="004A5212" w:rsidP="004A5212">
      <w:pPr>
        <w:pStyle w:val="Heading5"/>
      </w:pPr>
      <w:r>
        <w:t>Conclusions</w:t>
      </w:r>
    </w:p>
    <w:p w14:paraId="2BCDAB2B" w14:textId="59347336" w:rsidR="004A5212" w:rsidRDefault="004A5212" w:rsidP="00262D73">
      <w:r>
        <w:t xml:space="preserve">The efficacy of a single intravenous infusion of </w:t>
      </w:r>
      <w:proofErr w:type="spellStart"/>
      <w:r w:rsidR="007359A2">
        <w:t>Zolgensma</w:t>
      </w:r>
      <w:proofErr w:type="spellEnd"/>
      <w:r>
        <w:t xml:space="preserve"> at the proposed dose</w:t>
      </w:r>
      <w:r w:rsidRPr="00A37698">
        <w:t xml:space="preserve"> </w:t>
      </w:r>
      <w:r>
        <w:t>has been demonstrated in patients with SMA</w:t>
      </w:r>
      <w:r w:rsidRPr="009B0696">
        <w:t xml:space="preserve"> </w:t>
      </w:r>
      <w:r w:rsidR="005A2B53">
        <w:t>type</w:t>
      </w:r>
      <w:r>
        <w:t xml:space="preserve"> 1 in the P</w:t>
      </w:r>
      <w:r w:rsidR="00DC4F13">
        <w:t>hase III</w:t>
      </w:r>
      <w:r>
        <w:t xml:space="preserve"> </w:t>
      </w:r>
      <w:r w:rsidR="00D31923">
        <w:t>Study AVXS-101-CL-303</w:t>
      </w:r>
      <w:r w:rsidR="00DC4F13">
        <w:t xml:space="preserve"> and the Phase I</w:t>
      </w:r>
      <w:r>
        <w:t xml:space="preserve"> </w:t>
      </w:r>
      <w:r w:rsidR="00D31923">
        <w:t>Study AVXS-101-CL-101</w:t>
      </w:r>
      <w:r w:rsidR="00DC4F13">
        <w:t xml:space="preserve">. </w:t>
      </w:r>
      <w:r>
        <w:t xml:space="preserve">All patients in the completed studies had bi-allelic deletions of </w:t>
      </w:r>
      <w:r w:rsidRPr="005F7A49">
        <w:rPr>
          <w:i/>
        </w:rPr>
        <w:t>SMN1</w:t>
      </w:r>
      <w:r>
        <w:t xml:space="preserve">, two copies of </w:t>
      </w:r>
      <w:r w:rsidRPr="005F7A49">
        <w:rPr>
          <w:i/>
        </w:rPr>
        <w:t>SMN2</w:t>
      </w:r>
      <w:r>
        <w:t>,</w:t>
      </w:r>
      <w:r>
        <w:rPr>
          <w:rFonts w:eastAsiaTheme="minorHAnsi" w:cs="Georgia"/>
        </w:rPr>
        <w:t xml:space="preserve"> and</w:t>
      </w:r>
      <w:r>
        <w:t xml:space="preserve"> clinical o</w:t>
      </w:r>
      <w:r w:rsidR="00DC4F13">
        <w:t xml:space="preserve">nset prior to 6 months of age. </w:t>
      </w:r>
      <w:r>
        <w:t>Both studies showed marked improvements in survival without permanent ventilation compared to untreated subjects from natural history studies, and achievement of motor milestones that would not be expected based on the n</w:t>
      </w:r>
      <w:r w:rsidR="00DC4F13">
        <w:t>atural history of the disease.</w:t>
      </w:r>
    </w:p>
    <w:p w14:paraId="0C2C6645" w14:textId="0B2F074B" w:rsidR="004A5212" w:rsidRDefault="004A5212" w:rsidP="00262D73">
      <w:r>
        <w:t xml:space="preserve">The safety evaluation has identified </w:t>
      </w:r>
      <w:proofErr w:type="spellStart"/>
      <w:r>
        <w:t>hepatoxicity</w:t>
      </w:r>
      <w:proofErr w:type="spellEnd"/>
      <w:r>
        <w:t xml:space="preserve"> as an important safety concern, with </w:t>
      </w:r>
      <w:r w:rsidR="00DC4F13">
        <w:t xml:space="preserve">a risk of severe liver injury. </w:t>
      </w:r>
      <w:r>
        <w:t>This risk is expected to be manageable with close monitoring, prophylactic treatment with oral corticosteroids, and treatment with more intensive systemic corticosteroids when clinically required. Overall, the safety dataset is limited, so there is a risk that the full extent of toxicities may not yet have been identified.</w:t>
      </w:r>
    </w:p>
    <w:p w14:paraId="1E5C09C9" w14:textId="470E89C3" w:rsidR="004A5212" w:rsidRDefault="004A5212" w:rsidP="00262D73">
      <w:r>
        <w:t>Although there are notable risks and uncertainties associated with the proposed treatment, the benefit-risk is favourable given the marked benefits in survival and motor development demonstrated in infants with this devastating disease, for which treatm</w:t>
      </w:r>
      <w:r w:rsidR="00DC4F13">
        <w:t>ent options are very limited. The Delegate</w:t>
      </w:r>
      <w:r>
        <w:t xml:space="preserve"> would like to consider advice from clinical experts before formalising </w:t>
      </w:r>
      <w:r w:rsidR="00DC4F13">
        <w:t>their</w:t>
      </w:r>
      <w:r>
        <w:t xml:space="preserve"> position on the wording of the indication.</w:t>
      </w:r>
    </w:p>
    <w:p w14:paraId="54C7F48D" w14:textId="4362A4C0" w:rsidR="004A5212" w:rsidRPr="00367BA2" w:rsidRDefault="004A5212" w:rsidP="00262D73">
      <w:r>
        <w:t>The limitations in the efficacy and safety datasets are being managed throug</w:t>
      </w:r>
      <w:r w:rsidR="00DC4F13">
        <w:t xml:space="preserve">h long-term follow-up studies. </w:t>
      </w:r>
      <w:r>
        <w:t>Data from Australian patients will be included in the multinational registry study monitoring</w:t>
      </w:r>
      <w:r w:rsidR="00871924">
        <w:t xml:space="preserve"> long-term efficacy and safety.</w:t>
      </w:r>
    </w:p>
    <w:p w14:paraId="26847DAA" w14:textId="77777777" w:rsidR="00D23139" w:rsidRDefault="00D23139" w:rsidP="00D23139">
      <w:pPr>
        <w:pStyle w:val="Heading4"/>
      </w:pPr>
      <w:r w:rsidRPr="00D23139">
        <w:t>Proposed action</w:t>
      </w:r>
    </w:p>
    <w:p w14:paraId="43D59CC1" w14:textId="77777777" w:rsidR="00456765" w:rsidRPr="00456765" w:rsidRDefault="004A5212" w:rsidP="004A5212">
      <w:r>
        <w:t xml:space="preserve">The Delegate has no reason to say, at this time, that the application for </w:t>
      </w:r>
      <w:proofErr w:type="spellStart"/>
      <w:r w:rsidR="007359A2">
        <w:t>Zolgensma</w:t>
      </w:r>
      <w:proofErr w:type="spellEnd"/>
      <w:r w:rsidRPr="00961042">
        <w:rPr>
          <w:color w:val="0070C0"/>
        </w:rPr>
        <w:t xml:space="preserve"> </w:t>
      </w:r>
      <w:r>
        <w:t>should not be approved for registration.</w:t>
      </w:r>
    </w:p>
    <w:p w14:paraId="74EB6237" w14:textId="77777777" w:rsidR="007D53B6" w:rsidRDefault="007D53B6" w:rsidP="00474E4C">
      <w:pPr>
        <w:pStyle w:val="Heading4"/>
        <w:pageBreakBefore/>
      </w:pPr>
      <w:bookmarkStart w:id="82" w:name="_Ref65515660"/>
      <w:r>
        <w:t xml:space="preserve">Questions for </w:t>
      </w:r>
      <w:r w:rsidR="00744121">
        <w:t xml:space="preserve">the </w:t>
      </w:r>
      <w:r>
        <w:t>sponsor</w:t>
      </w:r>
      <w:bookmarkEnd w:id="82"/>
    </w:p>
    <w:p w14:paraId="0523CA7A" w14:textId="77777777" w:rsidR="00744121" w:rsidRPr="00955A16" w:rsidRDefault="00744121" w:rsidP="00744121">
      <w:r>
        <w:t>The sponsor provided the following response to questions from the Delegate.</w:t>
      </w:r>
    </w:p>
    <w:p w14:paraId="491B4C6A" w14:textId="57A2EB43" w:rsidR="004A5212" w:rsidRPr="00871924" w:rsidRDefault="004A5212" w:rsidP="00871924">
      <w:pPr>
        <w:pStyle w:val="Numberbullet0"/>
        <w:numPr>
          <w:ilvl w:val="0"/>
          <w:numId w:val="48"/>
        </w:numPr>
        <w:rPr>
          <w:b/>
          <w:i/>
        </w:rPr>
      </w:pPr>
      <w:r w:rsidRPr="00871924">
        <w:rPr>
          <w:b/>
          <w:i/>
        </w:rPr>
        <w:t xml:space="preserve">Please outline the regulatory history of the proposed indication, addressing </w:t>
      </w:r>
      <w:r w:rsidR="00262D73" w:rsidRPr="00871924">
        <w:rPr>
          <w:b/>
          <w:i/>
        </w:rPr>
        <w:t>the selection of the age range ‘less than 2 years of age’</w:t>
      </w:r>
      <w:r w:rsidRPr="00871924">
        <w:rPr>
          <w:b/>
          <w:i/>
        </w:rPr>
        <w:t>.</w:t>
      </w:r>
    </w:p>
    <w:p w14:paraId="374F4AC9" w14:textId="3427DB88" w:rsidR="004A5212" w:rsidRDefault="004A5212" w:rsidP="004A5212">
      <w:r>
        <w:t xml:space="preserve">Novartis (formerly </w:t>
      </w:r>
      <w:proofErr w:type="spellStart"/>
      <w:r>
        <w:t>AveXis</w:t>
      </w:r>
      <w:proofErr w:type="spellEnd"/>
      <w:r>
        <w:t>, Inc.) submitted to FDA the Biologics License Appl</w:t>
      </w:r>
      <w:r w:rsidR="00DC4F13">
        <w:t xml:space="preserve">ication (BLA) for </w:t>
      </w:r>
      <w:proofErr w:type="spellStart"/>
      <w:r w:rsidR="00DC4F13">
        <w:t>Zolgensma</w:t>
      </w:r>
      <w:proofErr w:type="spellEnd"/>
      <w:r w:rsidR="00DC4F13">
        <w:t xml:space="preserve"> on </w:t>
      </w:r>
      <w:r>
        <w:t>1 Oct</w:t>
      </w:r>
      <w:r w:rsidR="00DC4F13">
        <w:t>ober</w:t>
      </w:r>
      <w:r>
        <w:t xml:space="preserve"> 2018 and obtained approval on 24 May 2019 for the treatment of paediatric patients less than 2 years of age with SMA with bi-allelic mutations in the </w:t>
      </w:r>
      <w:r w:rsidRPr="005F7A49">
        <w:rPr>
          <w:i/>
        </w:rPr>
        <w:t>SMN1</w:t>
      </w:r>
      <w:r>
        <w:t xml:space="preserve"> gene. At the time of approval, the 2 year age limit in the indication reflected the limited experience with </w:t>
      </w:r>
      <w:proofErr w:type="spellStart"/>
      <w:r>
        <w:t>Zolgensma</w:t>
      </w:r>
      <w:proofErr w:type="spellEnd"/>
      <w:r>
        <w:t xml:space="preserve"> in the paediatric population.</w:t>
      </w:r>
    </w:p>
    <w:p w14:paraId="77F4D769" w14:textId="506D5E96" w:rsidR="004A5212" w:rsidRDefault="004A5212" w:rsidP="004A5212">
      <w:r>
        <w:t xml:space="preserve">It was noted that during the consultative review of the BLA, the </w:t>
      </w:r>
      <w:r w:rsidR="00DC4F13">
        <w:t>Division of Neurology Products (31 Jan</w:t>
      </w:r>
      <w:r w:rsidR="002B0782">
        <w:t>uary</w:t>
      </w:r>
      <w:r w:rsidR="00DC4F13">
        <w:t xml:space="preserve"> 2019)</w:t>
      </w:r>
      <w:r>
        <w:t xml:space="preserve"> indicated that the decision to provide the treatment to older patients should be left to the clinical judgement of the treating physician in consultation with the patient and did not need to be specified in the labelling. In the telephone conve</w:t>
      </w:r>
      <w:r w:rsidR="00DC4F13">
        <w:t xml:space="preserve">rsation between FDA and </w:t>
      </w:r>
      <w:proofErr w:type="spellStart"/>
      <w:r w:rsidR="00DC4F13">
        <w:t>AveXis</w:t>
      </w:r>
      <w:proofErr w:type="spellEnd"/>
      <w:r w:rsidR="00DC4F13">
        <w:t xml:space="preserve"> (13 March 2019) and the late cycle meeting (</w:t>
      </w:r>
      <w:r w:rsidR="00C719B6">
        <w:t>29 </w:t>
      </w:r>
      <w:r>
        <w:t>Mar</w:t>
      </w:r>
      <w:r w:rsidR="00DC4F13">
        <w:t>ch 2019)</w:t>
      </w:r>
      <w:r>
        <w:t>, the discussions included options to provide flexibility to the physician treating SMA patients.</w:t>
      </w:r>
      <w:r w:rsidR="002B0782">
        <w:rPr>
          <w:rStyle w:val="FootnoteReference"/>
        </w:rPr>
        <w:footnoteReference w:id="21"/>
      </w:r>
      <w:r>
        <w:t xml:space="preserve"> </w:t>
      </w:r>
      <w:proofErr w:type="spellStart"/>
      <w:r>
        <w:t>AveXis</w:t>
      </w:r>
      <w:proofErr w:type="spellEnd"/>
      <w:r>
        <w:t xml:space="preserve"> proposed the option of including the limit of 2 years of age. Novartis Australia adopted the approved US indication for filing as the </w:t>
      </w:r>
      <w:proofErr w:type="spellStart"/>
      <w:r>
        <w:t>Zolgensma</w:t>
      </w:r>
      <w:proofErr w:type="spellEnd"/>
      <w:r>
        <w:t xml:space="preserve"> application was under evaluation in the EU.</w:t>
      </w:r>
    </w:p>
    <w:p w14:paraId="06F8C18C" w14:textId="6E87BBAC" w:rsidR="004A5212" w:rsidRDefault="004A5212" w:rsidP="004A5212">
      <w:r>
        <w:t xml:space="preserve">An expert panel of scientific advisors and patient representatives of the </w:t>
      </w:r>
      <w:r w:rsidR="00DC4F13">
        <w:t>EMA</w:t>
      </w:r>
      <w:r>
        <w:t xml:space="preserve"> met in September 2019 (Scientific Advisory Group Neurology meeti</w:t>
      </w:r>
      <w:r w:rsidR="00DC4F13">
        <w:t>ng 2019) and acknowledged that ‘</w:t>
      </w:r>
      <w:r>
        <w:t>age should not be a factor restricting the treatment wit</w:t>
      </w:r>
      <w:r w:rsidR="00DC4F13">
        <w:t xml:space="preserve">h </w:t>
      </w:r>
      <w:proofErr w:type="spellStart"/>
      <w:r w:rsidR="00DC4F13">
        <w:t>Zolgensma</w:t>
      </w:r>
      <w:proofErr w:type="spellEnd"/>
      <w:r w:rsidR="00DC4F13">
        <w:t>’</w:t>
      </w:r>
      <w:r>
        <w:t>. It was noted that data from other SMA-targeted therapy demonstrated that older patients continue to benef</w:t>
      </w:r>
      <w:r w:rsidR="00DC4F13">
        <w:t>it.</w:t>
      </w:r>
      <w:r w:rsidR="00091E1A">
        <w:rPr>
          <w:rStyle w:val="FootnoteReference"/>
        </w:rPr>
        <w:footnoteReference w:id="22"/>
      </w:r>
      <w:r w:rsidR="00DC4F13">
        <w:t xml:space="preserve"> The recommendation was the ‘preferable approach’</w:t>
      </w:r>
      <w:r>
        <w:t xml:space="preserve"> would be to leave it to the clinician</w:t>
      </w:r>
      <w:r w:rsidR="00DC4F13">
        <w:t xml:space="preserve"> to discuss with carers/family ‘</w:t>
      </w:r>
      <w:r>
        <w:t xml:space="preserve">to determine the need for treatment, based on the motor, respiratory and </w:t>
      </w:r>
      <w:r w:rsidR="00DC4F13">
        <w:t>general condition of the child.’</w:t>
      </w:r>
      <w:r>
        <w:t xml:space="preserve"> Experts similarly agreed that applying a weight limit would result in an unnecessary restriction. Subsequently, an indication in the </w:t>
      </w:r>
      <w:r w:rsidR="00091E1A">
        <w:t>s</w:t>
      </w:r>
      <w:r w:rsidR="00091E1A" w:rsidRPr="00091E1A">
        <w:t xml:space="preserve">ummary of product characteristics </w:t>
      </w:r>
      <w:r w:rsidR="00091E1A">
        <w:t>(</w:t>
      </w:r>
      <w:r>
        <w:t>SmPC</w:t>
      </w:r>
      <w:r w:rsidR="00091E1A">
        <w:t>)</w:t>
      </w:r>
      <w:r>
        <w:t xml:space="preserve"> with no defined age or weight limit was endorsed by the EMA.</w:t>
      </w:r>
    </w:p>
    <w:p w14:paraId="1025C8A4" w14:textId="77777777" w:rsidR="004A5212" w:rsidRDefault="004A5212" w:rsidP="004A5212">
      <w:r>
        <w:t xml:space="preserve">Broader experience with </w:t>
      </w:r>
      <w:proofErr w:type="spellStart"/>
      <w:r>
        <w:t>Zolgensma</w:t>
      </w:r>
      <w:proofErr w:type="spellEnd"/>
      <w:r>
        <w:t xml:space="preserve"> leaves the current age limit of 2 years hard to justify from both clinical and scientific perspectives. With the evolving disease and treatment landscape as well as the rapidly accumulating evidence from real-world use of </w:t>
      </w:r>
      <w:proofErr w:type="spellStart"/>
      <w:r>
        <w:t>Zolgensma</w:t>
      </w:r>
      <w:proofErr w:type="spellEnd"/>
      <w:r>
        <w:t>, the current age limitation of 2 years now represents an unnecessary barrier to patients that are likely to benefit from gene therapy.</w:t>
      </w:r>
    </w:p>
    <w:p w14:paraId="148EF893" w14:textId="38D331F5" w:rsidR="004A5212" w:rsidRPr="00DC4F13" w:rsidRDefault="004A5212" w:rsidP="00DC4F13">
      <w:pPr>
        <w:pStyle w:val="Numberbullet0"/>
        <w:rPr>
          <w:b/>
          <w:i/>
        </w:rPr>
      </w:pPr>
      <w:r w:rsidRPr="00DC4F13">
        <w:rPr>
          <w:b/>
          <w:i/>
        </w:rPr>
        <w:t>Please comment on any additional treatment sites planned in Australia, other than the two sites described</w:t>
      </w:r>
      <w:r w:rsidR="004D63D2">
        <w:rPr>
          <w:b/>
          <w:i/>
        </w:rPr>
        <w:t xml:space="preserve"> in </w:t>
      </w:r>
      <w:r w:rsidR="0033524C">
        <w:rPr>
          <w:b/>
          <w:i/>
        </w:rPr>
        <w:t xml:space="preserve">Table </w:t>
      </w:r>
      <w:r w:rsidR="004D63D2">
        <w:rPr>
          <w:b/>
          <w:i/>
        </w:rPr>
        <w:t>[information redacted]</w:t>
      </w:r>
      <w:r w:rsidRPr="00DC4F13">
        <w:rPr>
          <w:b/>
          <w:i/>
        </w:rPr>
        <w:t>.</w:t>
      </w:r>
    </w:p>
    <w:p w14:paraId="4BE2CD55" w14:textId="3FE8DB3E" w:rsidR="004A5212" w:rsidRDefault="0033524C" w:rsidP="004A5212">
      <w:r>
        <w:t>Table [i</w:t>
      </w:r>
      <w:r w:rsidR="004D63D2">
        <w:t xml:space="preserve">nformation redacted] indicated which sites have provided NATA accreditation of the pathology laboratory service in use for confirmatory diagnostic testing for the </w:t>
      </w:r>
      <w:r w:rsidR="005A2B53" w:rsidRPr="005A2B53">
        <w:rPr>
          <w:i/>
        </w:rPr>
        <w:t>SMN1</w:t>
      </w:r>
      <w:r w:rsidR="004D63D2">
        <w:t xml:space="preserve"> deletion. </w:t>
      </w:r>
      <w:r w:rsidR="004A5212">
        <w:t xml:space="preserve">The following are planned </w:t>
      </w:r>
      <w:proofErr w:type="spellStart"/>
      <w:r w:rsidR="004A5212">
        <w:t>Zolgensma</w:t>
      </w:r>
      <w:proofErr w:type="spellEnd"/>
      <w:r w:rsidR="004A5212">
        <w:t xml:space="preserve"> treatment sites: Sydney Children's Hospital (Randwick), The Children’s Hospital at Westmead, The Royal Children's Hospital (Parkville), Women’s and Children's Hospital (Adelaide), Perth Children's Hospital and Queensland Children's Hospital.</w:t>
      </w:r>
    </w:p>
    <w:p w14:paraId="56EC1CFB" w14:textId="19DDF5AC" w:rsidR="004A5212" w:rsidRPr="00262D73" w:rsidRDefault="004A5212" w:rsidP="00262D73">
      <w:pPr>
        <w:pStyle w:val="Numberbullet0"/>
        <w:rPr>
          <w:b/>
          <w:i/>
        </w:rPr>
      </w:pPr>
      <w:r w:rsidRPr="00262D73">
        <w:rPr>
          <w:b/>
          <w:i/>
        </w:rPr>
        <w:t xml:space="preserve">The </w:t>
      </w:r>
      <w:r w:rsidR="00CB220B">
        <w:rPr>
          <w:b/>
          <w:i/>
        </w:rPr>
        <w:t>[response to first round TGA questions]</w:t>
      </w:r>
      <w:r w:rsidR="00262D73">
        <w:rPr>
          <w:b/>
          <w:i/>
        </w:rPr>
        <w:t xml:space="preserve"> indicated that </w:t>
      </w:r>
      <w:r w:rsidR="00B76A61">
        <w:rPr>
          <w:b/>
          <w:i/>
        </w:rPr>
        <w:t xml:space="preserve">the </w:t>
      </w:r>
      <w:r w:rsidR="00262D73">
        <w:rPr>
          <w:b/>
          <w:i/>
        </w:rPr>
        <w:t>‘</w:t>
      </w:r>
      <w:r w:rsidRPr="00262D73">
        <w:rPr>
          <w:b/>
          <w:i/>
        </w:rPr>
        <w:t>AVXS-101-RG-001 final study report will be</w:t>
      </w:r>
      <w:r w:rsidR="004D63D2">
        <w:rPr>
          <w:b/>
          <w:i/>
        </w:rPr>
        <w:t xml:space="preserve"> available </w:t>
      </w:r>
      <w:r w:rsidR="00B76A61">
        <w:rPr>
          <w:b/>
          <w:i/>
        </w:rPr>
        <w:t xml:space="preserve">in </w:t>
      </w:r>
      <w:r w:rsidR="004D63D2">
        <w:rPr>
          <w:b/>
          <w:i/>
        </w:rPr>
        <w:t>2038 and will be</w:t>
      </w:r>
      <w:r w:rsidRPr="00262D73">
        <w:rPr>
          <w:b/>
          <w:i/>
        </w:rPr>
        <w:t xml:space="preserve"> submitted to the TGA. In the meantime, the submitted PSU</w:t>
      </w:r>
      <w:r w:rsidR="00262D73">
        <w:rPr>
          <w:b/>
          <w:i/>
        </w:rPr>
        <w:t>Rs will contain safety updates.’</w:t>
      </w:r>
      <w:r w:rsidRPr="00262D73">
        <w:rPr>
          <w:b/>
          <w:i/>
        </w:rPr>
        <w:t xml:space="preserve"> Please comment on the efficacy measures that will be assessed in this study, and a proposed schedule for submitting interim analyses of efficacy.</w:t>
      </w:r>
    </w:p>
    <w:p w14:paraId="3B20A0A0" w14:textId="16001904" w:rsidR="004A5212" w:rsidRDefault="004A5212" w:rsidP="004A5212">
      <w:r>
        <w:t xml:space="preserve">The following efficacy assessments will be collected; pulmonary exam, </w:t>
      </w:r>
      <w:proofErr w:type="spellStart"/>
      <w:r>
        <w:t>ventilatory</w:t>
      </w:r>
      <w:proofErr w:type="spellEnd"/>
      <w:r>
        <w:t xml:space="preserve"> support (tracheostomy and other </w:t>
      </w:r>
      <w:proofErr w:type="spellStart"/>
      <w:r>
        <w:t>ventilatory</w:t>
      </w:r>
      <w:proofErr w:type="spellEnd"/>
      <w:r>
        <w:t xml:space="preserve"> support), </w:t>
      </w:r>
      <w:r w:rsidR="00B76A61">
        <w:t>n</w:t>
      </w:r>
      <w:r>
        <w:t xml:space="preserve">utritional assessment, </w:t>
      </w:r>
      <w:r w:rsidR="00B76A61">
        <w:t>m</w:t>
      </w:r>
      <w:r>
        <w:t xml:space="preserve">otor </w:t>
      </w:r>
      <w:r w:rsidR="00B76A61">
        <w:t>m</w:t>
      </w:r>
      <w:r>
        <w:t>ilestones assessment (CHOP-INTEND, HINE-2, HFMSE). A full lis</w:t>
      </w:r>
      <w:r w:rsidR="00091E1A">
        <w:t xml:space="preserve">t can be found in </w:t>
      </w:r>
      <w:r w:rsidR="00B76A61">
        <w:t>the p</w:t>
      </w:r>
      <w:r w:rsidR="00091E1A">
        <w:t>rotocol </w:t>
      </w:r>
      <w:r w:rsidR="00B76A61">
        <w:t xml:space="preserve">for Study </w:t>
      </w:r>
      <w:r w:rsidR="00091E1A">
        <w:t>AVXS</w:t>
      </w:r>
      <w:r w:rsidR="00091E1A">
        <w:noBreakHyphen/>
      </w:r>
      <w:r>
        <w:t xml:space="preserve">101-RG-001 </w:t>
      </w:r>
      <w:r w:rsidR="00CB220B">
        <w:t>[not included in this AusPAR]</w:t>
      </w:r>
      <w:r>
        <w:t>. Annual reports will be provided to EMA h</w:t>
      </w:r>
      <w:r w:rsidR="00CB220B">
        <w:t>owever to reduce the number of C</w:t>
      </w:r>
      <w:r>
        <w:t xml:space="preserve">ategory 1 applications, </w:t>
      </w:r>
      <w:r w:rsidR="00CB220B">
        <w:t>the sponsor</w:t>
      </w:r>
      <w:r>
        <w:t xml:space="preserve"> proposes to provide the most recent annual report as part of any planned clinical update (Category 1) or at least one report every three years.</w:t>
      </w:r>
    </w:p>
    <w:p w14:paraId="6DBEF2FD" w14:textId="53B2F2B9" w:rsidR="004A5212" w:rsidRPr="00262D73" w:rsidRDefault="004A5212" w:rsidP="00262D73">
      <w:pPr>
        <w:pStyle w:val="Numberbullet0"/>
        <w:rPr>
          <w:b/>
          <w:i/>
        </w:rPr>
      </w:pPr>
      <w:r w:rsidRPr="00262D73">
        <w:rPr>
          <w:b/>
          <w:i/>
        </w:rPr>
        <w:t>Why does the ASA indicate that the final study report for AVXS-101-LT-002 will not be submitted to TGA, when this study is specified as additional pharmacovigilance in the EU RMP?</w:t>
      </w:r>
    </w:p>
    <w:p w14:paraId="517CBE15" w14:textId="2CB44383" w:rsidR="007D53B6" w:rsidRDefault="00CB220B" w:rsidP="004A5212">
      <w:r>
        <w:t>The sponsor</w:t>
      </w:r>
      <w:r w:rsidR="004A5212">
        <w:t xml:space="preserve"> mistook the study to be US only however we have confirmed it is an internation</w:t>
      </w:r>
      <w:r>
        <w:t>al study. The final report for S</w:t>
      </w:r>
      <w:r w:rsidR="004A5212">
        <w:t>tudy AVXS-101-LT-002 will be provided to the TGA</w:t>
      </w:r>
      <w:r w:rsidR="004D63D2">
        <w:t>, this report is expected in 2035</w:t>
      </w:r>
      <w:r w:rsidR="004A5212">
        <w:t>. The ASA will be updated to reflect this at the next regulatory opportunity.</w:t>
      </w:r>
    </w:p>
    <w:p w14:paraId="3995144E" w14:textId="05AD30B2" w:rsidR="008E7846" w:rsidRDefault="008E7846" w:rsidP="007D53B6">
      <w:pPr>
        <w:pStyle w:val="Heading4"/>
      </w:pPr>
      <w:bookmarkStart w:id="83" w:name="_Ref65514766"/>
      <w:r>
        <w:t xml:space="preserve">Advisory </w:t>
      </w:r>
      <w:r w:rsidR="00474E4C">
        <w:t>c</w:t>
      </w:r>
      <w:r>
        <w:t xml:space="preserve">ommittee </w:t>
      </w:r>
      <w:r w:rsidR="007D53B6">
        <w:t>c</w:t>
      </w:r>
      <w:r>
        <w:t>onsiderations</w:t>
      </w:r>
      <w:r w:rsidR="00456765">
        <w:rPr>
          <w:rStyle w:val="FootnoteReference"/>
        </w:rPr>
        <w:footnoteReference w:id="23"/>
      </w:r>
      <w:bookmarkEnd w:id="83"/>
    </w:p>
    <w:p w14:paraId="2738C4A9" w14:textId="77777777" w:rsidR="00744121" w:rsidRDefault="00744121" w:rsidP="00744121">
      <w:pPr>
        <w:rPr>
          <w:bCs/>
        </w:rPr>
      </w:pPr>
      <w:bookmarkStart w:id="84" w:name="_Toc247691532"/>
      <w:bookmarkStart w:id="85" w:name="_Toc314842516"/>
      <w:bookmarkEnd w:id="35"/>
      <w:bookmarkEnd w:id="78"/>
      <w:bookmarkEnd w:id="79"/>
      <w:r w:rsidRPr="00456765">
        <w:rPr>
          <w:bCs/>
        </w:rPr>
        <w:t>The Advisory Committee on Medicines (ACM), having considered the evaluations and the Delegate’s overview, as well as the sponsor’s response to these documents, advised the following</w:t>
      </w:r>
      <w:r w:rsidR="00D55460">
        <w:rPr>
          <w:bCs/>
        </w:rPr>
        <w:t xml:space="preserve"> at the December 2020 meeting</w:t>
      </w:r>
      <w:r>
        <w:rPr>
          <w:bCs/>
        </w:rPr>
        <w:t>.</w:t>
      </w:r>
    </w:p>
    <w:p w14:paraId="47DD5672" w14:textId="5526BE1A" w:rsidR="00744121" w:rsidRDefault="00744121" w:rsidP="00744121">
      <w:pPr>
        <w:pStyle w:val="Heading5"/>
      </w:pPr>
      <w:r>
        <w:t xml:space="preserve">Specific advice to the </w:t>
      </w:r>
      <w:r w:rsidR="00474E4C">
        <w:t>d</w:t>
      </w:r>
      <w:r>
        <w:t>elegate</w:t>
      </w:r>
    </w:p>
    <w:p w14:paraId="114A1F18" w14:textId="37956457" w:rsidR="00D55460" w:rsidRDefault="00D55460" w:rsidP="00D55460">
      <w:r>
        <w:t>The ACM advised the following in response to the Delegat</w:t>
      </w:r>
      <w:r w:rsidR="002B4381">
        <w:t>e’s specific request for advice.</w:t>
      </w:r>
    </w:p>
    <w:p w14:paraId="6397A0BA" w14:textId="77777777" w:rsidR="00D55460" w:rsidRPr="008A5C7C" w:rsidRDefault="00D55460" w:rsidP="00D55460">
      <w:pPr>
        <w:pStyle w:val="Numberbullet0"/>
        <w:numPr>
          <w:ilvl w:val="0"/>
          <w:numId w:val="46"/>
        </w:numPr>
        <w:rPr>
          <w:b/>
          <w:i/>
        </w:rPr>
      </w:pPr>
      <w:r w:rsidRPr="008A5C7C">
        <w:rPr>
          <w:b/>
          <w:i/>
        </w:rPr>
        <w:t>What is the committee’s advice regarding the wording of the indication? In providing this advice, please comment specifically on whether:</w:t>
      </w:r>
    </w:p>
    <w:p w14:paraId="4AFDE493" w14:textId="4882BBC2" w:rsidR="00D55460" w:rsidRDefault="00D55460" w:rsidP="00D55460">
      <w:pPr>
        <w:pStyle w:val="Numberbullet2"/>
        <w:numPr>
          <w:ilvl w:val="1"/>
          <w:numId w:val="8"/>
        </w:numPr>
        <w:rPr>
          <w:b/>
          <w:i/>
        </w:rPr>
      </w:pPr>
      <w:r w:rsidRPr="008A5C7C">
        <w:rPr>
          <w:b/>
          <w:i/>
        </w:rPr>
        <w:t xml:space="preserve">The indication should be restricted to patients with SMA </w:t>
      </w:r>
      <w:r w:rsidR="005A2B53">
        <w:rPr>
          <w:b/>
          <w:i/>
        </w:rPr>
        <w:t>type</w:t>
      </w:r>
      <w:r w:rsidRPr="008A5C7C">
        <w:rPr>
          <w:b/>
          <w:i/>
        </w:rPr>
        <w:t xml:space="preserve"> 1.</w:t>
      </w:r>
    </w:p>
    <w:p w14:paraId="0936AF8D" w14:textId="15EF6F22" w:rsidR="00D55460" w:rsidRPr="008A5C7C" w:rsidRDefault="00D55460" w:rsidP="00D55460">
      <w:r>
        <w:t xml:space="preserve">The ACM was of the view that the </w:t>
      </w:r>
      <w:r w:rsidRPr="005C13AB">
        <w:t>indication should be agnostic to the type of SMA</w:t>
      </w:r>
      <w:r>
        <w:t xml:space="preserve">. Although the pivotal evidence was in patients with </w:t>
      </w:r>
      <w:r w:rsidR="005A2B53">
        <w:t>type</w:t>
      </w:r>
      <w:r>
        <w:t xml:space="preserve"> 1 SMA, the</w:t>
      </w:r>
      <w:r w:rsidR="00262D73">
        <w:t xml:space="preserve"> ACM considered that including ‘</w:t>
      </w:r>
      <w:r w:rsidR="005A2B53">
        <w:t>type</w:t>
      </w:r>
      <w:r w:rsidR="00262D73">
        <w:t xml:space="preserve"> 1’</w:t>
      </w:r>
      <w:r>
        <w:t xml:space="preserve"> in the indication would be p</w:t>
      </w:r>
      <w:r w:rsidR="00091E1A">
        <w:t>roblematic for treatment of pre</w:t>
      </w:r>
      <w:r w:rsidR="00091E1A">
        <w:noBreakHyphen/>
      </w:r>
      <w:r>
        <w:t>symptomatic patients, because that classification is based on symptom onset.</w:t>
      </w:r>
    </w:p>
    <w:p w14:paraId="11F96707" w14:textId="77777777" w:rsidR="00D55460" w:rsidRDefault="00D55460" w:rsidP="00D55460">
      <w:pPr>
        <w:pStyle w:val="Numberbullet2"/>
        <w:numPr>
          <w:ilvl w:val="1"/>
          <w:numId w:val="8"/>
        </w:numPr>
        <w:rPr>
          <w:b/>
          <w:i/>
        </w:rPr>
      </w:pPr>
      <w:r w:rsidRPr="008A5C7C">
        <w:rPr>
          <w:b/>
          <w:i/>
        </w:rPr>
        <w:t>The indication should be restricted to patients with evidence of clinical onset of SMA.</w:t>
      </w:r>
    </w:p>
    <w:p w14:paraId="27F230DD" w14:textId="77777777" w:rsidR="00D55460" w:rsidRDefault="00D55460" w:rsidP="00D55460">
      <w:r>
        <w:t xml:space="preserve">The ACM advised that the indication </w:t>
      </w:r>
      <w:r w:rsidRPr="00A5544B">
        <w:t xml:space="preserve">should </w:t>
      </w:r>
      <w:r>
        <w:t xml:space="preserve">not </w:t>
      </w:r>
      <w:r w:rsidRPr="00A5544B">
        <w:t>be restricted to patients with ev</w:t>
      </w:r>
      <w:r>
        <w:t>idence of clinical onset of SMA. Based on the trial data, early t</w:t>
      </w:r>
      <w:r w:rsidRPr="00A5544B">
        <w:t>re</w:t>
      </w:r>
      <w:r>
        <w:t>a</w:t>
      </w:r>
      <w:r w:rsidRPr="00A5544B">
        <w:t xml:space="preserve">tment </w:t>
      </w:r>
      <w:r>
        <w:t>is important, therefore the ACM was of the view that pre-symptomatic children should also be included in the indication.</w:t>
      </w:r>
    </w:p>
    <w:p w14:paraId="11496667" w14:textId="0A4D7DC4" w:rsidR="00D55460" w:rsidRPr="008A5C7C" w:rsidRDefault="00D55460" w:rsidP="00D55460">
      <w:r>
        <w:t xml:space="preserve">The ACM noted that the efficacy of </w:t>
      </w:r>
      <w:proofErr w:type="spellStart"/>
      <w:r w:rsidR="007359A2">
        <w:t>Zolgensma</w:t>
      </w:r>
      <w:proofErr w:type="spellEnd"/>
      <w:r>
        <w:t xml:space="preserve"> in patients with advanced disease, particularly those requiring invasive or permanent ventilation, has not been assessed, and that best outcomes appear to be achieved the earlier that treatment is administered. Thus, the ACM advised that either the indication</w:t>
      </w:r>
      <w:r w:rsidR="003F6895">
        <w:t>,</w:t>
      </w:r>
      <w:r>
        <w:t xml:space="preserve"> or wording in the PI should exclude children who are on permanent or long-term ventilator support, as treatment is unlikely to be effective in this cohort. The ACM advised that a description of ‘permanent ventilator support’, for example, more than 16 hours a day for more than 2 weeks, could be included in the PI.</w:t>
      </w:r>
    </w:p>
    <w:p w14:paraId="47EA4845" w14:textId="77777777" w:rsidR="00D55460" w:rsidRDefault="00D55460" w:rsidP="00D55460">
      <w:pPr>
        <w:pStyle w:val="Numberbullet2"/>
        <w:numPr>
          <w:ilvl w:val="1"/>
          <w:numId w:val="8"/>
        </w:numPr>
        <w:rPr>
          <w:b/>
          <w:i/>
        </w:rPr>
      </w:pPr>
      <w:r w:rsidRPr="008A5C7C">
        <w:rPr>
          <w:b/>
          <w:i/>
        </w:rPr>
        <w:t>The proposed age range is appropriate.</w:t>
      </w:r>
    </w:p>
    <w:p w14:paraId="01E36A85" w14:textId="7C37549F" w:rsidR="00D55460" w:rsidRDefault="00D55460" w:rsidP="00D55460">
      <w:r>
        <w:t>The ACM advised that the trial data supports an indication for patients less than 9 months of age. Efficacy data suggests that treatment is most effective the earlier it is administered (3 months of age appears optimal), however the ACM ag</w:t>
      </w:r>
      <w:r w:rsidR="00091E1A">
        <w:t>reed that an indication up to 9 </w:t>
      </w:r>
      <w:r>
        <w:t>months would allow some flexibility for babies born in states that do not have newborn screening.</w:t>
      </w:r>
    </w:p>
    <w:p w14:paraId="0C7A0F91" w14:textId="77777777" w:rsidR="00D55460" w:rsidRPr="008A5C7C" w:rsidRDefault="00D55460" w:rsidP="00D55460">
      <w:r>
        <w:t xml:space="preserve">The ACM agreed that an indication up to 2 years of age was not supported due to a lack of clinical trial data, and increased risk of gene therapy toxicities </w:t>
      </w:r>
      <w:r w:rsidRPr="004A7B4C">
        <w:t>in older or larger children</w:t>
      </w:r>
      <w:r>
        <w:t>.</w:t>
      </w:r>
    </w:p>
    <w:p w14:paraId="41B3D757" w14:textId="77777777" w:rsidR="00D55460" w:rsidRDefault="00D55460" w:rsidP="00D55460">
      <w:pPr>
        <w:pStyle w:val="Numberbullet2"/>
        <w:numPr>
          <w:ilvl w:val="1"/>
          <w:numId w:val="8"/>
        </w:numPr>
        <w:rPr>
          <w:b/>
          <w:i/>
        </w:rPr>
      </w:pPr>
      <w:r w:rsidRPr="008A5C7C">
        <w:rPr>
          <w:b/>
          <w:i/>
        </w:rPr>
        <w:t>The indication should specify the number of copies of SMN2.</w:t>
      </w:r>
    </w:p>
    <w:p w14:paraId="2B58EEC7" w14:textId="7D66749A" w:rsidR="00D55460" w:rsidRPr="008A5C7C" w:rsidRDefault="00D55460" w:rsidP="00D55460">
      <w:r>
        <w:t xml:space="preserve">The ACM advised that </w:t>
      </w:r>
      <w:r w:rsidR="00091E1A">
        <w:t xml:space="preserve">the indication should specify 1 to </w:t>
      </w:r>
      <w:r>
        <w:t xml:space="preserve">3 copies of </w:t>
      </w:r>
      <w:r w:rsidRPr="005F7A49">
        <w:rPr>
          <w:i/>
        </w:rPr>
        <w:t>SMN2</w:t>
      </w:r>
      <w:r>
        <w:t>, as this reflects the experience from the trials.</w:t>
      </w:r>
    </w:p>
    <w:p w14:paraId="0DCD0C1B" w14:textId="77777777" w:rsidR="00D55460" w:rsidRDefault="00D55460" w:rsidP="00D55460">
      <w:pPr>
        <w:pStyle w:val="Numberbullet0"/>
        <w:numPr>
          <w:ilvl w:val="0"/>
          <w:numId w:val="8"/>
        </w:numPr>
        <w:rPr>
          <w:b/>
          <w:i/>
        </w:rPr>
      </w:pPr>
      <w:r w:rsidRPr="008A5C7C">
        <w:rPr>
          <w:b/>
          <w:i/>
        </w:rPr>
        <w:t>What is the committee’s view on the hepatotoxicity risk, and the management of this risk in the Product Information?</w:t>
      </w:r>
    </w:p>
    <w:p w14:paraId="0E562A0C" w14:textId="77777777" w:rsidR="00D55460" w:rsidRDefault="00D55460" w:rsidP="00D55460">
      <w:r>
        <w:t xml:space="preserve">The ACM noted that </w:t>
      </w:r>
      <w:proofErr w:type="spellStart"/>
      <w:r>
        <w:t>hepatoxicity</w:t>
      </w:r>
      <w:proofErr w:type="spellEnd"/>
      <w:r>
        <w:t xml:space="preserve"> has been identified as an important safety concern, with a risk of acute, severe liver injury. The ACM was of the view that this risk is expected to be manageable with close monitoring, prophylactic treatment with oral corticosteroids, and treatment with more intensive systemic corticosteroids when clinically required.</w:t>
      </w:r>
    </w:p>
    <w:p w14:paraId="1A97D7B7" w14:textId="77777777" w:rsidR="00D55460" w:rsidRDefault="00D55460" w:rsidP="00D55460">
      <w:r>
        <w:t>The ACM discussed l</w:t>
      </w:r>
      <w:r w:rsidRPr="00E234CC">
        <w:t>imit</w:t>
      </w:r>
      <w:r>
        <w:t>ing the</w:t>
      </w:r>
      <w:r w:rsidRPr="00E234CC">
        <w:t xml:space="preserve"> indication to pat</w:t>
      </w:r>
      <w:r>
        <w:t>ients with AAV9 viral titres &lt; 1:</w:t>
      </w:r>
      <w:r w:rsidRPr="00E234CC">
        <w:t>50</w:t>
      </w:r>
      <w:r>
        <w:t xml:space="preserve"> to reduce the risk of hepatotoxicity and other toxicities, and advised that describing this in the PI was sufficient.</w:t>
      </w:r>
    </w:p>
    <w:p w14:paraId="4E3B5AA6" w14:textId="77777777" w:rsidR="00D55460" w:rsidRPr="008A5C7C" w:rsidRDefault="00D55460" w:rsidP="00D55460">
      <w:r>
        <w:t>The ACM was of the view that children who have significant hepatic dy</w:t>
      </w:r>
      <w:r w:rsidRPr="0048099D">
        <w:t>sfunction</w:t>
      </w:r>
      <w:r>
        <w:t xml:space="preserve"> should not receive </w:t>
      </w:r>
      <w:proofErr w:type="spellStart"/>
      <w:r w:rsidR="007359A2">
        <w:t>Zolgensma</w:t>
      </w:r>
      <w:proofErr w:type="spellEnd"/>
      <w:r>
        <w:t>, and advised that this was adequately described in the PI.</w:t>
      </w:r>
    </w:p>
    <w:p w14:paraId="561183F8" w14:textId="77777777" w:rsidR="00D55460" w:rsidRDefault="00D55460" w:rsidP="00D55460">
      <w:pPr>
        <w:pStyle w:val="Numberbullet0"/>
        <w:numPr>
          <w:ilvl w:val="0"/>
          <w:numId w:val="8"/>
        </w:numPr>
        <w:rPr>
          <w:b/>
          <w:i/>
        </w:rPr>
      </w:pPr>
      <w:r w:rsidRPr="008A5C7C">
        <w:rPr>
          <w:b/>
          <w:i/>
        </w:rPr>
        <w:t>What is the committee’s opinion regarding potential risks of chromosomal integration, carcinogenicity and germ-line transmission</w:t>
      </w:r>
      <w:r>
        <w:rPr>
          <w:b/>
          <w:i/>
        </w:rPr>
        <w:t>?</w:t>
      </w:r>
    </w:p>
    <w:p w14:paraId="7900AFFC" w14:textId="77777777" w:rsidR="00D55460" w:rsidRPr="008A5C7C" w:rsidRDefault="00D55460" w:rsidP="00D55460">
      <w:r>
        <w:t>The ACM agreed that the risk of an integration event in non-human primates and humans appears low, and if an integration event is to occur, it is anticipated to have a low risk for carcinogenicity. The ACM emphasised the importance of l</w:t>
      </w:r>
      <w:r w:rsidRPr="00667502">
        <w:t>ong-term follow-up studies</w:t>
      </w:r>
      <w:r>
        <w:t xml:space="preserve"> to that</w:t>
      </w:r>
      <w:r w:rsidRPr="00667502">
        <w:t xml:space="preserve"> </w:t>
      </w:r>
      <w:r>
        <w:t>specifically include the occurrence of new malignancies and tumours, to monitor this risk.</w:t>
      </w:r>
    </w:p>
    <w:p w14:paraId="2A6C5028" w14:textId="77777777" w:rsidR="00D55460" w:rsidRPr="008A5C7C" w:rsidRDefault="00D55460" w:rsidP="00D55460">
      <w:pPr>
        <w:pStyle w:val="Numberbullet0"/>
        <w:numPr>
          <w:ilvl w:val="0"/>
          <w:numId w:val="8"/>
        </w:numPr>
        <w:rPr>
          <w:b/>
          <w:i/>
        </w:rPr>
      </w:pPr>
      <w:r w:rsidRPr="008A5C7C">
        <w:rPr>
          <w:b/>
          <w:i/>
        </w:rPr>
        <w:t>The committee is also requested to provide advice on any other issues that it thinks may be relevant to a decision on whether or not to approve this application.</w:t>
      </w:r>
    </w:p>
    <w:p w14:paraId="184BE0E1" w14:textId="77777777" w:rsidR="00D55460" w:rsidRDefault="00D55460" w:rsidP="00D55460">
      <w:r>
        <w:t xml:space="preserve">The ACM was of the view that the risk of thrombotic </w:t>
      </w:r>
      <w:proofErr w:type="spellStart"/>
      <w:r>
        <w:t>microangiopathy</w:t>
      </w:r>
      <w:proofErr w:type="spellEnd"/>
      <w:r>
        <w:t xml:space="preserve"> is a concern and that there is a l</w:t>
      </w:r>
      <w:r w:rsidRPr="00E234CC">
        <w:t>ack of long term data on this.</w:t>
      </w:r>
    </w:p>
    <w:p w14:paraId="31FEE31E" w14:textId="77777777" w:rsidR="00D55460" w:rsidRDefault="00D55460" w:rsidP="00D55460">
      <w:r>
        <w:t xml:space="preserve">The ACM advised that a statement should be included in the PI that </w:t>
      </w:r>
      <w:proofErr w:type="spellStart"/>
      <w:r w:rsidR="007359A2">
        <w:t>Zolgensma</w:t>
      </w:r>
      <w:proofErr w:type="spellEnd"/>
      <w:r>
        <w:t xml:space="preserve"> has not been studied</w:t>
      </w:r>
      <w:r w:rsidRPr="0048099D">
        <w:t xml:space="preserve"> in conjunction with </w:t>
      </w:r>
      <w:r>
        <w:t xml:space="preserve">other </w:t>
      </w:r>
      <w:r w:rsidRPr="0048099D">
        <w:t>therapies for SMA</w:t>
      </w:r>
      <w:r>
        <w:t>, and that use of multiple therapies might carry additional risks.</w:t>
      </w:r>
    </w:p>
    <w:p w14:paraId="1A5BC566" w14:textId="6EFA15F5" w:rsidR="00744121" w:rsidRDefault="00D55460" w:rsidP="00D55460">
      <w:r>
        <w:t>The ACM advised that the following recommendation could be included in the PI: ‘</w:t>
      </w:r>
      <w:r w:rsidRPr="001D5A82">
        <w:t xml:space="preserve">Treatment with </w:t>
      </w:r>
      <w:proofErr w:type="spellStart"/>
      <w:r w:rsidR="007359A2">
        <w:t>Zolgensma</w:t>
      </w:r>
      <w:proofErr w:type="spellEnd"/>
      <w:r w:rsidRPr="001D5A82">
        <w:t xml:space="preserve"> should be given in a designated gene therapy treatment centre</w:t>
      </w:r>
      <w:r>
        <w:t>’, so that patients can be managed in a centre that is familiar with the toxicities that are associated with gene therapy</w:t>
      </w:r>
      <w:r w:rsidR="003F6895">
        <w:t>.’</w:t>
      </w:r>
    </w:p>
    <w:p w14:paraId="4DB0A92E" w14:textId="77777777" w:rsidR="00744121" w:rsidRDefault="00744121" w:rsidP="00744121">
      <w:pPr>
        <w:pStyle w:val="Heading5"/>
      </w:pPr>
      <w:r>
        <w:t>Conclusion</w:t>
      </w:r>
    </w:p>
    <w:p w14:paraId="0D571C5C" w14:textId="77777777" w:rsidR="00D55460" w:rsidRDefault="00D55460" w:rsidP="00D55460">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61E7B64F" w14:textId="4990F1C7" w:rsidR="00D55460" w:rsidRDefault="007359A2" w:rsidP="00D55460">
      <w:pPr>
        <w:ind w:left="720"/>
        <w:rPr>
          <w:i/>
        </w:rPr>
      </w:pPr>
      <w:proofErr w:type="spellStart"/>
      <w:r>
        <w:rPr>
          <w:i/>
        </w:rPr>
        <w:t>Zolgensma</w:t>
      </w:r>
      <w:proofErr w:type="spellEnd"/>
      <w:r w:rsidR="00D55460" w:rsidRPr="00A05D42">
        <w:rPr>
          <w:i/>
        </w:rPr>
        <w:t xml:space="preserve"> (</w:t>
      </w:r>
      <w:proofErr w:type="spellStart"/>
      <w:r w:rsidR="00D55460" w:rsidRPr="00A05D42">
        <w:rPr>
          <w:i/>
        </w:rPr>
        <w:t>onasemnogene</w:t>
      </w:r>
      <w:proofErr w:type="spellEnd"/>
      <w:r w:rsidR="00D55460" w:rsidRPr="00A05D42">
        <w:rPr>
          <w:i/>
        </w:rPr>
        <w:t xml:space="preserve"> </w:t>
      </w:r>
      <w:proofErr w:type="spellStart"/>
      <w:r w:rsidR="00D55460" w:rsidRPr="00A05D42">
        <w:rPr>
          <w:i/>
        </w:rPr>
        <w:t>abeparvovec</w:t>
      </w:r>
      <w:proofErr w:type="spellEnd"/>
      <w:r w:rsidR="00D55460" w:rsidRPr="00A05D42">
        <w:rPr>
          <w:i/>
        </w:rPr>
        <w:t xml:space="preserve">) is indicated for the treatment of paediatric patients less than 9 months of age with </w:t>
      </w:r>
      <w:r w:rsidR="00D55460">
        <w:rPr>
          <w:i/>
        </w:rPr>
        <w:t xml:space="preserve">symptomatic or pre-symptomatic </w:t>
      </w:r>
      <w:r w:rsidR="00D55460" w:rsidRPr="00A05D42">
        <w:rPr>
          <w:i/>
        </w:rPr>
        <w:t xml:space="preserve">spinal muscular atrophy (SMA) </w:t>
      </w:r>
      <w:r w:rsidR="00D55460">
        <w:rPr>
          <w:i/>
        </w:rPr>
        <w:t>with</w:t>
      </w:r>
      <w:r w:rsidR="00D55460" w:rsidRPr="00A05D42">
        <w:rPr>
          <w:i/>
        </w:rPr>
        <w:t xml:space="preserve"> bi-allelic mutations in the survival motor neuron 1 (SMN1) gene and 1</w:t>
      </w:r>
      <w:r w:rsidR="00D55460">
        <w:rPr>
          <w:i/>
        </w:rPr>
        <w:t xml:space="preserve"> to </w:t>
      </w:r>
      <w:r w:rsidR="00D55460" w:rsidRPr="00A05D42">
        <w:rPr>
          <w:i/>
        </w:rPr>
        <w:t>3 copies of SMN2</w:t>
      </w:r>
      <w:r w:rsidR="00262D73">
        <w:rPr>
          <w:i/>
        </w:rPr>
        <w:t>.</w:t>
      </w:r>
    </w:p>
    <w:p w14:paraId="1149DA15" w14:textId="77777777" w:rsidR="00744121" w:rsidRDefault="00D55460" w:rsidP="00D55460">
      <w:r>
        <w:t xml:space="preserve">The ACM also proposed including clear criteria within the PI regarding permanent and/or long term </w:t>
      </w:r>
      <w:proofErr w:type="spellStart"/>
      <w:r>
        <w:t>ventilatory</w:t>
      </w:r>
      <w:proofErr w:type="spellEnd"/>
      <w:r>
        <w:t xml:space="preserve"> support.</w:t>
      </w:r>
    </w:p>
    <w:p w14:paraId="594001E3" w14:textId="77777777" w:rsidR="00D55460" w:rsidRDefault="00BF1781" w:rsidP="00BF1781">
      <w:pPr>
        <w:pStyle w:val="Heading5"/>
      </w:pPr>
      <w:r>
        <w:t>Addendum to Advisory Committee considerations</w:t>
      </w:r>
    </w:p>
    <w:p w14:paraId="07954C64" w14:textId="77777777" w:rsidR="00D55460" w:rsidRDefault="00D55460" w:rsidP="00D55460">
      <w:r>
        <w:t xml:space="preserve">Following the December 2020 ACM meeting, the sponsor proposed </w:t>
      </w:r>
      <w:r w:rsidR="00BF1781">
        <w:t xml:space="preserve">to the Delegate </w:t>
      </w:r>
      <w:r>
        <w:t xml:space="preserve">a revised indication </w:t>
      </w:r>
      <w:r w:rsidR="00BF1781">
        <w:t>and various amendments to the PI.</w:t>
      </w:r>
    </w:p>
    <w:p w14:paraId="05A05386" w14:textId="333E11BB" w:rsidR="00BF1781" w:rsidRDefault="00BF1781" w:rsidP="00BF1781">
      <w:r>
        <w:t>The spon</w:t>
      </w:r>
      <w:r w:rsidR="00CB220B">
        <w:t>sor’s new proposed indication was</w:t>
      </w:r>
      <w:r>
        <w:t>:</w:t>
      </w:r>
    </w:p>
    <w:p w14:paraId="72B1022F" w14:textId="77777777" w:rsidR="00BF1781" w:rsidRPr="00262D73" w:rsidRDefault="007359A2" w:rsidP="00262D73">
      <w:pPr>
        <w:ind w:left="720"/>
        <w:rPr>
          <w:i/>
          <w:lang w:eastAsia="ja-JP"/>
        </w:rPr>
      </w:pPr>
      <w:proofErr w:type="spellStart"/>
      <w:r w:rsidRPr="00262D73">
        <w:rPr>
          <w:i/>
          <w:lang w:eastAsia="ja-JP"/>
        </w:rPr>
        <w:t>Zolgensma</w:t>
      </w:r>
      <w:proofErr w:type="spellEnd"/>
      <w:r w:rsidR="00BF1781" w:rsidRPr="00262D73">
        <w:rPr>
          <w:i/>
          <w:lang w:eastAsia="ja-JP"/>
        </w:rPr>
        <w:t xml:space="preserve"> (</w:t>
      </w:r>
      <w:proofErr w:type="spellStart"/>
      <w:r w:rsidR="00BF1781" w:rsidRPr="00262D73">
        <w:rPr>
          <w:i/>
          <w:lang w:eastAsia="ja-JP"/>
        </w:rPr>
        <w:t>onasemnogene</w:t>
      </w:r>
      <w:proofErr w:type="spellEnd"/>
      <w:r w:rsidR="00BF1781" w:rsidRPr="00262D73">
        <w:rPr>
          <w:i/>
          <w:lang w:eastAsia="ja-JP"/>
        </w:rPr>
        <w:t xml:space="preserve"> </w:t>
      </w:r>
      <w:proofErr w:type="spellStart"/>
      <w:r w:rsidR="00BF1781" w:rsidRPr="00262D73">
        <w:rPr>
          <w:i/>
          <w:lang w:eastAsia="ja-JP"/>
        </w:rPr>
        <w:t>abeparvovec</w:t>
      </w:r>
      <w:proofErr w:type="spellEnd"/>
      <w:r w:rsidR="00BF1781" w:rsidRPr="00262D73">
        <w:rPr>
          <w:i/>
          <w:lang w:eastAsia="ja-JP"/>
        </w:rPr>
        <w:t>) is indicated for the treatment of paediatric patients with symptomatic or pre-symptomatic spinal muscular atrophy with bi-allelic mutations in the survival motor neuron 1 (SMN1) gene and 1 to 3 copies of the SMN2 gene.</w:t>
      </w:r>
    </w:p>
    <w:p w14:paraId="0BADC25C" w14:textId="77777777" w:rsidR="00BF1781" w:rsidRPr="00262D73" w:rsidRDefault="00BF1781" w:rsidP="00262D73">
      <w:pPr>
        <w:ind w:left="720"/>
        <w:rPr>
          <w:i/>
          <w:lang w:eastAsia="ja-JP"/>
        </w:rPr>
      </w:pPr>
      <w:r w:rsidRPr="00262D73">
        <w:rPr>
          <w:i/>
          <w:lang w:eastAsia="ja-JP"/>
        </w:rPr>
        <w:t>Note to indication:</w:t>
      </w:r>
    </w:p>
    <w:p w14:paraId="2405EB83" w14:textId="1ADDAE90" w:rsidR="00BF1781" w:rsidRPr="00262D73" w:rsidRDefault="00BF1781" w:rsidP="00262D73">
      <w:pPr>
        <w:pStyle w:val="ListBullet"/>
        <w:ind w:left="1080"/>
        <w:rPr>
          <w:rFonts w:eastAsia="Times New Roman"/>
          <w:i/>
          <w:lang w:val="en-US"/>
        </w:rPr>
      </w:pPr>
      <w:r w:rsidRPr="00262D73">
        <w:rPr>
          <w:i/>
        </w:rPr>
        <w:t xml:space="preserve">Treatment with </w:t>
      </w:r>
      <w:proofErr w:type="spellStart"/>
      <w:r w:rsidR="007359A2" w:rsidRPr="00262D73">
        <w:rPr>
          <w:i/>
        </w:rPr>
        <w:t>Zolgensma</w:t>
      </w:r>
      <w:proofErr w:type="spellEnd"/>
      <w:r w:rsidRPr="00262D73">
        <w:rPr>
          <w:i/>
        </w:rPr>
        <w:t xml:space="preserve"> requires a risk-benefit assessment for each individual patient in the context of the available evidence (see 5.1 Clinical Trials and 4.4 Special War</w:t>
      </w:r>
      <w:r w:rsidR="00091E1A">
        <w:rPr>
          <w:i/>
        </w:rPr>
        <w:t>nings and Precautions for use)</w:t>
      </w:r>
    </w:p>
    <w:p w14:paraId="1228BAE3" w14:textId="77777777" w:rsidR="00BF1781" w:rsidRPr="00262D73" w:rsidRDefault="00BF1781" w:rsidP="00262D73">
      <w:pPr>
        <w:pStyle w:val="ListBullet"/>
        <w:ind w:left="1080"/>
        <w:rPr>
          <w:i/>
        </w:rPr>
      </w:pPr>
      <w:r w:rsidRPr="00262D73">
        <w:rPr>
          <w:rFonts w:eastAsia="Times New Roman"/>
          <w:i/>
          <w:lang w:val="en-US"/>
        </w:rPr>
        <w:t xml:space="preserve">The use of </w:t>
      </w:r>
      <w:proofErr w:type="spellStart"/>
      <w:r w:rsidR="007359A2" w:rsidRPr="00262D73">
        <w:rPr>
          <w:rFonts w:eastAsia="Times New Roman"/>
          <w:i/>
          <w:lang w:val="en-US"/>
        </w:rPr>
        <w:t>Zolgensma</w:t>
      </w:r>
      <w:proofErr w:type="spellEnd"/>
      <w:r w:rsidRPr="00262D73">
        <w:rPr>
          <w:rFonts w:eastAsia="Times New Roman"/>
          <w:i/>
          <w:lang w:val="en-US"/>
        </w:rPr>
        <w:t xml:space="preserve"> in patients with advanced SMA (e.g., complete paralysis of limbs, permanent ventilator dependence) has not been evaluated (see 4.4 Special Warnings and Precautions for use; Advanced SMA).</w:t>
      </w:r>
    </w:p>
    <w:p w14:paraId="3F965614" w14:textId="3D3DED10" w:rsidR="00BF1781" w:rsidRDefault="00BF1781" w:rsidP="00BF1781">
      <w:pPr>
        <w:rPr>
          <w:lang w:eastAsia="ja-JP"/>
        </w:rPr>
      </w:pPr>
      <w:r>
        <w:t>The changes to the ind</w:t>
      </w:r>
      <w:r w:rsidR="00CB220B">
        <w:t>ication include the removal of ‘less than 9 months of age’</w:t>
      </w:r>
      <w:r>
        <w:t xml:space="preserve"> and the addition of two notes to the indication. </w:t>
      </w:r>
      <w:r>
        <w:rPr>
          <w:lang w:eastAsia="ja-JP"/>
        </w:rPr>
        <w:t>The proposed changes to the indication are supporte</w:t>
      </w:r>
      <w:r w:rsidR="00CB220B">
        <w:rPr>
          <w:lang w:eastAsia="ja-JP"/>
        </w:rPr>
        <w:t>d by additional information in S</w:t>
      </w:r>
      <w:r>
        <w:rPr>
          <w:lang w:eastAsia="ja-JP"/>
        </w:rPr>
        <w:t xml:space="preserve">ections 4.2, 4.4, 4.8 and 5.1 of the </w:t>
      </w:r>
      <w:r w:rsidR="00CB220B">
        <w:rPr>
          <w:lang w:eastAsia="ja-JP"/>
        </w:rPr>
        <w:t>PI</w:t>
      </w:r>
      <w:r>
        <w:rPr>
          <w:lang w:eastAsia="ja-JP"/>
        </w:rPr>
        <w:t xml:space="preserve"> detailing the limitations of the clinical trial dataset, particularly with regard to age and weight [details of these proposed PI changes are beyond the scope of this AusPAR].</w:t>
      </w:r>
    </w:p>
    <w:p w14:paraId="05711F47" w14:textId="5984B345" w:rsidR="00BF1781" w:rsidRDefault="00BF1781" w:rsidP="00BF1781">
      <w:r>
        <w:t>The proposed approach of removing age from the indication has been adopted by some overseas regulators, including the EMA and Health Canada</w:t>
      </w:r>
      <w:r w:rsidR="00CB220B">
        <w:t xml:space="preserve"> (see ‘</w:t>
      </w:r>
      <w:r w:rsidR="00CB220B" w:rsidRPr="00CB220B">
        <w:rPr>
          <w:i/>
        </w:rPr>
        <w:fldChar w:fldCharType="begin"/>
      </w:r>
      <w:r w:rsidR="00CB220B" w:rsidRPr="00CB220B">
        <w:rPr>
          <w:i/>
        </w:rPr>
        <w:instrText xml:space="preserve"> REF _Ref65517514 \h </w:instrText>
      </w:r>
      <w:r w:rsidR="00CB220B">
        <w:rPr>
          <w:i/>
        </w:rPr>
        <w:instrText xml:space="preserve"> \* MERGEFORMAT </w:instrText>
      </w:r>
      <w:r w:rsidR="00CB220B" w:rsidRPr="00CB220B">
        <w:rPr>
          <w:i/>
        </w:rPr>
      </w:r>
      <w:r w:rsidR="00CB220B" w:rsidRPr="00CB220B">
        <w:rPr>
          <w:i/>
        </w:rPr>
        <w:fldChar w:fldCharType="separate"/>
      </w:r>
      <w:r w:rsidR="009C2F61" w:rsidRPr="009C2F61">
        <w:rPr>
          <w:i/>
        </w:rPr>
        <w:t>Regulatory status</w:t>
      </w:r>
      <w:r w:rsidR="00CB220B" w:rsidRPr="00CB220B">
        <w:rPr>
          <w:i/>
        </w:rPr>
        <w:fldChar w:fldCharType="end"/>
      </w:r>
      <w:r w:rsidR="00CB220B">
        <w:t>’ section, above.</w:t>
      </w:r>
      <w:r>
        <w:rPr>
          <w:rStyle w:val="FootnoteReference"/>
        </w:rPr>
        <w:footnoteReference w:id="24"/>
      </w:r>
      <w:r>
        <w:t xml:space="preserve"> With this approach, the limitations of the clinical trial dataset, particularly with regard to the age and weight of patients, are addressed in other sections of the </w:t>
      </w:r>
      <w:r w:rsidR="00CB220B">
        <w:t xml:space="preserve">PI. </w:t>
      </w:r>
      <w:r>
        <w:rPr>
          <w:lang w:eastAsia="ja-JP"/>
        </w:rPr>
        <w:t>This allows clinical discretion with regard to patient age, taking into consideration the efficacy and safety data from the clinical trials and the individual</w:t>
      </w:r>
      <w:r w:rsidR="00496CF4">
        <w:rPr>
          <w:lang w:eastAsia="ja-JP"/>
        </w:rPr>
        <w:t xml:space="preserve"> circumstances of the patient.</w:t>
      </w:r>
    </w:p>
    <w:p w14:paraId="5FC98A62" w14:textId="556B3C47" w:rsidR="00BF1781" w:rsidRDefault="00BF1781" w:rsidP="00BF1781">
      <w:r>
        <w:t xml:space="preserve">The proposed approach would allow some flexibility with regard to patient age, whilst addressing the uncertainty in the benefit-risk for older patients through precautions and other guidance in the </w:t>
      </w:r>
      <w:r w:rsidR="00CB220B">
        <w:t>PI</w:t>
      </w:r>
      <w:r>
        <w:t xml:space="preserve"> describing the limitations </w:t>
      </w:r>
      <w:r w:rsidR="00091E1A">
        <w:t xml:space="preserve">of the clinical trial dataset. </w:t>
      </w:r>
      <w:r w:rsidR="00CB220B">
        <w:t>The Delegate is</w:t>
      </w:r>
      <w:r>
        <w:t xml:space="preserve"> mindful that the proposed approach differs from the position adopted by ACM in December 2020, so would like to consider ACM’s perspective on the proposed changes.</w:t>
      </w:r>
    </w:p>
    <w:p w14:paraId="51CEB628" w14:textId="77777777" w:rsidR="00BF1781" w:rsidRDefault="00BF1781" w:rsidP="00BF1781">
      <w:pPr>
        <w:pStyle w:val="Heading6"/>
      </w:pPr>
      <w:r>
        <w:t>Addendum to Advisory Committee advice (at the February 2021 meeting)</w:t>
      </w:r>
    </w:p>
    <w:p w14:paraId="022EED3C" w14:textId="77777777" w:rsidR="00BF1781" w:rsidRDefault="00BF1781" w:rsidP="00BF1781">
      <w:r>
        <w:t>The Delegate sought further clarification from the ACM at the February 2021 meeting, primarily regarding the inclusion of an age range within the indication.</w:t>
      </w:r>
    </w:p>
    <w:p w14:paraId="5D4FBBF6" w14:textId="77777777" w:rsidR="00BF1781" w:rsidRDefault="00BF1781" w:rsidP="00BF1781">
      <w:r>
        <w:t>The ACM reaffirmed their original view and indication that was proposed at the December 2020 meeting, being:</w:t>
      </w:r>
    </w:p>
    <w:p w14:paraId="56EAA9CE" w14:textId="77777777" w:rsidR="00BF1781" w:rsidRDefault="007359A2" w:rsidP="00BF1781">
      <w:pPr>
        <w:ind w:left="851"/>
        <w:rPr>
          <w:i/>
          <w:lang w:eastAsia="ja-JP"/>
        </w:rPr>
      </w:pPr>
      <w:proofErr w:type="spellStart"/>
      <w:r>
        <w:rPr>
          <w:i/>
          <w:lang w:eastAsia="ja-JP"/>
        </w:rPr>
        <w:t>Zolgensma</w:t>
      </w:r>
      <w:proofErr w:type="spellEnd"/>
      <w:r w:rsidR="00BF1781" w:rsidRPr="00E2746A">
        <w:rPr>
          <w:i/>
          <w:lang w:eastAsia="ja-JP"/>
        </w:rPr>
        <w:t xml:space="preserve"> (</w:t>
      </w:r>
      <w:proofErr w:type="spellStart"/>
      <w:r w:rsidR="00BF1781" w:rsidRPr="00E2746A">
        <w:rPr>
          <w:i/>
          <w:lang w:eastAsia="ja-JP"/>
        </w:rPr>
        <w:t>onasemnogene</w:t>
      </w:r>
      <w:proofErr w:type="spellEnd"/>
      <w:r w:rsidR="00BF1781" w:rsidRPr="00E2746A">
        <w:rPr>
          <w:i/>
          <w:lang w:eastAsia="ja-JP"/>
        </w:rPr>
        <w:t xml:space="preserve"> </w:t>
      </w:r>
      <w:proofErr w:type="spellStart"/>
      <w:r w:rsidR="00BF1781" w:rsidRPr="00E2746A">
        <w:rPr>
          <w:i/>
          <w:lang w:eastAsia="ja-JP"/>
        </w:rPr>
        <w:t>abeparvovec</w:t>
      </w:r>
      <w:proofErr w:type="spellEnd"/>
      <w:r w:rsidR="00BF1781" w:rsidRPr="00E2746A">
        <w:rPr>
          <w:i/>
          <w:lang w:eastAsia="ja-JP"/>
        </w:rPr>
        <w:t>) is indicated for the treatment of paediatric patients less than 9 months of age with symptomatic or pre-symptomatic spinal muscular atrophy with bi-allelic mutations in the survival motor neuron 1 (SMN1) gene and 1</w:t>
      </w:r>
      <w:r w:rsidR="00BF1781">
        <w:rPr>
          <w:i/>
          <w:lang w:eastAsia="ja-JP"/>
        </w:rPr>
        <w:t xml:space="preserve"> to 3 copies of SMN2</w:t>
      </w:r>
      <w:r w:rsidR="00BF1781" w:rsidRPr="00E2746A">
        <w:rPr>
          <w:i/>
          <w:lang w:eastAsia="ja-JP"/>
        </w:rPr>
        <w:t>.</w:t>
      </w:r>
    </w:p>
    <w:p w14:paraId="038121BA" w14:textId="77777777" w:rsidR="00BF1781" w:rsidRDefault="00BF1781" w:rsidP="00BF1781">
      <w:r>
        <w:t>The ACM advised that the age range should be included in the indication to emphasise the importance of treating patients in the age range where efficacy has been demonstrated.</w:t>
      </w:r>
    </w:p>
    <w:p w14:paraId="0BF7808A" w14:textId="77777777" w:rsidR="00BF1781" w:rsidRDefault="00BF1781" w:rsidP="00BF1781">
      <w:r>
        <w:t xml:space="preserve">The ACM stated the rationale for this position remains the same; </w:t>
      </w:r>
      <w:r w:rsidRPr="004143BE">
        <w:t xml:space="preserve">that an indication </w:t>
      </w:r>
      <w:r>
        <w:t>in children over 9 months of age</w:t>
      </w:r>
      <w:r w:rsidRPr="004143BE">
        <w:t xml:space="preserve"> was not supported due to a lack of clinical trial data</w:t>
      </w:r>
      <w:r>
        <w:t xml:space="preserve"> for this age range</w:t>
      </w:r>
      <w:r w:rsidRPr="004143BE">
        <w:t>, and increased risk of gene therapy toxicities in older or larger children.</w:t>
      </w:r>
      <w:r>
        <w:t xml:space="preserve"> The ACM expressed concern with the proposal to remove age from the indication and rely on age range information elsewhere in the PI, considering the current efficacy and safety data.</w:t>
      </w:r>
    </w:p>
    <w:p w14:paraId="310AE8CE" w14:textId="77777777" w:rsidR="00BF1781" w:rsidRPr="00A322B3" w:rsidRDefault="00BF1781" w:rsidP="00BF1781">
      <w:r>
        <w:t>The ACM noted that an application to broaden the age range in the indication could be submitted if additional data becomes available to support this.</w:t>
      </w:r>
    </w:p>
    <w:p w14:paraId="0A91E2EF" w14:textId="003958DE" w:rsidR="008E7846" w:rsidRPr="002E238E" w:rsidRDefault="008E7846" w:rsidP="008E7846">
      <w:pPr>
        <w:pStyle w:val="Heading3"/>
      </w:pPr>
      <w:bookmarkStart w:id="86" w:name="_Toc69909596"/>
      <w:r>
        <w:t>Outcome</w:t>
      </w:r>
      <w:bookmarkEnd w:id="84"/>
      <w:bookmarkEnd w:id="85"/>
      <w:bookmarkEnd w:id="86"/>
    </w:p>
    <w:p w14:paraId="19BB91DD" w14:textId="7FA398CC" w:rsidR="00744121" w:rsidRDefault="00744121" w:rsidP="00744121">
      <w:bookmarkStart w:id="87" w:name="_Toc247691533"/>
      <w:bookmarkStart w:id="88" w:name="_Toc314842517"/>
      <w:r>
        <w:t xml:space="preserve">Based on a review of quality, safety and efficacy, the TGA approved the registration of </w:t>
      </w:r>
      <w:proofErr w:type="spellStart"/>
      <w:r w:rsidR="00BF1781" w:rsidRPr="00FC35F5">
        <w:t>Zolgensma</w:t>
      </w:r>
      <w:proofErr w:type="spellEnd"/>
      <w:r w:rsidR="00BF1781" w:rsidRPr="00FC35F5">
        <w:t xml:space="preserve"> (</w:t>
      </w:r>
      <w:proofErr w:type="spellStart"/>
      <w:r w:rsidR="00BF1781" w:rsidRPr="00FC35F5">
        <w:t>onasemnogene</w:t>
      </w:r>
      <w:proofErr w:type="spellEnd"/>
      <w:r w:rsidR="00BF1781" w:rsidRPr="00FC35F5">
        <w:t xml:space="preserve"> </w:t>
      </w:r>
      <w:proofErr w:type="spellStart"/>
      <w:r w:rsidR="00BF1781" w:rsidRPr="00FC35F5">
        <w:rPr>
          <w:rFonts w:cs="Cambria"/>
          <w:lang w:eastAsia="en-AU"/>
        </w:rPr>
        <w:t>abeparvovec</w:t>
      </w:r>
      <w:proofErr w:type="spellEnd"/>
      <w:r w:rsidR="00BF1781" w:rsidRPr="00FC35F5">
        <w:t>)</w:t>
      </w:r>
      <w:r w:rsidR="00BF1781">
        <w:t xml:space="preserve"> 2 x 10</w:t>
      </w:r>
      <w:r w:rsidR="00BF1781">
        <w:rPr>
          <w:vertAlign w:val="superscript"/>
        </w:rPr>
        <w:t>13</w:t>
      </w:r>
      <w:r w:rsidR="00BF1781">
        <w:t xml:space="preserve"> </w:t>
      </w:r>
      <w:r w:rsidR="00EB3813">
        <w:t>vg</w:t>
      </w:r>
      <w:r w:rsidR="00BF1781">
        <w:t xml:space="preserve">/mL injection for </w:t>
      </w:r>
      <w:r w:rsidR="00CB220B">
        <w:t>IV</w:t>
      </w:r>
      <w:r w:rsidR="00BF1781">
        <w:t xml:space="preserve"> infusion</w:t>
      </w:r>
      <w:r w:rsidR="00BF1781" w:rsidRPr="00250271">
        <w:t xml:space="preserve"> </w:t>
      </w:r>
      <w:r w:rsidR="00091E1A">
        <w:t>vials (5.5 </w:t>
      </w:r>
      <w:r w:rsidR="00BF1781">
        <w:t>mL,</w:t>
      </w:r>
      <w:r w:rsidR="00BF1781" w:rsidRPr="00FC35F5">
        <w:t xml:space="preserve"> 8.3 mL</w:t>
      </w:r>
      <w:r w:rsidR="00BF1781">
        <w:t xml:space="preserve"> fill volume)</w:t>
      </w:r>
      <w:r>
        <w:t>, indicated for:</w:t>
      </w:r>
    </w:p>
    <w:p w14:paraId="4BD7971D" w14:textId="77777777" w:rsidR="00D23139" w:rsidRPr="009038D4" w:rsidRDefault="009038D4" w:rsidP="009038D4">
      <w:pPr>
        <w:ind w:left="720"/>
        <w:rPr>
          <w:i/>
        </w:rPr>
      </w:pPr>
      <w:proofErr w:type="spellStart"/>
      <w:r w:rsidRPr="00FC35F5">
        <w:rPr>
          <w:i/>
        </w:rPr>
        <w:t>Zolgensma</w:t>
      </w:r>
      <w:proofErr w:type="spellEnd"/>
      <w:r w:rsidRPr="00FC35F5">
        <w:rPr>
          <w:i/>
        </w:rPr>
        <w:t xml:space="preserve"> (</w:t>
      </w:r>
      <w:proofErr w:type="spellStart"/>
      <w:r w:rsidRPr="00FC35F5">
        <w:rPr>
          <w:i/>
        </w:rPr>
        <w:t>onasemnogene</w:t>
      </w:r>
      <w:proofErr w:type="spellEnd"/>
      <w:r w:rsidRPr="00FC35F5">
        <w:rPr>
          <w:i/>
        </w:rPr>
        <w:t xml:space="preserve"> </w:t>
      </w:r>
      <w:proofErr w:type="spellStart"/>
      <w:r w:rsidRPr="00FC35F5">
        <w:rPr>
          <w:i/>
        </w:rPr>
        <w:t>abeparvovec</w:t>
      </w:r>
      <w:proofErr w:type="spellEnd"/>
      <w:r w:rsidRPr="00FC35F5">
        <w:rPr>
          <w:i/>
        </w:rPr>
        <w:t>) is indicated for the treatment of paediatric patients less than 9 months of age with symptomatic or pre-symptomatic spinal muscular atrophy with bi-allelic mutations in the survival motor neuron 1 (SMN1) gene and 1 to 3 copies of the SMN2 gene.</w:t>
      </w:r>
    </w:p>
    <w:p w14:paraId="28CD067C" w14:textId="77777777" w:rsidR="00D23139" w:rsidRPr="00D23139" w:rsidRDefault="00D23139" w:rsidP="00D23139">
      <w:pPr>
        <w:pStyle w:val="Heading4"/>
      </w:pPr>
      <w:r w:rsidRPr="00D23139">
        <w:t>Specific conditions of registration applying to these goods</w:t>
      </w:r>
    </w:p>
    <w:p w14:paraId="5C7E7972" w14:textId="4ED11082" w:rsidR="009038D4" w:rsidRPr="00FC35F5" w:rsidRDefault="009038D4" w:rsidP="009038D4">
      <w:pPr>
        <w:pStyle w:val="ListBullet"/>
        <w:rPr>
          <w:lang w:eastAsia="en-AU"/>
        </w:rPr>
      </w:pPr>
      <w:proofErr w:type="spellStart"/>
      <w:r w:rsidRPr="00FC35F5">
        <w:rPr>
          <w:lang w:eastAsia="en-AU"/>
        </w:rPr>
        <w:t>Zolgensma</w:t>
      </w:r>
      <w:proofErr w:type="spellEnd"/>
      <w:r w:rsidRPr="00FC35F5">
        <w:rPr>
          <w:lang w:eastAsia="en-AU"/>
        </w:rPr>
        <w:t xml:space="preserve"> (</w:t>
      </w:r>
      <w:proofErr w:type="spellStart"/>
      <w:r w:rsidRPr="00FC35F5">
        <w:rPr>
          <w:lang w:eastAsia="en-AU"/>
        </w:rPr>
        <w:t>onasemnogene</w:t>
      </w:r>
      <w:proofErr w:type="spellEnd"/>
      <w:r w:rsidRPr="00FC35F5">
        <w:rPr>
          <w:lang w:eastAsia="en-AU"/>
        </w:rPr>
        <w:t xml:space="preserve"> </w:t>
      </w:r>
      <w:proofErr w:type="spellStart"/>
      <w:r w:rsidRPr="00FC35F5">
        <w:rPr>
          <w:lang w:eastAsia="en-AU"/>
        </w:rPr>
        <w:t>abeparvovec</w:t>
      </w:r>
      <w:proofErr w:type="spellEnd"/>
      <w:r w:rsidRPr="00FC35F5">
        <w:rPr>
          <w:lang w:eastAsia="en-AU"/>
        </w:rPr>
        <w:t xml:space="preserve">) is to be included in the Black Triangle Scheme. The </w:t>
      </w:r>
      <w:r w:rsidR="00091E1A">
        <w:rPr>
          <w:lang w:eastAsia="en-AU"/>
        </w:rPr>
        <w:t>PI</w:t>
      </w:r>
      <w:r w:rsidRPr="00FC35F5">
        <w:rPr>
          <w:lang w:eastAsia="en-AU"/>
        </w:rPr>
        <w:t xml:space="preserve"> and </w:t>
      </w:r>
      <w:r w:rsidR="00091E1A">
        <w:rPr>
          <w:lang w:eastAsia="en-AU"/>
        </w:rPr>
        <w:t>CMI</w:t>
      </w:r>
      <w:r w:rsidRPr="00FC35F5">
        <w:rPr>
          <w:lang w:eastAsia="en-AU"/>
        </w:rPr>
        <w:t xml:space="preserve"> for </w:t>
      </w:r>
      <w:proofErr w:type="spellStart"/>
      <w:r w:rsidRPr="00FC35F5">
        <w:rPr>
          <w:lang w:eastAsia="en-AU"/>
        </w:rPr>
        <w:t>Zolgensma</w:t>
      </w:r>
      <w:proofErr w:type="spellEnd"/>
      <w:r w:rsidRPr="00FC35F5">
        <w:rPr>
          <w:lang w:eastAsia="en-AU"/>
        </w:rPr>
        <w:t xml:space="preserve"> must include the black triangle symbol and mandatory accompanying text for five years, which starts from the date that the sponsor notifies the TGA of supply of the product.</w:t>
      </w:r>
    </w:p>
    <w:p w14:paraId="7B05DF4E" w14:textId="379A2F65" w:rsidR="009038D4" w:rsidRPr="00FC35F5" w:rsidRDefault="009038D4" w:rsidP="009038D4">
      <w:pPr>
        <w:pStyle w:val="ListBullet"/>
        <w:rPr>
          <w:lang w:eastAsia="en-AU"/>
        </w:rPr>
      </w:pPr>
      <w:r w:rsidRPr="00FC35F5">
        <w:rPr>
          <w:lang w:eastAsia="en-AU"/>
        </w:rPr>
        <w:t xml:space="preserve">The </w:t>
      </w:r>
      <w:proofErr w:type="spellStart"/>
      <w:r w:rsidRPr="00FC35F5">
        <w:t>Zolgensma</w:t>
      </w:r>
      <w:proofErr w:type="spellEnd"/>
      <w:r w:rsidRPr="00FC35F5">
        <w:rPr>
          <w:lang w:eastAsia="en-AU"/>
        </w:rPr>
        <w:t xml:space="preserve"> </w:t>
      </w:r>
      <w:r w:rsidR="00091E1A">
        <w:rPr>
          <w:lang w:eastAsia="en-AU"/>
        </w:rPr>
        <w:t>EU</w:t>
      </w:r>
      <w:r w:rsidRPr="00FC35F5">
        <w:rPr>
          <w:lang w:eastAsia="en-AU"/>
        </w:rPr>
        <w:t>-</w:t>
      </w:r>
      <w:r w:rsidR="00091E1A">
        <w:rPr>
          <w:lang w:eastAsia="en-AU"/>
        </w:rPr>
        <w:t>RMP</w:t>
      </w:r>
      <w:r w:rsidRPr="00FC35F5">
        <w:rPr>
          <w:lang w:eastAsia="en-AU"/>
        </w:rPr>
        <w:t xml:space="preserve">, (version 0.7, dated 19 March 2020; </w:t>
      </w:r>
      <w:r w:rsidR="00091E1A">
        <w:rPr>
          <w:lang w:eastAsia="en-AU"/>
        </w:rPr>
        <w:t>DLP</w:t>
      </w:r>
      <w:r w:rsidRPr="00FC35F5">
        <w:rPr>
          <w:lang w:eastAsia="en-AU"/>
        </w:rPr>
        <w:t xml:space="preserve"> 31 December 2019) with </w:t>
      </w:r>
      <w:r w:rsidR="00091E1A">
        <w:rPr>
          <w:lang w:eastAsia="en-AU"/>
        </w:rPr>
        <w:t>ASA</w:t>
      </w:r>
      <w:r w:rsidRPr="00FC35F5">
        <w:rPr>
          <w:lang w:eastAsia="en-AU"/>
        </w:rPr>
        <w:t xml:space="preserve"> (version 1.1, dated 17 August 2020), included with submi</w:t>
      </w:r>
      <w:r w:rsidR="00091E1A">
        <w:rPr>
          <w:lang w:eastAsia="en-AU"/>
        </w:rPr>
        <w:t>ssion PM</w:t>
      </w:r>
      <w:r w:rsidR="00091E1A">
        <w:rPr>
          <w:lang w:eastAsia="en-AU"/>
        </w:rPr>
        <w:noBreakHyphen/>
        <w:t>2019</w:t>
      </w:r>
      <w:r w:rsidR="00091E1A">
        <w:rPr>
          <w:lang w:eastAsia="en-AU"/>
        </w:rPr>
        <w:noBreakHyphen/>
      </w:r>
      <w:r w:rsidRPr="00FC35F5">
        <w:rPr>
          <w:lang w:eastAsia="en-AU"/>
        </w:rPr>
        <w:t>05979-1-3, and any subsequent revisions, as agreed with the TGA will be implemented in Australia.</w:t>
      </w:r>
    </w:p>
    <w:p w14:paraId="2B54ABD2" w14:textId="7C5E0737" w:rsidR="009038D4" w:rsidRPr="00FC35F5" w:rsidRDefault="009038D4" w:rsidP="009038D4">
      <w:pPr>
        <w:pStyle w:val="ListBullet"/>
        <w:numPr>
          <w:ilvl w:val="0"/>
          <w:numId w:val="0"/>
        </w:numPr>
        <w:ind w:left="360"/>
        <w:rPr>
          <w:lang w:eastAsia="en-AU"/>
        </w:rPr>
      </w:pPr>
      <w:r w:rsidRPr="00FC35F5">
        <w:rPr>
          <w:lang w:eastAsia="en-AU"/>
        </w:rPr>
        <w:t xml:space="preserve">An obligatory component of risk management plans is routine pharmacovigilance. Routine pharmacovigilance includes the submission of </w:t>
      </w:r>
      <w:r w:rsidR="00091E1A">
        <w:rPr>
          <w:lang w:eastAsia="en-AU"/>
        </w:rPr>
        <w:t>PSURs</w:t>
      </w:r>
      <w:r w:rsidRPr="00FC35F5">
        <w:rPr>
          <w:lang w:eastAsia="en-AU"/>
        </w:rPr>
        <w:t>.</w:t>
      </w:r>
    </w:p>
    <w:p w14:paraId="6A50741F" w14:textId="77777777" w:rsidR="009038D4" w:rsidRPr="00FC35F5" w:rsidRDefault="009038D4" w:rsidP="009038D4">
      <w:pPr>
        <w:pStyle w:val="ListBullet"/>
        <w:numPr>
          <w:ilvl w:val="0"/>
          <w:numId w:val="0"/>
        </w:numPr>
        <w:ind w:left="360"/>
        <w:rPr>
          <w:lang w:eastAsia="en-AU"/>
        </w:rPr>
      </w:pPr>
      <w:r w:rsidRPr="00FC35F5">
        <w:rPr>
          <w:lang w:eastAsia="en-AU"/>
        </w:rPr>
        <w:t>Reports are to be provided in line with the current published list of EU reference dates and frequency of submission of PSURs until the period covered by such reports is not less than three years from the date of the approval letter.</w:t>
      </w:r>
    </w:p>
    <w:p w14:paraId="2B83CB7D" w14:textId="39C1FCCA" w:rsidR="009038D4" w:rsidRPr="00FC35F5" w:rsidRDefault="009038D4" w:rsidP="009038D4">
      <w:pPr>
        <w:pStyle w:val="ListBullet"/>
        <w:numPr>
          <w:ilvl w:val="0"/>
          <w:numId w:val="0"/>
        </w:numPr>
        <w:ind w:left="360"/>
        <w:rPr>
          <w:lang w:eastAsia="en-AU"/>
        </w:rPr>
      </w:pPr>
      <w:r w:rsidRPr="00FC35F5">
        <w:rPr>
          <w:lang w:eastAsia="en-AU"/>
        </w:rPr>
        <w:t xml:space="preserve">The reports are to at least meet the requirements for PSURs as described in the European Medicines Agency’s Guideline on </w:t>
      </w:r>
      <w:r w:rsidR="00091E1A">
        <w:rPr>
          <w:lang w:eastAsia="en-AU"/>
        </w:rPr>
        <w:t>GVP</w:t>
      </w:r>
      <w:r w:rsidRPr="00FC35F5">
        <w:rPr>
          <w:lang w:eastAsia="en-AU"/>
        </w:rPr>
        <w:t xml:space="preserve"> Module VII-periodic safety update report (Rev 1), Part VII.B Structures and processes. Note that submission of a PSUR does not constitute an application to vary the registration.</w:t>
      </w:r>
    </w:p>
    <w:p w14:paraId="7A224868" w14:textId="77777777" w:rsidR="009038D4" w:rsidRPr="00FC35F5" w:rsidRDefault="009038D4" w:rsidP="009038D4">
      <w:pPr>
        <w:pStyle w:val="ListBullet"/>
        <w:rPr>
          <w:lang w:eastAsia="en-AU"/>
        </w:rPr>
      </w:pPr>
      <w:r w:rsidRPr="00FC35F5">
        <w:rPr>
          <w:lang w:eastAsia="en-AU"/>
        </w:rPr>
        <w:t xml:space="preserve">Preparation and administration of </w:t>
      </w:r>
      <w:proofErr w:type="spellStart"/>
      <w:r w:rsidRPr="00FC35F5">
        <w:rPr>
          <w:lang w:eastAsia="en-AU"/>
        </w:rPr>
        <w:t>Zolgensma</w:t>
      </w:r>
      <w:proofErr w:type="spellEnd"/>
      <w:r w:rsidRPr="00FC35F5">
        <w:rPr>
          <w:lang w:eastAsia="en-AU"/>
        </w:rPr>
        <w:t xml:space="preserve"> is restricted to clinical facilities accredited to the National Safety and Quality Health Service (NSQHS) Standards.</w:t>
      </w:r>
    </w:p>
    <w:p w14:paraId="1040C15C" w14:textId="77777777" w:rsidR="009038D4" w:rsidRPr="00FC35F5" w:rsidRDefault="009038D4" w:rsidP="009038D4">
      <w:pPr>
        <w:pStyle w:val="ListBullet"/>
        <w:rPr>
          <w:lang w:eastAsia="en-AU"/>
        </w:rPr>
      </w:pPr>
      <w:r w:rsidRPr="00FC35F5">
        <w:rPr>
          <w:lang w:eastAsia="en-AU"/>
        </w:rPr>
        <w:t>Laboratory testing and compliance with Certified Product Details (CPD)</w:t>
      </w:r>
    </w:p>
    <w:p w14:paraId="1F469867" w14:textId="77777777" w:rsidR="009038D4" w:rsidRPr="00FC35F5" w:rsidRDefault="009038D4" w:rsidP="009038D4">
      <w:pPr>
        <w:pStyle w:val="ListBullet2"/>
        <w:rPr>
          <w:lang w:eastAsia="en-AU"/>
        </w:rPr>
      </w:pPr>
      <w:r w:rsidRPr="00FC35F5">
        <w:rPr>
          <w:lang w:eastAsia="en-AU"/>
        </w:rPr>
        <w:t xml:space="preserve">All batches of </w:t>
      </w:r>
      <w:proofErr w:type="spellStart"/>
      <w:r w:rsidRPr="00FC35F5">
        <w:rPr>
          <w:lang w:eastAsia="en-AU"/>
        </w:rPr>
        <w:t>Zolgensma</w:t>
      </w:r>
      <w:proofErr w:type="spellEnd"/>
      <w:r w:rsidRPr="00FC35F5">
        <w:rPr>
          <w:lang w:eastAsia="en-AU"/>
        </w:rPr>
        <w:t xml:space="preserve"> supplied in Australia must comply with the product details and specifications approved during evaluation and detailed in the Certified Product Details (CPD).</w:t>
      </w:r>
    </w:p>
    <w:p w14:paraId="725160CF" w14:textId="77777777" w:rsidR="009038D4" w:rsidRPr="00FC35F5" w:rsidRDefault="009038D4" w:rsidP="009038D4">
      <w:pPr>
        <w:pStyle w:val="ListBullet2"/>
        <w:rPr>
          <w:lang w:eastAsia="en-AU"/>
        </w:rPr>
      </w:pPr>
      <w:r w:rsidRPr="00FC35F5">
        <w:rPr>
          <w:lang w:eastAsia="en-AU"/>
        </w:rP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36FBEAA6" w14:textId="77777777" w:rsidR="009038D4" w:rsidRPr="00FC35F5" w:rsidRDefault="009038D4" w:rsidP="002B4381">
      <w:pPr>
        <w:pStyle w:val="ListBullet"/>
        <w:keepNext/>
        <w:ind w:left="357" w:hanging="357"/>
        <w:rPr>
          <w:lang w:eastAsia="en-AU"/>
        </w:rPr>
      </w:pPr>
      <w:r w:rsidRPr="00FC35F5">
        <w:rPr>
          <w:lang w:eastAsia="en-AU"/>
        </w:rPr>
        <w:t>Certified Product Details</w:t>
      </w:r>
    </w:p>
    <w:p w14:paraId="7965A91C" w14:textId="77777777" w:rsidR="009038D4" w:rsidRPr="00FC35F5" w:rsidRDefault="009038D4" w:rsidP="009038D4">
      <w:pPr>
        <w:pStyle w:val="ListBullet"/>
        <w:numPr>
          <w:ilvl w:val="0"/>
          <w:numId w:val="0"/>
        </w:numPr>
        <w:ind w:left="360"/>
        <w:rPr>
          <w:lang w:eastAsia="en-AU"/>
        </w:rPr>
      </w:pPr>
      <w:r w:rsidRPr="00FC35F5">
        <w:rPr>
          <w:lang w:eastAsia="en-AU"/>
        </w:rPr>
        <w:t>The Certified Product Details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C1589F6" w14:textId="77777777" w:rsidR="009752A5" w:rsidRDefault="009038D4" w:rsidP="009752A5">
      <w:pPr>
        <w:pStyle w:val="ListBullet"/>
        <w:rPr>
          <w:lang w:eastAsia="en-AU"/>
        </w:rPr>
      </w:pPr>
      <w:r w:rsidRPr="00FC35F5">
        <w:rPr>
          <w:lang w:eastAsia="en-AU"/>
        </w:rPr>
        <w:t>For all injectable products the Product Information must be included with the product as a package insert.</w:t>
      </w:r>
    </w:p>
    <w:p w14:paraId="715A86B2" w14:textId="4B9CD0C2" w:rsidR="008E7846" w:rsidRDefault="00A80B5B" w:rsidP="00D23139">
      <w:pPr>
        <w:pStyle w:val="Heading2"/>
      </w:pPr>
      <w:bookmarkStart w:id="89" w:name="_Toc69909597"/>
      <w:r>
        <w:t xml:space="preserve">Attachment 1. </w:t>
      </w:r>
      <w:r w:rsidR="008E7846">
        <w:t xml:space="preserve">Product </w:t>
      </w:r>
      <w:r w:rsidR="00AA0ED0">
        <w:t>I</w:t>
      </w:r>
      <w:r w:rsidR="008E7846">
        <w:t>nformation</w:t>
      </w:r>
      <w:bookmarkEnd w:id="87"/>
      <w:bookmarkEnd w:id="88"/>
      <w:bookmarkEnd w:id="89"/>
    </w:p>
    <w:p w14:paraId="0F549023" w14:textId="32DB0391" w:rsidR="00291957" w:rsidRPr="008D6DA3" w:rsidRDefault="006136D7" w:rsidP="008D6DA3">
      <w:pPr>
        <w:rPr>
          <w:color w:val="000000"/>
          <w:lang w:eastAsia="en-AU"/>
        </w:rPr>
      </w:pPr>
      <w:r w:rsidRPr="002B3624">
        <w:t xml:space="preserve">The </w:t>
      </w:r>
      <w:r>
        <w:t>PI</w:t>
      </w:r>
      <w:r w:rsidRPr="002B3624">
        <w:t xml:space="preserve"> for </w:t>
      </w:r>
      <w:proofErr w:type="spellStart"/>
      <w:r w:rsidR="009038D4">
        <w:t>Zolgensma</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7" w:history="1">
        <w:r w:rsidR="007C6B9B" w:rsidRPr="007C6B9B">
          <w:rPr>
            <w:rStyle w:val="Hyperlink"/>
          </w:rPr>
          <w:t>https://www.tga.gov.au/product-information-pi</w:t>
        </w:r>
      </w:hyperlink>
      <w:r w:rsidR="009038D4">
        <w:t>&gt;.</w:t>
      </w:r>
    </w:p>
    <w:p w14:paraId="3A2A3A06" w14:textId="77777777" w:rsidR="00744121" w:rsidRDefault="00744121" w:rsidP="00744121">
      <w:pPr>
        <w:rPr>
          <w:lang w:eastAsia="ja-JP"/>
        </w:rPr>
      </w:pPr>
    </w:p>
    <w:p w14:paraId="0100D193" w14:textId="77777777" w:rsidR="00C80137" w:rsidRPr="001D043B" w:rsidRDefault="00C80137" w:rsidP="003A7F6C">
      <w:pPr>
        <w:pStyle w:val="TableTitle"/>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F9BA874" w14:textId="77777777" w:rsidTr="00A05FA4">
        <w:trPr>
          <w:trHeight w:hRule="exact" w:val="704"/>
        </w:trPr>
        <w:tc>
          <w:tcPr>
            <w:tcW w:w="9175" w:type="dxa"/>
          </w:tcPr>
          <w:p w14:paraId="17749C44" w14:textId="77777777" w:rsidR="001C32CD" w:rsidRPr="00487162" w:rsidRDefault="001C32CD" w:rsidP="00A05FA4">
            <w:pPr>
              <w:pStyle w:val="TGASignoff"/>
            </w:pPr>
            <w:r w:rsidRPr="00487162">
              <w:t>Therapeutic Goods Administration</w:t>
            </w:r>
          </w:p>
        </w:tc>
      </w:tr>
      <w:tr w:rsidR="001C32CD" w:rsidRPr="004C239D" w14:paraId="170D65E1" w14:textId="77777777" w:rsidTr="00A05FA4">
        <w:trPr>
          <w:trHeight w:val="1221"/>
        </w:trPr>
        <w:tc>
          <w:tcPr>
            <w:tcW w:w="9175" w:type="dxa"/>
            <w:tcMar>
              <w:top w:w="28" w:type="dxa"/>
            </w:tcMar>
          </w:tcPr>
          <w:p w14:paraId="419A67FC" w14:textId="77777777" w:rsidR="001C32CD" w:rsidRPr="00487162" w:rsidRDefault="001C32CD" w:rsidP="00A05FA4">
            <w:pPr>
              <w:pStyle w:val="Address"/>
            </w:pPr>
            <w:r w:rsidRPr="00487162">
              <w:t>PO Box 100 Woden ACT 2606 Australia</w:t>
            </w:r>
          </w:p>
          <w:p w14:paraId="5B93F7C0" w14:textId="1724A885"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020 653  Fax: 02 6232 8605</w:t>
            </w:r>
          </w:p>
          <w:p w14:paraId="56946C59" w14:textId="7461BDCC" w:rsidR="001C32CD" w:rsidRPr="004C239D" w:rsidRDefault="00A72B01"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780A3084"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AB5B4" w14:textId="77777777" w:rsidR="00A72B01" w:rsidRDefault="00A72B01" w:rsidP="00C40A36">
      <w:pPr>
        <w:spacing w:after="0"/>
      </w:pPr>
      <w:r>
        <w:separator/>
      </w:r>
    </w:p>
  </w:endnote>
  <w:endnote w:type="continuationSeparator" w:id="0">
    <w:p w14:paraId="1C75C326" w14:textId="77777777" w:rsidR="00A72B01" w:rsidRDefault="00A72B0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urierHP">
    <w:altName w:val="Times New Roman"/>
    <w:panose1 w:val="00000000000000000000"/>
    <w:charset w:val="CC"/>
    <w:family w:val="auto"/>
    <w:notTrueType/>
    <w:pitch w:val="default"/>
    <w:sig w:usb0="00000201" w:usb1="00000000" w:usb2="00000000" w:usb3="00000000" w:csb0="00000004" w:csb1="00000000"/>
  </w:font>
  <w:font w:name="Wingdings 3">
    <w:panose1 w:val="05040102010807070707"/>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UnicodeMS">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ambria-Italic">
    <w:altName w:val="Cambria"/>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F55AF" w14:textId="77777777" w:rsidR="00A72B01" w:rsidRDefault="00A72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72B01" w:rsidRPr="00487162" w14:paraId="485BD81C" w14:textId="77777777" w:rsidTr="00DB750B">
      <w:trPr>
        <w:trHeight w:val="269"/>
      </w:trPr>
      <w:tc>
        <w:tcPr>
          <w:tcW w:w="7371" w:type="dxa"/>
          <w:tcMar>
            <w:top w:w="142" w:type="dxa"/>
            <w:bottom w:w="0" w:type="dxa"/>
          </w:tcMar>
        </w:tcPr>
        <w:p w14:paraId="312C63BB" w14:textId="4C5BCAE0" w:rsidR="00A72B01" w:rsidRPr="00487162" w:rsidRDefault="00A72B01" w:rsidP="005F7A49">
          <w:pPr>
            <w:pStyle w:val="Footer"/>
          </w:pPr>
          <w:r w:rsidRPr="00487162">
            <w:t>AusPA</w:t>
          </w:r>
          <w:r>
            <w:t xml:space="preserve">R - </w:t>
          </w:r>
          <w:r w:rsidRPr="007F4EE1">
            <w:t xml:space="preserve">ZOLGENSMA - </w:t>
          </w:r>
          <w:proofErr w:type="spellStart"/>
          <w:r w:rsidRPr="007F4EE1">
            <w:t>onasemnogene</w:t>
          </w:r>
          <w:proofErr w:type="spellEnd"/>
          <w:r w:rsidRPr="007F4EE1">
            <w:t xml:space="preserve"> </w:t>
          </w:r>
          <w:proofErr w:type="spellStart"/>
          <w:r w:rsidRPr="007F4EE1">
            <w:t>abeparvovec</w:t>
          </w:r>
          <w:proofErr w:type="spellEnd"/>
          <w:r w:rsidRPr="007F4EE1">
            <w:t xml:space="preserve"> - Novartis Pharmaceuticals Australia Pty Ltd - PM-2019-05979-1-3</w:t>
          </w:r>
          <w:r>
            <w:br/>
            <w:t>FINAL 6 April 2021</w:t>
          </w:r>
        </w:p>
      </w:tc>
      <w:tc>
        <w:tcPr>
          <w:tcW w:w="1490" w:type="dxa"/>
          <w:tcMar>
            <w:top w:w="142" w:type="dxa"/>
            <w:bottom w:w="0" w:type="dxa"/>
          </w:tcMar>
        </w:tcPr>
        <w:p w14:paraId="0EFAD8CD" w14:textId="4515CB6D" w:rsidR="00A72B01" w:rsidRPr="00487162" w:rsidRDefault="00A72B01" w:rsidP="00DB750B">
          <w:pPr>
            <w:pStyle w:val="Footer"/>
            <w:jc w:val="right"/>
          </w:pPr>
          <w:r w:rsidRPr="00487162">
            <w:t xml:space="preserve">Page </w:t>
          </w:r>
          <w:r>
            <w:fldChar w:fldCharType="begin"/>
          </w:r>
          <w:r>
            <w:instrText xml:space="preserve"> PAGE  \* Arabic </w:instrText>
          </w:r>
          <w:r>
            <w:fldChar w:fldCharType="separate"/>
          </w:r>
          <w:r w:rsidR="00D97075">
            <w:rPr>
              <w:noProof/>
            </w:rPr>
            <w:t>21</w:t>
          </w:r>
          <w:r>
            <w:fldChar w:fldCharType="end"/>
          </w:r>
          <w:r w:rsidRPr="00487162">
            <w:t xml:space="preserve"> of </w:t>
          </w:r>
          <w:fldSimple w:instr=" NUMPAGES  \* Arabic ">
            <w:r w:rsidR="00D97075">
              <w:rPr>
                <w:noProof/>
              </w:rPr>
              <w:t>55</w:t>
            </w:r>
          </w:fldSimple>
        </w:p>
      </w:tc>
    </w:tr>
  </w:tbl>
  <w:p w14:paraId="067E8763" w14:textId="77777777" w:rsidR="00A72B01" w:rsidRDefault="00A72B0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1AB01" w14:textId="77777777" w:rsidR="00A72B01" w:rsidRDefault="00A72B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72B01" w:rsidRPr="00487162" w14:paraId="706A73EA" w14:textId="77777777" w:rsidTr="00E45619">
      <w:trPr>
        <w:trHeight w:val="269"/>
      </w:trPr>
      <w:tc>
        <w:tcPr>
          <w:tcW w:w="4519" w:type="dxa"/>
          <w:tcBorders>
            <w:top w:val="single" w:sz="4" w:space="0" w:color="auto"/>
          </w:tcBorders>
          <w:tcMar>
            <w:top w:w="142" w:type="dxa"/>
            <w:bottom w:w="0" w:type="dxa"/>
          </w:tcMar>
        </w:tcPr>
        <w:p w14:paraId="32F46B16" w14:textId="77777777" w:rsidR="00A72B01" w:rsidRPr="00487162" w:rsidRDefault="00A72B01" w:rsidP="00FE1DEE">
          <w:pPr>
            <w:pStyle w:val="Footer"/>
          </w:pPr>
          <w:r w:rsidRPr="00487162">
            <w:t>Document title, Part #, Section # - Section title</w:t>
          </w:r>
        </w:p>
        <w:p w14:paraId="65BCF7F1" w14:textId="77777777" w:rsidR="00A72B01" w:rsidRPr="00487162" w:rsidRDefault="00A72B01" w:rsidP="00FE1DEE">
          <w:pPr>
            <w:pStyle w:val="Footer"/>
          </w:pPr>
          <w:r w:rsidRPr="00487162">
            <w:t>V1.0 October 2010</w:t>
          </w:r>
        </w:p>
      </w:tc>
      <w:tc>
        <w:tcPr>
          <w:tcW w:w="4342" w:type="dxa"/>
          <w:tcBorders>
            <w:top w:val="single" w:sz="4" w:space="0" w:color="auto"/>
          </w:tcBorders>
          <w:tcMar>
            <w:top w:w="142" w:type="dxa"/>
            <w:bottom w:w="0" w:type="dxa"/>
          </w:tcMar>
        </w:tcPr>
        <w:p w14:paraId="1D80C74C" w14:textId="77777777" w:rsidR="00A72B01" w:rsidRPr="00487162" w:rsidRDefault="00A72B0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3EEDD8E3" w14:textId="77777777" w:rsidR="00A72B01" w:rsidRDefault="00A72B0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1C6E9" w14:textId="77777777" w:rsidR="00A72B01" w:rsidRPr="001C32CD" w:rsidRDefault="00A72B0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72B01" w14:paraId="42791926" w14:textId="77777777" w:rsidTr="0010601F">
      <w:trPr>
        <w:trHeight w:val="108"/>
      </w:trPr>
      <w:tc>
        <w:tcPr>
          <w:tcW w:w="8875" w:type="dxa"/>
          <w:gridSpan w:val="2"/>
          <w:tcBorders>
            <w:bottom w:val="single" w:sz="4" w:space="0" w:color="auto"/>
          </w:tcBorders>
          <w:tcMar>
            <w:right w:w="284" w:type="dxa"/>
          </w:tcMar>
        </w:tcPr>
        <w:p w14:paraId="7755C008" w14:textId="77777777" w:rsidR="00A72B01" w:rsidRDefault="00A72B01" w:rsidP="006E08B3">
          <w:pPr>
            <w:pStyle w:val="Heading3"/>
          </w:pPr>
          <w:r>
            <w:t>Copyright</w:t>
          </w:r>
        </w:p>
        <w:p w14:paraId="2FB4E82C" w14:textId="77777777" w:rsidR="00A72B01" w:rsidRDefault="00A72B01" w:rsidP="006E08B3">
          <w:r>
            <w:rPr>
              <w:rFonts w:cs="Arial"/>
            </w:rPr>
            <w:t>©</w:t>
          </w:r>
          <w:r>
            <w:t xml:space="preserve"> Commonwealth of Australia [add year]</w:t>
          </w:r>
        </w:p>
        <w:p w14:paraId="4A3B9DCD" w14:textId="77777777" w:rsidR="00A72B01" w:rsidRDefault="00A72B01" w:rsidP="006E08B3"/>
        <w:p w14:paraId="6C2195B1" w14:textId="77777777" w:rsidR="00A72B01" w:rsidRDefault="00A72B0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F78876F" w14:textId="77777777" w:rsidR="00A72B01" w:rsidRDefault="00A72B01" w:rsidP="006E08B3"/>
        <w:p w14:paraId="2DF088F7" w14:textId="77777777" w:rsidR="00A72B01" w:rsidRDefault="00A72B01" w:rsidP="006E08B3">
          <w:pPr>
            <w:pStyle w:val="Heading3"/>
          </w:pPr>
          <w:r>
            <w:t>Confidentiality</w:t>
          </w:r>
        </w:p>
        <w:p w14:paraId="7FC324D2" w14:textId="77777777" w:rsidR="00A72B01" w:rsidRDefault="00A72B0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C689C39" w14:textId="77777777" w:rsidR="00A72B01" w:rsidRDefault="00A72B01" w:rsidP="006E08B3"/>
        <w:p w14:paraId="543E345C" w14:textId="77777777" w:rsidR="00A72B01" w:rsidRDefault="00A72B01" w:rsidP="006E08B3">
          <w:r>
            <w:t>For submission made by individuals, all personal details, other than your name, will be removed from your submission before it is published on the TGA’s Internet site.</w:t>
          </w:r>
        </w:p>
        <w:p w14:paraId="716B9EC9" w14:textId="77777777" w:rsidR="00A72B01" w:rsidRDefault="00A72B01" w:rsidP="006E08B3"/>
        <w:p w14:paraId="48B77E67" w14:textId="77777777" w:rsidR="00A72B01" w:rsidRDefault="00A72B0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72B01" w14:paraId="3E7C5E4A" w14:textId="77777777" w:rsidTr="0010601F">
      <w:trPr>
        <w:trHeight w:val="417"/>
      </w:trPr>
      <w:tc>
        <w:tcPr>
          <w:tcW w:w="4519" w:type="dxa"/>
          <w:tcBorders>
            <w:top w:val="single" w:sz="4" w:space="0" w:color="auto"/>
          </w:tcBorders>
          <w:tcMar>
            <w:top w:w="142" w:type="dxa"/>
            <w:bottom w:w="0" w:type="dxa"/>
          </w:tcMar>
        </w:tcPr>
        <w:p w14:paraId="3AC69794" w14:textId="77777777" w:rsidR="00A72B01" w:rsidRDefault="00A72B01" w:rsidP="006E08B3">
          <w:r>
            <w:t>Document title, Part #, Section # - Section title</w:t>
          </w:r>
        </w:p>
        <w:p w14:paraId="6FB1DB42" w14:textId="77777777" w:rsidR="00A72B01" w:rsidRDefault="00A72B01" w:rsidP="006E08B3">
          <w:r>
            <w:t>V1.0 October 2010</w:t>
          </w:r>
        </w:p>
      </w:tc>
      <w:tc>
        <w:tcPr>
          <w:tcW w:w="4356" w:type="dxa"/>
          <w:tcBorders>
            <w:top w:val="single" w:sz="4" w:space="0" w:color="auto"/>
          </w:tcBorders>
          <w:tcMar>
            <w:top w:w="142" w:type="dxa"/>
            <w:bottom w:w="0" w:type="dxa"/>
          </w:tcMar>
        </w:tcPr>
        <w:p w14:paraId="153572A8" w14:textId="77777777" w:rsidR="00A72B01" w:rsidRDefault="00A72B0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443A0CC2" w14:textId="77777777" w:rsidR="00A72B01" w:rsidRDefault="00A72B0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EC9CD" w14:textId="77777777" w:rsidR="00A72B01" w:rsidRDefault="00A72B01" w:rsidP="00C40A36">
      <w:pPr>
        <w:spacing w:after="0"/>
      </w:pPr>
      <w:r>
        <w:separator/>
      </w:r>
    </w:p>
  </w:footnote>
  <w:footnote w:type="continuationSeparator" w:id="0">
    <w:p w14:paraId="1CACEF5B" w14:textId="77777777" w:rsidR="00A72B01" w:rsidRDefault="00A72B01" w:rsidP="00C40A36">
      <w:pPr>
        <w:spacing w:after="0"/>
      </w:pPr>
      <w:r>
        <w:continuationSeparator/>
      </w:r>
    </w:p>
  </w:footnote>
  <w:footnote w:id="1">
    <w:p w14:paraId="5296790F" w14:textId="77777777" w:rsidR="00A72B01" w:rsidRDefault="00A72B01">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53054435" w14:textId="49A698C9" w:rsidR="00A72B01" w:rsidRDefault="00A72B01">
      <w:pPr>
        <w:pStyle w:val="FootnoteText"/>
      </w:pPr>
      <w:r>
        <w:rPr>
          <w:rStyle w:val="FootnoteReference"/>
        </w:rPr>
        <w:footnoteRef/>
      </w:r>
      <w:r>
        <w:t xml:space="preserve"> </w:t>
      </w:r>
      <w:r w:rsidRPr="00C75174">
        <w:t xml:space="preserve">Kolb SJ, </w:t>
      </w:r>
      <w:proofErr w:type="spellStart"/>
      <w:r w:rsidRPr="00C75174">
        <w:t>Kissel</w:t>
      </w:r>
      <w:proofErr w:type="spellEnd"/>
      <w:r w:rsidRPr="00C75174">
        <w:t xml:space="preserve"> JT. Spinal muscular atrophy: a timely review. </w:t>
      </w:r>
      <w:r w:rsidRPr="00546BF7">
        <w:rPr>
          <w:i/>
        </w:rPr>
        <w:t>Arch Neurol</w:t>
      </w:r>
      <w:r w:rsidRPr="00C75174">
        <w:t>. 2011;</w:t>
      </w:r>
      <w:r>
        <w:t xml:space="preserve"> </w:t>
      </w:r>
      <w:r w:rsidRPr="00C75174">
        <w:t>68(8):</w:t>
      </w:r>
      <w:r>
        <w:t xml:space="preserve"> </w:t>
      </w:r>
      <w:r w:rsidRPr="00C75174">
        <w:t>979-</w:t>
      </w:r>
      <w:r>
        <w:t>9</w:t>
      </w:r>
      <w:r w:rsidRPr="00C75174">
        <w:t>84.</w:t>
      </w:r>
    </w:p>
  </w:footnote>
  <w:footnote w:id="3">
    <w:p w14:paraId="4B90420D" w14:textId="77777777" w:rsidR="00A72B01" w:rsidRDefault="00A72B01" w:rsidP="00A20897">
      <w:pPr>
        <w:pStyle w:val="FootnoteText"/>
      </w:pPr>
      <w:r>
        <w:rPr>
          <w:rStyle w:val="FootnoteReference"/>
        </w:rPr>
        <w:footnoteRef/>
      </w:r>
      <w:r>
        <w:t xml:space="preserve"> </w:t>
      </w:r>
      <w:proofErr w:type="spellStart"/>
      <w:r>
        <w:rPr>
          <w:lang w:eastAsia="ja-JP"/>
        </w:rPr>
        <w:t>Finkel</w:t>
      </w:r>
      <w:proofErr w:type="spellEnd"/>
      <w:r>
        <w:rPr>
          <w:lang w:eastAsia="ja-JP"/>
        </w:rPr>
        <w:t xml:space="preserve"> RS, et al. Observational study of spinal muscular atrophy type I and implications for clinical trials. </w:t>
      </w:r>
      <w:r w:rsidRPr="00A20897">
        <w:rPr>
          <w:i/>
          <w:lang w:eastAsia="ja-JP"/>
        </w:rPr>
        <w:t>Neurology</w:t>
      </w:r>
      <w:r>
        <w:rPr>
          <w:lang w:eastAsia="ja-JP"/>
        </w:rPr>
        <w:t>. 2014; 83(9): 810-817.</w:t>
      </w:r>
    </w:p>
  </w:footnote>
  <w:footnote w:id="4">
    <w:p w14:paraId="6D071BCB" w14:textId="2EFD6305" w:rsidR="00A72B01" w:rsidRDefault="00A72B01">
      <w:pPr>
        <w:pStyle w:val="FootnoteText"/>
      </w:pPr>
      <w:r>
        <w:rPr>
          <w:rStyle w:val="FootnoteReference"/>
        </w:rPr>
        <w:footnoteRef/>
      </w:r>
      <w:r>
        <w:t xml:space="preserve"> </w:t>
      </w:r>
      <w:proofErr w:type="spellStart"/>
      <w:r>
        <w:rPr>
          <w:lang w:eastAsia="ja-JP"/>
        </w:rPr>
        <w:t>Spinraza</w:t>
      </w:r>
      <w:proofErr w:type="spellEnd"/>
      <w:r>
        <w:rPr>
          <w:lang w:eastAsia="ja-JP"/>
        </w:rPr>
        <w:t xml:space="preserve"> (</w:t>
      </w:r>
      <w:proofErr w:type="spellStart"/>
      <w:r>
        <w:rPr>
          <w:lang w:eastAsia="ja-JP"/>
        </w:rPr>
        <w:t>nusinersen</w:t>
      </w:r>
      <w:proofErr w:type="spellEnd"/>
      <w:r>
        <w:rPr>
          <w:lang w:eastAsia="ja-JP"/>
        </w:rPr>
        <w:t xml:space="preserve">) </w:t>
      </w:r>
      <w:r>
        <w:t xml:space="preserve">12 mg/5 mL solution for injection vial </w:t>
      </w:r>
      <w:r>
        <w:rPr>
          <w:lang w:eastAsia="ja-JP"/>
        </w:rPr>
        <w:t xml:space="preserve">was first registered on 3 November 2017 (AUST R </w:t>
      </w:r>
      <w:r>
        <w:t>282522)</w:t>
      </w:r>
      <w:r>
        <w:rPr>
          <w:lang w:eastAsia="ja-JP"/>
        </w:rPr>
        <w:t xml:space="preserve">, and is indicated for the treatment of 5q SMA. For further information, see the AusPAR available at </w:t>
      </w:r>
      <w:hyperlink r:id="rId1" w:history="1">
        <w:r w:rsidRPr="00C71F6B">
          <w:rPr>
            <w:rStyle w:val="Hyperlink"/>
            <w:lang w:eastAsia="ja-JP"/>
          </w:rPr>
          <w:t>https://www.tga.gov.au/auspar/auspar-nusinersen-heptadecasodium</w:t>
        </w:r>
      </w:hyperlink>
      <w:r>
        <w:rPr>
          <w:lang w:eastAsia="ja-JP"/>
        </w:rPr>
        <w:t>.</w:t>
      </w:r>
    </w:p>
  </w:footnote>
  <w:footnote w:id="5">
    <w:p w14:paraId="41B4B9F2" w14:textId="6F8FA723" w:rsidR="00A72B01" w:rsidRDefault="00A72B01">
      <w:pPr>
        <w:pStyle w:val="FootnoteText"/>
      </w:pPr>
      <w:r>
        <w:rPr>
          <w:rStyle w:val="FootnoteReference"/>
        </w:rPr>
        <w:footnoteRef/>
      </w:r>
      <w:r>
        <w:t xml:space="preserve"> </w:t>
      </w:r>
      <w:r w:rsidRPr="00FB3C2A">
        <w:t xml:space="preserve">Luxturna (voretigene neparvovec) was registered on 5 August 2020 </w:t>
      </w:r>
      <w:r>
        <w:t xml:space="preserve">(AUST R </w:t>
      </w:r>
      <w:r w:rsidRPr="00FB3C2A">
        <w:t>318929</w:t>
      </w:r>
      <w:r>
        <w:t xml:space="preserve">) </w:t>
      </w:r>
      <w:r w:rsidRPr="00FB3C2A">
        <w:t xml:space="preserve">for use by </w:t>
      </w:r>
      <w:proofErr w:type="spellStart"/>
      <w:r w:rsidRPr="00FB3C2A">
        <w:t>subretinal</w:t>
      </w:r>
      <w:proofErr w:type="spellEnd"/>
      <w:r w:rsidRPr="00FB3C2A">
        <w:t xml:space="preserve"> injection for the treatment of patients with inherited retinal dystrophy caused by pathological </w:t>
      </w:r>
      <w:proofErr w:type="spellStart"/>
      <w:r w:rsidRPr="00FB3C2A">
        <w:t>biallelic</w:t>
      </w:r>
      <w:proofErr w:type="spellEnd"/>
      <w:r w:rsidRPr="00FB3C2A">
        <w:t xml:space="preserve"> RPE65 mutations and who have sufficient viable retinal cells as determined by the treating physician.</w:t>
      </w:r>
      <w:r>
        <w:t xml:space="preserve"> For further information, see the AusPAR at </w:t>
      </w:r>
      <w:hyperlink r:id="rId2" w:history="1">
        <w:r w:rsidRPr="00C71F6B">
          <w:rPr>
            <w:rStyle w:val="Hyperlink"/>
          </w:rPr>
          <w:t>https://www.tga.gov.au/auspar/auspar-voretigene-neparvovec</w:t>
        </w:r>
      </w:hyperlink>
      <w:r>
        <w:t>.</w:t>
      </w:r>
    </w:p>
  </w:footnote>
  <w:footnote w:id="6">
    <w:p w14:paraId="1A641D27" w14:textId="463B006A" w:rsidR="00A72B01" w:rsidRDefault="00A72B01">
      <w:pPr>
        <w:pStyle w:val="FootnoteText"/>
      </w:pPr>
      <w:r>
        <w:rPr>
          <w:rStyle w:val="FootnoteReference"/>
        </w:rPr>
        <w:footnoteRef/>
      </w:r>
      <w:r>
        <w:t xml:space="preserve"> For lists of DNIR applications, refer to the OGTR website at </w:t>
      </w:r>
      <w:hyperlink r:id="rId3" w:history="1">
        <w:r w:rsidRPr="00C71F6B">
          <w:rPr>
            <w:rStyle w:val="Hyperlink"/>
          </w:rPr>
          <w:t>http://www.ogtr.gov.au/internet/ogtr/publishing.nsf/Content/contained-1</w:t>
        </w:r>
      </w:hyperlink>
      <w:r>
        <w:t>.</w:t>
      </w:r>
    </w:p>
  </w:footnote>
  <w:footnote w:id="7">
    <w:p w14:paraId="095C59FD" w14:textId="2B4DB058" w:rsidR="00A72B01" w:rsidRPr="005F7A49" w:rsidRDefault="00A72B01">
      <w:pPr>
        <w:pStyle w:val="FootnoteText"/>
        <w:rPr>
          <w:lang w:val="en-US"/>
        </w:rPr>
      </w:pPr>
      <w:r>
        <w:rPr>
          <w:rStyle w:val="FootnoteReference"/>
        </w:rPr>
        <w:footnoteRef/>
      </w:r>
      <w:r>
        <w:t xml:space="preserve"> </w:t>
      </w:r>
      <w:r w:rsidRPr="005F7A49">
        <w:rPr>
          <w:b/>
        </w:rPr>
        <w:t>Orphan</w:t>
      </w:r>
      <w:r>
        <w:t xml:space="preserve"> drugs</w:t>
      </w:r>
      <w:r w:rsidRPr="00E838B1">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8">
    <w:p w14:paraId="753CE6F0" w14:textId="0934D77A" w:rsidR="00A72B01" w:rsidRDefault="00A72B01">
      <w:pPr>
        <w:pStyle w:val="FootnoteText"/>
      </w:pPr>
      <w:r>
        <w:rPr>
          <w:rStyle w:val="FootnoteReference"/>
        </w:rPr>
        <w:footnoteRef/>
      </w:r>
      <w:r>
        <w:t xml:space="preserve"> </w:t>
      </w:r>
      <w:r>
        <w:rPr>
          <w:rFonts w:asciiTheme="minorHAnsi" w:hAnsiTheme="minorHAnsi"/>
        </w:rPr>
        <w:t xml:space="preserve">AVXS-101 is the drug development code for </w:t>
      </w:r>
      <w:proofErr w:type="spellStart"/>
      <w:r>
        <w:rPr>
          <w:rFonts w:asciiTheme="minorHAnsi" w:hAnsiTheme="minorHAnsi"/>
        </w:rPr>
        <w:t>onasemnogene</w:t>
      </w:r>
      <w:proofErr w:type="spellEnd"/>
      <w:r>
        <w:rPr>
          <w:rFonts w:asciiTheme="minorHAnsi" w:hAnsiTheme="minorHAnsi"/>
        </w:rPr>
        <w:t xml:space="preserve"> </w:t>
      </w:r>
      <w:proofErr w:type="spellStart"/>
      <w:r>
        <w:rPr>
          <w:rFonts w:asciiTheme="minorHAnsi" w:hAnsiTheme="minorHAnsi"/>
        </w:rPr>
        <w:t>abeparvovec</w:t>
      </w:r>
      <w:proofErr w:type="spellEnd"/>
      <w:r>
        <w:rPr>
          <w:rFonts w:asciiTheme="minorHAnsi" w:hAnsiTheme="minorHAnsi"/>
        </w:rPr>
        <w:t>.</w:t>
      </w:r>
    </w:p>
  </w:footnote>
  <w:footnote w:id="9">
    <w:p w14:paraId="0CCF994F" w14:textId="77777777" w:rsidR="00A72B01" w:rsidRDefault="00A72B01" w:rsidP="000F31FE">
      <w:pPr>
        <w:spacing w:before="0" w:after="0" w:line="240" w:lineRule="auto"/>
        <w:rPr>
          <w:rFonts w:eastAsia="Times New Roman" w:cs="Calibri"/>
          <w:color w:val="000000"/>
          <w:sz w:val="18"/>
          <w:szCs w:val="18"/>
          <w:lang w:eastAsia="en-AU"/>
        </w:rPr>
      </w:pPr>
      <w:r>
        <w:rPr>
          <w:rStyle w:val="FootnoteReference"/>
        </w:rPr>
        <w:footnoteRef/>
      </w:r>
      <w:r>
        <w:t xml:space="preserve"> </w:t>
      </w:r>
      <w:r w:rsidRPr="000F31FE">
        <w:rPr>
          <w:rFonts w:eastAsia="Times New Roman" w:cs="Calibri"/>
          <w:color w:val="000000"/>
          <w:sz w:val="18"/>
          <w:szCs w:val="18"/>
          <w:lang w:eastAsia="en-AU"/>
        </w:rPr>
        <w:t xml:space="preserve">Medicines and other therapeutic goods must comply with applicable standards to be supplied in Australia. Under the Therapeutic Goods Act 1989 prior consent must be given under </w:t>
      </w:r>
      <w:r w:rsidRPr="000F31FE">
        <w:rPr>
          <w:rFonts w:eastAsia="Times New Roman" w:cs="Calibri"/>
          <w:b/>
          <w:bCs/>
          <w:color w:val="000000"/>
          <w:sz w:val="18"/>
          <w:szCs w:val="18"/>
          <w:lang w:eastAsia="en-AU"/>
        </w:rPr>
        <w:t>Sections 14 and 14A</w:t>
      </w:r>
      <w:r w:rsidRPr="000F31FE">
        <w:rPr>
          <w:rFonts w:eastAsia="Times New Roman" w:cs="Calibri"/>
          <w:color w:val="000000"/>
          <w:sz w:val="18"/>
          <w:szCs w:val="18"/>
          <w:lang w:eastAsia="en-AU"/>
        </w:rPr>
        <w:t xml:space="preserve"> of the Act to the import, export or supply of therapeutic goods that do not comply with an applicable standard. The Secretary can impose conditions on the conse</w:t>
      </w:r>
      <w:r>
        <w:rPr>
          <w:rFonts w:eastAsia="Times New Roman" w:cs="Calibri"/>
          <w:color w:val="000000"/>
          <w:sz w:val="18"/>
          <w:szCs w:val="18"/>
          <w:lang w:eastAsia="en-AU"/>
        </w:rPr>
        <w:t>nt under Section 15 of the Act.</w:t>
      </w:r>
    </w:p>
    <w:p w14:paraId="4DC6F352" w14:textId="7E25D7AA" w:rsidR="00A72B01" w:rsidRPr="000F31FE" w:rsidRDefault="00A72B01" w:rsidP="000F31FE">
      <w:pPr>
        <w:spacing w:before="0" w:after="0" w:line="240" w:lineRule="auto"/>
        <w:rPr>
          <w:rFonts w:eastAsia="Times New Roman" w:cs="Calibri"/>
          <w:color w:val="000000"/>
          <w:sz w:val="18"/>
          <w:szCs w:val="18"/>
          <w:lang w:eastAsia="en-AU"/>
        </w:rPr>
      </w:pPr>
      <w:r w:rsidRPr="000F31FE">
        <w:rPr>
          <w:rFonts w:eastAsia="Times New Roman" w:cs="Calibri"/>
          <w:color w:val="000000"/>
          <w:sz w:val="18"/>
          <w:szCs w:val="18"/>
          <w:lang w:eastAsia="en-AU"/>
        </w:rPr>
        <w:t xml:space="preserve">Section 14 consent decisions are listed on the TGA website at </w:t>
      </w:r>
      <w:hyperlink r:id="rId4" w:history="1">
        <w:r w:rsidRPr="00C71F6B">
          <w:rPr>
            <w:rStyle w:val="Hyperlink"/>
            <w:rFonts w:eastAsia="Times New Roman" w:cs="Calibri"/>
            <w:sz w:val="18"/>
            <w:szCs w:val="18"/>
            <w:lang w:eastAsia="en-AU"/>
          </w:rPr>
          <w:t>https://www.tga.gov.au/ws-s14-index</w:t>
        </w:r>
      </w:hyperlink>
      <w:r>
        <w:rPr>
          <w:rFonts w:eastAsia="Times New Roman" w:cs="Calibri"/>
          <w:color w:val="000000"/>
          <w:sz w:val="18"/>
          <w:szCs w:val="18"/>
          <w:u w:val="single"/>
          <w:lang w:eastAsia="en-AU"/>
        </w:rPr>
        <w:t>.</w:t>
      </w:r>
    </w:p>
  </w:footnote>
  <w:footnote w:id="10">
    <w:p w14:paraId="55791420" w14:textId="39DD4D7C" w:rsidR="00A72B01" w:rsidRPr="005F7A49" w:rsidRDefault="00A72B01">
      <w:pPr>
        <w:pStyle w:val="FootnoteText"/>
        <w:rPr>
          <w:lang w:val="en-US"/>
        </w:rPr>
      </w:pPr>
      <w:r>
        <w:rPr>
          <w:rStyle w:val="FootnoteReference"/>
        </w:rPr>
        <w:footnoteRef/>
      </w:r>
      <w:r>
        <w:t xml:space="preserve"> </w:t>
      </w:r>
      <w:r w:rsidRPr="00F571EB">
        <w:t xml:space="preserve">The </w:t>
      </w:r>
      <w:proofErr w:type="spellStart"/>
      <w:r w:rsidRPr="005F7A49">
        <w:rPr>
          <w:b/>
        </w:rPr>
        <w:t>Pediatric</w:t>
      </w:r>
      <w:proofErr w:type="spellEnd"/>
      <w:r w:rsidRPr="005F7A49">
        <w:rPr>
          <w:b/>
        </w:rPr>
        <w:t xml:space="preserve"> Neuromuscular Clinical Research Network</w:t>
      </w:r>
      <w:r>
        <w:t xml:space="preserve"> (</w:t>
      </w:r>
      <w:r w:rsidRPr="005F7A49">
        <w:rPr>
          <w:b/>
        </w:rPr>
        <w:t>PNCR</w:t>
      </w:r>
      <w:r>
        <w:t xml:space="preserve">) is a team of SMA clinical experts in the Northeast United States, </w:t>
      </w:r>
      <w:r w:rsidRPr="00F571EB">
        <w:t xml:space="preserve">founded by the SMA </w:t>
      </w:r>
      <w:r>
        <w:t>foundation with clinical sites at</w:t>
      </w:r>
      <w:r w:rsidRPr="00F571EB">
        <w:t xml:space="preserve"> Columbia University Medical </w:t>
      </w:r>
      <w:proofErr w:type="spellStart"/>
      <w:r w:rsidRPr="00F571EB">
        <w:t>Center</w:t>
      </w:r>
      <w:proofErr w:type="spellEnd"/>
      <w:r w:rsidRPr="00F571EB">
        <w:t>, B</w:t>
      </w:r>
      <w:r>
        <w:t>oston Children's Hospital (BCH),</w:t>
      </w:r>
      <w:r w:rsidRPr="00F571EB">
        <w:t xml:space="preserve"> Children's Hospital of Philadelphia (CHOP), Stanford Health Care, and Nemours Children's Health Syst</w:t>
      </w:r>
      <w:r>
        <w:t>em and a data coordinating cent</w:t>
      </w:r>
      <w:r w:rsidRPr="00F571EB">
        <w:t>r</w:t>
      </w:r>
      <w:r>
        <w:t>e</w:t>
      </w:r>
      <w:r w:rsidRPr="00F571EB">
        <w:t xml:space="preserve"> at the University of Rochester. These clinics integrate clinical research, education, and care to build a patient base and a pool of SMA families </w:t>
      </w:r>
      <w:proofErr w:type="spellStart"/>
      <w:r w:rsidRPr="00BB12D3">
        <w:t>families</w:t>
      </w:r>
      <w:proofErr w:type="spellEnd"/>
      <w:r w:rsidRPr="00BB12D3">
        <w:t xml:space="preserve"> interested in participating in clinical studies with the goal of achieving the best possible health outcomes and preparing for upcoming clinical trials.</w:t>
      </w:r>
    </w:p>
  </w:footnote>
  <w:footnote w:id="11">
    <w:p w14:paraId="0CBB8B95" w14:textId="12B912DF" w:rsidR="00A72B01" w:rsidRPr="005F7A49" w:rsidRDefault="00A72B01">
      <w:pPr>
        <w:pStyle w:val="FootnoteText"/>
        <w:rPr>
          <w:lang w:val="en-US"/>
        </w:rPr>
      </w:pPr>
      <w:r>
        <w:rPr>
          <w:rStyle w:val="FootnoteReference"/>
        </w:rPr>
        <w:footnoteRef/>
      </w:r>
      <w:r>
        <w:t xml:space="preserve"> </w:t>
      </w:r>
      <w:r w:rsidRPr="00F571EB">
        <w:t xml:space="preserve">The </w:t>
      </w:r>
      <w:proofErr w:type="spellStart"/>
      <w:r w:rsidRPr="005F7A49">
        <w:rPr>
          <w:b/>
        </w:rPr>
        <w:t>NeuroNEXT</w:t>
      </w:r>
      <w:proofErr w:type="spellEnd"/>
      <w:r w:rsidRPr="005F7A49">
        <w:rPr>
          <w:b/>
        </w:rPr>
        <w:t xml:space="preserve"> Network</w:t>
      </w:r>
      <w:r>
        <w:t>, or</w:t>
      </w:r>
      <w:r w:rsidRPr="00F571EB">
        <w:t xml:space="preserve"> Network for Excellence in Neuroscience Clinical Trials</w:t>
      </w:r>
      <w:r>
        <w:t xml:space="preserve"> c</w:t>
      </w:r>
      <w:r w:rsidRPr="00F571EB">
        <w:t xml:space="preserve">onsists of a </w:t>
      </w:r>
      <w:r>
        <w:t xml:space="preserve">clinical coordinating centre </w:t>
      </w:r>
      <w:r w:rsidRPr="00F571EB">
        <w:t xml:space="preserve">at Massachusetts General Hospital, a </w:t>
      </w:r>
      <w:r>
        <w:t xml:space="preserve">data coordinating centre </w:t>
      </w:r>
      <w:r w:rsidRPr="00F571EB">
        <w:t>at the University of Iowa, and 25 clini</w:t>
      </w:r>
      <w:r>
        <w:t>cal sites throughout the United States, and is funded by the National Institute of Neurological Disorders and Stroke (NINDS).</w:t>
      </w:r>
    </w:p>
  </w:footnote>
  <w:footnote w:id="12">
    <w:p w14:paraId="1E1572ED" w14:textId="77777777" w:rsidR="00A72B01" w:rsidRDefault="00A72B01" w:rsidP="002B1C06">
      <w:pPr>
        <w:pStyle w:val="FootnoteText"/>
      </w:pPr>
      <w:r>
        <w:rPr>
          <w:rStyle w:val="FootnoteReference"/>
        </w:rPr>
        <w:footnoteRef/>
      </w:r>
      <w:r>
        <w:t xml:space="preserve"> </w:t>
      </w:r>
      <w:r>
        <w:rPr>
          <w:lang w:eastAsia="ja-JP"/>
        </w:rPr>
        <w:t xml:space="preserve">Kolb, S.J. et al. Natural history of infantile-onset spinal muscular atrophy. </w:t>
      </w:r>
      <w:r w:rsidRPr="00150E8B">
        <w:rPr>
          <w:i/>
          <w:lang w:eastAsia="ja-JP"/>
        </w:rPr>
        <w:t>Ann Neurol</w:t>
      </w:r>
      <w:r>
        <w:rPr>
          <w:lang w:eastAsia="ja-JP"/>
        </w:rPr>
        <w:t>. 2017; 82(6): 883-891.</w:t>
      </w:r>
    </w:p>
  </w:footnote>
  <w:footnote w:id="13">
    <w:p w14:paraId="714BC206" w14:textId="239B737E" w:rsidR="00A72B01" w:rsidRDefault="00A72B01">
      <w:pPr>
        <w:pStyle w:val="FootnoteText"/>
      </w:pPr>
      <w:r>
        <w:rPr>
          <w:rStyle w:val="FootnoteReference"/>
        </w:rPr>
        <w:footnoteRef/>
      </w:r>
      <w:r>
        <w:t xml:space="preserve"> The </w:t>
      </w:r>
      <w:r w:rsidRPr="00556097">
        <w:t>Children’s Hospital of Philadelphia Infant Test of Neuromuscular Disorders (</w:t>
      </w:r>
      <w:r w:rsidRPr="001E55B4">
        <w:rPr>
          <w:b/>
        </w:rPr>
        <w:t>CHOP INTEND</w:t>
      </w:r>
      <w:r w:rsidRPr="00556097">
        <w:t>)</w:t>
      </w:r>
      <w:r>
        <w:t xml:space="preserve"> is a test designed to assess motor function in patients with SMA Type 1. It provides a scoring system for subjects’ head control, righting reactions, and trunk movements in supported-sitting, supine, and prone positions, as well as anti-gravity movements in assisted rolling, ventral suspension, and supported standing.</w:t>
      </w:r>
    </w:p>
    <w:p w14:paraId="52D26BF9" w14:textId="102B89A2" w:rsidR="00A72B01" w:rsidRDefault="00A72B01">
      <w:pPr>
        <w:pStyle w:val="FootnoteText"/>
      </w:pPr>
      <w:proofErr w:type="spellStart"/>
      <w:r w:rsidRPr="001E55B4">
        <w:t>Glanzman</w:t>
      </w:r>
      <w:proofErr w:type="spellEnd"/>
      <w:r>
        <w:t>,</w:t>
      </w:r>
      <w:r w:rsidRPr="001E55B4">
        <w:t xml:space="preserve"> A</w:t>
      </w:r>
      <w:r>
        <w:t>.M.</w:t>
      </w:r>
      <w:r w:rsidRPr="001E55B4">
        <w:t xml:space="preserve"> </w:t>
      </w:r>
      <w:r>
        <w:t>et al,</w:t>
      </w:r>
      <w:r w:rsidRPr="001E55B4">
        <w:t xml:space="preserve"> The Children's Hospital of Philadelphia Infant Test of Neuromuscular Disorders (CHOP INTEND): test development and reliability. </w:t>
      </w:r>
      <w:proofErr w:type="spellStart"/>
      <w:r w:rsidRPr="001E55B4">
        <w:rPr>
          <w:i/>
        </w:rPr>
        <w:t>Neuromuscul</w:t>
      </w:r>
      <w:proofErr w:type="spellEnd"/>
      <w:r w:rsidRPr="001E55B4">
        <w:rPr>
          <w:i/>
        </w:rPr>
        <w:t xml:space="preserve"> </w:t>
      </w:r>
      <w:proofErr w:type="spellStart"/>
      <w:r w:rsidRPr="001E55B4">
        <w:rPr>
          <w:i/>
        </w:rPr>
        <w:t>Disord</w:t>
      </w:r>
      <w:proofErr w:type="spellEnd"/>
      <w:r>
        <w:t>. 2010</w:t>
      </w:r>
      <w:r w:rsidRPr="001E55B4">
        <w:t>;</w:t>
      </w:r>
      <w:r>
        <w:t xml:space="preserve"> </w:t>
      </w:r>
      <w:r w:rsidRPr="001E55B4">
        <w:t>20(3):</w:t>
      </w:r>
      <w:r>
        <w:t xml:space="preserve"> </w:t>
      </w:r>
      <w:r w:rsidRPr="001E55B4">
        <w:t>155-</w:t>
      </w:r>
      <w:r>
        <w:t>1</w:t>
      </w:r>
      <w:r w:rsidRPr="001E55B4">
        <w:t>61.</w:t>
      </w:r>
    </w:p>
  </w:footnote>
  <w:footnote w:id="14">
    <w:p w14:paraId="08BF2EAC" w14:textId="269A1B73" w:rsidR="00A72B01" w:rsidRDefault="00A72B01">
      <w:pPr>
        <w:pStyle w:val="FootnoteText"/>
      </w:pPr>
      <w:r>
        <w:rPr>
          <w:rStyle w:val="FootnoteReference"/>
        </w:rPr>
        <w:footnoteRef/>
      </w:r>
      <w:r>
        <w:t xml:space="preserve"> R</w:t>
      </w:r>
      <w:r w:rsidRPr="00E1586C">
        <w:t xml:space="preserve">andomised clinical </w:t>
      </w:r>
      <w:r>
        <w:t xml:space="preserve">trials analysed by the </w:t>
      </w:r>
      <w:r w:rsidRPr="00E1586C">
        <w:rPr>
          <w:b/>
        </w:rPr>
        <w:t>intent to treat (ITT)</w:t>
      </w:r>
      <w:r w:rsidRPr="00E1586C">
        <w:t xml:space="preserve"> approach provide unbiased comparisons among the treatment groups. In the ITT population, none of the subjects are excluded, regardless of treatment compliance or attrition due to dropout or crossover, and the subjects are analysed accordi</w:t>
      </w:r>
      <w:r>
        <w:t>ng to the randomisation scheme.</w:t>
      </w:r>
    </w:p>
  </w:footnote>
  <w:footnote w:id="15">
    <w:p w14:paraId="2442ACCD" w14:textId="1A599C33" w:rsidR="00A72B01" w:rsidRDefault="00A72B01">
      <w:pPr>
        <w:pStyle w:val="FootnoteText"/>
      </w:pPr>
      <w:r>
        <w:rPr>
          <w:rStyle w:val="FootnoteReference"/>
        </w:rPr>
        <w:footnoteRef/>
      </w:r>
      <w:r>
        <w:t xml:space="preserve"> The </w:t>
      </w:r>
      <w:r w:rsidRPr="00D24401">
        <w:rPr>
          <w:b/>
        </w:rPr>
        <w:t>Bayley Scales of Infant and Toddler Development Third Edition</w:t>
      </w:r>
      <w:r>
        <w:rPr>
          <w:b/>
        </w:rPr>
        <w:t xml:space="preserve"> </w:t>
      </w:r>
      <w:r>
        <w:t>are</w:t>
      </w:r>
      <w:r w:rsidRPr="001E55B4">
        <w:t xml:space="preserve"> administered by a physical therapist and provide a standardised, norm-referenced infant assessment of developmental functioning across 5 domains: cognitive, language, motor, social-emotional, and adaptive behaviour</w:t>
      </w:r>
      <w:r>
        <w:t>.</w:t>
      </w:r>
    </w:p>
    <w:p w14:paraId="47D83794" w14:textId="6AE1B52D" w:rsidR="00A72B01" w:rsidRDefault="00A72B01">
      <w:pPr>
        <w:pStyle w:val="FootnoteText"/>
      </w:pPr>
      <w:r>
        <w:rPr>
          <w:lang w:eastAsia="ja-JP"/>
        </w:rPr>
        <w:t xml:space="preserve">Bayley N. Bayley scales of infant and toddler development: Bayley-III: </w:t>
      </w:r>
      <w:proofErr w:type="spellStart"/>
      <w:r>
        <w:rPr>
          <w:lang w:eastAsia="ja-JP"/>
        </w:rPr>
        <w:t>HarcoAssessment</w:t>
      </w:r>
      <w:proofErr w:type="spellEnd"/>
      <w:r>
        <w:rPr>
          <w:lang w:eastAsia="ja-JP"/>
        </w:rPr>
        <w:t xml:space="preserve">, </w:t>
      </w:r>
      <w:r w:rsidRPr="005E4560">
        <w:rPr>
          <w:i/>
          <w:lang w:eastAsia="ja-JP"/>
        </w:rPr>
        <w:t>Psych. Corporation</w:t>
      </w:r>
      <w:r>
        <w:rPr>
          <w:lang w:eastAsia="ja-JP"/>
        </w:rPr>
        <w:t>; 2006.</w:t>
      </w:r>
    </w:p>
  </w:footnote>
  <w:footnote w:id="16">
    <w:p w14:paraId="4B1412CD" w14:textId="62E9C268" w:rsidR="00A72B01" w:rsidRDefault="00A72B01" w:rsidP="00BF28AF">
      <w:pPr>
        <w:pStyle w:val="FootnoteText"/>
      </w:pPr>
      <w:r>
        <w:rPr>
          <w:rStyle w:val="FootnoteReference"/>
        </w:rPr>
        <w:footnoteRef/>
      </w:r>
      <w:r>
        <w:t xml:space="preserve"> </w:t>
      </w:r>
      <w:proofErr w:type="spellStart"/>
      <w:r>
        <w:t>Wijnhoven</w:t>
      </w:r>
      <w:proofErr w:type="spellEnd"/>
      <w:r>
        <w:t xml:space="preserve"> TM, et al. Assessment of gross motor development in the WHO Multicentre Growth Reference Study. </w:t>
      </w:r>
      <w:r w:rsidRPr="00BF28AF">
        <w:rPr>
          <w:i/>
        </w:rPr>
        <w:t xml:space="preserve">Food </w:t>
      </w:r>
      <w:proofErr w:type="spellStart"/>
      <w:r w:rsidRPr="00BF28AF">
        <w:rPr>
          <w:i/>
        </w:rPr>
        <w:t>Nutr</w:t>
      </w:r>
      <w:proofErr w:type="spellEnd"/>
      <w:r w:rsidRPr="00BF28AF">
        <w:rPr>
          <w:i/>
        </w:rPr>
        <w:t xml:space="preserve"> Bull</w:t>
      </w:r>
      <w:r>
        <w:t xml:space="preserve">. 2004; 25(1 </w:t>
      </w:r>
      <w:proofErr w:type="spellStart"/>
      <w:r>
        <w:t>Suppl</w:t>
      </w:r>
      <w:proofErr w:type="spellEnd"/>
      <w:r>
        <w:t>): S37-45.</w:t>
      </w:r>
    </w:p>
  </w:footnote>
  <w:footnote w:id="17">
    <w:p w14:paraId="620D49FB" w14:textId="76F96FE6" w:rsidR="00A72B01" w:rsidRPr="00B77CCC" w:rsidRDefault="00A72B01" w:rsidP="00B77CCC">
      <w:pPr>
        <w:spacing w:before="0" w:after="0" w:line="240" w:lineRule="auto"/>
        <w:rPr>
          <w:rFonts w:eastAsia="Times New Roman" w:cs="Calibri"/>
          <w:b/>
          <w:bCs/>
          <w:color w:val="000000"/>
          <w:sz w:val="18"/>
          <w:szCs w:val="18"/>
          <w:lang w:eastAsia="en-AU"/>
        </w:rPr>
      </w:pPr>
      <w:r>
        <w:rPr>
          <w:rStyle w:val="FootnoteReference"/>
        </w:rPr>
        <w:footnoteRef/>
      </w:r>
      <w:r>
        <w:t xml:space="preserve"> </w:t>
      </w:r>
      <w:r w:rsidRPr="00B77CCC">
        <w:rPr>
          <w:rFonts w:eastAsia="Times New Roman" w:cs="Calibri"/>
          <w:b/>
          <w:bCs/>
          <w:color w:val="000000"/>
          <w:sz w:val="18"/>
          <w:szCs w:val="18"/>
          <w:lang w:eastAsia="en-AU"/>
        </w:rPr>
        <w:t>Hy’s Law</w:t>
      </w:r>
      <w:r w:rsidRPr="00B77CCC">
        <w:rPr>
          <w:rFonts w:eastAsia="Times New Roman" w:cs="Calibri"/>
          <w:color w:val="000000"/>
          <w:sz w:val="18"/>
          <w:szCs w:val="18"/>
          <w:lang w:eastAsia="en-AU"/>
        </w:rPr>
        <w:t>: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p>
  </w:footnote>
  <w:footnote w:id="18">
    <w:p w14:paraId="144F5779" w14:textId="5008CE70" w:rsidR="00A72B01" w:rsidRDefault="00A72B01" w:rsidP="00735D2B">
      <w:pPr>
        <w:autoSpaceDE w:val="0"/>
        <w:autoSpaceDN w:val="0"/>
        <w:adjustRightInd w:val="0"/>
        <w:spacing w:before="0" w:after="0" w:line="240" w:lineRule="auto"/>
      </w:pPr>
      <w:r>
        <w:rPr>
          <w:rStyle w:val="FootnoteReference"/>
        </w:rPr>
        <w:footnoteRef/>
      </w:r>
      <w:r>
        <w:t xml:space="preserve"> </w:t>
      </w:r>
      <w:r>
        <w:rPr>
          <w:rFonts w:asciiTheme="minorHAnsi" w:eastAsiaTheme="minorHAnsi" w:hAnsiTheme="minorHAnsi" w:cs="ArialUnicodeMS"/>
          <w:color w:val="000000"/>
          <w:sz w:val="18"/>
          <w:szCs w:val="18"/>
        </w:rPr>
        <w:t>Feldman, A.G, et al.</w:t>
      </w:r>
      <w:r w:rsidRPr="00704CF0">
        <w:rPr>
          <w:rFonts w:asciiTheme="minorHAnsi" w:eastAsiaTheme="minorHAnsi" w:hAnsiTheme="minorHAnsi" w:cs="ArialUnicodeMS"/>
          <w:color w:val="000000"/>
          <w:sz w:val="18"/>
          <w:szCs w:val="18"/>
        </w:rPr>
        <w:t xml:space="preserve"> Subacute Liver Failure Following Gene Replacement Therapy for Spinal Muscular Atrophy Type I, </w:t>
      </w:r>
      <w:r w:rsidRPr="00704CF0">
        <w:rPr>
          <w:rFonts w:asciiTheme="minorHAnsi" w:eastAsiaTheme="minorHAnsi" w:hAnsiTheme="minorHAnsi" w:cs="Arial,Italic"/>
          <w:i/>
          <w:iCs/>
          <w:color w:val="000000"/>
          <w:sz w:val="18"/>
          <w:szCs w:val="18"/>
        </w:rPr>
        <w:t xml:space="preserve">The Journal of </w:t>
      </w:r>
      <w:proofErr w:type="spellStart"/>
      <w:r w:rsidRPr="00704CF0">
        <w:rPr>
          <w:rFonts w:asciiTheme="minorHAnsi" w:eastAsiaTheme="minorHAnsi" w:hAnsiTheme="minorHAnsi" w:cs="Arial,Italic"/>
          <w:i/>
          <w:iCs/>
          <w:color w:val="000000"/>
          <w:sz w:val="18"/>
          <w:szCs w:val="18"/>
        </w:rPr>
        <w:t>Pediatrics</w:t>
      </w:r>
      <w:proofErr w:type="spellEnd"/>
      <w:r w:rsidRPr="00704CF0">
        <w:rPr>
          <w:rFonts w:asciiTheme="minorHAnsi" w:eastAsiaTheme="minorHAnsi" w:hAnsiTheme="minorHAnsi" w:cs="Arial,Italic"/>
          <w:i/>
          <w:iCs/>
          <w:color w:val="000000"/>
          <w:sz w:val="18"/>
          <w:szCs w:val="18"/>
        </w:rPr>
        <w:t xml:space="preserve"> </w:t>
      </w:r>
      <w:r>
        <w:rPr>
          <w:rFonts w:asciiTheme="minorHAnsi" w:eastAsiaTheme="minorHAnsi" w:hAnsiTheme="minorHAnsi" w:cs="ArialUnicodeMS"/>
          <w:color w:val="000000"/>
          <w:sz w:val="18"/>
          <w:szCs w:val="18"/>
        </w:rPr>
        <w:t>2020</w:t>
      </w:r>
      <w:r w:rsidRPr="00B10045">
        <w:rPr>
          <w:rFonts w:asciiTheme="minorHAnsi" w:eastAsiaTheme="minorHAnsi" w:hAnsiTheme="minorHAnsi" w:cs="ArialUnicodeMS"/>
          <w:color w:val="000000"/>
          <w:sz w:val="18"/>
          <w:szCs w:val="18"/>
        </w:rPr>
        <w:t>;</w:t>
      </w:r>
      <w:r>
        <w:rPr>
          <w:rFonts w:asciiTheme="minorHAnsi" w:eastAsiaTheme="minorHAnsi" w:hAnsiTheme="minorHAnsi" w:cs="ArialUnicodeMS"/>
          <w:color w:val="000000"/>
          <w:sz w:val="18"/>
          <w:szCs w:val="18"/>
        </w:rPr>
        <w:t xml:space="preserve"> </w:t>
      </w:r>
      <w:r w:rsidRPr="00B10045">
        <w:rPr>
          <w:rFonts w:asciiTheme="minorHAnsi" w:eastAsiaTheme="minorHAnsi" w:hAnsiTheme="minorHAnsi" w:cs="ArialUnicodeMS"/>
          <w:color w:val="000000"/>
          <w:sz w:val="18"/>
          <w:szCs w:val="18"/>
        </w:rPr>
        <w:t>225</w:t>
      </w:r>
      <w:r>
        <w:rPr>
          <w:rFonts w:asciiTheme="minorHAnsi" w:eastAsiaTheme="minorHAnsi" w:hAnsiTheme="minorHAnsi" w:cs="ArialUnicodeMS"/>
          <w:color w:val="000000"/>
          <w:sz w:val="18"/>
          <w:szCs w:val="18"/>
        </w:rPr>
        <w:t xml:space="preserve"> </w:t>
      </w:r>
      <w:r w:rsidRPr="00B10045">
        <w:rPr>
          <w:rFonts w:asciiTheme="minorHAnsi" w:eastAsiaTheme="minorHAnsi" w:hAnsiTheme="minorHAnsi" w:cs="ArialUnicodeMS"/>
          <w:color w:val="000000"/>
          <w:sz w:val="18"/>
          <w:szCs w:val="18"/>
        </w:rPr>
        <w:t>:252-258</w:t>
      </w:r>
      <w:r w:rsidRPr="00704CF0">
        <w:rPr>
          <w:rFonts w:asciiTheme="minorHAnsi" w:eastAsiaTheme="minorHAnsi" w:hAnsiTheme="minorHAnsi" w:cs="ArialUnicodeMS"/>
          <w:color w:val="000000"/>
          <w:sz w:val="18"/>
          <w:szCs w:val="18"/>
        </w:rPr>
        <w:t>.</w:t>
      </w:r>
    </w:p>
  </w:footnote>
  <w:footnote w:id="19">
    <w:p w14:paraId="42DB735B" w14:textId="77777777" w:rsidR="00A72B01" w:rsidRDefault="00A72B01"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7E53EF3" w14:textId="77777777" w:rsidR="00A72B01" w:rsidRDefault="00A72B01" w:rsidP="007D53B6">
      <w:pPr>
        <w:pStyle w:val="FootnoteText"/>
      </w:pPr>
      <w:r w:rsidRPr="007D53B6">
        <w:rPr>
          <w:i/>
        </w:rPr>
        <w:t>Routine pharmacovigilance</w:t>
      </w:r>
      <w:r>
        <w:t xml:space="preserve"> practices involve the following activities:</w:t>
      </w:r>
    </w:p>
    <w:p w14:paraId="30ACE8C3" w14:textId="77777777" w:rsidR="00A72B01" w:rsidRDefault="00A72B01" w:rsidP="007D53B6">
      <w:pPr>
        <w:pStyle w:val="FootnoteText"/>
        <w:numPr>
          <w:ilvl w:val="0"/>
          <w:numId w:val="32"/>
        </w:numPr>
        <w:ind w:left="284" w:hanging="284"/>
      </w:pPr>
      <w:r>
        <w:t>All suspected adverse reactions that are reported to the personnel of the company are collected and collated in an accessible manner;</w:t>
      </w:r>
    </w:p>
    <w:p w14:paraId="746A5DAC" w14:textId="77777777" w:rsidR="00A72B01" w:rsidRDefault="00A72B01" w:rsidP="007D53B6">
      <w:pPr>
        <w:pStyle w:val="FootnoteText"/>
        <w:numPr>
          <w:ilvl w:val="0"/>
          <w:numId w:val="32"/>
        </w:numPr>
        <w:ind w:left="284" w:hanging="284"/>
      </w:pPr>
      <w:r>
        <w:t>Reporting to regulatory authorities;</w:t>
      </w:r>
    </w:p>
    <w:p w14:paraId="2F9891B6" w14:textId="77777777" w:rsidR="00A72B01" w:rsidRDefault="00A72B01" w:rsidP="007D53B6">
      <w:pPr>
        <w:pStyle w:val="FootnoteText"/>
        <w:numPr>
          <w:ilvl w:val="0"/>
          <w:numId w:val="32"/>
        </w:numPr>
        <w:ind w:left="284" w:hanging="284"/>
      </w:pPr>
      <w:r>
        <w:t>Continuous monitoring of the safety profiles of approved products including signal detection and updating of labelling;</w:t>
      </w:r>
    </w:p>
    <w:p w14:paraId="0B1AC145" w14:textId="77777777" w:rsidR="00A72B01" w:rsidRDefault="00A72B01" w:rsidP="007D53B6">
      <w:pPr>
        <w:pStyle w:val="FootnoteText"/>
        <w:numPr>
          <w:ilvl w:val="0"/>
          <w:numId w:val="32"/>
        </w:numPr>
        <w:ind w:left="284" w:hanging="284"/>
      </w:pPr>
      <w:r>
        <w:t>Submission of PSURs;</w:t>
      </w:r>
    </w:p>
    <w:p w14:paraId="1C7538DA" w14:textId="77777777" w:rsidR="00A72B01" w:rsidRDefault="00A72B01" w:rsidP="007D53B6">
      <w:pPr>
        <w:pStyle w:val="FootnoteText"/>
        <w:numPr>
          <w:ilvl w:val="0"/>
          <w:numId w:val="32"/>
        </w:numPr>
        <w:ind w:left="284" w:hanging="284"/>
      </w:pPr>
      <w:r>
        <w:t>Meeting other local regulatory agency requirements.</w:t>
      </w:r>
    </w:p>
  </w:footnote>
  <w:footnote w:id="20">
    <w:p w14:paraId="193AA83A" w14:textId="77777777" w:rsidR="00A72B01" w:rsidRDefault="00A72B01" w:rsidP="00DC4F13">
      <w:pPr>
        <w:spacing w:before="0" w:after="0" w:line="240" w:lineRule="auto"/>
        <w:rPr>
          <w:rFonts w:eastAsia="Times New Roman" w:cs="Calibri"/>
          <w:color w:val="000000"/>
          <w:sz w:val="18"/>
          <w:szCs w:val="18"/>
          <w:lang w:eastAsia="en-AU"/>
        </w:rPr>
      </w:pPr>
      <w:r>
        <w:rPr>
          <w:rStyle w:val="FootnoteReference"/>
        </w:rPr>
        <w:footnoteRef/>
      </w:r>
      <w:r>
        <w:t xml:space="preserve"> </w:t>
      </w:r>
      <w:r w:rsidRPr="00DC4F13">
        <w:rPr>
          <w:rFonts w:eastAsia="Times New Roman" w:cs="Calibri"/>
          <w:color w:val="000000"/>
          <w:sz w:val="18"/>
          <w:szCs w:val="18"/>
          <w:lang w:eastAsia="en-AU"/>
        </w:rPr>
        <w:t xml:space="preserve">As part of the </w:t>
      </w:r>
      <w:r w:rsidRPr="00DC4F13">
        <w:rPr>
          <w:rFonts w:eastAsia="Times New Roman" w:cs="Calibri"/>
          <w:b/>
          <w:bCs/>
          <w:color w:val="000000"/>
          <w:sz w:val="18"/>
          <w:szCs w:val="18"/>
          <w:lang w:eastAsia="en-AU"/>
        </w:rPr>
        <w:t>provisional approval pathway</w:t>
      </w:r>
      <w:r w:rsidRPr="00DC4F13">
        <w:rPr>
          <w:rFonts w:eastAsia="Times New Roman" w:cs="Calibri"/>
          <w:color w:val="000000"/>
          <w:sz w:val="18"/>
          <w:szCs w:val="18"/>
          <w:lang w:eastAsia="en-AU"/>
        </w:rPr>
        <w:t>,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w:t>
      </w:r>
      <w:r>
        <w:rPr>
          <w:rFonts w:eastAsia="Times New Roman" w:cs="Calibri"/>
          <w:color w:val="000000"/>
          <w:sz w:val="18"/>
          <w:szCs w:val="18"/>
          <w:lang w:eastAsia="en-AU"/>
        </w:rPr>
        <w:t>d by direct clinical outcomes.</w:t>
      </w:r>
    </w:p>
    <w:p w14:paraId="437B039A" w14:textId="3FCF92AC" w:rsidR="00A72B01" w:rsidRPr="00DC4F13" w:rsidRDefault="00A72B01" w:rsidP="00DC4F13">
      <w:pPr>
        <w:spacing w:before="0" w:after="0" w:line="240" w:lineRule="auto"/>
        <w:rPr>
          <w:rFonts w:eastAsia="Times New Roman" w:cs="Calibri"/>
          <w:color w:val="000000"/>
          <w:sz w:val="18"/>
          <w:szCs w:val="18"/>
          <w:lang w:eastAsia="en-AU"/>
        </w:rPr>
      </w:pPr>
      <w:r w:rsidRPr="00DC4F13">
        <w:rPr>
          <w:rFonts w:eastAsia="Times New Roman" w:cs="Calibri"/>
          <w:color w:val="000000"/>
          <w:sz w:val="18"/>
          <w:szCs w:val="18"/>
          <w:lang w:eastAsia="en-AU"/>
        </w:rP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21">
    <w:p w14:paraId="3CD88895" w14:textId="02295691" w:rsidR="00A72B01" w:rsidRDefault="00A72B01">
      <w:pPr>
        <w:pStyle w:val="FootnoteText"/>
      </w:pPr>
      <w:r>
        <w:rPr>
          <w:rStyle w:val="FootnoteReference"/>
        </w:rPr>
        <w:footnoteRef/>
      </w:r>
      <w:r>
        <w:t xml:space="preserve"> Approval history, letters, reviews, and related documents (including summaries of telephone conversations and meetings) for the approval of </w:t>
      </w:r>
      <w:proofErr w:type="spellStart"/>
      <w:r>
        <w:t>Zolgensma</w:t>
      </w:r>
      <w:proofErr w:type="spellEnd"/>
      <w:r>
        <w:t xml:space="preserve"> by the FDA can be downloaded from the FDA website at </w:t>
      </w:r>
      <w:hyperlink r:id="rId5" w:history="1">
        <w:r w:rsidRPr="00324ADE">
          <w:rPr>
            <w:rStyle w:val="Hyperlink"/>
          </w:rPr>
          <w:t>https://www.fda.gov/vaccines-blood-biologics/zolgensma</w:t>
        </w:r>
      </w:hyperlink>
      <w:r>
        <w:t xml:space="preserve"> (content current as of 25 February 2020).</w:t>
      </w:r>
    </w:p>
  </w:footnote>
  <w:footnote w:id="22">
    <w:p w14:paraId="0D546B4F" w14:textId="026E33AB" w:rsidR="00A72B01" w:rsidRDefault="00A72B01">
      <w:pPr>
        <w:pStyle w:val="FootnoteText"/>
      </w:pPr>
      <w:r>
        <w:rPr>
          <w:rStyle w:val="FootnoteReference"/>
        </w:rPr>
        <w:footnoteRef/>
      </w:r>
      <w:r>
        <w:t xml:space="preserve"> </w:t>
      </w:r>
      <w:r w:rsidRPr="00091E1A">
        <w:t>EMA, European Public Assessment Report (EPAR)</w:t>
      </w:r>
      <w:r>
        <w:t xml:space="preserve">, </w:t>
      </w:r>
      <w:proofErr w:type="spellStart"/>
      <w:r>
        <w:t>Zolgensma</w:t>
      </w:r>
      <w:proofErr w:type="spellEnd"/>
      <w:r>
        <w:t xml:space="preserve"> (</w:t>
      </w:r>
      <w:proofErr w:type="spellStart"/>
      <w:r>
        <w:t>onasemnogene</w:t>
      </w:r>
      <w:proofErr w:type="spellEnd"/>
      <w:r>
        <w:t xml:space="preserve"> </w:t>
      </w:r>
      <w:proofErr w:type="spellStart"/>
      <w:r>
        <w:t>abeparvovec</w:t>
      </w:r>
      <w:proofErr w:type="spellEnd"/>
      <w:r>
        <w:t>, EMA/200482/2020, 26 March 2020. Available from the EMA website.</w:t>
      </w:r>
    </w:p>
  </w:footnote>
  <w:footnote w:id="23">
    <w:p w14:paraId="5812D34B" w14:textId="77777777" w:rsidR="00A72B01" w:rsidRDefault="00A72B0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540C4C0" w14:textId="77777777" w:rsidR="00A72B01" w:rsidRPr="00456765" w:rsidRDefault="00A72B0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24">
    <w:p w14:paraId="00C8F829" w14:textId="77777777" w:rsidR="00A72B01" w:rsidRDefault="00A72B01" w:rsidP="00BF1781">
      <w:pPr>
        <w:pStyle w:val="FootnoteText"/>
      </w:pPr>
      <w:r>
        <w:rPr>
          <w:rStyle w:val="FootnoteReference"/>
        </w:rPr>
        <w:footnoteRef/>
      </w:r>
      <w:r>
        <w:t xml:space="preserve"> The Health Canada indication includes a subsection describing the limited dataset in the paediatric population.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C580C" w14:textId="77777777" w:rsidR="00A72B01" w:rsidRDefault="00A72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B0393" w14:textId="77777777" w:rsidR="00A72B01" w:rsidRDefault="00A72B0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074F" w14:textId="77777777" w:rsidR="00A72B01" w:rsidRDefault="00A72B01">
    <w:pPr>
      <w:rPr>
        <w:noProof/>
        <w:lang w:eastAsia="en-AU"/>
      </w:rPr>
    </w:pPr>
    <w:r w:rsidRPr="00347824">
      <w:rPr>
        <w:noProof/>
        <w:lang w:eastAsia="en-AU"/>
      </w:rPr>
      <w:drawing>
        <wp:anchor distT="0" distB="0" distL="114300" distR="114300" simplePos="0" relativeHeight="251658240" behindDoc="1" locked="0" layoutInCell="1" allowOverlap="1" wp14:anchorId="3CE58A40" wp14:editId="4CF57DA9">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4AB40C8" w14:textId="298F1F94" w:rsidR="00A72B01" w:rsidRDefault="00A72B01"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22293" w14:textId="77777777" w:rsidR="00A72B01" w:rsidRDefault="00A72B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F5432" w14:textId="77777777" w:rsidR="00A72B01" w:rsidRDefault="00A72B0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24FC0" w14:textId="77777777" w:rsidR="00A72B01" w:rsidRDefault="00A72B0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6E64B" w14:textId="77777777" w:rsidR="00A72B01" w:rsidRDefault="00A72B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71F1B" w14:textId="77777777" w:rsidR="00A72B01" w:rsidRDefault="00A72B0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76E08" w14:textId="77777777" w:rsidR="00A72B01" w:rsidRDefault="00A72B01" w:rsidP="006E08B3">
    <w:r>
      <w:t>Therapeutic Goods Administration</w:t>
    </w:r>
  </w:p>
  <w:p w14:paraId="5DE4F389" w14:textId="77777777" w:rsidR="00A72B01" w:rsidRDefault="00A72B0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1DC0112"/>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23D8A05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0DF5CBC"/>
    <w:multiLevelType w:val="hybridMultilevel"/>
    <w:tmpl w:val="E71A5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68A4D5C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C772981"/>
    <w:multiLevelType w:val="hybridMultilevel"/>
    <w:tmpl w:val="0A4ED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570735"/>
    <w:multiLevelType w:val="hybridMultilevel"/>
    <w:tmpl w:val="F8AA19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423E99"/>
    <w:multiLevelType w:val="hybridMultilevel"/>
    <w:tmpl w:val="1954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6A0228"/>
    <w:multiLevelType w:val="multilevel"/>
    <w:tmpl w:val="BC189774"/>
    <w:lvl w:ilvl="0">
      <w:start w:val="1"/>
      <w:numFmt w:val="decimal"/>
      <w:pStyle w:val="CTD-A1"/>
      <w:lvlText w:val="A.%1"/>
      <w:lvlJc w:val="left"/>
      <w:pPr>
        <w:ind w:left="360" w:hanging="360"/>
      </w:pPr>
      <w:rPr>
        <w:rFonts w:hint="default"/>
      </w:rPr>
    </w:lvl>
    <w:lvl w:ilvl="1">
      <w:start w:val="1"/>
      <w:numFmt w:val="decimal"/>
      <w:lvlText w:val="A.%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F22CA6"/>
    <w:multiLevelType w:val="hybridMultilevel"/>
    <w:tmpl w:val="9EDA9B86"/>
    <w:lvl w:ilvl="0" w:tplc="E5F45352">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1D5FB3"/>
    <w:multiLevelType w:val="hybridMultilevel"/>
    <w:tmpl w:val="B82269D0"/>
    <w:lvl w:ilvl="0" w:tplc="0C090001">
      <w:start w:val="1"/>
      <w:numFmt w:val="bullet"/>
      <w:lvlText w:val=""/>
      <w:lvlJc w:val="left"/>
      <w:pPr>
        <w:tabs>
          <w:tab w:val="num" w:pos="720"/>
        </w:tabs>
        <w:ind w:left="720" w:hanging="360"/>
      </w:pPr>
      <w:rPr>
        <w:rFonts w:ascii="Symbol" w:hAnsi="Symbol" w:hint="default"/>
      </w:rPr>
    </w:lvl>
    <w:lvl w:ilvl="1" w:tplc="E30E131E">
      <w:start w:val="1"/>
      <w:numFmt w:val="bullet"/>
      <w:lvlText w:val="o"/>
      <w:lvlJc w:val="left"/>
      <w:pPr>
        <w:tabs>
          <w:tab w:val="num" w:pos="1440"/>
        </w:tabs>
        <w:ind w:left="1440" w:hanging="360"/>
      </w:pPr>
      <w:rPr>
        <w:rFonts w:ascii="Courier New" w:hAnsi="Courier New" w:cs="Courier New" w:hint="default"/>
        <w:color w:val="auto"/>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F3087D"/>
    <w:multiLevelType w:val="hybridMultilevel"/>
    <w:tmpl w:val="D256D4F2"/>
    <w:lvl w:ilvl="0" w:tplc="D65AD4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BF15D2"/>
    <w:multiLevelType w:val="hybridMultilevel"/>
    <w:tmpl w:val="CB36587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2050C0"/>
    <w:multiLevelType w:val="hybridMultilevel"/>
    <w:tmpl w:val="295AD07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281086"/>
    <w:multiLevelType w:val="hybridMultilevel"/>
    <w:tmpl w:val="6E644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736C50"/>
    <w:multiLevelType w:val="hybridMultilevel"/>
    <w:tmpl w:val="0688F18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DB4856"/>
    <w:multiLevelType w:val="hybridMultilevel"/>
    <w:tmpl w:val="A052F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995250"/>
    <w:multiLevelType w:val="hybridMultilevel"/>
    <w:tmpl w:val="96688148"/>
    <w:lvl w:ilvl="0" w:tplc="1B4A6D44">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5"/>
  </w:num>
  <w:num w:numId="17">
    <w:abstractNumId w:val="5"/>
  </w:num>
  <w:num w:numId="18">
    <w:abstractNumId w:val="5"/>
  </w:num>
  <w:num w:numId="19">
    <w:abstractNumId w:val="8"/>
  </w:num>
  <w:num w:numId="20">
    <w:abstractNumId w:val="8"/>
  </w:num>
  <w:num w:numId="21">
    <w:abstractNumId w:val="8"/>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6"/>
  </w:num>
  <w:num w:numId="29">
    <w:abstractNumId w:val="7"/>
  </w:num>
  <w:num w:numId="30">
    <w:abstractNumId w:val="13"/>
  </w:num>
  <w:num w:numId="31">
    <w:abstractNumId w:val="4"/>
  </w:num>
  <w:num w:numId="32">
    <w:abstractNumId w:val="17"/>
  </w:num>
  <w:num w:numId="33">
    <w:abstractNumId w:val="12"/>
  </w:num>
  <w:num w:numId="34">
    <w:abstractNumId w:val="10"/>
  </w:num>
  <w:num w:numId="35">
    <w:abstractNumId w:val="24"/>
  </w:num>
  <w:num w:numId="36">
    <w:abstractNumId w:val="21"/>
  </w:num>
  <w:num w:numId="37">
    <w:abstractNumId w:val="15"/>
  </w:num>
  <w:num w:numId="38">
    <w:abstractNumId w:val="19"/>
  </w:num>
  <w:num w:numId="39">
    <w:abstractNumId w:val="9"/>
  </w:num>
  <w:num w:numId="40">
    <w:abstractNumId w:val="6"/>
  </w:num>
  <w:num w:numId="41">
    <w:abstractNumId w:val="22"/>
  </w:num>
  <w:num w:numId="42">
    <w:abstractNumId w:val="23"/>
  </w:num>
  <w:num w:numId="43">
    <w:abstractNumId w:val="25"/>
  </w:num>
  <w:num w:numId="44">
    <w:abstractNumId w:val="18"/>
  </w:num>
  <w:num w:numId="45">
    <w:abstractNumId w:val="14"/>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EE1"/>
    <w:rsid w:val="00002031"/>
    <w:rsid w:val="00004734"/>
    <w:rsid w:val="00006B22"/>
    <w:rsid w:val="00006FAB"/>
    <w:rsid w:val="000111B1"/>
    <w:rsid w:val="0001276A"/>
    <w:rsid w:val="000246AE"/>
    <w:rsid w:val="00025C67"/>
    <w:rsid w:val="00044772"/>
    <w:rsid w:val="0004541C"/>
    <w:rsid w:val="0005559E"/>
    <w:rsid w:val="000604D6"/>
    <w:rsid w:val="000673B4"/>
    <w:rsid w:val="000734D8"/>
    <w:rsid w:val="00077775"/>
    <w:rsid w:val="00082A66"/>
    <w:rsid w:val="00086DCC"/>
    <w:rsid w:val="00090471"/>
    <w:rsid w:val="00091E1A"/>
    <w:rsid w:val="00096AA7"/>
    <w:rsid w:val="000A2E25"/>
    <w:rsid w:val="000A3AED"/>
    <w:rsid w:val="000B3532"/>
    <w:rsid w:val="000B3A75"/>
    <w:rsid w:val="000C00C2"/>
    <w:rsid w:val="000C690F"/>
    <w:rsid w:val="000C6E56"/>
    <w:rsid w:val="000D1295"/>
    <w:rsid w:val="000D391B"/>
    <w:rsid w:val="000D3D6D"/>
    <w:rsid w:val="000D4FC7"/>
    <w:rsid w:val="000E6196"/>
    <w:rsid w:val="000F31FE"/>
    <w:rsid w:val="000F4869"/>
    <w:rsid w:val="000F5B42"/>
    <w:rsid w:val="000F6E6F"/>
    <w:rsid w:val="0010601F"/>
    <w:rsid w:val="0010788A"/>
    <w:rsid w:val="00107A31"/>
    <w:rsid w:val="00110EA5"/>
    <w:rsid w:val="00112F56"/>
    <w:rsid w:val="00116960"/>
    <w:rsid w:val="00122C2E"/>
    <w:rsid w:val="00124ACD"/>
    <w:rsid w:val="00125318"/>
    <w:rsid w:val="001305A2"/>
    <w:rsid w:val="0013101B"/>
    <w:rsid w:val="00133238"/>
    <w:rsid w:val="00133A1B"/>
    <w:rsid w:val="0014197B"/>
    <w:rsid w:val="001432A1"/>
    <w:rsid w:val="001447CD"/>
    <w:rsid w:val="001467AB"/>
    <w:rsid w:val="00150E8B"/>
    <w:rsid w:val="001516B1"/>
    <w:rsid w:val="00154EBB"/>
    <w:rsid w:val="00156316"/>
    <w:rsid w:val="00161181"/>
    <w:rsid w:val="00162D14"/>
    <w:rsid w:val="00163780"/>
    <w:rsid w:val="00165389"/>
    <w:rsid w:val="0017693F"/>
    <w:rsid w:val="0018110E"/>
    <w:rsid w:val="00181684"/>
    <w:rsid w:val="001843C6"/>
    <w:rsid w:val="001850E0"/>
    <w:rsid w:val="001853C7"/>
    <w:rsid w:val="001A03AF"/>
    <w:rsid w:val="001A2158"/>
    <w:rsid w:val="001A525F"/>
    <w:rsid w:val="001B09F9"/>
    <w:rsid w:val="001B5C90"/>
    <w:rsid w:val="001B6448"/>
    <w:rsid w:val="001C32CD"/>
    <w:rsid w:val="001D2984"/>
    <w:rsid w:val="001E07CF"/>
    <w:rsid w:val="001E55B4"/>
    <w:rsid w:val="001E59F1"/>
    <w:rsid w:val="001F2CEE"/>
    <w:rsid w:val="001F49EB"/>
    <w:rsid w:val="001F6CBA"/>
    <w:rsid w:val="00201D4E"/>
    <w:rsid w:val="002076C9"/>
    <w:rsid w:val="00207DF8"/>
    <w:rsid w:val="00220B8A"/>
    <w:rsid w:val="002257F3"/>
    <w:rsid w:val="00233456"/>
    <w:rsid w:val="002339A5"/>
    <w:rsid w:val="00250271"/>
    <w:rsid w:val="00257848"/>
    <w:rsid w:val="002578E8"/>
    <w:rsid w:val="00262D73"/>
    <w:rsid w:val="0027084A"/>
    <w:rsid w:val="002711F5"/>
    <w:rsid w:val="00280265"/>
    <w:rsid w:val="00286434"/>
    <w:rsid w:val="00286C59"/>
    <w:rsid w:val="00291957"/>
    <w:rsid w:val="002942D1"/>
    <w:rsid w:val="0029501A"/>
    <w:rsid w:val="00296D37"/>
    <w:rsid w:val="002A00EE"/>
    <w:rsid w:val="002A3721"/>
    <w:rsid w:val="002B0782"/>
    <w:rsid w:val="002B1638"/>
    <w:rsid w:val="002B1C06"/>
    <w:rsid w:val="002B3624"/>
    <w:rsid w:val="002B4381"/>
    <w:rsid w:val="002D0952"/>
    <w:rsid w:val="002E40B3"/>
    <w:rsid w:val="002E4C9A"/>
    <w:rsid w:val="002E7B25"/>
    <w:rsid w:val="002F11F8"/>
    <w:rsid w:val="002F3F56"/>
    <w:rsid w:val="002F44B5"/>
    <w:rsid w:val="002F5122"/>
    <w:rsid w:val="00311AC0"/>
    <w:rsid w:val="003176FC"/>
    <w:rsid w:val="00324E45"/>
    <w:rsid w:val="0032583B"/>
    <w:rsid w:val="00327883"/>
    <w:rsid w:val="0033524C"/>
    <w:rsid w:val="00335504"/>
    <w:rsid w:val="00340C18"/>
    <w:rsid w:val="003442FD"/>
    <w:rsid w:val="00347824"/>
    <w:rsid w:val="00350567"/>
    <w:rsid w:val="003521E8"/>
    <w:rsid w:val="003650E9"/>
    <w:rsid w:val="00370CE3"/>
    <w:rsid w:val="0037124F"/>
    <w:rsid w:val="003728F3"/>
    <w:rsid w:val="003735BC"/>
    <w:rsid w:val="0037496E"/>
    <w:rsid w:val="00383221"/>
    <w:rsid w:val="00386150"/>
    <w:rsid w:val="003874CE"/>
    <w:rsid w:val="00390900"/>
    <w:rsid w:val="003958B0"/>
    <w:rsid w:val="003A7F6C"/>
    <w:rsid w:val="003B4D60"/>
    <w:rsid w:val="003B7E39"/>
    <w:rsid w:val="003C58DC"/>
    <w:rsid w:val="003D1E62"/>
    <w:rsid w:val="003E0B99"/>
    <w:rsid w:val="003E2486"/>
    <w:rsid w:val="003E3208"/>
    <w:rsid w:val="003F0B04"/>
    <w:rsid w:val="003F6895"/>
    <w:rsid w:val="0040134E"/>
    <w:rsid w:val="00404C6D"/>
    <w:rsid w:val="004334C7"/>
    <w:rsid w:val="00440A2D"/>
    <w:rsid w:val="00441C3F"/>
    <w:rsid w:val="00444D1A"/>
    <w:rsid w:val="0045186A"/>
    <w:rsid w:val="004564A7"/>
    <w:rsid w:val="00456765"/>
    <w:rsid w:val="00460036"/>
    <w:rsid w:val="004617BF"/>
    <w:rsid w:val="00463658"/>
    <w:rsid w:val="004637A0"/>
    <w:rsid w:val="00463F8D"/>
    <w:rsid w:val="004722CC"/>
    <w:rsid w:val="00474E4C"/>
    <w:rsid w:val="00490483"/>
    <w:rsid w:val="004936E4"/>
    <w:rsid w:val="00494E60"/>
    <w:rsid w:val="00496CF4"/>
    <w:rsid w:val="00497487"/>
    <w:rsid w:val="004A2771"/>
    <w:rsid w:val="004A5212"/>
    <w:rsid w:val="004A6189"/>
    <w:rsid w:val="004A7390"/>
    <w:rsid w:val="004B7B76"/>
    <w:rsid w:val="004C239D"/>
    <w:rsid w:val="004C2DCA"/>
    <w:rsid w:val="004C4FBE"/>
    <w:rsid w:val="004C61D2"/>
    <w:rsid w:val="004D63D2"/>
    <w:rsid w:val="004F0C4A"/>
    <w:rsid w:val="004F0F38"/>
    <w:rsid w:val="004F47D6"/>
    <w:rsid w:val="00500337"/>
    <w:rsid w:val="00501921"/>
    <w:rsid w:val="00503834"/>
    <w:rsid w:val="005112AB"/>
    <w:rsid w:val="00530354"/>
    <w:rsid w:val="0053625B"/>
    <w:rsid w:val="005434C6"/>
    <w:rsid w:val="0054359B"/>
    <w:rsid w:val="00543B39"/>
    <w:rsid w:val="00546154"/>
    <w:rsid w:val="00546BF7"/>
    <w:rsid w:val="00550096"/>
    <w:rsid w:val="00555280"/>
    <w:rsid w:val="00556097"/>
    <w:rsid w:val="00557FF9"/>
    <w:rsid w:val="00562327"/>
    <w:rsid w:val="005711D5"/>
    <w:rsid w:val="00576378"/>
    <w:rsid w:val="00577130"/>
    <w:rsid w:val="00577945"/>
    <w:rsid w:val="00577E38"/>
    <w:rsid w:val="0058424F"/>
    <w:rsid w:val="00585322"/>
    <w:rsid w:val="005857C6"/>
    <w:rsid w:val="00586133"/>
    <w:rsid w:val="0058715D"/>
    <w:rsid w:val="00592F6E"/>
    <w:rsid w:val="00593AD1"/>
    <w:rsid w:val="005A2B53"/>
    <w:rsid w:val="005A68B6"/>
    <w:rsid w:val="005A7F03"/>
    <w:rsid w:val="005B3281"/>
    <w:rsid w:val="005B70CC"/>
    <w:rsid w:val="005C5570"/>
    <w:rsid w:val="005C5B66"/>
    <w:rsid w:val="005C79A4"/>
    <w:rsid w:val="005D5442"/>
    <w:rsid w:val="005E4560"/>
    <w:rsid w:val="005F7A49"/>
    <w:rsid w:val="006000D4"/>
    <w:rsid w:val="00603F32"/>
    <w:rsid w:val="00605AD4"/>
    <w:rsid w:val="006136D7"/>
    <w:rsid w:val="006231CB"/>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493"/>
    <w:rsid w:val="006C3E2A"/>
    <w:rsid w:val="006C642F"/>
    <w:rsid w:val="006D03E5"/>
    <w:rsid w:val="006D57D0"/>
    <w:rsid w:val="006D5D3E"/>
    <w:rsid w:val="006E08B3"/>
    <w:rsid w:val="006F17AC"/>
    <w:rsid w:val="006F25B8"/>
    <w:rsid w:val="006F572E"/>
    <w:rsid w:val="007046D6"/>
    <w:rsid w:val="00705DB0"/>
    <w:rsid w:val="007079A7"/>
    <w:rsid w:val="00722B57"/>
    <w:rsid w:val="00730F8A"/>
    <w:rsid w:val="007359A2"/>
    <w:rsid w:val="00735A8C"/>
    <w:rsid w:val="00735D2B"/>
    <w:rsid w:val="0074253D"/>
    <w:rsid w:val="00744121"/>
    <w:rsid w:val="0074429B"/>
    <w:rsid w:val="00754936"/>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2543"/>
    <w:rsid w:val="007A28A3"/>
    <w:rsid w:val="007A46F5"/>
    <w:rsid w:val="007A6505"/>
    <w:rsid w:val="007B6132"/>
    <w:rsid w:val="007B6E9F"/>
    <w:rsid w:val="007C1216"/>
    <w:rsid w:val="007C1AF7"/>
    <w:rsid w:val="007C6B9B"/>
    <w:rsid w:val="007C6BE7"/>
    <w:rsid w:val="007D53B6"/>
    <w:rsid w:val="007F4EE1"/>
    <w:rsid w:val="00805D27"/>
    <w:rsid w:val="00806DCB"/>
    <w:rsid w:val="008079AE"/>
    <w:rsid w:val="00821776"/>
    <w:rsid w:val="008321F5"/>
    <w:rsid w:val="00832369"/>
    <w:rsid w:val="00834660"/>
    <w:rsid w:val="00836BC2"/>
    <w:rsid w:val="00841DAD"/>
    <w:rsid w:val="0085156D"/>
    <w:rsid w:val="00852B28"/>
    <w:rsid w:val="0085641B"/>
    <w:rsid w:val="00857136"/>
    <w:rsid w:val="00871924"/>
    <w:rsid w:val="0087348F"/>
    <w:rsid w:val="00875A6B"/>
    <w:rsid w:val="00885B11"/>
    <w:rsid w:val="00886D15"/>
    <w:rsid w:val="00887DD8"/>
    <w:rsid w:val="00887FB4"/>
    <w:rsid w:val="00891BA9"/>
    <w:rsid w:val="00896018"/>
    <w:rsid w:val="008960DD"/>
    <w:rsid w:val="0089635C"/>
    <w:rsid w:val="008A2B9D"/>
    <w:rsid w:val="008A3D9F"/>
    <w:rsid w:val="008A5E0B"/>
    <w:rsid w:val="008A6D59"/>
    <w:rsid w:val="008B4B03"/>
    <w:rsid w:val="008B5174"/>
    <w:rsid w:val="008B596F"/>
    <w:rsid w:val="008C159F"/>
    <w:rsid w:val="008C1623"/>
    <w:rsid w:val="008C1850"/>
    <w:rsid w:val="008C51A9"/>
    <w:rsid w:val="008D6DA3"/>
    <w:rsid w:val="008E7846"/>
    <w:rsid w:val="008F02E5"/>
    <w:rsid w:val="008F1CCC"/>
    <w:rsid w:val="008F2967"/>
    <w:rsid w:val="008F6943"/>
    <w:rsid w:val="00902A21"/>
    <w:rsid w:val="009038D4"/>
    <w:rsid w:val="0091523F"/>
    <w:rsid w:val="00920330"/>
    <w:rsid w:val="009219D7"/>
    <w:rsid w:val="00922D53"/>
    <w:rsid w:val="00923B70"/>
    <w:rsid w:val="00924482"/>
    <w:rsid w:val="00930237"/>
    <w:rsid w:val="00937C17"/>
    <w:rsid w:val="00940A89"/>
    <w:rsid w:val="00941F77"/>
    <w:rsid w:val="00946C8F"/>
    <w:rsid w:val="00946EA5"/>
    <w:rsid w:val="0095251B"/>
    <w:rsid w:val="00960520"/>
    <w:rsid w:val="009607AC"/>
    <w:rsid w:val="00963C08"/>
    <w:rsid w:val="00971974"/>
    <w:rsid w:val="009752A5"/>
    <w:rsid w:val="0097714B"/>
    <w:rsid w:val="0098585A"/>
    <w:rsid w:val="009A4CED"/>
    <w:rsid w:val="009A690D"/>
    <w:rsid w:val="009B1D12"/>
    <w:rsid w:val="009B416B"/>
    <w:rsid w:val="009C2F61"/>
    <w:rsid w:val="009C4BD5"/>
    <w:rsid w:val="009D7B77"/>
    <w:rsid w:val="009E0BB0"/>
    <w:rsid w:val="009E3FBB"/>
    <w:rsid w:val="009F7353"/>
    <w:rsid w:val="00A03F29"/>
    <w:rsid w:val="00A04F85"/>
    <w:rsid w:val="00A05FA4"/>
    <w:rsid w:val="00A102E4"/>
    <w:rsid w:val="00A1219C"/>
    <w:rsid w:val="00A12C42"/>
    <w:rsid w:val="00A14DF7"/>
    <w:rsid w:val="00A15AD9"/>
    <w:rsid w:val="00A20897"/>
    <w:rsid w:val="00A22D57"/>
    <w:rsid w:val="00A3246D"/>
    <w:rsid w:val="00A36FA7"/>
    <w:rsid w:val="00A44DDB"/>
    <w:rsid w:val="00A475B7"/>
    <w:rsid w:val="00A47AF7"/>
    <w:rsid w:val="00A47C3E"/>
    <w:rsid w:val="00A50226"/>
    <w:rsid w:val="00A60BAD"/>
    <w:rsid w:val="00A61CA6"/>
    <w:rsid w:val="00A72B01"/>
    <w:rsid w:val="00A77F87"/>
    <w:rsid w:val="00A80B5B"/>
    <w:rsid w:val="00A84E36"/>
    <w:rsid w:val="00A964D1"/>
    <w:rsid w:val="00AA0ED0"/>
    <w:rsid w:val="00AC2B40"/>
    <w:rsid w:val="00AC2BB2"/>
    <w:rsid w:val="00AC2C3C"/>
    <w:rsid w:val="00AC512D"/>
    <w:rsid w:val="00AC5270"/>
    <w:rsid w:val="00AD0083"/>
    <w:rsid w:val="00AD3935"/>
    <w:rsid w:val="00AE65EB"/>
    <w:rsid w:val="00AE67A7"/>
    <w:rsid w:val="00AF1D94"/>
    <w:rsid w:val="00AF291C"/>
    <w:rsid w:val="00AF48F7"/>
    <w:rsid w:val="00AF60C5"/>
    <w:rsid w:val="00B009C6"/>
    <w:rsid w:val="00B01548"/>
    <w:rsid w:val="00B10045"/>
    <w:rsid w:val="00B130C5"/>
    <w:rsid w:val="00B13EBD"/>
    <w:rsid w:val="00B20329"/>
    <w:rsid w:val="00B21D29"/>
    <w:rsid w:val="00B25034"/>
    <w:rsid w:val="00B32CDB"/>
    <w:rsid w:val="00B33588"/>
    <w:rsid w:val="00B33863"/>
    <w:rsid w:val="00B37D17"/>
    <w:rsid w:val="00B4175E"/>
    <w:rsid w:val="00B41C85"/>
    <w:rsid w:val="00B452CE"/>
    <w:rsid w:val="00B46356"/>
    <w:rsid w:val="00B46684"/>
    <w:rsid w:val="00B54C25"/>
    <w:rsid w:val="00B63FF5"/>
    <w:rsid w:val="00B6596D"/>
    <w:rsid w:val="00B76A61"/>
    <w:rsid w:val="00B76B91"/>
    <w:rsid w:val="00B77CCC"/>
    <w:rsid w:val="00B77EB1"/>
    <w:rsid w:val="00B811C6"/>
    <w:rsid w:val="00B848D8"/>
    <w:rsid w:val="00B855B0"/>
    <w:rsid w:val="00B92E08"/>
    <w:rsid w:val="00B9558A"/>
    <w:rsid w:val="00BA2A96"/>
    <w:rsid w:val="00BB12D3"/>
    <w:rsid w:val="00BC622A"/>
    <w:rsid w:val="00BE0A78"/>
    <w:rsid w:val="00BE79F0"/>
    <w:rsid w:val="00BF046D"/>
    <w:rsid w:val="00BF1190"/>
    <w:rsid w:val="00BF1781"/>
    <w:rsid w:val="00BF28AF"/>
    <w:rsid w:val="00BF3774"/>
    <w:rsid w:val="00BF5D04"/>
    <w:rsid w:val="00C009AA"/>
    <w:rsid w:val="00C04933"/>
    <w:rsid w:val="00C1164D"/>
    <w:rsid w:val="00C16861"/>
    <w:rsid w:val="00C346AB"/>
    <w:rsid w:val="00C404A6"/>
    <w:rsid w:val="00C40A36"/>
    <w:rsid w:val="00C44419"/>
    <w:rsid w:val="00C4477A"/>
    <w:rsid w:val="00C45E7B"/>
    <w:rsid w:val="00C471B1"/>
    <w:rsid w:val="00C525A2"/>
    <w:rsid w:val="00C52E24"/>
    <w:rsid w:val="00C6316B"/>
    <w:rsid w:val="00C634A9"/>
    <w:rsid w:val="00C64586"/>
    <w:rsid w:val="00C70A36"/>
    <w:rsid w:val="00C70D53"/>
    <w:rsid w:val="00C719B6"/>
    <w:rsid w:val="00C73D0B"/>
    <w:rsid w:val="00C74F5C"/>
    <w:rsid w:val="00C772FF"/>
    <w:rsid w:val="00C80137"/>
    <w:rsid w:val="00C801AF"/>
    <w:rsid w:val="00C80256"/>
    <w:rsid w:val="00C91EE4"/>
    <w:rsid w:val="00C94CD4"/>
    <w:rsid w:val="00C9747E"/>
    <w:rsid w:val="00CB1BAC"/>
    <w:rsid w:val="00CB220B"/>
    <w:rsid w:val="00CB6BC0"/>
    <w:rsid w:val="00CC10AC"/>
    <w:rsid w:val="00CC1B7C"/>
    <w:rsid w:val="00CC727F"/>
    <w:rsid w:val="00CD074B"/>
    <w:rsid w:val="00CE2D88"/>
    <w:rsid w:val="00CF15C3"/>
    <w:rsid w:val="00CF2B6F"/>
    <w:rsid w:val="00CF2F3E"/>
    <w:rsid w:val="00CF550A"/>
    <w:rsid w:val="00CF58B6"/>
    <w:rsid w:val="00CF5DAD"/>
    <w:rsid w:val="00CF6381"/>
    <w:rsid w:val="00D0062D"/>
    <w:rsid w:val="00D017ED"/>
    <w:rsid w:val="00D040D3"/>
    <w:rsid w:val="00D04C65"/>
    <w:rsid w:val="00D153D8"/>
    <w:rsid w:val="00D201D2"/>
    <w:rsid w:val="00D224FE"/>
    <w:rsid w:val="00D23139"/>
    <w:rsid w:val="00D24401"/>
    <w:rsid w:val="00D31923"/>
    <w:rsid w:val="00D425BB"/>
    <w:rsid w:val="00D453FA"/>
    <w:rsid w:val="00D55460"/>
    <w:rsid w:val="00D6493E"/>
    <w:rsid w:val="00D67B6F"/>
    <w:rsid w:val="00D7195D"/>
    <w:rsid w:val="00D7301E"/>
    <w:rsid w:val="00D83AE1"/>
    <w:rsid w:val="00D855D4"/>
    <w:rsid w:val="00D902C9"/>
    <w:rsid w:val="00D90CF1"/>
    <w:rsid w:val="00D93466"/>
    <w:rsid w:val="00D97075"/>
    <w:rsid w:val="00DA0EB9"/>
    <w:rsid w:val="00DA1124"/>
    <w:rsid w:val="00DA64CB"/>
    <w:rsid w:val="00DB06B8"/>
    <w:rsid w:val="00DB6124"/>
    <w:rsid w:val="00DB750B"/>
    <w:rsid w:val="00DB75B7"/>
    <w:rsid w:val="00DC0A2F"/>
    <w:rsid w:val="00DC1948"/>
    <w:rsid w:val="00DC4F13"/>
    <w:rsid w:val="00DC6E02"/>
    <w:rsid w:val="00DD28CD"/>
    <w:rsid w:val="00DD6510"/>
    <w:rsid w:val="00DE02AE"/>
    <w:rsid w:val="00DE39D1"/>
    <w:rsid w:val="00DE4546"/>
    <w:rsid w:val="00DF1D7F"/>
    <w:rsid w:val="00DF3E6D"/>
    <w:rsid w:val="00DF4BE4"/>
    <w:rsid w:val="00E02382"/>
    <w:rsid w:val="00E02FB4"/>
    <w:rsid w:val="00E13FC7"/>
    <w:rsid w:val="00E1586C"/>
    <w:rsid w:val="00E20571"/>
    <w:rsid w:val="00E235F7"/>
    <w:rsid w:val="00E23659"/>
    <w:rsid w:val="00E239D4"/>
    <w:rsid w:val="00E26130"/>
    <w:rsid w:val="00E33D42"/>
    <w:rsid w:val="00E40B22"/>
    <w:rsid w:val="00E44ED1"/>
    <w:rsid w:val="00E45619"/>
    <w:rsid w:val="00E4588F"/>
    <w:rsid w:val="00E46DA3"/>
    <w:rsid w:val="00E51BB1"/>
    <w:rsid w:val="00E55CB0"/>
    <w:rsid w:val="00E624A5"/>
    <w:rsid w:val="00E64BA4"/>
    <w:rsid w:val="00E67515"/>
    <w:rsid w:val="00E7344E"/>
    <w:rsid w:val="00E75E84"/>
    <w:rsid w:val="00E82665"/>
    <w:rsid w:val="00E838B1"/>
    <w:rsid w:val="00E94CBF"/>
    <w:rsid w:val="00EA1D26"/>
    <w:rsid w:val="00EB0798"/>
    <w:rsid w:val="00EB3813"/>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1696C"/>
    <w:rsid w:val="00F3148D"/>
    <w:rsid w:val="00F325C5"/>
    <w:rsid w:val="00F32FE0"/>
    <w:rsid w:val="00F35298"/>
    <w:rsid w:val="00F45551"/>
    <w:rsid w:val="00F47333"/>
    <w:rsid w:val="00F47E37"/>
    <w:rsid w:val="00F53C07"/>
    <w:rsid w:val="00F54B65"/>
    <w:rsid w:val="00F571EB"/>
    <w:rsid w:val="00F63DBF"/>
    <w:rsid w:val="00F640B6"/>
    <w:rsid w:val="00F66DF2"/>
    <w:rsid w:val="00F80E40"/>
    <w:rsid w:val="00F848D9"/>
    <w:rsid w:val="00FA5069"/>
    <w:rsid w:val="00FA5B82"/>
    <w:rsid w:val="00FA639E"/>
    <w:rsid w:val="00FB3C2A"/>
    <w:rsid w:val="00FB6312"/>
    <w:rsid w:val="00FC1FCA"/>
    <w:rsid w:val="00FC25E4"/>
    <w:rsid w:val="00FC4EF7"/>
    <w:rsid w:val="00FD0824"/>
    <w:rsid w:val="00FD119B"/>
    <w:rsid w:val="00FD1EDC"/>
    <w:rsid w:val="00FD55A9"/>
    <w:rsid w:val="00FE1DEE"/>
    <w:rsid w:val="00FF2126"/>
    <w:rsid w:val="00FF220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15F6211"/>
  <w15:docId w15:val="{F0FEE19B-7A14-4E33-9F95-EEC83203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C6E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link w:val="CaptionChar"/>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72B01"/>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CaptionChar">
    <w:name w:val="Caption Char"/>
    <w:link w:val="Caption"/>
    <w:rsid w:val="00735D2B"/>
    <w:rPr>
      <w:rFonts w:ascii="Cambria" w:eastAsia="Cambria" w:hAnsi="Cambria" w:cs="Times New Roman"/>
      <w:sz w:val="19"/>
      <w:szCs w:val="18"/>
    </w:rPr>
  </w:style>
  <w:style w:type="character" w:customStyle="1" w:styleId="field-content">
    <w:name w:val="field-content"/>
    <w:basedOn w:val="DefaultParagraphFont"/>
    <w:rsid w:val="00735D2B"/>
  </w:style>
  <w:style w:type="paragraph" w:customStyle="1" w:styleId="views-field">
    <w:name w:val="views-field"/>
    <w:basedOn w:val="Normal"/>
    <w:rsid w:val="00735D2B"/>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735D2B"/>
    <w:rPr>
      <w:b/>
      <w:bCs/>
    </w:rPr>
  </w:style>
  <w:style w:type="paragraph" w:styleId="ListParagraph">
    <w:name w:val="List Paragraph"/>
    <w:basedOn w:val="Normal"/>
    <w:uiPriority w:val="34"/>
    <w:qFormat/>
    <w:rsid w:val="00735D2B"/>
    <w:pPr>
      <w:adjustRightInd w:val="0"/>
      <w:snapToGrid w:val="0"/>
      <w:spacing w:before="180" w:after="180"/>
      <w:ind w:left="720"/>
      <w:contextualSpacing/>
    </w:pPr>
    <w:rPr>
      <w:rFonts w:eastAsia="MS Mincho"/>
      <w:szCs w:val="20"/>
      <w:lang w:eastAsia="ja-JP"/>
    </w:rPr>
  </w:style>
  <w:style w:type="paragraph" w:customStyle="1" w:styleId="CTD-A1">
    <w:name w:val="CTD-A1"/>
    <w:basedOn w:val="Normal"/>
    <w:next w:val="Normal"/>
    <w:qFormat/>
    <w:rsid w:val="00735D2B"/>
    <w:pPr>
      <w:numPr>
        <w:numId w:val="33"/>
      </w:numPr>
      <w:spacing w:before="0" w:after="160" w:line="21" w:lineRule="atLeast"/>
      <w:ind w:left="709" w:hanging="567"/>
      <w:outlineLvl w:val="0"/>
    </w:pPr>
    <w:rPr>
      <w:rFonts w:asciiTheme="minorHAnsi" w:eastAsia="MS Mincho" w:hAnsiTheme="minorHAnsi" w:cstheme="majorHAnsi"/>
      <w:b/>
      <w:snapToGrid w:val="0"/>
      <w:sz w:val="26"/>
      <w:szCs w:val="26"/>
      <w:lang w:val="en-GB"/>
      <w14:scene3d>
        <w14:camera w14:prst="orthographicFront"/>
        <w14:lightRig w14:rig="threePt" w14:dir="t">
          <w14:rot w14:lat="0" w14:lon="0" w14:rev="0"/>
        </w14:lightRig>
      </w14:scene3d>
    </w:rPr>
  </w:style>
  <w:style w:type="paragraph" w:styleId="ListNumber">
    <w:name w:val="List Number"/>
    <w:basedOn w:val="ListParagraph"/>
    <w:uiPriority w:val="99"/>
    <w:unhideWhenUsed/>
    <w:rsid w:val="00735D2B"/>
    <w:pPr>
      <w:numPr>
        <w:numId w:val="35"/>
      </w:numPr>
      <w:adjustRightInd/>
      <w:snapToGrid/>
      <w:spacing w:before="0" w:after="120" w:line="240" w:lineRule="auto"/>
      <w:ind w:left="426" w:hanging="426"/>
    </w:pPr>
    <w:rPr>
      <w:rFonts w:asciiTheme="minorHAnsi" w:eastAsia="Times New Roman" w:hAnsiTheme="minorHAnsi"/>
      <w:b/>
      <w:szCs w:val="22"/>
      <w:lang w:eastAsia="en-AU"/>
    </w:rPr>
  </w:style>
  <w:style w:type="character" w:customStyle="1" w:styleId="TabletextChar">
    <w:name w:val="Table text Char"/>
    <w:basedOn w:val="DefaultParagraphFont"/>
    <w:link w:val="Tabletext"/>
    <w:rsid w:val="004A5212"/>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4A521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4A5212"/>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4A521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A5212"/>
    <w:rPr>
      <w:rFonts w:ascii="Cambria" w:eastAsia="Times New Roman" w:hAnsi="Cambria" w:cs="Times New Roman"/>
      <w:snapToGrid w:val="0"/>
      <w:kern w:val="16"/>
      <w:sz w:val="23"/>
      <w:szCs w:val="24"/>
    </w:rPr>
  </w:style>
  <w:style w:type="paragraph" w:customStyle="1" w:styleId="Default">
    <w:name w:val="Default"/>
    <w:rsid w:val="000C6E56"/>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44581">
      <w:bodyDiv w:val="1"/>
      <w:marLeft w:val="0"/>
      <w:marRight w:val="0"/>
      <w:marTop w:val="0"/>
      <w:marBottom w:val="0"/>
      <w:divBdr>
        <w:top w:val="none" w:sz="0" w:space="0" w:color="auto"/>
        <w:left w:val="none" w:sz="0" w:space="0" w:color="auto"/>
        <w:bottom w:val="none" w:sz="0" w:space="0" w:color="auto"/>
        <w:right w:val="none" w:sz="0" w:space="0" w:color="auto"/>
      </w:divBdr>
    </w:div>
    <w:div w:id="411048684">
      <w:bodyDiv w:val="1"/>
      <w:marLeft w:val="0"/>
      <w:marRight w:val="0"/>
      <w:marTop w:val="0"/>
      <w:marBottom w:val="0"/>
      <w:divBdr>
        <w:top w:val="none" w:sz="0" w:space="0" w:color="auto"/>
        <w:left w:val="none" w:sz="0" w:space="0" w:color="auto"/>
        <w:bottom w:val="none" w:sz="0" w:space="0" w:color="auto"/>
        <w:right w:val="none" w:sz="0" w:space="0" w:color="auto"/>
      </w:divBdr>
    </w:div>
    <w:div w:id="460610108">
      <w:bodyDiv w:val="1"/>
      <w:marLeft w:val="0"/>
      <w:marRight w:val="0"/>
      <w:marTop w:val="0"/>
      <w:marBottom w:val="0"/>
      <w:divBdr>
        <w:top w:val="none" w:sz="0" w:space="0" w:color="auto"/>
        <w:left w:val="none" w:sz="0" w:space="0" w:color="auto"/>
        <w:bottom w:val="none" w:sz="0" w:space="0" w:color="auto"/>
        <w:right w:val="none" w:sz="0" w:space="0" w:color="auto"/>
      </w:divBdr>
    </w:div>
    <w:div w:id="462886395">
      <w:bodyDiv w:val="1"/>
      <w:marLeft w:val="0"/>
      <w:marRight w:val="0"/>
      <w:marTop w:val="0"/>
      <w:marBottom w:val="0"/>
      <w:divBdr>
        <w:top w:val="none" w:sz="0" w:space="0" w:color="auto"/>
        <w:left w:val="none" w:sz="0" w:space="0" w:color="auto"/>
        <w:bottom w:val="none" w:sz="0" w:space="0" w:color="auto"/>
        <w:right w:val="none" w:sz="0" w:space="0" w:color="auto"/>
      </w:divBdr>
    </w:div>
    <w:div w:id="682632058">
      <w:bodyDiv w:val="1"/>
      <w:marLeft w:val="0"/>
      <w:marRight w:val="0"/>
      <w:marTop w:val="0"/>
      <w:marBottom w:val="0"/>
      <w:divBdr>
        <w:top w:val="none" w:sz="0" w:space="0" w:color="auto"/>
        <w:left w:val="none" w:sz="0" w:space="0" w:color="auto"/>
        <w:bottom w:val="none" w:sz="0" w:space="0" w:color="auto"/>
        <w:right w:val="none" w:sz="0" w:space="0" w:color="auto"/>
      </w:divBdr>
    </w:div>
    <w:div w:id="771626330">
      <w:bodyDiv w:val="1"/>
      <w:marLeft w:val="0"/>
      <w:marRight w:val="0"/>
      <w:marTop w:val="0"/>
      <w:marBottom w:val="0"/>
      <w:divBdr>
        <w:top w:val="none" w:sz="0" w:space="0" w:color="auto"/>
        <w:left w:val="none" w:sz="0" w:space="0" w:color="auto"/>
        <w:bottom w:val="none" w:sz="0" w:space="0" w:color="auto"/>
        <w:right w:val="none" w:sz="0" w:space="0" w:color="auto"/>
      </w:divBdr>
    </w:div>
    <w:div w:id="772675525">
      <w:bodyDiv w:val="1"/>
      <w:marLeft w:val="0"/>
      <w:marRight w:val="0"/>
      <w:marTop w:val="0"/>
      <w:marBottom w:val="0"/>
      <w:divBdr>
        <w:top w:val="none" w:sz="0" w:space="0" w:color="auto"/>
        <w:left w:val="none" w:sz="0" w:space="0" w:color="auto"/>
        <w:bottom w:val="none" w:sz="0" w:space="0" w:color="auto"/>
        <w:right w:val="none" w:sz="0" w:space="0" w:color="auto"/>
      </w:divBdr>
    </w:div>
    <w:div w:id="918514362">
      <w:bodyDiv w:val="1"/>
      <w:marLeft w:val="0"/>
      <w:marRight w:val="0"/>
      <w:marTop w:val="0"/>
      <w:marBottom w:val="0"/>
      <w:divBdr>
        <w:top w:val="none" w:sz="0" w:space="0" w:color="auto"/>
        <w:left w:val="none" w:sz="0" w:space="0" w:color="auto"/>
        <w:bottom w:val="none" w:sz="0" w:space="0" w:color="auto"/>
        <w:right w:val="none" w:sz="0" w:space="0" w:color="auto"/>
      </w:divBdr>
    </w:div>
    <w:div w:id="983462362">
      <w:bodyDiv w:val="1"/>
      <w:marLeft w:val="0"/>
      <w:marRight w:val="0"/>
      <w:marTop w:val="0"/>
      <w:marBottom w:val="0"/>
      <w:divBdr>
        <w:top w:val="none" w:sz="0" w:space="0" w:color="auto"/>
        <w:left w:val="none" w:sz="0" w:space="0" w:color="auto"/>
        <w:bottom w:val="none" w:sz="0" w:space="0" w:color="auto"/>
        <w:right w:val="none" w:sz="0" w:space="0" w:color="auto"/>
      </w:divBdr>
    </w:div>
    <w:div w:id="1020863189">
      <w:bodyDiv w:val="1"/>
      <w:marLeft w:val="0"/>
      <w:marRight w:val="0"/>
      <w:marTop w:val="0"/>
      <w:marBottom w:val="0"/>
      <w:divBdr>
        <w:top w:val="none" w:sz="0" w:space="0" w:color="auto"/>
        <w:left w:val="none" w:sz="0" w:space="0" w:color="auto"/>
        <w:bottom w:val="none" w:sz="0" w:space="0" w:color="auto"/>
        <w:right w:val="none" w:sz="0" w:space="0" w:color="auto"/>
      </w:divBdr>
    </w:div>
    <w:div w:id="1178033591">
      <w:bodyDiv w:val="1"/>
      <w:marLeft w:val="0"/>
      <w:marRight w:val="0"/>
      <w:marTop w:val="0"/>
      <w:marBottom w:val="0"/>
      <w:divBdr>
        <w:top w:val="none" w:sz="0" w:space="0" w:color="auto"/>
        <w:left w:val="none" w:sz="0" w:space="0" w:color="auto"/>
        <w:bottom w:val="none" w:sz="0" w:space="0" w:color="auto"/>
        <w:right w:val="none" w:sz="0" w:space="0" w:color="auto"/>
      </w:divBdr>
    </w:div>
    <w:div w:id="1182209492">
      <w:bodyDiv w:val="1"/>
      <w:marLeft w:val="0"/>
      <w:marRight w:val="0"/>
      <w:marTop w:val="0"/>
      <w:marBottom w:val="0"/>
      <w:divBdr>
        <w:top w:val="none" w:sz="0" w:space="0" w:color="auto"/>
        <w:left w:val="none" w:sz="0" w:space="0" w:color="auto"/>
        <w:bottom w:val="none" w:sz="0" w:space="0" w:color="auto"/>
        <w:right w:val="none" w:sz="0" w:space="0" w:color="auto"/>
      </w:divBdr>
    </w:div>
    <w:div w:id="1242642835">
      <w:bodyDiv w:val="1"/>
      <w:marLeft w:val="0"/>
      <w:marRight w:val="0"/>
      <w:marTop w:val="0"/>
      <w:marBottom w:val="0"/>
      <w:divBdr>
        <w:top w:val="none" w:sz="0" w:space="0" w:color="auto"/>
        <w:left w:val="none" w:sz="0" w:space="0" w:color="auto"/>
        <w:bottom w:val="none" w:sz="0" w:space="0" w:color="auto"/>
        <w:right w:val="none" w:sz="0" w:space="0" w:color="auto"/>
      </w:divBdr>
    </w:div>
    <w:div w:id="1538158225">
      <w:bodyDiv w:val="1"/>
      <w:marLeft w:val="0"/>
      <w:marRight w:val="0"/>
      <w:marTop w:val="0"/>
      <w:marBottom w:val="0"/>
      <w:divBdr>
        <w:top w:val="none" w:sz="0" w:space="0" w:color="auto"/>
        <w:left w:val="none" w:sz="0" w:space="0" w:color="auto"/>
        <w:bottom w:val="none" w:sz="0" w:space="0" w:color="auto"/>
        <w:right w:val="none" w:sz="0" w:space="0" w:color="auto"/>
      </w:divBdr>
    </w:div>
    <w:div w:id="1549803283">
      <w:bodyDiv w:val="1"/>
      <w:marLeft w:val="0"/>
      <w:marRight w:val="0"/>
      <w:marTop w:val="0"/>
      <w:marBottom w:val="0"/>
      <w:divBdr>
        <w:top w:val="none" w:sz="0" w:space="0" w:color="auto"/>
        <w:left w:val="none" w:sz="0" w:space="0" w:color="auto"/>
        <w:bottom w:val="none" w:sz="0" w:space="0" w:color="auto"/>
        <w:right w:val="none" w:sz="0" w:space="0" w:color="auto"/>
      </w:divBdr>
    </w:div>
    <w:div w:id="1739134257">
      <w:bodyDiv w:val="1"/>
      <w:marLeft w:val="0"/>
      <w:marRight w:val="0"/>
      <w:marTop w:val="0"/>
      <w:marBottom w:val="0"/>
      <w:divBdr>
        <w:top w:val="none" w:sz="0" w:space="0" w:color="auto"/>
        <w:left w:val="none" w:sz="0" w:space="0" w:color="auto"/>
        <w:bottom w:val="none" w:sz="0" w:space="0" w:color="auto"/>
        <w:right w:val="none" w:sz="0" w:space="0" w:color="auto"/>
      </w:divBdr>
    </w:div>
    <w:div w:id="1936672254">
      <w:bodyDiv w:val="1"/>
      <w:marLeft w:val="0"/>
      <w:marRight w:val="0"/>
      <w:marTop w:val="0"/>
      <w:marBottom w:val="0"/>
      <w:divBdr>
        <w:top w:val="none" w:sz="0" w:space="0" w:color="auto"/>
        <w:left w:val="none" w:sz="0" w:space="0" w:color="auto"/>
        <w:bottom w:val="none" w:sz="0" w:space="0" w:color="auto"/>
        <w:right w:val="none" w:sz="0" w:space="0" w:color="auto"/>
      </w:divBdr>
    </w:div>
    <w:div w:id="209211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info@tga.gov.au"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tga.gov.au/product-information-pi" TargetMode="External"/><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tga.gov.au" TargetMode="External"/><Relationship Id="rId48" Type="http://schemas.openxmlformats.org/officeDocument/2006/relationships/footer" Target="footer6.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gtr.gov.au/internet/ogtr/publishing.nsf/Content/contained-1" TargetMode="External"/><Relationship Id="rId2" Type="http://schemas.openxmlformats.org/officeDocument/2006/relationships/hyperlink" Target="https://www.tga.gov.au/auspar/auspar-voretigene-neparvovec" TargetMode="External"/><Relationship Id="rId1" Type="http://schemas.openxmlformats.org/officeDocument/2006/relationships/hyperlink" Target="https://www.tga.gov.au/auspar/auspar-nusinersen-heptadecasodium" TargetMode="External"/><Relationship Id="rId5" Type="http://schemas.openxmlformats.org/officeDocument/2006/relationships/hyperlink" Target="https://www.fda.gov/vaccines-blood-biologics/zolgensma" TargetMode="External"/><Relationship Id="rId4" Type="http://schemas.openxmlformats.org/officeDocument/2006/relationships/hyperlink" Target="https://www.tga.gov.au/ws-s14-inde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B923D-1C70-44E6-BF52-DC427D547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55</Pages>
  <Words>18104</Words>
  <Characters>102291</Characters>
  <Application>Microsoft Office Word</Application>
  <DocSecurity>0</DocSecurity>
  <Lines>2494</Lines>
  <Paragraphs>1368</Paragraphs>
  <ScaleCrop>false</ScaleCrop>
  <HeadingPairs>
    <vt:vector size="2" baseType="variant">
      <vt:variant>
        <vt:lpstr>Title</vt:lpstr>
      </vt:variant>
      <vt:variant>
        <vt:i4>1</vt:i4>
      </vt:variant>
    </vt:vector>
  </HeadingPairs>
  <TitlesOfParts>
    <vt:vector size="1" baseType="lpstr">
      <vt:lpstr>Australian public assessment report for Onasemnogene abeparvovec</vt:lpstr>
    </vt:vector>
  </TitlesOfParts>
  <Company>Department of Health Therapeutic Goods Administration</Company>
  <LinksUpToDate>false</LinksUpToDate>
  <CharactersWithSpaces>119027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Onasemnogene abeparvovec</dc:title>
  <dc:subject>prescription medicines</dc:subject>
  <dc:creator>Therapeutic Goods Administration</dc:creator>
  <cp:keywords/>
  <dc:description/>
  <cp:lastPrinted>2019-08-14T04:30:00Z</cp:lastPrinted>
  <dcterms:created xsi:type="dcterms:W3CDTF">2021-04-21T04:37:00Z</dcterms:created>
  <dcterms:modified xsi:type="dcterms:W3CDTF">2021-04-21T04:59:00Z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etDate">
    <vt:lpwstr>2021-03-16T07:16:53Z</vt:lpwstr>
  </property>
  <property fmtid="{D5CDD505-2E9C-101B-9397-08002B2CF9AE}" pid="4" name="MSIP_Label_4929bff8-5b33-42aa-95d2-28f72e792cb0_Method">
    <vt:lpwstr>Standard</vt:lpwstr>
  </property>
  <property fmtid="{D5CDD505-2E9C-101B-9397-08002B2CF9AE}" pid="5" name="MSIP_Label_4929bff8-5b33-42aa-95d2-28f72e792cb0_Name">
    <vt:lpwstr>Internal</vt:lpwstr>
  </property>
  <property fmtid="{D5CDD505-2E9C-101B-9397-08002B2CF9AE}" pid="6" name="MSIP_Label_4929bff8-5b33-42aa-95d2-28f72e792cb0_SiteId">
    <vt:lpwstr>f35a6974-607f-47d4-82d7-ff31d7dc53a5</vt:lpwstr>
  </property>
  <property fmtid="{D5CDD505-2E9C-101B-9397-08002B2CF9AE}" pid="7" name="MSIP_Label_4929bff8-5b33-42aa-95d2-28f72e792cb0_ActionId">
    <vt:lpwstr>ce79b941-5d83-4aff-9f8c-dec7677a21af</vt:lpwstr>
  </property>
  <property fmtid="{D5CDD505-2E9C-101B-9397-08002B2CF9AE}" pid="8" name="MSIP_Label_4929bff8-5b33-42aa-95d2-28f72e792cb0_ContentBits">
    <vt:lpwstr>0</vt:lpwstr>
  </property>
</Properties>
</file>