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02B82" w:rsidP="00602B82">
            <w:pPr>
              <w:rPr>
                <w:rFonts w:ascii="Arial" w:hAnsi="Arial" w:cs="Arial"/>
                <w:b/>
                <w:color w:val="002C47"/>
                <w:sz w:val="36"/>
                <w:szCs w:val="36"/>
              </w:rPr>
            </w:pPr>
            <w:r>
              <w:rPr>
                <w:rFonts w:ascii="Arial" w:hAnsi="Arial" w:cs="Arial"/>
                <w:b/>
                <w:color w:val="002C47"/>
                <w:sz w:val="36"/>
                <w:szCs w:val="36"/>
              </w:rPr>
              <w:t>June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602B82">
            <w:pPr>
              <w:pStyle w:val="Title"/>
              <w:rPr>
                <w:color w:val="FFFFFF" w:themeColor="background1"/>
              </w:rPr>
            </w:pPr>
            <w:r w:rsidRPr="00A964D1">
              <w:rPr>
                <w:color w:val="FFFFFF" w:themeColor="background1"/>
              </w:rPr>
              <w:t xml:space="preserve">Australian Public Assessment Report </w:t>
            </w:r>
            <w:r w:rsidRPr="00602B82">
              <w:rPr>
                <w:color w:val="FFFFFF" w:themeColor="background1"/>
              </w:rPr>
              <w:t xml:space="preserve">for </w:t>
            </w:r>
            <w:proofErr w:type="spellStart"/>
            <w:r w:rsidR="005A1D2B">
              <w:rPr>
                <w:color w:val="FFFFFF" w:themeColor="background1"/>
                <w:kern w:val="2"/>
              </w:rPr>
              <w:t>Omalizumab</w:t>
            </w:r>
            <w:proofErr w:type="spellEnd"/>
            <w:r w:rsidR="005A1D2B">
              <w:rPr>
                <w:color w:val="FFFFFF" w:themeColor="background1"/>
                <w:kern w:val="2"/>
              </w:rPr>
              <w:t xml:space="preserve"> </w:t>
            </w:r>
            <w:r w:rsidR="00D0027A">
              <w:rPr>
                <w:color w:val="FFFFFF" w:themeColor="background1"/>
                <w:kern w:val="2"/>
              </w:rPr>
              <w:t>(</w:t>
            </w:r>
            <w:proofErr w:type="spellStart"/>
            <w:r w:rsidR="00D0027A">
              <w:rPr>
                <w:color w:val="FFFFFF" w:themeColor="background1"/>
                <w:kern w:val="2"/>
              </w:rPr>
              <w:t>rch</w:t>
            </w:r>
            <w:proofErr w:type="spellEnd"/>
            <w:r w:rsidR="00D0027A">
              <w:rPr>
                <w:color w:val="FFFFFF" w:themeColor="background1"/>
                <w:kern w:val="2"/>
              </w:rPr>
              <w:t>)</w:t>
            </w:r>
          </w:p>
        </w:tc>
      </w:tr>
      <w:tr w:rsidR="0032583B" w:rsidRPr="00B64760" w:rsidTr="0032583B">
        <w:tc>
          <w:tcPr>
            <w:tcW w:w="9079" w:type="dxa"/>
          </w:tcPr>
          <w:p w:rsidR="0032583B" w:rsidRPr="00602B82" w:rsidRDefault="0032583B" w:rsidP="00602B82">
            <w:pPr>
              <w:pStyle w:val="Subtitle"/>
              <w:rPr>
                <w:color w:val="FFFFFF" w:themeColor="background1"/>
                <w:szCs w:val="40"/>
              </w:rPr>
            </w:pPr>
            <w:r w:rsidRPr="00602B82">
              <w:rPr>
                <w:color w:val="FFFFFF" w:themeColor="background1"/>
                <w:szCs w:val="40"/>
              </w:rPr>
              <w:t xml:space="preserve">Proprietary Product Name: </w:t>
            </w:r>
            <w:r w:rsidR="00602B82" w:rsidRPr="00602B82">
              <w:rPr>
                <w:color w:val="FFFFFF" w:themeColor="background1"/>
                <w:szCs w:val="40"/>
              </w:rPr>
              <w:t>Xolair</w:t>
            </w:r>
          </w:p>
        </w:tc>
      </w:tr>
      <w:tr w:rsidR="0032583B" w:rsidRPr="00B64760" w:rsidTr="0032583B">
        <w:trPr>
          <w:trHeight w:val="486"/>
        </w:trPr>
        <w:tc>
          <w:tcPr>
            <w:tcW w:w="9079" w:type="dxa"/>
          </w:tcPr>
          <w:p w:rsidR="0032583B" w:rsidRPr="00602B82" w:rsidRDefault="0032583B" w:rsidP="0032583B">
            <w:pPr>
              <w:pStyle w:val="Subtitle"/>
              <w:rPr>
                <w:color w:val="FFFFFF" w:themeColor="background1"/>
                <w:szCs w:val="40"/>
              </w:rPr>
            </w:pPr>
            <w:r w:rsidRPr="00602B82">
              <w:rPr>
                <w:color w:val="FFFFFF" w:themeColor="background1"/>
                <w:szCs w:val="40"/>
              </w:rPr>
              <w:t xml:space="preserve">Sponsor: </w:t>
            </w:r>
            <w:r w:rsidR="00602B82" w:rsidRPr="00602B82">
              <w:rPr>
                <w:color w:val="FFFFFF" w:themeColor="background1"/>
                <w:kern w:val="2"/>
                <w:szCs w:val="40"/>
              </w:rPr>
              <w:t>Novartis Pharmaceuticals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E6162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E6162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E6162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6162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E61628">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E61628">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E61628">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E61628">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61628">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E61628">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E337E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54447829" w:history="1">
            <w:r w:rsidR="00E337EC" w:rsidRPr="008178C9">
              <w:rPr>
                <w:rStyle w:val="Hyperlink"/>
                <w:noProof/>
              </w:rPr>
              <w:t>Common abbreviations</w:t>
            </w:r>
            <w:r w:rsidR="00E337EC">
              <w:rPr>
                <w:noProof/>
                <w:webHidden/>
              </w:rPr>
              <w:tab/>
            </w:r>
            <w:r w:rsidR="00E337EC">
              <w:rPr>
                <w:noProof/>
                <w:webHidden/>
              </w:rPr>
              <w:fldChar w:fldCharType="begin"/>
            </w:r>
            <w:r w:rsidR="00E337EC">
              <w:rPr>
                <w:noProof/>
                <w:webHidden/>
              </w:rPr>
              <w:instrText xml:space="preserve"> PAGEREF _Toc454447829 \h </w:instrText>
            </w:r>
            <w:r w:rsidR="00E337EC">
              <w:rPr>
                <w:noProof/>
                <w:webHidden/>
              </w:rPr>
            </w:r>
            <w:r w:rsidR="00E337EC">
              <w:rPr>
                <w:noProof/>
                <w:webHidden/>
              </w:rPr>
              <w:fldChar w:fldCharType="separate"/>
            </w:r>
            <w:r w:rsidR="00E337EC">
              <w:rPr>
                <w:noProof/>
                <w:webHidden/>
              </w:rPr>
              <w:t>5</w:t>
            </w:r>
            <w:r w:rsidR="00E337EC">
              <w:rPr>
                <w:noProof/>
                <w:webHidden/>
              </w:rPr>
              <w:fldChar w:fldCharType="end"/>
            </w:r>
          </w:hyperlink>
        </w:p>
        <w:p w:rsidR="00E337EC" w:rsidRDefault="00E337EC">
          <w:pPr>
            <w:pStyle w:val="TOC2"/>
            <w:rPr>
              <w:rFonts w:asciiTheme="minorHAnsi" w:eastAsiaTheme="minorEastAsia" w:hAnsiTheme="minorHAnsi" w:cstheme="minorBidi"/>
              <w:b w:val="0"/>
              <w:noProof/>
              <w:sz w:val="22"/>
              <w:lang w:eastAsia="en-AU"/>
            </w:rPr>
          </w:pPr>
          <w:hyperlink w:anchor="_Toc454447830" w:history="1">
            <w:r w:rsidRPr="008178C9">
              <w:rPr>
                <w:rStyle w:val="Hyperlink"/>
                <w:noProof/>
              </w:rPr>
              <w:t>I. Introduction to product submission</w:t>
            </w:r>
            <w:r>
              <w:rPr>
                <w:noProof/>
                <w:webHidden/>
              </w:rPr>
              <w:tab/>
            </w:r>
            <w:r>
              <w:rPr>
                <w:noProof/>
                <w:webHidden/>
              </w:rPr>
              <w:fldChar w:fldCharType="begin"/>
            </w:r>
            <w:r>
              <w:rPr>
                <w:noProof/>
                <w:webHidden/>
              </w:rPr>
              <w:instrText xml:space="preserve"> PAGEREF _Toc454447830 \h </w:instrText>
            </w:r>
            <w:r>
              <w:rPr>
                <w:noProof/>
                <w:webHidden/>
              </w:rPr>
            </w:r>
            <w:r>
              <w:rPr>
                <w:noProof/>
                <w:webHidden/>
              </w:rPr>
              <w:fldChar w:fldCharType="separate"/>
            </w:r>
            <w:r>
              <w:rPr>
                <w:noProof/>
                <w:webHidden/>
              </w:rPr>
              <w:t>8</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31" w:history="1">
            <w:r w:rsidRPr="008178C9">
              <w:rPr>
                <w:rStyle w:val="Hyperlink"/>
                <w:noProof/>
                <w:lang w:eastAsia="en-AU"/>
              </w:rPr>
              <w:t>Submission details</w:t>
            </w:r>
            <w:r>
              <w:rPr>
                <w:noProof/>
                <w:webHidden/>
              </w:rPr>
              <w:tab/>
            </w:r>
            <w:r>
              <w:rPr>
                <w:noProof/>
                <w:webHidden/>
              </w:rPr>
              <w:fldChar w:fldCharType="begin"/>
            </w:r>
            <w:r>
              <w:rPr>
                <w:noProof/>
                <w:webHidden/>
              </w:rPr>
              <w:instrText xml:space="preserve"> PAGEREF _Toc454447831 \h </w:instrText>
            </w:r>
            <w:r>
              <w:rPr>
                <w:noProof/>
                <w:webHidden/>
              </w:rPr>
            </w:r>
            <w:r>
              <w:rPr>
                <w:noProof/>
                <w:webHidden/>
              </w:rPr>
              <w:fldChar w:fldCharType="separate"/>
            </w:r>
            <w:r>
              <w:rPr>
                <w:noProof/>
                <w:webHidden/>
              </w:rPr>
              <w:t>8</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32" w:history="1">
            <w:r w:rsidRPr="008178C9">
              <w:rPr>
                <w:rStyle w:val="Hyperlink"/>
                <w:noProof/>
              </w:rPr>
              <w:t>Product background</w:t>
            </w:r>
            <w:r>
              <w:rPr>
                <w:noProof/>
                <w:webHidden/>
              </w:rPr>
              <w:tab/>
            </w:r>
            <w:r>
              <w:rPr>
                <w:noProof/>
                <w:webHidden/>
              </w:rPr>
              <w:fldChar w:fldCharType="begin"/>
            </w:r>
            <w:r>
              <w:rPr>
                <w:noProof/>
                <w:webHidden/>
              </w:rPr>
              <w:instrText xml:space="preserve"> PAGEREF _Toc454447832 \h </w:instrText>
            </w:r>
            <w:r>
              <w:rPr>
                <w:noProof/>
                <w:webHidden/>
              </w:rPr>
            </w:r>
            <w:r>
              <w:rPr>
                <w:noProof/>
                <w:webHidden/>
              </w:rPr>
              <w:fldChar w:fldCharType="separate"/>
            </w:r>
            <w:r>
              <w:rPr>
                <w:noProof/>
                <w:webHidden/>
              </w:rPr>
              <w:t>9</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33" w:history="1">
            <w:r w:rsidRPr="008178C9">
              <w:rPr>
                <w:rStyle w:val="Hyperlink"/>
                <w:noProof/>
              </w:rPr>
              <w:t>Regulatory status</w:t>
            </w:r>
            <w:r>
              <w:rPr>
                <w:noProof/>
                <w:webHidden/>
              </w:rPr>
              <w:tab/>
            </w:r>
            <w:r>
              <w:rPr>
                <w:noProof/>
                <w:webHidden/>
              </w:rPr>
              <w:fldChar w:fldCharType="begin"/>
            </w:r>
            <w:r>
              <w:rPr>
                <w:noProof/>
                <w:webHidden/>
              </w:rPr>
              <w:instrText xml:space="preserve"> PAGEREF _Toc454447833 \h </w:instrText>
            </w:r>
            <w:r>
              <w:rPr>
                <w:noProof/>
                <w:webHidden/>
              </w:rPr>
            </w:r>
            <w:r>
              <w:rPr>
                <w:noProof/>
                <w:webHidden/>
              </w:rPr>
              <w:fldChar w:fldCharType="separate"/>
            </w:r>
            <w:r>
              <w:rPr>
                <w:noProof/>
                <w:webHidden/>
              </w:rPr>
              <w:t>10</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34" w:history="1">
            <w:r w:rsidRPr="008178C9">
              <w:rPr>
                <w:rStyle w:val="Hyperlink"/>
                <w:noProof/>
              </w:rPr>
              <w:t>Product Information</w:t>
            </w:r>
            <w:r>
              <w:rPr>
                <w:noProof/>
                <w:webHidden/>
              </w:rPr>
              <w:tab/>
            </w:r>
            <w:r>
              <w:rPr>
                <w:noProof/>
                <w:webHidden/>
              </w:rPr>
              <w:fldChar w:fldCharType="begin"/>
            </w:r>
            <w:r>
              <w:rPr>
                <w:noProof/>
                <w:webHidden/>
              </w:rPr>
              <w:instrText xml:space="preserve"> PAGEREF _Toc454447834 \h </w:instrText>
            </w:r>
            <w:r>
              <w:rPr>
                <w:noProof/>
                <w:webHidden/>
              </w:rPr>
            </w:r>
            <w:r>
              <w:rPr>
                <w:noProof/>
                <w:webHidden/>
              </w:rPr>
              <w:fldChar w:fldCharType="separate"/>
            </w:r>
            <w:r>
              <w:rPr>
                <w:noProof/>
                <w:webHidden/>
              </w:rPr>
              <w:t>12</w:t>
            </w:r>
            <w:r>
              <w:rPr>
                <w:noProof/>
                <w:webHidden/>
              </w:rPr>
              <w:fldChar w:fldCharType="end"/>
            </w:r>
          </w:hyperlink>
        </w:p>
        <w:p w:rsidR="00E337EC" w:rsidRDefault="00E337EC">
          <w:pPr>
            <w:pStyle w:val="TOC2"/>
            <w:rPr>
              <w:rFonts w:asciiTheme="minorHAnsi" w:eastAsiaTheme="minorEastAsia" w:hAnsiTheme="minorHAnsi" w:cstheme="minorBidi"/>
              <w:b w:val="0"/>
              <w:noProof/>
              <w:sz w:val="22"/>
              <w:lang w:eastAsia="en-AU"/>
            </w:rPr>
          </w:pPr>
          <w:hyperlink w:anchor="_Toc454447835" w:history="1">
            <w:r w:rsidRPr="008178C9">
              <w:rPr>
                <w:rStyle w:val="Hyperlink"/>
                <w:noProof/>
              </w:rPr>
              <w:t>II. Quality findings</w:t>
            </w:r>
            <w:r>
              <w:rPr>
                <w:noProof/>
                <w:webHidden/>
              </w:rPr>
              <w:tab/>
            </w:r>
            <w:r>
              <w:rPr>
                <w:noProof/>
                <w:webHidden/>
              </w:rPr>
              <w:fldChar w:fldCharType="begin"/>
            </w:r>
            <w:r>
              <w:rPr>
                <w:noProof/>
                <w:webHidden/>
              </w:rPr>
              <w:instrText xml:space="preserve"> PAGEREF _Toc454447835 \h </w:instrText>
            </w:r>
            <w:r>
              <w:rPr>
                <w:noProof/>
                <w:webHidden/>
              </w:rPr>
            </w:r>
            <w:r>
              <w:rPr>
                <w:noProof/>
                <w:webHidden/>
              </w:rPr>
              <w:fldChar w:fldCharType="separate"/>
            </w:r>
            <w:r>
              <w:rPr>
                <w:noProof/>
                <w:webHidden/>
              </w:rPr>
              <w:t>12</w:t>
            </w:r>
            <w:r>
              <w:rPr>
                <w:noProof/>
                <w:webHidden/>
              </w:rPr>
              <w:fldChar w:fldCharType="end"/>
            </w:r>
          </w:hyperlink>
        </w:p>
        <w:p w:rsidR="00E337EC" w:rsidRDefault="00E337EC">
          <w:pPr>
            <w:pStyle w:val="TOC2"/>
            <w:rPr>
              <w:rFonts w:asciiTheme="minorHAnsi" w:eastAsiaTheme="minorEastAsia" w:hAnsiTheme="minorHAnsi" w:cstheme="minorBidi"/>
              <w:b w:val="0"/>
              <w:noProof/>
              <w:sz w:val="22"/>
              <w:lang w:eastAsia="en-AU"/>
            </w:rPr>
          </w:pPr>
          <w:hyperlink w:anchor="_Toc454447836" w:history="1">
            <w:r w:rsidRPr="008178C9">
              <w:rPr>
                <w:rStyle w:val="Hyperlink"/>
                <w:noProof/>
              </w:rPr>
              <w:t>III. Nonclinical findings</w:t>
            </w:r>
            <w:r>
              <w:rPr>
                <w:noProof/>
                <w:webHidden/>
              </w:rPr>
              <w:tab/>
            </w:r>
            <w:r>
              <w:rPr>
                <w:noProof/>
                <w:webHidden/>
              </w:rPr>
              <w:fldChar w:fldCharType="begin"/>
            </w:r>
            <w:r>
              <w:rPr>
                <w:noProof/>
                <w:webHidden/>
              </w:rPr>
              <w:instrText xml:space="preserve"> PAGEREF _Toc454447836 \h </w:instrText>
            </w:r>
            <w:r>
              <w:rPr>
                <w:noProof/>
                <w:webHidden/>
              </w:rPr>
            </w:r>
            <w:r>
              <w:rPr>
                <w:noProof/>
                <w:webHidden/>
              </w:rPr>
              <w:fldChar w:fldCharType="separate"/>
            </w:r>
            <w:r>
              <w:rPr>
                <w:noProof/>
                <w:webHidden/>
              </w:rPr>
              <w:t>12</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37" w:history="1">
            <w:r w:rsidRPr="008178C9">
              <w:rPr>
                <w:rStyle w:val="Hyperlink"/>
                <w:noProof/>
              </w:rPr>
              <w:t>Introduction</w:t>
            </w:r>
            <w:r>
              <w:rPr>
                <w:noProof/>
                <w:webHidden/>
              </w:rPr>
              <w:tab/>
            </w:r>
            <w:r>
              <w:rPr>
                <w:noProof/>
                <w:webHidden/>
              </w:rPr>
              <w:fldChar w:fldCharType="begin"/>
            </w:r>
            <w:r>
              <w:rPr>
                <w:noProof/>
                <w:webHidden/>
              </w:rPr>
              <w:instrText xml:space="preserve"> PAGEREF _Toc454447837 \h </w:instrText>
            </w:r>
            <w:r>
              <w:rPr>
                <w:noProof/>
                <w:webHidden/>
              </w:rPr>
            </w:r>
            <w:r>
              <w:rPr>
                <w:noProof/>
                <w:webHidden/>
              </w:rPr>
              <w:fldChar w:fldCharType="separate"/>
            </w:r>
            <w:r>
              <w:rPr>
                <w:noProof/>
                <w:webHidden/>
              </w:rPr>
              <w:t>12</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38" w:history="1">
            <w:r w:rsidRPr="008178C9">
              <w:rPr>
                <w:rStyle w:val="Hyperlink"/>
                <w:noProof/>
              </w:rPr>
              <w:t>Toxicology</w:t>
            </w:r>
            <w:r>
              <w:rPr>
                <w:noProof/>
                <w:webHidden/>
              </w:rPr>
              <w:tab/>
            </w:r>
            <w:r>
              <w:rPr>
                <w:noProof/>
                <w:webHidden/>
              </w:rPr>
              <w:fldChar w:fldCharType="begin"/>
            </w:r>
            <w:r>
              <w:rPr>
                <w:noProof/>
                <w:webHidden/>
              </w:rPr>
              <w:instrText xml:space="preserve"> PAGEREF _Toc454447838 \h </w:instrText>
            </w:r>
            <w:r>
              <w:rPr>
                <w:noProof/>
                <w:webHidden/>
              </w:rPr>
            </w:r>
            <w:r>
              <w:rPr>
                <w:noProof/>
                <w:webHidden/>
              </w:rPr>
              <w:fldChar w:fldCharType="separate"/>
            </w:r>
            <w:r>
              <w:rPr>
                <w:noProof/>
                <w:webHidden/>
              </w:rPr>
              <w:t>14</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39" w:history="1">
            <w:r w:rsidRPr="008178C9">
              <w:rPr>
                <w:rStyle w:val="Hyperlink"/>
                <w:noProof/>
              </w:rPr>
              <w:t>Nonclinical summary and conclusions</w:t>
            </w:r>
            <w:r>
              <w:rPr>
                <w:noProof/>
                <w:webHidden/>
              </w:rPr>
              <w:tab/>
            </w:r>
            <w:r>
              <w:rPr>
                <w:noProof/>
                <w:webHidden/>
              </w:rPr>
              <w:fldChar w:fldCharType="begin"/>
            </w:r>
            <w:r>
              <w:rPr>
                <w:noProof/>
                <w:webHidden/>
              </w:rPr>
              <w:instrText xml:space="preserve"> PAGEREF _Toc454447839 \h </w:instrText>
            </w:r>
            <w:r>
              <w:rPr>
                <w:noProof/>
                <w:webHidden/>
              </w:rPr>
            </w:r>
            <w:r>
              <w:rPr>
                <w:noProof/>
                <w:webHidden/>
              </w:rPr>
              <w:fldChar w:fldCharType="separate"/>
            </w:r>
            <w:r>
              <w:rPr>
                <w:noProof/>
                <w:webHidden/>
              </w:rPr>
              <w:t>15</w:t>
            </w:r>
            <w:r>
              <w:rPr>
                <w:noProof/>
                <w:webHidden/>
              </w:rPr>
              <w:fldChar w:fldCharType="end"/>
            </w:r>
          </w:hyperlink>
        </w:p>
        <w:p w:rsidR="00E337EC" w:rsidRDefault="00E337EC">
          <w:pPr>
            <w:pStyle w:val="TOC2"/>
            <w:rPr>
              <w:rFonts w:asciiTheme="minorHAnsi" w:eastAsiaTheme="minorEastAsia" w:hAnsiTheme="minorHAnsi" w:cstheme="minorBidi"/>
              <w:b w:val="0"/>
              <w:noProof/>
              <w:sz w:val="22"/>
              <w:lang w:eastAsia="en-AU"/>
            </w:rPr>
          </w:pPr>
          <w:hyperlink w:anchor="_Toc454447840" w:history="1">
            <w:r w:rsidRPr="008178C9">
              <w:rPr>
                <w:rStyle w:val="Hyperlink"/>
                <w:noProof/>
              </w:rPr>
              <w:t>IV. Clinical findings</w:t>
            </w:r>
            <w:r>
              <w:rPr>
                <w:noProof/>
                <w:webHidden/>
              </w:rPr>
              <w:tab/>
            </w:r>
            <w:r>
              <w:rPr>
                <w:noProof/>
                <w:webHidden/>
              </w:rPr>
              <w:fldChar w:fldCharType="begin"/>
            </w:r>
            <w:r>
              <w:rPr>
                <w:noProof/>
                <w:webHidden/>
              </w:rPr>
              <w:instrText xml:space="preserve"> PAGEREF _Toc454447840 \h </w:instrText>
            </w:r>
            <w:r>
              <w:rPr>
                <w:noProof/>
                <w:webHidden/>
              </w:rPr>
            </w:r>
            <w:r>
              <w:rPr>
                <w:noProof/>
                <w:webHidden/>
              </w:rPr>
              <w:fldChar w:fldCharType="separate"/>
            </w:r>
            <w:r>
              <w:rPr>
                <w:noProof/>
                <w:webHidden/>
              </w:rPr>
              <w:t>15</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1" w:history="1">
            <w:r w:rsidRPr="008178C9">
              <w:rPr>
                <w:rStyle w:val="Hyperlink"/>
                <w:noProof/>
              </w:rPr>
              <w:t>Introduction</w:t>
            </w:r>
            <w:r>
              <w:rPr>
                <w:noProof/>
                <w:webHidden/>
              </w:rPr>
              <w:tab/>
            </w:r>
            <w:r>
              <w:rPr>
                <w:noProof/>
                <w:webHidden/>
              </w:rPr>
              <w:fldChar w:fldCharType="begin"/>
            </w:r>
            <w:r>
              <w:rPr>
                <w:noProof/>
                <w:webHidden/>
              </w:rPr>
              <w:instrText xml:space="preserve"> PAGEREF _Toc454447841 \h </w:instrText>
            </w:r>
            <w:r>
              <w:rPr>
                <w:noProof/>
                <w:webHidden/>
              </w:rPr>
            </w:r>
            <w:r>
              <w:rPr>
                <w:noProof/>
                <w:webHidden/>
              </w:rPr>
              <w:fldChar w:fldCharType="separate"/>
            </w:r>
            <w:r>
              <w:rPr>
                <w:noProof/>
                <w:webHidden/>
              </w:rPr>
              <w:t>15</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2" w:history="1">
            <w:r w:rsidRPr="008178C9">
              <w:rPr>
                <w:rStyle w:val="Hyperlink"/>
                <w:noProof/>
              </w:rPr>
              <w:t>Pharmacokinetics</w:t>
            </w:r>
            <w:r>
              <w:rPr>
                <w:noProof/>
                <w:webHidden/>
              </w:rPr>
              <w:tab/>
            </w:r>
            <w:r>
              <w:rPr>
                <w:noProof/>
                <w:webHidden/>
              </w:rPr>
              <w:fldChar w:fldCharType="begin"/>
            </w:r>
            <w:r>
              <w:rPr>
                <w:noProof/>
                <w:webHidden/>
              </w:rPr>
              <w:instrText xml:space="preserve"> PAGEREF _Toc454447842 \h </w:instrText>
            </w:r>
            <w:r>
              <w:rPr>
                <w:noProof/>
                <w:webHidden/>
              </w:rPr>
            </w:r>
            <w:r>
              <w:rPr>
                <w:noProof/>
                <w:webHidden/>
              </w:rPr>
              <w:fldChar w:fldCharType="separate"/>
            </w:r>
            <w:r>
              <w:rPr>
                <w:noProof/>
                <w:webHidden/>
              </w:rPr>
              <w:t>16</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3" w:history="1">
            <w:r w:rsidRPr="008178C9">
              <w:rPr>
                <w:rStyle w:val="Hyperlink"/>
                <w:noProof/>
              </w:rPr>
              <w:t>Pharmacodynamics</w:t>
            </w:r>
            <w:r>
              <w:rPr>
                <w:noProof/>
                <w:webHidden/>
              </w:rPr>
              <w:tab/>
            </w:r>
            <w:r>
              <w:rPr>
                <w:noProof/>
                <w:webHidden/>
              </w:rPr>
              <w:fldChar w:fldCharType="begin"/>
            </w:r>
            <w:r>
              <w:rPr>
                <w:noProof/>
                <w:webHidden/>
              </w:rPr>
              <w:instrText xml:space="preserve"> PAGEREF _Toc454447843 \h </w:instrText>
            </w:r>
            <w:r>
              <w:rPr>
                <w:noProof/>
                <w:webHidden/>
              </w:rPr>
            </w:r>
            <w:r>
              <w:rPr>
                <w:noProof/>
                <w:webHidden/>
              </w:rPr>
              <w:fldChar w:fldCharType="separate"/>
            </w:r>
            <w:r>
              <w:rPr>
                <w:noProof/>
                <w:webHidden/>
              </w:rPr>
              <w:t>17</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4" w:history="1">
            <w:r w:rsidRPr="008178C9">
              <w:rPr>
                <w:rStyle w:val="Hyperlink"/>
                <w:noProof/>
              </w:rPr>
              <w:t>Dosage selection for the pivotal studies</w:t>
            </w:r>
            <w:r>
              <w:rPr>
                <w:noProof/>
                <w:webHidden/>
              </w:rPr>
              <w:tab/>
            </w:r>
            <w:r>
              <w:rPr>
                <w:noProof/>
                <w:webHidden/>
              </w:rPr>
              <w:fldChar w:fldCharType="begin"/>
            </w:r>
            <w:r>
              <w:rPr>
                <w:noProof/>
                <w:webHidden/>
              </w:rPr>
              <w:instrText xml:space="preserve"> PAGEREF _Toc454447844 \h </w:instrText>
            </w:r>
            <w:r>
              <w:rPr>
                <w:noProof/>
                <w:webHidden/>
              </w:rPr>
            </w:r>
            <w:r>
              <w:rPr>
                <w:noProof/>
                <w:webHidden/>
              </w:rPr>
              <w:fldChar w:fldCharType="separate"/>
            </w:r>
            <w:r>
              <w:rPr>
                <w:noProof/>
                <w:webHidden/>
              </w:rPr>
              <w:t>17</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5" w:history="1">
            <w:r w:rsidRPr="008178C9">
              <w:rPr>
                <w:rStyle w:val="Hyperlink"/>
                <w:noProof/>
              </w:rPr>
              <w:t>Efficacy</w:t>
            </w:r>
            <w:r>
              <w:rPr>
                <w:noProof/>
                <w:webHidden/>
              </w:rPr>
              <w:tab/>
            </w:r>
            <w:r>
              <w:rPr>
                <w:noProof/>
                <w:webHidden/>
              </w:rPr>
              <w:fldChar w:fldCharType="begin"/>
            </w:r>
            <w:r>
              <w:rPr>
                <w:noProof/>
                <w:webHidden/>
              </w:rPr>
              <w:instrText xml:space="preserve"> PAGEREF _Toc454447845 \h </w:instrText>
            </w:r>
            <w:r>
              <w:rPr>
                <w:noProof/>
                <w:webHidden/>
              </w:rPr>
            </w:r>
            <w:r>
              <w:rPr>
                <w:noProof/>
                <w:webHidden/>
              </w:rPr>
              <w:fldChar w:fldCharType="separate"/>
            </w:r>
            <w:r>
              <w:rPr>
                <w:noProof/>
                <w:webHidden/>
              </w:rPr>
              <w:t>18</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6" w:history="1">
            <w:r w:rsidRPr="008178C9">
              <w:rPr>
                <w:rStyle w:val="Hyperlink"/>
                <w:noProof/>
              </w:rPr>
              <w:t>Safety</w:t>
            </w:r>
            <w:r>
              <w:rPr>
                <w:noProof/>
                <w:webHidden/>
              </w:rPr>
              <w:tab/>
            </w:r>
            <w:r>
              <w:rPr>
                <w:noProof/>
                <w:webHidden/>
              </w:rPr>
              <w:fldChar w:fldCharType="begin"/>
            </w:r>
            <w:r>
              <w:rPr>
                <w:noProof/>
                <w:webHidden/>
              </w:rPr>
              <w:instrText xml:space="preserve"> PAGEREF _Toc454447846 \h </w:instrText>
            </w:r>
            <w:r>
              <w:rPr>
                <w:noProof/>
                <w:webHidden/>
              </w:rPr>
            </w:r>
            <w:r>
              <w:rPr>
                <w:noProof/>
                <w:webHidden/>
              </w:rPr>
              <w:fldChar w:fldCharType="separate"/>
            </w:r>
            <w:r>
              <w:rPr>
                <w:noProof/>
                <w:webHidden/>
              </w:rPr>
              <w:t>20</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7" w:history="1">
            <w:r w:rsidRPr="008178C9">
              <w:rPr>
                <w:rStyle w:val="Hyperlink"/>
                <w:noProof/>
              </w:rPr>
              <w:t>First round benefit-risk assessment</w:t>
            </w:r>
            <w:r>
              <w:rPr>
                <w:noProof/>
                <w:webHidden/>
              </w:rPr>
              <w:tab/>
            </w:r>
            <w:r>
              <w:rPr>
                <w:noProof/>
                <w:webHidden/>
              </w:rPr>
              <w:fldChar w:fldCharType="begin"/>
            </w:r>
            <w:r>
              <w:rPr>
                <w:noProof/>
                <w:webHidden/>
              </w:rPr>
              <w:instrText xml:space="preserve"> PAGEREF _Toc454447847 \h </w:instrText>
            </w:r>
            <w:r>
              <w:rPr>
                <w:noProof/>
                <w:webHidden/>
              </w:rPr>
            </w:r>
            <w:r>
              <w:rPr>
                <w:noProof/>
                <w:webHidden/>
              </w:rPr>
              <w:fldChar w:fldCharType="separate"/>
            </w:r>
            <w:r>
              <w:rPr>
                <w:noProof/>
                <w:webHidden/>
              </w:rPr>
              <w:t>25</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8" w:history="1">
            <w:r w:rsidRPr="008178C9">
              <w:rPr>
                <w:rStyle w:val="Hyperlink"/>
                <w:noProof/>
              </w:rPr>
              <w:t>Clinical questions</w:t>
            </w:r>
            <w:r>
              <w:rPr>
                <w:noProof/>
                <w:webHidden/>
              </w:rPr>
              <w:tab/>
            </w:r>
            <w:r>
              <w:rPr>
                <w:noProof/>
                <w:webHidden/>
              </w:rPr>
              <w:fldChar w:fldCharType="begin"/>
            </w:r>
            <w:r>
              <w:rPr>
                <w:noProof/>
                <w:webHidden/>
              </w:rPr>
              <w:instrText xml:space="preserve"> PAGEREF _Toc454447848 \h </w:instrText>
            </w:r>
            <w:r>
              <w:rPr>
                <w:noProof/>
                <w:webHidden/>
              </w:rPr>
            </w:r>
            <w:r>
              <w:rPr>
                <w:noProof/>
                <w:webHidden/>
              </w:rPr>
              <w:fldChar w:fldCharType="separate"/>
            </w:r>
            <w:r>
              <w:rPr>
                <w:noProof/>
                <w:webHidden/>
              </w:rPr>
              <w:t>27</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49" w:history="1">
            <w:r w:rsidRPr="008178C9">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_Toc454447849 \h </w:instrText>
            </w:r>
            <w:r>
              <w:rPr>
                <w:noProof/>
                <w:webHidden/>
              </w:rPr>
            </w:r>
            <w:r>
              <w:rPr>
                <w:noProof/>
                <w:webHidden/>
              </w:rPr>
              <w:fldChar w:fldCharType="separate"/>
            </w:r>
            <w:r>
              <w:rPr>
                <w:noProof/>
                <w:webHidden/>
              </w:rPr>
              <w:t>27</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50" w:history="1">
            <w:r w:rsidRPr="008178C9">
              <w:rPr>
                <w:rStyle w:val="Hyperlink"/>
                <w:noProof/>
              </w:rPr>
              <w:t>Second round benefit-risk assessment</w:t>
            </w:r>
            <w:r>
              <w:rPr>
                <w:noProof/>
                <w:webHidden/>
              </w:rPr>
              <w:tab/>
            </w:r>
            <w:r>
              <w:rPr>
                <w:noProof/>
                <w:webHidden/>
              </w:rPr>
              <w:fldChar w:fldCharType="begin"/>
            </w:r>
            <w:r>
              <w:rPr>
                <w:noProof/>
                <w:webHidden/>
              </w:rPr>
              <w:instrText xml:space="preserve"> PAGEREF _Toc454447850 \h </w:instrText>
            </w:r>
            <w:r>
              <w:rPr>
                <w:noProof/>
                <w:webHidden/>
              </w:rPr>
            </w:r>
            <w:r>
              <w:rPr>
                <w:noProof/>
                <w:webHidden/>
              </w:rPr>
              <w:fldChar w:fldCharType="separate"/>
            </w:r>
            <w:r>
              <w:rPr>
                <w:noProof/>
                <w:webHidden/>
              </w:rPr>
              <w:t>30</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51" w:history="1">
            <w:r w:rsidRPr="008178C9">
              <w:rPr>
                <w:rStyle w:val="Hyperlink"/>
                <w:noProof/>
              </w:rPr>
              <w:t>Second round recommendation regarding authorisation</w:t>
            </w:r>
            <w:r>
              <w:rPr>
                <w:noProof/>
                <w:webHidden/>
              </w:rPr>
              <w:tab/>
            </w:r>
            <w:r>
              <w:rPr>
                <w:noProof/>
                <w:webHidden/>
              </w:rPr>
              <w:fldChar w:fldCharType="begin"/>
            </w:r>
            <w:r>
              <w:rPr>
                <w:noProof/>
                <w:webHidden/>
              </w:rPr>
              <w:instrText xml:space="preserve"> PAGEREF _Toc454447851 \h </w:instrText>
            </w:r>
            <w:r>
              <w:rPr>
                <w:noProof/>
                <w:webHidden/>
              </w:rPr>
            </w:r>
            <w:r>
              <w:rPr>
                <w:noProof/>
                <w:webHidden/>
              </w:rPr>
              <w:fldChar w:fldCharType="separate"/>
            </w:r>
            <w:r>
              <w:rPr>
                <w:noProof/>
                <w:webHidden/>
              </w:rPr>
              <w:t>30</w:t>
            </w:r>
            <w:r>
              <w:rPr>
                <w:noProof/>
                <w:webHidden/>
              </w:rPr>
              <w:fldChar w:fldCharType="end"/>
            </w:r>
          </w:hyperlink>
        </w:p>
        <w:p w:rsidR="00E337EC" w:rsidRDefault="00E337EC">
          <w:pPr>
            <w:pStyle w:val="TOC2"/>
            <w:rPr>
              <w:rFonts w:asciiTheme="minorHAnsi" w:eastAsiaTheme="minorEastAsia" w:hAnsiTheme="minorHAnsi" w:cstheme="minorBidi"/>
              <w:b w:val="0"/>
              <w:noProof/>
              <w:sz w:val="22"/>
              <w:lang w:eastAsia="en-AU"/>
            </w:rPr>
          </w:pPr>
          <w:hyperlink w:anchor="_Toc454447852" w:history="1">
            <w:r w:rsidRPr="008178C9">
              <w:rPr>
                <w:rStyle w:val="Hyperlink"/>
                <w:noProof/>
              </w:rPr>
              <w:t>V. Pharmacovigilance findings</w:t>
            </w:r>
            <w:r>
              <w:rPr>
                <w:noProof/>
                <w:webHidden/>
              </w:rPr>
              <w:tab/>
            </w:r>
            <w:r>
              <w:rPr>
                <w:noProof/>
                <w:webHidden/>
              </w:rPr>
              <w:fldChar w:fldCharType="begin"/>
            </w:r>
            <w:r>
              <w:rPr>
                <w:noProof/>
                <w:webHidden/>
              </w:rPr>
              <w:instrText xml:space="preserve"> PAGEREF _Toc454447852 \h </w:instrText>
            </w:r>
            <w:r>
              <w:rPr>
                <w:noProof/>
                <w:webHidden/>
              </w:rPr>
            </w:r>
            <w:r>
              <w:rPr>
                <w:noProof/>
                <w:webHidden/>
              </w:rPr>
              <w:fldChar w:fldCharType="separate"/>
            </w:r>
            <w:r>
              <w:rPr>
                <w:noProof/>
                <w:webHidden/>
              </w:rPr>
              <w:t>30</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53" w:history="1">
            <w:r w:rsidRPr="008178C9">
              <w:rPr>
                <w:rStyle w:val="Hyperlink"/>
                <w:noProof/>
                <w:lang w:eastAsia="en-AU"/>
              </w:rPr>
              <w:t>Risk management plan</w:t>
            </w:r>
            <w:r>
              <w:rPr>
                <w:noProof/>
                <w:webHidden/>
              </w:rPr>
              <w:tab/>
            </w:r>
            <w:r>
              <w:rPr>
                <w:noProof/>
                <w:webHidden/>
              </w:rPr>
              <w:fldChar w:fldCharType="begin"/>
            </w:r>
            <w:r>
              <w:rPr>
                <w:noProof/>
                <w:webHidden/>
              </w:rPr>
              <w:instrText xml:space="preserve"> PAGEREF _Toc454447853 \h </w:instrText>
            </w:r>
            <w:r>
              <w:rPr>
                <w:noProof/>
                <w:webHidden/>
              </w:rPr>
            </w:r>
            <w:r>
              <w:rPr>
                <w:noProof/>
                <w:webHidden/>
              </w:rPr>
              <w:fldChar w:fldCharType="separate"/>
            </w:r>
            <w:r>
              <w:rPr>
                <w:noProof/>
                <w:webHidden/>
              </w:rPr>
              <w:t>30</w:t>
            </w:r>
            <w:r>
              <w:rPr>
                <w:noProof/>
                <w:webHidden/>
              </w:rPr>
              <w:fldChar w:fldCharType="end"/>
            </w:r>
          </w:hyperlink>
        </w:p>
        <w:p w:rsidR="00E337EC" w:rsidRDefault="00E337EC">
          <w:pPr>
            <w:pStyle w:val="TOC2"/>
            <w:rPr>
              <w:rFonts w:asciiTheme="minorHAnsi" w:eastAsiaTheme="minorEastAsia" w:hAnsiTheme="minorHAnsi" w:cstheme="minorBidi"/>
              <w:b w:val="0"/>
              <w:noProof/>
              <w:sz w:val="22"/>
              <w:lang w:eastAsia="en-AU"/>
            </w:rPr>
          </w:pPr>
          <w:hyperlink w:anchor="_Toc454447854" w:history="1">
            <w:r w:rsidRPr="008178C9">
              <w:rPr>
                <w:rStyle w:val="Hyperlink"/>
                <w:noProof/>
              </w:rPr>
              <w:t>VI. Overall conclusion and risk/benefit assessment</w:t>
            </w:r>
            <w:r>
              <w:rPr>
                <w:noProof/>
                <w:webHidden/>
              </w:rPr>
              <w:tab/>
            </w:r>
            <w:r>
              <w:rPr>
                <w:noProof/>
                <w:webHidden/>
              </w:rPr>
              <w:fldChar w:fldCharType="begin"/>
            </w:r>
            <w:r>
              <w:rPr>
                <w:noProof/>
                <w:webHidden/>
              </w:rPr>
              <w:instrText xml:space="preserve"> PAGEREF _Toc454447854 \h </w:instrText>
            </w:r>
            <w:r>
              <w:rPr>
                <w:noProof/>
                <w:webHidden/>
              </w:rPr>
            </w:r>
            <w:r>
              <w:rPr>
                <w:noProof/>
                <w:webHidden/>
              </w:rPr>
              <w:fldChar w:fldCharType="separate"/>
            </w:r>
            <w:r>
              <w:rPr>
                <w:noProof/>
                <w:webHidden/>
              </w:rPr>
              <w:t>35</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55" w:history="1">
            <w:r w:rsidRPr="008178C9">
              <w:rPr>
                <w:rStyle w:val="Hyperlink"/>
                <w:noProof/>
              </w:rPr>
              <w:t>Quality</w:t>
            </w:r>
            <w:r>
              <w:rPr>
                <w:noProof/>
                <w:webHidden/>
              </w:rPr>
              <w:tab/>
            </w:r>
            <w:r>
              <w:rPr>
                <w:noProof/>
                <w:webHidden/>
              </w:rPr>
              <w:fldChar w:fldCharType="begin"/>
            </w:r>
            <w:r>
              <w:rPr>
                <w:noProof/>
                <w:webHidden/>
              </w:rPr>
              <w:instrText xml:space="preserve"> PAGEREF _Toc454447855 \h </w:instrText>
            </w:r>
            <w:r>
              <w:rPr>
                <w:noProof/>
                <w:webHidden/>
              </w:rPr>
            </w:r>
            <w:r>
              <w:rPr>
                <w:noProof/>
                <w:webHidden/>
              </w:rPr>
              <w:fldChar w:fldCharType="separate"/>
            </w:r>
            <w:r>
              <w:rPr>
                <w:noProof/>
                <w:webHidden/>
              </w:rPr>
              <w:t>35</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56" w:history="1">
            <w:r w:rsidRPr="008178C9">
              <w:rPr>
                <w:rStyle w:val="Hyperlink"/>
                <w:noProof/>
              </w:rPr>
              <w:t>Nonclinical</w:t>
            </w:r>
            <w:r>
              <w:rPr>
                <w:noProof/>
                <w:webHidden/>
              </w:rPr>
              <w:tab/>
            </w:r>
            <w:r>
              <w:rPr>
                <w:noProof/>
                <w:webHidden/>
              </w:rPr>
              <w:fldChar w:fldCharType="begin"/>
            </w:r>
            <w:r>
              <w:rPr>
                <w:noProof/>
                <w:webHidden/>
              </w:rPr>
              <w:instrText xml:space="preserve"> PAGEREF _Toc454447856 \h </w:instrText>
            </w:r>
            <w:r>
              <w:rPr>
                <w:noProof/>
                <w:webHidden/>
              </w:rPr>
            </w:r>
            <w:r>
              <w:rPr>
                <w:noProof/>
                <w:webHidden/>
              </w:rPr>
              <w:fldChar w:fldCharType="separate"/>
            </w:r>
            <w:r>
              <w:rPr>
                <w:noProof/>
                <w:webHidden/>
              </w:rPr>
              <w:t>35</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57" w:history="1">
            <w:r w:rsidRPr="008178C9">
              <w:rPr>
                <w:rStyle w:val="Hyperlink"/>
                <w:noProof/>
              </w:rPr>
              <w:t>Clinical</w:t>
            </w:r>
            <w:r>
              <w:rPr>
                <w:noProof/>
                <w:webHidden/>
              </w:rPr>
              <w:tab/>
            </w:r>
            <w:r>
              <w:rPr>
                <w:noProof/>
                <w:webHidden/>
              </w:rPr>
              <w:fldChar w:fldCharType="begin"/>
            </w:r>
            <w:r>
              <w:rPr>
                <w:noProof/>
                <w:webHidden/>
              </w:rPr>
              <w:instrText xml:space="preserve"> PAGEREF _Toc454447857 \h </w:instrText>
            </w:r>
            <w:r>
              <w:rPr>
                <w:noProof/>
                <w:webHidden/>
              </w:rPr>
            </w:r>
            <w:r>
              <w:rPr>
                <w:noProof/>
                <w:webHidden/>
              </w:rPr>
              <w:fldChar w:fldCharType="separate"/>
            </w:r>
            <w:r>
              <w:rPr>
                <w:noProof/>
                <w:webHidden/>
              </w:rPr>
              <w:t>36</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58" w:history="1">
            <w:r w:rsidRPr="008178C9">
              <w:rPr>
                <w:rStyle w:val="Hyperlink"/>
                <w:noProof/>
                <w:lang w:eastAsia="en-AU"/>
              </w:rPr>
              <w:t>Risk management plan</w:t>
            </w:r>
            <w:r>
              <w:rPr>
                <w:noProof/>
                <w:webHidden/>
              </w:rPr>
              <w:tab/>
            </w:r>
            <w:r>
              <w:rPr>
                <w:noProof/>
                <w:webHidden/>
              </w:rPr>
              <w:fldChar w:fldCharType="begin"/>
            </w:r>
            <w:r>
              <w:rPr>
                <w:noProof/>
                <w:webHidden/>
              </w:rPr>
              <w:instrText xml:space="preserve"> PAGEREF _Toc454447858 \h </w:instrText>
            </w:r>
            <w:r>
              <w:rPr>
                <w:noProof/>
                <w:webHidden/>
              </w:rPr>
            </w:r>
            <w:r>
              <w:rPr>
                <w:noProof/>
                <w:webHidden/>
              </w:rPr>
              <w:fldChar w:fldCharType="separate"/>
            </w:r>
            <w:r>
              <w:rPr>
                <w:noProof/>
                <w:webHidden/>
              </w:rPr>
              <w:t>46</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59" w:history="1">
            <w:r w:rsidRPr="008178C9">
              <w:rPr>
                <w:rStyle w:val="Hyperlink"/>
                <w:noProof/>
              </w:rPr>
              <w:t>Risk-benefit analysis</w:t>
            </w:r>
            <w:r>
              <w:rPr>
                <w:noProof/>
                <w:webHidden/>
              </w:rPr>
              <w:tab/>
            </w:r>
            <w:r>
              <w:rPr>
                <w:noProof/>
                <w:webHidden/>
              </w:rPr>
              <w:fldChar w:fldCharType="begin"/>
            </w:r>
            <w:r>
              <w:rPr>
                <w:noProof/>
                <w:webHidden/>
              </w:rPr>
              <w:instrText xml:space="preserve"> PAGEREF _Toc454447859 \h </w:instrText>
            </w:r>
            <w:r>
              <w:rPr>
                <w:noProof/>
                <w:webHidden/>
              </w:rPr>
            </w:r>
            <w:r>
              <w:rPr>
                <w:noProof/>
                <w:webHidden/>
              </w:rPr>
              <w:fldChar w:fldCharType="separate"/>
            </w:r>
            <w:r>
              <w:rPr>
                <w:noProof/>
                <w:webHidden/>
              </w:rPr>
              <w:t>47</w:t>
            </w:r>
            <w:r>
              <w:rPr>
                <w:noProof/>
                <w:webHidden/>
              </w:rPr>
              <w:fldChar w:fldCharType="end"/>
            </w:r>
          </w:hyperlink>
        </w:p>
        <w:p w:rsidR="00E337EC" w:rsidRDefault="00E337EC">
          <w:pPr>
            <w:pStyle w:val="TOC3"/>
            <w:rPr>
              <w:rFonts w:asciiTheme="minorHAnsi" w:eastAsiaTheme="minorEastAsia" w:hAnsiTheme="minorHAnsi" w:cstheme="minorBidi"/>
              <w:noProof/>
              <w:lang w:eastAsia="en-AU"/>
            </w:rPr>
          </w:pPr>
          <w:hyperlink w:anchor="_Toc454447860" w:history="1">
            <w:r w:rsidRPr="008178C9">
              <w:rPr>
                <w:rStyle w:val="Hyperlink"/>
                <w:noProof/>
              </w:rPr>
              <w:t>Outcome</w:t>
            </w:r>
            <w:r>
              <w:rPr>
                <w:noProof/>
                <w:webHidden/>
              </w:rPr>
              <w:tab/>
            </w:r>
            <w:r>
              <w:rPr>
                <w:noProof/>
                <w:webHidden/>
              </w:rPr>
              <w:fldChar w:fldCharType="begin"/>
            </w:r>
            <w:r>
              <w:rPr>
                <w:noProof/>
                <w:webHidden/>
              </w:rPr>
              <w:instrText xml:space="preserve"> PAGEREF _Toc454447860 \h </w:instrText>
            </w:r>
            <w:r>
              <w:rPr>
                <w:noProof/>
                <w:webHidden/>
              </w:rPr>
            </w:r>
            <w:r>
              <w:rPr>
                <w:noProof/>
                <w:webHidden/>
              </w:rPr>
              <w:fldChar w:fldCharType="separate"/>
            </w:r>
            <w:r>
              <w:rPr>
                <w:noProof/>
                <w:webHidden/>
              </w:rPr>
              <w:t>57</w:t>
            </w:r>
            <w:r>
              <w:rPr>
                <w:noProof/>
                <w:webHidden/>
              </w:rPr>
              <w:fldChar w:fldCharType="end"/>
            </w:r>
          </w:hyperlink>
        </w:p>
        <w:p w:rsidR="00E337EC" w:rsidRDefault="00E337EC">
          <w:pPr>
            <w:pStyle w:val="TOC2"/>
            <w:rPr>
              <w:rFonts w:asciiTheme="minorHAnsi" w:eastAsiaTheme="minorEastAsia" w:hAnsiTheme="minorHAnsi" w:cstheme="minorBidi"/>
              <w:b w:val="0"/>
              <w:noProof/>
              <w:sz w:val="22"/>
              <w:lang w:eastAsia="en-AU"/>
            </w:rPr>
          </w:pPr>
          <w:hyperlink w:anchor="_Toc454447861" w:history="1">
            <w:r w:rsidRPr="008178C9">
              <w:rPr>
                <w:rStyle w:val="Hyperlink"/>
                <w:noProof/>
              </w:rPr>
              <w:t>Attachment 1. Product Information</w:t>
            </w:r>
            <w:r>
              <w:rPr>
                <w:noProof/>
                <w:webHidden/>
              </w:rPr>
              <w:tab/>
            </w:r>
            <w:r>
              <w:rPr>
                <w:noProof/>
                <w:webHidden/>
              </w:rPr>
              <w:fldChar w:fldCharType="begin"/>
            </w:r>
            <w:r>
              <w:rPr>
                <w:noProof/>
                <w:webHidden/>
              </w:rPr>
              <w:instrText xml:space="preserve"> PAGEREF _Toc454447861 \h </w:instrText>
            </w:r>
            <w:r>
              <w:rPr>
                <w:noProof/>
                <w:webHidden/>
              </w:rPr>
            </w:r>
            <w:r>
              <w:rPr>
                <w:noProof/>
                <w:webHidden/>
              </w:rPr>
              <w:fldChar w:fldCharType="separate"/>
            </w:r>
            <w:r>
              <w:rPr>
                <w:noProof/>
                <w:webHidden/>
              </w:rPr>
              <w:t>57</w:t>
            </w:r>
            <w:r>
              <w:rPr>
                <w:noProof/>
                <w:webHidden/>
              </w:rPr>
              <w:fldChar w:fldCharType="end"/>
            </w:r>
          </w:hyperlink>
        </w:p>
        <w:p w:rsidR="00E337EC" w:rsidRDefault="00E337EC">
          <w:pPr>
            <w:pStyle w:val="TOC2"/>
            <w:rPr>
              <w:rFonts w:asciiTheme="minorHAnsi" w:eastAsiaTheme="minorEastAsia" w:hAnsiTheme="minorHAnsi" w:cstheme="minorBidi"/>
              <w:b w:val="0"/>
              <w:noProof/>
              <w:sz w:val="22"/>
              <w:lang w:eastAsia="en-AU"/>
            </w:rPr>
          </w:pPr>
          <w:hyperlink w:anchor="_Toc454447862" w:history="1">
            <w:r w:rsidRPr="008178C9">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_Toc454447862 \h </w:instrText>
            </w:r>
            <w:r>
              <w:rPr>
                <w:noProof/>
                <w:webHidden/>
              </w:rPr>
            </w:r>
            <w:r>
              <w:rPr>
                <w:noProof/>
                <w:webHidden/>
              </w:rPr>
              <w:fldChar w:fldCharType="separate"/>
            </w:r>
            <w:r>
              <w:rPr>
                <w:noProof/>
                <w:webHidden/>
              </w:rPr>
              <w:t>57</w:t>
            </w:r>
            <w:r>
              <w:rPr>
                <w:noProof/>
                <w:webHidden/>
              </w:rPr>
              <w:fldChar w:fldCharType="end"/>
            </w:r>
          </w:hyperlink>
        </w:p>
        <w:p w:rsidR="003A7F6C" w:rsidRPr="00B811C6" w:rsidRDefault="00DB6124" w:rsidP="00B811C6">
          <w:pPr>
            <w:pStyle w:val="TOC2"/>
          </w:pPr>
          <w:r>
            <w:lastRenderedPageBreak/>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54447829"/>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FD119B" w:rsidRPr="00FD119B" w:rsidTr="00E24628">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727C8E" w:rsidRDefault="00FD119B" w:rsidP="00E24628">
            <w:pPr>
              <w:rPr>
                <w:lang w:eastAsia="en-US"/>
              </w:rPr>
            </w:pPr>
            <w:r w:rsidRPr="00727C8E">
              <w:rPr>
                <w:lang w:eastAsia="en-US"/>
              </w:rPr>
              <w:t>Abbreviation</w:t>
            </w:r>
          </w:p>
        </w:tc>
        <w:tc>
          <w:tcPr>
            <w:tcW w:w="6911" w:type="dxa"/>
          </w:tcPr>
          <w:p w:rsidR="00FD119B" w:rsidRPr="00727C8E" w:rsidRDefault="00FD119B" w:rsidP="00E24628">
            <w:pPr>
              <w:rPr>
                <w:lang w:eastAsia="en-US"/>
              </w:rPr>
            </w:pPr>
            <w:r w:rsidRPr="00727C8E">
              <w:rPr>
                <w:lang w:eastAsia="en-US"/>
              </w:rPr>
              <w:t>Meaning</w:t>
            </w:r>
          </w:p>
        </w:tc>
      </w:tr>
      <w:tr w:rsidR="00602B82" w:rsidRPr="00FD119B" w:rsidTr="00E24628">
        <w:tc>
          <w:tcPr>
            <w:tcW w:w="1809" w:type="dxa"/>
          </w:tcPr>
          <w:p w:rsidR="00602B82" w:rsidRPr="00727C8E" w:rsidRDefault="00E24628" w:rsidP="00E24628">
            <w:pPr>
              <w:rPr>
                <w:lang w:val="en-US"/>
              </w:rPr>
            </w:pPr>
            <w:r>
              <w:rPr>
                <w:lang w:val="en-US"/>
              </w:rPr>
              <w:t>AA</w:t>
            </w:r>
          </w:p>
        </w:tc>
        <w:tc>
          <w:tcPr>
            <w:tcW w:w="6911" w:type="dxa"/>
          </w:tcPr>
          <w:p w:rsidR="00602B82" w:rsidRPr="00727C8E" w:rsidRDefault="007040BC" w:rsidP="00E24628">
            <w:pPr>
              <w:rPr>
                <w:lang w:val="en-US"/>
              </w:rPr>
            </w:pPr>
            <w:r w:rsidRPr="00727C8E">
              <w:rPr>
                <w:lang w:val="en-US"/>
              </w:rPr>
              <w:t>Allergic asthma</w:t>
            </w:r>
          </w:p>
        </w:tc>
      </w:tr>
      <w:tr w:rsidR="00602B82" w:rsidRPr="00FD119B" w:rsidTr="00E24628">
        <w:tc>
          <w:tcPr>
            <w:tcW w:w="1809" w:type="dxa"/>
          </w:tcPr>
          <w:p w:rsidR="00602B82" w:rsidRPr="00727C8E" w:rsidRDefault="00602B82" w:rsidP="00E24628">
            <w:r w:rsidRPr="00727C8E">
              <w:t>AAO</w:t>
            </w:r>
          </w:p>
        </w:tc>
        <w:tc>
          <w:tcPr>
            <w:tcW w:w="6911" w:type="dxa"/>
          </w:tcPr>
          <w:p w:rsidR="00602B82" w:rsidRPr="00727C8E" w:rsidRDefault="007040BC" w:rsidP="00E24628">
            <w:r w:rsidRPr="00727C8E">
              <w:t>Allergic asthma, open-label controlled and uncontrolled study population</w:t>
            </w:r>
          </w:p>
        </w:tc>
      </w:tr>
      <w:tr w:rsidR="00602B82" w:rsidRPr="00FD119B" w:rsidTr="00E24628">
        <w:tc>
          <w:tcPr>
            <w:tcW w:w="1809" w:type="dxa"/>
          </w:tcPr>
          <w:p w:rsidR="00602B82" w:rsidRPr="00727C8E" w:rsidRDefault="00E24628" w:rsidP="00E24628">
            <w:pPr>
              <w:rPr>
                <w:lang w:val="en-US"/>
              </w:rPr>
            </w:pPr>
            <w:r>
              <w:rPr>
                <w:lang w:val="en-US"/>
              </w:rPr>
              <w:t>AAP</w:t>
            </w:r>
          </w:p>
        </w:tc>
        <w:tc>
          <w:tcPr>
            <w:tcW w:w="6911" w:type="dxa"/>
          </w:tcPr>
          <w:p w:rsidR="00602B82" w:rsidRPr="00727C8E" w:rsidRDefault="00602B82" w:rsidP="00E24628">
            <w:r w:rsidRPr="00727C8E">
              <w:rPr>
                <w:lang w:val="en-US"/>
              </w:rPr>
              <w:t>Allergic asthma double-blind, placebo controlled &lt; 12 years population</w:t>
            </w:r>
          </w:p>
        </w:tc>
      </w:tr>
      <w:tr w:rsidR="00602B82" w:rsidRPr="00FD119B" w:rsidTr="00E24628">
        <w:tc>
          <w:tcPr>
            <w:tcW w:w="1809" w:type="dxa"/>
          </w:tcPr>
          <w:p w:rsidR="00602B82" w:rsidRPr="00727C8E" w:rsidRDefault="00E24628" w:rsidP="00E24628">
            <w:pPr>
              <w:rPr>
                <w:lang w:val="en-US"/>
              </w:rPr>
            </w:pPr>
            <w:r>
              <w:rPr>
                <w:lang w:val="en-US"/>
              </w:rPr>
              <w:t>AE</w:t>
            </w:r>
          </w:p>
        </w:tc>
        <w:tc>
          <w:tcPr>
            <w:tcW w:w="6911" w:type="dxa"/>
          </w:tcPr>
          <w:p w:rsidR="00602B82" w:rsidRPr="00727C8E" w:rsidRDefault="007040BC" w:rsidP="00E24628">
            <w:pPr>
              <w:rPr>
                <w:lang w:val="en-US"/>
              </w:rPr>
            </w:pPr>
            <w:r w:rsidRPr="00727C8E">
              <w:rPr>
                <w:lang w:val="en-US"/>
              </w:rPr>
              <w:t>Adverse event</w:t>
            </w:r>
          </w:p>
        </w:tc>
      </w:tr>
      <w:tr w:rsidR="00602B82" w:rsidRPr="00FD119B" w:rsidTr="00E24628">
        <w:tc>
          <w:tcPr>
            <w:tcW w:w="1809" w:type="dxa"/>
          </w:tcPr>
          <w:p w:rsidR="00602B82" w:rsidRPr="00727C8E" w:rsidRDefault="00E24628" w:rsidP="00E24628">
            <w:pPr>
              <w:rPr>
                <w:lang w:val="en-US"/>
              </w:rPr>
            </w:pPr>
            <w:r>
              <w:rPr>
                <w:lang w:val="en-US"/>
              </w:rPr>
              <w:t>AEE</w:t>
            </w:r>
          </w:p>
        </w:tc>
        <w:tc>
          <w:tcPr>
            <w:tcW w:w="6911" w:type="dxa"/>
          </w:tcPr>
          <w:p w:rsidR="00602B82" w:rsidRPr="00727C8E" w:rsidRDefault="007040BC" w:rsidP="00E24628">
            <w:pPr>
              <w:rPr>
                <w:lang w:val="en-US"/>
              </w:rPr>
            </w:pPr>
            <w:r w:rsidRPr="00727C8E">
              <w:rPr>
                <w:lang w:val="en-US"/>
              </w:rPr>
              <w:t>Asthma exacerbation episode</w:t>
            </w:r>
          </w:p>
        </w:tc>
      </w:tr>
      <w:tr w:rsidR="00602B82" w:rsidRPr="00493D04" w:rsidTr="00E24628">
        <w:tc>
          <w:tcPr>
            <w:tcW w:w="1809" w:type="dxa"/>
          </w:tcPr>
          <w:p w:rsidR="00602B82" w:rsidRPr="00727C8E" w:rsidRDefault="00E24628" w:rsidP="00E24628">
            <w:pPr>
              <w:rPr>
                <w:lang w:val="en-US"/>
              </w:rPr>
            </w:pPr>
            <w:r>
              <w:rPr>
                <w:lang w:val="en-US"/>
              </w:rPr>
              <w:t>ALT</w:t>
            </w:r>
          </w:p>
        </w:tc>
        <w:tc>
          <w:tcPr>
            <w:tcW w:w="6911" w:type="dxa"/>
          </w:tcPr>
          <w:p w:rsidR="00602B82" w:rsidRPr="00650065" w:rsidRDefault="007040BC" w:rsidP="00E24628">
            <w:pPr>
              <w:rPr>
                <w:lang w:val="es-ES"/>
              </w:rPr>
            </w:pPr>
            <w:proofErr w:type="spellStart"/>
            <w:r w:rsidRPr="00650065">
              <w:rPr>
                <w:lang w:val="es-ES"/>
              </w:rPr>
              <w:t>Alanine</w:t>
            </w:r>
            <w:proofErr w:type="spellEnd"/>
            <w:r w:rsidRPr="00650065">
              <w:rPr>
                <w:lang w:val="es-ES"/>
              </w:rPr>
              <w:t xml:space="preserve"> </w:t>
            </w:r>
            <w:proofErr w:type="spellStart"/>
            <w:r w:rsidR="00602B82" w:rsidRPr="00650065">
              <w:rPr>
                <w:lang w:val="es-ES"/>
              </w:rPr>
              <w:t>aminotransferase</w:t>
            </w:r>
            <w:proofErr w:type="spellEnd"/>
            <w:r w:rsidR="00602B82" w:rsidRPr="00650065">
              <w:rPr>
                <w:lang w:val="es-ES"/>
              </w:rPr>
              <w:t>/</w:t>
            </w:r>
            <w:proofErr w:type="spellStart"/>
            <w:r w:rsidR="00602B82" w:rsidRPr="00650065">
              <w:rPr>
                <w:lang w:val="es-ES"/>
              </w:rPr>
              <w:t>glutamic</w:t>
            </w:r>
            <w:proofErr w:type="spellEnd"/>
            <w:r w:rsidR="00602B82" w:rsidRPr="00650065">
              <w:rPr>
                <w:lang w:val="es-ES"/>
              </w:rPr>
              <w:t xml:space="preserve"> </w:t>
            </w:r>
            <w:proofErr w:type="spellStart"/>
            <w:r w:rsidR="00602B82" w:rsidRPr="00650065">
              <w:rPr>
                <w:lang w:val="es-ES"/>
              </w:rPr>
              <w:t>pyruvic</w:t>
            </w:r>
            <w:proofErr w:type="spellEnd"/>
            <w:r w:rsidR="00602B82" w:rsidRPr="00650065">
              <w:rPr>
                <w:lang w:val="es-ES"/>
              </w:rPr>
              <w:t xml:space="preserve"> </w:t>
            </w:r>
            <w:proofErr w:type="spellStart"/>
            <w:r w:rsidR="00602B82" w:rsidRPr="00650065">
              <w:rPr>
                <w:lang w:val="es-ES"/>
              </w:rPr>
              <w:t>transaminase</w:t>
            </w:r>
            <w:proofErr w:type="spellEnd"/>
            <w:r w:rsidR="00602B82" w:rsidRPr="00650065">
              <w:rPr>
                <w:lang w:val="es-ES"/>
              </w:rPr>
              <w:t>/GPT</w:t>
            </w:r>
          </w:p>
        </w:tc>
      </w:tr>
      <w:tr w:rsidR="00602B82" w:rsidRPr="00FD119B" w:rsidTr="00E24628">
        <w:tc>
          <w:tcPr>
            <w:tcW w:w="1809" w:type="dxa"/>
          </w:tcPr>
          <w:p w:rsidR="00602B82" w:rsidRPr="00727C8E" w:rsidRDefault="00E24628" w:rsidP="00E24628">
            <w:pPr>
              <w:rPr>
                <w:lang w:val="en-US"/>
              </w:rPr>
            </w:pPr>
            <w:r>
              <w:rPr>
                <w:lang w:val="en-US"/>
              </w:rPr>
              <w:t>AST</w:t>
            </w:r>
          </w:p>
        </w:tc>
        <w:tc>
          <w:tcPr>
            <w:tcW w:w="6911" w:type="dxa"/>
          </w:tcPr>
          <w:p w:rsidR="00602B82" w:rsidRPr="00727C8E" w:rsidRDefault="007040BC" w:rsidP="00E24628">
            <w:pPr>
              <w:rPr>
                <w:lang w:val="en-US"/>
              </w:rPr>
            </w:pPr>
            <w:r w:rsidRPr="00727C8E">
              <w:rPr>
                <w:lang w:val="en-US"/>
              </w:rPr>
              <w:t xml:space="preserve">Aspartate </w:t>
            </w:r>
            <w:r w:rsidR="00602B82" w:rsidRPr="00727C8E">
              <w:rPr>
                <w:lang w:val="en-US"/>
              </w:rPr>
              <w:t xml:space="preserve">aminotransferase/glutamic </w:t>
            </w:r>
            <w:proofErr w:type="spellStart"/>
            <w:r w:rsidR="00602B82" w:rsidRPr="00727C8E">
              <w:rPr>
                <w:lang w:val="en-US"/>
              </w:rPr>
              <w:t>oxaloacetic</w:t>
            </w:r>
            <w:proofErr w:type="spellEnd"/>
            <w:r w:rsidR="00602B82" w:rsidRPr="00727C8E">
              <w:rPr>
                <w:lang w:val="en-US"/>
              </w:rPr>
              <w:t xml:space="preserve"> transaminase/GOT</w:t>
            </w:r>
          </w:p>
        </w:tc>
      </w:tr>
      <w:tr w:rsidR="00602B82" w:rsidRPr="00FD119B" w:rsidTr="00E24628">
        <w:tc>
          <w:tcPr>
            <w:tcW w:w="1809" w:type="dxa"/>
          </w:tcPr>
          <w:p w:rsidR="00602B82" w:rsidRPr="00727C8E" w:rsidRDefault="00602B82" w:rsidP="00E24628">
            <w:pPr>
              <w:rPr>
                <w:lang w:val="en-US"/>
              </w:rPr>
            </w:pPr>
            <w:r w:rsidRPr="00727C8E">
              <w:rPr>
                <w:lang w:val="en-US"/>
              </w:rPr>
              <w:t>BDP</w:t>
            </w:r>
          </w:p>
        </w:tc>
        <w:tc>
          <w:tcPr>
            <w:tcW w:w="6911" w:type="dxa"/>
          </w:tcPr>
          <w:p w:rsidR="00602B82" w:rsidRPr="00727C8E" w:rsidRDefault="007040BC" w:rsidP="00E24628">
            <w:pPr>
              <w:rPr>
                <w:lang w:val="en-US"/>
              </w:rPr>
            </w:pPr>
            <w:r w:rsidRPr="00727C8E">
              <w:rPr>
                <w:lang w:val="en-US"/>
              </w:rPr>
              <w:t xml:space="preserve">Beclomethasone </w:t>
            </w:r>
            <w:proofErr w:type="spellStart"/>
            <w:r w:rsidRPr="00727C8E">
              <w:rPr>
                <w:lang w:val="en-US"/>
              </w:rPr>
              <w:t>dipropr</w:t>
            </w:r>
            <w:r w:rsidR="00602B82" w:rsidRPr="00727C8E">
              <w:rPr>
                <w:lang w:val="en-US"/>
              </w:rPr>
              <w:t>ionate</w:t>
            </w:r>
            <w:proofErr w:type="spellEnd"/>
          </w:p>
        </w:tc>
      </w:tr>
      <w:tr w:rsidR="00602B82" w:rsidRPr="00FD119B" w:rsidTr="00E24628">
        <w:tc>
          <w:tcPr>
            <w:tcW w:w="1809" w:type="dxa"/>
          </w:tcPr>
          <w:p w:rsidR="00602B82" w:rsidRPr="00727C8E" w:rsidRDefault="00602B82" w:rsidP="00E24628">
            <w:pPr>
              <w:rPr>
                <w:lang w:val="en-US"/>
              </w:rPr>
            </w:pPr>
            <w:r w:rsidRPr="00727C8E">
              <w:rPr>
                <w:lang w:val="en-US"/>
              </w:rPr>
              <w:t>BMI</w:t>
            </w:r>
          </w:p>
        </w:tc>
        <w:tc>
          <w:tcPr>
            <w:tcW w:w="6911" w:type="dxa"/>
          </w:tcPr>
          <w:p w:rsidR="00602B82" w:rsidRPr="00727C8E" w:rsidRDefault="00602B82" w:rsidP="00E24628">
            <w:pPr>
              <w:rPr>
                <w:lang w:val="en-US"/>
              </w:rPr>
            </w:pPr>
            <w:r w:rsidRPr="00727C8E">
              <w:rPr>
                <w:lang w:val="en-US"/>
              </w:rPr>
              <w:t>Body mass index</w:t>
            </w:r>
          </w:p>
        </w:tc>
      </w:tr>
      <w:tr w:rsidR="00602B82" w:rsidRPr="00FD119B" w:rsidTr="00E24628">
        <w:tc>
          <w:tcPr>
            <w:tcW w:w="1809" w:type="dxa"/>
          </w:tcPr>
          <w:p w:rsidR="00602B82" w:rsidRPr="00727C8E" w:rsidRDefault="00602B82" w:rsidP="00E24628">
            <w:pPr>
              <w:rPr>
                <w:lang w:val="en-US"/>
              </w:rPr>
            </w:pPr>
            <w:r w:rsidRPr="00727C8E">
              <w:rPr>
                <w:lang w:val="en-US"/>
              </w:rPr>
              <w:t xml:space="preserve">CI </w:t>
            </w:r>
          </w:p>
        </w:tc>
        <w:tc>
          <w:tcPr>
            <w:tcW w:w="6911" w:type="dxa"/>
          </w:tcPr>
          <w:p w:rsidR="00602B82" w:rsidRPr="00727C8E" w:rsidRDefault="007040BC" w:rsidP="00E24628">
            <w:pPr>
              <w:rPr>
                <w:lang w:val="en-US"/>
              </w:rPr>
            </w:pPr>
            <w:r w:rsidRPr="00727C8E">
              <w:rPr>
                <w:lang w:val="en-US"/>
              </w:rPr>
              <w:t>Confidence interval</w:t>
            </w:r>
          </w:p>
        </w:tc>
      </w:tr>
      <w:tr w:rsidR="00602B82" w:rsidRPr="00FD119B" w:rsidTr="00E24628">
        <w:tc>
          <w:tcPr>
            <w:tcW w:w="1809" w:type="dxa"/>
          </w:tcPr>
          <w:p w:rsidR="00602B82" w:rsidRPr="00727C8E" w:rsidRDefault="00602B82" w:rsidP="00E24628">
            <w:pPr>
              <w:rPr>
                <w:iCs/>
                <w:lang w:val="en-US"/>
              </w:rPr>
            </w:pPr>
            <w:r w:rsidRPr="00727C8E">
              <w:rPr>
                <w:iCs/>
                <w:lang w:val="en-US"/>
              </w:rPr>
              <w:t>CL</w:t>
            </w:r>
          </w:p>
        </w:tc>
        <w:tc>
          <w:tcPr>
            <w:tcW w:w="6911" w:type="dxa"/>
          </w:tcPr>
          <w:p w:rsidR="00602B82" w:rsidRPr="00727C8E" w:rsidRDefault="00602B82" w:rsidP="00E24628">
            <w:pPr>
              <w:rPr>
                <w:lang w:val="en-US"/>
              </w:rPr>
            </w:pPr>
            <w:r w:rsidRPr="00727C8E">
              <w:rPr>
                <w:lang w:val="en-US"/>
              </w:rPr>
              <w:t>Clearance</w:t>
            </w:r>
          </w:p>
        </w:tc>
      </w:tr>
      <w:tr w:rsidR="00602B82" w:rsidRPr="00FD119B" w:rsidTr="00E24628">
        <w:tc>
          <w:tcPr>
            <w:tcW w:w="1809" w:type="dxa"/>
          </w:tcPr>
          <w:p w:rsidR="00602B82" w:rsidRPr="00727C8E" w:rsidRDefault="00602B82" w:rsidP="00E24628">
            <w:pPr>
              <w:rPr>
                <w:iCs/>
                <w:lang w:val="en-US"/>
              </w:rPr>
            </w:pPr>
            <w:r w:rsidRPr="00727C8E">
              <w:rPr>
                <w:iCs/>
                <w:lang w:val="en-US"/>
              </w:rPr>
              <w:t>CLX</w:t>
            </w:r>
          </w:p>
        </w:tc>
        <w:tc>
          <w:tcPr>
            <w:tcW w:w="6911" w:type="dxa"/>
          </w:tcPr>
          <w:p w:rsidR="00602B82" w:rsidRPr="00727C8E" w:rsidRDefault="00602B82" w:rsidP="00E24628">
            <w:pPr>
              <w:rPr>
                <w:lang w:val="en-US"/>
              </w:rPr>
            </w:pPr>
            <w:r w:rsidRPr="00727C8E">
              <w:rPr>
                <w:lang w:val="en-US"/>
              </w:rPr>
              <w:t xml:space="preserve">Clearance of </w:t>
            </w:r>
            <w:proofErr w:type="spellStart"/>
            <w:r w:rsidR="005A1D2B">
              <w:rPr>
                <w:lang w:val="en-US"/>
              </w:rPr>
              <w:t>omalizumab</w:t>
            </w:r>
            <w:proofErr w:type="spellEnd"/>
            <w:r w:rsidR="005A1D2B">
              <w:rPr>
                <w:lang w:val="en-US"/>
              </w:rPr>
              <w:t xml:space="preserve"> (</w:t>
            </w:r>
            <w:proofErr w:type="spellStart"/>
            <w:r w:rsidR="005A1D2B">
              <w:rPr>
                <w:lang w:val="en-US"/>
              </w:rPr>
              <w:t>rch</w:t>
            </w:r>
            <w:proofErr w:type="spellEnd"/>
            <w:r w:rsidR="005A1D2B">
              <w:rPr>
                <w:lang w:val="en-US"/>
              </w:rPr>
              <w:t>)</w:t>
            </w:r>
            <w:r w:rsidRPr="00727C8E">
              <w:rPr>
                <w:lang w:val="en-US"/>
              </w:rPr>
              <w:t xml:space="preserve"> (Xolair)</w:t>
            </w:r>
          </w:p>
        </w:tc>
      </w:tr>
      <w:tr w:rsidR="00602B82" w:rsidRPr="00FD119B" w:rsidTr="00E24628">
        <w:tc>
          <w:tcPr>
            <w:tcW w:w="1809" w:type="dxa"/>
          </w:tcPr>
          <w:p w:rsidR="00602B82" w:rsidRPr="00727C8E" w:rsidRDefault="00602B82" w:rsidP="00E24628">
            <w:pPr>
              <w:rPr>
                <w:iCs/>
                <w:lang w:val="en-US"/>
              </w:rPr>
            </w:pPr>
            <w:r w:rsidRPr="00727C8E">
              <w:rPr>
                <w:iCs/>
                <w:lang w:val="en-US"/>
              </w:rPr>
              <w:t>CLX/F</w:t>
            </w:r>
          </w:p>
        </w:tc>
        <w:tc>
          <w:tcPr>
            <w:tcW w:w="6911" w:type="dxa"/>
          </w:tcPr>
          <w:p w:rsidR="00602B82" w:rsidRPr="00727C8E" w:rsidRDefault="00602B82" w:rsidP="00E24628">
            <w:pPr>
              <w:rPr>
                <w:lang w:val="en-US"/>
              </w:rPr>
            </w:pPr>
            <w:r w:rsidRPr="00727C8E">
              <w:rPr>
                <w:lang w:val="en-US"/>
              </w:rPr>
              <w:t xml:space="preserve">Clearance of </w:t>
            </w:r>
            <w:proofErr w:type="spellStart"/>
            <w:r w:rsidR="005A1D2B">
              <w:rPr>
                <w:lang w:val="en-US"/>
              </w:rPr>
              <w:t>omalizumab</w:t>
            </w:r>
            <w:proofErr w:type="spellEnd"/>
            <w:r w:rsidR="005A1D2B">
              <w:rPr>
                <w:lang w:val="en-US"/>
              </w:rPr>
              <w:t xml:space="preserve"> (</w:t>
            </w:r>
            <w:proofErr w:type="spellStart"/>
            <w:r w:rsidR="005A1D2B">
              <w:rPr>
                <w:lang w:val="en-US"/>
              </w:rPr>
              <w:t>rch</w:t>
            </w:r>
            <w:proofErr w:type="spellEnd"/>
            <w:r w:rsidR="005A1D2B">
              <w:rPr>
                <w:lang w:val="en-US"/>
              </w:rPr>
              <w:t>)</w:t>
            </w:r>
            <w:r w:rsidRPr="00727C8E">
              <w:rPr>
                <w:lang w:val="en-US"/>
              </w:rPr>
              <w:t xml:space="preserve"> (Xolair) divided by the fraction absorbed</w:t>
            </w:r>
          </w:p>
        </w:tc>
      </w:tr>
      <w:tr w:rsidR="00602B82" w:rsidRPr="00FD119B" w:rsidTr="00E24628">
        <w:tc>
          <w:tcPr>
            <w:tcW w:w="1809" w:type="dxa"/>
          </w:tcPr>
          <w:p w:rsidR="00602B82" w:rsidRPr="00727C8E" w:rsidRDefault="00602B82" w:rsidP="00E24628">
            <w:pPr>
              <w:rPr>
                <w:iCs/>
                <w:lang w:val="en-US"/>
              </w:rPr>
            </w:pPr>
            <w:r w:rsidRPr="00727C8E">
              <w:rPr>
                <w:iCs/>
                <w:lang w:val="en-US"/>
              </w:rPr>
              <w:t>CLE</w:t>
            </w:r>
          </w:p>
        </w:tc>
        <w:tc>
          <w:tcPr>
            <w:tcW w:w="6911" w:type="dxa"/>
          </w:tcPr>
          <w:p w:rsidR="00602B82" w:rsidRPr="00727C8E" w:rsidRDefault="00602B82" w:rsidP="00E24628">
            <w:pPr>
              <w:rPr>
                <w:lang w:val="en-US"/>
              </w:rPr>
            </w:pPr>
            <w:r w:rsidRPr="00727C8E">
              <w:rPr>
                <w:lang w:val="en-US"/>
              </w:rPr>
              <w:t xml:space="preserve">Clearance of </w:t>
            </w:r>
            <w:proofErr w:type="spellStart"/>
            <w:r w:rsidR="00FA00C2">
              <w:rPr>
                <w:lang w:val="en-US"/>
              </w:rPr>
              <w:t>I</w:t>
            </w:r>
            <w:r w:rsidR="007040BC" w:rsidRPr="00727C8E">
              <w:rPr>
                <w:lang w:val="en-US"/>
              </w:rPr>
              <w:t>g</w:t>
            </w:r>
            <w:r w:rsidR="00FA00C2">
              <w:rPr>
                <w:lang w:val="en-US"/>
              </w:rPr>
              <w:t>E</w:t>
            </w:r>
            <w:proofErr w:type="spellEnd"/>
          </w:p>
        </w:tc>
      </w:tr>
      <w:tr w:rsidR="00602B82" w:rsidRPr="00FD119B" w:rsidTr="00E24628">
        <w:tc>
          <w:tcPr>
            <w:tcW w:w="1809" w:type="dxa"/>
          </w:tcPr>
          <w:p w:rsidR="00602B82" w:rsidRPr="00727C8E" w:rsidRDefault="00602B82" w:rsidP="00E24628">
            <w:pPr>
              <w:rPr>
                <w:iCs/>
                <w:lang w:val="en-US"/>
              </w:rPr>
            </w:pPr>
            <w:r w:rsidRPr="00727C8E">
              <w:rPr>
                <w:iCs/>
                <w:lang w:val="en-US"/>
              </w:rPr>
              <w:t>CLC</w:t>
            </w:r>
          </w:p>
        </w:tc>
        <w:tc>
          <w:tcPr>
            <w:tcW w:w="6911" w:type="dxa"/>
          </w:tcPr>
          <w:p w:rsidR="00602B82" w:rsidRPr="00727C8E" w:rsidRDefault="00602B82" w:rsidP="00E24628">
            <w:pPr>
              <w:rPr>
                <w:lang w:val="en-US"/>
              </w:rPr>
            </w:pPr>
            <w:r w:rsidRPr="00727C8E">
              <w:rPr>
                <w:lang w:val="en-US"/>
              </w:rPr>
              <w:t xml:space="preserve">Clearance of the </w:t>
            </w:r>
            <w:proofErr w:type="spellStart"/>
            <w:r w:rsidR="005A1D2B">
              <w:rPr>
                <w:lang w:val="en-US"/>
              </w:rPr>
              <w:t>omalizumab</w:t>
            </w:r>
            <w:proofErr w:type="spellEnd"/>
            <w:r w:rsidR="005A1D2B">
              <w:rPr>
                <w:lang w:val="en-US"/>
              </w:rPr>
              <w:t xml:space="preserve"> (</w:t>
            </w:r>
            <w:proofErr w:type="spellStart"/>
            <w:r w:rsidR="005A1D2B">
              <w:rPr>
                <w:lang w:val="en-US"/>
              </w:rPr>
              <w:t>rch</w:t>
            </w:r>
            <w:proofErr w:type="spellEnd"/>
            <w:r w:rsidR="005A1D2B">
              <w:rPr>
                <w:lang w:val="en-US"/>
              </w:rPr>
              <w:t>)</w:t>
            </w:r>
            <w:r w:rsidRPr="00727C8E">
              <w:rPr>
                <w:lang w:val="en-US"/>
              </w:rPr>
              <w:t>-</w:t>
            </w:r>
            <w:proofErr w:type="spellStart"/>
            <w:r w:rsidR="00FA00C2">
              <w:rPr>
                <w:lang w:val="en-US"/>
              </w:rPr>
              <w:t>IgE</w:t>
            </w:r>
            <w:proofErr w:type="spellEnd"/>
            <w:r w:rsidR="007040BC" w:rsidRPr="00727C8E">
              <w:rPr>
                <w:lang w:val="en-US"/>
              </w:rPr>
              <w:t xml:space="preserve"> </w:t>
            </w:r>
            <w:r w:rsidRPr="00727C8E">
              <w:rPr>
                <w:lang w:val="en-US"/>
              </w:rPr>
              <w:t>complex</w:t>
            </w:r>
          </w:p>
        </w:tc>
      </w:tr>
      <w:tr w:rsidR="00602B82" w:rsidRPr="00FD119B" w:rsidTr="00E24628">
        <w:tc>
          <w:tcPr>
            <w:tcW w:w="1809" w:type="dxa"/>
          </w:tcPr>
          <w:p w:rsidR="00602B82" w:rsidRPr="00727C8E" w:rsidRDefault="00602B82" w:rsidP="00E24628">
            <w:pPr>
              <w:rPr>
                <w:lang w:val="en-US"/>
              </w:rPr>
            </w:pPr>
            <w:r w:rsidRPr="00727C8E">
              <w:rPr>
                <w:lang w:val="en-US"/>
              </w:rPr>
              <w:t>CV</w:t>
            </w:r>
          </w:p>
        </w:tc>
        <w:tc>
          <w:tcPr>
            <w:tcW w:w="6911" w:type="dxa"/>
          </w:tcPr>
          <w:p w:rsidR="00602B82" w:rsidRPr="00727C8E" w:rsidRDefault="007040BC" w:rsidP="00E24628">
            <w:pPr>
              <w:rPr>
                <w:lang w:val="en-US"/>
              </w:rPr>
            </w:pPr>
            <w:r w:rsidRPr="00727C8E">
              <w:rPr>
                <w:lang w:val="en-US"/>
              </w:rPr>
              <w:t>Coeffic</w:t>
            </w:r>
            <w:r w:rsidR="00602B82" w:rsidRPr="00727C8E">
              <w:rPr>
                <w:lang w:val="en-US"/>
              </w:rPr>
              <w:t>ient of variation</w:t>
            </w:r>
          </w:p>
        </w:tc>
      </w:tr>
      <w:tr w:rsidR="00602B82" w:rsidRPr="00FD119B" w:rsidTr="00E24628">
        <w:tc>
          <w:tcPr>
            <w:tcW w:w="1809" w:type="dxa"/>
          </w:tcPr>
          <w:p w:rsidR="00602B82" w:rsidRPr="00727C8E" w:rsidRDefault="00E24628" w:rsidP="00E24628">
            <w:pPr>
              <w:rPr>
                <w:lang w:val="en-US"/>
              </w:rPr>
            </w:pPr>
            <w:r>
              <w:rPr>
                <w:lang w:val="en-US"/>
              </w:rPr>
              <w:t>DPI</w:t>
            </w:r>
          </w:p>
        </w:tc>
        <w:tc>
          <w:tcPr>
            <w:tcW w:w="6911" w:type="dxa"/>
          </w:tcPr>
          <w:p w:rsidR="00602B82" w:rsidRPr="00727C8E" w:rsidRDefault="007040BC" w:rsidP="00E24628">
            <w:pPr>
              <w:rPr>
                <w:lang w:val="en-US"/>
              </w:rPr>
            </w:pPr>
            <w:r w:rsidRPr="00727C8E">
              <w:rPr>
                <w:lang w:val="en-US"/>
              </w:rPr>
              <w:t>Dry powder inhaler</w:t>
            </w:r>
          </w:p>
        </w:tc>
      </w:tr>
      <w:tr w:rsidR="00602B82" w:rsidRPr="00FD119B" w:rsidTr="00E24628">
        <w:tc>
          <w:tcPr>
            <w:tcW w:w="1809" w:type="dxa"/>
          </w:tcPr>
          <w:p w:rsidR="00602B82" w:rsidRPr="00727C8E" w:rsidRDefault="00E24628" w:rsidP="00E24628">
            <w:pPr>
              <w:rPr>
                <w:lang w:val="en-US"/>
              </w:rPr>
            </w:pPr>
            <w:r>
              <w:rPr>
                <w:lang w:val="en-US"/>
              </w:rPr>
              <w:t>DSMB</w:t>
            </w:r>
          </w:p>
        </w:tc>
        <w:tc>
          <w:tcPr>
            <w:tcW w:w="6911" w:type="dxa"/>
          </w:tcPr>
          <w:p w:rsidR="00602B82" w:rsidRPr="00727C8E" w:rsidRDefault="007040BC" w:rsidP="00E24628">
            <w:pPr>
              <w:rPr>
                <w:lang w:val="en-US"/>
              </w:rPr>
            </w:pPr>
            <w:r w:rsidRPr="00727C8E">
              <w:rPr>
                <w:lang w:val="en-US"/>
              </w:rPr>
              <w:t>Data safety monitoring board</w:t>
            </w:r>
          </w:p>
        </w:tc>
      </w:tr>
      <w:tr w:rsidR="00602B82" w:rsidRPr="00FD119B" w:rsidTr="00E24628">
        <w:tc>
          <w:tcPr>
            <w:tcW w:w="1809" w:type="dxa"/>
          </w:tcPr>
          <w:p w:rsidR="00602B82" w:rsidRPr="00727C8E" w:rsidRDefault="00E24628" w:rsidP="00E24628">
            <w:pPr>
              <w:rPr>
                <w:lang w:val="en-US"/>
              </w:rPr>
            </w:pPr>
            <w:proofErr w:type="spellStart"/>
            <w:r>
              <w:rPr>
                <w:lang w:val="en-US"/>
              </w:rPr>
              <w:t>eCRF</w:t>
            </w:r>
            <w:proofErr w:type="spellEnd"/>
          </w:p>
        </w:tc>
        <w:tc>
          <w:tcPr>
            <w:tcW w:w="6911" w:type="dxa"/>
          </w:tcPr>
          <w:p w:rsidR="00602B82" w:rsidRPr="00727C8E" w:rsidRDefault="007040BC" w:rsidP="00E24628">
            <w:pPr>
              <w:rPr>
                <w:lang w:val="en-US"/>
              </w:rPr>
            </w:pPr>
            <w:r w:rsidRPr="00727C8E">
              <w:rPr>
                <w:lang w:val="en-US"/>
              </w:rPr>
              <w:t>Electronic case report/record form</w:t>
            </w:r>
          </w:p>
        </w:tc>
      </w:tr>
      <w:tr w:rsidR="00602B82" w:rsidRPr="00FD119B" w:rsidTr="00E24628">
        <w:tc>
          <w:tcPr>
            <w:tcW w:w="1809" w:type="dxa"/>
          </w:tcPr>
          <w:p w:rsidR="00602B82" w:rsidRPr="00727C8E" w:rsidRDefault="00E24628" w:rsidP="00E24628">
            <w:pPr>
              <w:rPr>
                <w:lang w:val="en-US"/>
              </w:rPr>
            </w:pPr>
            <w:r>
              <w:rPr>
                <w:lang w:val="en-US"/>
              </w:rPr>
              <w:t>ECG</w:t>
            </w:r>
          </w:p>
        </w:tc>
        <w:tc>
          <w:tcPr>
            <w:tcW w:w="6911" w:type="dxa"/>
          </w:tcPr>
          <w:p w:rsidR="00602B82" w:rsidRPr="00727C8E" w:rsidRDefault="007040BC" w:rsidP="00E24628">
            <w:pPr>
              <w:rPr>
                <w:lang w:val="en-US"/>
              </w:rPr>
            </w:pPr>
            <w:r w:rsidRPr="00727C8E">
              <w:rPr>
                <w:lang w:val="en-US"/>
              </w:rPr>
              <w:t>Electrocardiogram</w:t>
            </w:r>
          </w:p>
        </w:tc>
      </w:tr>
      <w:tr w:rsidR="00602B82" w:rsidRPr="00FD119B" w:rsidTr="00E24628">
        <w:tc>
          <w:tcPr>
            <w:tcW w:w="1809" w:type="dxa"/>
          </w:tcPr>
          <w:p w:rsidR="00602B82" w:rsidRPr="00727C8E" w:rsidRDefault="00602B82" w:rsidP="00E24628">
            <w:pPr>
              <w:rPr>
                <w:rFonts w:eastAsia="SymbolMT"/>
                <w:lang w:val="en-US"/>
              </w:rPr>
            </w:pPr>
            <w:r w:rsidRPr="00727C8E">
              <w:rPr>
                <w:lang w:val="en-US"/>
              </w:rPr>
              <w:t xml:space="preserve">ETA, </w:t>
            </w:r>
            <w:r w:rsidR="00E24628">
              <w:rPr>
                <w:rFonts w:eastAsia="SymbolMT"/>
                <w:lang w:val="en-US"/>
              </w:rPr>
              <w:t>η</w:t>
            </w:r>
          </w:p>
        </w:tc>
        <w:tc>
          <w:tcPr>
            <w:tcW w:w="6911" w:type="dxa"/>
          </w:tcPr>
          <w:p w:rsidR="00602B82" w:rsidRPr="00727C8E" w:rsidRDefault="007040BC" w:rsidP="00E24628">
            <w:pPr>
              <w:rPr>
                <w:lang w:val="en-US"/>
              </w:rPr>
            </w:pPr>
            <w:r w:rsidRPr="00727C8E">
              <w:rPr>
                <w:lang w:val="en-US"/>
              </w:rPr>
              <w:t xml:space="preserve">Unexplained </w:t>
            </w:r>
            <w:r w:rsidR="00602B82" w:rsidRPr="00727C8E">
              <w:rPr>
                <w:lang w:val="en-US"/>
              </w:rPr>
              <w:t>random interpatient variability; for an individual, their ETA value</w:t>
            </w:r>
          </w:p>
        </w:tc>
      </w:tr>
      <w:tr w:rsidR="00602B82" w:rsidRPr="00FD119B" w:rsidTr="00E24628">
        <w:tc>
          <w:tcPr>
            <w:tcW w:w="1809" w:type="dxa"/>
          </w:tcPr>
          <w:p w:rsidR="00602B82" w:rsidRPr="00727C8E" w:rsidRDefault="00602B82" w:rsidP="00E24628">
            <w:pPr>
              <w:rPr>
                <w:rFonts w:eastAsia="SymbolMT"/>
                <w:lang w:val="en-US"/>
              </w:rPr>
            </w:pPr>
            <w:proofErr w:type="spellStart"/>
            <w:r w:rsidRPr="00727C8E">
              <w:rPr>
                <w:lang w:val="en-US"/>
              </w:rPr>
              <w:t>Fc</w:t>
            </w:r>
            <w:r w:rsidR="00E24628">
              <w:rPr>
                <w:rFonts w:eastAsia="SymbolMT"/>
                <w:lang w:val="en-US"/>
              </w:rPr>
              <w:t>ε</w:t>
            </w:r>
            <w:proofErr w:type="spellEnd"/>
          </w:p>
        </w:tc>
        <w:tc>
          <w:tcPr>
            <w:tcW w:w="6911" w:type="dxa"/>
          </w:tcPr>
          <w:p w:rsidR="00602B82" w:rsidRPr="00727C8E" w:rsidRDefault="00602B82" w:rsidP="00E24628">
            <w:pPr>
              <w:rPr>
                <w:lang w:val="en-US"/>
              </w:rPr>
            </w:pPr>
            <w:r w:rsidRPr="00727C8E">
              <w:rPr>
                <w:lang w:val="en-US"/>
              </w:rPr>
              <w:t xml:space="preserve">Fraction crystalline portion of the </w:t>
            </w:r>
            <w:proofErr w:type="spellStart"/>
            <w:r w:rsidR="00FA00C2">
              <w:rPr>
                <w:lang w:val="en-US"/>
              </w:rPr>
              <w:t>IgE</w:t>
            </w:r>
            <w:proofErr w:type="spellEnd"/>
            <w:r w:rsidR="00FA00C2">
              <w:rPr>
                <w:lang w:val="en-US"/>
              </w:rPr>
              <w:t xml:space="preserve"> </w:t>
            </w:r>
            <w:r w:rsidRPr="00727C8E">
              <w:rPr>
                <w:lang w:val="en-US"/>
              </w:rPr>
              <w:t>molecule</w:t>
            </w:r>
          </w:p>
        </w:tc>
      </w:tr>
      <w:tr w:rsidR="00602B82" w:rsidRPr="00FD119B" w:rsidTr="00E24628">
        <w:tc>
          <w:tcPr>
            <w:tcW w:w="1809" w:type="dxa"/>
          </w:tcPr>
          <w:p w:rsidR="00602B82" w:rsidRPr="00727C8E" w:rsidRDefault="00E24628" w:rsidP="00E24628">
            <w:pPr>
              <w:rPr>
                <w:lang w:val="en-US"/>
              </w:rPr>
            </w:pPr>
            <w:r>
              <w:rPr>
                <w:lang w:val="en-US"/>
              </w:rPr>
              <w:lastRenderedPageBreak/>
              <w:t>FEF25-75%</w:t>
            </w:r>
          </w:p>
        </w:tc>
        <w:tc>
          <w:tcPr>
            <w:tcW w:w="6911" w:type="dxa"/>
          </w:tcPr>
          <w:p w:rsidR="00602B82" w:rsidRPr="00727C8E" w:rsidRDefault="007040BC" w:rsidP="00E24628">
            <w:pPr>
              <w:rPr>
                <w:lang w:val="en-US"/>
              </w:rPr>
            </w:pPr>
            <w:r w:rsidRPr="00727C8E">
              <w:rPr>
                <w:lang w:val="en-US"/>
              </w:rPr>
              <w:t xml:space="preserve">Forced </w:t>
            </w:r>
            <w:r w:rsidR="00602B82" w:rsidRPr="00727C8E">
              <w:rPr>
                <w:lang w:val="en-US"/>
              </w:rPr>
              <w:t>expiratory flow (average rate between 25-75% level of observed FVC)</w:t>
            </w:r>
          </w:p>
        </w:tc>
      </w:tr>
      <w:tr w:rsidR="00602B82" w:rsidRPr="00FD119B" w:rsidTr="00E24628">
        <w:tc>
          <w:tcPr>
            <w:tcW w:w="1809" w:type="dxa"/>
          </w:tcPr>
          <w:p w:rsidR="00602B82" w:rsidRPr="00727C8E" w:rsidRDefault="00E24628" w:rsidP="00E24628">
            <w:pPr>
              <w:rPr>
                <w:lang w:val="en-US"/>
              </w:rPr>
            </w:pPr>
            <w:r>
              <w:rPr>
                <w:lang w:val="en-US"/>
              </w:rPr>
              <w:t>FEV1</w:t>
            </w:r>
          </w:p>
        </w:tc>
        <w:tc>
          <w:tcPr>
            <w:tcW w:w="6911" w:type="dxa"/>
          </w:tcPr>
          <w:p w:rsidR="00602B82" w:rsidRPr="00727C8E" w:rsidRDefault="007040BC" w:rsidP="00E24628">
            <w:pPr>
              <w:rPr>
                <w:lang w:val="en-US"/>
              </w:rPr>
            </w:pPr>
            <w:r w:rsidRPr="00727C8E">
              <w:rPr>
                <w:lang w:val="en-US"/>
              </w:rPr>
              <w:t>Forced expiratory flow i</w:t>
            </w:r>
            <w:r w:rsidR="00602B82" w:rsidRPr="00727C8E">
              <w:rPr>
                <w:lang w:val="en-US"/>
              </w:rPr>
              <w:t>n one second</w:t>
            </w:r>
          </w:p>
        </w:tc>
      </w:tr>
      <w:tr w:rsidR="00602B82" w:rsidRPr="00FD119B" w:rsidTr="00E24628">
        <w:tc>
          <w:tcPr>
            <w:tcW w:w="1809" w:type="dxa"/>
          </w:tcPr>
          <w:p w:rsidR="00602B82" w:rsidRPr="00727C8E" w:rsidRDefault="00E24628" w:rsidP="00E24628">
            <w:pPr>
              <w:rPr>
                <w:lang w:val="en-US"/>
              </w:rPr>
            </w:pPr>
            <w:r>
              <w:rPr>
                <w:lang w:val="en-US"/>
              </w:rPr>
              <w:t>FO</w:t>
            </w:r>
          </w:p>
        </w:tc>
        <w:tc>
          <w:tcPr>
            <w:tcW w:w="6911" w:type="dxa"/>
          </w:tcPr>
          <w:p w:rsidR="00602B82" w:rsidRPr="00727C8E" w:rsidRDefault="007040BC" w:rsidP="00E24628">
            <w:pPr>
              <w:rPr>
                <w:lang w:val="en-US"/>
              </w:rPr>
            </w:pPr>
            <w:r w:rsidRPr="00727C8E">
              <w:rPr>
                <w:lang w:val="en-US"/>
              </w:rPr>
              <w:t xml:space="preserve">First </w:t>
            </w:r>
            <w:r w:rsidR="00602B82" w:rsidRPr="00727C8E">
              <w:rPr>
                <w:lang w:val="en-US"/>
              </w:rPr>
              <w:t>order, an estimation method on NONMEM</w:t>
            </w:r>
          </w:p>
        </w:tc>
      </w:tr>
      <w:tr w:rsidR="00602B82" w:rsidRPr="00FD119B" w:rsidTr="00E24628">
        <w:tc>
          <w:tcPr>
            <w:tcW w:w="1809" w:type="dxa"/>
          </w:tcPr>
          <w:p w:rsidR="00602B82" w:rsidRPr="00727C8E" w:rsidRDefault="00E24628" w:rsidP="00E24628">
            <w:pPr>
              <w:rPr>
                <w:lang w:val="en-US"/>
              </w:rPr>
            </w:pPr>
            <w:r>
              <w:rPr>
                <w:lang w:val="en-US"/>
              </w:rPr>
              <w:t>FVC</w:t>
            </w:r>
          </w:p>
        </w:tc>
        <w:tc>
          <w:tcPr>
            <w:tcW w:w="6911" w:type="dxa"/>
          </w:tcPr>
          <w:p w:rsidR="00602B82" w:rsidRPr="00727C8E" w:rsidRDefault="007040BC" w:rsidP="00E24628">
            <w:pPr>
              <w:rPr>
                <w:lang w:val="en-US"/>
              </w:rPr>
            </w:pPr>
            <w:r w:rsidRPr="00727C8E">
              <w:rPr>
                <w:lang w:val="en-US"/>
              </w:rPr>
              <w:t>Forced vital capacity</w:t>
            </w:r>
          </w:p>
        </w:tc>
      </w:tr>
      <w:tr w:rsidR="00602B82" w:rsidRPr="00FD119B" w:rsidTr="00E24628">
        <w:tc>
          <w:tcPr>
            <w:tcW w:w="1809" w:type="dxa"/>
          </w:tcPr>
          <w:p w:rsidR="00602B82" w:rsidRPr="00727C8E" w:rsidRDefault="00E24628" w:rsidP="00E24628">
            <w:pPr>
              <w:rPr>
                <w:lang w:val="en-US"/>
              </w:rPr>
            </w:pPr>
            <w:r>
              <w:rPr>
                <w:lang w:val="en-US"/>
              </w:rPr>
              <w:t>GCP</w:t>
            </w:r>
          </w:p>
        </w:tc>
        <w:tc>
          <w:tcPr>
            <w:tcW w:w="6911" w:type="dxa"/>
          </w:tcPr>
          <w:p w:rsidR="00602B82" w:rsidRPr="00727C8E" w:rsidRDefault="00FE55CF" w:rsidP="00E24628">
            <w:pPr>
              <w:rPr>
                <w:lang w:val="en-US"/>
              </w:rPr>
            </w:pPr>
            <w:r w:rsidRPr="00727C8E">
              <w:rPr>
                <w:lang w:val="en-US"/>
              </w:rPr>
              <w:t>Good</w:t>
            </w:r>
            <w:r w:rsidR="007040BC" w:rsidRPr="00727C8E">
              <w:rPr>
                <w:lang w:val="en-US"/>
              </w:rPr>
              <w:t xml:space="preserve"> clinical practice</w:t>
            </w:r>
          </w:p>
        </w:tc>
      </w:tr>
      <w:tr w:rsidR="00602B82" w:rsidRPr="00FD119B" w:rsidTr="00E24628">
        <w:tc>
          <w:tcPr>
            <w:tcW w:w="1809" w:type="dxa"/>
          </w:tcPr>
          <w:p w:rsidR="00602B82" w:rsidRPr="00727C8E" w:rsidRDefault="00E24628" w:rsidP="00E24628">
            <w:pPr>
              <w:rPr>
                <w:lang w:val="en-US"/>
              </w:rPr>
            </w:pPr>
            <w:r>
              <w:rPr>
                <w:lang w:val="en-US"/>
              </w:rPr>
              <w:t>GEE</w:t>
            </w:r>
          </w:p>
        </w:tc>
        <w:tc>
          <w:tcPr>
            <w:tcW w:w="6911" w:type="dxa"/>
          </w:tcPr>
          <w:p w:rsidR="00602B82" w:rsidRPr="00727C8E" w:rsidRDefault="007040BC" w:rsidP="00E24628">
            <w:pPr>
              <w:rPr>
                <w:lang w:val="en-US"/>
              </w:rPr>
            </w:pPr>
            <w:r w:rsidRPr="00727C8E">
              <w:rPr>
                <w:lang w:val="en-US"/>
              </w:rPr>
              <w:t>Generalized estimating equation</w:t>
            </w:r>
          </w:p>
        </w:tc>
      </w:tr>
      <w:tr w:rsidR="00602B82" w:rsidRPr="00FD119B" w:rsidTr="00E24628">
        <w:tc>
          <w:tcPr>
            <w:tcW w:w="1809" w:type="dxa"/>
          </w:tcPr>
          <w:p w:rsidR="00602B82" w:rsidRPr="00727C8E" w:rsidRDefault="00E24628" w:rsidP="00E24628">
            <w:pPr>
              <w:rPr>
                <w:lang w:val="en-US"/>
              </w:rPr>
            </w:pPr>
            <w:r>
              <w:rPr>
                <w:lang w:val="en-US"/>
              </w:rPr>
              <w:t>GINA</w:t>
            </w:r>
          </w:p>
        </w:tc>
        <w:tc>
          <w:tcPr>
            <w:tcW w:w="6911" w:type="dxa"/>
          </w:tcPr>
          <w:p w:rsidR="00602B82" w:rsidRPr="00727C8E" w:rsidRDefault="00602B82" w:rsidP="00E24628">
            <w:pPr>
              <w:rPr>
                <w:lang w:val="en-US"/>
              </w:rPr>
            </w:pPr>
            <w:r w:rsidRPr="00727C8E">
              <w:rPr>
                <w:lang w:val="en-US"/>
              </w:rPr>
              <w:t>Global Initiative for Asthma</w:t>
            </w:r>
          </w:p>
        </w:tc>
      </w:tr>
      <w:tr w:rsidR="00602B82" w:rsidRPr="00FD119B" w:rsidTr="00E24628">
        <w:tc>
          <w:tcPr>
            <w:tcW w:w="1809" w:type="dxa"/>
          </w:tcPr>
          <w:p w:rsidR="00602B82" w:rsidRPr="00727C8E" w:rsidRDefault="00E24628" w:rsidP="00E24628">
            <w:pPr>
              <w:rPr>
                <w:lang w:val="en-US"/>
              </w:rPr>
            </w:pPr>
            <w:r>
              <w:rPr>
                <w:lang w:val="en-US"/>
              </w:rPr>
              <w:t>ICS</w:t>
            </w:r>
          </w:p>
        </w:tc>
        <w:tc>
          <w:tcPr>
            <w:tcW w:w="6911" w:type="dxa"/>
          </w:tcPr>
          <w:p w:rsidR="00602B82" w:rsidRPr="00727C8E" w:rsidRDefault="007040BC" w:rsidP="00E24628">
            <w:pPr>
              <w:rPr>
                <w:lang w:val="en-US"/>
              </w:rPr>
            </w:pPr>
            <w:r w:rsidRPr="00727C8E">
              <w:rPr>
                <w:lang w:val="en-US"/>
              </w:rPr>
              <w:t>Inhaled corticosteroid</w:t>
            </w:r>
          </w:p>
        </w:tc>
      </w:tr>
      <w:tr w:rsidR="00602B82" w:rsidRPr="00FD119B" w:rsidTr="00E24628">
        <w:tc>
          <w:tcPr>
            <w:tcW w:w="1809" w:type="dxa"/>
          </w:tcPr>
          <w:p w:rsidR="00602B82" w:rsidRPr="00727C8E" w:rsidRDefault="00602B82" w:rsidP="00E24628">
            <w:pPr>
              <w:rPr>
                <w:lang w:val="en-US"/>
              </w:rPr>
            </w:pPr>
            <w:proofErr w:type="spellStart"/>
            <w:r w:rsidRPr="00727C8E">
              <w:rPr>
                <w:lang w:val="en-US"/>
              </w:rPr>
              <w:t>IgE</w:t>
            </w:r>
            <w:proofErr w:type="spellEnd"/>
          </w:p>
        </w:tc>
        <w:tc>
          <w:tcPr>
            <w:tcW w:w="6911" w:type="dxa"/>
          </w:tcPr>
          <w:p w:rsidR="00602B82" w:rsidRPr="00727C8E" w:rsidRDefault="007040BC" w:rsidP="00E24628">
            <w:pPr>
              <w:rPr>
                <w:lang w:val="en-US"/>
              </w:rPr>
            </w:pPr>
            <w:r w:rsidRPr="00727C8E">
              <w:rPr>
                <w:lang w:val="en-US"/>
              </w:rPr>
              <w:t xml:space="preserve">Immunoglobulin </w:t>
            </w:r>
            <w:r w:rsidR="00602B82" w:rsidRPr="00727C8E">
              <w:rPr>
                <w:lang w:val="en-US"/>
              </w:rPr>
              <w:t>E</w:t>
            </w:r>
          </w:p>
        </w:tc>
      </w:tr>
      <w:tr w:rsidR="00602B82" w:rsidRPr="00FD119B" w:rsidTr="00E24628">
        <w:tc>
          <w:tcPr>
            <w:tcW w:w="1809" w:type="dxa"/>
          </w:tcPr>
          <w:p w:rsidR="00602B82" w:rsidRPr="00727C8E" w:rsidRDefault="00E24628" w:rsidP="00E24628">
            <w:pPr>
              <w:rPr>
                <w:lang w:val="en-US"/>
              </w:rPr>
            </w:pPr>
            <w:r>
              <w:rPr>
                <w:lang w:val="en-US"/>
              </w:rPr>
              <w:t>IgE0</w:t>
            </w:r>
          </w:p>
        </w:tc>
        <w:tc>
          <w:tcPr>
            <w:tcW w:w="6911" w:type="dxa"/>
          </w:tcPr>
          <w:p w:rsidR="00602B82" w:rsidRPr="00727C8E" w:rsidRDefault="007040BC" w:rsidP="00E24628">
            <w:pPr>
              <w:rPr>
                <w:lang w:val="en-US"/>
              </w:rPr>
            </w:pPr>
            <w:r w:rsidRPr="00727C8E">
              <w:rPr>
                <w:lang w:val="en-US"/>
              </w:rPr>
              <w:t>Basel</w:t>
            </w:r>
            <w:r w:rsidR="00602B82" w:rsidRPr="00727C8E">
              <w:rPr>
                <w:lang w:val="en-US"/>
              </w:rPr>
              <w:t xml:space="preserve">ine level of </w:t>
            </w:r>
            <w:proofErr w:type="spellStart"/>
            <w:r w:rsidR="00FA00C2">
              <w:rPr>
                <w:lang w:val="en-US"/>
              </w:rPr>
              <w:t>I</w:t>
            </w:r>
            <w:r w:rsidRPr="00727C8E">
              <w:rPr>
                <w:lang w:val="en-US"/>
              </w:rPr>
              <w:t>g</w:t>
            </w:r>
            <w:r w:rsidR="00FA00C2">
              <w:rPr>
                <w:lang w:val="en-US"/>
              </w:rPr>
              <w:t>E</w:t>
            </w:r>
            <w:proofErr w:type="spellEnd"/>
            <w:r w:rsidRPr="00727C8E">
              <w:rPr>
                <w:lang w:val="en-US"/>
              </w:rPr>
              <w:t xml:space="preserve"> </w:t>
            </w:r>
            <w:r w:rsidR="00602B82" w:rsidRPr="00727C8E">
              <w:rPr>
                <w:lang w:val="en-US"/>
              </w:rPr>
              <w:t xml:space="preserve">at time zero, </w:t>
            </w:r>
            <w:r w:rsidR="00FE55CF">
              <w:rPr>
                <w:lang w:val="en-US"/>
              </w:rPr>
              <w:t>that is,</w:t>
            </w:r>
            <w:r w:rsidR="00602B82" w:rsidRPr="00727C8E">
              <w:rPr>
                <w:lang w:val="en-US"/>
              </w:rPr>
              <w:t xml:space="preserve"> before </w:t>
            </w:r>
            <w:proofErr w:type="spellStart"/>
            <w:r w:rsidR="005A1D2B">
              <w:rPr>
                <w:lang w:val="en-US"/>
              </w:rPr>
              <w:t>omalizumab</w:t>
            </w:r>
            <w:proofErr w:type="spellEnd"/>
            <w:r w:rsidR="005A1D2B">
              <w:rPr>
                <w:lang w:val="en-US"/>
              </w:rPr>
              <w:t xml:space="preserve"> (</w:t>
            </w:r>
            <w:proofErr w:type="spellStart"/>
            <w:r w:rsidR="005A1D2B">
              <w:rPr>
                <w:lang w:val="en-US"/>
              </w:rPr>
              <w:t>rch</w:t>
            </w:r>
            <w:proofErr w:type="spellEnd"/>
            <w:r w:rsidR="005A1D2B">
              <w:rPr>
                <w:lang w:val="en-US"/>
              </w:rPr>
              <w:t>)</w:t>
            </w:r>
            <w:r w:rsidR="00602B82" w:rsidRPr="00727C8E">
              <w:rPr>
                <w:lang w:val="en-US"/>
              </w:rPr>
              <w:t xml:space="preserve"> is given</w:t>
            </w:r>
          </w:p>
        </w:tc>
      </w:tr>
      <w:tr w:rsidR="00602B82" w:rsidRPr="00FD119B" w:rsidTr="00E24628">
        <w:tc>
          <w:tcPr>
            <w:tcW w:w="1809" w:type="dxa"/>
          </w:tcPr>
          <w:p w:rsidR="00602B82" w:rsidRPr="00727C8E" w:rsidRDefault="00E24628" w:rsidP="00E24628">
            <w:pPr>
              <w:rPr>
                <w:lang w:val="en-US"/>
              </w:rPr>
            </w:pPr>
            <w:r>
              <w:rPr>
                <w:lang w:val="en-US"/>
              </w:rPr>
              <w:t>ITT</w:t>
            </w:r>
          </w:p>
        </w:tc>
        <w:tc>
          <w:tcPr>
            <w:tcW w:w="6911" w:type="dxa"/>
          </w:tcPr>
          <w:p w:rsidR="00602B82" w:rsidRPr="00727C8E" w:rsidRDefault="007040BC" w:rsidP="00E24628">
            <w:pPr>
              <w:rPr>
                <w:lang w:val="en-US"/>
              </w:rPr>
            </w:pPr>
            <w:r w:rsidRPr="00727C8E">
              <w:rPr>
                <w:lang w:val="en-US"/>
              </w:rPr>
              <w:t>Intent to treat (population)</w:t>
            </w:r>
          </w:p>
        </w:tc>
      </w:tr>
      <w:tr w:rsidR="00602B82" w:rsidRPr="00FD119B" w:rsidTr="00E24628">
        <w:tc>
          <w:tcPr>
            <w:tcW w:w="1809" w:type="dxa"/>
          </w:tcPr>
          <w:p w:rsidR="00602B82" w:rsidRPr="00727C8E" w:rsidRDefault="00E24628" w:rsidP="00E24628">
            <w:pPr>
              <w:rPr>
                <w:lang w:val="en-US"/>
              </w:rPr>
            </w:pPr>
            <w:r>
              <w:rPr>
                <w:lang w:val="en-US"/>
              </w:rPr>
              <w:t>IU</w:t>
            </w:r>
          </w:p>
        </w:tc>
        <w:tc>
          <w:tcPr>
            <w:tcW w:w="6911" w:type="dxa"/>
          </w:tcPr>
          <w:p w:rsidR="00602B82" w:rsidRPr="00727C8E" w:rsidRDefault="007040BC" w:rsidP="00E24628">
            <w:pPr>
              <w:rPr>
                <w:lang w:val="en-US"/>
              </w:rPr>
            </w:pPr>
            <w:r w:rsidRPr="00727C8E">
              <w:rPr>
                <w:lang w:val="en-US"/>
              </w:rPr>
              <w:t>International unit</w:t>
            </w:r>
          </w:p>
        </w:tc>
      </w:tr>
      <w:tr w:rsidR="00602B82" w:rsidRPr="00FD119B" w:rsidTr="00E24628">
        <w:tc>
          <w:tcPr>
            <w:tcW w:w="1809" w:type="dxa"/>
          </w:tcPr>
          <w:p w:rsidR="00602B82" w:rsidRPr="00727C8E" w:rsidRDefault="00E24628" w:rsidP="00E24628">
            <w:pPr>
              <w:rPr>
                <w:lang w:val="en-US"/>
              </w:rPr>
            </w:pPr>
            <w:r>
              <w:rPr>
                <w:lang w:val="en-US"/>
              </w:rPr>
              <w:t>IV</w:t>
            </w:r>
          </w:p>
        </w:tc>
        <w:tc>
          <w:tcPr>
            <w:tcW w:w="6911" w:type="dxa"/>
          </w:tcPr>
          <w:p w:rsidR="00602B82" w:rsidRPr="00727C8E" w:rsidRDefault="007040BC" w:rsidP="00E24628">
            <w:pPr>
              <w:rPr>
                <w:lang w:val="en-US"/>
              </w:rPr>
            </w:pPr>
            <w:r w:rsidRPr="00727C8E">
              <w:rPr>
                <w:lang w:val="en-US"/>
              </w:rPr>
              <w:t>Intravenous(</w:t>
            </w:r>
            <w:proofErr w:type="spellStart"/>
            <w:r w:rsidRPr="00727C8E">
              <w:rPr>
                <w:lang w:val="en-US"/>
              </w:rPr>
              <w:t>ly</w:t>
            </w:r>
            <w:proofErr w:type="spellEnd"/>
            <w:r w:rsidRPr="00727C8E">
              <w:rPr>
                <w:lang w:val="en-US"/>
              </w:rPr>
              <w:t>)</w:t>
            </w:r>
          </w:p>
        </w:tc>
      </w:tr>
      <w:tr w:rsidR="00602B82" w:rsidRPr="00FD119B" w:rsidTr="00E24628">
        <w:tc>
          <w:tcPr>
            <w:tcW w:w="1809" w:type="dxa"/>
          </w:tcPr>
          <w:p w:rsidR="00602B82" w:rsidRPr="00727C8E" w:rsidRDefault="00E24628" w:rsidP="00E24628">
            <w:pPr>
              <w:rPr>
                <w:lang w:val="en-US"/>
              </w:rPr>
            </w:pPr>
            <w:r>
              <w:rPr>
                <w:lang w:val="en-US"/>
              </w:rPr>
              <w:t>IVRS</w:t>
            </w:r>
          </w:p>
        </w:tc>
        <w:tc>
          <w:tcPr>
            <w:tcW w:w="6911" w:type="dxa"/>
          </w:tcPr>
          <w:p w:rsidR="00602B82" w:rsidRPr="00727C8E" w:rsidRDefault="007040BC" w:rsidP="00E24628">
            <w:pPr>
              <w:rPr>
                <w:lang w:val="en-US"/>
              </w:rPr>
            </w:pPr>
            <w:r w:rsidRPr="00727C8E">
              <w:rPr>
                <w:lang w:val="en-US"/>
              </w:rPr>
              <w:t>Interactive voice response system</w:t>
            </w:r>
          </w:p>
        </w:tc>
      </w:tr>
      <w:tr w:rsidR="00602B82" w:rsidRPr="00FD119B" w:rsidTr="00E24628">
        <w:tc>
          <w:tcPr>
            <w:tcW w:w="1809" w:type="dxa"/>
          </w:tcPr>
          <w:p w:rsidR="00602B82" w:rsidRPr="00727C8E" w:rsidRDefault="00E24628" w:rsidP="00E24628">
            <w:pPr>
              <w:rPr>
                <w:iCs/>
                <w:lang w:val="en-US"/>
              </w:rPr>
            </w:pPr>
            <w:proofErr w:type="spellStart"/>
            <w:r>
              <w:rPr>
                <w:iCs/>
                <w:lang w:val="en-US"/>
              </w:rPr>
              <w:t>ka</w:t>
            </w:r>
            <w:proofErr w:type="spellEnd"/>
          </w:p>
        </w:tc>
        <w:tc>
          <w:tcPr>
            <w:tcW w:w="6911" w:type="dxa"/>
          </w:tcPr>
          <w:p w:rsidR="00602B82" w:rsidRPr="00727C8E" w:rsidRDefault="007040BC" w:rsidP="00E24628">
            <w:pPr>
              <w:rPr>
                <w:lang w:val="en-US"/>
              </w:rPr>
            </w:pPr>
            <w:r w:rsidRPr="00727C8E">
              <w:rPr>
                <w:lang w:val="en-US"/>
              </w:rPr>
              <w:t>Absorption rate constant</w:t>
            </w:r>
          </w:p>
        </w:tc>
      </w:tr>
      <w:tr w:rsidR="00602B82" w:rsidRPr="00FD119B" w:rsidTr="00E24628">
        <w:tc>
          <w:tcPr>
            <w:tcW w:w="1809" w:type="dxa"/>
          </w:tcPr>
          <w:p w:rsidR="00602B82" w:rsidRPr="00727C8E" w:rsidRDefault="00E24628" w:rsidP="00E24628">
            <w:pPr>
              <w:rPr>
                <w:lang w:val="en-US"/>
              </w:rPr>
            </w:pPr>
            <w:proofErr w:type="spellStart"/>
            <w:r>
              <w:rPr>
                <w:iCs/>
                <w:lang w:val="en-US"/>
              </w:rPr>
              <w:t>Kd</w:t>
            </w:r>
            <w:proofErr w:type="spellEnd"/>
          </w:p>
        </w:tc>
        <w:tc>
          <w:tcPr>
            <w:tcW w:w="6911" w:type="dxa"/>
          </w:tcPr>
          <w:p w:rsidR="00602B82" w:rsidRPr="00727C8E" w:rsidRDefault="00602B82" w:rsidP="00E24628">
            <w:pPr>
              <w:rPr>
                <w:lang w:val="en-US"/>
              </w:rPr>
            </w:pPr>
            <w:r w:rsidRPr="00727C8E">
              <w:rPr>
                <w:lang w:val="en-US"/>
              </w:rPr>
              <w:t>Equilibrium dissociation constant for reversible binding between two entities</w:t>
            </w:r>
            <w:r w:rsidR="00D0027A">
              <w:rPr>
                <w:lang w:val="en-US"/>
              </w:rPr>
              <w:t>.</w:t>
            </w:r>
          </w:p>
        </w:tc>
      </w:tr>
      <w:tr w:rsidR="00602B82" w:rsidRPr="00FD119B" w:rsidTr="00E24628">
        <w:tc>
          <w:tcPr>
            <w:tcW w:w="1809" w:type="dxa"/>
          </w:tcPr>
          <w:p w:rsidR="00602B82" w:rsidRPr="00727C8E" w:rsidRDefault="00E24628" w:rsidP="00E24628">
            <w:pPr>
              <w:rPr>
                <w:lang w:val="en-US"/>
              </w:rPr>
            </w:pPr>
            <w:r>
              <w:rPr>
                <w:lang w:val="en-US"/>
              </w:rPr>
              <w:t>LABA</w:t>
            </w:r>
          </w:p>
        </w:tc>
        <w:tc>
          <w:tcPr>
            <w:tcW w:w="6911" w:type="dxa"/>
          </w:tcPr>
          <w:p w:rsidR="00602B82" w:rsidRPr="00727C8E" w:rsidRDefault="00602B82" w:rsidP="00E24628">
            <w:pPr>
              <w:rPr>
                <w:lang w:val="en-US"/>
              </w:rPr>
            </w:pPr>
            <w:r w:rsidRPr="00727C8E">
              <w:rPr>
                <w:lang w:val="en-US"/>
              </w:rPr>
              <w:t>Long acting beta-2 agonist</w:t>
            </w:r>
          </w:p>
        </w:tc>
      </w:tr>
      <w:tr w:rsidR="00602B82" w:rsidRPr="00FD119B" w:rsidTr="00E24628">
        <w:tc>
          <w:tcPr>
            <w:tcW w:w="1809" w:type="dxa"/>
          </w:tcPr>
          <w:p w:rsidR="00602B82" w:rsidRPr="00727C8E" w:rsidRDefault="00E24628" w:rsidP="00E24628">
            <w:pPr>
              <w:rPr>
                <w:lang w:val="en-US"/>
              </w:rPr>
            </w:pPr>
            <w:r>
              <w:rPr>
                <w:lang w:val="en-US"/>
              </w:rPr>
              <w:t>LOCF</w:t>
            </w:r>
          </w:p>
        </w:tc>
        <w:tc>
          <w:tcPr>
            <w:tcW w:w="6911" w:type="dxa"/>
          </w:tcPr>
          <w:p w:rsidR="00602B82" w:rsidRPr="00727C8E" w:rsidRDefault="007040BC" w:rsidP="00E24628">
            <w:pPr>
              <w:rPr>
                <w:lang w:val="en-US"/>
              </w:rPr>
            </w:pPr>
            <w:r w:rsidRPr="00727C8E">
              <w:rPr>
                <w:lang w:val="en-US"/>
              </w:rPr>
              <w:t>Last observation carried forward</w:t>
            </w:r>
          </w:p>
        </w:tc>
      </w:tr>
      <w:tr w:rsidR="00602B82" w:rsidRPr="00FD119B" w:rsidTr="00E24628">
        <w:tc>
          <w:tcPr>
            <w:tcW w:w="1809" w:type="dxa"/>
          </w:tcPr>
          <w:p w:rsidR="00602B82" w:rsidRPr="00727C8E" w:rsidRDefault="00602B82" w:rsidP="00E24628">
            <w:pPr>
              <w:rPr>
                <w:lang w:val="en-US"/>
              </w:rPr>
            </w:pPr>
            <w:r w:rsidRPr="00727C8E">
              <w:rPr>
                <w:lang w:val="en-US"/>
              </w:rPr>
              <w:t>LSM</w:t>
            </w:r>
          </w:p>
        </w:tc>
        <w:tc>
          <w:tcPr>
            <w:tcW w:w="6911" w:type="dxa"/>
          </w:tcPr>
          <w:p w:rsidR="00602B82" w:rsidRPr="00727C8E" w:rsidRDefault="007040BC" w:rsidP="00E24628">
            <w:pPr>
              <w:rPr>
                <w:lang w:val="en-US"/>
              </w:rPr>
            </w:pPr>
            <w:r w:rsidRPr="00727C8E">
              <w:rPr>
                <w:lang w:val="en-US"/>
              </w:rPr>
              <w:t>Least squares mean</w:t>
            </w:r>
          </w:p>
        </w:tc>
      </w:tr>
      <w:tr w:rsidR="00602B82" w:rsidRPr="00FD119B" w:rsidTr="00E24628">
        <w:tc>
          <w:tcPr>
            <w:tcW w:w="1809" w:type="dxa"/>
          </w:tcPr>
          <w:p w:rsidR="00602B82" w:rsidRPr="00727C8E" w:rsidRDefault="00602B82" w:rsidP="00E24628">
            <w:pPr>
              <w:rPr>
                <w:lang w:val="en-US"/>
              </w:rPr>
            </w:pPr>
            <w:proofErr w:type="spellStart"/>
            <w:r w:rsidRPr="00727C8E">
              <w:rPr>
                <w:lang w:val="en-US"/>
              </w:rPr>
              <w:t>mAb</w:t>
            </w:r>
            <w:proofErr w:type="spellEnd"/>
          </w:p>
        </w:tc>
        <w:tc>
          <w:tcPr>
            <w:tcW w:w="6911" w:type="dxa"/>
          </w:tcPr>
          <w:p w:rsidR="00602B82" w:rsidRPr="00727C8E" w:rsidRDefault="007040BC" w:rsidP="00E24628">
            <w:pPr>
              <w:rPr>
                <w:lang w:val="en-US"/>
              </w:rPr>
            </w:pPr>
            <w:r w:rsidRPr="00727C8E">
              <w:rPr>
                <w:lang w:val="en-US"/>
              </w:rPr>
              <w:t>Monoclonal antibody</w:t>
            </w:r>
          </w:p>
        </w:tc>
      </w:tr>
      <w:tr w:rsidR="00602B82" w:rsidRPr="00FD119B" w:rsidTr="00E24628">
        <w:tc>
          <w:tcPr>
            <w:tcW w:w="1809" w:type="dxa"/>
          </w:tcPr>
          <w:p w:rsidR="00602B82" w:rsidRPr="00727C8E" w:rsidRDefault="00E24628" w:rsidP="00E24628">
            <w:pPr>
              <w:rPr>
                <w:lang w:val="en-US"/>
              </w:rPr>
            </w:pPr>
            <w:r>
              <w:rPr>
                <w:lang w:val="en-US"/>
              </w:rPr>
              <w:t>MDI</w:t>
            </w:r>
          </w:p>
        </w:tc>
        <w:tc>
          <w:tcPr>
            <w:tcW w:w="6911" w:type="dxa"/>
          </w:tcPr>
          <w:p w:rsidR="00602B82" w:rsidRPr="00727C8E" w:rsidRDefault="007040BC" w:rsidP="00E24628">
            <w:pPr>
              <w:rPr>
                <w:lang w:val="en-US"/>
              </w:rPr>
            </w:pPr>
            <w:r w:rsidRPr="00727C8E">
              <w:rPr>
                <w:lang w:val="en-US"/>
              </w:rPr>
              <w:t>M</w:t>
            </w:r>
            <w:r w:rsidR="00602B82" w:rsidRPr="00727C8E">
              <w:rPr>
                <w:lang w:val="en-US"/>
              </w:rPr>
              <w:t>etered dose inhaler</w:t>
            </w:r>
          </w:p>
        </w:tc>
      </w:tr>
      <w:tr w:rsidR="00602B82" w:rsidRPr="00FD119B" w:rsidTr="00E24628">
        <w:tc>
          <w:tcPr>
            <w:tcW w:w="1809" w:type="dxa"/>
          </w:tcPr>
          <w:p w:rsidR="00602B82" w:rsidRPr="00727C8E" w:rsidRDefault="00E24628" w:rsidP="00E24628">
            <w:pPr>
              <w:rPr>
                <w:lang w:val="en-US"/>
              </w:rPr>
            </w:pPr>
            <w:r>
              <w:rPr>
                <w:lang w:val="en-US"/>
              </w:rPr>
              <w:t>MITT</w:t>
            </w:r>
          </w:p>
        </w:tc>
        <w:tc>
          <w:tcPr>
            <w:tcW w:w="6911" w:type="dxa"/>
          </w:tcPr>
          <w:p w:rsidR="00602B82" w:rsidRPr="00727C8E" w:rsidRDefault="007040BC" w:rsidP="00E24628">
            <w:pPr>
              <w:rPr>
                <w:lang w:val="en-US"/>
              </w:rPr>
            </w:pPr>
            <w:r w:rsidRPr="00727C8E">
              <w:rPr>
                <w:lang w:val="en-US"/>
              </w:rPr>
              <w:t>Modified intent to treat (population)</w:t>
            </w:r>
          </w:p>
        </w:tc>
      </w:tr>
      <w:tr w:rsidR="00602B82" w:rsidRPr="00FD119B" w:rsidTr="00E24628">
        <w:tc>
          <w:tcPr>
            <w:tcW w:w="1809" w:type="dxa"/>
          </w:tcPr>
          <w:p w:rsidR="00602B82" w:rsidRPr="00727C8E" w:rsidRDefault="00E24628" w:rsidP="00E24628">
            <w:pPr>
              <w:rPr>
                <w:lang w:val="en-US"/>
              </w:rPr>
            </w:pPr>
            <w:r>
              <w:rPr>
                <w:lang w:val="en-US"/>
              </w:rPr>
              <w:t>NAEPP</w:t>
            </w:r>
          </w:p>
        </w:tc>
        <w:tc>
          <w:tcPr>
            <w:tcW w:w="6911" w:type="dxa"/>
          </w:tcPr>
          <w:p w:rsidR="00602B82" w:rsidRPr="00727C8E" w:rsidRDefault="00602B82" w:rsidP="00E24628">
            <w:pPr>
              <w:rPr>
                <w:lang w:val="en-US"/>
              </w:rPr>
            </w:pPr>
            <w:r w:rsidRPr="00727C8E">
              <w:rPr>
                <w:lang w:val="en-US"/>
              </w:rPr>
              <w:t>National Asthma Education and Prevention Program</w:t>
            </w:r>
          </w:p>
        </w:tc>
      </w:tr>
      <w:tr w:rsidR="00602B82" w:rsidRPr="00FD119B" w:rsidTr="00E24628">
        <w:tc>
          <w:tcPr>
            <w:tcW w:w="1809" w:type="dxa"/>
          </w:tcPr>
          <w:p w:rsidR="00602B82" w:rsidRPr="00727C8E" w:rsidRDefault="00E24628" w:rsidP="00E24628">
            <w:pPr>
              <w:rPr>
                <w:lang w:val="en-US"/>
              </w:rPr>
            </w:pPr>
            <w:r>
              <w:rPr>
                <w:lang w:val="en-US"/>
              </w:rPr>
              <w:t>NHLBI</w:t>
            </w:r>
          </w:p>
        </w:tc>
        <w:tc>
          <w:tcPr>
            <w:tcW w:w="6911" w:type="dxa"/>
          </w:tcPr>
          <w:p w:rsidR="00602B82" w:rsidRPr="00727C8E" w:rsidRDefault="00602B82" w:rsidP="00E24628">
            <w:pPr>
              <w:rPr>
                <w:lang w:val="en-US"/>
              </w:rPr>
            </w:pPr>
            <w:r w:rsidRPr="00727C8E">
              <w:rPr>
                <w:lang w:val="en-US"/>
              </w:rPr>
              <w:t>National Heart, Lung and Blood Institute</w:t>
            </w:r>
          </w:p>
        </w:tc>
      </w:tr>
      <w:tr w:rsidR="00602B82" w:rsidRPr="00FD119B" w:rsidTr="00E24628">
        <w:tc>
          <w:tcPr>
            <w:tcW w:w="1809" w:type="dxa"/>
          </w:tcPr>
          <w:p w:rsidR="00602B82" w:rsidRPr="00727C8E" w:rsidRDefault="00E24628" w:rsidP="00E24628">
            <w:pPr>
              <w:rPr>
                <w:lang w:val="en-US"/>
              </w:rPr>
            </w:pPr>
            <w:r>
              <w:rPr>
                <w:lang w:val="en-US"/>
              </w:rPr>
              <w:lastRenderedPageBreak/>
              <w:t>NONMEM</w:t>
            </w:r>
          </w:p>
        </w:tc>
        <w:tc>
          <w:tcPr>
            <w:tcW w:w="6911" w:type="dxa"/>
          </w:tcPr>
          <w:p w:rsidR="00602B82" w:rsidRPr="00727C8E" w:rsidRDefault="00602B82" w:rsidP="00E24628">
            <w:pPr>
              <w:rPr>
                <w:lang w:val="en-US"/>
              </w:rPr>
            </w:pPr>
            <w:r w:rsidRPr="00727C8E">
              <w:rPr>
                <w:lang w:val="en-US"/>
              </w:rPr>
              <w:t>Nonlinear Mixed Effects Modelling software</w:t>
            </w:r>
          </w:p>
        </w:tc>
      </w:tr>
      <w:tr w:rsidR="00602B82" w:rsidRPr="00493D04" w:rsidTr="00E24628">
        <w:tc>
          <w:tcPr>
            <w:tcW w:w="1809" w:type="dxa"/>
          </w:tcPr>
          <w:p w:rsidR="00602B82" w:rsidRPr="00727C8E" w:rsidRDefault="00E24628" w:rsidP="00E24628">
            <w:pPr>
              <w:rPr>
                <w:lang w:val="en-US"/>
              </w:rPr>
            </w:pPr>
            <w:r>
              <w:rPr>
                <w:lang w:val="en-US"/>
              </w:rPr>
              <w:t>NSAID</w:t>
            </w:r>
          </w:p>
        </w:tc>
        <w:tc>
          <w:tcPr>
            <w:tcW w:w="6911" w:type="dxa"/>
          </w:tcPr>
          <w:p w:rsidR="00602B82" w:rsidRPr="00650065" w:rsidRDefault="007040BC" w:rsidP="00E24628">
            <w:pPr>
              <w:rPr>
                <w:lang w:val="it-IT"/>
              </w:rPr>
            </w:pPr>
            <w:r w:rsidRPr="00650065">
              <w:rPr>
                <w:lang w:val="it-IT"/>
              </w:rPr>
              <w:t>Non-steroidal anti-inflam</w:t>
            </w:r>
            <w:r w:rsidR="00602B82" w:rsidRPr="00650065">
              <w:rPr>
                <w:lang w:val="it-IT"/>
              </w:rPr>
              <w:t>matory drug</w:t>
            </w:r>
          </w:p>
        </w:tc>
      </w:tr>
      <w:tr w:rsidR="00602B82" w:rsidRPr="00FD119B" w:rsidTr="00E24628">
        <w:tc>
          <w:tcPr>
            <w:tcW w:w="1809" w:type="dxa"/>
          </w:tcPr>
          <w:p w:rsidR="00602B82" w:rsidRPr="00727C8E" w:rsidRDefault="00E24628" w:rsidP="00E24628">
            <w:pPr>
              <w:rPr>
                <w:lang w:val="en-US"/>
              </w:rPr>
            </w:pPr>
            <w:r>
              <w:rPr>
                <w:lang w:val="en-US"/>
              </w:rPr>
              <w:t>PAQLQ</w:t>
            </w:r>
          </w:p>
        </w:tc>
        <w:tc>
          <w:tcPr>
            <w:tcW w:w="6911" w:type="dxa"/>
          </w:tcPr>
          <w:p w:rsidR="00602B82" w:rsidRPr="00727C8E" w:rsidRDefault="00602B82" w:rsidP="00E24628">
            <w:pPr>
              <w:rPr>
                <w:lang w:val="en-US"/>
              </w:rPr>
            </w:pPr>
            <w:r w:rsidRPr="00727C8E">
              <w:rPr>
                <w:lang w:val="en-US"/>
              </w:rPr>
              <w:t>Pediatric Asthma Quality of Life Questionnaire</w:t>
            </w:r>
          </w:p>
        </w:tc>
      </w:tr>
      <w:tr w:rsidR="00602B82" w:rsidRPr="00FD119B" w:rsidTr="00E24628">
        <w:tc>
          <w:tcPr>
            <w:tcW w:w="1809" w:type="dxa"/>
          </w:tcPr>
          <w:p w:rsidR="00602B82" w:rsidRPr="00727C8E" w:rsidRDefault="00E24628" w:rsidP="00E24628">
            <w:pPr>
              <w:rPr>
                <w:lang w:val="en-US"/>
              </w:rPr>
            </w:pPr>
            <w:r>
              <w:rPr>
                <w:lang w:val="en-US"/>
              </w:rPr>
              <w:t>PD</w:t>
            </w:r>
          </w:p>
        </w:tc>
        <w:tc>
          <w:tcPr>
            <w:tcW w:w="6911" w:type="dxa"/>
          </w:tcPr>
          <w:p w:rsidR="00602B82" w:rsidRPr="00727C8E" w:rsidRDefault="007040BC" w:rsidP="00E24628">
            <w:pPr>
              <w:rPr>
                <w:lang w:val="en-US"/>
              </w:rPr>
            </w:pPr>
            <w:r w:rsidRPr="00727C8E">
              <w:rPr>
                <w:lang w:val="en-US"/>
              </w:rPr>
              <w:t>Pharmacodynamics</w:t>
            </w:r>
          </w:p>
        </w:tc>
      </w:tr>
      <w:tr w:rsidR="00602B82" w:rsidRPr="00FD119B" w:rsidTr="00E24628">
        <w:tc>
          <w:tcPr>
            <w:tcW w:w="1809" w:type="dxa"/>
          </w:tcPr>
          <w:p w:rsidR="00602B82" w:rsidRPr="00727C8E" w:rsidRDefault="00602B82" w:rsidP="00E24628">
            <w:pPr>
              <w:rPr>
                <w:lang w:val="en-US"/>
              </w:rPr>
            </w:pPr>
            <w:r w:rsidRPr="00727C8E">
              <w:rPr>
                <w:lang w:val="en-US"/>
              </w:rPr>
              <w:t>PEF</w:t>
            </w:r>
          </w:p>
        </w:tc>
        <w:tc>
          <w:tcPr>
            <w:tcW w:w="6911" w:type="dxa"/>
          </w:tcPr>
          <w:p w:rsidR="00602B82" w:rsidRPr="00727C8E" w:rsidRDefault="007040BC" w:rsidP="00E24628">
            <w:pPr>
              <w:rPr>
                <w:lang w:val="en-US"/>
              </w:rPr>
            </w:pPr>
            <w:r w:rsidRPr="00727C8E">
              <w:rPr>
                <w:lang w:val="en-US"/>
              </w:rPr>
              <w:t>Peak expiratory flow</w:t>
            </w:r>
          </w:p>
        </w:tc>
      </w:tr>
      <w:tr w:rsidR="00602B82" w:rsidRPr="00FD119B" w:rsidTr="00E24628">
        <w:tc>
          <w:tcPr>
            <w:tcW w:w="1809" w:type="dxa"/>
          </w:tcPr>
          <w:p w:rsidR="00602B82" w:rsidRPr="00727C8E" w:rsidRDefault="00602B82" w:rsidP="00E24628">
            <w:pPr>
              <w:rPr>
                <w:lang w:val="en-US"/>
              </w:rPr>
            </w:pPr>
            <w:r w:rsidRPr="00727C8E">
              <w:rPr>
                <w:lang w:val="en-US"/>
              </w:rPr>
              <w:t>PEFR</w:t>
            </w:r>
          </w:p>
        </w:tc>
        <w:tc>
          <w:tcPr>
            <w:tcW w:w="6911" w:type="dxa"/>
          </w:tcPr>
          <w:p w:rsidR="00602B82" w:rsidRPr="00727C8E" w:rsidRDefault="007040BC" w:rsidP="00E24628">
            <w:pPr>
              <w:rPr>
                <w:lang w:val="en-US"/>
              </w:rPr>
            </w:pPr>
            <w:r w:rsidRPr="00727C8E">
              <w:rPr>
                <w:lang w:val="en-US"/>
              </w:rPr>
              <w:t>Peak expiratory flow rate</w:t>
            </w:r>
          </w:p>
        </w:tc>
      </w:tr>
      <w:tr w:rsidR="00602B82" w:rsidRPr="00FD119B" w:rsidTr="00E24628">
        <w:tc>
          <w:tcPr>
            <w:tcW w:w="1809" w:type="dxa"/>
          </w:tcPr>
          <w:p w:rsidR="00602B82" w:rsidRPr="00727C8E" w:rsidRDefault="00602B82" w:rsidP="00E24628">
            <w:pPr>
              <w:rPr>
                <w:lang w:val="en-US"/>
              </w:rPr>
            </w:pPr>
            <w:r w:rsidRPr="00727C8E">
              <w:rPr>
                <w:lang w:val="en-US"/>
              </w:rPr>
              <w:t>PK</w:t>
            </w:r>
          </w:p>
        </w:tc>
        <w:tc>
          <w:tcPr>
            <w:tcW w:w="6911" w:type="dxa"/>
          </w:tcPr>
          <w:p w:rsidR="00602B82" w:rsidRPr="00727C8E" w:rsidRDefault="007040BC" w:rsidP="00E24628">
            <w:pPr>
              <w:rPr>
                <w:lang w:val="en-US"/>
              </w:rPr>
            </w:pPr>
            <w:r w:rsidRPr="00727C8E">
              <w:rPr>
                <w:lang w:val="en-US"/>
              </w:rPr>
              <w:t>Pharmacokinetics</w:t>
            </w:r>
          </w:p>
        </w:tc>
      </w:tr>
      <w:tr w:rsidR="00602B82" w:rsidRPr="00FD119B" w:rsidTr="00E24628">
        <w:tc>
          <w:tcPr>
            <w:tcW w:w="1809" w:type="dxa"/>
          </w:tcPr>
          <w:p w:rsidR="00602B82" w:rsidRPr="00727C8E" w:rsidRDefault="00E24628" w:rsidP="00E24628">
            <w:pPr>
              <w:rPr>
                <w:lang w:val="en-US"/>
              </w:rPr>
            </w:pPr>
            <w:r>
              <w:rPr>
                <w:lang w:val="en-US"/>
              </w:rPr>
              <w:t>PP</w:t>
            </w:r>
          </w:p>
        </w:tc>
        <w:tc>
          <w:tcPr>
            <w:tcW w:w="6911" w:type="dxa"/>
          </w:tcPr>
          <w:p w:rsidR="00602B82" w:rsidRPr="00727C8E" w:rsidRDefault="007040BC" w:rsidP="00E24628">
            <w:pPr>
              <w:rPr>
                <w:lang w:val="en-US"/>
              </w:rPr>
            </w:pPr>
            <w:r w:rsidRPr="00727C8E">
              <w:rPr>
                <w:lang w:val="en-US"/>
              </w:rPr>
              <w:t>Per-protocol (population)</w:t>
            </w:r>
          </w:p>
        </w:tc>
      </w:tr>
      <w:tr w:rsidR="00602B82" w:rsidRPr="00FD119B" w:rsidTr="00E24628">
        <w:tc>
          <w:tcPr>
            <w:tcW w:w="1809" w:type="dxa"/>
          </w:tcPr>
          <w:p w:rsidR="00602B82" w:rsidRPr="00727C8E" w:rsidRDefault="00E24628" w:rsidP="00E24628">
            <w:pPr>
              <w:rPr>
                <w:lang w:val="en-US"/>
              </w:rPr>
            </w:pPr>
            <w:r>
              <w:rPr>
                <w:lang w:val="en-US"/>
              </w:rPr>
              <w:t>RAST</w:t>
            </w:r>
          </w:p>
        </w:tc>
        <w:tc>
          <w:tcPr>
            <w:tcW w:w="6911" w:type="dxa"/>
          </w:tcPr>
          <w:p w:rsidR="00602B82" w:rsidRPr="00727C8E" w:rsidRDefault="007040BC" w:rsidP="00E24628">
            <w:pPr>
              <w:rPr>
                <w:lang w:val="en-US"/>
              </w:rPr>
            </w:pPr>
            <w:proofErr w:type="spellStart"/>
            <w:r w:rsidRPr="00727C8E">
              <w:rPr>
                <w:lang w:val="en-US"/>
              </w:rPr>
              <w:t>Radioallergosorbent</w:t>
            </w:r>
            <w:proofErr w:type="spellEnd"/>
            <w:r w:rsidRPr="00727C8E">
              <w:rPr>
                <w:lang w:val="en-US"/>
              </w:rPr>
              <w:t xml:space="preserve"> test</w:t>
            </w:r>
          </w:p>
        </w:tc>
      </w:tr>
      <w:tr w:rsidR="00602B82" w:rsidRPr="00FD119B" w:rsidTr="00E24628">
        <w:tc>
          <w:tcPr>
            <w:tcW w:w="1809" w:type="dxa"/>
          </w:tcPr>
          <w:p w:rsidR="00602B82" w:rsidRPr="00727C8E" w:rsidRDefault="00602B82" w:rsidP="00E24628">
            <w:pPr>
              <w:rPr>
                <w:iCs/>
                <w:lang w:val="en-US"/>
              </w:rPr>
            </w:pPr>
            <w:r w:rsidRPr="00727C8E">
              <w:rPr>
                <w:iCs/>
                <w:lang w:val="en-US"/>
              </w:rPr>
              <w:t>RE</w:t>
            </w:r>
          </w:p>
        </w:tc>
        <w:tc>
          <w:tcPr>
            <w:tcW w:w="6911" w:type="dxa"/>
          </w:tcPr>
          <w:p w:rsidR="00602B82" w:rsidRPr="00727C8E" w:rsidRDefault="00602B82" w:rsidP="00E24628">
            <w:pPr>
              <w:rPr>
                <w:lang w:val="en-US"/>
              </w:rPr>
            </w:pPr>
            <w:r w:rsidRPr="00727C8E">
              <w:rPr>
                <w:lang w:val="en-US"/>
              </w:rPr>
              <w:t xml:space="preserve">Rate of production (expression) of </w:t>
            </w:r>
            <w:proofErr w:type="spellStart"/>
            <w:r w:rsidR="00FA00C2">
              <w:rPr>
                <w:lang w:val="en-US"/>
              </w:rPr>
              <w:t>IgE</w:t>
            </w:r>
            <w:proofErr w:type="spellEnd"/>
            <w:r w:rsidR="007040BC" w:rsidRPr="00727C8E">
              <w:rPr>
                <w:lang w:val="en-US"/>
              </w:rPr>
              <w:t xml:space="preserve"> </w:t>
            </w:r>
            <w:r w:rsidRPr="00727C8E">
              <w:rPr>
                <w:lang w:val="en-US"/>
              </w:rPr>
              <w:t>by the body</w:t>
            </w:r>
          </w:p>
        </w:tc>
      </w:tr>
      <w:tr w:rsidR="00602B82" w:rsidRPr="00FD119B" w:rsidTr="00E24628">
        <w:tc>
          <w:tcPr>
            <w:tcW w:w="1809" w:type="dxa"/>
          </w:tcPr>
          <w:p w:rsidR="00602B82" w:rsidRPr="00727C8E" w:rsidRDefault="00E24628" w:rsidP="00E24628">
            <w:pPr>
              <w:rPr>
                <w:lang w:val="en-US"/>
              </w:rPr>
            </w:pPr>
            <w:r>
              <w:rPr>
                <w:lang w:val="en-US"/>
              </w:rPr>
              <w:t>SABA</w:t>
            </w:r>
          </w:p>
        </w:tc>
        <w:tc>
          <w:tcPr>
            <w:tcW w:w="6911" w:type="dxa"/>
          </w:tcPr>
          <w:p w:rsidR="00602B82" w:rsidRPr="00727C8E" w:rsidRDefault="007040BC" w:rsidP="00E24628">
            <w:pPr>
              <w:rPr>
                <w:lang w:val="en-US"/>
              </w:rPr>
            </w:pPr>
            <w:r w:rsidRPr="00727C8E">
              <w:rPr>
                <w:lang w:val="en-US"/>
              </w:rPr>
              <w:t>Short-acting beta-2 agonist</w:t>
            </w:r>
          </w:p>
        </w:tc>
      </w:tr>
      <w:tr w:rsidR="00602B82" w:rsidRPr="00FD119B" w:rsidTr="00E24628">
        <w:tc>
          <w:tcPr>
            <w:tcW w:w="1809" w:type="dxa"/>
          </w:tcPr>
          <w:p w:rsidR="00602B82" w:rsidRPr="00727C8E" w:rsidRDefault="00E24628" w:rsidP="00E24628">
            <w:pPr>
              <w:rPr>
                <w:lang w:val="en-US"/>
              </w:rPr>
            </w:pPr>
            <w:r>
              <w:rPr>
                <w:lang w:val="en-US"/>
              </w:rPr>
              <w:t>SAE</w:t>
            </w:r>
          </w:p>
        </w:tc>
        <w:tc>
          <w:tcPr>
            <w:tcW w:w="6911" w:type="dxa"/>
          </w:tcPr>
          <w:p w:rsidR="00602B82" w:rsidRPr="00727C8E" w:rsidRDefault="007040BC" w:rsidP="00E24628">
            <w:pPr>
              <w:rPr>
                <w:lang w:val="en-US"/>
              </w:rPr>
            </w:pPr>
            <w:r w:rsidRPr="00727C8E">
              <w:rPr>
                <w:lang w:val="en-US"/>
              </w:rPr>
              <w:t>Serious adverse event</w:t>
            </w:r>
          </w:p>
        </w:tc>
      </w:tr>
      <w:tr w:rsidR="00602B82" w:rsidRPr="00FD119B" w:rsidTr="00E24628">
        <w:tc>
          <w:tcPr>
            <w:tcW w:w="1809" w:type="dxa"/>
          </w:tcPr>
          <w:p w:rsidR="00602B82" w:rsidRPr="00727C8E" w:rsidRDefault="00E24628" w:rsidP="00E24628">
            <w:pPr>
              <w:rPr>
                <w:lang w:val="en-US"/>
              </w:rPr>
            </w:pPr>
            <w:r>
              <w:rPr>
                <w:lang w:val="en-US"/>
              </w:rPr>
              <w:t>SD</w:t>
            </w:r>
          </w:p>
        </w:tc>
        <w:tc>
          <w:tcPr>
            <w:tcW w:w="6911" w:type="dxa"/>
          </w:tcPr>
          <w:p w:rsidR="00602B82" w:rsidRPr="00727C8E" w:rsidRDefault="007040BC" w:rsidP="00E24628">
            <w:pPr>
              <w:rPr>
                <w:lang w:val="en-US"/>
              </w:rPr>
            </w:pPr>
            <w:r w:rsidRPr="00727C8E">
              <w:rPr>
                <w:lang w:val="en-US"/>
              </w:rPr>
              <w:t>Standard deviation</w:t>
            </w:r>
          </w:p>
        </w:tc>
      </w:tr>
      <w:tr w:rsidR="00602B82" w:rsidRPr="00FD119B" w:rsidTr="00E24628">
        <w:tc>
          <w:tcPr>
            <w:tcW w:w="1809" w:type="dxa"/>
          </w:tcPr>
          <w:p w:rsidR="00602B82" w:rsidRPr="00727C8E" w:rsidRDefault="00E24628" w:rsidP="00E24628">
            <w:pPr>
              <w:rPr>
                <w:lang w:val="en-US"/>
              </w:rPr>
            </w:pPr>
            <w:r>
              <w:rPr>
                <w:lang w:val="en-US"/>
              </w:rPr>
              <w:t>SQ</w:t>
            </w:r>
          </w:p>
        </w:tc>
        <w:tc>
          <w:tcPr>
            <w:tcW w:w="6911" w:type="dxa"/>
          </w:tcPr>
          <w:p w:rsidR="00602B82" w:rsidRPr="00727C8E" w:rsidRDefault="007040BC" w:rsidP="00E24628">
            <w:pPr>
              <w:rPr>
                <w:lang w:val="en-US"/>
              </w:rPr>
            </w:pPr>
            <w:r w:rsidRPr="00727C8E">
              <w:rPr>
                <w:lang w:val="en-US"/>
              </w:rPr>
              <w:t>Subcutaneous</w:t>
            </w:r>
          </w:p>
        </w:tc>
      </w:tr>
      <w:tr w:rsidR="00602B82" w:rsidRPr="00FD119B" w:rsidTr="00E24628">
        <w:tc>
          <w:tcPr>
            <w:tcW w:w="1809" w:type="dxa"/>
          </w:tcPr>
          <w:p w:rsidR="00602B82" w:rsidRPr="00727C8E" w:rsidRDefault="00602B82" w:rsidP="00E24628">
            <w:pPr>
              <w:rPr>
                <w:iCs/>
                <w:lang w:val="en-US"/>
              </w:rPr>
            </w:pPr>
            <w:r w:rsidRPr="00727C8E">
              <w:rPr>
                <w:iCs/>
                <w:lang w:val="en-US"/>
              </w:rPr>
              <w:t xml:space="preserve">t½ </w:t>
            </w:r>
          </w:p>
        </w:tc>
        <w:tc>
          <w:tcPr>
            <w:tcW w:w="6911" w:type="dxa"/>
          </w:tcPr>
          <w:p w:rsidR="00602B82" w:rsidRPr="00727C8E" w:rsidRDefault="007040BC" w:rsidP="00E24628">
            <w:pPr>
              <w:rPr>
                <w:lang w:val="en-US"/>
              </w:rPr>
            </w:pPr>
            <w:r w:rsidRPr="00727C8E">
              <w:rPr>
                <w:lang w:val="en-US"/>
              </w:rPr>
              <w:t>Elimination half-life</w:t>
            </w:r>
          </w:p>
        </w:tc>
      </w:tr>
      <w:tr w:rsidR="00602B82" w:rsidRPr="00FD119B" w:rsidTr="00E24628">
        <w:tc>
          <w:tcPr>
            <w:tcW w:w="1809" w:type="dxa"/>
          </w:tcPr>
          <w:p w:rsidR="00602B82" w:rsidRPr="00727C8E" w:rsidRDefault="00602B82" w:rsidP="00E24628">
            <w:pPr>
              <w:rPr>
                <w:lang w:val="en-US"/>
              </w:rPr>
            </w:pPr>
            <w:r w:rsidRPr="00727C8E">
              <w:rPr>
                <w:lang w:val="en-US"/>
              </w:rPr>
              <w:t>URTI</w:t>
            </w:r>
          </w:p>
        </w:tc>
        <w:tc>
          <w:tcPr>
            <w:tcW w:w="6911" w:type="dxa"/>
          </w:tcPr>
          <w:p w:rsidR="00602B82" w:rsidRPr="00727C8E" w:rsidRDefault="007040BC" w:rsidP="00E24628">
            <w:pPr>
              <w:rPr>
                <w:lang w:val="en-US"/>
              </w:rPr>
            </w:pPr>
            <w:r w:rsidRPr="00727C8E">
              <w:rPr>
                <w:lang w:val="en-US"/>
              </w:rPr>
              <w:t>Upper respiratory tract infection</w:t>
            </w:r>
          </w:p>
        </w:tc>
      </w:tr>
      <w:tr w:rsidR="00602B82" w:rsidRPr="00FD119B" w:rsidTr="00E24628">
        <w:tc>
          <w:tcPr>
            <w:tcW w:w="1809" w:type="dxa"/>
          </w:tcPr>
          <w:p w:rsidR="00602B82" w:rsidRPr="00727C8E" w:rsidRDefault="00E24628" w:rsidP="00E24628">
            <w:pPr>
              <w:rPr>
                <w:iCs/>
                <w:lang w:val="en-US"/>
              </w:rPr>
            </w:pPr>
            <w:r>
              <w:rPr>
                <w:iCs/>
                <w:lang w:val="en-US"/>
              </w:rPr>
              <w:t>V</w:t>
            </w:r>
          </w:p>
        </w:tc>
        <w:tc>
          <w:tcPr>
            <w:tcW w:w="6911" w:type="dxa"/>
          </w:tcPr>
          <w:p w:rsidR="00602B82" w:rsidRPr="00727C8E" w:rsidRDefault="00602B82" w:rsidP="00E24628">
            <w:pPr>
              <w:rPr>
                <w:lang w:val="en-US"/>
              </w:rPr>
            </w:pPr>
            <w:r w:rsidRPr="00727C8E">
              <w:rPr>
                <w:lang w:val="en-US"/>
              </w:rPr>
              <w:t>Volume of distribution</w:t>
            </w:r>
          </w:p>
        </w:tc>
      </w:tr>
      <w:tr w:rsidR="00602B82" w:rsidRPr="00FD119B" w:rsidTr="00E24628">
        <w:tc>
          <w:tcPr>
            <w:tcW w:w="1809" w:type="dxa"/>
          </w:tcPr>
          <w:p w:rsidR="00602B82" w:rsidRPr="00727C8E" w:rsidRDefault="00E24628" w:rsidP="00E24628">
            <w:pPr>
              <w:rPr>
                <w:iCs/>
                <w:lang w:val="en-US"/>
              </w:rPr>
            </w:pPr>
            <w:r>
              <w:rPr>
                <w:iCs/>
                <w:lang w:val="en-US"/>
              </w:rPr>
              <w:t>VX</w:t>
            </w:r>
          </w:p>
        </w:tc>
        <w:tc>
          <w:tcPr>
            <w:tcW w:w="6911" w:type="dxa"/>
          </w:tcPr>
          <w:p w:rsidR="00602B82" w:rsidRPr="00727C8E" w:rsidRDefault="00602B82" w:rsidP="00E24628">
            <w:pPr>
              <w:rPr>
                <w:lang w:val="en-US"/>
              </w:rPr>
            </w:pPr>
            <w:r w:rsidRPr="00727C8E">
              <w:rPr>
                <w:lang w:val="en-US"/>
              </w:rPr>
              <w:t xml:space="preserve">Volume of distribution for </w:t>
            </w:r>
            <w:proofErr w:type="spellStart"/>
            <w:r w:rsidR="005A1D2B">
              <w:rPr>
                <w:lang w:val="en-US"/>
              </w:rPr>
              <w:t>omalizumab</w:t>
            </w:r>
            <w:proofErr w:type="spellEnd"/>
            <w:r w:rsidR="005A1D2B">
              <w:rPr>
                <w:lang w:val="en-US"/>
              </w:rPr>
              <w:t xml:space="preserve"> (</w:t>
            </w:r>
            <w:proofErr w:type="spellStart"/>
            <w:r w:rsidR="005A1D2B">
              <w:rPr>
                <w:lang w:val="en-US"/>
              </w:rPr>
              <w:t>rch</w:t>
            </w:r>
            <w:proofErr w:type="spellEnd"/>
            <w:r w:rsidR="005A1D2B">
              <w:rPr>
                <w:lang w:val="en-US"/>
              </w:rPr>
              <w:t>)</w:t>
            </w:r>
            <w:r w:rsidRPr="00727C8E">
              <w:rPr>
                <w:lang w:val="en-US"/>
              </w:rPr>
              <w:t xml:space="preserve"> (Xolair)</w:t>
            </w:r>
          </w:p>
        </w:tc>
      </w:tr>
      <w:tr w:rsidR="00602B82" w:rsidRPr="00FD119B" w:rsidTr="00E24628">
        <w:tc>
          <w:tcPr>
            <w:tcW w:w="1809" w:type="dxa"/>
          </w:tcPr>
          <w:p w:rsidR="00602B82" w:rsidRPr="00727C8E" w:rsidRDefault="00E24628" w:rsidP="00E24628">
            <w:pPr>
              <w:rPr>
                <w:iCs/>
                <w:lang w:val="en-US"/>
              </w:rPr>
            </w:pPr>
            <w:r>
              <w:rPr>
                <w:iCs/>
                <w:lang w:val="en-US"/>
              </w:rPr>
              <w:t>VX/F</w:t>
            </w:r>
          </w:p>
        </w:tc>
        <w:tc>
          <w:tcPr>
            <w:tcW w:w="6911" w:type="dxa"/>
          </w:tcPr>
          <w:p w:rsidR="00602B82" w:rsidRPr="00727C8E" w:rsidRDefault="00602B82" w:rsidP="00E24628">
            <w:pPr>
              <w:rPr>
                <w:lang w:val="en-US"/>
              </w:rPr>
            </w:pPr>
            <w:r w:rsidRPr="00727C8E">
              <w:rPr>
                <w:lang w:val="en-US"/>
              </w:rPr>
              <w:t xml:space="preserve">Volume of distribution for </w:t>
            </w:r>
            <w:proofErr w:type="spellStart"/>
            <w:r w:rsidR="005A1D2B">
              <w:rPr>
                <w:lang w:val="en-US"/>
              </w:rPr>
              <w:t>omalizumab</w:t>
            </w:r>
            <w:proofErr w:type="spellEnd"/>
            <w:r w:rsidR="005A1D2B">
              <w:rPr>
                <w:lang w:val="en-US"/>
              </w:rPr>
              <w:t xml:space="preserve"> (</w:t>
            </w:r>
            <w:proofErr w:type="spellStart"/>
            <w:r w:rsidR="005A1D2B">
              <w:rPr>
                <w:lang w:val="en-US"/>
              </w:rPr>
              <w:t>rch</w:t>
            </w:r>
            <w:proofErr w:type="spellEnd"/>
            <w:r w:rsidR="005A1D2B">
              <w:rPr>
                <w:lang w:val="en-US"/>
              </w:rPr>
              <w:t>)</w:t>
            </w:r>
            <w:r w:rsidRPr="00727C8E">
              <w:rPr>
                <w:lang w:val="en-US"/>
              </w:rPr>
              <w:t xml:space="preserve"> (Xolair) divided by the fraction absorbed</w:t>
            </w:r>
          </w:p>
        </w:tc>
      </w:tr>
      <w:tr w:rsidR="00602B82" w:rsidRPr="00FD119B" w:rsidTr="00E24628">
        <w:tc>
          <w:tcPr>
            <w:tcW w:w="1809" w:type="dxa"/>
          </w:tcPr>
          <w:p w:rsidR="00602B82" w:rsidRPr="00727C8E" w:rsidRDefault="00E24628" w:rsidP="00E24628">
            <w:pPr>
              <w:rPr>
                <w:iCs/>
                <w:lang w:val="en-US"/>
              </w:rPr>
            </w:pPr>
            <w:r>
              <w:rPr>
                <w:iCs/>
                <w:lang w:val="en-US"/>
              </w:rPr>
              <w:t>VE</w:t>
            </w:r>
          </w:p>
        </w:tc>
        <w:tc>
          <w:tcPr>
            <w:tcW w:w="6911" w:type="dxa"/>
          </w:tcPr>
          <w:p w:rsidR="00602B82" w:rsidRPr="00727C8E" w:rsidRDefault="00602B82" w:rsidP="00E24628">
            <w:pPr>
              <w:rPr>
                <w:lang w:val="en-US"/>
              </w:rPr>
            </w:pPr>
            <w:r w:rsidRPr="00727C8E">
              <w:rPr>
                <w:lang w:val="en-US"/>
              </w:rPr>
              <w:t xml:space="preserve">Volume of distribution for </w:t>
            </w:r>
            <w:proofErr w:type="spellStart"/>
            <w:r w:rsidR="00FA00C2">
              <w:rPr>
                <w:lang w:val="en-US"/>
              </w:rPr>
              <w:t>IgE</w:t>
            </w:r>
            <w:proofErr w:type="spellEnd"/>
          </w:p>
        </w:tc>
      </w:tr>
      <w:tr w:rsidR="00602B82" w:rsidRPr="00FD119B" w:rsidTr="00E24628">
        <w:tc>
          <w:tcPr>
            <w:tcW w:w="1809" w:type="dxa"/>
          </w:tcPr>
          <w:p w:rsidR="00602B82" w:rsidRPr="00727C8E" w:rsidRDefault="00602B82" w:rsidP="00E24628">
            <w:pPr>
              <w:rPr>
                <w:iCs/>
                <w:lang w:val="en-US"/>
              </w:rPr>
            </w:pPr>
            <w:r w:rsidRPr="00727C8E">
              <w:rPr>
                <w:iCs/>
                <w:lang w:val="en-US"/>
              </w:rPr>
              <w:t>VC</w:t>
            </w:r>
          </w:p>
        </w:tc>
        <w:tc>
          <w:tcPr>
            <w:tcW w:w="6911" w:type="dxa"/>
          </w:tcPr>
          <w:p w:rsidR="00602B82" w:rsidRPr="00727C8E" w:rsidRDefault="00602B82" w:rsidP="00E24628">
            <w:r w:rsidRPr="00727C8E">
              <w:rPr>
                <w:lang w:val="en-US"/>
              </w:rPr>
              <w:t xml:space="preserve">Volume of distribution for the </w:t>
            </w:r>
            <w:proofErr w:type="spellStart"/>
            <w:r w:rsidR="005A1D2B">
              <w:rPr>
                <w:lang w:val="en-US"/>
              </w:rPr>
              <w:t>omalizumab</w:t>
            </w:r>
            <w:proofErr w:type="spellEnd"/>
            <w:r w:rsidR="005A1D2B">
              <w:rPr>
                <w:lang w:val="en-US"/>
              </w:rPr>
              <w:t xml:space="preserve"> (</w:t>
            </w:r>
            <w:proofErr w:type="spellStart"/>
            <w:r w:rsidR="005A1D2B">
              <w:rPr>
                <w:lang w:val="en-US"/>
              </w:rPr>
              <w:t>rch</w:t>
            </w:r>
            <w:proofErr w:type="spellEnd"/>
            <w:r w:rsidR="005A1D2B">
              <w:rPr>
                <w:lang w:val="en-US"/>
              </w:rPr>
              <w:t>)</w:t>
            </w:r>
            <w:r w:rsidRPr="00727C8E">
              <w:rPr>
                <w:lang w:val="en-US"/>
              </w:rPr>
              <w:t>-</w:t>
            </w:r>
            <w:proofErr w:type="spellStart"/>
            <w:r w:rsidR="00FA00C2">
              <w:rPr>
                <w:lang w:val="en-US"/>
              </w:rPr>
              <w:t>IgE</w:t>
            </w:r>
            <w:proofErr w:type="spellEnd"/>
            <w:r w:rsidR="007040BC" w:rsidRPr="00727C8E">
              <w:rPr>
                <w:lang w:val="en-US"/>
              </w:rPr>
              <w:t xml:space="preserve"> </w:t>
            </w:r>
            <w:r w:rsidRPr="00727C8E">
              <w:rPr>
                <w:lang w:val="en-US"/>
              </w:rPr>
              <w:t>complex</w:t>
            </w:r>
          </w:p>
        </w:tc>
      </w:tr>
      <w:tr w:rsidR="00602B82" w:rsidRPr="00FD119B" w:rsidTr="00E24628">
        <w:tc>
          <w:tcPr>
            <w:tcW w:w="1809" w:type="dxa"/>
          </w:tcPr>
          <w:p w:rsidR="00602B82" w:rsidRPr="00727C8E" w:rsidRDefault="00E24628" w:rsidP="00E24628">
            <w:pPr>
              <w:rPr>
                <w:lang w:val="en-US"/>
              </w:rPr>
            </w:pPr>
            <w:r>
              <w:rPr>
                <w:lang w:val="en-US"/>
              </w:rPr>
              <w:t>WBC</w:t>
            </w:r>
          </w:p>
        </w:tc>
        <w:tc>
          <w:tcPr>
            <w:tcW w:w="6911" w:type="dxa"/>
          </w:tcPr>
          <w:p w:rsidR="00602B82" w:rsidRPr="00727C8E" w:rsidRDefault="007040BC" w:rsidP="00E24628">
            <w:pPr>
              <w:rPr>
                <w:lang w:val="en-US"/>
              </w:rPr>
            </w:pPr>
            <w:r w:rsidRPr="00727C8E">
              <w:rPr>
                <w:lang w:val="en-US"/>
              </w:rPr>
              <w:t>White blood cell</w:t>
            </w:r>
          </w:p>
        </w:tc>
      </w:tr>
      <w:tr w:rsidR="00602B82" w:rsidRPr="00FD119B" w:rsidTr="00E24628">
        <w:tc>
          <w:tcPr>
            <w:tcW w:w="1809" w:type="dxa"/>
          </w:tcPr>
          <w:p w:rsidR="00602B82" w:rsidRPr="00727C8E" w:rsidRDefault="00E24628" w:rsidP="00E24628">
            <w:pPr>
              <w:rPr>
                <w:lang w:val="en-US"/>
              </w:rPr>
            </w:pPr>
            <w:r>
              <w:rPr>
                <w:lang w:val="en-US"/>
              </w:rPr>
              <w:t>WHO</w:t>
            </w:r>
          </w:p>
        </w:tc>
        <w:tc>
          <w:tcPr>
            <w:tcW w:w="6911" w:type="dxa"/>
          </w:tcPr>
          <w:p w:rsidR="00602B82" w:rsidRPr="00727C8E" w:rsidRDefault="007040BC" w:rsidP="00E24628">
            <w:pPr>
              <w:rPr>
                <w:lang w:val="en-US"/>
              </w:rPr>
            </w:pPr>
            <w:r w:rsidRPr="00727C8E">
              <w:rPr>
                <w:lang w:val="en-US"/>
              </w:rPr>
              <w:t>World health organiza</w:t>
            </w:r>
            <w:r w:rsidR="00602B82" w:rsidRPr="00727C8E">
              <w:rPr>
                <w:lang w:val="en-US"/>
              </w:rPr>
              <w:t>tion</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54447830"/>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54447831"/>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6046E1" w:rsidTr="00E24628">
        <w:trPr>
          <w:trHeight w:hRule="exact" w:val="454"/>
        </w:trPr>
        <w:tc>
          <w:tcPr>
            <w:tcW w:w="2907" w:type="dxa"/>
          </w:tcPr>
          <w:p w:rsidR="008E7846" w:rsidRPr="006046E1" w:rsidRDefault="001B5C90" w:rsidP="006046E1">
            <w:r w:rsidRPr="006046E1">
              <w:t>Type of s</w:t>
            </w:r>
            <w:r w:rsidR="008E7846" w:rsidRPr="006046E1">
              <w:t>ubmission</w:t>
            </w:r>
            <w:r w:rsidRPr="006046E1">
              <w:t>:</w:t>
            </w:r>
          </w:p>
        </w:tc>
        <w:tc>
          <w:tcPr>
            <w:tcW w:w="6307" w:type="dxa"/>
          </w:tcPr>
          <w:p w:rsidR="008E7846" w:rsidRPr="006046E1" w:rsidRDefault="00602B82" w:rsidP="006046E1">
            <w:r w:rsidRPr="006046E1">
              <w:rPr>
                <w:kern w:val="2"/>
              </w:rPr>
              <w:t>Extension of indications</w:t>
            </w:r>
          </w:p>
        </w:tc>
      </w:tr>
      <w:tr w:rsidR="008E7846" w:rsidRPr="006046E1" w:rsidTr="00E24628">
        <w:trPr>
          <w:trHeight w:hRule="exact" w:val="454"/>
        </w:trPr>
        <w:tc>
          <w:tcPr>
            <w:tcW w:w="2907" w:type="dxa"/>
          </w:tcPr>
          <w:p w:rsidR="008E7846" w:rsidRPr="006046E1" w:rsidRDefault="008E7846" w:rsidP="006046E1">
            <w:r w:rsidRPr="006046E1">
              <w:t>Decision:</w:t>
            </w:r>
          </w:p>
        </w:tc>
        <w:tc>
          <w:tcPr>
            <w:tcW w:w="6307" w:type="dxa"/>
          </w:tcPr>
          <w:p w:rsidR="008E7846" w:rsidRPr="006046E1" w:rsidRDefault="008E7846" w:rsidP="006046E1">
            <w:r w:rsidRPr="006046E1">
              <w:t xml:space="preserve">Approved </w:t>
            </w:r>
          </w:p>
        </w:tc>
      </w:tr>
      <w:tr w:rsidR="008E7846" w:rsidRPr="006046E1" w:rsidTr="00E24628">
        <w:trPr>
          <w:trHeight w:hRule="exact" w:val="454"/>
        </w:trPr>
        <w:tc>
          <w:tcPr>
            <w:tcW w:w="2907" w:type="dxa"/>
          </w:tcPr>
          <w:p w:rsidR="008E7846" w:rsidRPr="006046E1" w:rsidRDefault="008E7846" w:rsidP="006046E1">
            <w:r w:rsidRPr="006046E1">
              <w:t xml:space="preserve">Date of </w:t>
            </w:r>
            <w:r w:rsidR="001B5C90" w:rsidRPr="006046E1">
              <w:t>d</w:t>
            </w:r>
            <w:r w:rsidRPr="006046E1">
              <w:t>ecision:</w:t>
            </w:r>
          </w:p>
        </w:tc>
        <w:tc>
          <w:tcPr>
            <w:tcW w:w="6307" w:type="dxa"/>
          </w:tcPr>
          <w:p w:rsidR="008E7846" w:rsidRPr="006046E1" w:rsidRDefault="00906B11" w:rsidP="006046E1">
            <w:r w:rsidRPr="006046E1">
              <w:t>28 January 2016</w:t>
            </w:r>
          </w:p>
        </w:tc>
      </w:tr>
      <w:tr w:rsidR="00ED2922" w:rsidRPr="006046E1" w:rsidTr="00E24628">
        <w:trPr>
          <w:trHeight w:hRule="exact" w:val="454"/>
        </w:trPr>
        <w:tc>
          <w:tcPr>
            <w:tcW w:w="2907" w:type="dxa"/>
          </w:tcPr>
          <w:p w:rsidR="00ED2922" w:rsidRPr="006046E1" w:rsidRDefault="00ED2922" w:rsidP="006046E1">
            <w:r w:rsidRPr="006046E1">
              <w:t>Date of entry onto ARTG</w:t>
            </w:r>
          </w:p>
        </w:tc>
        <w:tc>
          <w:tcPr>
            <w:tcW w:w="6307" w:type="dxa"/>
          </w:tcPr>
          <w:p w:rsidR="00ED2922" w:rsidRPr="006046E1" w:rsidRDefault="00984666" w:rsidP="006046E1">
            <w:r w:rsidRPr="006046E1">
              <w:t>2 February 2016</w:t>
            </w:r>
          </w:p>
        </w:tc>
      </w:tr>
      <w:tr w:rsidR="008E7846" w:rsidRPr="006046E1" w:rsidTr="00E24628">
        <w:tc>
          <w:tcPr>
            <w:tcW w:w="2907" w:type="dxa"/>
          </w:tcPr>
          <w:p w:rsidR="008E7846" w:rsidRPr="006046E1" w:rsidRDefault="001B5C90" w:rsidP="006046E1">
            <w:r w:rsidRPr="006046E1">
              <w:t>Active ingredient(s):</w:t>
            </w:r>
          </w:p>
        </w:tc>
        <w:tc>
          <w:tcPr>
            <w:tcW w:w="6307" w:type="dxa"/>
          </w:tcPr>
          <w:p w:rsidR="008E7846" w:rsidRPr="006046E1" w:rsidRDefault="005A1D2B" w:rsidP="006046E1">
            <w:proofErr w:type="spellStart"/>
            <w:r w:rsidRPr="006046E1">
              <w:t>Omalizumab</w:t>
            </w:r>
            <w:proofErr w:type="spellEnd"/>
            <w:r w:rsidRPr="006046E1">
              <w:t xml:space="preserve"> (</w:t>
            </w:r>
            <w:proofErr w:type="spellStart"/>
            <w:r w:rsidRPr="006046E1">
              <w:t>rch</w:t>
            </w:r>
            <w:proofErr w:type="spellEnd"/>
            <w:r w:rsidRPr="006046E1">
              <w:t>)</w:t>
            </w:r>
            <w:r w:rsidR="00906B11" w:rsidRPr="006046E1">
              <w:t xml:space="preserve"> </w:t>
            </w:r>
          </w:p>
        </w:tc>
      </w:tr>
      <w:tr w:rsidR="008E7846" w:rsidRPr="006046E1" w:rsidTr="00E24628">
        <w:tc>
          <w:tcPr>
            <w:tcW w:w="2907" w:type="dxa"/>
          </w:tcPr>
          <w:p w:rsidR="008E7846" w:rsidRPr="006046E1" w:rsidRDefault="008E7846" w:rsidP="006046E1">
            <w:r w:rsidRPr="006046E1">
              <w:t>Product</w:t>
            </w:r>
            <w:r w:rsidR="001B5C90" w:rsidRPr="006046E1">
              <w:t xml:space="preserve"> name(s):</w:t>
            </w:r>
          </w:p>
        </w:tc>
        <w:tc>
          <w:tcPr>
            <w:tcW w:w="6307" w:type="dxa"/>
          </w:tcPr>
          <w:p w:rsidR="008E7846" w:rsidRPr="006046E1" w:rsidRDefault="00602B82" w:rsidP="006046E1">
            <w:r w:rsidRPr="006046E1">
              <w:t>Xolair</w:t>
            </w:r>
          </w:p>
        </w:tc>
      </w:tr>
      <w:tr w:rsidR="008E7846" w:rsidRPr="006046E1" w:rsidTr="00E24628">
        <w:tc>
          <w:tcPr>
            <w:tcW w:w="2907" w:type="dxa"/>
          </w:tcPr>
          <w:p w:rsidR="008E7846" w:rsidRPr="006046E1" w:rsidRDefault="008E7846" w:rsidP="006046E1">
            <w:r w:rsidRPr="006046E1">
              <w:t xml:space="preserve">Sponsor’s </w:t>
            </w:r>
            <w:r w:rsidR="001B5C90" w:rsidRPr="006046E1">
              <w:t>n</w:t>
            </w:r>
            <w:r w:rsidRPr="006046E1">
              <w:t xml:space="preserve">ame and </w:t>
            </w:r>
            <w:r w:rsidR="001B5C90" w:rsidRPr="006046E1">
              <w:t>a</w:t>
            </w:r>
            <w:r w:rsidRPr="006046E1">
              <w:t>ddress:</w:t>
            </w:r>
          </w:p>
        </w:tc>
        <w:tc>
          <w:tcPr>
            <w:tcW w:w="6307" w:type="dxa"/>
          </w:tcPr>
          <w:p w:rsidR="008E7846" w:rsidRPr="006046E1" w:rsidRDefault="00602B82" w:rsidP="006046E1">
            <w:r w:rsidRPr="006046E1">
              <w:t>Novartis Pharmaceuticals Australia Pty Ltd</w:t>
            </w:r>
          </w:p>
          <w:p w:rsidR="00984666" w:rsidRPr="006046E1" w:rsidRDefault="00984666" w:rsidP="006046E1">
            <w:r w:rsidRPr="006046E1">
              <w:t>PO Box 101, Macquarie Park NSW 1670</w:t>
            </w:r>
          </w:p>
        </w:tc>
      </w:tr>
      <w:tr w:rsidR="008E7846" w:rsidRPr="006046E1" w:rsidTr="00E24628">
        <w:tc>
          <w:tcPr>
            <w:tcW w:w="2907" w:type="dxa"/>
          </w:tcPr>
          <w:p w:rsidR="008E7846" w:rsidRPr="006046E1" w:rsidRDefault="001B5C90" w:rsidP="006046E1">
            <w:r w:rsidRPr="006046E1">
              <w:t>Dose form(s):</w:t>
            </w:r>
          </w:p>
        </w:tc>
        <w:tc>
          <w:tcPr>
            <w:tcW w:w="6307" w:type="dxa"/>
          </w:tcPr>
          <w:p w:rsidR="00E24628" w:rsidRDefault="00E70F13" w:rsidP="006046E1">
            <w:r w:rsidRPr="006046E1">
              <w:t xml:space="preserve">One vial of Xolair 75 mg powder for solution contains 75 mg of </w:t>
            </w:r>
            <w:proofErr w:type="spellStart"/>
            <w:r w:rsidR="005A1D2B" w:rsidRPr="006046E1">
              <w:t>omalizumab</w:t>
            </w:r>
            <w:proofErr w:type="spellEnd"/>
            <w:r w:rsidR="005A1D2B" w:rsidRPr="006046E1">
              <w:t xml:space="preserve"> (</w:t>
            </w:r>
            <w:proofErr w:type="spellStart"/>
            <w:r w:rsidR="005A1D2B" w:rsidRPr="006046E1">
              <w:t>rch</w:t>
            </w:r>
            <w:proofErr w:type="spellEnd"/>
            <w:r w:rsidR="005A1D2B" w:rsidRPr="006046E1">
              <w:t>)</w:t>
            </w:r>
            <w:r w:rsidRPr="006046E1">
              <w:t>. A reconstituted single</w:t>
            </w:r>
            <w:r w:rsidR="00F06083" w:rsidRPr="006046E1">
              <w:t xml:space="preserve"> </w:t>
            </w:r>
            <w:r w:rsidRPr="006046E1">
              <w:t xml:space="preserve">use vial delivers 75 mg </w:t>
            </w:r>
            <w:proofErr w:type="spellStart"/>
            <w:r w:rsidR="005A1D2B" w:rsidRPr="006046E1">
              <w:t>omalizumab</w:t>
            </w:r>
            <w:proofErr w:type="spellEnd"/>
            <w:r w:rsidR="005A1D2B" w:rsidRPr="006046E1">
              <w:t xml:space="preserve"> (</w:t>
            </w:r>
            <w:proofErr w:type="spellStart"/>
            <w:r w:rsidR="005A1D2B" w:rsidRPr="006046E1">
              <w:t>rch</w:t>
            </w:r>
            <w:proofErr w:type="spellEnd"/>
            <w:r w:rsidR="005A1D2B" w:rsidRPr="006046E1">
              <w:t>)</w:t>
            </w:r>
            <w:r w:rsidRPr="006046E1">
              <w:t xml:space="preserve"> per 0.6 mL (125 mg/mL)</w:t>
            </w:r>
            <w:r w:rsidR="00E24628">
              <w:t>.</w:t>
            </w:r>
          </w:p>
          <w:p w:rsidR="00E24628" w:rsidRDefault="00E70F13" w:rsidP="006046E1">
            <w:r w:rsidRPr="006046E1">
              <w:t xml:space="preserve">One vial of Xolair 150 mg contains 150 mg of </w:t>
            </w:r>
            <w:proofErr w:type="spellStart"/>
            <w:r w:rsidR="005A1D2B" w:rsidRPr="006046E1">
              <w:t>omalizumab</w:t>
            </w:r>
            <w:proofErr w:type="spellEnd"/>
            <w:r w:rsidR="005A1D2B" w:rsidRPr="006046E1">
              <w:t xml:space="preserve"> (</w:t>
            </w:r>
            <w:proofErr w:type="spellStart"/>
            <w:r w:rsidR="005A1D2B" w:rsidRPr="006046E1">
              <w:t>rch</w:t>
            </w:r>
            <w:proofErr w:type="spellEnd"/>
            <w:r w:rsidR="005A1D2B" w:rsidRPr="006046E1">
              <w:t>)</w:t>
            </w:r>
            <w:r w:rsidRPr="006046E1">
              <w:t xml:space="preserve">. A reconstituted single-use vial delivers 150 mg </w:t>
            </w:r>
            <w:proofErr w:type="spellStart"/>
            <w:r w:rsidR="005A1D2B" w:rsidRPr="006046E1">
              <w:t>omalizumab</w:t>
            </w:r>
            <w:proofErr w:type="spellEnd"/>
            <w:r w:rsidR="005A1D2B" w:rsidRPr="006046E1">
              <w:t xml:space="preserve"> (</w:t>
            </w:r>
            <w:proofErr w:type="spellStart"/>
            <w:r w:rsidR="005A1D2B" w:rsidRPr="006046E1">
              <w:t>rch</w:t>
            </w:r>
            <w:proofErr w:type="spellEnd"/>
            <w:r w:rsidR="005A1D2B" w:rsidRPr="006046E1">
              <w:t>)</w:t>
            </w:r>
            <w:r w:rsidRPr="006046E1">
              <w:t xml:space="preserve"> per 1.2 mL (125 mg/mL)</w:t>
            </w:r>
            <w:r w:rsidR="00E24628">
              <w:t>.</w:t>
            </w:r>
          </w:p>
          <w:p w:rsidR="00E24628" w:rsidRDefault="00E70F13" w:rsidP="006046E1">
            <w:r w:rsidRPr="006046E1">
              <w:t xml:space="preserve">Each pre-filled syringe of 0.5 mL contains 75 mg of </w:t>
            </w:r>
            <w:proofErr w:type="spellStart"/>
            <w:r w:rsidR="005A1D2B" w:rsidRPr="006046E1">
              <w:t>omalizumab</w:t>
            </w:r>
            <w:proofErr w:type="spellEnd"/>
            <w:r w:rsidR="005A1D2B" w:rsidRPr="006046E1">
              <w:t xml:space="preserve"> (</w:t>
            </w:r>
            <w:proofErr w:type="spellStart"/>
            <w:r w:rsidR="005A1D2B" w:rsidRPr="006046E1">
              <w:t>rch</w:t>
            </w:r>
            <w:proofErr w:type="spellEnd"/>
            <w:r w:rsidR="005A1D2B" w:rsidRPr="006046E1">
              <w:t>)</w:t>
            </w:r>
            <w:r w:rsidR="00E24628">
              <w:t>.</w:t>
            </w:r>
          </w:p>
          <w:p w:rsidR="008E7846" w:rsidRPr="006046E1" w:rsidRDefault="00E70F13" w:rsidP="006046E1">
            <w:r w:rsidRPr="006046E1">
              <w:t xml:space="preserve">Each pre-filled syringe of 1 mL contains 150 mg of </w:t>
            </w:r>
            <w:proofErr w:type="spellStart"/>
            <w:r w:rsidR="005A1D2B" w:rsidRPr="006046E1">
              <w:t>omalizumab</w:t>
            </w:r>
            <w:proofErr w:type="spellEnd"/>
            <w:r w:rsidR="005A1D2B" w:rsidRPr="006046E1">
              <w:t xml:space="preserve"> (</w:t>
            </w:r>
            <w:proofErr w:type="spellStart"/>
            <w:r w:rsidR="005A1D2B" w:rsidRPr="006046E1">
              <w:t>rch</w:t>
            </w:r>
            <w:proofErr w:type="spellEnd"/>
            <w:r w:rsidR="005A1D2B" w:rsidRPr="006046E1">
              <w:t>)</w:t>
            </w:r>
            <w:r w:rsidRPr="006046E1">
              <w:t>.</w:t>
            </w:r>
          </w:p>
        </w:tc>
      </w:tr>
      <w:tr w:rsidR="008E7846" w:rsidRPr="006046E1" w:rsidTr="00E24628">
        <w:tc>
          <w:tcPr>
            <w:tcW w:w="2907" w:type="dxa"/>
          </w:tcPr>
          <w:p w:rsidR="008E7846" w:rsidRPr="006046E1" w:rsidRDefault="008E7846" w:rsidP="006046E1">
            <w:r w:rsidRPr="006046E1">
              <w:t xml:space="preserve">Strength(s): </w:t>
            </w:r>
          </w:p>
        </w:tc>
        <w:tc>
          <w:tcPr>
            <w:tcW w:w="6307" w:type="dxa"/>
          </w:tcPr>
          <w:p w:rsidR="008E7846" w:rsidRPr="006046E1" w:rsidRDefault="00602B82" w:rsidP="006046E1">
            <w:r w:rsidRPr="006046E1">
              <w:t xml:space="preserve">75, </w:t>
            </w:r>
            <w:r w:rsidR="00E24628">
              <w:t>150 mg,</w:t>
            </w:r>
          </w:p>
        </w:tc>
      </w:tr>
      <w:tr w:rsidR="008E7846" w:rsidRPr="006046E1" w:rsidTr="00E24628">
        <w:tc>
          <w:tcPr>
            <w:tcW w:w="2907" w:type="dxa"/>
          </w:tcPr>
          <w:p w:rsidR="008E7846" w:rsidRPr="006046E1" w:rsidRDefault="008E7846" w:rsidP="006046E1">
            <w:r w:rsidRPr="006046E1">
              <w:t>Container(s):</w:t>
            </w:r>
          </w:p>
        </w:tc>
        <w:tc>
          <w:tcPr>
            <w:tcW w:w="6307" w:type="dxa"/>
          </w:tcPr>
          <w:p w:rsidR="002F367C" w:rsidRPr="006046E1" w:rsidRDefault="00E70F13" w:rsidP="006046E1">
            <w:r w:rsidRPr="006046E1">
              <w:t>Glass v</w:t>
            </w:r>
            <w:r w:rsidR="002F367C" w:rsidRPr="006046E1">
              <w:t>ial</w:t>
            </w:r>
            <w:r w:rsidRPr="006046E1">
              <w:t xml:space="preserve"> with ampoule</w:t>
            </w:r>
          </w:p>
          <w:p w:rsidR="008E7846" w:rsidRPr="006046E1" w:rsidRDefault="00E70F13" w:rsidP="006046E1">
            <w:r w:rsidRPr="006046E1">
              <w:t>G</w:t>
            </w:r>
            <w:r w:rsidR="007040BC" w:rsidRPr="006046E1">
              <w:t xml:space="preserve">lass </w:t>
            </w:r>
            <w:r w:rsidR="002F367C" w:rsidRPr="006046E1">
              <w:t>pre filled syringe</w:t>
            </w:r>
          </w:p>
        </w:tc>
      </w:tr>
      <w:tr w:rsidR="008E7846" w:rsidRPr="006046E1" w:rsidTr="00E24628">
        <w:tc>
          <w:tcPr>
            <w:tcW w:w="2907" w:type="dxa"/>
          </w:tcPr>
          <w:p w:rsidR="008E7846" w:rsidRPr="006046E1" w:rsidRDefault="008E7846" w:rsidP="006046E1">
            <w:r w:rsidRPr="006046E1">
              <w:t>Pack size(s):</w:t>
            </w:r>
          </w:p>
        </w:tc>
        <w:tc>
          <w:tcPr>
            <w:tcW w:w="6307" w:type="dxa"/>
          </w:tcPr>
          <w:p w:rsidR="008E7846" w:rsidRPr="006046E1" w:rsidRDefault="007040BC" w:rsidP="006046E1">
            <w:r w:rsidRPr="006046E1">
              <w:t>Syringes: 1, 4 and 10s</w:t>
            </w:r>
          </w:p>
          <w:p w:rsidR="007040BC" w:rsidRPr="006046E1" w:rsidRDefault="007040BC" w:rsidP="006046E1">
            <w:r w:rsidRPr="006046E1">
              <w:t>Active vial and diluent ampoule: 1s</w:t>
            </w:r>
          </w:p>
        </w:tc>
      </w:tr>
      <w:tr w:rsidR="008E7846" w:rsidRPr="006046E1" w:rsidTr="00E24628">
        <w:tc>
          <w:tcPr>
            <w:tcW w:w="2907" w:type="dxa"/>
          </w:tcPr>
          <w:p w:rsidR="008E7846" w:rsidRPr="006046E1" w:rsidRDefault="008E7846" w:rsidP="006046E1">
            <w:r w:rsidRPr="006046E1">
              <w:t xml:space="preserve">Approved </w:t>
            </w:r>
            <w:r w:rsidR="001B5C90" w:rsidRPr="006046E1">
              <w:t>t</w:t>
            </w:r>
            <w:r w:rsidRPr="006046E1">
              <w:t>herapeutic use:</w:t>
            </w:r>
          </w:p>
        </w:tc>
        <w:tc>
          <w:tcPr>
            <w:tcW w:w="6307" w:type="dxa"/>
          </w:tcPr>
          <w:p w:rsidR="008E7846" w:rsidRPr="006046E1" w:rsidRDefault="00906B11" w:rsidP="006046E1">
            <w:pPr>
              <w:rPr>
                <w:rFonts w:eastAsia="MS Mincho"/>
                <w:lang w:eastAsia="ja-JP"/>
              </w:rPr>
            </w:pPr>
            <w:r w:rsidRPr="006046E1">
              <w:t>Children 6 to &lt; 12 years of age</w:t>
            </w:r>
            <w:r w:rsidR="008C1E17" w:rsidRPr="006046E1">
              <w:rPr>
                <w:b/>
              </w:rPr>
              <w:t>:</w:t>
            </w:r>
            <w:r w:rsidRPr="006046E1">
              <w:rPr>
                <w:rFonts w:eastAsia="MS Mincho"/>
                <w:lang w:eastAsia="ja-JP"/>
              </w:rPr>
              <w:t xml:space="preserve"> In children aged 6 to &lt;12 years, Xolair is indicated as add-on therapy to improve asthma control in patients with severe allergic asthma who have documented exacerbations despite daily high dose inhaled corticosteroids, and who have immunoglobulin E levels</w:t>
            </w:r>
            <w:r w:rsidR="006750C7" w:rsidRPr="006046E1">
              <w:rPr>
                <w:rFonts w:eastAsia="MS Mincho"/>
                <w:lang w:eastAsia="ja-JP"/>
              </w:rPr>
              <w:t xml:space="preserve"> </w:t>
            </w:r>
            <w:r w:rsidRPr="006046E1">
              <w:rPr>
                <w:rFonts w:eastAsia="MS Mincho"/>
                <w:lang w:eastAsia="ja-JP"/>
              </w:rPr>
              <w:t xml:space="preserve">corresponding to the recommended dose range (see Table 10 under </w:t>
            </w:r>
            <w:r w:rsidR="008C1E17" w:rsidRPr="006046E1">
              <w:rPr>
                <w:rFonts w:eastAsia="MS Mincho"/>
                <w:lang w:eastAsia="ja-JP"/>
              </w:rPr>
              <w:t>‘</w:t>
            </w:r>
            <w:r w:rsidRPr="006046E1">
              <w:rPr>
                <w:rFonts w:eastAsia="MS Mincho"/>
                <w:lang w:eastAsia="ja-JP"/>
              </w:rPr>
              <w:t>Dosage and Administration</w:t>
            </w:r>
            <w:r w:rsidR="008C1E17" w:rsidRPr="006046E1">
              <w:rPr>
                <w:rFonts w:eastAsia="MS Mincho"/>
                <w:lang w:eastAsia="ja-JP"/>
              </w:rPr>
              <w:t>’</w:t>
            </w:r>
            <w:r w:rsidRPr="006046E1">
              <w:rPr>
                <w:rFonts w:eastAsia="MS Mincho"/>
                <w:lang w:eastAsia="ja-JP"/>
              </w:rPr>
              <w:t>).</w:t>
            </w:r>
            <w:r w:rsidR="008C1E17" w:rsidRPr="006046E1">
              <w:t>’</w:t>
            </w:r>
            <w:r w:rsidRPr="006046E1">
              <w:rPr>
                <w:rFonts w:eastAsia="MS Mincho"/>
                <w:lang w:eastAsia="ja-JP"/>
              </w:rPr>
              <w:t xml:space="preserve"> </w:t>
            </w:r>
          </w:p>
        </w:tc>
      </w:tr>
      <w:tr w:rsidR="008E7846" w:rsidRPr="006046E1" w:rsidTr="00E24628">
        <w:tc>
          <w:tcPr>
            <w:tcW w:w="2907" w:type="dxa"/>
          </w:tcPr>
          <w:p w:rsidR="008E7846" w:rsidRPr="006046E1" w:rsidRDefault="008E7846" w:rsidP="006046E1">
            <w:r w:rsidRPr="006046E1">
              <w:t>Route(s) of administration:</w:t>
            </w:r>
          </w:p>
        </w:tc>
        <w:tc>
          <w:tcPr>
            <w:tcW w:w="6307" w:type="dxa"/>
          </w:tcPr>
          <w:p w:rsidR="008E7846" w:rsidRPr="006046E1" w:rsidRDefault="007040BC" w:rsidP="006046E1">
            <w:r w:rsidRPr="006046E1">
              <w:t>Subcutaneous (SC)</w:t>
            </w:r>
          </w:p>
        </w:tc>
      </w:tr>
      <w:tr w:rsidR="008E7846" w:rsidRPr="006046E1" w:rsidTr="00E24628">
        <w:tc>
          <w:tcPr>
            <w:tcW w:w="2907" w:type="dxa"/>
          </w:tcPr>
          <w:p w:rsidR="008E7846" w:rsidRPr="006046E1" w:rsidRDefault="008E7846" w:rsidP="006046E1">
            <w:r w:rsidRPr="006046E1">
              <w:t>Dosage:</w:t>
            </w:r>
          </w:p>
        </w:tc>
        <w:tc>
          <w:tcPr>
            <w:tcW w:w="6307" w:type="dxa"/>
          </w:tcPr>
          <w:p w:rsidR="008E7846" w:rsidRPr="006046E1" w:rsidRDefault="00E70F13" w:rsidP="006046E1">
            <w:r w:rsidRPr="006046E1">
              <w:t xml:space="preserve">75 to 375 mg of Xolair is administered subcutaneously every two or four weeks. Doses (mg) and dosing frequency are determined by baseline serum total </w:t>
            </w:r>
            <w:proofErr w:type="spellStart"/>
            <w:r w:rsidRPr="006046E1">
              <w:t>IgE</w:t>
            </w:r>
            <w:proofErr w:type="spellEnd"/>
            <w:r w:rsidRPr="006046E1">
              <w:t xml:space="preserve"> level (IU/mL), measured before the start of treatment, and body weight (kg). See the dose </w:t>
            </w:r>
            <w:r w:rsidRPr="006046E1">
              <w:lastRenderedPageBreak/>
              <w:t>determination chart below (Table 10). [in PI Attachment 1].</w:t>
            </w:r>
          </w:p>
        </w:tc>
      </w:tr>
      <w:tr w:rsidR="008E7846" w:rsidRPr="006046E1" w:rsidTr="00E24628">
        <w:tc>
          <w:tcPr>
            <w:tcW w:w="2907" w:type="dxa"/>
          </w:tcPr>
          <w:p w:rsidR="008E7846" w:rsidRPr="006046E1" w:rsidRDefault="008E7846" w:rsidP="006046E1">
            <w:r w:rsidRPr="006046E1">
              <w:lastRenderedPageBreak/>
              <w:t xml:space="preserve">ARTG </w:t>
            </w:r>
            <w:r w:rsidR="001B5C90" w:rsidRPr="006046E1">
              <w:t>n</w:t>
            </w:r>
            <w:r w:rsidRPr="006046E1">
              <w:t>umber (s)</w:t>
            </w:r>
            <w:r w:rsidR="001B5C90" w:rsidRPr="006046E1">
              <w:t>:</w:t>
            </w:r>
          </w:p>
        </w:tc>
        <w:tc>
          <w:tcPr>
            <w:tcW w:w="6307" w:type="dxa"/>
          </w:tcPr>
          <w:p w:rsidR="008E7846" w:rsidRPr="006046E1" w:rsidRDefault="007040BC" w:rsidP="006046E1">
            <w:r w:rsidRPr="006046E1">
              <w:t>201124, 82744</w:t>
            </w:r>
            <w:r w:rsidR="00E70F13" w:rsidRPr="006046E1">
              <w:t xml:space="preserve"> 201126</w:t>
            </w:r>
            <w:r w:rsidR="005A1D2B" w:rsidRPr="006046E1">
              <w:t xml:space="preserve"> and 115399</w:t>
            </w:r>
          </w:p>
        </w:tc>
      </w:tr>
    </w:tbl>
    <w:p w:rsidR="008E7846" w:rsidRDefault="008E7846" w:rsidP="008E7846">
      <w:pPr>
        <w:pStyle w:val="Heading3"/>
      </w:pPr>
      <w:bookmarkStart w:id="13" w:name="_Toc247691503"/>
      <w:bookmarkStart w:id="14" w:name="_Toc314842484"/>
      <w:bookmarkStart w:id="15" w:name="_Toc454447832"/>
      <w:r>
        <w:t>Product background</w:t>
      </w:r>
      <w:bookmarkEnd w:id="13"/>
      <w:bookmarkEnd w:id="14"/>
      <w:bookmarkEnd w:id="15"/>
    </w:p>
    <w:p w:rsidR="00602B82" w:rsidRDefault="00602B82" w:rsidP="00602B82">
      <w:r>
        <w:t>T</w:t>
      </w:r>
      <w:r w:rsidR="00940A89" w:rsidRPr="00940A89">
        <w:t>his AusPAR describes the application by the sponsor</w:t>
      </w:r>
      <w:r w:rsidR="008C1E17">
        <w:t>,</w:t>
      </w:r>
      <w:r w:rsidR="00940A89" w:rsidRPr="00940A89">
        <w:t xml:space="preserve"> </w:t>
      </w:r>
      <w:bookmarkStart w:id="16" w:name="_Toc314842485"/>
      <w:bookmarkStart w:id="17" w:name="_Toc247691504"/>
      <w:r>
        <w:rPr>
          <w:kern w:val="2"/>
        </w:rPr>
        <w:t>Novartis Pharmaceuticals Australia Pty Ltd</w:t>
      </w:r>
      <w:r w:rsidR="008C1E17">
        <w:rPr>
          <w:kern w:val="2"/>
        </w:rPr>
        <w:t>,</w:t>
      </w:r>
      <w:r>
        <w:rPr>
          <w:kern w:val="2"/>
        </w:rPr>
        <w:t xml:space="preserve"> to extend the indications for the anti</w:t>
      </w:r>
      <w:r>
        <w:rPr>
          <w:kern w:val="2"/>
        </w:rPr>
        <w:noBreakHyphen/>
        <w:t xml:space="preserve">asthma treatment </w:t>
      </w:r>
      <w:r w:rsidRPr="00906B11">
        <w:t>Xolair</w:t>
      </w:r>
      <w:r>
        <w:t xml:space="preserve"> (containing the monoclonal antibody </w:t>
      </w:r>
      <w:proofErr w:type="spellStart"/>
      <w:r w:rsidR="005A1D2B">
        <w:t>omalizumab</w:t>
      </w:r>
      <w:proofErr w:type="spellEnd"/>
      <w:r w:rsidR="005A1D2B">
        <w:t xml:space="preserve"> (</w:t>
      </w:r>
      <w:proofErr w:type="spellStart"/>
      <w:r w:rsidR="005A1D2B">
        <w:t>rch</w:t>
      </w:r>
      <w:proofErr w:type="spellEnd"/>
      <w:r w:rsidR="005A1D2B">
        <w:t>)</w:t>
      </w:r>
      <w:r>
        <w:t xml:space="preserve"> as the active ingredient) to include patients 6</w:t>
      </w:r>
      <w:r w:rsidR="00906B11">
        <w:t xml:space="preserve"> to </w:t>
      </w:r>
      <w:r>
        <w:t>12 years old (</w:t>
      </w:r>
      <w:r w:rsidR="00906B11">
        <w:t>compared to</w:t>
      </w:r>
      <w:r>
        <w:t xml:space="preserve"> ≥</w:t>
      </w:r>
      <w:r w:rsidR="00906B11">
        <w:t xml:space="preserve"> </w:t>
      </w:r>
      <w:r>
        <w:t>12 years currently). In addition, changes to the dose regimen are proposed</w:t>
      </w:r>
      <w:r w:rsidR="008C1E17" w:rsidRPr="008C1E17">
        <w:t xml:space="preserve"> </w:t>
      </w:r>
      <w:r w:rsidR="008C1E17">
        <w:t>for some adult/adolescent patients to allow dosing at 4 weekly intervals rather than 2 weekly intervals (for example, a change from 300 mg every 2 weeks to 600 mg every 4 weeks).</w:t>
      </w:r>
    </w:p>
    <w:p w:rsidR="004559F1" w:rsidRPr="008C1E17" w:rsidRDefault="005A1D2B" w:rsidP="004559F1">
      <w:proofErr w:type="spellStart"/>
      <w:r>
        <w:t>Omalizumab</w:t>
      </w:r>
      <w:proofErr w:type="spellEnd"/>
      <w:r>
        <w:t xml:space="preserve"> (</w:t>
      </w:r>
      <w:proofErr w:type="spellStart"/>
      <w:r>
        <w:t>rch</w:t>
      </w:r>
      <w:proofErr w:type="spellEnd"/>
      <w:r>
        <w:t>)</w:t>
      </w:r>
      <w:r w:rsidR="004559F1">
        <w:t xml:space="preserve"> is a monoclonal antibody that selectively binds </w:t>
      </w:r>
      <w:r w:rsidR="004559F1" w:rsidRPr="008C1E17">
        <w:t>to the human immunoglobulin E (</w:t>
      </w:r>
      <w:proofErr w:type="spellStart"/>
      <w:r w:rsidR="004559F1" w:rsidRPr="008C1E17">
        <w:t>IgE</w:t>
      </w:r>
      <w:proofErr w:type="spellEnd"/>
      <w:r w:rsidR="004559F1" w:rsidRPr="008C1E17">
        <w:t xml:space="preserve">) molecule. </w:t>
      </w:r>
      <w:proofErr w:type="spellStart"/>
      <w:r w:rsidR="007C5606">
        <w:rPr>
          <w:rFonts w:asciiTheme="minorHAnsi" w:hAnsiTheme="minorHAnsi"/>
        </w:rPr>
        <w:t>IgE</w:t>
      </w:r>
      <w:proofErr w:type="spellEnd"/>
      <w:r w:rsidR="007C5606">
        <w:rPr>
          <w:rFonts w:asciiTheme="minorHAnsi" w:hAnsiTheme="minorHAnsi"/>
        </w:rPr>
        <w:t xml:space="preserve"> is involved in the sensitization of mast cells in specific allergic disorders. </w:t>
      </w:r>
      <w:proofErr w:type="spellStart"/>
      <w:r>
        <w:t>Omalizumab</w:t>
      </w:r>
      <w:proofErr w:type="spellEnd"/>
      <w:r>
        <w:t xml:space="preserve"> (</w:t>
      </w:r>
      <w:proofErr w:type="spellStart"/>
      <w:r>
        <w:t>rch</w:t>
      </w:r>
      <w:proofErr w:type="spellEnd"/>
      <w:r>
        <w:t>)</w:t>
      </w:r>
      <w:r w:rsidR="007C5606">
        <w:t xml:space="preserve"> </w:t>
      </w:r>
      <w:r w:rsidR="004559F1" w:rsidRPr="008C1E17">
        <w:t xml:space="preserve">is produced by recombinant </w:t>
      </w:r>
      <w:r w:rsidR="008C1E17" w:rsidRPr="008C1E17">
        <w:t>deoxyribonucleic acid (</w:t>
      </w:r>
      <w:r w:rsidR="004559F1" w:rsidRPr="008C1E17">
        <w:t>DNA</w:t>
      </w:r>
      <w:r w:rsidR="008C1E17" w:rsidRPr="008C1E17">
        <w:t>)</w:t>
      </w:r>
      <w:r w:rsidR="004559F1" w:rsidRPr="008C1E17">
        <w:t xml:space="preserve"> technology in a Chinese hamster ovary </w:t>
      </w:r>
      <w:r w:rsidR="008C1E17" w:rsidRPr="008C1E17">
        <w:t xml:space="preserve">(CHO) </w:t>
      </w:r>
      <w:r w:rsidR="004559F1" w:rsidRPr="008C1E17">
        <w:t>cell line.</w:t>
      </w:r>
    </w:p>
    <w:p w:rsidR="004559F1" w:rsidRDefault="004559F1" w:rsidP="004559F1">
      <w:r>
        <w:t>The currently approved indications are:</w:t>
      </w:r>
    </w:p>
    <w:p w:rsidR="004559F1" w:rsidRDefault="008C1E17" w:rsidP="004559F1">
      <w:pPr>
        <w:ind w:left="567"/>
        <w:rPr>
          <w:i/>
        </w:rPr>
      </w:pPr>
      <w:r>
        <w:rPr>
          <w:i/>
        </w:rPr>
        <w:t>‘</w:t>
      </w:r>
      <w:r w:rsidR="004559F1">
        <w:rPr>
          <w:i/>
        </w:rPr>
        <w:t>Xolair is indicated for the management of adult and adolescent patients with moderate to severe allergic asthma, who are already being treated with inhaled steroids, and who have serum immunoglobulin E levels corresponding to the recommended dose range.</w:t>
      </w:r>
      <w:r>
        <w:rPr>
          <w:i/>
        </w:rPr>
        <w:t>’</w:t>
      </w:r>
    </w:p>
    <w:p w:rsidR="004559F1" w:rsidRDefault="008C1E17" w:rsidP="004559F1">
      <w:pPr>
        <w:ind w:left="567"/>
        <w:rPr>
          <w:i/>
        </w:rPr>
      </w:pPr>
      <w:r>
        <w:rPr>
          <w:i/>
        </w:rPr>
        <w:t>‘</w:t>
      </w:r>
      <w:r w:rsidR="004559F1">
        <w:rPr>
          <w:i/>
        </w:rPr>
        <w:t xml:space="preserve">Xolair is indicated for adults and adolescents (12 years of age and above) with chronic idiopathic </w:t>
      </w:r>
      <w:proofErr w:type="spellStart"/>
      <w:r w:rsidR="004559F1">
        <w:rPr>
          <w:i/>
        </w:rPr>
        <w:t>urticaria</w:t>
      </w:r>
      <w:proofErr w:type="spellEnd"/>
      <w:r w:rsidR="004559F1">
        <w:rPr>
          <w:i/>
        </w:rPr>
        <w:t xml:space="preserve"> who remain symptomatic despite H1 antihistamine treatment.</w:t>
      </w:r>
      <w:r>
        <w:rPr>
          <w:i/>
        </w:rPr>
        <w:t>’</w:t>
      </w:r>
    </w:p>
    <w:p w:rsidR="004559F1" w:rsidRDefault="004559F1" w:rsidP="004559F1">
      <w:r>
        <w:t xml:space="preserve">The proposed additional indication for </w:t>
      </w:r>
      <w:r w:rsidRPr="008C1E17">
        <w:rPr>
          <w:i/>
        </w:rPr>
        <w:t>children aged 6 to &lt; 12 years</w:t>
      </w:r>
      <w:r>
        <w:t xml:space="preserve"> is:</w:t>
      </w:r>
    </w:p>
    <w:p w:rsidR="004559F1" w:rsidRDefault="008C1E17" w:rsidP="004559F1">
      <w:pPr>
        <w:ind w:left="567"/>
        <w:rPr>
          <w:i/>
        </w:rPr>
      </w:pPr>
      <w:r>
        <w:rPr>
          <w:i/>
        </w:rPr>
        <w:t>‘</w:t>
      </w:r>
      <w:r w:rsidR="004559F1">
        <w:rPr>
          <w:i/>
        </w:rPr>
        <w:t>Xolair is indicated as add-on therapy to improve asthma control in patients with severe persistent allergic asthma who have frequent daytime symptoms or night-time awakenings, have had documented asthma exacerbations despite daily high-dose inhaled corticosteroids, and who have serum immunoglobulin E levels corresponding to the recommended dose range.</w:t>
      </w:r>
      <w:r>
        <w:rPr>
          <w:i/>
        </w:rPr>
        <w:t>’</w:t>
      </w:r>
    </w:p>
    <w:p w:rsidR="004559F1" w:rsidRDefault="004559F1" w:rsidP="004559F1">
      <w:r>
        <w:t xml:space="preserve">The following dosage forms and strengths are currently registered: </w:t>
      </w:r>
    </w:p>
    <w:p w:rsidR="004559F1" w:rsidRDefault="004559F1" w:rsidP="00E24628">
      <w:pPr>
        <w:pStyle w:val="ListBullet"/>
      </w:pPr>
      <w:r>
        <w:t>Lyophilised powder for injection (single use vial), together with an ampoule of water for injection to be used as a diluent</w:t>
      </w:r>
      <w:r w:rsidR="008C1E17">
        <w:t xml:space="preserve">; </w:t>
      </w:r>
      <w:r>
        <w:t>75 mg and 150 mg vials; and</w:t>
      </w:r>
    </w:p>
    <w:p w:rsidR="004559F1" w:rsidRDefault="004559F1" w:rsidP="00E24628">
      <w:pPr>
        <w:pStyle w:val="ListBullet"/>
      </w:pPr>
      <w:r>
        <w:t>Solution for injection in a pre-filled syringe</w:t>
      </w:r>
      <w:r w:rsidR="008C1E17">
        <w:t>:</w:t>
      </w:r>
      <w:r>
        <w:t xml:space="preserve"> 75 mg in 0.5 mL and 150 mg in 1.0</w:t>
      </w:r>
      <w:r w:rsidR="008C1E17">
        <w:t xml:space="preserve"> </w:t>
      </w:r>
      <w:proofErr w:type="spellStart"/>
      <w:r>
        <w:t>mL.</w:t>
      </w:r>
      <w:proofErr w:type="spellEnd"/>
    </w:p>
    <w:p w:rsidR="004559F1" w:rsidRDefault="004559F1" w:rsidP="004559F1">
      <w:r>
        <w:t>No new dosage forms or strengths are proposed in the current submission.</w:t>
      </w:r>
    </w:p>
    <w:p w:rsidR="00E24628" w:rsidRDefault="004559F1" w:rsidP="004559F1">
      <w:r>
        <w:t xml:space="preserve">For the treatment of allergic asthma, dosage is individualised based on baseline </w:t>
      </w:r>
      <w:proofErr w:type="spellStart"/>
      <w:r>
        <w:t>IgE</w:t>
      </w:r>
      <w:proofErr w:type="spellEnd"/>
      <w:r>
        <w:t xml:space="preserve"> level and body weight. A detailed table setting out recommended dose is included in the </w:t>
      </w:r>
      <w:r w:rsidR="008C1E17">
        <w:t>PI</w:t>
      </w:r>
      <w:r>
        <w:t>. For adults and adolescents the currently approved dosage range (per 4</w:t>
      </w:r>
      <w:r w:rsidR="008C1E17">
        <w:t xml:space="preserve"> </w:t>
      </w:r>
      <w:r>
        <w:t>week period) is 150</w:t>
      </w:r>
      <w:r w:rsidR="008C1E17">
        <w:t xml:space="preserve"> to </w:t>
      </w:r>
      <w:r>
        <w:t>750 mg. Doses of ≤ 300 mg are given as a single dose every 4 weeks. Larger doses are given in two divided doses at 2</w:t>
      </w:r>
      <w:r w:rsidR="008C1E17">
        <w:t xml:space="preserve"> </w:t>
      </w:r>
      <w:r>
        <w:t>weekly intervals</w:t>
      </w:r>
      <w:r w:rsidR="00E24628">
        <w:t>.</w:t>
      </w:r>
    </w:p>
    <w:p w:rsidR="004559F1" w:rsidRDefault="004559F1" w:rsidP="00E24628">
      <w:r>
        <w:t>In the current submission it is not proposed to change the recommended dosage range for adults and adolescents. However, the sponsor is proposing to change the recommended dosage interval from 2</w:t>
      </w:r>
      <w:r w:rsidR="008C1E17">
        <w:t xml:space="preserve"> </w:t>
      </w:r>
      <w:r>
        <w:t>weekly to 4</w:t>
      </w:r>
      <w:r w:rsidR="008C1E17">
        <w:t xml:space="preserve"> </w:t>
      </w:r>
      <w:r>
        <w:t xml:space="preserve">weekly for a proportion of patients. The proposed changes to the dosing table are </w:t>
      </w:r>
      <w:r w:rsidRPr="007040BC">
        <w:t>shown in</w:t>
      </w:r>
      <w:r w:rsidR="00D0027A">
        <w:t xml:space="preserve"> Table 1</w:t>
      </w:r>
      <w:r w:rsidRPr="007040BC">
        <w:t>.</w:t>
      </w:r>
      <w:r w:rsidR="00863197" w:rsidRPr="007040BC">
        <w:t xml:space="preserve"> The current</w:t>
      </w:r>
      <w:r w:rsidR="00863197">
        <w:t xml:space="preserve"> dosing table is shown in Table 2.</w:t>
      </w:r>
    </w:p>
    <w:p w:rsidR="00863197" w:rsidRPr="007C5606" w:rsidRDefault="00863197" w:rsidP="00863197">
      <w:pPr>
        <w:pStyle w:val="TableTitle"/>
      </w:pPr>
      <w:r>
        <w:lastRenderedPageBreak/>
        <w:t xml:space="preserve">Table 1: Proposed: </w:t>
      </w:r>
      <w:r w:rsidRPr="007C5606">
        <w:t>Xolair doses for patients 6 years and older with allergic asth</w:t>
      </w:r>
      <w:r>
        <w:t>ma</w:t>
      </w:r>
    </w:p>
    <w:p w:rsidR="00863197" w:rsidRDefault="00863197" w:rsidP="00863197">
      <w:r>
        <w:rPr>
          <w:noProof/>
          <w:lang w:eastAsia="en-AU"/>
        </w:rPr>
        <w:drawing>
          <wp:inline distT="0" distB="0" distL="0" distR="0" wp14:anchorId="6165B7C3" wp14:editId="16479819">
            <wp:extent cx="4609564" cy="2057400"/>
            <wp:effectExtent l="0" t="0" r="635" b="0"/>
            <wp:docPr id="1" name="Picture 1" descr="Table 1: Proposed: Xolair doses for patients 6 years and older with allergic ast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dosage 600m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4202" cy="2063933"/>
                    </a:xfrm>
                    <a:prstGeom prst="rect">
                      <a:avLst/>
                    </a:prstGeom>
                    <a:noFill/>
                    <a:ln>
                      <a:noFill/>
                    </a:ln>
                  </pic:spPr>
                </pic:pic>
              </a:graphicData>
            </a:graphic>
          </wp:inline>
        </w:drawing>
      </w:r>
    </w:p>
    <w:p w:rsidR="00863197" w:rsidRDefault="00863197" w:rsidP="00863197">
      <w:pPr>
        <w:pStyle w:val="TableTitle"/>
      </w:pPr>
      <w:r w:rsidRPr="007C5606">
        <w:t xml:space="preserve">Table </w:t>
      </w:r>
      <w:r>
        <w:t>2</w:t>
      </w:r>
      <w:r w:rsidRPr="007C5606">
        <w:t>: Current: Xolair doses for adults and adolescents (12 years of age and older) with allergic asthma</w:t>
      </w:r>
    </w:p>
    <w:p w:rsidR="00863197" w:rsidRPr="007C5606" w:rsidRDefault="00863197" w:rsidP="00E24628">
      <w:r>
        <w:rPr>
          <w:noProof/>
          <w:lang w:eastAsia="en-AU"/>
        </w:rPr>
        <w:drawing>
          <wp:inline distT="0" distB="0" distL="0" distR="0" wp14:anchorId="78F84D19" wp14:editId="68B2AB18">
            <wp:extent cx="4206240" cy="2169899"/>
            <wp:effectExtent l="0" t="0" r="3810" b="1905"/>
            <wp:docPr id="2" name="Picture 2" descr="Table 2: Current: Xolair doses for adults and adolescents (12 years of age and older) with allergic asth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s from XOLAIR - current PI 600m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8445" cy="2171036"/>
                    </a:xfrm>
                    <a:prstGeom prst="rect">
                      <a:avLst/>
                    </a:prstGeom>
                    <a:noFill/>
                    <a:ln>
                      <a:noFill/>
                    </a:ln>
                  </pic:spPr>
                </pic:pic>
              </a:graphicData>
            </a:graphic>
          </wp:inline>
        </w:drawing>
      </w:r>
    </w:p>
    <w:p w:rsidR="004559F1" w:rsidRDefault="004559F1" w:rsidP="004559F1">
      <w:r>
        <w:t>For use in children the proposed dosage range (per 4</w:t>
      </w:r>
      <w:r w:rsidR="008C1E17">
        <w:t xml:space="preserve"> </w:t>
      </w:r>
      <w:r>
        <w:t>week period) is 75</w:t>
      </w:r>
      <w:r w:rsidR="008C1E17">
        <w:t xml:space="preserve"> to </w:t>
      </w:r>
      <w:r>
        <w:t>750 mg. Lower doses (75</w:t>
      </w:r>
      <w:r w:rsidR="008C1E17">
        <w:t xml:space="preserve"> to </w:t>
      </w:r>
      <w:r>
        <w:t>300 mg) are to be given as a single dose at 4</w:t>
      </w:r>
      <w:r w:rsidR="008C1E17">
        <w:t xml:space="preserve"> </w:t>
      </w:r>
      <w:r>
        <w:t>weekly intervals and higher doses (450</w:t>
      </w:r>
      <w:r w:rsidR="008C1E17">
        <w:t xml:space="preserve"> to </w:t>
      </w:r>
      <w:r>
        <w:t>750 mg) as two doses at 2</w:t>
      </w:r>
      <w:r w:rsidR="008C1E17">
        <w:t xml:space="preserve"> </w:t>
      </w:r>
      <w:r>
        <w:t>weekly intervals.</w:t>
      </w:r>
    </w:p>
    <w:p w:rsidR="004559F1" w:rsidRDefault="004559F1" w:rsidP="004559F1">
      <w:r>
        <w:t>There are no other proposed changes to the PI.</w:t>
      </w:r>
    </w:p>
    <w:p w:rsidR="00E24628" w:rsidRDefault="002F367C" w:rsidP="002F367C">
      <w:pPr>
        <w:spacing w:before="0" w:after="0" w:line="240" w:lineRule="auto"/>
        <w:rPr>
          <w:rFonts w:asciiTheme="minorHAnsi" w:hAnsiTheme="minorHAnsi"/>
        </w:rPr>
      </w:pPr>
      <w:r w:rsidRPr="0038624E">
        <w:rPr>
          <w:rFonts w:asciiTheme="minorHAnsi" w:hAnsiTheme="minorHAnsi"/>
        </w:rPr>
        <w:t xml:space="preserve">A previous application to extend the use of </w:t>
      </w:r>
      <w:proofErr w:type="spellStart"/>
      <w:r w:rsidR="005A1D2B" w:rsidRPr="0038624E">
        <w:rPr>
          <w:rFonts w:asciiTheme="minorHAnsi" w:hAnsiTheme="minorHAnsi"/>
        </w:rPr>
        <w:t>omalizumab</w:t>
      </w:r>
      <w:proofErr w:type="spellEnd"/>
      <w:r w:rsidR="005A1D2B" w:rsidRPr="0038624E">
        <w:rPr>
          <w:rFonts w:asciiTheme="minorHAnsi" w:hAnsiTheme="minorHAnsi"/>
        </w:rPr>
        <w:t xml:space="preserve"> (</w:t>
      </w:r>
      <w:proofErr w:type="spellStart"/>
      <w:r w:rsidR="005A1D2B" w:rsidRPr="0038624E">
        <w:rPr>
          <w:rFonts w:asciiTheme="minorHAnsi" w:hAnsiTheme="minorHAnsi"/>
        </w:rPr>
        <w:t>rch</w:t>
      </w:r>
      <w:proofErr w:type="spellEnd"/>
      <w:r w:rsidR="005A1D2B" w:rsidRPr="0038624E">
        <w:rPr>
          <w:rFonts w:asciiTheme="minorHAnsi" w:hAnsiTheme="minorHAnsi"/>
        </w:rPr>
        <w:t>)</w:t>
      </w:r>
      <w:r w:rsidRPr="0038624E">
        <w:rPr>
          <w:rFonts w:asciiTheme="minorHAnsi" w:hAnsiTheme="minorHAnsi"/>
        </w:rPr>
        <w:t xml:space="preserve"> to include children 6</w:t>
      </w:r>
      <w:r w:rsidR="007C5606" w:rsidRPr="0038624E">
        <w:rPr>
          <w:rFonts w:asciiTheme="minorHAnsi" w:hAnsiTheme="minorHAnsi"/>
        </w:rPr>
        <w:t xml:space="preserve"> to </w:t>
      </w:r>
      <w:r w:rsidRPr="0038624E">
        <w:rPr>
          <w:rFonts w:asciiTheme="minorHAnsi" w:hAnsiTheme="minorHAnsi"/>
        </w:rPr>
        <w:t>11 years with moderate</w:t>
      </w:r>
      <w:r w:rsidR="007C5606" w:rsidRPr="0038624E">
        <w:rPr>
          <w:rFonts w:asciiTheme="minorHAnsi" w:hAnsiTheme="minorHAnsi"/>
        </w:rPr>
        <w:t xml:space="preserve"> to </w:t>
      </w:r>
      <w:r w:rsidRPr="0038624E">
        <w:rPr>
          <w:rFonts w:asciiTheme="minorHAnsi" w:hAnsiTheme="minorHAnsi"/>
        </w:rPr>
        <w:t xml:space="preserve">severe asthma on inhaled steroids was lodged in 2009. The clinical evaluator and the </w:t>
      </w:r>
      <w:r w:rsidR="008C1E17" w:rsidRPr="0038624E">
        <w:rPr>
          <w:rFonts w:asciiTheme="minorHAnsi" w:hAnsiTheme="minorHAnsi"/>
        </w:rPr>
        <w:t>D</w:t>
      </w:r>
      <w:r w:rsidRPr="0038624E">
        <w:rPr>
          <w:rFonts w:asciiTheme="minorHAnsi" w:hAnsiTheme="minorHAnsi"/>
        </w:rPr>
        <w:t xml:space="preserve">elegate raised a number of issues (see </w:t>
      </w:r>
      <w:r w:rsidR="008C1E17" w:rsidRPr="0038624E">
        <w:rPr>
          <w:rFonts w:asciiTheme="minorHAnsi" w:hAnsiTheme="minorHAnsi"/>
        </w:rPr>
        <w:t>T</w:t>
      </w:r>
      <w:r w:rsidRPr="0038624E">
        <w:rPr>
          <w:rFonts w:asciiTheme="minorHAnsi" w:hAnsiTheme="minorHAnsi"/>
        </w:rPr>
        <w:t xml:space="preserve">able </w:t>
      </w:r>
      <w:r w:rsidR="00FE55CF" w:rsidRPr="0038624E">
        <w:rPr>
          <w:rFonts w:asciiTheme="minorHAnsi" w:hAnsiTheme="minorHAnsi"/>
        </w:rPr>
        <w:t>2</w:t>
      </w:r>
      <w:r w:rsidR="00951939" w:rsidRPr="0038624E">
        <w:rPr>
          <w:rFonts w:asciiTheme="minorHAnsi" w:hAnsiTheme="minorHAnsi"/>
        </w:rPr>
        <w:t>5</w:t>
      </w:r>
      <w:r w:rsidRPr="0038624E">
        <w:rPr>
          <w:rFonts w:asciiTheme="minorHAnsi" w:hAnsiTheme="minorHAnsi"/>
        </w:rPr>
        <w:t>) and the sponsor withdrew the application in 2010. The indications in this application differ in that they are more limited (for use in for patients with severe asthma on high dose corticosteroid). The sponsor has addressed most of these issues raised at the time of the last submission</w:t>
      </w:r>
      <w:r w:rsidR="00E24628">
        <w:rPr>
          <w:rFonts w:asciiTheme="minorHAnsi" w:hAnsiTheme="minorHAnsi"/>
        </w:rPr>
        <w:t>.</w:t>
      </w:r>
    </w:p>
    <w:p w:rsidR="008E7846" w:rsidRPr="003F31A2" w:rsidRDefault="00386150" w:rsidP="008E7846">
      <w:pPr>
        <w:pStyle w:val="Heading3"/>
      </w:pPr>
      <w:bookmarkStart w:id="18" w:name="_Toc454447833"/>
      <w:r>
        <w:t>Regulatory s</w:t>
      </w:r>
      <w:r w:rsidR="008E7846">
        <w:t>tatus</w:t>
      </w:r>
      <w:bookmarkEnd w:id="16"/>
      <w:bookmarkEnd w:id="17"/>
      <w:bookmarkEnd w:id="18"/>
    </w:p>
    <w:p w:rsidR="00940A89" w:rsidRPr="00940A89" w:rsidRDefault="005A1D2B" w:rsidP="00940A89">
      <w:bookmarkStart w:id="19" w:name="_Toc247691505"/>
      <w:bookmarkStart w:id="20" w:name="_Toc314842486"/>
      <w:proofErr w:type="spellStart"/>
      <w:r>
        <w:rPr>
          <w:rFonts w:asciiTheme="minorHAnsi" w:hAnsiTheme="minorHAnsi"/>
        </w:rPr>
        <w:t>Omalizumab</w:t>
      </w:r>
      <w:proofErr w:type="spellEnd"/>
      <w:r>
        <w:rPr>
          <w:rFonts w:asciiTheme="minorHAnsi" w:hAnsiTheme="minorHAnsi"/>
        </w:rPr>
        <w:t xml:space="preserve"> (</w:t>
      </w:r>
      <w:proofErr w:type="spellStart"/>
      <w:r>
        <w:rPr>
          <w:rFonts w:asciiTheme="minorHAnsi" w:hAnsiTheme="minorHAnsi"/>
        </w:rPr>
        <w:t>rch</w:t>
      </w:r>
      <w:proofErr w:type="spellEnd"/>
      <w:r>
        <w:rPr>
          <w:rFonts w:asciiTheme="minorHAnsi" w:hAnsiTheme="minorHAnsi"/>
        </w:rPr>
        <w:t>)</w:t>
      </w:r>
      <w:r w:rsidR="007C5606">
        <w:rPr>
          <w:rFonts w:asciiTheme="minorHAnsi" w:hAnsiTheme="minorHAnsi"/>
        </w:rPr>
        <w:t xml:space="preserve"> was first registered for use in Australia in 2002.</w:t>
      </w:r>
    </w:p>
    <w:p w:rsidR="00E24628" w:rsidRDefault="008C1E17" w:rsidP="008C1E17">
      <w:pPr>
        <w:spacing w:before="0" w:after="0" w:line="240" w:lineRule="auto"/>
        <w:rPr>
          <w:rFonts w:asciiTheme="minorHAnsi" w:hAnsiTheme="minorHAnsi"/>
        </w:rPr>
      </w:pPr>
      <w:r>
        <w:rPr>
          <w:rFonts w:asciiTheme="minorHAnsi" w:hAnsiTheme="minorHAnsi"/>
        </w:rPr>
        <w:t xml:space="preserve">Approval for use of </w:t>
      </w:r>
      <w:proofErr w:type="spellStart"/>
      <w:r w:rsidR="005A1D2B">
        <w:rPr>
          <w:rFonts w:asciiTheme="minorHAnsi" w:hAnsiTheme="minorHAnsi"/>
        </w:rPr>
        <w:t>omalizumab</w:t>
      </w:r>
      <w:proofErr w:type="spellEnd"/>
      <w:r w:rsidR="005A1D2B">
        <w:rPr>
          <w:rFonts w:asciiTheme="minorHAnsi" w:hAnsiTheme="minorHAnsi"/>
        </w:rPr>
        <w:t xml:space="preserve"> (</w:t>
      </w:r>
      <w:proofErr w:type="spellStart"/>
      <w:r w:rsidR="005A1D2B">
        <w:rPr>
          <w:rFonts w:asciiTheme="minorHAnsi" w:hAnsiTheme="minorHAnsi"/>
        </w:rPr>
        <w:t>rch</w:t>
      </w:r>
      <w:proofErr w:type="spellEnd"/>
      <w:r w:rsidR="005A1D2B">
        <w:rPr>
          <w:rFonts w:asciiTheme="minorHAnsi" w:hAnsiTheme="minorHAnsi"/>
        </w:rPr>
        <w:t>)</w:t>
      </w:r>
      <w:r>
        <w:rPr>
          <w:rFonts w:asciiTheme="minorHAnsi" w:hAnsiTheme="minorHAnsi"/>
        </w:rPr>
        <w:t xml:space="preserve"> in children aged 6 to 11 years has been granted in the European Union (2005), New Zealand (2009) and Switzerland (2010) (Table </w:t>
      </w:r>
      <w:r w:rsidR="00DF2F1F">
        <w:rPr>
          <w:rFonts w:asciiTheme="minorHAnsi" w:hAnsiTheme="minorHAnsi"/>
        </w:rPr>
        <w:t>3</w:t>
      </w:r>
      <w:r>
        <w:rPr>
          <w:rFonts w:asciiTheme="minorHAnsi" w:hAnsiTheme="minorHAnsi"/>
        </w:rPr>
        <w:t xml:space="preserve">). </w:t>
      </w:r>
      <w:r w:rsidRPr="00EA5A22">
        <w:rPr>
          <w:rFonts w:asciiTheme="minorHAnsi" w:hAnsiTheme="minorHAnsi"/>
        </w:rPr>
        <w:t>Paediatric submissions were also lodged in the USA (2008). The sponsor did not state the reasons for withdrawal. However, based on information available on its website, the FDA had concerns regarding marginal efficacy benefits and a need for further safety data (relating to malignancy, anaphylaxis and the need for long term data relating to immune complexes)</w:t>
      </w:r>
      <w:r w:rsidR="00E24628">
        <w:rPr>
          <w:rFonts w:asciiTheme="minorHAnsi" w:hAnsiTheme="minorHAnsi"/>
        </w:rPr>
        <w:t>.</w:t>
      </w:r>
    </w:p>
    <w:p w:rsidR="008C1E17" w:rsidRDefault="008C1E17" w:rsidP="008C1E17">
      <w:pPr>
        <w:pStyle w:val="TableTitle"/>
      </w:pPr>
      <w:r>
        <w:lastRenderedPageBreak/>
        <w:t xml:space="preserve">Table </w:t>
      </w:r>
      <w:r w:rsidR="00DF2F1F">
        <w:t>3</w:t>
      </w:r>
      <w:r>
        <w:t>: International regulatory status</w:t>
      </w:r>
    </w:p>
    <w:tbl>
      <w:tblPr>
        <w:tblStyle w:val="TableTGAblue"/>
        <w:tblW w:w="9039" w:type="dxa"/>
        <w:tblLayout w:type="fixed"/>
        <w:tblLook w:val="04A0" w:firstRow="1" w:lastRow="0" w:firstColumn="1" w:lastColumn="0" w:noHBand="0" w:noVBand="1"/>
      </w:tblPr>
      <w:tblGrid>
        <w:gridCol w:w="1809"/>
        <w:gridCol w:w="1560"/>
        <w:gridCol w:w="3827"/>
        <w:gridCol w:w="1843"/>
      </w:tblGrid>
      <w:tr w:rsidR="00436AD3" w:rsidTr="00E24628">
        <w:trPr>
          <w:cnfStyle w:val="100000000000" w:firstRow="1" w:lastRow="0" w:firstColumn="0" w:lastColumn="0" w:oddVBand="0" w:evenVBand="0" w:oddHBand="0" w:evenHBand="0" w:firstRowFirstColumn="0" w:firstRowLastColumn="0" w:lastRowFirstColumn="0" w:lastRowLastColumn="0"/>
        </w:trPr>
        <w:tc>
          <w:tcPr>
            <w:tcW w:w="1809" w:type="dxa"/>
          </w:tcPr>
          <w:p w:rsidR="00436AD3" w:rsidRPr="00E43E9C" w:rsidRDefault="00436AD3" w:rsidP="00E24628">
            <w:r w:rsidRPr="00E43E9C">
              <w:t>Country</w:t>
            </w:r>
          </w:p>
        </w:tc>
        <w:tc>
          <w:tcPr>
            <w:tcW w:w="1560" w:type="dxa"/>
          </w:tcPr>
          <w:p w:rsidR="00436AD3" w:rsidRPr="00E43E9C" w:rsidRDefault="00E43E9C" w:rsidP="00E24628">
            <w:r>
              <w:t>Decision Date</w:t>
            </w:r>
          </w:p>
        </w:tc>
        <w:tc>
          <w:tcPr>
            <w:tcW w:w="3827" w:type="dxa"/>
          </w:tcPr>
          <w:p w:rsidR="00436AD3" w:rsidRPr="00E43E9C" w:rsidRDefault="00E43E9C" w:rsidP="00E24628">
            <w:r>
              <w:t xml:space="preserve">Approved </w:t>
            </w:r>
            <w:r w:rsidR="00436AD3" w:rsidRPr="00E43E9C">
              <w:t>Indications</w:t>
            </w:r>
          </w:p>
        </w:tc>
        <w:tc>
          <w:tcPr>
            <w:tcW w:w="1843" w:type="dxa"/>
          </w:tcPr>
          <w:p w:rsidR="00436AD3" w:rsidRPr="00E43E9C" w:rsidRDefault="00436AD3" w:rsidP="00E24628">
            <w:r w:rsidRPr="00E43E9C">
              <w:t>Reason for withdrawal</w:t>
            </w:r>
          </w:p>
        </w:tc>
      </w:tr>
      <w:tr w:rsidR="00436AD3" w:rsidTr="00E24628">
        <w:tc>
          <w:tcPr>
            <w:tcW w:w="1809" w:type="dxa"/>
          </w:tcPr>
          <w:p w:rsidR="00436AD3" w:rsidRPr="00E43E9C" w:rsidRDefault="00436AD3" w:rsidP="00E24628">
            <w:r w:rsidRPr="00E43E9C">
              <w:t>EU</w:t>
            </w:r>
          </w:p>
        </w:tc>
        <w:tc>
          <w:tcPr>
            <w:tcW w:w="1560" w:type="dxa"/>
          </w:tcPr>
          <w:p w:rsidR="00436AD3" w:rsidRPr="00E43E9C" w:rsidRDefault="008C1E17" w:rsidP="00E24628">
            <w:r>
              <w:t xml:space="preserve">Approved </w:t>
            </w:r>
            <w:r w:rsidR="00436AD3" w:rsidRPr="00E43E9C">
              <w:t>27 Jul 2009</w:t>
            </w:r>
          </w:p>
        </w:tc>
        <w:tc>
          <w:tcPr>
            <w:tcW w:w="3827" w:type="dxa"/>
          </w:tcPr>
          <w:p w:rsidR="00436AD3" w:rsidRPr="00E43E9C" w:rsidRDefault="00436AD3" w:rsidP="00E24628">
            <w:r w:rsidRPr="00E43E9C">
              <w:t>Paediatric:</w:t>
            </w:r>
            <w:r w:rsidR="00E24628">
              <w:t xml:space="preserve"> </w:t>
            </w:r>
            <w:r w:rsidR="008C1E17">
              <w:t>‘</w:t>
            </w:r>
            <w:r w:rsidRPr="00E43E9C">
              <w:t>Xolair is indicated as add-on therapy to improve asthma control in patients with severe persistent allergic asthma who have a positive skin test or in vitro reactivity a perennial aeroallergen and frequent daytime symptoms or night-time awakenings and who have had multiple documented severe asthma exacerbations despite daily high-dose inhaled corticosteroids, plus a long-acting inhaled beta2-agonist</w:t>
            </w:r>
            <w:r w:rsidR="008C1E17">
              <w:t>’</w:t>
            </w:r>
            <w:r w:rsidRPr="00E43E9C">
              <w:t>.</w:t>
            </w:r>
          </w:p>
        </w:tc>
        <w:tc>
          <w:tcPr>
            <w:tcW w:w="1843" w:type="dxa"/>
          </w:tcPr>
          <w:p w:rsidR="00436AD3" w:rsidRPr="00E43E9C" w:rsidRDefault="00436AD3" w:rsidP="00E24628"/>
        </w:tc>
      </w:tr>
      <w:tr w:rsidR="00436AD3" w:rsidTr="00E24628">
        <w:tc>
          <w:tcPr>
            <w:tcW w:w="1809" w:type="dxa"/>
          </w:tcPr>
          <w:p w:rsidR="00436AD3" w:rsidRPr="00E43E9C" w:rsidRDefault="00E43E9C" w:rsidP="00E24628">
            <w:r w:rsidRPr="00E43E9C">
              <w:t>New Zealand</w:t>
            </w:r>
          </w:p>
        </w:tc>
        <w:tc>
          <w:tcPr>
            <w:tcW w:w="1560" w:type="dxa"/>
          </w:tcPr>
          <w:p w:rsidR="00436AD3" w:rsidRPr="00E43E9C" w:rsidRDefault="008C1E17" w:rsidP="00E24628">
            <w:r>
              <w:t>Approved 27 Aug 2009</w:t>
            </w:r>
          </w:p>
        </w:tc>
        <w:tc>
          <w:tcPr>
            <w:tcW w:w="3827" w:type="dxa"/>
          </w:tcPr>
          <w:p w:rsidR="00436AD3" w:rsidRPr="00E43E9C" w:rsidRDefault="00436AD3" w:rsidP="00E24628">
            <w:r w:rsidRPr="00E43E9C">
              <w:t>Paediatric:</w:t>
            </w:r>
            <w:r w:rsidR="00E24628">
              <w:t xml:space="preserve"> </w:t>
            </w:r>
            <w:r w:rsidR="008C1E17">
              <w:t>‘</w:t>
            </w:r>
            <w:r w:rsidRPr="00E43E9C">
              <w:t>Xolair (</w:t>
            </w:r>
            <w:proofErr w:type="spellStart"/>
            <w:r w:rsidR="005A1D2B">
              <w:t>omalizumab</w:t>
            </w:r>
            <w:proofErr w:type="spellEnd"/>
            <w:r w:rsidR="005A1D2B">
              <w:t xml:space="preserve"> (</w:t>
            </w:r>
            <w:proofErr w:type="spellStart"/>
            <w:r w:rsidR="005A1D2B">
              <w:t>rch</w:t>
            </w:r>
            <w:proofErr w:type="spellEnd"/>
            <w:r w:rsidR="005A1D2B">
              <w:t>)</w:t>
            </w:r>
            <w:r w:rsidRPr="00E43E9C">
              <w:t xml:space="preserve">) is indicated for the reduction of asthma exacerbations and control of asthma symptoms when given as add-on therapy for adult and adolescent patients, 6 years and older, with severe persistent allergic asthma who have </w:t>
            </w:r>
            <w:proofErr w:type="spellStart"/>
            <w:r w:rsidRPr="00E43E9C">
              <w:t>IgE</w:t>
            </w:r>
            <w:proofErr w:type="spellEnd"/>
            <w:r w:rsidRPr="00E43E9C">
              <w:t xml:space="preserve"> ≥ 30 IU/mL, a positive skin test or in vitro reactivity to a perennial aeroallergen and whose symptoms are inadequately controlled with inhaled corticosteroids</w:t>
            </w:r>
            <w:r w:rsidR="008C1E17">
              <w:t>’</w:t>
            </w:r>
            <w:r w:rsidRPr="00E43E9C">
              <w:t>.</w:t>
            </w:r>
          </w:p>
        </w:tc>
        <w:tc>
          <w:tcPr>
            <w:tcW w:w="1843" w:type="dxa"/>
          </w:tcPr>
          <w:p w:rsidR="00436AD3" w:rsidRPr="00E43E9C" w:rsidRDefault="00436AD3" w:rsidP="00E24628"/>
        </w:tc>
      </w:tr>
      <w:tr w:rsidR="00436AD3" w:rsidTr="00E24628">
        <w:tc>
          <w:tcPr>
            <w:tcW w:w="1809" w:type="dxa"/>
          </w:tcPr>
          <w:p w:rsidR="00436AD3" w:rsidRPr="00E43E9C" w:rsidRDefault="00E43E9C" w:rsidP="00E24628">
            <w:r w:rsidRPr="00E43E9C">
              <w:t>Switzerland</w:t>
            </w:r>
          </w:p>
        </w:tc>
        <w:tc>
          <w:tcPr>
            <w:tcW w:w="1560" w:type="dxa"/>
          </w:tcPr>
          <w:p w:rsidR="00436AD3" w:rsidRPr="00E43E9C" w:rsidRDefault="008C1E17" w:rsidP="00E24628">
            <w:r>
              <w:t>Approved</w:t>
            </w:r>
            <w:r w:rsidR="00E24628">
              <w:t xml:space="preserve"> </w:t>
            </w:r>
            <w:r w:rsidR="00E43E9C" w:rsidRPr="00E43E9C">
              <w:t>22 Nov 2010</w:t>
            </w:r>
          </w:p>
        </w:tc>
        <w:tc>
          <w:tcPr>
            <w:tcW w:w="3827" w:type="dxa"/>
          </w:tcPr>
          <w:p w:rsidR="00436AD3" w:rsidRPr="00E43E9C" w:rsidRDefault="00436AD3" w:rsidP="00E24628">
            <w:r w:rsidRPr="00E43E9C">
              <w:t>Paediatric:</w:t>
            </w:r>
            <w:r w:rsidR="00E24628">
              <w:t xml:space="preserve"> </w:t>
            </w:r>
            <w:r w:rsidR="008C1E17">
              <w:t>‘</w:t>
            </w:r>
            <w:r w:rsidRPr="00E43E9C">
              <w:t>Xolair is indicated for use in combination with other asthma therapies to improve asthma control in adults and children (6 years of age and above) with severe persistent allergic asthma (positive skin test or in vitro reactivity to a perennial aeroallergen) who have both reduced lung function (FEV1 &lt;80%) and frequent daytime symptoms or night-time awakenings, and who have had asthma exacerbations despite daily high-dose inhaled corticosteroids and a long-acting beta2-agonist</w:t>
            </w:r>
            <w:r w:rsidR="008C1E17">
              <w:t>’</w:t>
            </w:r>
            <w:r w:rsidRPr="00E43E9C">
              <w:t>.</w:t>
            </w:r>
          </w:p>
        </w:tc>
        <w:tc>
          <w:tcPr>
            <w:tcW w:w="1843" w:type="dxa"/>
          </w:tcPr>
          <w:p w:rsidR="00436AD3" w:rsidRPr="00E43E9C" w:rsidRDefault="00436AD3" w:rsidP="00E24628"/>
        </w:tc>
      </w:tr>
    </w:tbl>
    <w:p w:rsidR="00436AD3" w:rsidRDefault="00D0027A" w:rsidP="00436AD3">
      <w:r>
        <w:t xml:space="preserve">In </w:t>
      </w:r>
      <w:r w:rsidR="00436AD3">
        <w:t>Saudi Arabia the inclusion of paediatrics was assessed and approved in June 2015</w:t>
      </w:r>
    </w:p>
    <w:p w:rsidR="008E7846" w:rsidRDefault="008E7846" w:rsidP="00940A89">
      <w:pPr>
        <w:pStyle w:val="Heading3"/>
      </w:pPr>
      <w:bookmarkStart w:id="21" w:name="_Toc454447834"/>
      <w:r>
        <w:lastRenderedPageBreak/>
        <w:t>Product Information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6"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4" w:name="_Toc454447835"/>
      <w:r>
        <w:t>II. Quality</w:t>
      </w:r>
      <w:bookmarkEnd w:id="1"/>
      <w:r>
        <w:t xml:space="preserve"> findings</w:t>
      </w:r>
      <w:bookmarkEnd w:id="22"/>
      <w:bookmarkEnd w:id="23"/>
      <w:bookmarkEnd w:id="24"/>
    </w:p>
    <w:p w:rsidR="00940A89" w:rsidRPr="00940A89" w:rsidRDefault="00940A89" w:rsidP="00940A89">
      <w:bookmarkStart w:id="25" w:name="_Toc247691507"/>
      <w:bookmarkStart w:id="26" w:name="_Toc314842488"/>
      <w:r w:rsidRPr="00940A89">
        <w:t>There was no requirement for a quality evaluation in a submission of this type.</w:t>
      </w:r>
    </w:p>
    <w:p w:rsidR="008E7846" w:rsidRDefault="008E7846" w:rsidP="008E7846">
      <w:pPr>
        <w:pStyle w:val="Heading2"/>
      </w:pPr>
      <w:bookmarkStart w:id="27" w:name="_Toc196046439"/>
      <w:bookmarkStart w:id="28" w:name="_Toc247691510"/>
      <w:bookmarkStart w:id="29" w:name="_Toc314842494"/>
      <w:bookmarkStart w:id="30" w:name="_Toc454447836"/>
      <w:bookmarkEnd w:id="25"/>
      <w:bookmarkEnd w:id="26"/>
      <w:r>
        <w:t>III. Nonclinical</w:t>
      </w:r>
      <w:bookmarkEnd w:id="27"/>
      <w:r>
        <w:t xml:space="preserve"> findings</w:t>
      </w:r>
      <w:bookmarkEnd w:id="28"/>
      <w:bookmarkEnd w:id="29"/>
      <w:bookmarkEnd w:id="30"/>
    </w:p>
    <w:p w:rsidR="008E7846" w:rsidRDefault="008E7846" w:rsidP="00940A89">
      <w:pPr>
        <w:pStyle w:val="Heading3"/>
      </w:pPr>
      <w:bookmarkStart w:id="31" w:name="_Toc247691511"/>
      <w:bookmarkStart w:id="32" w:name="_Toc314842495"/>
      <w:bookmarkStart w:id="33" w:name="_Toc454447837"/>
      <w:r>
        <w:t>Introduction</w:t>
      </w:r>
      <w:bookmarkEnd w:id="31"/>
      <w:bookmarkEnd w:id="32"/>
      <w:bookmarkEnd w:id="33"/>
    </w:p>
    <w:p w:rsidR="00602B82" w:rsidRDefault="00602B82" w:rsidP="007C5606">
      <w:pPr>
        <w:pStyle w:val="Heading4"/>
      </w:pPr>
      <w:r>
        <w:t>Revised dosage instructions</w:t>
      </w:r>
    </w:p>
    <w:p w:rsidR="00E24628" w:rsidRDefault="00602B82" w:rsidP="007C5606">
      <w:r>
        <w:t xml:space="preserve">Doses and dosing frequency for allergic asthma are determined by baseline serum total </w:t>
      </w:r>
      <w:proofErr w:type="spellStart"/>
      <w:r>
        <w:t>IgE</w:t>
      </w:r>
      <w:proofErr w:type="spellEnd"/>
      <w:r>
        <w:t xml:space="preserve"> level and body weight. The sponsor’s draft </w:t>
      </w:r>
      <w:r w:rsidR="007C5606">
        <w:t>PI</w:t>
      </w:r>
      <w:r>
        <w:t xml:space="preserve"> document features a revised dose determination chart</w:t>
      </w:r>
      <w:r w:rsidR="007C5606">
        <w:t xml:space="preserve"> </w:t>
      </w:r>
      <w:r w:rsidR="007C5606" w:rsidRPr="00DF2F1F">
        <w:t xml:space="preserve">(Table </w:t>
      </w:r>
      <w:r w:rsidR="00863197" w:rsidRPr="00DF2F1F">
        <w:t>1</w:t>
      </w:r>
      <w:r w:rsidR="007C5606" w:rsidRPr="00DF2F1F">
        <w:t xml:space="preserve">). The </w:t>
      </w:r>
      <w:r w:rsidRPr="00DF2F1F">
        <w:t xml:space="preserve">existing </w:t>
      </w:r>
      <w:r w:rsidR="00863197" w:rsidRPr="00DF2F1F">
        <w:t>dosage determination chart</w:t>
      </w:r>
      <w:r w:rsidRPr="00DF2F1F">
        <w:t xml:space="preserve"> </w:t>
      </w:r>
      <w:r w:rsidR="007C5606" w:rsidRPr="00DF2F1F">
        <w:t xml:space="preserve">is shown </w:t>
      </w:r>
      <w:r w:rsidR="00863197" w:rsidRPr="00DF2F1F">
        <w:t xml:space="preserve">in </w:t>
      </w:r>
      <w:r w:rsidR="007C5606" w:rsidRPr="00DF2F1F">
        <w:t xml:space="preserve">Table </w:t>
      </w:r>
      <w:r w:rsidR="00863197" w:rsidRPr="00DF2F1F">
        <w:t>2</w:t>
      </w:r>
      <w:r w:rsidRPr="00DF2F1F">
        <w:t>. Administration is</w:t>
      </w:r>
      <w:r>
        <w:t xml:space="preserve"> by SC injection once every 2 or 4 weeks</w:t>
      </w:r>
      <w:r w:rsidR="00E24628">
        <w:t>.</w:t>
      </w:r>
    </w:p>
    <w:p w:rsidR="00602B82" w:rsidRDefault="00602B82" w:rsidP="00602B82">
      <w:pPr>
        <w:pStyle w:val="Standard"/>
        <w:spacing w:after="200"/>
        <w:rPr>
          <w:kern w:val="2"/>
        </w:rPr>
      </w:pPr>
      <w:r>
        <w:rPr>
          <w:kern w:val="2"/>
        </w:rPr>
        <w:t xml:space="preserve">On </w:t>
      </w:r>
      <w:r w:rsidR="00FA00C2">
        <w:rPr>
          <w:kern w:val="2"/>
        </w:rPr>
        <w:t>an</w:t>
      </w:r>
      <w:r>
        <w:rPr>
          <w:kern w:val="2"/>
        </w:rPr>
        <w:t xml:space="preserve"> mg/kg basis, the maximum dose per injection will be increased across all body weight groups </w:t>
      </w:r>
      <w:r w:rsidR="00DD746F">
        <w:rPr>
          <w:kern w:val="2"/>
        </w:rPr>
        <w:t>under the new dose scheme (see T</w:t>
      </w:r>
      <w:r>
        <w:rPr>
          <w:kern w:val="2"/>
        </w:rPr>
        <w:t xml:space="preserve">able </w:t>
      </w:r>
      <w:r w:rsidR="00DD746F">
        <w:rPr>
          <w:kern w:val="2"/>
        </w:rPr>
        <w:t xml:space="preserve">4 </w:t>
      </w:r>
      <w:r>
        <w:rPr>
          <w:kern w:val="2"/>
        </w:rPr>
        <w:t>below). Across the patient population, the highest administered dose increases from 12.5 mg/kg to 15 mg/kg (encountered in the four lowest weight groups). Maximum doses per 4</w:t>
      </w:r>
      <w:r w:rsidR="007C5606">
        <w:rPr>
          <w:kern w:val="2"/>
        </w:rPr>
        <w:t xml:space="preserve"> </w:t>
      </w:r>
      <w:r>
        <w:rPr>
          <w:kern w:val="2"/>
        </w:rPr>
        <w:t xml:space="preserve">week interval are mostly unchanged in the existing body weight groups but newly included 20 and 25 kg subjects will receive up to 30 mg/kg over 4 weeks </w:t>
      </w:r>
      <w:r w:rsidR="00DD746F">
        <w:rPr>
          <w:kern w:val="2"/>
        </w:rPr>
        <w:t>compared to</w:t>
      </w:r>
      <w:r>
        <w:rPr>
          <w:kern w:val="2"/>
        </w:rPr>
        <w:t xml:space="preserve"> an existing maximum approved dose of 25 mg/kg per 4</w:t>
      </w:r>
      <w:r w:rsidR="00DD746F">
        <w:rPr>
          <w:kern w:val="2"/>
        </w:rPr>
        <w:t xml:space="preserve"> </w:t>
      </w:r>
      <w:r>
        <w:rPr>
          <w:kern w:val="2"/>
        </w:rPr>
        <w:t>week interval.</w:t>
      </w:r>
    </w:p>
    <w:p w:rsidR="00DD746F" w:rsidRDefault="00DD746F" w:rsidP="00DD746F">
      <w:pPr>
        <w:pStyle w:val="TableTitle"/>
      </w:pPr>
      <w:r>
        <w:t>Table 4: Dose per injection (mg/kg) Current versus proposed</w:t>
      </w:r>
    </w:p>
    <w:tbl>
      <w:tblPr>
        <w:tblStyle w:val="TableTGAblue1"/>
        <w:tblW w:w="9039" w:type="dxa"/>
        <w:tblLayout w:type="fixed"/>
        <w:tblLook w:val="04A0" w:firstRow="1" w:lastRow="0" w:firstColumn="1" w:lastColumn="0" w:noHBand="0" w:noVBand="1"/>
      </w:tblPr>
      <w:tblGrid>
        <w:gridCol w:w="959"/>
        <w:gridCol w:w="850"/>
        <w:gridCol w:w="709"/>
        <w:gridCol w:w="851"/>
        <w:gridCol w:w="850"/>
        <w:gridCol w:w="851"/>
        <w:gridCol w:w="708"/>
        <w:gridCol w:w="851"/>
        <w:gridCol w:w="850"/>
        <w:gridCol w:w="851"/>
        <w:gridCol w:w="709"/>
      </w:tblGrid>
      <w:tr w:rsidR="00602B82" w:rsidRPr="00E24628" w:rsidTr="00DD746F">
        <w:trPr>
          <w:cnfStyle w:val="100000000000" w:firstRow="1" w:lastRow="0" w:firstColumn="0" w:lastColumn="0" w:oddVBand="0" w:evenVBand="0" w:oddHBand="0" w:evenHBand="0" w:firstRowFirstColumn="0" w:firstRowLastColumn="0" w:lastRowFirstColumn="0" w:lastRowLastColumn="0"/>
          <w:cantSplit/>
          <w:trHeight w:val="234"/>
          <w:tblHeader/>
        </w:trPr>
        <w:tc>
          <w:tcPr>
            <w:tcW w:w="959" w:type="dxa"/>
            <w:vMerge w:val="restart"/>
            <w:hideMark/>
          </w:tcPr>
          <w:p w:rsidR="00602B82" w:rsidRPr="00E24628" w:rsidRDefault="00602B82" w:rsidP="00E24628">
            <w:pPr>
              <w:rPr>
                <w:b w:val="0"/>
                <w:sz w:val="20"/>
                <w:szCs w:val="20"/>
              </w:rPr>
            </w:pPr>
            <w:r w:rsidRPr="00E24628">
              <w:rPr>
                <w:sz w:val="20"/>
                <w:szCs w:val="20"/>
              </w:rPr>
              <w:t>Baseline</w:t>
            </w:r>
            <w:r w:rsidR="00E24628">
              <w:rPr>
                <w:sz w:val="20"/>
                <w:szCs w:val="20"/>
              </w:rPr>
              <w:t xml:space="preserve"> </w:t>
            </w:r>
            <w:proofErr w:type="spellStart"/>
            <w:r w:rsidRPr="00E24628">
              <w:rPr>
                <w:sz w:val="20"/>
                <w:szCs w:val="20"/>
              </w:rPr>
              <w:t>IgE</w:t>
            </w:r>
            <w:proofErr w:type="spellEnd"/>
            <w:r w:rsidR="00DF2F1F" w:rsidRPr="00E24628">
              <w:rPr>
                <w:sz w:val="20"/>
                <w:szCs w:val="20"/>
              </w:rPr>
              <w:t xml:space="preserve"> </w:t>
            </w:r>
            <w:r w:rsidRPr="00E24628">
              <w:rPr>
                <w:sz w:val="20"/>
                <w:szCs w:val="20"/>
              </w:rPr>
              <w:t>(IU/mL)</w:t>
            </w:r>
          </w:p>
        </w:tc>
        <w:tc>
          <w:tcPr>
            <w:tcW w:w="8080" w:type="dxa"/>
            <w:gridSpan w:val="10"/>
            <w:hideMark/>
          </w:tcPr>
          <w:p w:rsidR="00602B82" w:rsidRPr="00E24628" w:rsidRDefault="00602B82" w:rsidP="00E24628">
            <w:pPr>
              <w:rPr>
                <w:b w:val="0"/>
                <w:sz w:val="20"/>
                <w:szCs w:val="20"/>
              </w:rPr>
            </w:pPr>
            <w:r w:rsidRPr="00E24628">
              <w:rPr>
                <w:sz w:val="20"/>
                <w:szCs w:val="20"/>
              </w:rPr>
              <w:t>Dose per injection (mg/kg):</w:t>
            </w:r>
            <w:r w:rsidR="006750C7" w:rsidRPr="00E24628">
              <w:rPr>
                <w:sz w:val="20"/>
                <w:szCs w:val="20"/>
              </w:rPr>
              <w:t xml:space="preserve"> </w:t>
            </w:r>
            <w:r w:rsidRPr="00E24628">
              <w:rPr>
                <w:sz w:val="20"/>
                <w:szCs w:val="20"/>
              </w:rPr>
              <w:t>current → proposed</w:t>
            </w:r>
          </w:p>
        </w:tc>
      </w:tr>
      <w:tr w:rsidR="00602B82" w:rsidRPr="00E24628" w:rsidTr="00DD746F">
        <w:trPr>
          <w:cnfStyle w:val="100000000000" w:firstRow="1" w:lastRow="0" w:firstColumn="0" w:lastColumn="0" w:oddVBand="0" w:evenVBand="0" w:oddHBand="0" w:evenHBand="0" w:firstRowFirstColumn="0" w:firstRowLastColumn="0" w:lastRowFirstColumn="0" w:lastRowLastColumn="0"/>
          <w:cantSplit/>
          <w:trHeight w:val="233"/>
          <w:tblHeader/>
        </w:trPr>
        <w:tc>
          <w:tcPr>
            <w:tcW w:w="959" w:type="dxa"/>
            <w:vMerge/>
            <w:hideMark/>
          </w:tcPr>
          <w:p w:rsidR="00602B82" w:rsidRPr="00E24628" w:rsidRDefault="00602B82" w:rsidP="00E24628">
            <w:pPr>
              <w:rPr>
                <w:rFonts w:eastAsia="MS Mincho"/>
                <w:kern w:val="2"/>
                <w:sz w:val="20"/>
                <w:szCs w:val="20"/>
              </w:rPr>
            </w:pPr>
          </w:p>
        </w:tc>
        <w:tc>
          <w:tcPr>
            <w:tcW w:w="8080" w:type="dxa"/>
            <w:gridSpan w:val="10"/>
            <w:hideMark/>
          </w:tcPr>
          <w:p w:rsidR="00602B82" w:rsidRPr="00E24628" w:rsidRDefault="00602B82" w:rsidP="00E24628">
            <w:pPr>
              <w:rPr>
                <w:b w:val="0"/>
                <w:sz w:val="20"/>
                <w:szCs w:val="20"/>
              </w:rPr>
            </w:pPr>
            <w:r w:rsidRPr="00E24628">
              <w:rPr>
                <w:sz w:val="20"/>
                <w:szCs w:val="20"/>
              </w:rPr>
              <w:t>Lower body weight limit (kg)</w:t>
            </w:r>
          </w:p>
        </w:tc>
      </w:tr>
      <w:tr w:rsidR="00DD746F" w:rsidRPr="00E24628" w:rsidTr="00DD746F">
        <w:trPr>
          <w:cnfStyle w:val="100000000000" w:firstRow="1" w:lastRow="0" w:firstColumn="0" w:lastColumn="0" w:oddVBand="0" w:evenVBand="0" w:oddHBand="0" w:evenHBand="0" w:firstRowFirstColumn="0" w:firstRowLastColumn="0" w:lastRowFirstColumn="0" w:lastRowLastColumn="0"/>
          <w:cantSplit/>
          <w:trHeight w:val="233"/>
          <w:tblHeader/>
        </w:trPr>
        <w:tc>
          <w:tcPr>
            <w:tcW w:w="959" w:type="dxa"/>
            <w:vMerge/>
            <w:hideMark/>
          </w:tcPr>
          <w:p w:rsidR="00602B82" w:rsidRPr="00E24628" w:rsidRDefault="00602B82" w:rsidP="00E24628">
            <w:pPr>
              <w:rPr>
                <w:rFonts w:eastAsia="MS Mincho"/>
                <w:kern w:val="2"/>
                <w:sz w:val="20"/>
                <w:szCs w:val="20"/>
              </w:rPr>
            </w:pPr>
          </w:p>
        </w:tc>
        <w:tc>
          <w:tcPr>
            <w:tcW w:w="850" w:type="dxa"/>
            <w:hideMark/>
          </w:tcPr>
          <w:p w:rsidR="00602B82" w:rsidRPr="00E24628" w:rsidRDefault="00602B82" w:rsidP="00E24628">
            <w:pPr>
              <w:rPr>
                <w:b w:val="0"/>
                <w:sz w:val="20"/>
                <w:szCs w:val="20"/>
              </w:rPr>
            </w:pPr>
            <w:r w:rsidRPr="00E24628">
              <w:rPr>
                <w:sz w:val="20"/>
                <w:szCs w:val="20"/>
              </w:rPr>
              <w:t>20</w:t>
            </w:r>
          </w:p>
        </w:tc>
        <w:tc>
          <w:tcPr>
            <w:tcW w:w="709" w:type="dxa"/>
            <w:hideMark/>
          </w:tcPr>
          <w:p w:rsidR="00602B82" w:rsidRPr="00E24628" w:rsidRDefault="00602B82" w:rsidP="00E24628">
            <w:pPr>
              <w:rPr>
                <w:b w:val="0"/>
                <w:sz w:val="20"/>
                <w:szCs w:val="20"/>
              </w:rPr>
            </w:pPr>
            <w:r w:rsidRPr="00E24628">
              <w:rPr>
                <w:sz w:val="20"/>
                <w:szCs w:val="20"/>
              </w:rPr>
              <w:t>25</w:t>
            </w:r>
          </w:p>
        </w:tc>
        <w:tc>
          <w:tcPr>
            <w:tcW w:w="851" w:type="dxa"/>
            <w:hideMark/>
          </w:tcPr>
          <w:p w:rsidR="00602B82" w:rsidRPr="00E24628" w:rsidRDefault="00602B82" w:rsidP="00E24628">
            <w:pPr>
              <w:rPr>
                <w:b w:val="0"/>
                <w:sz w:val="20"/>
                <w:szCs w:val="20"/>
              </w:rPr>
            </w:pPr>
            <w:r w:rsidRPr="00E24628">
              <w:rPr>
                <w:sz w:val="20"/>
                <w:szCs w:val="20"/>
              </w:rPr>
              <w:t>30</w:t>
            </w:r>
          </w:p>
        </w:tc>
        <w:tc>
          <w:tcPr>
            <w:tcW w:w="850" w:type="dxa"/>
            <w:hideMark/>
          </w:tcPr>
          <w:p w:rsidR="00602B82" w:rsidRPr="00E24628" w:rsidRDefault="00602B82" w:rsidP="00E24628">
            <w:pPr>
              <w:rPr>
                <w:b w:val="0"/>
                <w:sz w:val="20"/>
                <w:szCs w:val="20"/>
              </w:rPr>
            </w:pPr>
            <w:r w:rsidRPr="00E24628">
              <w:rPr>
                <w:sz w:val="20"/>
                <w:szCs w:val="20"/>
              </w:rPr>
              <w:t>40</w:t>
            </w:r>
          </w:p>
        </w:tc>
        <w:tc>
          <w:tcPr>
            <w:tcW w:w="851" w:type="dxa"/>
            <w:hideMark/>
          </w:tcPr>
          <w:p w:rsidR="00602B82" w:rsidRPr="00E24628" w:rsidRDefault="00602B82" w:rsidP="00E24628">
            <w:pPr>
              <w:rPr>
                <w:b w:val="0"/>
                <w:sz w:val="20"/>
                <w:szCs w:val="20"/>
              </w:rPr>
            </w:pPr>
            <w:r w:rsidRPr="00E24628">
              <w:rPr>
                <w:sz w:val="20"/>
                <w:szCs w:val="20"/>
              </w:rPr>
              <w:t>50</w:t>
            </w:r>
          </w:p>
        </w:tc>
        <w:tc>
          <w:tcPr>
            <w:tcW w:w="708" w:type="dxa"/>
            <w:hideMark/>
          </w:tcPr>
          <w:p w:rsidR="00602B82" w:rsidRPr="00E24628" w:rsidRDefault="00602B82" w:rsidP="00E24628">
            <w:pPr>
              <w:rPr>
                <w:b w:val="0"/>
                <w:sz w:val="20"/>
                <w:szCs w:val="20"/>
              </w:rPr>
            </w:pPr>
            <w:r w:rsidRPr="00E24628">
              <w:rPr>
                <w:sz w:val="20"/>
                <w:szCs w:val="20"/>
              </w:rPr>
              <w:t>60</w:t>
            </w:r>
          </w:p>
        </w:tc>
        <w:tc>
          <w:tcPr>
            <w:tcW w:w="851" w:type="dxa"/>
            <w:hideMark/>
          </w:tcPr>
          <w:p w:rsidR="00602B82" w:rsidRPr="00E24628" w:rsidRDefault="00602B82" w:rsidP="00E24628">
            <w:pPr>
              <w:rPr>
                <w:b w:val="0"/>
                <w:sz w:val="20"/>
                <w:szCs w:val="20"/>
              </w:rPr>
            </w:pPr>
            <w:r w:rsidRPr="00E24628">
              <w:rPr>
                <w:sz w:val="20"/>
                <w:szCs w:val="20"/>
              </w:rPr>
              <w:t>70</w:t>
            </w:r>
          </w:p>
        </w:tc>
        <w:tc>
          <w:tcPr>
            <w:tcW w:w="850" w:type="dxa"/>
            <w:hideMark/>
          </w:tcPr>
          <w:p w:rsidR="00602B82" w:rsidRPr="00E24628" w:rsidRDefault="00602B82" w:rsidP="00E24628">
            <w:pPr>
              <w:rPr>
                <w:b w:val="0"/>
                <w:sz w:val="20"/>
                <w:szCs w:val="20"/>
              </w:rPr>
            </w:pPr>
            <w:r w:rsidRPr="00E24628">
              <w:rPr>
                <w:sz w:val="20"/>
                <w:szCs w:val="20"/>
              </w:rPr>
              <w:t>80</w:t>
            </w:r>
          </w:p>
        </w:tc>
        <w:tc>
          <w:tcPr>
            <w:tcW w:w="851" w:type="dxa"/>
            <w:hideMark/>
          </w:tcPr>
          <w:p w:rsidR="00602B82" w:rsidRPr="00E24628" w:rsidRDefault="00602B82" w:rsidP="00E24628">
            <w:pPr>
              <w:rPr>
                <w:b w:val="0"/>
                <w:sz w:val="20"/>
                <w:szCs w:val="20"/>
              </w:rPr>
            </w:pPr>
            <w:r w:rsidRPr="00E24628">
              <w:rPr>
                <w:sz w:val="20"/>
                <w:szCs w:val="20"/>
              </w:rPr>
              <w:t>90</w:t>
            </w:r>
          </w:p>
        </w:tc>
        <w:tc>
          <w:tcPr>
            <w:tcW w:w="709" w:type="dxa"/>
            <w:hideMark/>
          </w:tcPr>
          <w:p w:rsidR="00602B82" w:rsidRPr="00E24628" w:rsidRDefault="00602B82" w:rsidP="00E24628">
            <w:pPr>
              <w:rPr>
                <w:b w:val="0"/>
                <w:sz w:val="20"/>
                <w:szCs w:val="20"/>
              </w:rPr>
            </w:pPr>
            <w:r w:rsidRPr="00E24628">
              <w:rPr>
                <w:sz w:val="20"/>
                <w:szCs w:val="20"/>
              </w:rPr>
              <w:t>125</w:t>
            </w: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t>&gt;30–100</w:t>
            </w:r>
          </w:p>
        </w:tc>
        <w:tc>
          <w:tcPr>
            <w:tcW w:w="850" w:type="dxa"/>
            <w:hideMark/>
          </w:tcPr>
          <w:p w:rsidR="00602B82" w:rsidRPr="00E24628" w:rsidRDefault="00602B82" w:rsidP="00E24628">
            <w:pPr>
              <w:rPr>
                <w:rFonts w:eastAsia="Times New Roman"/>
                <w:sz w:val="20"/>
                <w:szCs w:val="20"/>
              </w:rPr>
            </w:pPr>
            <w:r w:rsidRPr="00E24628">
              <w:rPr>
                <w:sz w:val="20"/>
                <w:szCs w:val="20"/>
              </w:rPr>
              <w:t>NA →3.75</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NA →3.0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5.0</w:t>
            </w:r>
            <w:r w:rsidRPr="00E24628">
              <w:rPr>
                <w:w w:val="50"/>
                <w:sz w:val="20"/>
                <w:szCs w:val="20"/>
              </w:rPr>
              <w:t xml:space="preserve"> </w:t>
            </w:r>
            <w:r w:rsidRPr="00E24628">
              <w:rPr>
                <w:sz w:val="20"/>
                <w:szCs w:val="20"/>
                <w:vertAlign w:val="superscript"/>
              </w:rPr>
              <w:t>①</w:t>
            </w:r>
            <w:r w:rsidRPr="00E24628">
              <w:rPr>
                <w:sz w:val="20"/>
                <w:szCs w:val="20"/>
              </w:rPr>
              <w:t>→</w:t>
            </w:r>
            <w:r w:rsidRPr="00E24628">
              <w:rPr>
                <w:w w:val="50"/>
                <w:sz w:val="20"/>
                <w:szCs w:val="20"/>
              </w:rPr>
              <w:t> </w:t>
            </w:r>
            <w:r w:rsidRPr="00E24628">
              <w:rPr>
                <w:sz w:val="20"/>
                <w:szCs w:val="20"/>
              </w:rPr>
              <w:t>2.5</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3.75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3.0</w:t>
            </w:r>
            <w:r w:rsidRPr="00E24628">
              <w:rPr>
                <w:w w:val="50"/>
                <w:sz w:val="20"/>
                <w:szCs w:val="20"/>
              </w:rPr>
              <w:t xml:space="preserve"> </w:t>
            </w:r>
            <w:r w:rsidRPr="00E24628">
              <w:rPr>
                <w:sz w:val="20"/>
                <w:szCs w:val="20"/>
                <w:vertAlign w:val="superscript"/>
              </w:rPr>
              <w:t>①</w:t>
            </w:r>
          </w:p>
        </w:tc>
        <w:tc>
          <w:tcPr>
            <w:tcW w:w="708" w:type="dxa"/>
            <w:hideMark/>
          </w:tcPr>
          <w:p w:rsidR="00602B82" w:rsidRPr="00E24628" w:rsidRDefault="00602B82" w:rsidP="00E24628">
            <w:pPr>
              <w:rPr>
                <w:rFonts w:eastAsia="Times New Roman"/>
                <w:sz w:val="20"/>
                <w:szCs w:val="20"/>
              </w:rPr>
            </w:pPr>
            <w:r w:rsidRPr="00E24628">
              <w:rPr>
                <w:sz w:val="20"/>
                <w:szCs w:val="20"/>
              </w:rPr>
              <w:t>2.5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2.14</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1.88</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3.33</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2.4</w:t>
            </w:r>
            <w:r w:rsidRPr="00E24628">
              <w:rPr>
                <w:w w:val="50"/>
                <w:sz w:val="20"/>
                <w:szCs w:val="20"/>
              </w:rPr>
              <w:t xml:space="preserve"> </w:t>
            </w:r>
            <w:r w:rsidRPr="00E24628">
              <w:rPr>
                <w:sz w:val="20"/>
                <w:szCs w:val="20"/>
                <w:vertAlign w:val="superscript"/>
              </w:rPr>
              <w:t>①</w:t>
            </w: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t>&gt;100–200</w:t>
            </w:r>
          </w:p>
        </w:tc>
        <w:tc>
          <w:tcPr>
            <w:tcW w:w="850" w:type="dxa"/>
            <w:hideMark/>
          </w:tcPr>
          <w:p w:rsidR="00602B82" w:rsidRPr="00E24628" w:rsidRDefault="00602B82" w:rsidP="00E24628">
            <w:pPr>
              <w:rPr>
                <w:rFonts w:eastAsia="Times New Roman"/>
                <w:sz w:val="20"/>
                <w:szCs w:val="20"/>
              </w:rPr>
            </w:pPr>
            <w:r w:rsidRPr="00E24628">
              <w:rPr>
                <w:sz w:val="20"/>
                <w:szCs w:val="20"/>
              </w:rPr>
              <w:t>NA →7.5</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NA →6.0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5.0</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7.5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6.0</w:t>
            </w:r>
            <w:r w:rsidRPr="00E24628">
              <w:rPr>
                <w:w w:val="50"/>
                <w:sz w:val="20"/>
                <w:szCs w:val="20"/>
              </w:rPr>
              <w:t xml:space="preserve"> </w:t>
            </w:r>
            <w:r w:rsidRPr="00E24628">
              <w:rPr>
                <w:sz w:val="20"/>
                <w:szCs w:val="20"/>
                <w:vertAlign w:val="superscript"/>
              </w:rPr>
              <w:t>①</w:t>
            </w:r>
          </w:p>
        </w:tc>
        <w:tc>
          <w:tcPr>
            <w:tcW w:w="708" w:type="dxa"/>
            <w:hideMark/>
          </w:tcPr>
          <w:p w:rsidR="00602B82" w:rsidRPr="00E24628" w:rsidRDefault="00602B82" w:rsidP="00E24628">
            <w:pPr>
              <w:rPr>
                <w:rFonts w:eastAsia="Times New Roman"/>
                <w:sz w:val="20"/>
                <w:szCs w:val="20"/>
              </w:rPr>
            </w:pPr>
            <w:r w:rsidRPr="00E24628">
              <w:rPr>
                <w:sz w:val="20"/>
                <w:szCs w:val="20"/>
              </w:rPr>
              <w:t>5.0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4.29</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3.75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2.5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5.0</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1.8</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4.8</w:t>
            </w:r>
            <w:r w:rsidRPr="00E24628">
              <w:rPr>
                <w:w w:val="50"/>
                <w:sz w:val="20"/>
                <w:szCs w:val="20"/>
              </w:rPr>
              <w:t xml:space="preserve"> </w:t>
            </w:r>
            <w:r w:rsidRPr="00E24628">
              <w:rPr>
                <w:sz w:val="20"/>
                <w:szCs w:val="20"/>
                <w:vertAlign w:val="superscript"/>
              </w:rPr>
              <w:t>①</w:t>
            </w: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t>&gt;200–300</w:t>
            </w:r>
          </w:p>
        </w:tc>
        <w:tc>
          <w:tcPr>
            <w:tcW w:w="850" w:type="dxa"/>
            <w:hideMark/>
          </w:tcPr>
          <w:p w:rsidR="00602B82" w:rsidRPr="00E24628" w:rsidRDefault="00602B82" w:rsidP="00E24628">
            <w:pPr>
              <w:rPr>
                <w:rFonts w:eastAsia="Times New Roman"/>
                <w:sz w:val="20"/>
                <w:szCs w:val="20"/>
              </w:rPr>
            </w:pPr>
            <w:r w:rsidRPr="00E24628">
              <w:rPr>
                <w:sz w:val="20"/>
                <w:szCs w:val="20"/>
              </w:rPr>
              <w:t>NA →7.5</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NA →6.0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10.0</w:t>
            </w:r>
            <w:r w:rsidRPr="00E24628">
              <w:rPr>
                <w:w w:val="50"/>
                <w:sz w:val="20"/>
                <w:szCs w:val="20"/>
              </w:rPr>
              <w:t xml:space="preserve"> </w:t>
            </w:r>
            <w:r w:rsidRPr="00E24628">
              <w:rPr>
                <w:sz w:val="20"/>
                <w:szCs w:val="20"/>
                <w:vertAlign w:val="superscript"/>
              </w:rPr>
              <w:t>①</w:t>
            </w:r>
            <w:r w:rsidRPr="00E24628">
              <w:rPr>
                <w:sz w:val="20"/>
                <w:szCs w:val="20"/>
              </w:rPr>
              <w:t>→</w:t>
            </w:r>
            <w:r w:rsidRPr="00E24628">
              <w:rPr>
                <w:w w:val="50"/>
                <w:sz w:val="20"/>
                <w:szCs w:val="20"/>
              </w:rPr>
              <w:t xml:space="preserve"> </w:t>
            </w:r>
            <w:r w:rsidRPr="00E24628">
              <w:rPr>
                <w:sz w:val="20"/>
                <w:szCs w:val="20"/>
              </w:rPr>
              <w:t>7.5</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7.5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6.0</w:t>
            </w:r>
            <w:r w:rsidRPr="00E24628">
              <w:rPr>
                <w:w w:val="50"/>
                <w:sz w:val="20"/>
                <w:szCs w:val="20"/>
              </w:rPr>
              <w:t xml:space="preserve"> </w:t>
            </w:r>
            <w:r w:rsidRPr="00E24628">
              <w:rPr>
                <w:sz w:val="20"/>
                <w:szCs w:val="20"/>
                <w:vertAlign w:val="superscript"/>
              </w:rPr>
              <w:t>①</w:t>
            </w:r>
          </w:p>
        </w:tc>
        <w:tc>
          <w:tcPr>
            <w:tcW w:w="708" w:type="dxa"/>
            <w:hideMark/>
          </w:tcPr>
          <w:p w:rsidR="00602B82" w:rsidRPr="00E24628" w:rsidRDefault="00602B82" w:rsidP="00E24628">
            <w:pPr>
              <w:rPr>
                <w:rFonts w:eastAsia="Times New Roman"/>
                <w:sz w:val="20"/>
                <w:szCs w:val="20"/>
              </w:rPr>
            </w:pPr>
            <w:r w:rsidRPr="00E24628">
              <w:rPr>
                <w:sz w:val="20"/>
                <w:szCs w:val="20"/>
              </w:rPr>
              <w:t>3.75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7.5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3.21</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6.43</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2.81</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5.63</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3.33</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6.67</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2.4</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3.0</w:t>
            </w:r>
            <w:r w:rsidRPr="00E24628">
              <w:rPr>
                <w:w w:val="50"/>
                <w:sz w:val="20"/>
                <w:szCs w:val="20"/>
              </w:rPr>
              <w:t xml:space="preserve"> </w:t>
            </w:r>
            <w:r w:rsidRPr="00E24628">
              <w:rPr>
                <w:sz w:val="20"/>
                <w:szCs w:val="20"/>
                <w:vertAlign w:val="superscript"/>
              </w:rPr>
              <w:t>②</w:t>
            </w: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t>&gt;300–400</w:t>
            </w:r>
          </w:p>
        </w:tc>
        <w:tc>
          <w:tcPr>
            <w:tcW w:w="850" w:type="dxa"/>
            <w:hideMark/>
          </w:tcPr>
          <w:p w:rsidR="00602B82" w:rsidRPr="00E24628" w:rsidRDefault="00602B82" w:rsidP="00E24628">
            <w:pPr>
              <w:rPr>
                <w:rFonts w:eastAsia="Times New Roman"/>
                <w:sz w:val="20"/>
                <w:szCs w:val="20"/>
              </w:rPr>
            </w:pPr>
            <w:r w:rsidRPr="00E24628">
              <w:rPr>
                <w:sz w:val="20"/>
                <w:szCs w:val="20"/>
              </w:rPr>
              <w:t>NA →11.25</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NA →9.0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10.0</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5.63</w:t>
            </w:r>
            <w:r w:rsidRPr="00E24628">
              <w:rPr>
                <w:w w:val="50"/>
                <w:sz w:val="20"/>
                <w:szCs w:val="20"/>
              </w:rPr>
              <w:t xml:space="preserve"> </w:t>
            </w:r>
            <w:r w:rsidRPr="00E24628">
              <w:rPr>
                <w:sz w:val="20"/>
                <w:szCs w:val="20"/>
                <w:vertAlign w:val="superscript"/>
              </w:rPr>
              <w:t>②</w:t>
            </w:r>
            <w:r w:rsidRPr="00E24628">
              <w:rPr>
                <w:sz w:val="20"/>
                <w:szCs w:val="20"/>
              </w:rPr>
              <w:t xml:space="preserve"> →</w:t>
            </w:r>
            <w:r w:rsidRPr="00E24628">
              <w:rPr>
                <w:w w:val="50"/>
                <w:sz w:val="20"/>
                <w:szCs w:val="20"/>
              </w:rPr>
              <w:t xml:space="preserve"> </w:t>
            </w:r>
            <w:r w:rsidRPr="00E24628">
              <w:rPr>
                <w:sz w:val="20"/>
                <w:szCs w:val="20"/>
              </w:rPr>
              <w:t>11.25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4.5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9.0</w:t>
            </w:r>
            <w:r w:rsidRPr="00E24628">
              <w:rPr>
                <w:w w:val="50"/>
                <w:sz w:val="20"/>
                <w:szCs w:val="20"/>
              </w:rPr>
              <w:t xml:space="preserve"> </w:t>
            </w:r>
            <w:r w:rsidRPr="00E24628">
              <w:rPr>
                <w:sz w:val="20"/>
                <w:szCs w:val="20"/>
                <w:vertAlign w:val="superscript"/>
              </w:rPr>
              <w:t>①</w:t>
            </w:r>
          </w:p>
        </w:tc>
        <w:tc>
          <w:tcPr>
            <w:tcW w:w="708" w:type="dxa"/>
            <w:hideMark/>
          </w:tcPr>
          <w:p w:rsidR="00602B82" w:rsidRPr="00E24628" w:rsidRDefault="00602B82" w:rsidP="00E24628">
            <w:pPr>
              <w:rPr>
                <w:rFonts w:eastAsia="Times New Roman"/>
                <w:sz w:val="20"/>
                <w:szCs w:val="20"/>
              </w:rPr>
            </w:pPr>
            <w:r w:rsidRPr="00E24628">
              <w:rPr>
                <w:sz w:val="20"/>
                <w:szCs w:val="20"/>
              </w:rPr>
              <w:t>3.75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7.5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vertAlign w:val="subscript"/>
              </w:rPr>
            </w:pPr>
            <w:r w:rsidRPr="00E24628">
              <w:rPr>
                <w:sz w:val="20"/>
                <w:szCs w:val="20"/>
              </w:rPr>
              <w:t>4.29</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8.57</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3.75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7.5</w:t>
            </w:r>
            <w:r w:rsidRPr="00E24628">
              <w:rPr>
                <w:w w:val="50"/>
                <w:sz w:val="20"/>
                <w:szCs w:val="20"/>
              </w:rPr>
              <w:t xml:space="preserve"> </w:t>
            </w:r>
            <w:r w:rsidRPr="00E24628">
              <w:rPr>
                <w:sz w:val="20"/>
                <w:szCs w:val="20"/>
                <w:vertAlign w:val="superscript"/>
              </w:rPr>
              <w:t>①</w:t>
            </w: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lastRenderedPageBreak/>
              <w:t>&gt;400–500</w:t>
            </w:r>
          </w:p>
        </w:tc>
        <w:tc>
          <w:tcPr>
            <w:tcW w:w="850" w:type="dxa"/>
            <w:hideMark/>
          </w:tcPr>
          <w:p w:rsidR="00602B82" w:rsidRPr="00E24628" w:rsidRDefault="00602B82" w:rsidP="00E24628">
            <w:pPr>
              <w:rPr>
                <w:rFonts w:eastAsia="Times New Roman"/>
                <w:sz w:val="20"/>
                <w:szCs w:val="20"/>
              </w:rPr>
            </w:pPr>
            <w:r w:rsidRPr="00E24628">
              <w:rPr>
                <w:sz w:val="20"/>
                <w:szCs w:val="20"/>
              </w:rPr>
              <w:t>NA →11.25</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NA →12.0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7.5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15.0</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5.63</w:t>
            </w:r>
            <w:r w:rsidRPr="00E24628">
              <w:rPr>
                <w:w w:val="50"/>
                <w:sz w:val="20"/>
                <w:szCs w:val="20"/>
              </w:rPr>
              <w:t xml:space="preserve"> </w:t>
            </w:r>
            <w:r w:rsidRPr="00E24628">
              <w:rPr>
                <w:sz w:val="20"/>
                <w:szCs w:val="20"/>
                <w:vertAlign w:val="superscript"/>
              </w:rPr>
              <w:t>②</w:t>
            </w:r>
            <w:r w:rsidRPr="00E24628">
              <w:rPr>
                <w:sz w:val="20"/>
                <w:szCs w:val="20"/>
              </w:rPr>
              <w:t xml:space="preserve"> →</w:t>
            </w:r>
            <w:r w:rsidRPr="00E24628">
              <w:rPr>
                <w:w w:val="50"/>
                <w:sz w:val="20"/>
                <w:szCs w:val="20"/>
              </w:rPr>
              <w:t xml:space="preserve"> </w:t>
            </w:r>
            <w:r w:rsidRPr="00E24628">
              <w:rPr>
                <w:sz w:val="20"/>
                <w:szCs w:val="20"/>
              </w:rPr>
              <w:t>11.25</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6.0</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12.0</w:t>
            </w:r>
            <w:r w:rsidRPr="00E24628">
              <w:rPr>
                <w:w w:val="50"/>
                <w:sz w:val="20"/>
                <w:szCs w:val="20"/>
              </w:rPr>
              <w:t xml:space="preserve"> </w:t>
            </w:r>
            <w:r w:rsidRPr="00E24628">
              <w:rPr>
                <w:sz w:val="20"/>
                <w:szCs w:val="20"/>
                <w:vertAlign w:val="superscript"/>
              </w:rPr>
              <w:t>①</w:t>
            </w:r>
          </w:p>
        </w:tc>
        <w:tc>
          <w:tcPr>
            <w:tcW w:w="708" w:type="dxa"/>
            <w:hideMark/>
          </w:tcPr>
          <w:p w:rsidR="00602B82" w:rsidRPr="00E24628" w:rsidRDefault="00602B82" w:rsidP="00E24628">
            <w:pPr>
              <w:rPr>
                <w:rFonts w:eastAsia="Times New Roman"/>
                <w:sz w:val="20"/>
                <w:szCs w:val="20"/>
              </w:rPr>
            </w:pPr>
            <w:r w:rsidRPr="00E24628">
              <w:rPr>
                <w:sz w:val="20"/>
                <w:szCs w:val="20"/>
              </w:rPr>
              <w:t>5.0</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10.0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5.36</w:t>
            </w:r>
            <w:r w:rsidRPr="00E24628">
              <w:rPr>
                <w:w w:val="50"/>
                <w:sz w:val="20"/>
                <w:szCs w:val="20"/>
              </w:rPr>
              <w:t xml:space="preserve"> </w:t>
            </w:r>
            <w:r w:rsidRPr="00E24628">
              <w:rPr>
                <w:sz w:val="20"/>
                <w:szCs w:val="20"/>
                <w:vertAlign w:val="superscript"/>
              </w:rPr>
              <w:t>②</w:t>
            </w:r>
          </w:p>
        </w:tc>
        <w:tc>
          <w:tcPr>
            <w:tcW w:w="850" w:type="dxa"/>
            <w:hideMark/>
          </w:tcPr>
          <w:p w:rsidR="00602B82" w:rsidRPr="00E24628" w:rsidRDefault="00602B82" w:rsidP="00E24628">
            <w:pPr>
              <w:rPr>
                <w:rFonts w:eastAsia="Times New Roman"/>
                <w:sz w:val="20"/>
                <w:szCs w:val="20"/>
              </w:rPr>
            </w:pPr>
            <w:r w:rsidRPr="00E24628">
              <w:rPr>
                <w:sz w:val="20"/>
                <w:szCs w:val="20"/>
              </w:rPr>
              <w:t>4.69</w:t>
            </w:r>
            <w:r w:rsidRPr="00E24628">
              <w:rPr>
                <w:w w:val="50"/>
                <w:sz w:val="20"/>
                <w:szCs w:val="20"/>
              </w:rPr>
              <w:t xml:space="preserve"> </w:t>
            </w:r>
            <w:r w:rsidRPr="00E24628">
              <w:rPr>
                <w:sz w:val="20"/>
                <w:szCs w:val="20"/>
                <w:vertAlign w:val="superscript"/>
              </w:rPr>
              <w:t>②</w:t>
            </w: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t>&gt;500–600</w:t>
            </w:r>
          </w:p>
        </w:tc>
        <w:tc>
          <w:tcPr>
            <w:tcW w:w="850" w:type="dxa"/>
            <w:hideMark/>
          </w:tcPr>
          <w:p w:rsidR="00602B82" w:rsidRPr="00E24628" w:rsidRDefault="00602B82" w:rsidP="00E24628">
            <w:pPr>
              <w:rPr>
                <w:rFonts w:eastAsia="Times New Roman"/>
                <w:sz w:val="20"/>
                <w:szCs w:val="20"/>
              </w:rPr>
            </w:pPr>
            <w:r w:rsidRPr="00E24628">
              <w:rPr>
                <w:sz w:val="20"/>
                <w:szCs w:val="20"/>
              </w:rPr>
              <w:t>NA →15.0</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NA →12.0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7.5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15.0</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7.5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15.0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6.0</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12.0</w:t>
            </w:r>
            <w:r w:rsidRPr="00E24628">
              <w:rPr>
                <w:w w:val="50"/>
                <w:sz w:val="20"/>
                <w:szCs w:val="20"/>
              </w:rPr>
              <w:t xml:space="preserve"> </w:t>
            </w:r>
            <w:r w:rsidRPr="00E24628">
              <w:rPr>
                <w:sz w:val="20"/>
                <w:szCs w:val="20"/>
                <w:vertAlign w:val="superscript"/>
              </w:rPr>
              <w:t>①</w:t>
            </w:r>
          </w:p>
        </w:tc>
        <w:tc>
          <w:tcPr>
            <w:tcW w:w="708" w:type="dxa"/>
            <w:hideMark/>
          </w:tcPr>
          <w:p w:rsidR="00602B82" w:rsidRPr="00E24628" w:rsidRDefault="00602B82" w:rsidP="00E24628">
            <w:pPr>
              <w:rPr>
                <w:rFonts w:eastAsia="Times New Roman"/>
                <w:sz w:val="20"/>
                <w:szCs w:val="20"/>
              </w:rPr>
            </w:pPr>
            <w:r w:rsidRPr="00E24628">
              <w:rPr>
                <w:sz w:val="20"/>
                <w:szCs w:val="20"/>
              </w:rPr>
              <w:t>6.25</w:t>
            </w:r>
            <w:r w:rsidRPr="00E24628">
              <w:rPr>
                <w:w w:val="50"/>
                <w:sz w:val="20"/>
                <w:szCs w:val="20"/>
              </w:rPr>
              <w:t xml:space="preserve"> </w:t>
            </w:r>
            <w:r w:rsidRPr="00E24628">
              <w:rPr>
                <w:sz w:val="20"/>
                <w:szCs w:val="20"/>
                <w:vertAlign w:val="superscript"/>
              </w:rPr>
              <w:t>②</w:t>
            </w: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t>&gt;600–700</w:t>
            </w:r>
          </w:p>
        </w:tc>
        <w:tc>
          <w:tcPr>
            <w:tcW w:w="850" w:type="dxa"/>
            <w:hideMark/>
          </w:tcPr>
          <w:p w:rsidR="00602B82" w:rsidRPr="00E24628" w:rsidRDefault="00602B82" w:rsidP="00E24628">
            <w:pPr>
              <w:rPr>
                <w:rFonts w:eastAsia="Times New Roman"/>
                <w:sz w:val="20"/>
                <w:szCs w:val="20"/>
              </w:rPr>
            </w:pPr>
            <w:r w:rsidRPr="00E24628">
              <w:rPr>
                <w:sz w:val="20"/>
                <w:szCs w:val="20"/>
              </w:rPr>
              <w:t>NA →15.0</w:t>
            </w:r>
            <w:r w:rsidRPr="00E24628">
              <w:rPr>
                <w:w w:val="50"/>
                <w:sz w:val="20"/>
                <w:szCs w:val="20"/>
              </w:rPr>
              <w:t xml:space="preserve"> </w:t>
            </w:r>
            <w:r w:rsidRPr="00E24628">
              <w:rPr>
                <w:sz w:val="20"/>
                <w:szCs w:val="20"/>
                <w:vertAlign w:val="superscript"/>
              </w:rPr>
              <w:t>①</w:t>
            </w:r>
          </w:p>
        </w:tc>
        <w:tc>
          <w:tcPr>
            <w:tcW w:w="709" w:type="dxa"/>
            <w:hideMark/>
          </w:tcPr>
          <w:p w:rsidR="00602B82" w:rsidRPr="00E24628" w:rsidRDefault="00602B82" w:rsidP="00E24628">
            <w:pPr>
              <w:rPr>
                <w:rFonts w:eastAsia="Times New Roman"/>
                <w:sz w:val="20"/>
                <w:szCs w:val="20"/>
              </w:rPr>
            </w:pPr>
            <w:r w:rsidRPr="00E24628">
              <w:rPr>
                <w:sz w:val="20"/>
                <w:szCs w:val="20"/>
              </w:rPr>
              <w:t>NA →9.0</w:t>
            </w:r>
            <w:r w:rsidRPr="00E24628">
              <w:rPr>
                <w:w w:val="50"/>
                <w:sz w:val="20"/>
                <w:szCs w:val="20"/>
              </w:rPr>
              <w:t xml:space="preserve"> </w:t>
            </w:r>
            <w:r w:rsidRPr="00E24628">
              <w:rPr>
                <w:sz w:val="20"/>
                <w:szCs w:val="20"/>
                <w:vertAlign w:val="superscript"/>
              </w:rPr>
              <w:t>②</w:t>
            </w:r>
          </w:p>
        </w:tc>
        <w:tc>
          <w:tcPr>
            <w:tcW w:w="851" w:type="dxa"/>
            <w:hideMark/>
          </w:tcPr>
          <w:p w:rsidR="00602B82" w:rsidRPr="00E24628" w:rsidRDefault="00602B82" w:rsidP="00E24628">
            <w:pPr>
              <w:rPr>
                <w:rFonts w:eastAsia="Times New Roman"/>
                <w:sz w:val="20"/>
                <w:szCs w:val="20"/>
              </w:rPr>
            </w:pPr>
            <w:r w:rsidRPr="00E24628">
              <w:rPr>
                <w:sz w:val="20"/>
                <w:szCs w:val="20"/>
              </w:rPr>
              <w:t>7.5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15.0</w:t>
            </w:r>
            <w:r w:rsidRPr="00E24628">
              <w:rPr>
                <w:w w:val="50"/>
                <w:sz w:val="20"/>
                <w:szCs w:val="20"/>
              </w:rPr>
              <w:t xml:space="preserve"> </w:t>
            </w:r>
            <w:r w:rsidRPr="00E24628">
              <w:rPr>
                <w:sz w:val="20"/>
                <w:szCs w:val="20"/>
                <w:vertAlign w:val="superscript"/>
              </w:rPr>
              <w:t>①</w:t>
            </w:r>
          </w:p>
        </w:tc>
        <w:tc>
          <w:tcPr>
            <w:tcW w:w="850" w:type="dxa"/>
            <w:hideMark/>
          </w:tcPr>
          <w:p w:rsidR="00602B82" w:rsidRPr="00E24628" w:rsidRDefault="00602B82" w:rsidP="00E24628">
            <w:pPr>
              <w:rPr>
                <w:rFonts w:eastAsia="Times New Roman"/>
                <w:sz w:val="20"/>
                <w:szCs w:val="20"/>
              </w:rPr>
            </w:pPr>
            <w:r w:rsidRPr="00E24628">
              <w:rPr>
                <w:sz w:val="20"/>
                <w:szCs w:val="20"/>
              </w:rPr>
              <w:t>7.5</w:t>
            </w:r>
            <w:r w:rsidRPr="00E24628">
              <w:rPr>
                <w:w w:val="50"/>
                <w:sz w:val="20"/>
                <w:szCs w:val="20"/>
              </w:rPr>
              <w:t xml:space="preserve"> </w:t>
            </w:r>
            <w:r w:rsidRPr="00E24628">
              <w:rPr>
                <w:sz w:val="20"/>
                <w:szCs w:val="20"/>
                <w:vertAlign w:val="superscript"/>
              </w:rPr>
              <w:t>②</w:t>
            </w:r>
            <w:r w:rsidRPr="00E24628">
              <w:rPr>
                <w:sz w:val="20"/>
                <w:szCs w:val="20"/>
              </w:rPr>
              <w:t>→</w:t>
            </w:r>
            <w:r w:rsidRPr="00E24628">
              <w:rPr>
                <w:w w:val="50"/>
                <w:sz w:val="20"/>
                <w:szCs w:val="20"/>
              </w:rPr>
              <w:t xml:space="preserve"> </w:t>
            </w:r>
            <w:r w:rsidRPr="00E24628">
              <w:rPr>
                <w:sz w:val="20"/>
                <w:szCs w:val="20"/>
              </w:rPr>
              <w:t>15.0</w:t>
            </w:r>
            <w:r w:rsidRPr="00E24628">
              <w:rPr>
                <w:w w:val="50"/>
                <w:sz w:val="20"/>
                <w:szCs w:val="20"/>
              </w:rPr>
              <w:t xml:space="preserve"> </w:t>
            </w:r>
            <w:r w:rsidRPr="00E24628">
              <w:rPr>
                <w:sz w:val="20"/>
                <w:szCs w:val="20"/>
                <w:vertAlign w:val="superscript"/>
              </w:rPr>
              <w:t>①</w:t>
            </w:r>
          </w:p>
        </w:tc>
        <w:tc>
          <w:tcPr>
            <w:tcW w:w="851" w:type="dxa"/>
            <w:hideMark/>
          </w:tcPr>
          <w:p w:rsidR="00602B82" w:rsidRPr="00E24628" w:rsidRDefault="00602B82" w:rsidP="00E24628">
            <w:pPr>
              <w:rPr>
                <w:rFonts w:eastAsia="Times New Roman"/>
                <w:sz w:val="20"/>
                <w:szCs w:val="20"/>
              </w:rPr>
            </w:pPr>
            <w:r w:rsidRPr="00E24628">
              <w:rPr>
                <w:sz w:val="20"/>
                <w:szCs w:val="20"/>
              </w:rPr>
              <w:t>7.5</w:t>
            </w:r>
            <w:r w:rsidRPr="00E24628">
              <w:rPr>
                <w:w w:val="50"/>
                <w:sz w:val="20"/>
                <w:szCs w:val="20"/>
              </w:rPr>
              <w:t xml:space="preserve"> </w:t>
            </w:r>
            <w:r w:rsidRPr="00E24628">
              <w:rPr>
                <w:sz w:val="20"/>
                <w:szCs w:val="20"/>
                <w:vertAlign w:val="superscript"/>
              </w:rPr>
              <w:t>②</w:t>
            </w:r>
          </w:p>
        </w:tc>
        <w:tc>
          <w:tcPr>
            <w:tcW w:w="708"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t>&gt;700–800</w:t>
            </w:r>
          </w:p>
        </w:tc>
        <w:tc>
          <w:tcPr>
            <w:tcW w:w="850" w:type="dxa"/>
            <w:hideMark/>
          </w:tcPr>
          <w:p w:rsidR="00602B82" w:rsidRPr="00E24628" w:rsidRDefault="00602B82" w:rsidP="00E24628">
            <w:pPr>
              <w:rPr>
                <w:rFonts w:eastAsia="Times New Roman"/>
                <w:sz w:val="20"/>
                <w:szCs w:val="20"/>
              </w:rPr>
            </w:pPr>
            <w:r w:rsidRPr="00E24628">
              <w:rPr>
                <w:sz w:val="20"/>
                <w:szCs w:val="20"/>
              </w:rPr>
              <w:t>NA →11.25</w:t>
            </w:r>
            <w:r w:rsidRPr="00E24628">
              <w:rPr>
                <w:w w:val="50"/>
                <w:sz w:val="20"/>
                <w:szCs w:val="20"/>
              </w:rPr>
              <w:t xml:space="preserve"> </w:t>
            </w:r>
            <w:r w:rsidRPr="00E24628">
              <w:rPr>
                <w:sz w:val="20"/>
                <w:szCs w:val="20"/>
                <w:vertAlign w:val="superscript"/>
              </w:rPr>
              <w:t>②</w:t>
            </w:r>
          </w:p>
        </w:tc>
        <w:tc>
          <w:tcPr>
            <w:tcW w:w="709" w:type="dxa"/>
            <w:hideMark/>
          </w:tcPr>
          <w:p w:rsidR="00602B82" w:rsidRPr="00E24628" w:rsidRDefault="00602B82" w:rsidP="00E24628">
            <w:pPr>
              <w:rPr>
                <w:rFonts w:eastAsia="Times New Roman"/>
                <w:sz w:val="20"/>
                <w:szCs w:val="20"/>
              </w:rPr>
            </w:pPr>
            <w:r w:rsidRPr="00E24628">
              <w:rPr>
                <w:sz w:val="20"/>
                <w:szCs w:val="20"/>
              </w:rPr>
              <w:t>NA →9.0</w:t>
            </w:r>
            <w:r w:rsidRPr="00E24628">
              <w:rPr>
                <w:w w:val="50"/>
                <w:sz w:val="20"/>
                <w:szCs w:val="20"/>
              </w:rPr>
              <w:t xml:space="preserve"> </w:t>
            </w:r>
            <w:r w:rsidRPr="00E24628">
              <w:rPr>
                <w:sz w:val="20"/>
                <w:szCs w:val="20"/>
                <w:vertAlign w:val="superscript"/>
              </w:rPr>
              <w:t>②</w:t>
            </w:r>
          </w:p>
        </w:tc>
        <w:tc>
          <w:tcPr>
            <w:tcW w:w="851" w:type="dxa"/>
            <w:hideMark/>
          </w:tcPr>
          <w:p w:rsidR="00602B82" w:rsidRPr="00E24628" w:rsidRDefault="00602B82" w:rsidP="00E24628">
            <w:pPr>
              <w:rPr>
                <w:rFonts w:eastAsia="Times New Roman"/>
                <w:sz w:val="20"/>
                <w:szCs w:val="20"/>
              </w:rPr>
            </w:pPr>
            <w:r w:rsidRPr="00E24628">
              <w:rPr>
                <w:sz w:val="20"/>
                <w:szCs w:val="20"/>
              </w:rPr>
              <w:t>10.0</w:t>
            </w:r>
            <w:r w:rsidRPr="00E24628">
              <w:rPr>
                <w:w w:val="50"/>
                <w:sz w:val="20"/>
                <w:szCs w:val="20"/>
              </w:rPr>
              <w:t xml:space="preserve"> </w:t>
            </w:r>
            <w:r w:rsidRPr="00E24628">
              <w:rPr>
                <w:sz w:val="20"/>
                <w:szCs w:val="20"/>
                <w:vertAlign w:val="superscript"/>
              </w:rPr>
              <w:t>②</w:t>
            </w:r>
          </w:p>
        </w:tc>
        <w:tc>
          <w:tcPr>
            <w:tcW w:w="850" w:type="dxa"/>
            <w:hideMark/>
          </w:tcPr>
          <w:p w:rsidR="00602B82" w:rsidRPr="00E24628" w:rsidRDefault="00602B82" w:rsidP="00E24628">
            <w:pPr>
              <w:rPr>
                <w:rFonts w:eastAsia="Times New Roman"/>
                <w:sz w:val="20"/>
                <w:szCs w:val="20"/>
              </w:rPr>
            </w:pPr>
            <w:r w:rsidRPr="00E24628">
              <w:rPr>
                <w:sz w:val="20"/>
                <w:szCs w:val="20"/>
              </w:rPr>
              <w:t>9.38</w:t>
            </w:r>
            <w:r w:rsidRPr="00E24628">
              <w:rPr>
                <w:w w:val="50"/>
                <w:sz w:val="20"/>
                <w:szCs w:val="20"/>
              </w:rPr>
              <w:t xml:space="preserve"> </w:t>
            </w:r>
            <w:r w:rsidRPr="00E24628">
              <w:rPr>
                <w:sz w:val="20"/>
                <w:szCs w:val="20"/>
                <w:vertAlign w:val="superscript"/>
              </w:rPr>
              <w:t>②</w:t>
            </w:r>
          </w:p>
        </w:tc>
        <w:tc>
          <w:tcPr>
            <w:tcW w:w="851" w:type="dxa"/>
          </w:tcPr>
          <w:p w:rsidR="00602B82" w:rsidRPr="00E24628" w:rsidRDefault="00602B82" w:rsidP="00E24628">
            <w:pPr>
              <w:rPr>
                <w:rFonts w:eastAsia="Times New Roman"/>
                <w:sz w:val="20"/>
                <w:szCs w:val="20"/>
              </w:rPr>
            </w:pPr>
          </w:p>
        </w:tc>
        <w:tc>
          <w:tcPr>
            <w:tcW w:w="708"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rPr>
          <w:trHeight w:val="35"/>
        </w:trPr>
        <w:tc>
          <w:tcPr>
            <w:tcW w:w="959" w:type="dxa"/>
            <w:hideMark/>
          </w:tcPr>
          <w:p w:rsidR="00602B82" w:rsidRPr="00E24628" w:rsidRDefault="00602B82" w:rsidP="00E24628">
            <w:pPr>
              <w:rPr>
                <w:rFonts w:eastAsia="Times New Roman"/>
                <w:sz w:val="20"/>
                <w:szCs w:val="20"/>
              </w:rPr>
            </w:pPr>
            <w:r w:rsidRPr="00E24628">
              <w:rPr>
                <w:sz w:val="20"/>
                <w:szCs w:val="20"/>
              </w:rPr>
              <w:t>&gt;800–900</w:t>
            </w:r>
          </w:p>
        </w:tc>
        <w:tc>
          <w:tcPr>
            <w:tcW w:w="850" w:type="dxa"/>
            <w:hideMark/>
          </w:tcPr>
          <w:p w:rsidR="00602B82" w:rsidRPr="00E24628" w:rsidRDefault="00602B82" w:rsidP="00E24628">
            <w:pPr>
              <w:rPr>
                <w:rFonts w:eastAsia="Times New Roman"/>
                <w:sz w:val="20"/>
                <w:szCs w:val="20"/>
              </w:rPr>
            </w:pPr>
            <w:r w:rsidRPr="00E24628">
              <w:rPr>
                <w:sz w:val="20"/>
                <w:szCs w:val="20"/>
              </w:rPr>
              <w:t>NA →11.25</w:t>
            </w:r>
            <w:r w:rsidRPr="00E24628">
              <w:rPr>
                <w:w w:val="50"/>
                <w:sz w:val="20"/>
                <w:szCs w:val="20"/>
              </w:rPr>
              <w:t xml:space="preserve"> </w:t>
            </w:r>
            <w:r w:rsidRPr="00E24628">
              <w:rPr>
                <w:sz w:val="20"/>
                <w:szCs w:val="20"/>
                <w:vertAlign w:val="superscript"/>
              </w:rPr>
              <w:t>②</w:t>
            </w:r>
          </w:p>
        </w:tc>
        <w:tc>
          <w:tcPr>
            <w:tcW w:w="709" w:type="dxa"/>
            <w:hideMark/>
          </w:tcPr>
          <w:p w:rsidR="00602B82" w:rsidRPr="00E24628" w:rsidRDefault="00602B82" w:rsidP="00E24628">
            <w:pPr>
              <w:rPr>
                <w:rFonts w:eastAsia="Times New Roman"/>
                <w:sz w:val="20"/>
                <w:szCs w:val="20"/>
              </w:rPr>
            </w:pPr>
            <w:r w:rsidRPr="00E24628">
              <w:rPr>
                <w:sz w:val="20"/>
                <w:szCs w:val="20"/>
              </w:rPr>
              <w:t>NA →9.0</w:t>
            </w:r>
            <w:r w:rsidRPr="00E24628">
              <w:rPr>
                <w:w w:val="50"/>
                <w:sz w:val="20"/>
                <w:szCs w:val="20"/>
              </w:rPr>
              <w:t xml:space="preserve"> </w:t>
            </w:r>
            <w:r w:rsidRPr="00E24628">
              <w:rPr>
                <w:sz w:val="20"/>
                <w:szCs w:val="20"/>
                <w:vertAlign w:val="superscript"/>
              </w:rPr>
              <w:t>②</w:t>
            </w:r>
          </w:p>
        </w:tc>
        <w:tc>
          <w:tcPr>
            <w:tcW w:w="851" w:type="dxa"/>
            <w:hideMark/>
          </w:tcPr>
          <w:p w:rsidR="00602B82" w:rsidRPr="00E24628" w:rsidRDefault="00602B82" w:rsidP="00E24628">
            <w:pPr>
              <w:rPr>
                <w:rFonts w:eastAsia="Times New Roman"/>
                <w:sz w:val="20"/>
                <w:szCs w:val="20"/>
              </w:rPr>
            </w:pPr>
            <w:r w:rsidRPr="00E24628">
              <w:rPr>
                <w:sz w:val="20"/>
                <w:szCs w:val="20"/>
              </w:rPr>
              <w:t>10.0</w:t>
            </w:r>
            <w:r w:rsidRPr="00E24628">
              <w:rPr>
                <w:w w:val="50"/>
                <w:sz w:val="20"/>
                <w:szCs w:val="20"/>
              </w:rPr>
              <w:t xml:space="preserve"> </w:t>
            </w:r>
            <w:r w:rsidRPr="00E24628">
              <w:rPr>
                <w:sz w:val="20"/>
                <w:szCs w:val="20"/>
                <w:vertAlign w:val="superscript"/>
              </w:rPr>
              <w:t>②</w:t>
            </w:r>
          </w:p>
        </w:tc>
        <w:tc>
          <w:tcPr>
            <w:tcW w:w="850" w:type="dxa"/>
            <w:hideMark/>
          </w:tcPr>
          <w:p w:rsidR="00602B82" w:rsidRPr="00E24628" w:rsidRDefault="00602B82" w:rsidP="00E24628">
            <w:pPr>
              <w:rPr>
                <w:rFonts w:eastAsia="Times New Roman"/>
                <w:sz w:val="20"/>
                <w:szCs w:val="20"/>
              </w:rPr>
            </w:pPr>
            <w:r w:rsidRPr="00E24628">
              <w:rPr>
                <w:sz w:val="20"/>
                <w:szCs w:val="20"/>
              </w:rPr>
              <w:t>9.38</w:t>
            </w:r>
            <w:r w:rsidRPr="00E24628">
              <w:rPr>
                <w:w w:val="50"/>
                <w:sz w:val="20"/>
                <w:szCs w:val="20"/>
              </w:rPr>
              <w:t xml:space="preserve"> </w:t>
            </w:r>
            <w:r w:rsidR="00DD746F" w:rsidRPr="00E24628">
              <w:rPr>
                <w:sz w:val="20"/>
                <w:szCs w:val="20"/>
                <w:vertAlign w:val="superscript"/>
              </w:rPr>
              <w:t>②</w:t>
            </w:r>
          </w:p>
        </w:tc>
        <w:tc>
          <w:tcPr>
            <w:tcW w:w="851" w:type="dxa"/>
          </w:tcPr>
          <w:p w:rsidR="00602B82" w:rsidRPr="00E24628" w:rsidRDefault="00602B82" w:rsidP="00E24628">
            <w:pPr>
              <w:rPr>
                <w:rFonts w:eastAsia="Times New Roman"/>
                <w:sz w:val="20"/>
                <w:szCs w:val="20"/>
              </w:rPr>
            </w:pPr>
          </w:p>
        </w:tc>
        <w:tc>
          <w:tcPr>
            <w:tcW w:w="708"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rPr>
          <w:trHeight w:val="35"/>
        </w:trPr>
        <w:tc>
          <w:tcPr>
            <w:tcW w:w="959" w:type="dxa"/>
            <w:hideMark/>
          </w:tcPr>
          <w:p w:rsidR="00602B82" w:rsidRPr="00E24628" w:rsidRDefault="00602B82" w:rsidP="00E24628">
            <w:pPr>
              <w:rPr>
                <w:rFonts w:eastAsia="Times New Roman"/>
                <w:sz w:val="20"/>
                <w:szCs w:val="20"/>
              </w:rPr>
            </w:pPr>
            <w:r w:rsidRPr="00E24628">
              <w:rPr>
                <w:sz w:val="20"/>
                <w:szCs w:val="20"/>
              </w:rPr>
              <w:t>&gt;900–1000</w:t>
            </w:r>
          </w:p>
        </w:tc>
        <w:tc>
          <w:tcPr>
            <w:tcW w:w="850" w:type="dxa"/>
            <w:hideMark/>
          </w:tcPr>
          <w:p w:rsidR="00602B82" w:rsidRPr="00E24628" w:rsidRDefault="00602B82" w:rsidP="00E24628">
            <w:pPr>
              <w:rPr>
                <w:rFonts w:eastAsia="Times New Roman"/>
                <w:sz w:val="20"/>
                <w:szCs w:val="20"/>
              </w:rPr>
            </w:pPr>
            <w:r w:rsidRPr="00E24628">
              <w:rPr>
                <w:sz w:val="20"/>
                <w:szCs w:val="20"/>
              </w:rPr>
              <w:t>NA →11.25</w:t>
            </w:r>
            <w:r w:rsidRPr="00E24628">
              <w:rPr>
                <w:w w:val="50"/>
                <w:sz w:val="20"/>
                <w:szCs w:val="20"/>
              </w:rPr>
              <w:t xml:space="preserve"> </w:t>
            </w:r>
            <w:r w:rsidRPr="00E24628">
              <w:rPr>
                <w:sz w:val="20"/>
                <w:szCs w:val="20"/>
                <w:vertAlign w:val="superscript"/>
              </w:rPr>
              <w:t>②</w:t>
            </w:r>
          </w:p>
        </w:tc>
        <w:tc>
          <w:tcPr>
            <w:tcW w:w="709" w:type="dxa"/>
            <w:hideMark/>
          </w:tcPr>
          <w:p w:rsidR="00602B82" w:rsidRPr="00E24628" w:rsidRDefault="00602B82" w:rsidP="00E24628">
            <w:pPr>
              <w:rPr>
                <w:rFonts w:eastAsia="Times New Roman"/>
                <w:sz w:val="20"/>
                <w:szCs w:val="20"/>
              </w:rPr>
            </w:pPr>
            <w:r w:rsidRPr="00E24628">
              <w:rPr>
                <w:sz w:val="20"/>
                <w:szCs w:val="20"/>
              </w:rPr>
              <w:t>NA →12.0</w:t>
            </w:r>
            <w:r w:rsidRPr="00E24628">
              <w:rPr>
                <w:w w:val="50"/>
                <w:sz w:val="20"/>
                <w:szCs w:val="20"/>
              </w:rPr>
              <w:t xml:space="preserve"> </w:t>
            </w:r>
            <w:r w:rsidRPr="00E24628">
              <w:rPr>
                <w:sz w:val="20"/>
                <w:szCs w:val="20"/>
                <w:vertAlign w:val="superscript"/>
              </w:rPr>
              <w:t>②</w:t>
            </w:r>
          </w:p>
        </w:tc>
        <w:tc>
          <w:tcPr>
            <w:tcW w:w="851" w:type="dxa"/>
            <w:hideMark/>
          </w:tcPr>
          <w:p w:rsidR="00602B82" w:rsidRPr="00E24628" w:rsidRDefault="00602B82" w:rsidP="00E24628">
            <w:pPr>
              <w:rPr>
                <w:rFonts w:eastAsia="Times New Roman"/>
                <w:sz w:val="20"/>
                <w:szCs w:val="20"/>
              </w:rPr>
            </w:pPr>
            <w:r w:rsidRPr="00E24628">
              <w:rPr>
                <w:sz w:val="20"/>
                <w:szCs w:val="20"/>
              </w:rPr>
              <w:t>12.5</w:t>
            </w:r>
            <w:r w:rsidRPr="00E24628">
              <w:rPr>
                <w:w w:val="50"/>
                <w:sz w:val="20"/>
                <w:szCs w:val="20"/>
              </w:rPr>
              <w:t xml:space="preserve"> </w:t>
            </w:r>
            <w:r w:rsidRPr="00E24628">
              <w:rPr>
                <w:sz w:val="20"/>
                <w:szCs w:val="20"/>
                <w:vertAlign w:val="superscript"/>
              </w:rPr>
              <w:t>②</w:t>
            </w: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8"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rPr>
          <w:trHeight w:val="35"/>
        </w:trPr>
        <w:tc>
          <w:tcPr>
            <w:tcW w:w="959" w:type="dxa"/>
            <w:hideMark/>
          </w:tcPr>
          <w:p w:rsidR="00602B82" w:rsidRPr="00E24628" w:rsidRDefault="00602B82" w:rsidP="00E24628">
            <w:pPr>
              <w:rPr>
                <w:rFonts w:eastAsia="Times New Roman"/>
                <w:sz w:val="20"/>
                <w:szCs w:val="20"/>
              </w:rPr>
            </w:pPr>
            <w:r w:rsidRPr="00E24628">
              <w:rPr>
                <w:sz w:val="20"/>
                <w:szCs w:val="20"/>
              </w:rPr>
              <w:t>&gt;1000–1100</w:t>
            </w:r>
          </w:p>
        </w:tc>
        <w:tc>
          <w:tcPr>
            <w:tcW w:w="850" w:type="dxa"/>
            <w:hideMark/>
          </w:tcPr>
          <w:p w:rsidR="00602B82" w:rsidRPr="00E24628" w:rsidRDefault="00602B82" w:rsidP="00E24628">
            <w:pPr>
              <w:rPr>
                <w:rFonts w:eastAsia="Times New Roman"/>
                <w:sz w:val="20"/>
                <w:szCs w:val="20"/>
              </w:rPr>
            </w:pPr>
            <w:r w:rsidRPr="00E24628">
              <w:rPr>
                <w:sz w:val="20"/>
                <w:szCs w:val="20"/>
              </w:rPr>
              <w:t>NA →11.25</w:t>
            </w:r>
            <w:r w:rsidRPr="00E24628">
              <w:rPr>
                <w:w w:val="50"/>
                <w:sz w:val="20"/>
                <w:szCs w:val="20"/>
              </w:rPr>
              <w:t xml:space="preserve"> </w:t>
            </w:r>
            <w:r w:rsidRPr="00E24628">
              <w:rPr>
                <w:sz w:val="20"/>
                <w:szCs w:val="20"/>
                <w:vertAlign w:val="superscript"/>
              </w:rPr>
              <w:t>②</w:t>
            </w:r>
          </w:p>
        </w:tc>
        <w:tc>
          <w:tcPr>
            <w:tcW w:w="709" w:type="dxa"/>
            <w:hideMark/>
          </w:tcPr>
          <w:p w:rsidR="00602B82" w:rsidRPr="00E24628" w:rsidRDefault="00602B82" w:rsidP="00E24628">
            <w:pPr>
              <w:rPr>
                <w:rFonts w:eastAsia="Times New Roman"/>
                <w:sz w:val="20"/>
                <w:szCs w:val="20"/>
              </w:rPr>
            </w:pPr>
            <w:r w:rsidRPr="00E24628">
              <w:rPr>
                <w:sz w:val="20"/>
                <w:szCs w:val="20"/>
              </w:rPr>
              <w:t>NA →12.0</w:t>
            </w:r>
            <w:r w:rsidRPr="00E24628">
              <w:rPr>
                <w:w w:val="50"/>
                <w:sz w:val="20"/>
                <w:szCs w:val="20"/>
              </w:rPr>
              <w:t xml:space="preserve"> </w:t>
            </w:r>
            <w:r w:rsidRPr="00E24628">
              <w:rPr>
                <w:sz w:val="20"/>
                <w:szCs w:val="20"/>
                <w:vertAlign w:val="superscript"/>
              </w:rPr>
              <w:t>②</w:t>
            </w:r>
          </w:p>
        </w:tc>
        <w:tc>
          <w:tcPr>
            <w:tcW w:w="851" w:type="dxa"/>
            <w:hideMark/>
          </w:tcPr>
          <w:p w:rsidR="00602B82" w:rsidRPr="00E24628" w:rsidRDefault="00602B82" w:rsidP="00E24628">
            <w:pPr>
              <w:rPr>
                <w:rFonts w:eastAsia="Times New Roman"/>
                <w:sz w:val="20"/>
                <w:szCs w:val="20"/>
              </w:rPr>
            </w:pPr>
            <w:r w:rsidRPr="00E24628">
              <w:rPr>
                <w:sz w:val="20"/>
                <w:szCs w:val="20"/>
              </w:rPr>
              <w:t>12.5</w:t>
            </w:r>
            <w:r w:rsidRPr="00E24628">
              <w:rPr>
                <w:w w:val="50"/>
                <w:sz w:val="20"/>
                <w:szCs w:val="20"/>
              </w:rPr>
              <w:t xml:space="preserve"> </w:t>
            </w:r>
            <w:r w:rsidRPr="00E24628">
              <w:rPr>
                <w:sz w:val="20"/>
                <w:szCs w:val="20"/>
                <w:vertAlign w:val="superscript"/>
              </w:rPr>
              <w:t>②</w:t>
            </w: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8"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rPr>
          <w:trHeight w:val="35"/>
        </w:trPr>
        <w:tc>
          <w:tcPr>
            <w:tcW w:w="959" w:type="dxa"/>
            <w:hideMark/>
          </w:tcPr>
          <w:p w:rsidR="00602B82" w:rsidRPr="00E24628" w:rsidRDefault="00602B82" w:rsidP="00E24628">
            <w:pPr>
              <w:rPr>
                <w:rFonts w:eastAsia="Times New Roman"/>
                <w:sz w:val="20"/>
                <w:szCs w:val="20"/>
              </w:rPr>
            </w:pPr>
            <w:r w:rsidRPr="00E24628">
              <w:rPr>
                <w:sz w:val="20"/>
                <w:szCs w:val="20"/>
              </w:rPr>
              <w:t>&gt;1100–1200</w:t>
            </w:r>
          </w:p>
        </w:tc>
        <w:tc>
          <w:tcPr>
            <w:tcW w:w="850" w:type="dxa"/>
            <w:hideMark/>
          </w:tcPr>
          <w:p w:rsidR="00602B82" w:rsidRPr="00E24628" w:rsidRDefault="00602B82" w:rsidP="00E24628">
            <w:pPr>
              <w:rPr>
                <w:rFonts w:eastAsia="Times New Roman"/>
                <w:sz w:val="20"/>
                <w:szCs w:val="20"/>
              </w:rPr>
            </w:pPr>
            <w:r w:rsidRPr="00E24628">
              <w:rPr>
                <w:sz w:val="20"/>
                <w:szCs w:val="20"/>
              </w:rPr>
              <w:t>NA →15.0</w:t>
            </w:r>
            <w:r w:rsidRPr="00E24628">
              <w:rPr>
                <w:w w:val="50"/>
                <w:sz w:val="20"/>
                <w:szCs w:val="20"/>
              </w:rPr>
              <w:t xml:space="preserve"> </w:t>
            </w:r>
            <w:r w:rsidRPr="00E24628">
              <w:rPr>
                <w:sz w:val="20"/>
                <w:szCs w:val="20"/>
                <w:vertAlign w:val="superscript"/>
              </w:rPr>
              <w:t>②</w:t>
            </w:r>
          </w:p>
        </w:tc>
        <w:tc>
          <w:tcPr>
            <w:tcW w:w="709" w:type="dxa"/>
            <w:hideMark/>
          </w:tcPr>
          <w:p w:rsidR="00602B82" w:rsidRPr="00E24628" w:rsidRDefault="00602B82" w:rsidP="00E24628">
            <w:pPr>
              <w:rPr>
                <w:rFonts w:eastAsia="Times New Roman"/>
                <w:sz w:val="20"/>
                <w:szCs w:val="20"/>
              </w:rPr>
            </w:pPr>
            <w:r w:rsidRPr="00E24628">
              <w:rPr>
                <w:sz w:val="20"/>
                <w:szCs w:val="20"/>
              </w:rPr>
              <w:t>NA →12.0</w:t>
            </w:r>
            <w:r w:rsidRPr="00E24628">
              <w:rPr>
                <w:w w:val="50"/>
                <w:sz w:val="20"/>
                <w:szCs w:val="20"/>
              </w:rPr>
              <w:t xml:space="preserve"> </w:t>
            </w:r>
            <w:r w:rsidRPr="00E24628">
              <w:rPr>
                <w:sz w:val="20"/>
                <w:szCs w:val="20"/>
                <w:vertAlign w:val="superscript"/>
              </w:rPr>
              <w:t>②</w:t>
            </w: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8"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r w:rsidR="00602B82" w:rsidRPr="00E24628" w:rsidTr="00DD746F">
        <w:tc>
          <w:tcPr>
            <w:tcW w:w="959" w:type="dxa"/>
            <w:hideMark/>
          </w:tcPr>
          <w:p w:rsidR="00602B82" w:rsidRPr="00E24628" w:rsidRDefault="00602B82" w:rsidP="00E24628">
            <w:pPr>
              <w:rPr>
                <w:rFonts w:eastAsia="Times New Roman"/>
                <w:sz w:val="20"/>
                <w:szCs w:val="20"/>
              </w:rPr>
            </w:pPr>
            <w:r w:rsidRPr="00E24628">
              <w:rPr>
                <w:sz w:val="20"/>
                <w:szCs w:val="20"/>
              </w:rPr>
              <w:t>&gt;1200–1300</w:t>
            </w:r>
          </w:p>
        </w:tc>
        <w:tc>
          <w:tcPr>
            <w:tcW w:w="850" w:type="dxa"/>
            <w:hideMark/>
          </w:tcPr>
          <w:p w:rsidR="00602B82" w:rsidRPr="00E24628" w:rsidRDefault="00602B82" w:rsidP="00E24628">
            <w:pPr>
              <w:rPr>
                <w:rFonts w:eastAsia="Times New Roman"/>
                <w:sz w:val="20"/>
                <w:szCs w:val="20"/>
              </w:rPr>
            </w:pPr>
            <w:r w:rsidRPr="00E24628">
              <w:rPr>
                <w:sz w:val="20"/>
                <w:szCs w:val="20"/>
              </w:rPr>
              <w:t>NA →15.0</w:t>
            </w:r>
            <w:r w:rsidRPr="00E24628">
              <w:rPr>
                <w:w w:val="50"/>
                <w:sz w:val="20"/>
                <w:szCs w:val="20"/>
              </w:rPr>
              <w:t xml:space="preserve"> </w:t>
            </w:r>
            <w:r w:rsidRPr="00E24628">
              <w:rPr>
                <w:sz w:val="20"/>
                <w:szCs w:val="20"/>
                <w:vertAlign w:val="superscript"/>
              </w:rPr>
              <w:t>②</w:t>
            </w:r>
          </w:p>
        </w:tc>
        <w:tc>
          <w:tcPr>
            <w:tcW w:w="709" w:type="dxa"/>
            <w:hideMark/>
          </w:tcPr>
          <w:p w:rsidR="00602B82" w:rsidRPr="00E24628" w:rsidRDefault="00602B82" w:rsidP="00E24628">
            <w:pPr>
              <w:rPr>
                <w:rFonts w:eastAsia="Times New Roman"/>
                <w:sz w:val="20"/>
                <w:szCs w:val="20"/>
              </w:rPr>
            </w:pPr>
            <w:r w:rsidRPr="00E24628">
              <w:rPr>
                <w:sz w:val="20"/>
                <w:szCs w:val="20"/>
              </w:rPr>
              <w:t>NA →15.0</w:t>
            </w:r>
            <w:r w:rsidRPr="00E24628">
              <w:rPr>
                <w:w w:val="50"/>
                <w:sz w:val="20"/>
                <w:szCs w:val="20"/>
              </w:rPr>
              <w:t xml:space="preserve"> </w:t>
            </w:r>
            <w:r w:rsidRPr="00E24628">
              <w:rPr>
                <w:sz w:val="20"/>
                <w:szCs w:val="20"/>
                <w:vertAlign w:val="superscript"/>
              </w:rPr>
              <w:t>②</w:t>
            </w: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8"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850" w:type="dxa"/>
          </w:tcPr>
          <w:p w:rsidR="00602B82" w:rsidRPr="00E24628" w:rsidRDefault="00602B82" w:rsidP="00E24628">
            <w:pPr>
              <w:rPr>
                <w:rFonts w:eastAsia="Times New Roman"/>
                <w:sz w:val="20"/>
                <w:szCs w:val="20"/>
              </w:rPr>
            </w:pPr>
          </w:p>
        </w:tc>
        <w:tc>
          <w:tcPr>
            <w:tcW w:w="851" w:type="dxa"/>
          </w:tcPr>
          <w:p w:rsidR="00602B82" w:rsidRPr="00E24628" w:rsidRDefault="00602B82" w:rsidP="00E24628">
            <w:pPr>
              <w:rPr>
                <w:rFonts w:eastAsia="Times New Roman"/>
                <w:sz w:val="20"/>
                <w:szCs w:val="20"/>
              </w:rPr>
            </w:pPr>
          </w:p>
        </w:tc>
        <w:tc>
          <w:tcPr>
            <w:tcW w:w="709" w:type="dxa"/>
          </w:tcPr>
          <w:p w:rsidR="00602B82" w:rsidRPr="00E24628" w:rsidRDefault="00602B82" w:rsidP="00E24628">
            <w:pPr>
              <w:rPr>
                <w:rFonts w:eastAsia="Times New Roman"/>
                <w:sz w:val="20"/>
                <w:szCs w:val="20"/>
              </w:rPr>
            </w:pPr>
          </w:p>
        </w:tc>
      </w:tr>
    </w:tbl>
    <w:p w:rsidR="00602B82" w:rsidRDefault="00602B82" w:rsidP="00E24628">
      <w:pPr>
        <w:pStyle w:val="TableDescription"/>
        <w:rPr>
          <w:kern w:val="2"/>
        </w:rPr>
      </w:pPr>
      <w:r>
        <w:rPr>
          <w:vertAlign w:val="superscript"/>
        </w:rPr>
        <w:t>①</w:t>
      </w:r>
      <w:r>
        <w:t xml:space="preserve"> = one injection per 4</w:t>
      </w:r>
      <w:r w:rsidR="00DD746F">
        <w:t xml:space="preserve"> </w:t>
      </w:r>
      <w:r>
        <w:t xml:space="preserve">week interval; </w:t>
      </w:r>
      <w:r>
        <w:rPr>
          <w:vertAlign w:val="superscript"/>
        </w:rPr>
        <w:t>②</w:t>
      </w:r>
      <w:r>
        <w:t xml:space="preserve"> = two injections per 4</w:t>
      </w:r>
      <w:r w:rsidR="00DD746F">
        <w:t xml:space="preserve"> </w:t>
      </w:r>
      <w:r>
        <w:t>week interval</w:t>
      </w:r>
    </w:p>
    <w:p w:rsidR="00602B82" w:rsidRDefault="00602B82" w:rsidP="00DD746F">
      <w:pPr>
        <w:pStyle w:val="Heading4"/>
      </w:pPr>
      <w:r>
        <w:t>Scope of nonclinical data</w:t>
      </w:r>
    </w:p>
    <w:p w:rsidR="00602B82" w:rsidRDefault="00602B82" w:rsidP="00DD746F">
      <w:r>
        <w:t xml:space="preserve">Studies relevant to the current application were evaluated in the original application to register </w:t>
      </w:r>
      <w:proofErr w:type="spellStart"/>
      <w:r w:rsidR="005A1D2B">
        <w:t>omalizumab</w:t>
      </w:r>
      <w:proofErr w:type="spellEnd"/>
      <w:r w:rsidR="005A1D2B">
        <w:t xml:space="preserve"> (</w:t>
      </w:r>
      <w:proofErr w:type="spellStart"/>
      <w:r w:rsidR="005A1D2B">
        <w:t>rch</w:t>
      </w:r>
      <w:proofErr w:type="spellEnd"/>
      <w:r w:rsidR="005A1D2B">
        <w:t>)</w:t>
      </w:r>
      <w:r>
        <w:t xml:space="preserve"> as a new chemical entity and are discussed below. No further </w:t>
      </w:r>
      <w:r w:rsidR="00DD746F">
        <w:t xml:space="preserve">nonclinical </w:t>
      </w:r>
      <w:r>
        <w:t xml:space="preserve">studies were submitted </w:t>
      </w:r>
      <w:r w:rsidR="00DD746F">
        <w:t>with</w:t>
      </w:r>
      <w:r>
        <w:t xml:space="preserve"> the current submission, which comprised one literature reference not of specific relevance to the current application</w:t>
      </w:r>
      <w:r>
        <w:rPr>
          <w:rStyle w:val="FootnoteReference"/>
          <w:kern w:val="2"/>
        </w:rPr>
        <w:footnoteReference w:id="1"/>
      </w:r>
      <w:r>
        <w:t>.</w:t>
      </w:r>
    </w:p>
    <w:p w:rsidR="00734F28" w:rsidRPr="00734F28" w:rsidRDefault="00734F28" w:rsidP="00734F28">
      <w:pPr>
        <w:pStyle w:val="Heading3"/>
      </w:pPr>
      <w:bookmarkStart w:id="34" w:name="_Toc247691514"/>
      <w:bookmarkStart w:id="35" w:name="_Toc314842498"/>
      <w:bookmarkStart w:id="36" w:name="_Toc454447838"/>
      <w:r>
        <w:lastRenderedPageBreak/>
        <w:t>Toxicology</w:t>
      </w:r>
      <w:bookmarkEnd w:id="34"/>
      <w:bookmarkEnd w:id="35"/>
      <w:bookmarkEnd w:id="36"/>
    </w:p>
    <w:p w:rsidR="00602B82" w:rsidRDefault="00602B82" w:rsidP="00DD746F">
      <w:pPr>
        <w:pStyle w:val="Heading4"/>
      </w:pPr>
      <w:r>
        <w:t>Paediatric use</w:t>
      </w:r>
    </w:p>
    <w:p w:rsidR="00602B82" w:rsidRDefault="00602B82" w:rsidP="00DD746F">
      <w:r>
        <w:t xml:space="preserve">Previously evaluated studies established that </w:t>
      </w:r>
      <w:proofErr w:type="spellStart"/>
      <w:r w:rsidR="005A1D2B">
        <w:t>omalizumab</w:t>
      </w:r>
      <w:proofErr w:type="spellEnd"/>
      <w:r w:rsidR="005A1D2B">
        <w:t xml:space="preserve"> (</w:t>
      </w:r>
      <w:proofErr w:type="spellStart"/>
      <w:r w:rsidR="005A1D2B">
        <w:t>rch</w:t>
      </w:r>
      <w:proofErr w:type="spellEnd"/>
      <w:r w:rsidR="005A1D2B">
        <w:t>)</w:t>
      </w:r>
      <w:r>
        <w:t>:</w:t>
      </w:r>
    </w:p>
    <w:p w:rsidR="00602B82" w:rsidRDefault="00602B82" w:rsidP="00DD746F">
      <w:pPr>
        <w:pStyle w:val="ListBullet"/>
      </w:pPr>
      <w:r>
        <w:t>has a low order of acute toxicity</w:t>
      </w:r>
      <w:r w:rsidR="00DD746F">
        <w:t xml:space="preserve"> </w:t>
      </w:r>
      <w:r>
        <w:t xml:space="preserve">with no toxic effects noted in </w:t>
      </w:r>
      <w:proofErr w:type="spellStart"/>
      <w:r>
        <w:t>cynomolgus</w:t>
      </w:r>
      <w:proofErr w:type="spellEnd"/>
      <w:r>
        <w:t xml:space="preserve"> monkeys following single</w:t>
      </w:r>
      <w:r w:rsidR="00DD746F">
        <w:t xml:space="preserve"> </w:t>
      </w:r>
      <w:r>
        <w:t xml:space="preserve">dose administration at up to 50 mg/kg SC and 200 mg/kg IV </w:t>
      </w:r>
    </w:p>
    <w:p w:rsidR="00602B82" w:rsidRDefault="00602B82" w:rsidP="00DD746F">
      <w:pPr>
        <w:pStyle w:val="ListBullet"/>
      </w:pPr>
      <w:r>
        <w:t>does not target developing systems</w:t>
      </w:r>
      <w:r w:rsidR="00DD746F">
        <w:t xml:space="preserve"> </w:t>
      </w:r>
      <w:r>
        <w:t xml:space="preserve">based on findings in </w:t>
      </w:r>
      <w:proofErr w:type="spellStart"/>
      <w:r>
        <w:t>cynomolgus</w:t>
      </w:r>
      <w:proofErr w:type="spellEnd"/>
      <w:r>
        <w:t xml:space="preserve"> monkeys in a 6</w:t>
      </w:r>
      <w:r w:rsidR="00DD746F">
        <w:t xml:space="preserve"> </w:t>
      </w:r>
      <w:r>
        <w:t>month general toxicity study conducted in young adult animals and involving treatment at up to 5 mg/kg IV or SC three times per week; a repeat-dose study in juvenile animals (8</w:t>
      </w:r>
      <w:r w:rsidR="00DD746F">
        <w:t xml:space="preserve"> to </w:t>
      </w:r>
      <w:r>
        <w:t>10 months old) treated at up to 250 mg/kg/week SC for 6 months (with animal age over the treatment period roughly equivalent to 3</w:t>
      </w:r>
      <w:r w:rsidR="00DD746F">
        <w:t xml:space="preserve"> to </w:t>
      </w:r>
      <w:r>
        <w:t xml:space="preserve">6 years of age for a human); and there being no apparent adverse effects on </w:t>
      </w:r>
      <w:proofErr w:type="spellStart"/>
      <w:r>
        <w:t>embryofetal</w:t>
      </w:r>
      <w:proofErr w:type="spellEnd"/>
      <w:r>
        <w:t xml:space="preserve"> or peri/postnatal development with maternal treatment at doses up to 75 mg/kg/week SC in the species</w:t>
      </w:r>
    </w:p>
    <w:p w:rsidR="00602B82" w:rsidRDefault="00C42824" w:rsidP="00DD746F">
      <w:pPr>
        <w:pStyle w:val="ListBullet"/>
      </w:pPr>
      <w:r>
        <w:t xml:space="preserve">may </w:t>
      </w:r>
      <w:r w:rsidR="00602B82">
        <w:t>cause marked reductions in platelet counts in non-human primates, with juvenile animals more sensitive than adults.</w:t>
      </w:r>
    </w:p>
    <w:p w:rsidR="00E24628" w:rsidRDefault="00602B82" w:rsidP="00602B82">
      <w:pPr>
        <w:pStyle w:val="Standard"/>
        <w:spacing w:after="200"/>
        <w:rPr>
          <w:kern w:val="2"/>
        </w:rPr>
      </w:pPr>
      <w:r>
        <w:rPr>
          <w:kern w:val="2"/>
        </w:rPr>
        <w:t xml:space="preserve">The finding of decreased platelet count in </w:t>
      </w:r>
      <w:proofErr w:type="spellStart"/>
      <w:r w:rsidR="005A1D2B">
        <w:rPr>
          <w:kern w:val="2"/>
        </w:rPr>
        <w:t>omalizumab</w:t>
      </w:r>
      <w:proofErr w:type="spellEnd"/>
      <w:r w:rsidR="005A1D2B">
        <w:rPr>
          <w:kern w:val="2"/>
        </w:rPr>
        <w:t xml:space="preserve"> (</w:t>
      </w:r>
      <w:proofErr w:type="spellStart"/>
      <w:r w:rsidR="005A1D2B">
        <w:rPr>
          <w:kern w:val="2"/>
        </w:rPr>
        <w:t>rch</w:t>
      </w:r>
      <w:proofErr w:type="spellEnd"/>
      <w:r w:rsidR="005A1D2B">
        <w:rPr>
          <w:kern w:val="2"/>
        </w:rPr>
        <w:t>)</w:t>
      </w:r>
      <w:r>
        <w:rPr>
          <w:kern w:val="2"/>
        </w:rPr>
        <w:t>-treated non-human primates was seen to be mediated through a low affinity interaction between the drug and the platelet surface, with binding of the antibody promoting elimination of platelets via the reticuloendothelial system (rather than, for example, a mechanism involving direct lysis or inhibition of platelet production)</w:t>
      </w:r>
      <w:r w:rsidR="00E24628">
        <w:rPr>
          <w:kern w:val="2"/>
        </w:rPr>
        <w:t>.</w:t>
      </w:r>
    </w:p>
    <w:p w:rsidR="00602B82" w:rsidRDefault="00602B82" w:rsidP="00602B82">
      <w:pPr>
        <w:pStyle w:val="Standard"/>
        <w:spacing w:after="200"/>
        <w:rPr>
          <w:kern w:val="2"/>
        </w:rPr>
      </w:pPr>
      <w:r>
        <w:rPr>
          <w:kern w:val="2"/>
        </w:rPr>
        <w:t xml:space="preserve">This effect of </w:t>
      </w:r>
      <w:proofErr w:type="spellStart"/>
      <w:r w:rsidR="005A1D2B">
        <w:rPr>
          <w:kern w:val="2"/>
        </w:rPr>
        <w:t>omalizumab</w:t>
      </w:r>
      <w:proofErr w:type="spellEnd"/>
      <w:r w:rsidR="005A1D2B">
        <w:rPr>
          <w:kern w:val="2"/>
        </w:rPr>
        <w:t xml:space="preserve"> (</w:t>
      </w:r>
      <w:proofErr w:type="spellStart"/>
      <w:r w:rsidR="005A1D2B">
        <w:rPr>
          <w:kern w:val="2"/>
        </w:rPr>
        <w:t>rch</w:t>
      </w:r>
      <w:proofErr w:type="spellEnd"/>
      <w:r w:rsidR="005A1D2B">
        <w:rPr>
          <w:kern w:val="2"/>
        </w:rPr>
        <w:t>)</w:t>
      </w:r>
      <w:r>
        <w:rPr>
          <w:kern w:val="2"/>
        </w:rPr>
        <w:t xml:space="preserve"> varied across primate species, with platelet counts being consistently and statistically significantly reduced in </w:t>
      </w:r>
      <w:proofErr w:type="spellStart"/>
      <w:r>
        <w:rPr>
          <w:kern w:val="2"/>
        </w:rPr>
        <w:t>cynomolgus</w:t>
      </w:r>
      <w:proofErr w:type="spellEnd"/>
      <w:r>
        <w:rPr>
          <w:kern w:val="2"/>
        </w:rPr>
        <w:t xml:space="preserve"> monkeys and chimpanzees but not </w:t>
      </w:r>
      <w:r w:rsidR="00DD746F">
        <w:rPr>
          <w:kern w:val="2"/>
        </w:rPr>
        <w:t xml:space="preserve">in </w:t>
      </w:r>
      <w:r>
        <w:rPr>
          <w:kern w:val="2"/>
        </w:rPr>
        <w:t>rhesus and African green monkeys. In the most sensitive species (</w:t>
      </w:r>
      <w:proofErr w:type="spellStart"/>
      <w:r>
        <w:rPr>
          <w:kern w:val="2"/>
        </w:rPr>
        <w:t>cynomolgus</w:t>
      </w:r>
      <w:proofErr w:type="spellEnd"/>
      <w:r>
        <w:rPr>
          <w:kern w:val="2"/>
        </w:rPr>
        <w:t xml:space="preserve">), the serum concentration of </w:t>
      </w:r>
      <w:proofErr w:type="spellStart"/>
      <w:r w:rsidR="005A1D2B">
        <w:rPr>
          <w:kern w:val="2"/>
        </w:rPr>
        <w:t>omalizumab</w:t>
      </w:r>
      <w:proofErr w:type="spellEnd"/>
      <w:r w:rsidR="005A1D2B">
        <w:rPr>
          <w:kern w:val="2"/>
        </w:rPr>
        <w:t xml:space="preserve"> (</w:t>
      </w:r>
      <w:proofErr w:type="spellStart"/>
      <w:r w:rsidR="005A1D2B">
        <w:rPr>
          <w:kern w:val="2"/>
        </w:rPr>
        <w:t>rch</w:t>
      </w:r>
      <w:proofErr w:type="spellEnd"/>
      <w:r w:rsidR="005A1D2B">
        <w:rPr>
          <w:kern w:val="2"/>
        </w:rPr>
        <w:t>)</w:t>
      </w:r>
      <w:r>
        <w:rPr>
          <w:kern w:val="2"/>
        </w:rPr>
        <w:t xml:space="preserve"> that caused a 50% decrease in circulating platelet levels was 400 </w:t>
      </w:r>
      <w:proofErr w:type="spellStart"/>
      <w:r>
        <w:rPr>
          <w:kern w:val="2"/>
        </w:rPr>
        <w:t>μg</w:t>
      </w:r>
      <w:proofErr w:type="spellEnd"/>
      <w:r>
        <w:rPr>
          <w:kern w:val="2"/>
        </w:rPr>
        <w:t xml:space="preserve">/mL in juvenile animals and 800 </w:t>
      </w:r>
      <w:proofErr w:type="spellStart"/>
      <w:r>
        <w:rPr>
          <w:kern w:val="2"/>
        </w:rPr>
        <w:t>μg</w:t>
      </w:r>
      <w:proofErr w:type="spellEnd"/>
      <w:r>
        <w:rPr>
          <w:kern w:val="2"/>
        </w:rPr>
        <w:t xml:space="preserve">/mL in adult animals. Pharmacokinetic data described in the </w:t>
      </w:r>
      <w:r w:rsidR="00734F28">
        <w:rPr>
          <w:kern w:val="2"/>
        </w:rPr>
        <w:t xml:space="preserve">sponsor’s </w:t>
      </w:r>
      <w:r>
        <w:rPr>
          <w:kern w:val="2"/>
        </w:rPr>
        <w:t xml:space="preserve">Clinical Overview and Summary of Clinical Pharmacology Studies indicate that some paediatric patients with high baseline </w:t>
      </w:r>
      <w:proofErr w:type="spellStart"/>
      <w:r>
        <w:rPr>
          <w:kern w:val="2"/>
        </w:rPr>
        <w:t>IgE</w:t>
      </w:r>
      <w:proofErr w:type="spellEnd"/>
      <w:r>
        <w:rPr>
          <w:kern w:val="2"/>
        </w:rPr>
        <w:t xml:space="preserve"> levels may experience serum </w:t>
      </w:r>
      <w:proofErr w:type="spellStart"/>
      <w:r w:rsidR="005A1D2B">
        <w:rPr>
          <w:kern w:val="2"/>
        </w:rPr>
        <w:t>omalizumab</w:t>
      </w:r>
      <w:proofErr w:type="spellEnd"/>
      <w:r w:rsidR="005A1D2B">
        <w:rPr>
          <w:kern w:val="2"/>
        </w:rPr>
        <w:t xml:space="preserve"> (</w:t>
      </w:r>
      <w:proofErr w:type="spellStart"/>
      <w:r w:rsidR="005A1D2B">
        <w:rPr>
          <w:kern w:val="2"/>
        </w:rPr>
        <w:t>rch</w:t>
      </w:r>
      <w:proofErr w:type="spellEnd"/>
      <w:r w:rsidR="005A1D2B">
        <w:rPr>
          <w:kern w:val="2"/>
        </w:rPr>
        <w:t>)</w:t>
      </w:r>
      <w:r>
        <w:rPr>
          <w:kern w:val="2"/>
        </w:rPr>
        <w:t xml:space="preserve"> concentrations that exceed the 400 </w:t>
      </w:r>
      <w:proofErr w:type="spellStart"/>
      <w:r>
        <w:rPr>
          <w:kern w:val="2"/>
        </w:rPr>
        <w:t>μg</w:t>
      </w:r>
      <w:proofErr w:type="spellEnd"/>
      <w:r>
        <w:rPr>
          <w:kern w:val="2"/>
        </w:rPr>
        <w:t xml:space="preserve">/mL threshold for an extended time. The higher mg/kg doses and resultant exposure levels in paediatric patients </w:t>
      </w:r>
      <w:r w:rsidR="00734F28">
        <w:rPr>
          <w:kern w:val="2"/>
        </w:rPr>
        <w:t>compared to</w:t>
      </w:r>
      <w:r>
        <w:rPr>
          <w:kern w:val="2"/>
        </w:rPr>
        <w:t xml:space="preserve"> adults coupled with the greater sensitivity seen for juvenile animals</w:t>
      </w:r>
      <w:r w:rsidR="00734F28">
        <w:rPr>
          <w:kern w:val="2"/>
        </w:rPr>
        <w:t>,</w:t>
      </w:r>
      <w:r>
        <w:rPr>
          <w:kern w:val="2"/>
        </w:rPr>
        <w:t xml:space="preserve"> increases concern for potential thrombocytopenia in the new patient population </w:t>
      </w:r>
      <w:r w:rsidR="00734F28">
        <w:rPr>
          <w:kern w:val="2"/>
        </w:rPr>
        <w:t>compared to</w:t>
      </w:r>
      <w:r>
        <w:rPr>
          <w:kern w:val="2"/>
        </w:rPr>
        <w:t xml:space="preserve"> the existing one. The current and proposed revised </w:t>
      </w:r>
      <w:r w:rsidR="00734F28">
        <w:rPr>
          <w:kern w:val="2"/>
        </w:rPr>
        <w:t>PI</w:t>
      </w:r>
      <w:r>
        <w:rPr>
          <w:kern w:val="2"/>
        </w:rPr>
        <w:t xml:space="preserve"> document</w:t>
      </w:r>
      <w:r w:rsidR="00734F28">
        <w:rPr>
          <w:kern w:val="2"/>
        </w:rPr>
        <w:t>s</w:t>
      </w:r>
      <w:r>
        <w:rPr>
          <w:kern w:val="2"/>
        </w:rPr>
        <w:t xml:space="preserve"> contain precautionary statements with regard to thrombocytopenia.</w:t>
      </w:r>
    </w:p>
    <w:p w:rsidR="00602B82" w:rsidRDefault="00602B82" w:rsidP="00734F28">
      <w:pPr>
        <w:pStyle w:val="Heading4"/>
      </w:pPr>
      <w:bookmarkStart w:id="37" w:name="_Toc247691515"/>
      <w:bookmarkStart w:id="38" w:name="_Toc314842499"/>
      <w:r>
        <w:t>Local tolerance</w:t>
      </w:r>
    </w:p>
    <w:p w:rsidR="00602B82" w:rsidRDefault="00602B82" w:rsidP="00734F28">
      <w:r>
        <w:t xml:space="preserve">Previously evaluated studies showed </w:t>
      </w:r>
      <w:proofErr w:type="spellStart"/>
      <w:r w:rsidR="005A1D2B">
        <w:t>omalizumab</w:t>
      </w:r>
      <w:proofErr w:type="spellEnd"/>
      <w:r w:rsidR="005A1D2B">
        <w:t xml:space="preserve"> (</w:t>
      </w:r>
      <w:proofErr w:type="spellStart"/>
      <w:r w:rsidR="005A1D2B">
        <w:t>rch</w:t>
      </w:r>
      <w:proofErr w:type="spellEnd"/>
      <w:r w:rsidR="005A1D2B">
        <w:t>)</w:t>
      </w:r>
      <w:r>
        <w:t xml:space="preserve"> to be well tolerated locally by the SC route in rabbits following single injection at up to 150 mg. Assuming an animal body weight of 3 kg, this dose is equivalent to more than 3 times the maximum clinical dose on </w:t>
      </w:r>
      <w:r w:rsidR="00FA00C2">
        <w:t>an</w:t>
      </w:r>
      <w:r>
        <w:t xml:space="preserve"> mg/kg basis. Repeated SC administration at up to 40 mg/day for 14 days in rabbits produced only minor and transient signs of local irritation and there was evidence for slight local irritation at SC injection sites in </w:t>
      </w:r>
      <w:proofErr w:type="spellStart"/>
      <w:r>
        <w:t>cynomolgus</w:t>
      </w:r>
      <w:proofErr w:type="spellEnd"/>
      <w:r>
        <w:t xml:space="preserve"> monkeys treated for 6 months (mainly with treatment at 1 and 5 mg/kg three times weekly). Injection site reactions are noted in the existing </w:t>
      </w:r>
      <w:r w:rsidR="00734F28">
        <w:t>PI</w:t>
      </w:r>
      <w:r>
        <w:t xml:space="preserve"> document as a common adverse drug reactions observed in clinical trial subjects. While the nonclinical data support the absence of severe injection site reactions, given that the proposed revised dosing regimen favours administration of a higher, single dose per 4</w:t>
      </w:r>
      <w:r w:rsidR="00734F28">
        <w:t xml:space="preserve"> </w:t>
      </w:r>
      <w:r>
        <w:t>week interval over smaller, divided doses given 2 weeks apart, injection site reactions can be expected to be encountered with increased frequency.</w:t>
      </w:r>
    </w:p>
    <w:p w:rsidR="008E7846" w:rsidRDefault="008E7846" w:rsidP="008E7846">
      <w:pPr>
        <w:pStyle w:val="Heading3"/>
      </w:pPr>
      <w:bookmarkStart w:id="39" w:name="_Toc454447839"/>
      <w:r>
        <w:lastRenderedPageBreak/>
        <w:t>Nonclinical summary and conclusions</w:t>
      </w:r>
      <w:bookmarkEnd w:id="37"/>
      <w:bookmarkEnd w:id="38"/>
      <w:bookmarkEnd w:id="39"/>
    </w:p>
    <w:p w:rsidR="00602B82" w:rsidRDefault="00602B82" w:rsidP="00734F28">
      <w:pPr>
        <w:pStyle w:val="ListBullet"/>
      </w:pPr>
      <w:bookmarkStart w:id="40" w:name="_Toc196046462"/>
      <w:bookmarkStart w:id="41" w:name="_Toc247691516"/>
      <w:bookmarkStart w:id="42" w:name="_Toc314842500"/>
      <w:bookmarkStart w:id="43" w:name="_Toc163441353"/>
      <w:bookmarkStart w:id="44" w:name="_Toc163441348"/>
      <w:r>
        <w:rPr>
          <w:kern w:val="2"/>
        </w:rPr>
        <w:t>An extension of the indications for the anti</w:t>
      </w:r>
      <w:r>
        <w:rPr>
          <w:kern w:val="2"/>
        </w:rPr>
        <w:noBreakHyphen/>
        <w:t xml:space="preserve">asthma treatment </w:t>
      </w:r>
      <w:r w:rsidRPr="00602B82">
        <w:t>Xolair</w:t>
      </w:r>
      <w:r>
        <w:t xml:space="preserve"> to include patients 6</w:t>
      </w:r>
      <w:r w:rsidR="00734F28">
        <w:t xml:space="preserve"> to </w:t>
      </w:r>
      <w:r>
        <w:t>12 years old (compared to ≥ 12 years currently) and changes to the dose regimen are proposed.</w:t>
      </w:r>
    </w:p>
    <w:p w:rsidR="00602B82" w:rsidRDefault="00602B82" w:rsidP="00734F28">
      <w:pPr>
        <w:pStyle w:val="ListBullet"/>
      </w:pPr>
      <w:r>
        <w:t xml:space="preserve">When considered on </w:t>
      </w:r>
      <w:r w:rsidR="00FA00C2">
        <w:t>an</w:t>
      </w:r>
      <w:r>
        <w:t xml:space="preserve"> mg/kg basis, these changes give rise to an increase in the maximum dose per 4</w:t>
      </w:r>
      <w:r w:rsidR="00734F28">
        <w:t xml:space="preserve"> </w:t>
      </w:r>
      <w:r>
        <w:t>week interval (from 25 mg/kg currently to 30 mg/kg; specifically in the new paediatric patient group) and the maximum administered dose per injection (from 12.5 mg/kg to 15 mg/kg; in children and adolescents). Administration as a higher, single dose per 4</w:t>
      </w:r>
      <w:r w:rsidR="00734F28">
        <w:t xml:space="preserve"> </w:t>
      </w:r>
      <w:r>
        <w:t>week interval rather than smaller, divided doses two weeks apart is also promoted (across the patient population).</w:t>
      </w:r>
    </w:p>
    <w:p w:rsidR="00602B82" w:rsidRDefault="00602B82" w:rsidP="00734F28">
      <w:pPr>
        <w:pStyle w:val="ListBullet"/>
      </w:pPr>
      <w:r>
        <w:t xml:space="preserve">No relevant new nonclinical data were submitted. Previously evaluated nonclinical studies established that </w:t>
      </w:r>
      <w:proofErr w:type="spellStart"/>
      <w:r w:rsidR="005A1D2B">
        <w:t>omalizumab</w:t>
      </w:r>
      <w:proofErr w:type="spellEnd"/>
      <w:r w:rsidR="005A1D2B">
        <w:t xml:space="preserve"> (</w:t>
      </w:r>
      <w:proofErr w:type="spellStart"/>
      <w:r w:rsidR="005A1D2B">
        <w:t>rch</w:t>
      </w:r>
      <w:proofErr w:type="spellEnd"/>
      <w:r w:rsidR="005A1D2B">
        <w:t>)</w:t>
      </w:r>
      <w:r>
        <w:t xml:space="preserve"> has a low order of acute toxicity and does not target developing systems. Slight local irritation was observed with repeat dosing by the SC route in animals. </w:t>
      </w:r>
      <w:proofErr w:type="spellStart"/>
      <w:r w:rsidR="005A1D2B">
        <w:t>Omalizumab</w:t>
      </w:r>
      <w:proofErr w:type="spellEnd"/>
      <w:r w:rsidR="005A1D2B">
        <w:t xml:space="preserve"> (</w:t>
      </w:r>
      <w:proofErr w:type="spellStart"/>
      <w:r w:rsidR="005A1D2B">
        <w:t>rch</w:t>
      </w:r>
      <w:proofErr w:type="spellEnd"/>
      <w:r w:rsidR="005A1D2B">
        <w:t>)</w:t>
      </w:r>
      <w:r>
        <w:t xml:space="preserve"> was found to cause marked reductions in platelet counts in </w:t>
      </w:r>
      <w:proofErr w:type="spellStart"/>
      <w:r>
        <w:t>cynomolgus</w:t>
      </w:r>
      <w:proofErr w:type="spellEnd"/>
      <w:r>
        <w:t xml:space="preserve"> monkeys and chimpanzees, with juvenile monkeys more sensitive to this effect than adult animals. This occurred at serum concentrations th</w:t>
      </w:r>
      <w:r w:rsidR="00734F28">
        <w:t>at</w:t>
      </w:r>
      <w:r>
        <w:t xml:space="preserve"> may be encountered in some paediatric patients.</w:t>
      </w:r>
    </w:p>
    <w:p w:rsidR="00602B82" w:rsidRDefault="00602B82" w:rsidP="00734F28">
      <w:pPr>
        <w:pStyle w:val="ListBullet"/>
      </w:pPr>
      <w:r>
        <w:t xml:space="preserve">The nonclinical data identify thrombocytopenia and injection site reactions as particular concerns that should be taken into account in considering the benefit-risk balance associated with the application. Provided these concerns are adequately addressed from the clinical dataset, there are no nonclinical objections to the proposed extension of indication and revised dosing regimen for </w:t>
      </w:r>
      <w:r w:rsidRPr="00734F28">
        <w:t>Xolair</w:t>
      </w:r>
      <w:r>
        <w:t>.</w:t>
      </w:r>
    </w:p>
    <w:p w:rsidR="00602B82" w:rsidRDefault="00602B82" w:rsidP="00734F28">
      <w:pPr>
        <w:pStyle w:val="ListBullet"/>
      </w:pPr>
      <w:r>
        <w:t xml:space="preserve">Changes proposed by the sponsor to the </w:t>
      </w:r>
      <w:r>
        <w:rPr>
          <w:i/>
        </w:rPr>
        <w:t>Effects on fertility</w:t>
      </w:r>
      <w:r>
        <w:t xml:space="preserve"> and </w:t>
      </w:r>
      <w:r>
        <w:rPr>
          <w:i/>
        </w:rPr>
        <w:t>Use in pregnancy</w:t>
      </w:r>
      <w:r>
        <w:t xml:space="preserve"> statements in the existing approved </w:t>
      </w:r>
      <w:r w:rsidR="00734F28">
        <w:t>PI</w:t>
      </w:r>
      <w:r>
        <w:t xml:space="preserve"> document were opposed </w:t>
      </w:r>
      <w:r w:rsidR="00734F28">
        <w:t>in the first round nonclinical evaluation</w:t>
      </w:r>
      <w:r>
        <w:t xml:space="preserve">. A revised version of the PI was provided </w:t>
      </w:r>
      <w:r w:rsidR="00734F28">
        <w:t>for</w:t>
      </w:r>
      <w:r>
        <w:t xml:space="preserve"> </w:t>
      </w:r>
      <w:r w:rsidR="00734F28">
        <w:t>the second round nonclinical evaluation</w:t>
      </w:r>
      <w:r>
        <w:t xml:space="preserve"> and is now considered to be acceptable from a nonclinical perspective pending some further minor corrections</w:t>
      </w:r>
      <w:r w:rsidR="00734F28">
        <w:t>.</w:t>
      </w:r>
    </w:p>
    <w:p w:rsidR="008E7846" w:rsidRPr="00254787" w:rsidRDefault="008E7846" w:rsidP="008E7846">
      <w:pPr>
        <w:pStyle w:val="Heading2"/>
      </w:pPr>
      <w:bookmarkStart w:id="45" w:name="_Toc454447840"/>
      <w:r>
        <w:t xml:space="preserve">IV. </w:t>
      </w:r>
      <w:r w:rsidRPr="00254787">
        <w:t>Clinical</w:t>
      </w:r>
      <w:bookmarkEnd w:id="40"/>
      <w:r>
        <w:t xml:space="preserve"> </w:t>
      </w:r>
      <w:r w:rsidR="003A7F6C">
        <w:t>f</w:t>
      </w:r>
      <w:r>
        <w:t>indings</w:t>
      </w:r>
      <w:bookmarkEnd w:id="41"/>
      <w:bookmarkEnd w:id="42"/>
      <w:bookmarkEnd w:id="45"/>
    </w:p>
    <w:p w:rsidR="00C80137" w:rsidRDefault="00C80137" w:rsidP="00D425BB">
      <w:bookmarkStart w:id="46"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47" w:name="_Toc247691517"/>
      <w:bookmarkStart w:id="48" w:name="_Toc314842501"/>
      <w:bookmarkStart w:id="49" w:name="_Toc454447841"/>
      <w:r w:rsidRPr="00254787">
        <w:t>Introduction</w:t>
      </w:r>
      <w:bookmarkEnd w:id="46"/>
      <w:bookmarkEnd w:id="47"/>
      <w:bookmarkEnd w:id="48"/>
      <w:bookmarkEnd w:id="49"/>
    </w:p>
    <w:p w:rsidR="00605AD4" w:rsidRDefault="00605AD4" w:rsidP="00605AD4">
      <w:pPr>
        <w:pStyle w:val="Heading4"/>
      </w:pPr>
      <w:bookmarkStart w:id="50" w:name="_Toc196046464"/>
      <w:bookmarkStart w:id="51" w:name="_Toc247691518"/>
      <w:bookmarkStart w:id="52" w:name="_Toc314842502"/>
      <w:r w:rsidRPr="00605AD4">
        <w:t xml:space="preserve">Clinical </w:t>
      </w:r>
      <w:r w:rsidR="00EF59DC">
        <w:t>r</w:t>
      </w:r>
      <w:r w:rsidRPr="00605AD4">
        <w:t>ationale</w:t>
      </w:r>
    </w:p>
    <w:p w:rsidR="004559F1" w:rsidRDefault="004559F1" w:rsidP="004559F1">
      <w:r>
        <w:t>Immunoglobulin E (</w:t>
      </w:r>
      <w:proofErr w:type="spellStart"/>
      <w:r>
        <w:t>IgE</w:t>
      </w:r>
      <w:proofErr w:type="spellEnd"/>
      <w:r>
        <w:t xml:space="preserve">) is involved in the sensitisation of mast cells to specific allergens in allergic disorders and elevated </w:t>
      </w:r>
      <w:proofErr w:type="spellStart"/>
      <w:r>
        <w:t>IgE</w:t>
      </w:r>
      <w:proofErr w:type="spellEnd"/>
      <w:r>
        <w:t xml:space="preserve"> levels are a common feature of such conditions. The rationale behind </w:t>
      </w:r>
      <w:proofErr w:type="spellStart"/>
      <w:r w:rsidR="005A1D2B">
        <w:t>omalizumab</w:t>
      </w:r>
      <w:proofErr w:type="spellEnd"/>
      <w:r w:rsidR="005A1D2B">
        <w:t xml:space="preserve"> (</w:t>
      </w:r>
      <w:proofErr w:type="spellStart"/>
      <w:r w:rsidR="005A1D2B">
        <w:t>rch</w:t>
      </w:r>
      <w:proofErr w:type="spellEnd"/>
      <w:r w:rsidR="005A1D2B">
        <w:t>)</w:t>
      </w:r>
      <w:r>
        <w:t xml:space="preserve"> is that an agent directed against </w:t>
      </w:r>
      <w:proofErr w:type="spellStart"/>
      <w:r>
        <w:t>IgE</w:t>
      </w:r>
      <w:proofErr w:type="spellEnd"/>
      <w:r>
        <w:t xml:space="preserve"> should lead to clinical improvement in patients with allergic asthma. As allergic asthma is common in children, extension of its use to this population may be appropriate.</w:t>
      </w:r>
    </w:p>
    <w:p w:rsidR="004559F1" w:rsidRPr="004559F1" w:rsidRDefault="004559F1" w:rsidP="004559F1">
      <w:r>
        <w:t>The rationale for the revised dosing table is to improve convenience for patients, to possibly aid with compliance and to reduce use of health care resources.</w:t>
      </w:r>
    </w:p>
    <w:p w:rsidR="00605AD4" w:rsidRDefault="00605AD4" w:rsidP="00605AD4">
      <w:pPr>
        <w:pStyle w:val="Heading4"/>
      </w:pPr>
      <w:r w:rsidRPr="00605AD4">
        <w:t>Contents of the clinical dossier</w:t>
      </w:r>
    </w:p>
    <w:p w:rsidR="004559F1" w:rsidRDefault="004559F1" w:rsidP="00CC6C9F">
      <w:pPr>
        <w:pStyle w:val="Heading5"/>
      </w:pPr>
      <w:bookmarkStart w:id="53" w:name="_Toc292121075"/>
      <w:bookmarkStart w:id="54" w:name="_Toc290846234"/>
      <w:r>
        <w:t>Scope of the clinical dossier</w:t>
      </w:r>
      <w:bookmarkEnd w:id="53"/>
      <w:bookmarkEnd w:id="54"/>
    </w:p>
    <w:p w:rsidR="004559F1" w:rsidRDefault="004559F1" w:rsidP="00CC6C9F">
      <w:r>
        <w:t xml:space="preserve">To support </w:t>
      </w:r>
      <w:r w:rsidRPr="00CC6C9F">
        <w:t>use in children</w:t>
      </w:r>
      <w:r w:rsidR="00E24628">
        <w:t xml:space="preserve"> the sponsor submitted:</w:t>
      </w:r>
    </w:p>
    <w:p w:rsidR="004559F1" w:rsidRDefault="004559F1" w:rsidP="00CC6C9F">
      <w:pPr>
        <w:pStyle w:val="ListBullet"/>
      </w:pPr>
      <w:r>
        <w:lastRenderedPageBreak/>
        <w:t xml:space="preserve">Two </w:t>
      </w:r>
      <w:r w:rsidR="00CC6C9F">
        <w:t>P</w:t>
      </w:r>
      <w:r>
        <w:t xml:space="preserve">hase </w:t>
      </w:r>
      <w:r w:rsidR="00CC6C9F">
        <w:t>III</w:t>
      </w:r>
      <w:r>
        <w:t xml:space="preserve"> randomised, double blind, placebo-controlled </w:t>
      </w:r>
      <w:r w:rsidRPr="00CC6C9F">
        <w:t>trials (IA05 and 010)</w:t>
      </w:r>
      <w:r>
        <w:t xml:space="preserve"> examining efficacy and safety. These two studies also provided limited pharmacokinetic (PK) and </w:t>
      </w:r>
      <w:proofErr w:type="spellStart"/>
      <w:r>
        <w:t>pharmacodynamic</w:t>
      </w:r>
      <w:proofErr w:type="spellEnd"/>
      <w:r>
        <w:t xml:space="preserve"> (PD) data in children. The studies were included in the previous TGA submission seeking approval in children.</w:t>
      </w:r>
    </w:p>
    <w:p w:rsidR="004559F1" w:rsidRPr="00CC6C9F" w:rsidRDefault="004559F1" w:rsidP="00CC6C9F">
      <w:pPr>
        <w:pStyle w:val="ListBullet"/>
      </w:pPr>
      <w:r>
        <w:t xml:space="preserve">Seven </w:t>
      </w:r>
      <w:r w:rsidRPr="00CC6C9F">
        <w:t>open-label studies (1 comparative and 6 single</w:t>
      </w:r>
      <w:r w:rsidR="00CC6C9F" w:rsidRPr="00CC6C9F">
        <w:t xml:space="preserve"> </w:t>
      </w:r>
      <w:r w:rsidRPr="00CC6C9F">
        <w:t>arm studies) which each provided some data on children aged 6 to &lt; 12, for a supportive pooled analysis of safety (</w:t>
      </w:r>
      <w:r w:rsidR="00CC6C9F" w:rsidRPr="00CC6C9F">
        <w:t>S</w:t>
      </w:r>
      <w:r w:rsidRPr="00CC6C9F">
        <w:t>tudies Q2143g, Q2195g, Q2461g, 010E, 010E1, B1301 and B1301E). Several of these studies have previously been evaluated by the TGA.</w:t>
      </w:r>
    </w:p>
    <w:p w:rsidR="004559F1" w:rsidRDefault="004559F1" w:rsidP="004559F1">
      <w:pPr>
        <w:ind w:left="284"/>
      </w:pPr>
      <w:r>
        <w:t xml:space="preserve">To support the proposed </w:t>
      </w:r>
      <w:r w:rsidRPr="00CC6C9F">
        <w:t>changes to the dosing table,</w:t>
      </w:r>
      <w:r>
        <w:t xml:space="preserve"> the submission included: </w:t>
      </w:r>
    </w:p>
    <w:p w:rsidR="004559F1" w:rsidRPr="00CC6C9F" w:rsidRDefault="004559F1" w:rsidP="00CC6C9F">
      <w:pPr>
        <w:pStyle w:val="ListBullet"/>
      </w:pPr>
      <w:r>
        <w:t xml:space="preserve">1 population PK/PD </w:t>
      </w:r>
      <w:r w:rsidRPr="00CC6C9F">
        <w:t>analysis (Report: Population PK/PD 2013).</w:t>
      </w:r>
    </w:p>
    <w:p w:rsidR="004559F1" w:rsidRDefault="00CC6C9F" w:rsidP="00CC6C9F">
      <w:r>
        <w:t>The clinical submission</w:t>
      </w:r>
      <w:r w:rsidR="004559F1">
        <w:t xml:space="preserve"> also included study reports for a number of other trials that have previously been evaluated by the TGA. Some paediatric patients from some of these trials were included in other pooled safety analyses in the submission. Other studies were conducted in adults and adolescents and provided data that were used in comparative analyses contained in the submission and in the population PK/PD analysis. The full study reports for these trials have not been reviewed in this evaluation. The submission also included a report of a large post-marketing observational study (</w:t>
      </w:r>
      <w:r>
        <w:t>S</w:t>
      </w:r>
      <w:r w:rsidR="004559F1">
        <w:t>tudy Q2948g or EXCELS). Th</w:t>
      </w:r>
      <w:r>
        <w:t>is</w:t>
      </w:r>
      <w:r w:rsidR="004559F1">
        <w:t xml:space="preserve"> study enrolled subjects aged 12 or over </w:t>
      </w:r>
      <w:r>
        <w:t xml:space="preserve">only </w:t>
      </w:r>
      <w:r w:rsidR="004559F1">
        <w:t>and has previously been evaluated by the TGA. It has therefore not been reviewed in this report.</w:t>
      </w:r>
    </w:p>
    <w:p w:rsidR="004559F1" w:rsidRDefault="00CC6C9F" w:rsidP="00CC6C9F">
      <w:r>
        <w:t>The clinical submission also</w:t>
      </w:r>
      <w:r w:rsidR="004559F1">
        <w:t xml:space="preserve"> contained literature references.</w:t>
      </w:r>
    </w:p>
    <w:p w:rsidR="00605AD4" w:rsidRDefault="00605AD4" w:rsidP="00605AD4">
      <w:pPr>
        <w:pStyle w:val="Heading4"/>
      </w:pPr>
      <w:r w:rsidRPr="00605AD4">
        <w:t>Paediatric data</w:t>
      </w:r>
    </w:p>
    <w:p w:rsidR="00E24628" w:rsidRDefault="004559F1" w:rsidP="00CC6C9F">
      <w:r>
        <w:t>Data were submitted to support use in children aged 6 to &lt;12</w:t>
      </w:r>
      <w:r w:rsidR="00E24628">
        <w:t>.</w:t>
      </w:r>
    </w:p>
    <w:p w:rsidR="004559F1" w:rsidRDefault="004559F1" w:rsidP="00CC6C9F">
      <w:r>
        <w:t xml:space="preserve">No data were submitted for children &lt; 6 years. The sponsor has a waiver from the </w:t>
      </w:r>
      <w:r w:rsidR="00CC6C9F">
        <w:t>European medicines Agency (</w:t>
      </w:r>
      <w:r>
        <w:t>EMA</w:t>
      </w:r>
      <w:r w:rsidR="00CC6C9F">
        <w:t>)</w:t>
      </w:r>
      <w:r>
        <w:t xml:space="preserve"> for this subgroup on the grounds that the product </w:t>
      </w:r>
      <w:r w:rsidR="008C1E17">
        <w:rPr>
          <w:i/>
        </w:rPr>
        <w:t>‘</w:t>
      </w:r>
      <w:r>
        <w:rPr>
          <w:i/>
        </w:rPr>
        <w:t>does not represent a significant therapeutic benefit over existing treatments</w:t>
      </w:r>
      <w:r w:rsidR="008C1E17">
        <w:rPr>
          <w:i/>
        </w:rPr>
        <w:t>’</w:t>
      </w:r>
      <w:r>
        <w:t xml:space="preserve">. The sponsor also has a waiver from the FDA for </w:t>
      </w:r>
      <w:r w:rsidRPr="00A22A58">
        <w:t xml:space="preserve">development in subjects aged &lt; 6 years on the grounds that </w:t>
      </w:r>
      <w:r w:rsidR="008C1E17" w:rsidRPr="00A22A58">
        <w:rPr>
          <w:i/>
        </w:rPr>
        <w:t>‘</w:t>
      </w:r>
      <w:r w:rsidRPr="00A22A58">
        <w:rPr>
          <w:i/>
        </w:rPr>
        <w:t>evidence strongly suggests that the product would be unsafe in this paediatric subpopulation.</w:t>
      </w:r>
      <w:r w:rsidR="008C1E17" w:rsidRPr="00A22A58">
        <w:rPr>
          <w:i/>
        </w:rPr>
        <w:t>’</w:t>
      </w:r>
      <w:r w:rsidRPr="00A22A58">
        <w:t xml:space="preserve"> The reasoning behind the granting of these waivers was not discussed.</w:t>
      </w:r>
    </w:p>
    <w:p w:rsidR="00605AD4" w:rsidRDefault="00605AD4" w:rsidP="00605AD4">
      <w:pPr>
        <w:pStyle w:val="Heading4"/>
      </w:pPr>
      <w:r w:rsidRPr="00605AD4">
        <w:t>Good clinical practice</w:t>
      </w:r>
    </w:p>
    <w:p w:rsidR="004559F1" w:rsidRDefault="004559F1" w:rsidP="004559F1">
      <w:bookmarkStart w:id="55" w:name="_Toc241374282"/>
      <w:r>
        <w:t xml:space="preserve">The study reports for the clinical trials contained in this submission included assurances that the trials were conducted in accordance with </w:t>
      </w:r>
      <w:r w:rsidR="00CC6C9F">
        <w:t xml:space="preserve">Good Clinical Practice (GCP) </w:t>
      </w:r>
      <w:r>
        <w:t>guidelines.</w:t>
      </w:r>
      <w:bookmarkEnd w:id="55"/>
    </w:p>
    <w:p w:rsidR="008E7846" w:rsidRDefault="008E7846" w:rsidP="00605AD4">
      <w:pPr>
        <w:pStyle w:val="Heading3"/>
      </w:pPr>
      <w:bookmarkStart w:id="56" w:name="_Toc454447842"/>
      <w:r w:rsidRPr="00254787">
        <w:t>Pharmacokinetics</w:t>
      </w:r>
      <w:bookmarkEnd w:id="43"/>
      <w:bookmarkEnd w:id="50"/>
      <w:bookmarkEnd w:id="51"/>
      <w:bookmarkEnd w:id="52"/>
      <w:bookmarkEnd w:id="56"/>
    </w:p>
    <w:p w:rsidR="00605AD4" w:rsidRDefault="00605AD4" w:rsidP="00605AD4">
      <w:pPr>
        <w:pStyle w:val="Heading4"/>
      </w:pPr>
      <w:r>
        <w:t xml:space="preserve">Studies providing pharmacokinetic data </w:t>
      </w:r>
    </w:p>
    <w:p w:rsidR="004559F1" w:rsidRDefault="00CC6C9F" w:rsidP="004559F1">
      <w:r>
        <w:t xml:space="preserve">Table 5 </w:t>
      </w:r>
      <w:r w:rsidR="004559F1">
        <w:t>shows the studies relating to each pharmacokinetic topic.</w:t>
      </w:r>
    </w:p>
    <w:p w:rsidR="004559F1" w:rsidRDefault="004559F1" w:rsidP="00E24628">
      <w:pPr>
        <w:pStyle w:val="TableTitle"/>
        <w:pageBreakBefore/>
      </w:pPr>
      <w:bookmarkStart w:id="57" w:name="_Ref272426277"/>
      <w:bookmarkStart w:id="58" w:name="_Toc292121178"/>
      <w:r>
        <w:lastRenderedPageBreak/>
        <w:t>Table</w:t>
      </w:r>
      <w:r w:rsidR="00CC6C9F">
        <w:t xml:space="preserve"> 5:</w:t>
      </w:r>
      <w:bookmarkEnd w:id="57"/>
      <w:r>
        <w:t xml:space="preserve"> Submitted pharmacokinetic studies</w:t>
      </w:r>
      <w:bookmarkEnd w:id="58"/>
    </w:p>
    <w:tbl>
      <w:tblPr>
        <w:tblStyle w:val="TableTGAblue1"/>
        <w:tblW w:w="8222" w:type="dxa"/>
        <w:tblInd w:w="108" w:type="dxa"/>
        <w:tblLayout w:type="fixed"/>
        <w:tblLook w:val="04A0" w:firstRow="1" w:lastRow="0" w:firstColumn="1" w:lastColumn="0" w:noHBand="0" w:noVBand="1"/>
      </w:tblPr>
      <w:tblGrid>
        <w:gridCol w:w="1843"/>
        <w:gridCol w:w="3686"/>
        <w:gridCol w:w="2693"/>
      </w:tblGrid>
      <w:tr w:rsidR="00CC6C9F" w:rsidTr="00E24628">
        <w:trPr>
          <w:cnfStyle w:val="100000000000" w:firstRow="1" w:lastRow="0" w:firstColumn="0" w:lastColumn="0" w:oddVBand="0" w:evenVBand="0" w:oddHBand="0" w:evenHBand="0" w:firstRowFirstColumn="0" w:firstRowLastColumn="0" w:lastRowFirstColumn="0" w:lastRowLastColumn="0"/>
          <w:cantSplit/>
          <w:tblHeader/>
        </w:trPr>
        <w:tc>
          <w:tcPr>
            <w:tcW w:w="1843" w:type="dxa"/>
            <w:hideMark/>
          </w:tcPr>
          <w:p w:rsidR="00CC6C9F" w:rsidRPr="00CC6C9F" w:rsidRDefault="00CC6C9F" w:rsidP="00E24628">
            <w:r w:rsidRPr="00CC6C9F">
              <w:t>PK topic</w:t>
            </w:r>
          </w:p>
        </w:tc>
        <w:tc>
          <w:tcPr>
            <w:tcW w:w="3686" w:type="dxa"/>
            <w:hideMark/>
          </w:tcPr>
          <w:p w:rsidR="00CC6C9F" w:rsidRPr="00CC6C9F" w:rsidRDefault="00CC6C9F" w:rsidP="00E24628">
            <w:r w:rsidRPr="00CC6C9F">
              <w:t>Subtopic</w:t>
            </w:r>
          </w:p>
        </w:tc>
        <w:tc>
          <w:tcPr>
            <w:tcW w:w="2693" w:type="dxa"/>
            <w:hideMark/>
          </w:tcPr>
          <w:p w:rsidR="00CC6C9F" w:rsidRPr="00CC6C9F" w:rsidRDefault="00CC6C9F" w:rsidP="00E24628">
            <w:r w:rsidRPr="00CC6C9F">
              <w:t>Study ID</w:t>
            </w:r>
          </w:p>
        </w:tc>
      </w:tr>
      <w:tr w:rsidR="00CC6C9F" w:rsidTr="00E24628">
        <w:tc>
          <w:tcPr>
            <w:tcW w:w="1843" w:type="dxa"/>
          </w:tcPr>
          <w:p w:rsidR="00CC6C9F" w:rsidRDefault="00CC6C9F" w:rsidP="00E24628">
            <w:r>
              <w:t>PK in children</w:t>
            </w:r>
          </w:p>
        </w:tc>
        <w:tc>
          <w:tcPr>
            <w:tcW w:w="3686" w:type="dxa"/>
            <w:hideMark/>
          </w:tcPr>
          <w:p w:rsidR="00CC6C9F" w:rsidRDefault="00CC6C9F" w:rsidP="00E24628">
            <w:r>
              <w:t>General PK- Single and multiple dose</w:t>
            </w:r>
            <w:r w:rsidR="00E24628">
              <w:t xml:space="preserve">  </w:t>
            </w:r>
            <w:r>
              <w:t>- Multiple dose</w:t>
            </w:r>
          </w:p>
        </w:tc>
        <w:tc>
          <w:tcPr>
            <w:tcW w:w="2693" w:type="dxa"/>
            <w:hideMark/>
          </w:tcPr>
          <w:p w:rsidR="00CC6C9F" w:rsidRDefault="00CC6C9F" w:rsidP="00E24628">
            <w:pPr>
              <w:rPr>
                <w:kern w:val="16"/>
                <w:sz w:val="20"/>
                <w:szCs w:val="20"/>
              </w:rPr>
            </w:pPr>
            <w:r>
              <w:t>Study 010</w:t>
            </w:r>
          </w:p>
          <w:p w:rsidR="00CC6C9F" w:rsidRDefault="00CC6C9F" w:rsidP="00E24628">
            <w:r>
              <w:t>Studies IA05 and 010</w:t>
            </w:r>
          </w:p>
        </w:tc>
      </w:tr>
      <w:tr w:rsidR="00CC6C9F" w:rsidTr="00E24628">
        <w:tc>
          <w:tcPr>
            <w:tcW w:w="1843" w:type="dxa"/>
            <w:hideMark/>
          </w:tcPr>
          <w:p w:rsidR="00CC6C9F" w:rsidRDefault="00CC6C9F" w:rsidP="00E24628">
            <w:r>
              <w:t>Population PK analyses</w:t>
            </w:r>
          </w:p>
        </w:tc>
        <w:tc>
          <w:tcPr>
            <w:tcW w:w="3686" w:type="dxa"/>
            <w:hideMark/>
          </w:tcPr>
          <w:p w:rsidR="00CC6C9F" w:rsidRDefault="00CC6C9F" w:rsidP="00E24628">
            <w:r>
              <w:t>Revised dosage table in asthma</w:t>
            </w:r>
          </w:p>
        </w:tc>
        <w:tc>
          <w:tcPr>
            <w:tcW w:w="2693" w:type="dxa"/>
            <w:hideMark/>
          </w:tcPr>
          <w:p w:rsidR="00CC6C9F" w:rsidRDefault="00CC6C9F" w:rsidP="00E24628">
            <w:r>
              <w:t>Population PK/PD 2013</w:t>
            </w:r>
          </w:p>
        </w:tc>
      </w:tr>
    </w:tbl>
    <w:p w:rsidR="004559F1" w:rsidRDefault="004559F1" w:rsidP="00CC6C9F">
      <w:r>
        <w:t>None of the pharmacokinetic studies had deficiencies that excluded their results from consideration.</w:t>
      </w:r>
    </w:p>
    <w:p w:rsidR="004559F1" w:rsidRDefault="004559F1" w:rsidP="00CC6C9F">
      <w:pPr>
        <w:pStyle w:val="Heading4"/>
      </w:pPr>
      <w:bookmarkStart w:id="59" w:name="_Toc292121083"/>
      <w:bookmarkStart w:id="60" w:name="_Toc290846258"/>
      <w:bookmarkStart w:id="61" w:name="_Toc272414635"/>
      <w:bookmarkStart w:id="62" w:name="_Ref271018755"/>
      <w:bookmarkStart w:id="63" w:name="_Ref271018704"/>
      <w:bookmarkStart w:id="64" w:name="_Ref269982040"/>
      <w:bookmarkStart w:id="65" w:name="_Toc241374296"/>
      <w:r>
        <w:t>Evaluator’s overall conclusions on pharmacokinetics</w:t>
      </w:r>
      <w:bookmarkEnd w:id="59"/>
      <w:bookmarkEnd w:id="60"/>
      <w:bookmarkEnd w:id="61"/>
      <w:bookmarkEnd w:id="62"/>
      <w:bookmarkEnd w:id="63"/>
      <w:bookmarkEnd w:id="64"/>
      <w:bookmarkEnd w:id="65"/>
    </w:p>
    <w:p w:rsidR="004559F1" w:rsidRDefault="004559F1" w:rsidP="004559F1">
      <w:r>
        <w:t>The submitted PK data were acceptable.</w:t>
      </w:r>
    </w:p>
    <w:p w:rsidR="008E7846" w:rsidRDefault="008E7846" w:rsidP="00CC6C9F">
      <w:pPr>
        <w:pStyle w:val="Heading3"/>
      </w:pPr>
      <w:bookmarkStart w:id="66" w:name="_Toc196046481"/>
      <w:bookmarkStart w:id="67" w:name="_Toc247691520"/>
      <w:bookmarkStart w:id="68" w:name="_Toc314842503"/>
      <w:bookmarkStart w:id="69" w:name="_Toc454447843"/>
      <w:r w:rsidRPr="00CC6C9F">
        <w:t>Pharmacodynamics</w:t>
      </w:r>
      <w:bookmarkEnd w:id="44"/>
      <w:bookmarkEnd w:id="66"/>
      <w:bookmarkEnd w:id="67"/>
      <w:bookmarkEnd w:id="68"/>
      <w:bookmarkEnd w:id="69"/>
    </w:p>
    <w:p w:rsidR="00605AD4" w:rsidRDefault="00605AD4" w:rsidP="00CC6C9F">
      <w:pPr>
        <w:pStyle w:val="Heading4"/>
      </w:pPr>
      <w:r>
        <w:t xml:space="preserve">Studies providing </w:t>
      </w:r>
      <w:proofErr w:type="spellStart"/>
      <w:r w:rsidRPr="00CC6C9F">
        <w:t>pharmacodynamic</w:t>
      </w:r>
      <w:proofErr w:type="spellEnd"/>
      <w:r>
        <w:t xml:space="preserve"> data</w:t>
      </w:r>
    </w:p>
    <w:p w:rsidR="004559F1" w:rsidRDefault="00CC6C9F" w:rsidP="004559F1">
      <w:r>
        <w:t>Table 6 s</w:t>
      </w:r>
      <w:r w:rsidR="004559F1">
        <w:t xml:space="preserve">hows the studies relating to each </w:t>
      </w:r>
      <w:proofErr w:type="spellStart"/>
      <w:r w:rsidR="004559F1">
        <w:t>pharmacodynamic</w:t>
      </w:r>
      <w:proofErr w:type="spellEnd"/>
      <w:r w:rsidR="004559F1">
        <w:t xml:space="preserve"> topic and the location of each study summary.</w:t>
      </w:r>
    </w:p>
    <w:p w:rsidR="004559F1" w:rsidRDefault="004559F1" w:rsidP="00CC6C9F">
      <w:pPr>
        <w:pStyle w:val="TableTitle"/>
      </w:pPr>
      <w:bookmarkStart w:id="70" w:name="_Ref269985397"/>
      <w:bookmarkStart w:id="71" w:name="_Toc292121179"/>
      <w:r>
        <w:t>Table</w:t>
      </w:r>
      <w:r w:rsidR="00CC6C9F">
        <w:t xml:space="preserve"> 6</w:t>
      </w:r>
      <w:bookmarkEnd w:id="70"/>
      <w:r>
        <w:t xml:space="preserve">: Submitted </w:t>
      </w:r>
      <w:proofErr w:type="spellStart"/>
      <w:r>
        <w:t>pharmacodynamic</w:t>
      </w:r>
      <w:proofErr w:type="spellEnd"/>
      <w:r>
        <w:t xml:space="preserve"> studies</w:t>
      </w:r>
      <w:bookmarkEnd w:id="71"/>
    </w:p>
    <w:tbl>
      <w:tblPr>
        <w:tblStyle w:val="TableTGAblue"/>
        <w:tblW w:w="8222" w:type="dxa"/>
        <w:tblLayout w:type="fixed"/>
        <w:tblLook w:val="04A0" w:firstRow="1" w:lastRow="0" w:firstColumn="1" w:lastColumn="0" w:noHBand="0" w:noVBand="1"/>
      </w:tblPr>
      <w:tblGrid>
        <w:gridCol w:w="2410"/>
        <w:gridCol w:w="3119"/>
        <w:gridCol w:w="2693"/>
      </w:tblGrid>
      <w:tr w:rsidR="00CC6C9F" w:rsidTr="00E24628">
        <w:trPr>
          <w:cnfStyle w:val="100000000000" w:firstRow="1" w:lastRow="0" w:firstColumn="0" w:lastColumn="0" w:oddVBand="0" w:evenVBand="0" w:oddHBand="0" w:evenHBand="0" w:firstRowFirstColumn="0" w:firstRowLastColumn="0" w:lastRowFirstColumn="0" w:lastRowLastColumn="0"/>
        </w:trPr>
        <w:tc>
          <w:tcPr>
            <w:tcW w:w="2410" w:type="dxa"/>
            <w:hideMark/>
          </w:tcPr>
          <w:p w:rsidR="00CC6C9F" w:rsidRPr="00CC6C9F" w:rsidRDefault="00CC6C9F" w:rsidP="00E24628">
            <w:r w:rsidRPr="00CC6C9F">
              <w:t>PD Topic</w:t>
            </w:r>
          </w:p>
        </w:tc>
        <w:tc>
          <w:tcPr>
            <w:tcW w:w="3119" w:type="dxa"/>
            <w:hideMark/>
          </w:tcPr>
          <w:p w:rsidR="00CC6C9F" w:rsidRPr="00CC6C9F" w:rsidRDefault="00CC6C9F" w:rsidP="00E24628">
            <w:r w:rsidRPr="00CC6C9F">
              <w:t>Subtopic</w:t>
            </w:r>
          </w:p>
        </w:tc>
        <w:tc>
          <w:tcPr>
            <w:tcW w:w="2693" w:type="dxa"/>
            <w:hideMark/>
          </w:tcPr>
          <w:p w:rsidR="00CC6C9F" w:rsidRPr="00CC6C9F" w:rsidRDefault="00CC6C9F" w:rsidP="00E24628">
            <w:r w:rsidRPr="00CC6C9F">
              <w:t>Study ID</w:t>
            </w:r>
          </w:p>
        </w:tc>
      </w:tr>
      <w:tr w:rsidR="00CC6C9F" w:rsidTr="00E24628">
        <w:tc>
          <w:tcPr>
            <w:tcW w:w="2410" w:type="dxa"/>
          </w:tcPr>
          <w:p w:rsidR="00CC6C9F" w:rsidRPr="00E24628" w:rsidRDefault="00CC6C9F" w:rsidP="00E24628">
            <w:pPr>
              <w:rPr>
                <w:b/>
              </w:rPr>
            </w:pPr>
            <w:r w:rsidRPr="00E24628">
              <w:rPr>
                <w:b/>
              </w:rPr>
              <w:t>Primary Pharmacology</w:t>
            </w:r>
          </w:p>
        </w:tc>
        <w:tc>
          <w:tcPr>
            <w:tcW w:w="3119" w:type="dxa"/>
            <w:hideMark/>
          </w:tcPr>
          <w:p w:rsidR="00CC6C9F" w:rsidRDefault="00CC6C9F" w:rsidP="00E24628">
            <w:r>
              <w:t xml:space="preserve">Effect on free </w:t>
            </w:r>
            <w:proofErr w:type="spellStart"/>
            <w:r>
              <w:t>IgE</w:t>
            </w:r>
            <w:proofErr w:type="spellEnd"/>
            <w:r>
              <w:t xml:space="preserve"> and total </w:t>
            </w:r>
            <w:proofErr w:type="spellStart"/>
            <w:r>
              <w:t>IgE</w:t>
            </w:r>
            <w:proofErr w:type="spellEnd"/>
          </w:p>
        </w:tc>
        <w:tc>
          <w:tcPr>
            <w:tcW w:w="2693" w:type="dxa"/>
            <w:hideMark/>
          </w:tcPr>
          <w:p w:rsidR="00CC6C9F" w:rsidRDefault="00CC6C9F" w:rsidP="00E24628">
            <w:pPr>
              <w:rPr>
                <w:kern w:val="16"/>
                <w:sz w:val="20"/>
                <w:szCs w:val="20"/>
              </w:rPr>
            </w:pPr>
            <w:r>
              <w:t>Study 010</w:t>
            </w:r>
          </w:p>
          <w:p w:rsidR="00CC6C9F" w:rsidRDefault="00CC6C9F" w:rsidP="00E24628">
            <w:r>
              <w:t>Studies IA05 and 010</w:t>
            </w:r>
          </w:p>
        </w:tc>
      </w:tr>
      <w:tr w:rsidR="00CC6C9F" w:rsidTr="00E24628">
        <w:tc>
          <w:tcPr>
            <w:tcW w:w="2410" w:type="dxa"/>
            <w:hideMark/>
          </w:tcPr>
          <w:p w:rsidR="00CC6C9F" w:rsidRPr="00E24628" w:rsidRDefault="00CC6C9F" w:rsidP="00E24628">
            <w:pPr>
              <w:rPr>
                <w:b/>
              </w:rPr>
            </w:pPr>
            <w:r w:rsidRPr="00E24628">
              <w:rPr>
                <w:b/>
              </w:rPr>
              <w:t>Population PK/PD analysis</w:t>
            </w:r>
          </w:p>
        </w:tc>
        <w:tc>
          <w:tcPr>
            <w:tcW w:w="3119" w:type="dxa"/>
            <w:hideMark/>
          </w:tcPr>
          <w:p w:rsidR="00CC6C9F" w:rsidRDefault="00CC6C9F" w:rsidP="00E24628">
            <w:r>
              <w:t xml:space="preserve">Effect on free </w:t>
            </w:r>
            <w:proofErr w:type="spellStart"/>
            <w:r>
              <w:t>IgE</w:t>
            </w:r>
            <w:proofErr w:type="spellEnd"/>
            <w:r>
              <w:t xml:space="preserve"> and total </w:t>
            </w:r>
            <w:proofErr w:type="spellStart"/>
            <w:r>
              <w:t>IgE</w:t>
            </w:r>
            <w:proofErr w:type="spellEnd"/>
          </w:p>
        </w:tc>
        <w:tc>
          <w:tcPr>
            <w:tcW w:w="2693" w:type="dxa"/>
            <w:hideMark/>
          </w:tcPr>
          <w:p w:rsidR="00CC6C9F" w:rsidRDefault="00CC6C9F" w:rsidP="00E24628">
            <w:r>
              <w:t>Population PK/PD 2013</w:t>
            </w:r>
          </w:p>
        </w:tc>
      </w:tr>
    </w:tbl>
    <w:p w:rsidR="004559F1" w:rsidRDefault="004559F1" w:rsidP="00CC6C9F">
      <w:pPr>
        <w:pStyle w:val="Heading4"/>
      </w:pPr>
      <w:bookmarkStart w:id="72" w:name="_Toc292121089"/>
      <w:bookmarkStart w:id="73" w:name="_Toc290846270"/>
      <w:bookmarkStart w:id="74" w:name="_Toc272414648"/>
      <w:bookmarkStart w:id="75" w:name="_Ref269983272"/>
      <w:r>
        <w:t>Evaluator’s overall conclusions on pharmacodynamics</w:t>
      </w:r>
      <w:bookmarkEnd w:id="72"/>
      <w:bookmarkEnd w:id="73"/>
      <w:bookmarkEnd w:id="74"/>
      <w:bookmarkEnd w:id="75"/>
    </w:p>
    <w:p w:rsidR="004559F1" w:rsidRDefault="004559F1" w:rsidP="004559F1">
      <w:r>
        <w:t xml:space="preserve">The submitted PK data are acceptable. The effects of </w:t>
      </w:r>
      <w:proofErr w:type="spellStart"/>
      <w:r w:rsidR="005A1D2B">
        <w:t>omalizumab</w:t>
      </w:r>
      <w:proofErr w:type="spellEnd"/>
      <w:r w:rsidR="005A1D2B">
        <w:t xml:space="preserve"> (</w:t>
      </w:r>
      <w:proofErr w:type="spellStart"/>
      <w:r w:rsidR="005A1D2B">
        <w:t>rch</w:t>
      </w:r>
      <w:proofErr w:type="spellEnd"/>
      <w:r w:rsidR="005A1D2B">
        <w:t>)</w:t>
      </w:r>
      <w:r>
        <w:t xml:space="preserve"> on free </w:t>
      </w:r>
      <w:proofErr w:type="spellStart"/>
      <w:r>
        <w:t>IgE</w:t>
      </w:r>
      <w:proofErr w:type="spellEnd"/>
      <w:r>
        <w:t xml:space="preserve"> and total </w:t>
      </w:r>
      <w:proofErr w:type="spellStart"/>
      <w:r>
        <w:t>IgE</w:t>
      </w:r>
      <w:proofErr w:type="spellEnd"/>
      <w:r>
        <w:t xml:space="preserve"> levels in children are consistent with those observed in adults and adolescents.</w:t>
      </w:r>
    </w:p>
    <w:p w:rsidR="008E7846" w:rsidRDefault="00605AD4" w:rsidP="00CC6C9F">
      <w:pPr>
        <w:pStyle w:val="Heading3"/>
      </w:pPr>
      <w:bookmarkStart w:id="76" w:name="_Toc454447844"/>
      <w:r>
        <w:t>Dosage selection for the pivotal studies</w:t>
      </w:r>
      <w:bookmarkEnd w:id="76"/>
    </w:p>
    <w:p w:rsidR="004559F1" w:rsidRDefault="004559F1" w:rsidP="004559F1">
      <w:pPr>
        <w:autoSpaceDE w:val="0"/>
        <w:autoSpaceDN w:val="0"/>
        <w:adjustRightInd w:val="0"/>
      </w:pPr>
      <w:r>
        <w:t xml:space="preserve">No dose-ranging studies were performed in children. The dosing schemes for children used in the clinical trials aimed to estimate the amount of drug needed for each patient in order to suppress </w:t>
      </w:r>
      <w:proofErr w:type="spellStart"/>
      <w:r>
        <w:t>IgE</w:t>
      </w:r>
      <w:proofErr w:type="spellEnd"/>
      <w:r>
        <w:t xml:space="preserve"> levels below 50 ng/mL and to keep within reasonable safety margins as determined by toxicology studies. To achieve </w:t>
      </w:r>
      <w:proofErr w:type="spellStart"/>
      <w:r>
        <w:t>IgE</w:t>
      </w:r>
      <w:proofErr w:type="spellEnd"/>
      <w:r>
        <w:t xml:space="preserve"> levels below 50 ng/mL an average reduction of 25 ng/mL was targeted.</w:t>
      </w:r>
    </w:p>
    <w:p w:rsidR="008E7846" w:rsidRPr="00254787" w:rsidRDefault="008E7846" w:rsidP="008E7846">
      <w:pPr>
        <w:pStyle w:val="Heading3"/>
      </w:pPr>
      <w:bookmarkStart w:id="77" w:name="_Toc163441372"/>
      <w:bookmarkStart w:id="78" w:name="_Toc196046485"/>
      <w:bookmarkStart w:id="79" w:name="_Toc247691521"/>
      <w:bookmarkStart w:id="80" w:name="_Toc314842504"/>
      <w:bookmarkStart w:id="81" w:name="_Toc454447845"/>
      <w:r w:rsidRPr="00254787">
        <w:lastRenderedPageBreak/>
        <w:t>Efficacy</w:t>
      </w:r>
      <w:bookmarkEnd w:id="77"/>
      <w:bookmarkEnd w:id="78"/>
      <w:bookmarkEnd w:id="79"/>
      <w:bookmarkEnd w:id="80"/>
      <w:bookmarkEnd w:id="81"/>
    </w:p>
    <w:p w:rsidR="00605AD4" w:rsidRDefault="00605AD4" w:rsidP="00CC6C9F">
      <w:pPr>
        <w:pStyle w:val="Heading4"/>
      </w:pPr>
      <w:bookmarkStart w:id="82" w:name="_Toc184439992"/>
      <w:bookmarkStart w:id="83" w:name="_Toc184440279"/>
      <w:bookmarkStart w:id="84" w:name="_Toc184444657"/>
      <w:bookmarkStart w:id="85" w:name="_Toc196046487"/>
      <w:r>
        <w:t xml:space="preserve">Studies </w:t>
      </w:r>
      <w:r w:rsidRPr="00CC6C9F">
        <w:t>providing</w:t>
      </w:r>
      <w:r>
        <w:t xml:space="preserve"> efficacy data</w:t>
      </w:r>
    </w:p>
    <w:p w:rsidR="00906B11" w:rsidRDefault="00CC6C9F" w:rsidP="00CC6C9F">
      <w:bookmarkStart w:id="86" w:name="_Toc292121128"/>
      <w:bookmarkStart w:id="87" w:name="_Toc290846282"/>
      <w:bookmarkStart w:id="88" w:name="_Toc272414657"/>
      <w:bookmarkStart w:id="89" w:name="_Ref271126605"/>
      <w:r>
        <w:t xml:space="preserve">Two Phase III randomised, double blind, placebo-controlled </w:t>
      </w:r>
      <w:r w:rsidRPr="00CC6C9F">
        <w:t>trials (IA05 and 010)</w:t>
      </w:r>
      <w:r>
        <w:t xml:space="preserve"> examining efficacy and safety were submitted.</w:t>
      </w:r>
    </w:p>
    <w:p w:rsidR="004559F1" w:rsidRDefault="004559F1" w:rsidP="00CC6C9F">
      <w:pPr>
        <w:pStyle w:val="Heading4"/>
      </w:pPr>
      <w:r>
        <w:t>Evaluator’s conclusions on clinical efficacy</w:t>
      </w:r>
      <w:bookmarkEnd w:id="86"/>
      <w:r>
        <w:t xml:space="preserve"> </w:t>
      </w:r>
      <w:bookmarkEnd w:id="87"/>
      <w:bookmarkEnd w:id="88"/>
      <w:bookmarkEnd w:id="89"/>
    </w:p>
    <w:p w:rsidR="004559F1" w:rsidRDefault="004559F1" w:rsidP="004559F1">
      <w:r>
        <w:t>The indication sought by the sponsor for subjects aged 6 to &lt;12 years with allergic asthma is limited to patients with all of the following:</w:t>
      </w:r>
    </w:p>
    <w:p w:rsidR="004559F1" w:rsidRDefault="004559F1" w:rsidP="00CC6C9F">
      <w:pPr>
        <w:pStyle w:val="ListBullet"/>
      </w:pPr>
      <w:r>
        <w:rPr>
          <w:i/>
        </w:rPr>
        <w:t>Severe</w:t>
      </w:r>
      <w:r>
        <w:t xml:space="preserve"> persistent disease (with frequent daytime symptoms or night</w:t>
      </w:r>
      <w:r w:rsidR="00CC6C9F">
        <w:t xml:space="preserve"> </w:t>
      </w:r>
      <w:r>
        <w:t>time awakenings);</w:t>
      </w:r>
    </w:p>
    <w:p w:rsidR="004559F1" w:rsidRDefault="004559F1" w:rsidP="00CC6C9F">
      <w:pPr>
        <w:pStyle w:val="ListBullet"/>
      </w:pPr>
      <w:r>
        <w:t>A history of exacerbations;</w:t>
      </w:r>
    </w:p>
    <w:p w:rsidR="004559F1" w:rsidRPr="00CC6C9F" w:rsidRDefault="004559F1" w:rsidP="00CC6C9F">
      <w:pPr>
        <w:pStyle w:val="ListBullet"/>
      </w:pPr>
      <w:r>
        <w:t xml:space="preserve">Current treatment </w:t>
      </w:r>
      <w:r w:rsidRPr="00CC6C9F">
        <w:t xml:space="preserve">with </w:t>
      </w:r>
      <w:r w:rsidRPr="00CC6C9F">
        <w:rPr>
          <w:i/>
        </w:rPr>
        <w:t>high</w:t>
      </w:r>
      <w:r w:rsidR="00CC6C9F" w:rsidRPr="00CC6C9F">
        <w:t xml:space="preserve"> </w:t>
      </w:r>
      <w:r w:rsidRPr="00CC6C9F">
        <w:t xml:space="preserve">dose </w:t>
      </w:r>
      <w:r w:rsidR="00CC6C9F" w:rsidRPr="00CC6C9F">
        <w:t>inhaled corticosteroids (ICS)</w:t>
      </w:r>
      <w:r w:rsidRPr="00CC6C9F">
        <w:t>.</w:t>
      </w:r>
    </w:p>
    <w:p w:rsidR="004559F1" w:rsidRDefault="004559F1" w:rsidP="004559F1">
      <w:r>
        <w:t xml:space="preserve">A high dose of ICS is defined in the current Australian Asthma </w:t>
      </w:r>
      <w:r w:rsidRPr="00DF2F1F">
        <w:t>Handbook (</w:t>
      </w:r>
      <w:r w:rsidR="00951939">
        <w:t>Table 7</w:t>
      </w:r>
      <w:r w:rsidRPr="00DF2F1F">
        <w:t>).</w:t>
      </w:r>
    </w:p>
    <w:p w:rsidR="00124F86" w:rsidRDefault="00124F86" w:rsidP="00124F86">
      <w:pPr>
        <w:pStyle w:val="TableTitle"/>
      </w:pPr>
      <w:bookmarkStart w:id="90" w:name="_Ref291315381"/>
      <w:bookmarkStart w:id="91" w:name="_Toc292121228"/>
      <w:r>
        <w:t xml:space="preserve">Table </w:t>
      </w:r>
      <w:bookmarkEnd w:id="90"/>
      <w:r>
        <w:t>7: Australian Asthma Handbook</w:t>
      </w:r>
      <w:r w:rsidR="007A569B">
        <w:t>;</w:t>
      </w:r>
      <w:r>
        <w:t xml:space="preserve"> Definitions of ICS dose</w:t>
      </w:r>
      <w:bookmarkEnd w:id="91"/>
      <w:r>
        <w:t xml:space="preserve"> in children </w:t>
      </w:r>
    </w:p>
    <w:p w:rsidR="00124F86" w:rsidRDefault="00124F86" w:rsidP="00124F86">
      <w:pPr>
        <w:tabs>
          <w:tab w:val="left" w:pos="720"/>
        </w:tabs>
      </w:pPr>
      <w:r>
        <w:rPr>
          <w:noProof/>
          <w:lang w:eastAsia="en-AU"/>
        </w:rPr>
        <w:drawing>
          <wp:inline distT="0" distB="0" distL="0" distR="0" wp14:anchorId="4871222F" wp14:editId="37393BEB">
            <wp:extent cx="3954780" cy="2537758"/>
            <wp:effectExtent l="0" t="0" r="7620" b="0"/>
            <wp:docPr id="20" name="Picture 20" descr="Table 7: Australian Asthma Handbook - Definitions of ICS dose in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11681" b="7582"/>
                    <a:stretch/>
                  </pic:blipFill>
                  <pic:spPr bwMode="auto">
                    <a:xfrm>
                      <a:off x="0" y="0"/>
                      <a:ext cx="3954780" cy="2537758"/>
                    </a:xfrm>
                    <a:prstGeom prst="rect">
                      <a:avLst/>
                    </a:prstGeom>
                    <a:noFill/>
                    <a:ln>
                      <a:noFill/>
                    </a:ln>
                    <a:extLst>
                      <a:ext uri="{53640926-AAD7-44D8-BBD7-CCE9431645EC}">
                        <a14:shadowObscured xmlns:a14="http://schemas.microsoft.com/office/drawing/2010/main"/>
                      </a:ext>
                    </a:extLst>
                  </pic:spPr>
                </pic:pic>
              </a:graphicData>
            </a:graphic>
          </wp:inline>
        </w:drawing>
      </w:r>
    </w:p>
    <w:p w:rsidR="004559F1" w:rsidRDefault="004559F1" w:rsidP="004559F1">
      <w:r>
        <w:t xml:space="preserve">For children without </w:t>
      </w:r>
      <w:r w:rsidRPr="00DF2F1F">
        <w:t>good control of symptoms who are currently already receiving high dose ICS, the current Handbook recommends referral for specialist management (</w:t>
      </w:r>
      <w:r w:rsidRPr="00DF2F1F">
        <w:fldChar w:fldCharType="begin"/>
      </w:r>
      <w:r w:rsidRPr="00DF2F1F">
        <w:instrText xml:space="preserve"> REF _Ref291317778 \h </w:instrText>
      </w:r>
      <w:r w:rsidR="00CC6C9F" w:rsidRPr="00DF2F1F">
        <w:instrText xml:space="preserve"> \* MERGEFORMAT </w:instrText>
      </w:r>
      <w:r w:rsidRPr="00DF2F1F">
        <w:fldChar w:fldCharType="separate"/>
      </w:r>
      <w:r w:rsidR="00177F40" w:rsidRPr="00DF2F1F">
        <w:t>Figure 1</w:t>
      </w:r>
      <w:r w:rsidRPr="00DF2F1F">
        <w:fldChar w:fldCharType="end"/>
      </w:r>
      <w:r w:rsidR="00DF2F1F" w:rsidRPr="00DF2F1F">
        <w:t>1</w:t>
      </w:r>
      <w:r w:rsidRPr="00DF2F1F">
        <w:t>). Possible treatments for this</w:t>
      </w:r>
      <w:r>
        <w:t xml:space="preserve"> population would include the addition of </w:t>
      </w:r>
      <w:r w:rsidR="00537C9D" w:rsidRPr="00537C9D">
        <w:t xml:space="preserve">long-acting beta agonists (LABAs) </w:t>
      </w:r>
      <w:r w:rsidRPr="00537C9D">
        <w:t xml:space="preserve">or </w:t>
      </w:r>
      <w:proofErr w:type="spellStart"/>
      <w:r w:rsidRPr="00537C9D">
        <w:t>montelukast</w:t>
      </w:r>
      <w:proofErr w:type="spellEnd"/>
      <w:r w:rsidRPr="00537C9D">
        <w:t xml:space="preserve">. The submission did not contain any studies that compared </w:t>
      </w:r>
      <w:proofErr w:type="spellStart"/>
      <w:r w:rsidR="005A1D2B">
        <w:t>omalizumab</w:t>
      </w:r>
      <w:proofErr w:type="spellEnd"/>
      <w:r w:rsidR="005A1D2B">
        <w:t xml:space="preserve"> (</w:t>
      </w:r>
      <w:proofErr w:type="spellStart"/>
      <w:r w:rsidR="005A1D2B">
        <w:t>rch</w:t>
      </w:r>
      <w:proofErr w:type="spellEnd"/>
      <w:r w:rsidR="005A1D2B">
        <w:t>)</w:t>
      </w:r>
      <w:r w:rsidRPr="00537C9D">
        <w:t xml:space="preserve"> with these treatment options in the proposed population. </w:t>
      </w:r>
      <w:proofErr w:type="spellStart"/>
      <w:r w:rsidR="005A1D2B">
        <w:t>Omalizumab</w:t>
      </w:r>
      <w:proofErr w:type="spellEnd"/>
      <w:r w:rsidR="005A1D2B">
        <w:t xml:space="preserve"> (</w:t>
      </w:r>
      <w:proofErr w:type="spellStart"/>
      <w:r w:rsidR="005A1D2B">
        <w:t>rch</w:t>
      </w:r>
      <w:proofErr w:type="spellEnd"/>
      <w:r w:rsidR="005A1D2B">
        <w:t>)</w:t>
      </w:r>
      <w:r w:rsidRPr="00537C9D">
        <w:t xml:space="preserve"> was only compared with placebo.</w:t>
      </w:r>
    </w:p>
    <w:p w:rsidR="00124F86" w:rsidRDefault="00124F86" w:rsidP="00124F86">
      <w:pPr>
        <w:pStyle w:val="FigureTitle"/>
      </w:pPr>
      <w:bookmarkStart w:id="92" w:name="_Ref291317778"/>
      <w:bookmarkStart w:id="93" w:name="_Toc292121257"/>
      <w:r w:rsidRPr="00DF2F1F">
        <w:lastRenderedPageBreak/>
        <w:t>Figure 1</w:t>
      </w:r>
      <w:bookmarkEnd w:id="92"/>
      <w:r w:rsidR="00DF2F1F">
        <w:t>:</w:t>
      </w:r>
      <w:r w:rsidRPr="00DF2F1F">
        <w:t xml:space="preserve"> Australian Asthma Handbook. Treatment steps in children</w:t>
      </w:r>
      <w:bookmarkEnd w:id="93"/>
      <w:r w:rsidR="00DF2F1F">
        <w:t>. Stepped approach to adjusting asthma medication in children.</w:t>
      </w:r>
    </w:p>
    <w:p w:rsidR="00124F86" w:rsidRDefault="00124F86" w:rsidP="00124F86">
      <w:pPr>
        <w:tabs>
          <w:tab w:val="left" w:pos="720"/>
        </w:tabs>
      </w:pPr>
      <w:r>
        <w:rPr>
          <w:noProof/>
          <w:lang w:eastAsia="en-AU"/>
        </w:rPr>
        <w:drawing>
          <wp:inline distT="0" distB="0" distL="0" distR="0" wp14:anchorId="29BC6DDB" wp14:editId="3CCF28F9">
            <wp:extent cx="4030980" cy="4422665"/>
            <wp:effectExtent l="0" t="0" r="7620" b="0"/>
            <wp:docPr id="23" name="Picture 23" descr="Figure 1: Australian Asthma Handbook. Treatment steps in children. Stepped approach to adjusting asthma medication in children.&#10;All children: As-needed reliever SABA (short acting beta agonist). Review recent control and risk regularly. In addition, manage flare-ups with extra treatment when they occur, and manage exercise-related symptoms as indicated.&#10;Some children: Regular preventer. ICS (=inhaled corticosteroid; low dose) or montelukast or cromone.&#10;Few children: Stepped up regular preventer. ICS (low dose) plus montelukast or ICS/LABA combination (low dose).&#10;Referral&#10;Few children: Stepped up regular preventer. ICS (low dose) plus montelukast or ICS/LABA combination (low dose).&#10;Some children: Regular preventer. ICS (=inhaled corticosteroid; low dose) or montelukast or cromone.&#10;All children: As-needed reliever SABA (short acting beta agonist). Review recent control and risk regularly. In addition, manage flare-ups with extra treatment when they occur, and manage exercise-related symptoms a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3811"/>
                    <a:stretch/>
                  </pic:blipFill>
                  <pic:spPr bwMode="auto">
                    <a:xfrm>
                      <a:off x="0" y="0"/>
                      <a:ext cx="4034973" cy="4427046"/>
                    </a:xfrm>
                    <a:prstGeom prst="rect">
                      <a:avLst/>
                    </a:prstGeom>
                    <a:noFill/>
                    <a:ln>
                      <a:noFill/>
                    </a:ln>
                    <a:extLst>
                      <a:ext uri="{53640926-AAD7-44D8-BBD7-CCE9431645EC}">
                        <a14:shadowObscured xmlns:a14="http://schemas.microsoft.com/office/drawing/2010/main"/>
                      </a:ext>
                    </a:extLst>
                  </pic:spPr>
                </pic:pic>
              </a:graphicData>
            </a:graphic>
          </wp:inline>
        </w:drawing>
      </w:r>
    </w:p>
    <w:p w:rsidR="004559F1" w:rsidRDefault="004559F1" w:rsidP="004559F1">
      <w:r>
        <w:t>Two randomised, placebo</w:t>
      </w:r>
      <w:r w:rsidR="00537C9D">
        <w:t xml:space="preserve"> </w:t>
      </w:r>
      <w:r>
        <w:t xml:space="preserve">controlled trials were submitted. These studies were well </w:t>
      </w:r>
      <w:r w:rsidRPr="00863197">
        <w:t>designed and well executed and generally complied with relevant EMA guidelines adopted by the TGA.</w:t>
      </w:r>
      <w:r w:rsidR="00863197" w:rsidRPr="00863197">
        <w:rPr>
          <w:rStyle w:val="FootnoteReference"/>
        </w:rPr>
        <w:footnoteReference w:id="2"/>
      </w:r>
      <w:r w:rsidR="00863197" w:rsidRPr="00863197">
        <w:rPr>
          <w:vertAlign w:val="superscript"/>
        </w:rPr>
        <w:t>,</w:t>
      </w:r>
      <w:r w:rsidR="00863197" w:rsidRPr="00863197">
        <w:rPr>
          <w:rStyle w:val="FootnoteReference"/>
        </w:rPr>
        <w:footnoteReference w:id="3"/>
      </w:r>
    </w:p>
    <w:p w:rsidR="004559F1" w:rsidRDefault="004559F1" w:rsidP="004559F1">
      <w:r>
        <w:t xml:space="preserve">The pivotal study for the submission was IA05. In this study 64% of subjects had severe persistent asthma. Mean daily ICS dose was &gt; 500 </w:t>
      </w:r>
      <w:r w:rsidR="00537C9D">
        <w:t>µ</w:t>
      </w:r>
      <w:r>
        <w:t>g fluticasone, consistent with subjects being treated with high dose ICS. The study demonstrated a significant efficacy benefit in terms of a reduction in the frequency of clinically significant exacerbations. In the overall study population, there was a 31% reduction in the number of exacerbations after 24 weeks and a 43% reduction after 52 weeks. Very similar reductions were observed in the subpopulation of subjects classified as having severe disease.</w:t>
      </w:r>
    </w:p>
    <w:p w:rsidR="004559F1" w:rsidRDefault="004559F1" w:rsidP="004559F1">
      <w:r>
        <w:t>In the overall study population there were no significant benefits in terms of asthma symptoms, reduction in rescue medication or ICS use, or quality of life. The reduced number of exacerbations did not translate into a reduction in hospitalisations, emergency department visits or unscheduled doctor visits.</w:t>
      </w:r>
    </w:p>
    <w:p w:rsidR="004559F1" w:rsidRDefault="004559F1" w:rsidP="004559F1">
      <w:r>
        <w:t xml:space="preserve">Study 010 is considered less relevant to the proposed indication. Only 8% of subjects were considered to have severe asthma and the population was being treated with low doses of ICS. The study also used a different dosage regimen to that being proposed in the </w:t>
      </w:r>
      <w:r>
        <w:lastRenderedPageBreak/>
        <w:t xml:space="preserve">submission. The study showed that in the enrolled population a significantly greater reduction in ICS dose could be achieved with </w:t>
      </w:r>
      <w:proofErr w:type="spellStart"/>
      <w:r w:rsidR="005A1D2B">
        <w:t>omalizumab</w:t>
      </w:r>
      <w:proofErr w:type="spellEnd"/>
      <w:r w:rsidR="005A1D2B">
        <w:t xml:space="preserve"> (</w:t>
      </w:r>
      <w:proofErr w:type="spellStart"/>
      <w:r w:rsidR="005A1D2B">
        <w:t>rch</w:t>
      </w:r>
      <w:proofErr w:type="spellEnd"/>
      <w:r w:rsidR="005A1D2B">
        <w:t>)</w:t>
      </w:r>
      <w:r>
        <w:t xml:space="preserve"> than with placebo. This finding is probably not relevant to the proposed indication, as </w:t>
      </w:r>
      <w:r w:rsidR="00537C9D">
        <w:t>S</w:t>
      </w:r>
      <w:r>
        <w:t xml:space="preserve">tudy IA05 failed to demonstrate a reduction in ICS dose with </w:t>
      </w:r>
      <w:proofErr w:type="spellStart"/>
      <w:r w:rsidR="005A1D2B">
        <w:t>omalizumab</w:t>
      </w:r>
      <w:proofErr w:type="spellEnd"/>
      <w:r w:rsidR="005A1D2B">
        <w:t xml:space="preserve"> (</w:t>
      </w:r>
      <w:proofErr w:type="spellStart"/>
      <w:r w:rsidR="005A1D2B">
        <w:t>rch</w:t>
      </w:r>
      <w:proofErr w:type="spellEnd"/>
      <w:r w:rsidR="005A1D2B">
        <w:t>)</w:t>
      </w:r>
      <w:r>
        <w:t xml:space="preserve"> in subjects with more severe disease.</w:t>
      </w:r>
    </w:p>
    <w:p w:rsidR="004559F1" w:rsidRDefault="004559F1" w:rsidP="004559F1">
      <w:r>
        <w:t xml:space="preserve">The published ICATA study demonstrated benefits for </w:t>
      </w:r>
      <w:proofErr w:type="spellStart"/>
      <w:r w:rsidR="005A1D2B">
        <w:t>omalizumab</w:t>
      </w:r>
      <w:proofErr w:type="spellEnd"/>
      <w:r w:rsidR="005A1D2B">
        <w:t xml:space="preserve"> (</w:t>
      </w:r>
      <w:proofErr w:type="spellStart"/>
      <w:r w:rsidR="005A1D2B">
        <w:t>rch</w:t>
      </w:r>
      <w:proofErr w:type="spellEnd"/>
      <w:r w:rsidR="005A1D2B">
        <w:t>)</w:t>
      </w:r>
      <w:r>
        <w:t xml:space="preserve"> in terms of reduced symptoms, reduced frequency of exacerbations and reduced ICS dose. However this study was conducted in subjects aged 6</w:t>
      </w:r>
      <w:r w:rsidR="00537C9D">
        <w:t xml:space="preserve"> to </w:t>
      </w:r>
      <w:r>
        <w:t xml:space="preserve">20 </w:t>
      </w:r>
      <w:r w:rsidR="00537C9D">
        <w:t xml:space="preserve">years old </w:t>
      </w:r>
      <w:r>
        <w:t>and with varying disease severity. Retrospective subgroup analyses suggested that the efficacy benefits were maintained in children aged 5</w:t>
      </w:r>
      <w:r w:rsidR="00537C9D">
        <w:t xml:space="preserve"> to </w:t>
      </w:r>
      <w:r>
        <w:t>11 and in subjects with more severe disease. However, details of subpopulation of interest were very limited.</w:t>
      </w:r>
    </w:p>
    <w:p w:rsidR="004559F1" w:rsidRDefault="004559F1" w:rsidP="004559F1">
      <w:r>
        <w:t xml:space="preserve">Overall therefore assessment of efficacy must rely on the findings of IA05. This study has shown a modest efficacy benefit for </w:t>
      </w:r>
      <w:proofErr w:type="spellStart"/>
      <w:r w:rsidR="005A1D2B">
        <w:t>omalizumab</w:t>
      </w:r>
      <w:proofErr w:type="spellEnd"/>
      <w:r w:rsidR="005A1D2B">
        <w:t xml:space="preserve"> (</w:t>
      </w:r>
      <w:proofErr w:type="spellStart"/>
      <w:r w:rsidR="005A1D2B">
        <w:t>rch</w:t>
      </w:r>
      <w:proofErr w:type="spellEnd"/>
      <w:r w:rsidR="005A1D2B">
        <w:t>)</w:t>
      </w:r>
      <w:r>
        <w:t xml:space="preserve"> over placebo, limited to a reduction in the frequency of exacerbations. This benefit was demonstrated for the whole study population and for the subpopulation with severe disease.</w:t>
      </w:r>
    </w:p>
    <w:p w:rsidR="004559F1" w:rsidRDefault="00537C9D" w:rsidP="004559F1">
      <w:r>
        <w:t>T</w:t>
      </w:r>
      <w:r w:rsidR="004559F1">
        <w:t xml:space="preserve">he submission </w:t>
      </w:r>
      <w:r>
        <w:t xml:space="preserve">also </w:t>
      </w:r>
      <w:r w:rsidR="004559F1">
        <w:t>presented analyses of efficacy for another subpopulation in IA05</w:t>
      </w:r>
      <w:r>
        <w:t>;</w:t>
      </w:r>
      <w:r w:rsidR="004559F1">
        <w:t xml:space="preserve"> the </w:t>
      </w:r>
      <w:r>
        <w:t>European Union (</w:t>
      </w:r>
      <w:r w:rsidR="004559F1">
        <w:t>EU</w:t>
      </w:r>
      <w:r>
        <w:t>) modified Intent-to-Treat (</w:t>
      </w:r>
      <w:proofErr w:type="spellStart"/>
      <w:r w:rsidR="004559F1">
        <w:t>mITT</w:t>
      </w:r>
      <w:proofErr w:type="spellEnd"/>
      <w:r>
        <w:t>)</w:t>
      </w:r>
      <w:r w:rsidR="004559F1">
        <w:t xml:space="preserve"> subpopulation, defined as those patients requiring high dose ICS </w:t>
      </w:r>
      <w:r w:rsidR="004559F1" w:rsidRPr="00537C9D">
        <w:rPr>
          <w:i/>
        </w:rPr>
        <w:t>plus</w:t>
      </w:r>
      <w:r w:rsidR="004559F1">
        <w:t xml:space="preserve"> LABA at baseline. This is the patient population that has been approved in Europe but is </w:t>
      </w:r>
      <w:r w:rsidR="004559F1" w:rsidRPr="00537C9D">
        <w:rPr>
          <w:i/>
        </w:rPr>
        <w:t>not</w:t>
      </w:r>
      <w:r w:rsidR="004559F1">
        <w:t xml:space="preserve"> the indication currently being sought in Australia. The efficacy benefits observed in the EU </w:t>
      </w:r>
      <w:proofErr w:type="spellStart"/>
      <w:r w:rsidR="004559F1">
        <w:t>mITT</w:t>
      </w:r>
      <w:proofErr w:type="spellEnd"/>
      <w:r w:rsidR="004559F1">
        <w:t xml:space="preserve"> population were comparable to those observed for the whole population in IA05.</w:t>
      </w:r>
    </w:p>
    <w:p w:rsidR="008E7846" w:rsidRPr="002E238E" w:rsidRDefault="008E7846" w:rsidP="008E7846">
      <w:pPr>
        <w:pStyle w:val="Heading3"/>
      </w:pPr>
      <w:bookmarkStart w:id="94" w:name="_Toc163441378"/>
      <w:bookmarkStart w:id="95" w:name="_Toc196046495"/>
      <w:bookmarkStart w:id="96" w:name="_Toc247691522"/>
      <w:bookmarkStart w:id="97" w:name="_Toc314842505"/>
      <w:bookmarkStart w:id="98" w:name="_Toc454447846"/>
      <w:bookmarkEnd w:id="82"/>
      <w:bookmarkEnd w:id="83"/>
      <w:bookmarkEnd w:id="84"/>
      <w:bookmarkEnd w:id="85"/>
      <w:r w:rsidRPr="002E238E">
        <w:t>Safety</w:t>
      </w:r>
      <w:bookmarkEnd w:id="94"/>
      <w:bookmarkEnd w:id="95"/>
      <w:bookmarkEnd w:id="96"/>
      <w:bookmarkEnd w:id="97"/>
      <w:bookmarkEnd w:id="98"/>
    </w:p>
    <w:p w:rsidR="00605AD4" w:rsidRPr="00537C9D" w:rsidRDefault="00605AD4" w:rsidP="00537C9D">
      <w:pPr>
        <w:pStyle w:val="Heading4"/>
      </w:pPr>
      <w:bookmarkStart w:id="99" w:name="_Toc247691524"/>
      <w:bookmarkStart w:id="100" w:name="_Toc314842508"/>
      <w:bookmarkStart w:id="101" w:name="_Toc196046504"/>
      <w:bookmarkStart w:id="102" w:name="_Toc163441390"/>
      <w:r w:rsidRPr="00605AD4">
        <w:t>Studies providing safety data</w:t>
      </w:r>
    </w:p>
    <w:p w:rsidR="004559F1" w:rsidRDefault="004559F1" w:rsidP="004559F1">
      <w:bookmarkStart w:id="103" w:name="_Ref268776745"/>
      <w:r>
        <w:t xml:space="preserve">In the </w:t>
      </w:r>
      <w:r w:rsidR="00537C9D">
        <w:t xml:space="preserve">sponsor’s </w:t>
      </w:r>
      <w:r>
        <w:t>Summary of Clinical Safety, the sponsor presented pooled analyses of safety for children aged 6 to &lt; 12 years. Analyses of various pooled populations were presented. The two analysis populations that are considered the most relevant to the current evaluation were:</w:t>
      </w:r>
    </w:p>
    <w:p w:rsidR="004559F1" w:rsidRDefault="004559F1" w:rsidP="00537C9D">
      <w:pPr>
        <w:pStyle w:val="ListBullet"/>
      </w:pPr>
      <w:r>
        <w:t>The allergic asthma placebo</w:t>
      </w:r>
      <w:r w:rsidR="00537C9D">
        <w:t xml:space="preserve"> </w:t>
      </w:r>
      <w:r>
        <w:t>controlled (</w:t>
      </w:r>
      <w:r w:rsidRPr="00537C9D">
        <w:rPr>
          <w:i/>
        </w:rPr>
        <w:t>AAP</w:t>
      </w:r>
      <w:r>
        <w:t>) population, which included subjects aged 6 to &lt; 12 who received treatment in one of the two double blind placebo</w:t>
      </w:r>
      <w:r w:rsidR="00537C9D">
        <w:t xml:space="preserve"> </w:t>
      </w:r>
      <w:r>
        <w:t>controlled studies (IA05 or 010);</w:t>
      </w:r>
    </w:p>
    <w:p w:rsidR="004559F1" w:rsidRDefault="004559F1" w:rsidP="00537C9D">
      <w:pPr>
        <w:pStyle w:val="ListBullet"/>
      </w:pPr>
      <w:r>
        <w:t>The allergic asthma open</w:t>
      </w:r>
      <w:r w:rsidR="00537C9D">
        <w:t xml:space="preserve"> </w:t>
      </w:r>
      <w:r>
        <w:t>label (</w:t>
      </w:r>
      <w:r w:rsidRPr="00537C9D">
        <w:rPr>
          <w:i/>
        </w:rPr>
        <w:t>AAO</w:t>
      </w:r>
      <w:r>
        <w:t>) population, which included subjects aged 6 to &lt;</w:t>
      </w:r>
      <w:r w:rsidR="00537C9D">
        <w:t> </w:t>
      </w:r>
      <w:r>
        <w:t xml:space="preserve">12 who received treatment in one of seven open-label or uncontrolled trials. These trials are </w:t>
      </w:r>
      <w:r w:rsidRPr="00951939">
        <w:t xml:space="preserve">listed in </w:t>
      </w:r>
      <w:r w:rsidR="00ED482A">
        <w:t>Table 8</w:t>
      </w:r>
      <w:r w:rsidRPr="00951939">
        <w:t>. One of these</w:t>
      </w:r>
      <w:r>
        <w:t xml:space="preserve"> (Q2143g or ALTO) was a large </w:t>
      </w:r>
      <w:r w:rsidR="00537C9D">
        <w:t>P</w:t>
      </w:r>
      <w:r>
        <w:t xml:space="preserve">hase </w:t>
      </w:r>
      <w:r w:rsidR="00537C9D">
        <w:t>III</w:t>
      </w:r>
      <w:r>
        <w:t xml:space="preserve"> comparison of </w:t>
      </w:r>
      <w:proofErr w:type="spellStart"/>
      <w:r w:rsidR="005A1D2B">
        <w:t>omalizumab</w:t>
      </w:r>
      <w:proofErr w:type="spellEnd"/>
      <w:r w:rsidR="005A1D2B">
        <w:t xml:space="preserve"> (</w:t>
      </w:r>
      <w:proofErr w:type="spellStart"/>
      <w:r w:rsidR="005A1D2B">
        <w:t>rch</w:t>
      </w:r>
      <w:proofErr w:type="spellEnd"/>
      <w:r w:rsidR="005A1D2B">
        <w:t>)</w:t>
      </w:r>
      <w:r>
        <w:t xml:space="preserve"> against current best practice asthma treatment. It enrolled over 11,000 subjects but included only 128 subjects aged 6 to &lt; 12 years. The other studies were uncontrolled. Studies 010E, Q2143g, Q2195g and Q2461g have previously been evaluated by the TGA.</w:t>
      </w:r>
    </w:p>
    <w:p w:rsidR="00124F86" w:rsidRDefault="00124F86" w:rsidP="00124F86">
      <w:pPr>
        <w:pStyle w:val="TableTitle"/>
      </w:pPr>
      <w:bookmarkStart w:id="104" w:name="_Ref291337665"/>
      <w:bookmarkStart w:id="105" w:name="_Toc292121229"/>
      <w:r>
        <w:lastRenderedPageBreak/>
        <w:t xml:space="preserve">Table </w:t>
      </w:r>
      <w:bookmarkEnd w:id="104"/>
      <w:r w:rsidR="00DF2F1F">
        <w:t>8:</w:t>
      </w:r>
      <w:r>
        <w:t xml:space="preserve"> Studies included in the AAO safety population</w:t>
      </w:r>
      <w:bookmarkEnd w:id="105"/>
    </w:p>
    <w:p w:rsidR="00124F86" w:rsidRDefault="00124F86" w:rsidP="00DF2F1F">
      <w:r>
        <w:rPr>
          <w:noProof/>
          <w:lang w:eastAsia="en-AU"/>
        </w:rPr>
        <w:drawing>
          <wp:inline distT="0" distB="0" distL="0" distR="0" wp14:anchorId="7263BE0F" wp14:editId="777F2AF9">
            <wp:extent cx="4853940" cy="3246331"/>
            <wp:effectExtent l="0" t="0" r="3810" b="0"/>
            <wp:docPr id="24" name="Picture 24" descr="Table 8: Studies included in the AAO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53517" cy="3246048"/>
                    </a:xfrm>
                    <a:prstGeom prst="rect">
                      <a:avLst/>
                    </a:prstGeom>
                  </pic:spPr>
                </pic:pic>
              </a:graphicData>
            </a:graphic>
          </wp:inline>
        </w:drawing>
      </w:r>
    </w:p>
    <w:p w:rsidR="004559F1" w:rsidRDefault="004559F1" w:rsidP="00537C9D">
      <w:pPr>
        <w:pStyle w:val="Heading5"/>
      </w:pPr>
      <w:r>
        <w:t>Placebo</w:t>
      </w:r>
      <w:r w:rsidR="00537C9D">
        <w:t xml:space="preserve"> </w:t>
      </w:r>
      <w:r>
        <w:t>controlled studies</w:t>
      </w:r>
      <w:bookmarkEnd w:id="103"/>
    </w:p>
    <w:p w:rsidR="004559F1" w:rsidRDefault="004559F1" w:rsidP="004559F1">
      <w:r>
        <w:t>In the two placebo</w:t>
      </w:r>
      <w:r w:rsidR="00537C9D">
        <w:t xml:space="preserve"> </w:t>
      </w:r>
      <w:r>
        <w:t>controlled efficacy studies, the following safety data were collected:</w:t>
      </w:r>
    </w:p>
    <w:p w:rsidR="004559F1" w:rsidRDefault="004559F1" w:rsidP="00E24628">
      <w:pPr>
        <w:pStyle w:val="ListBullet"/>
      </w:pPr>
      <w:r>
        <w:t>General adverse events (AEs) were assessed at each study visit. AEs could be volunteered by the patient or discovered by the investigator on general questioning, physical examination or by laboratory testing. AEs were graded as mild, moderate or severe. AEs were coded using Medical Dictionary for Regulatory Affairs (</w:t>
      </w:r>
      <w:proofErr w:type="spellStart"/>
      <w:r>
        <w:t>MedDRA</w:t>
      </w:r>
      <w:proofErr w:type="spellEnd"/>
      <w:r>
        <w:t>) terminology.</w:t>
      </w:r>
    </w:p>
    <w:p w:rsidR="004559F1" w:rsidRDefault="004559F1" w:rsidP="00537C9D">
      <w:pPr>
        <w:pStyle w:val="ListBullet"/>
      </w:pPr>
      <w:r>
        <w:t>AEs of special interest were:</w:t>
      </w:r>
    </w:p>
    <w:p w:rsidR="004559F1" w:rsidRDefault="004559F1" w:rsidP="00E24628">
      <w:pPr>
        <w:pStyle w:val="ListBullet2"/>
      </w:pPr>
      <w:r>
        <w:t>Serum sickness syndrome;</w:t>
      </w:r>
    </w:p>
    <w:p w:rsidR="004559F1" w:rsidRDefault="004559F1" w:rsidP="00537C9D">
      <w:pPr>
        <w:pStyle w:val="ListBullet2"/>
      </w:pPr>
      <w:r>
        <w:t xml:space="preserve">Skin rash and </w:t>
      </w:r>
      <w:proofErr w:type="spellStart"/>
      <w:r>
        <w:t>urticaria</w:t>
      </w:r>
      <w:proofErr w:type="spellEnd"/>
      <w:r>
        <w:t>;</w:t>
      </w:r>
    </w:p>
    <w:p w:rsidR="004559F1" w:rsidRDefault="004559F1" w:rsidP="00537C9D">
      <w:pPr>
        <w:pStyle w:val="ListBullet2"/>
      </w:pPr>
      <w:r>
        <w:t>Hypersensitivity reactions</w:t>
      </w:r>
    </w:p>
    <w:p w:rsidR="004559F1" w:rsidRDefault="004559F1" w:rsidP="00537C9D">
      <w:pPr>
        <w:pStyle w:val="ListBullet2"/>
      </w:pPr>
      <w:r>
        <w:t>Anaphylaxis;</w:t>
      </w:r>
    </w:p>
    <w:p w:rsidR="004559F1" w:rsidRDefault="004559F1" w:rsidP="00537C9D">
      <w:pPr>
        <w:pStyle w:val="ListBullet2"/>
      </w:pPr>
      <w:r>
        <w:t>Bleeding related disorders;</w:t>
      </w:r>
    </w:p>
    <w:p w:rsidR="004559F1" w:rsidRDefault="004559F1" w:rsidP="00537C9D">
      <w:pPr>
        <w:pStyle w:val="ListBullet2"/>
      </w:pPr>
      <w:r>
        <w:t>Malignancies;</w:t>
      </w:r>
    </w:p>
    <w:p w:rsidR="004559F1" w:rsidRDefault="004559F1" w:rsidP="00537C9D">
      <w:pPr>
        <w:pStyle w:val="ListBullet2"/>
      </w:pPr>
      <w:r>
        <w:t>Injection site reactions.</w:t>
      </w:r>
    </w:p>
    <w:p w:rsidR="004559F1" w:rsidRDefault="004559F1" w:rsidP="00537C9D">
      <w:pPr>
        <w:pStyle w:val="ListBullet"/>
      </w:pPr>
      <w:r>
        <w:t>Vital signs were measured at regular intervals</w:t>
      </w:r>
    </w:p>
    <w:p w:rsidR="004559F1" w:rsidRDefault="004559F1" w:rsidP="00537C9D">
      <w:pPr>
        <w:pStyle w:val="ListBullet"/>
      </w:pPr>
      <w:r>
        <w:t>Physical examination was conducted at regular intervals</w:t>
      </w:r>
    </w:p>
    <w:p w:rsidR="004559F1" w:rsidRDefault="004559F1" w:rsidP="00537C9D">
      <w:pPr>
        <w:pStyle w:val="ListBullet"/>
      </w:pPr>
      <w:r>
        <w:t>Laboratory tests, including the following, were performed at regular intervals:</w:t>
      </w:r>
    </w:p>
    <w:p w:rsidR="004559F1" w:rsidRDefault="004559F1" w:rsidP="00E24628">
      <w:pPr>
        <w:pStyle w:val="ListBullet2"/>
      </w:pPr>
      <w:r>
        <w:t xml:space="preserve">Full blood count (haemoglobin, haematocrit, </w:t>
      </w:r>
      <w:r w:rsidR="00537C9D">
        <w:t>red blood cell (</w:t>
      </w:r>
      <w:r>
        <w:t>RBC</w:t>
      </w:r>
      <w:r w:rsidR="00537C9D">
        <w:t>)</w:t>
      </w:r>
      <w:r>
        <w:t xml:space="preserve">, </w:t>
      </w:r>
      <w:r w:rsidR="00537C9D">
        <w:t>white blood cell (</w:t>
      </w:r>
      <w:r>
        <w:t>WBC</w:t>
      </w:r>
      <w:r w:rsidR="00537C9D">
        <w:t>)</w:t>
      </w:r>
      <w:r>
        <w:t xml:space="preserve"> with differential, platelet count);</w:t>
      </w:r>
    </w:p>
    <w:p w:rsidR="004559F1" w:rsidRDefault="004559F1" w:rsidP="00537C9D">
      <w:pPr>
        <w:pStyle w:val="ListBullet2"/>
      </w:pPr>
      <w:r>
        <w:t>Biochemistry (serum sodium, serum potassium, serum glucose, creatinine</w:t>
      </w:r>
      <w:r w:rsidRPr="00537C9D">
        <w:t xml:space="preserve">, </w:t>
      </w:r>
      <w:r w:rsidR="00537C9D" w:rsidRPr="00537C9D">
        <w:t>blood urea nitrogen (</w:t>
      </w:r>
      <w:r w:rsidRPr="00537C9D">
        <w:t>BUN</w:t>
      </w:r>
      <w:r w:rsidR="00537C9D" w:rsidRPr="00537C9D">
        <w:t>)</w:t>
      </w:r>
      <w:r w:rsidRPr="00537C9D">
        <w:t xml:space="preserve">, uric acid, protein, albumin, calcium, total bilirubin, </w:t>
      </w:r>
      <w:r w:rsidR="00537C9D" w:rsidRPr="00537C9D">
        <w:t>aspartate</w:t>
      </w:r>
      <w:r w:rsidR="00537C9D">
        <w:t xml:space="preserve"> aminotransferase (</w:t>
      </w:r>
      <w:r>
        <w:t>AST</w:t>
      </w:r>
      <w:r w:rsidR="00537C9D">
        <w:t>)</w:t>
      </w:r>
      <w:r>
        <w:t xml:space="preserve">, </w:t>
      </w:r>
      <w:r w:rsidR="00537C9D">
        <w:t>alanine aminotransferase (</w:t>
      </w:r>
      <w:r>
        <w:t>ALT</w:t>
      </w:r>
      <w:r w:rsidR="00537C9D">
        <w:t>)</w:t>
      </w:r>
      <w:r>
        <w:t>, alkaline phosphatase);</w:t>
      </w:r>
    </w:p>
    <w:p w:rsidR="004559F1" w:rsidRDefault="004559F1" w:rsidP="00537C9D">
      <w:pPr>
        <w:pStyle w:val="ListBullet2"/>
      </w:pPr>
      <w:r>
        <w:t>Urinalysis.</w:t>
      </w:r>
    </w:p>
    <w:p w:rsidR="004559F1" w:rsidRDefault="004559F1" w:rsidP="00537C9D">
      <w:pPr>
        <w:pStyle w:val="Heading5"/>
      </w:pPr>
      <w:r>
        <w:lastRenderedPageBreak/>
        <w:t>Open</w:t>
      </w:r>
      <w:r w:rsidR="00537C9D">
        <w:t xml:space="preserve"> </w:t>
      </w:r>
      <w:r>
        <w:t>label studies</w:t>
      </w:r>
    </w:p>
    <w:p w:rsidR="004559F1" w:rsidRDefault="004559F1" w:rsidP="004559F1">
      <w:r>
        <w:t>Safety monitoring in the open</w:t>
      </w:r>
      <w:r w:rsidR="00537C9D">
        <w:t xml:space="preserve"> </w:t>
      </w:r>
      <w:r>
        <w:t>label studies was generally similar to that undertaken in the placebo</w:t>
      </w:r>
      <w:r w:rsidR="00537C9D">
        <w:t xml:space="preserve"> </w:t>
      </w:r>
      <w:r>
        <w:t>controlled studies.</w:t>
      </w:r>
    </w:p>
    <w:p w:rsidR="004559F1" w:rsidRDefault="004559F1" w:rsidP="00537C9D">
      <w:pPr>
        <w:pStyle w:val="Heading5"/>
      </w:pPr>
      <w:bookmarkStart w:id="106" w:name="_Ref269204367"/>
      <w:bookmarkStart w:id="107" w:name="_Toc292121131"/>
      <w:bookmarkStart w:id="108" w:name="_Toc290846285"/>
      <w:bookmarkStart w:id="109" w:name="_Toc272414660"/>
      <w:bookmarkStart w:id="110" w:name="_Ref271195841"/>
      <w:bookmarkStart w:id="111" w:name="_Ref271195835"/>
      <w:r>
        <w:t>Pivotal studies that assessed safety as a primary outcome</w:t>
      </w:r>
      <w:bookmarkEnd w:id="106"/>
      <w:bookmarkEnd w:id="107"/>
      <w:bookmarkEnd w:id="108"/>
      <w:bookmarkEnd w:id="109"/>
      <w:bookmarkEnd w:id="110"/>
      <w:bookmarkEnd w:id="111"/>
    </w:p>
    <w:p w:rsidR="004559F1" w:rsidRPr="00863197" w:rsidRDefault="004559F1" w:rsidP="004559F1">
      <w:r>
        <w:t xml:space="preserve">The primary outcome variables for </w:t>
      </w:r>
      <w:r w:rsidR="00537C9D">
        <w:t>S</w:t>
      </w:r>
      <w:r>
        <w:t xml:space="preserve">tudy 010 were related to safety and tolerability. The safety findings from this study are </w:t>
      </w:r>
      <w:r w:rsidRPr="00863197">
        <w:t>described as part of the pooled AAP population.</w:t>
      </w:r>
    </w:p>
    <w:p w:rsidR="00605AD4" w:rsidRPr="00863197" w:rsidRDefault="00605AD4" w:rsidP="00537C9D">
      <w:pPr>
        <w:pStyle w:val="Heading4"/>
      </w:pPr>
      <w:r w:rsidRPr="00863197">
        <w:t>Patient exposure</w:t>
      </w:r>
    </w:p>
    <w:p w:rsidR="00E24628" w:rsidRDefault="004559F1" w:rsidP="004559F1">
      <w:pPr>
        <w:autoSpaceDE w:val="0"/>
        <w:autoSpaceDN w:val="0"/>
        <w:adjustRightInd w:val="0"/>
      </w:pPr>
      <w:r w:rsidRPr="00863197">
        <w:t xml:space="preserve">In the AAP population, 624 subjects were treated with </w:t>
      </w:r>
      <w:proofErr w:type="spellStart"/>
      <w:r w:rsidR="005A1D2B">
        <w:t>omalizumab</w:t>
      </w:r>
      <w:proofErr w:type="spellEnd"/>
      <w:r w:rsidR="005A1D2B">
        <w:t xml:space="preserve"> (</w:t>
      </w:r>
      <w:proofErr w:type="spellStart"/>
      <w:r w:rsidR="005A1D2B">
        <w:t>rch</w:t>
      </w:r>
      <w:proofErr w:type="spellEnd"/>
      <w:r w:rsidR="005A1D2B">
        <w:t>)</w:t>
      </w:r>
      <w:r w:rsidRPr="00863197">
        <w:t xml:space="preserve"> and 302 with placebo. In the AAO population 407 subjects received </w:t>
      </w:r>
      <w:proofErr w:type="spellStart"/>
      <w:r w:rsidR="005A1D2B">
        <w:t>omalizumab</w:t>
      </w:r>
      <w:proofErr w:type="spellEnd"/>
      <w:r w:rsidR="005A1D2B">
        <w:t xml:space="preserve"> (</w:t>
      </w:r>
      <w:proofErr w:type="spellStart"/>
      <w:r w:rsidR="005A1D2B">
        <w:t>rch</w:t>
      </w:r>
      <w:proofErr w:type="spellEnd"/>
      <w:r w:rsidR="005A1D2B">
        <w:t>)</w:t>
      </w:r>
      <w:r w:rsidR="00E24628">
        <w:t>.</w:t>
      </w:r>
    </w:p>
    <w:p w:rsidR="004559F1" w:rsidRDefault="004559F1" w:rsidP="004559F1">
      <w:pPr>
        <w:autoSpaceDE w:val="0"/>
        <w:autoSpaceDN w:val="0"/>
        <w:adjustRightInd w:val="0"/>
      </w:pPr>
      <w:r w:rsidRPr="00DF2F1F">
        <w:t xml:space="preserve">Duration of exposure for the AAP population is summarised in </w:t>
      </w:r>
      <w:r w:rsidR="00951939">
        <w:t>Table 9</w:t>
      </w:r>
      <w:r w:rsidRPr="00DF2F1F">
        <w:t xml:space="preserve">. Duration was comparable in the </w:t>
      </w:r>
      <w:proofErr w:type="spellStart"/>
      <w:r w:rsidR="005A1D2B">
        <w:t>omalizumab</w:t>
      </w:r>
      <w:proofErr w:type="spellEnd"/>
      <w:r w:rsidR="005A1D2B">
        <w:t xml:space="preserve"> (</w:t>
      </w:r>
      <w:proofErr w:type="spellStart"/>
      <w:r w:rsidR="005A1D2B">
        <w:t>rch</w:t>
      </w:r>
      <w:proofErr w:type="spellEnd"/>
      <w:r w:rsidR="005A1D2B">
        <w:t>)</w:t>
      </w:r>
      <w:r w:rsidRPr="00DF2F1F">
        <w:t xml:space="preserve"> and placebo arms, with a mean of approximately 42 weeks. Duration of exposure for the AAO population is summarised in </w:t>
      </w:r>
      <w:r w:rsidR="00951939">
        <w:t>Table 10</w:t>
      </w:r>
      <w:r w:rsidRPr="00DF2F1F">
        <w:t xml:space="preserve">. Mean exposure to </w:t>
      </w:r>
      <w:proofErr w:type="spellStart"/>
      <w:r w:rsidR="005A1D2B">
        <w:t>omalizumab</w:t>
      </w:r>
      <w:proofErr w:type="spellEnd"/>
      <w:r w:rsidR="005A1D2B">
        <w:t xml:space="preserve"> (</w:t>
      </w:r>
      <w:proofErr w:type="spellStart"/>
      <w:r w:rsidR="005A1D2B">
        <w:t>rch</w:t>
      </w:r>
      <w:proofErr w:type="spellEnd"/>
      <w:r w:rsidR="005A1D2B">
        <w:t>)</w:t>
      </w:r>
      <w:r w:rsidRPr="00DF2F1F">
        <w:t xml:space="preserve"> was 104 weeks, reflecting the fact that many of the studies were long-term extension studies.</w:t>
      </w:r>
    </w:p>
    <w:p w:rsidR="00124F86" w:rsidRDefault="00124F86" w:rsidP="00DF2F1F">
      <w:pPr>
        <w:pStyle w:val="TableTitle"/>
      </w:pPr>
      <w:bookmarkStart w:id="112" w:name="_Ref291341004"/>
      <w:bookmarkStart w:id="113" w:name="_Toc292121230"/>
      <w:r>
        <w:t xml:space="preserve">Table </w:t>
      </w:r>
      <w:r w:rsidR="00DF2F1F">
        <w:t>9:</w:t>
      </w:r>
      <w:bookmarkEnd w:id="112"/>
      <w:r>
        <w:t xml:space="preserve"> Duration of exposure AAP population</w:t>
      </w:r>
      <w:bookmarkEnd w:id="113"/>
    </w:p>
    <w:p w:rsidR="00124F86" w:rsidRDefault="00124F86" w:rsidP="00863197">
      <w:pPr>
        <w:tabs>
          <w:tab w:val="left" w:pos="720"/>
        </w:tabs>
      </w:pPr>
      <w:r>
        <w:rPr>
          <w:noProof/>
          <w:lang w:eastAsia="en-AU"/>
        </w:rPr>
        <w:drawing>
          <wp:inline distT="0" distB="0" distL="0" distR="0" wp14:anchorId="64A09774" wp14:editId="7FDF26DC">
            <wp:extent cx="4137660" cy="2109660"/>
            <wp:effectExtent l="0" t="0" r="0" b="5080"/>
            <wp:docPr id="25" name="Picture 25" descr="Table 9: Duration of exposure AA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t="2122" b="-1"/>
                    <a:stretch/>
                  </pic:blipFill>
                  <pic:spPr bwMode="auto">
                    <a:xfrm>
                      <a:off x="0" y="0"/>
                      <a:ext cx="4137660" cy="2109660"/>
                    </a:xfrm>
                    <a:prstGeom prst="rect">
                      <a:avLst/>
                    </a:prstGeom>
                    <a:noFill/>
                    <a:ln>
                      <a:noFill/>
                    </a:ln>
                    <a:extLst>
                      <a:ext uri="{53640926-AAD7-44D8-BBD7-CCE9431645EC}">
                        <a14:shadowObscured xmlns:a14="http://schemas.microsoft.com/office/drawing/2010/main"/>
                      </a:ext>
                    </a:extLst>
                  </pic:spPr>
                </pic:pic>
              </a:graphicData>
            </a:graphic>
          </wp:inline>
        </w:drawing>
      </w:r>
    </w:p>
    <w:p w:rsidR="00124F86" w:rsidRDefault="00124F86" w:rsidP="00DF2F1F">
      <w:pPr>
        <w:pStyle w:val="TableTitle"/>
      </w:pPr>
      <w:bookmarkStart w:id="114" w:name="_Ref291341169"/>
      <w:bookmarkStart w:id="115" w:name="_Toc292121231"/>
      <w:r>
        <w:lastRenderedPageBreak/>
        <w:t xml:space="preserve">Table </w:t>
      </w:r>
      <w:r w:rsidR="00DF2F1F">
        <w:t>10</w:t>
      </w:r>
      <w:bookmarkEnd w:id="114"/>
      <w:r w:rsidR="00DF2F1F">
        <w:t xml:space="preserve">: </w:t>
      </w:r>
      <w:r>
        <w:t>Duration of exposure AAO population</w:t>
      </w:r>
      <w:bookmarkEnd w:id="115"/>
    </w:p>
    <w:p w:rsidR="00124F86" w:rsidRDefault="00124F86" w:rsidP="00124F86">
      <w:pPr>
        <w:tabs>
          <w:tab w:val="left" w:pos="720"/>
        </w:tabs>
      </w:pPr>
      <w:r>
        <w:rPr>
          <w:noProof/>
          <w:lang w:eastAsia="en-AU"/>
        </w:rPr>
        <w:drawing>
          <wp:inline distT="0" distB="0" distL="0" distR="0" wp14:anchorId="2EE2D171" wp14:editId="4E8997C5">
            <wp:extent cx="4381500" cy="3322065"/>
            <wp:effectExtent l="0" t="0" r="0" b="0"/>
            <wp:docPr id="26" name="Picture 26" descr="Table 10: Duration of exposure AAO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357"/>
                    <a:stretch/>
                  </pic:blipFill>
                  <pic:spPr bwMode="auto">
                    <a:xfrm>
                      <a:off x="0" y="0"/>
                      <a:ext cx="4383549" cy="3323619"/>
                    </a:xfrm>
                    <a:prstGeom prst="rect">
                      <a:avLst/>
                    </a:prstGeom>
                    <a:noFill/>
                    <a:ln>
                      <a:noFill/>
                    </a:ln>
                    <a:extLst>
                      <a:ext uri="{53640926-AAD7-44D8-BBD7-CCE9431645EC}">
                        <a14:shadowObscured xmlns:a14="http://schemas.microsoft.com/office/drawing/2010/main"/>
                      </a:ext>
                    </a:extLst>
                  </pic:spPr>
                </pic:pic>
              </a:graphicData>
            </a:graphic>
          </wp:inline>
        </w:drawing>
      </w:r>
    </w:p>
    <w:p w:rsidR="00605AD4" w:rsidRDefault="00605AD4" w:rsidP="00537C9D">
      <w:pPr>
        <w:pStyle w:val="Heading4"/>
      </w:pPr>
      <w:r w:rsidRPr="00605AD4">
        <w:t>Safety issues with the potential for major regulatory impact</w:t>
      </w:r>
    </w:p>
    <w:p w:rsidR="004559F1" w:rsidRDefault="004559F1" w:rsidP="00537C9D">
      <w:pPr>
        <w:pStyle w:val="Heading5"/>
      </w:pPr>
      <w:bookmarkStart w:id="116" w:name="_Toc292121149"/>
      <w:bookmarkStart w:id="117" w:name="_Toc290846319"/>
      <w:bookmarkStart w:id="118" w:name="_Toc272414681"/>
      <w:r>
        <w:t>Liver toxicity</w:t>
      </w:r>
      <w:bookmarkEnd w:id="116"/>
      <w:bookmarkEnd w:id="117"/>
      <w:bookmarkEnd w:id="118"/>
    </w:p>
    <w:p w:rsidR="004559F1" w:rsidRDefault="004559F1" w:rsidP="004559F1">
      <w:pPr>
        <w:autoSpaceDE w:val="0"/>
        <w:autoSpaceDN w:val="0"/>
        <w:adjustRightInd w:val="0"/>
      </w:pPr>
      <w:r>
        <w:t>Liver function testi</w:t>
      </w:r>
      <w:r w:rsidR="00537C9D">
        <w:t xml:space="preserve">ng in the placebo </w:t>
      </w:r>
      <w:r>
        <w:t xml:space="preserve">controlled studies did not suggest an increased risk of hepatotoxicity with </w:t>
      </w:r>
      <w:proofErr w:type="spellStart"/>
      <w:r w:rsidR="005A1D2B">
        <w:t>omalizumab</w:t>
      </w:r>
      <w:proofErr w:type="spellEnd"/>
      <w:r w:rsidR="005A1D2B">
        <w:t xml:space="preserve"> (</w:t>
      </w:r>
      <w:proofErr w:type="spellStart"/>
      <w:r w:rsidR="005A1D2B">
        <w:t>rch</w:t>
      </w:r>
      <w:proofErr w:type="spellEnd"/>
      <w:r w:rsidR="005A1D2B">
        <w:t>)</w:t>
      </w:r>
      <w:r>
        <w:t xml:space="preserve"> in children.</w:t>
      </w:r>
    </w:p>
    <w:p w:rsidR="004559F1" w:rsidRDefault="004559F1" w:rsidP="00537C9D">
      <w:pPr>
        <w:pStyle w:val="Heading5"/>
      </w:pPr>
      <w:bookmarkStart w:id="119" w:name="_Toc292121150"/>
      <w:bookmarkStart w:id="120" w:name="_Toc290846320"/>
      <w:bookmarkStart w:id="121" w:name="_Toc272414682"/>
      <w:r>
        <w:t>Haematological toxicity</w:t>
      </w:r>
      <w:bookmarkEnd w:id="119"/>
      <w:bookmarkEnd w:id="120"/>
      <w:bookmarkEnd w:id="121"/>
    </w:p>
    <w:p w:rsidR="004559F1" w:rsidRDefault="004559F1" w:rsidP="004559F1">
      <w:pPr>
        <w:autoSpaceDE w:val="0"/>
        <w:autoSpaceDN w:val="0"/>
        <w:adjustRightInd w:val="0"/>
      </w:pPr>
      <w:r>
        <w:t xml:space="preserve">As described in the current product information, </w:t>
      </w:r>
      <w:proofErr w:type="spellStart"/>
      <w:r w:rsidR="005A1D2B">
        <w:t>omalizumab</w:t>
      </w:r>
      <w:proofErr w:type="spellEnd"/>
      <w:r w:rsidR="005A1D2B">
        <w:t xml:space="preserve"> (</w:t>
      </w:r>
      <w:proofErr w:type="spellStart"/>
      <w:r w:rsidR="005A1D2B">
        <w:t>rch</w:t>
      </w:r>
      <w:proofErr w:type="spellEnd"/>
      <w:r w:rsidR="005A1D2B">
        <w:t>)</w:t>
      </w:r>
      <w:r>
        <w:t xml:space="preserve"> has been associated with the development of </w:t>
      </w:r>
      <w:proofErr w:type="spellStart"/>
      <w:r>
        <w:t>thrombocytopaenia</w:t>
      </w:r>
      <w:proofErr w:type="spellEnd"/>
      <w:r>
        <w:t xml:space="preserve"> non-human primate species, with the risk increased in juvenile animals. In the AAP population, there was a slightly higher incidence of clinically notable </w:t>
      </w:r>
      <w:proofErr w:type="spellStart"/>
      <w:r>
        <w:t>thrombocytopaenia</w:t>
      </w:r>
      <w:proofErr w:type="spellEnd"/>
      <w:r>
        <w:t xml:space="preserve"> with </w:t>
      </w:r>
      <w:proofErr w:type="spellStart"/>
      <w:r w:rsidR="005A1D2B">
        <w:t>omalizumab</w:t>
      </w:r>
      <w:proofErr w:type="spellEnd"/>
      <w:r w:rsidR="005A1D2B">
        <w:t xml:space="preserve"> (</w:t>
      </w:r>
      <w:proofErr w:type="spellStart"/>
      <w:r w:rsidR="005A1D2B">
        <w:t>rch</w:t>
      </w:r>
      <w:proofErr w:type="spellEnd"/>
      <w:r w:rsidR="005A1D2B">
        <w:t>)</w:t>
      </w:r>
      <w:r>
        <w:t xml:space="preserve"> (0.6% </w:t>
      </w:r>
      <w:r w:rsidRPr="00DF2F1F">
        <w:t>v</w:t>
      </w:r>
      <w:r w:rsidR="00537C9D" w:rsidRPr="00DF2F1F">
        <w:t>ersus</w:t>
      </w:r>
      <w:r w:rsidRPr="00DF2F1F">
        <w:t xml:space="preserve"> 0.3%</w:t>
      </w:r>
      <w:r w:rsidR="00DF2F1F" w:rsidRPr="00DF2F1F">
        <w:t>;</w:t>
      </w:r>
      <w:r w:rsidRPr="00DF2F1F">
        <w:t xml:space="preserve"> </w:t>
      </w:r>
      <w:r w:rsidR="00951939">
        <w:t>Table 11</w:t>
      </w:r>
      <w:r w:rsidRPr="00DF2F1F">
        <w:t>).</w:t>
      </w:r>
      <w:r>
        <w:t xml:space="preserve"> However, cases in the </w:t>
      </w:r>
      <w:proofErr w:type="spellStart"/>
      <w:r w:rsidR="005A1D2B">
        <w:t>omalizumab</w:t>
      </w:r>
      <w:proofErr w:type="spellEnd"/>
      <w:r w:rsidR="005A1D2B">
        <w:t xml:space="preserve"> (</w:t>
      </w:r>
      <w:proofErr w:type="spellStart"/>
      <w:r w:rsidR="005A1D2B">
        <w:t>rch</w:t>
      </w:r>
      <w:proofErr w:type="spellEnd"/>
      <w:r w:rsidR="005A1D2B">
        <w:t>)</w:t>
      </w:r>
      <w:r>
        <w:t xml:space="preserve"> group were all transient and not associated with bleeding events.</w:t>
      </w:r>
    </w:p>
    <w:p w:rsidR="004559F1" w:rsidRDefault="004559F1" w:rsidP="004559F1">
      <w:pPr>
        <w:autoSpaceDE w:val="0"/>
        <w:autoSpaceDN w:val="0"/>
        <w:adjustRightInd w:val="0"/>
      </w:pPr>
      <w:r>
        <w:t xml:space="preserve">There was one case of severe </w:t>
      </w:r>
      <w:proofErr w:type="spellStart"/>
      <w:r>
        <w:t>pancytopaenia</w:t>
      </w:r>
      <w:proofErr w:type="spellEnd"/>
      <w:r>
        <w:t xml:space="preserve"> reported with </w:t>
      </w:r>
      <w:proofErr w:type="spellStart"/>
      <w:r w:rsidR="005A1D2B">
        <w:t>omalizumab</w:t>
      </w:r>
      <w:proofErr w:type="spellEnd"/>
      <w:r w:rsidR="005A1D2B">
        <w:t xml:space="preserve"> (</w:t>
      </w:r>
      <w:proofErr w:type="spellStart"/>
      <w:r w:rsidR="005A1D2B">
        <w:t>rch</w:t>
      </w:r>
      <w:proofErr w:type="spellEnd"/>
      <w:r w:rsidR="005A1D2B">
        <w:t>)</w:t>
      </w:r>
      <w:r>
        <w:t xml:space="preserve"> in </w:t>
      </w:r>
      <w:r w:rsidR="00537C9D">
        <w:t>S</w:t>
      </w:r>
      <w:r>
        <w:t>tudy IA05. The sponsor should be asked to provide further details of this case.</w:t>
      </w:r>
    </w:p>
    <w:p w:rsidR="00124F86" w:rsidRDefault="00124F86" w:rsidP="00863197">
      <w:pPr>
        <w:pStyle w:val="TableTitle"/>
      </w:pPr>
      <w:bookmarkStart w:id="122" w:name="_Ref291860082"/>
      <w:bookmarkStart w:id="123" w:name="_Toc292121249"/>
      <w:r>
        <w:lastRenderedPageBreak/>
        <w:t xml:space="preserve">Table </w:t>
      </w:r>
      <w:r w:rsidR="00DF2F1F">
        <w:t>11:</w:t>
      </w:r>
      <w:bookmarkEnd w:id="122"/>
      <w:r>
        <w:t xml:space="preserve"> Abnormalities in haematology parameters AAP population</w:t>
      </w:r>
      <w:bookmarkEnd w:id="123"/>
    </w:p>
    <w:p w:rsidR="00FA00C2" w:rsidRDefault="00124F86" w:rsidP="00FA00C2">
      <w:r>
        <w:rPr>
          <w:noProof/>
          <w:lang w:eastAsia="en-AU"/>
        </w:rPr>
        <w:drawing>
          <wp:inline distT="0" distB="0" distL="0" distR="0" wp14:anchorId="0F90317E" wp14:editId="29C768D8">
            <wp:extent cx="4450080" cy="3113173"/>
            <wp:effectExtent l="0" t="0" r="7620" b="0"/>
            <wp:docPr id="27" name="Picture 27" descr="Table 11: Abnormalities in haematology parameters AA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0080" cy="3113173"/>
                    </a:xfrm>
                    <a:prstGeom prst="rect">
                      <a:avLst/>
                    </a:prstGeom>
                    <a:noFill/>
                    <a:ln>
                      <a:noFill/>
                    </a:ln>
                  </pic:spPr>
                </pic:pic>
              </a:graphicData>
            </a:graphic>
          </wp:inline>
        </w:drawing>
      </w:r>
      <w:bookmarkStart w:id="124" w:name="_Toc292121151"/>
      <w:bookmarkStart w:id="125" w:name="_Toc290846321"/>
      <w:bookmarkStart w:id="126" w:name="_Toc272414683"/>
    </w:p>
    <w:p w:rsidR="004559F1" w:rsidRDefault="004559F1" w:rsidP="00FA00C2">
      <w:pPr>
        <w:pStyle w:val="Heading5"/>
      </w:pPr>
      <w:r>
        <w:t>Serious skin reactions</w:t>
      </w:r>
      <w:bookmarkEnd w:id="124"/>
      <w:bookmarkEnd w:id="125"/>
      <w:bookmarkEnd w:id="126"/>
    </w:p>
    <w:p w:rsidR="004559F1" w:rsidRDefault="004559F1" w:rsidP="004559F1">
      <w:pPr>
        <w:autoSpaceDE w:val="0"/>
        <w:autoSpaceDN w:val="0"/>
        <w:adjustRightInd w:val="0"/>
      </w:pPr>
      <w:r>
        <w:t>None of the serious AEs reported in the AAP or AAO populations were dermatological in nature.</w:t>
      </w:r>
    </w:p>
    <w:p w:rsidR="004559F1" w:rsidRDefault="004559F1" w:rsidP="00537C9D">
      <w:pPr>
        <w:pStyle w:val="Heading5"/>
      </w:pPr>
      <w:bookmarkStart w:id="127" w:name="_Toc292121152"/>
      <w:bookmarkStart w:id="128" w:name="_Toc290846322"/>
      <w:bookmarkStart w:id="129" w:name="_Toc272414684"/>
      <w:r>
        <w:t>Cardiovascular safety</w:t>
      </w:r>
      <w:bookmarkEnd w:id="127"/>
      <w:bookmarkEnd w:id="128"/>
      <w:bookmarkEnd w:id="129"/>
    </w:p>
    <w:p w:rsidR="004559F1" w:rsidRDefault="004559F1" w:rsidP="004559F1">
      <w:pPr>
        <w:autoSpaceDE w:val="0"/>
        <w:autoSpaceDN w:val="0"/>
        <w:adjustRightInd w:val="0"/>
      </w:pPr>
      <w:r>
        <w:t xml:space="preserve">In the AAP population there was no notable increase in the incidence of cardiovascular AEs in the </w:t>
      </w:r>
      <w:proofErr w:type="spellStart"/>
      <w:r w:rsidR="005A1D2B">
        <w:t>omalizumab</w:t>
      </w:r>
      <w:proofErr w:type="spellEnd"/>
      <w:r w:rsidR="005A1D2B">
        <w:t xml:space="preserve"> (</w:t>
      </w:r>
      <w:proofErr w:type="spellStart"/>
      <w:r w:rsidR="005A1D2B">
        <w:t>rch</w:t>
      </w:r>
      <w:proofErr w:type="spellEnd"/>
      <w:r w:rsidR="005A1D2B">
        <w:t>)</w:t>
      </w:r>
      <w:r>
        <w:t xml:space="preserve"> group.</w:t>
      </w:r>
    </w:p>
    <w:p w:rsidR="004559F1" w:rsidRDefault="004559F1" w:rsidP="00537C9D">
      <w:pPr>
        <w:pStyle w:val="Heading5"/>
      </w:pPr>
      <w:bookmarkStart w:id="130" w:name="_Toc292121153"/>
      <w:bookmarkStart w:id="131" w:name="_Toc290846323"/>
      <w:bookmarkStart w:id="132" w:name="_Toc272414685"/>
      <w:bookmarkStart w:id="133" w:name="_Toc241374323"/>
      <w:r>
        <w:t>Unwanted immunological events</w:t>
      </w:r>
      <w:bookmarkEnd w:id="130"/>
      <w:bookmarkEnd w:id="131"/>
      <w:bookmarkEnd w:id="132"/>
      <w:bookmarkEnd w:id="133"/>
    </w:p>
    <w:p w:rsidR="004559F1" w:rsidRPr="004559F1" w:rsidRDefault="005A1D2B" w:rsidP="004559F1">
      <w:proofErr w:type="spellStart"/>
      <w:r>
        <w:t>Omalizumab</w:t>
      </w:r>
      <w:proofErr w:type="spellEnd"/>
      <w:r>
        <w:t xml:space="preserve"> (</w:t>
      </w:r>
      <w:proofErr w:type="spellStart"/>
      <w:r>
        <w:t>rch</w:t>
      </w:r>
      <w:proofErr w:type="spellEnd"/>
      <w:r>
        <w:t>)</w:t>
      </w:r>
      <w:r w:rsidR="004559F1">
        <w:t xml:space="preserve"> is known to be associated with adverse immunological events (</w:t>
      </w:r>
      <w:r w:rsidR="00537C9D">
        <w:t xml:space="preserve">including </w:t>
      </w:r>
      <w:r w:rsidR="004559F1">
        <w:t>anaphylaxis</w:t>
      </w:r>
      <w:r w:rsidR="00537C9D">
        <w:t xml:space="preserve"> and</w:t>
      </w:r>
      <w:r w:rsidR="004559F1">
        <w:t xml:space="preserve"> serum sickness). In the placebo</w:t>
      </w:r>
      <w:r w:rsidR="00537C9D">
        <w:t xml:space="preserve"> </w:t>
      </w:r>
      <w:r w:rsidR="004559F1">
        <w:t xml:space="preserve">controlled studies in this submission, the incidence of such events was not increased with </w:t>
      </w:r>
      <w:proofErr w:type="spellStart"/>
      <w:r>
        <w:t>omalizumab</w:t>
      </w:r>
      <w:proofErr w:type="spellEnd"/>
      <w:r>
        <w:t xml:space="preserve"> (</w:t>
      </w:r>
      <w:proofErr w:type="spellStart"/>
      <w:r>
        <w:t>rch</w:t>
      </w:r>
      <w:proofErr w:type="spellEnd"/>
      <w:r>
        <w:t>)</w:t>
      </w:r>
      <w:r w:rsidR="004559F1">
        <w:t>.</w:t>
      </w:r>
    </w:p>
    <w:p w:rsidR="00605AD4" w:rsidRDefault="00605AD4" w:rsidP="00537C9D">
      <w:pPr>
        <w:pStyle w:val="Heading4"/>
      </w:pPr>
      <w:proofErr w:type="spellStart"/>
      <w:r w:rsidRPr="00605AD4">
        <w:t>Postmarketing</w:t>
      </w:r>
      <w:proofErr w:type="spellEnd"/>
      <w:r w:rsidRPr="00605AD4">
        <w:t xml:space="preserve"> data</w:t>
      </w:r>
    </w:p>
    <w:p w:rsidR="004559F1" w:rsidRDefault="00537C9D" w:rsidP="004559F1">
      <w:pPr>
        <w:autoSpaceDE w:val="0"/>
        <w:autoSpaceDN w:val="0"/>
        <w:adjustRightInd w:val="0"/>
      </w:pPr>
      <w:r>
        <w:t>O</w:t>
      </w:r>
      <w:r w:rsidR="004559F1">
        <w:t>ne periodic safety update report (PSUR)</w:t>
      </w:r>
      <w:r>
        <w:t xml:space="preserve"> was submitted</w:t>
      </w:r>
      <w:r w:rsidR="004559F1">
        <w:t>. This report covered the 6</w:t>
      </w:r>
      <w:r>
        <w:t xml:space="preserve"> </w:t>
      </w:r>
      <w:r w:rsidR="004559F1">
        <w:t>month period from 1 January 2014 and to 30 June 2014. This period was after approval for use in children and approval for the revised dosage table in Europe, New Zealand and Switzerland. Overall it was concluded that no new safety signals were identified during the period.</w:t>
      </w:r>
    </w:p>
    <w:p w:rsidR="00E24628" w:rsidRDefault="004559F1" w:rsidP="004559F1">
      <w:pPr>
        <w:autoSpaceDE w:val="0"/>
        <w:autoSpaceDN w:val="0"/>
        <w:adjustRightInd w:val="0"/>
      </w:pPr>
      <w:r>
        <w:t>For the 3</w:t>
      </w:r>
      <w:r w:rsidR="00537C9D">
        <w:t xml:space="preserve"> </w:t>
      </w:r>
      <w:r>
        <w:t>month period of January to March 2014, the estimated exposure in children aged 6</w:t>
      </w:r>
      <w:r w:rsidR="00537C9D">
        <w:t xml:space="preserve"> to </w:t>
      </w:r>
      <w:r>
        <w:t>11 years was 952 subjects. The cumulat</w:t>
      </w:r>
      <w:r w:rsidR="00537C9D">
        <w:t xml:space="preserve">ive exposure in children aged 6 to </w:t>
      </w:r>
      <w:r>
        <w:t xml:space="preserve">11 years between June 2011 and March 2014 was 9,157 subjects for asthma and 2,512 subjects for other indications. The most common events reported in children aged 6 to &lt; 12 years during the period are </w:t>
      </w:r>
      <w:r w:rsidRPr="00951939">
        <w:t xml:space="preserve">summarised in </w:t>
      </w:r>
      <w:r w:rsidR="00ED482A">
        <w:t>Table 12</w:t>
      </w:r>
      <w:r w:rsidR="00E24628">
        <w:t>.</w:t>
      </w:r>
    </w:p>
    <w:p w:rsidR="00124F86" w:rsidRDefault="00124F86" w:rsidP="00863197">
      <w:pPr>
        <w:pStyle w:val="TableTitle"/>
      </w:pPr>
      <w:bookmarkStart w:id="134" w:name="_Ref292097667"/>
      <w:bookmarkStart w:id="135" w:name="_Toc292121252"/>
      <w:bookmarkStart w:id="136" w:name="_Ref292097615"/>
      <w:r>
        <w:lastRenderedPageBreak/>
        <w:t xml:space="preserve">Table </w:t>
      </w:r>
      <w:r w:rsidR="00DF2F1F">
        <w:t>12:</w:t>
      </w:r>
      <w:bookmarkEnd w:id="134"/>
      <w:r>
        <w:t xml:space="preserve"> Periodic Safety </w:t>
      </w:r>
      <w:r w:rsidR="00FA00C2">
        <w:t>Update</w:t>
      </w:r>
      <w:r w:rsidR="007A569B">
        <w:t xml:space="preserve">: </w:t>
      </w:r>
      <w:r w:rsidR="00FA00C2">
        <w:t>Common</w:t>
      </w:r>
      <w:r>
        <w:t xml:space="preserve"> reported AEs</w:t>
      </w:r>
      <w:bookmarkEnd w:id="135"/>
      <w:bookmarkEnd w:id="136"/>
    </w:p>
    <w:p w:rsidR="00124F86" w:rsidRDefault="00124F86" w:rsidP="00124F86">
      <w:r>
        <w:rPr>
          <w:noProof/>
          <w:lang w:eastAsia="en-AU"/>
        </w:rPr>
        <w:drawing>
          <wp:inline distT="0" distB="0" distL="0" distR="0" wp14:anchorId="620DF78A" wp14:editId="4CDE5780">
            <wp:extent cx="4328160" cy="1579945"/>
            <wp:effectExtent l="0" t="0" r="0" b="1270"/>
            <wp:docPr id="28" name="Picture 28" descr="Table 12: Periodic Safety Update  Common repor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160" cy="1579945"/>
                    </a:xfrm>
                    <a:prstGeom prst="rect">
                      <a:avLst/>
                    </a:prstGeom>
                    <a:noFill/>
                    <a:ln>
                      <a:noFill/>
                    </a:ln>
                  </pic:spPr>
                </pic:pic>
              </a:graphicData>
            </a:graphic>
          </wp:inline>
        </w:drawing>
      </w:r>
    </w:p>
    <w:p w:rsidR="00124F86" w:rsidRDefault="00124F86" w:rsidP="00E24628">
      <w:pPr>
        <w:pStyle w:val="TableDescription"/>
      </w:pPr>
      <w:r>
        <w:t>HCP = Health care professional; PT = preferred term;</w:t>
      </w:r>
    </w:p>
    <w:p w:rsidR="004559F1" w:rsidRDefault="004559F1" w:rsidP="004559F1">
      <w:pPr>
        <w:autoSpaceDE w:val="0"/>
        <w:autoSpaceDN w:val="0"/>
        <w:adjustRightInd w:val="0"/>
      </w:pPr>
      <w:r>
        <w:t>Of all the events reported, 27 were reported as serious. Thirteen of these cases were not assessable due to insufficient information. The remaining 14 included the following:</w:t>
      </w:r>
    </w:p>
    <w:p w:rsidR="004559F1" w:rsidRPr="006750C7" w:rsidRDefault="004559F1" w:rsidP="00537C9D">
      <w:pPr>
        <w:pStyle w:val="ListBullet"/>
      </w:pPr>
      <w:r>
        <w:t xml:space="preserve">One report of </w:t>
      </w:r>
      <w:proofErr w:type="spellStart"/>
      <w:r>
        <w:t>thrombocytopaenia</w:t>
      </w:r>
      <w:proofErr w:type="spellEnd"/>
      <w:r>
        <w:t xml:space="preserve"> (7 x 10</w:t>
      </w:r>
      <w:r>
        <w:rPr>
          <w:vertAlign w:val="superscript"/>
        </w:rPr>
        <w:t>9</w:t>
      </w:r>
      <w:r>
        <w:t>/L) in a 10</w:t>
      </w:r>
      <w:r w:rsidR="006750C7">
        <w:t xml:space="preserve"> </w:t>
      </w:r>
      <w:r>
        <w:t xml:space="preserve">year old female who had received </w:t>
      </w:r>
      <w:proofErr w:type="spellStart"/>
      <w:r w:rsidR="005A1D2B">
        <w:t>omalizumab</w:t>
      </w:r>
      <w:proofErr w:type="spellEnd"/>
      <w:r w:rsidR="005A1D2B">
        <w:t xml:space="preserve"> (</w:t>
      </w:r>
      <w:proofErr w:type="spellStart"/>
      <w:r w:rsidR="005A1D2B">
        <w:t>rch</w:t>
      </w:r>
      <w:proofErr w:type="spellEnd"/>
      <w:r w:rsidR="005A1D2B">
        <w:t>)</w:t>
      </w:r>
      <w:r>
        <w:t xml:space="preserve"> for 10 months. The patient had positive serology for parvovirus B19 and a normal bone marrow. </w:t>
      </w:r>
      <w:proofErr w:type="spellStart"/>
      <w:r w:rsidR="005A1D2B">
        <w:t>Omalizumab</w:t>
      </w:r>
      <w:proofErr w:type="spellEnd"/>
      <w:r w:rsidR="005A1D2B">
        <w:t xml:space="preserve"> (</w:t>
      </w:r>
      <w:proofErr w:type="spellStart"/>
      <w:r w:rsidR="005A1D2B">
        <w:t>rch</w:t>
      </w:r>
      <w:proofErr w:type="spellEnd"/>
      <w:r w:rsidR="005A1D2B">
        <w:t>)</w:t>
      </w:r>
      <w:r>
        <w:t xml:space="preserve"> was ceased and the patient was treated with immunoglobulins, with improvement in platelet count to 57 x 10</w:t>
      </w:r>
      <w:r>
        <w:rPr>
          <w:vertAlign w:val="superscript"/>
        </w:rPr>
        <w:t>9</w:t>
      </w:r>
      <w:r>
        <w:t>/L</w:t>
      </w:r>
      <w:r w:rsidRPr="006750C7">
        <w:t xml:space="preserve">. Six months later the patient had a relapse (to 5 x 109/L) despite not receiving further </w:t>
      </w:r>
      <w:proofErr w:type="spellStart"/>
      <w:r w:rsidR="005A1D2B">
        <w:t>omalizumab</w:t>
      </w:r>
      <w:proofErr w:type="spellEnd"/>
      <w:r w:rsidR="005A1D2B">
        <w:t xml:space="preserve"> (</w:t>
      </w:r>
      <w:proofErr w:type="spellStart"/>
      <w:r w:rsidR="005A1D2B">
        <w:t>rch</w:t>
      </w:r>
      <w:proofErr w:type="spellEnd"/>
      <w:r w:rsidR="005A1D2B">
        <w:t>)</w:t>
      </w:r>
      <w:r w:rsidRPr="006750C7">
        <w:t>. The sponsor considered an alternative aetiology, such as</w:t>
      </w:r>
      <w:r w:rsidR="006750C7" w:rsidRPr="006750C7">
        <w:t xml:space="preserve"> Idiopathic thrombocytopenic purpura (ITP)</w:t>
      </w:r>
      <w:r w:rsidRPr="006750C7">
        <w:t>, was the more likely explanation for this event.</w:t>
      </w:r>
    </w:p>
    <w:p w:rsidR="004559F1" w:rsidRDefault="004559F1" w:rsidP="00537C9D">
      <w:pPr>
        <w:pStyle w:val="ListBullet"/>
      </w:pPr>
      <w:r>
        <w:t>Three reports suggestive of allergic reactions (</w:t>
      </w:r>
      <w:r w:rsidR="006750C7">
        <w:t xml:space="preserve"> such as</w:t>
      </w:r>
      <w:r>
        <w:t xml:space="preserve"> rash, </w:t>
      </w:r>
      <w:proofErr w:type="spellStart"/>
      <w:r>
        <w:t>urticaria</w:t>
      </w:r>
      <w:proofErr w:type="spellEnd"/>
      <w:r>
        <w:t>, erythema</w:t>
      </w:r>
      <w:r w:rsidR="006750C7">
        <w:t xml:space="preserve"> and</w:t>
      </w:r>
      <w:r>
        <w:t xml:space="preserve"> pruritus);</w:t>
      </w:r>
    </w:p>
    <w:p w:rsidR="004559F1" w:rsidRDefault="004559F1" w:rsidP="00537C9D">
      <w:pPr>
        <w:pStyle w:val="ListBullet"/>
      </w:pPr>
      <w:r>
        <w:t>Two reports of injection site reactions;</w:t>
      </w:r>
    </w:p>
    <w:p w:rsidR="004559F1" w:rsidRDefault="004559F1" w:rsidP="00537C9D">
      <w:pPr>
        <w:pStyle w:val="ListBullet"/>
      </w:pPr>
      <w:r>
        <w:t>One report of allergic bronchopulmonary aspergillosis;</w:t>
      </w:r>
    </w:p>
    <w:p w:rsidR="004559F1" w:rsidRDefault="004559F1" w:rsidP="00537C9D">
      <w:pPr>
        <w:pStyle w:val="ListBullet"/>
      </w:pPr>
      <w:r>
        <w:t>Two reports of dengue fever;</w:t>
      </w:r>
    </w:p>
    <w:p w:rsidR="004559F1" w:rsidRDefault="004559F1" w:rsidP="00537C9D">
      <w:pPr>
        <w:pStyle w:val="ListBullet"/>
      </w:pPr>
      <w:r>
        <w:t>Five reports of asthma exacerbations.</w:t>
      </w:r>
    </w:p>
    <w:p w:rsidR="004559F1" w:rsidRDefault="004559F1" w:rsidP="004559F1">
      <w:pPr>
        <w:autoSpaceDE w:val="0"/>
        <w:autoSpaceDN w:val="0"/>
        <w:adjustRightInd w:val="0"/>
      </w:pPr>
      <w:r>
        <w:t>There were no reports of anaphylaxis or malignancies in children aged 6 to &lt; 12 years.</w:t>
      </w:r>
    </w:p>
    <w:p w:rsidR="00605AD4" w:rsidRPr="006750C7" w:rsidRDefault="00605AD4" w:rsidP="006750C7">
      <w:pPr>
        <w:pStyle w:val="Heading4"/>
      </w:pPr>
      <w:r w:rsidRPr="00605AD4">
        <w:t>Evaluator’s conclusions on safety</w:t>
      </w:r>
    </w:p>
    <w:p w:rsidR="004559F1" w:rsidRDefault="006750C7" w:rsidP="004559F1">
      <w:pPr>
        <w:autoSpaceDE w:val="0"/>
        <w:autoSpaceDN w:val="0"/>
        <w:adjustRightInd w:val="0"/>
      </w:pPr>
      <w:r>
        <w:t xml:space="preserve">In the submitted placebo </w:t>
      </w:r>
      <w:r w:rsidR="004559F1">
        <w:t xml:space="preserve">controlled studies the safety profile of </w:t>
      </w:r>
      <w:proofErr w:type="spellStart"/>
      <w:r w:rsidR="005A1D2B">
        <w:t>omalizumab</w:t>
      </w:r>
      <w:proofErr w:type="spellEnd"/>
      <w:r w:rsidR="005A1D2B">
        <w:t xml:space="preserve"> (</w:t>
      </w:r>
      <w:proofErr w:type="spellStart"/>
      <w:r w:rsidR="005A1D2B">
        <w:t>rch</w:t>
      </w:r>
      <w:proofErr w:type="spellEnd"/>
      <w:r w:rsidR="005A1D2B">
        <w:t>)</w:t>
      </w:r>
      <w:r w:rsidR="004559F1">
        <w:t xml:space="preserve"> appeared comparable to that of placebo. No new safety issues were identified in children.</w:t>
      </w:r>
    </w:p>
    <w:p w:rsidR="004559F1" w:rsidRDefault="004559F1" w:rsidP="004559F1">
      <w:pPr>
        <w:autoSpaceDE w:val="0"/>
        <w:autoSpaceDN w:val="0"/>
        <w:adjustRightInd w:val="0"/>
      </w:pPr>
      <w:r>
        <w:t xml:space="preserve">Other paediatric studies and post-marketing data included in the submission did not identify any new safety issues when </w:t>
      </w:r>
      <w:proofErr w:type="spellStart"/>
      <w:r w:rsidR="005A1D2B">
        <w:t>omalizumab</w:t>
      </w:r>
      <w:proofErr w:type="spellEnd"/>
      <w:r w:rsidR="005A1D2B">
        <w:t xml:space="preserve"> (</w:t>
      </w:r>
      <w:proofErr w:type="spellStart"/>
      <w:r w:rsidR="005A1D2B">
        <w:t>rch</w:t>
      </w:r>
      <w:proofErr w:type="spellEnd"/>
      <w:r w:rsidR="005A1D2B">
        <w:t>)</w:t>
      </w:r>
      <w:r>
        <w:t xml:space="preserve"> was administered to children aged 6 to &lt;</w:t>
      </w:r>
      <w:r w:rsidR="006750C7">
        <w:t> </w:t>
      </w:r>
      <w:r>
        <w:t>12 years.</w:t>
      </w:r>
    </w:p>
    <w:p w:rsidR="004559F1" w:rsidRDefault="004559F1" w:rsidP="004559F1">
      <w:pPr>
        <w:autoSpaceDE w:val="0"/>
        <w:autoSpaceDN w:val="0"/>
        <w:adjustRightInd w:val="0"/>
      </w:pPr>
      <w:r>
        <w:t xml:space="preserve">PK/PD modelling suggests that the revised dosing regimen will result in modest increases in </w:t>
      </w:r>
      <w:proofErr w:type="spellStart"/>
      <w:r w:rsidR="005A1D2B">
        <w:t>omalizumab</w:t>
      </w:r>
      <w:proofErr w:type="spellEnd"/>
      <w:r w:rsidR="005A1D2B">
        <w:t xml:space="preserve"> (</w:t>
      </w:r>
      <w:proofErr w:type="spellStart"/>
      <w:r w:rsidR="005A1D2B">
        <w:t>rch</w:t>
      </w:r>
      <w:proofErr w:type="spellEnd"/>
      <w:r w:rsidR="005A1D2B">
        <w:t>)</w:t>
      </w:r>
      <w:r>
        <w:t xml:space="preserve"> </w:t>
      </w:r>
      <w:r w:rsidR="006750C7">
        <w:t>peak plasma concentration (</w:t>
      </w:r>
      <w:proofErr w:type="spellStart"/>
      <w:r>
        <w:t>C</w:t>
      </w:r>
      <w:r>
        <w:rPr>
          <w:vertAlign w:val="subscript"/>
        </w:rPr>
        <w:t>max</w:t>
      </w:r>
      <w:proofErr w:type="spellEnd"/>
      <w:r w:rsidR="006750C7">
        <w:t>).</w:t>
      </w:r>
      <w:r>
        <w:t xml:space="preserve"> Changes in overall systemic exposure would not be expected. It is therefore considered unlikely that the revised dosage regimen would be associated with any significant safety concerns. Limited clinical trial and post</w:t>
      </w:r>
      <w:r w:rsidR="006750C7">
        <w:noBreakHyphen/>
      </w:r>
      <w:r>
        <w:t>marketing data on the safety of doses ≥</w:t>
      </w:r>
      <w:r w:rsidR="006750C7">
        <w:t xml:space="preserve"> </w:t>
      </w:r>
      <w:r>
        <w:t>600 mg do not suggest any novel safety issues.</w:t>
      </w:r>
    </w:p>
    <w:p w:rsidR="00605AD4" w:rsidRDefault="00605AD4" w:rsidP="00605AD4">
      <w:pPr>
        <w:pStyle w:val="Heading3"/>
        <w:rPr>
          <w:rFonts w:eastAsia="Cambria"/>
        </w:rPr>
      </w:pPr>
      <w:bookmarkStart w:id="137" w:name="_Toc454447847"/>
      <w:r w:rsidRPr="00605AD4">
        <w:rPr>
          <w:rFonts w:eastAsia="Cambria"/>
        </w:rPr>
        <w:t xml:space="preserve">First </w:t>
      </w:r>
      <w:r w:rsidR="00E24628">
        <w:rPr>
          <w:rFonts w:eastAsia="Cambria"/>
        </w:rPr>
        <w:t>r</w:t>
      </w:r>
      <w:r w:rsidRPr="00605AD4">
        <w:rPr>
          <w:rFonts w:eastAsia="Cambria"/>
        </w:rPr>
        <w:t xml:space="preserve">ound </w:t>
      </w:r>
      <w:r w:rsidR="00E24628">
        <w:rPr>
          <w:rFonts w:eastAsia="Cambria"/>
        </w:rPr>
        <w:t>b</w:t>
      </w:r>
      <w:r w:rsidRPr="00605AD4">
        <w:rPr>
          <w:rFonts w:eastAsia="Cambria"/>
        </w:rPr>
        <w:t>enefit-</w:t>
      </w:r>
      <w:r w:rsidR="00E24628">
        <w:rPr>
          <w:rFonts w:eastAsia="Cambria"/>
        </w:rPr>
        <w:t>r</w:t>
      </w:r>
      <w:r w:rsidRPr="00605AD4">
        <w:rPr>
          <w:rFonts w:eastAsia="Cambria"/>
        </w:rPr>
        <w:t xml:space="preserve">isk </w:t>
      </w:r>
      <w:r w:rsidR="00E24628">
        <w:rPr>
          <w:rFonts w:eastAsia="Cambria"/>
        </w:rPr>
        <w:t>a</w:t>
      </w:r>
      <w:r w:rsidRPr="00605AD4">
        <w:rPr>
          <w:rFonts w:eastAsia="Cambria"/>
        </w:rPr>
        <w:t>ssessment</w:t>
      </w:r>
      <w:bookmarkEnd w:id="137"/>
    </w:p>
    <w:p w:rsidR="004559F1" w:rsidRDefault="004559F1" w:rsidP="006750C7">
      <w:pPr>
        <w:pStyle w:val="Heading4"/>
      </w:pPr>
      <w:bookmarkStart w:id="138" w:name="_Toc292121159"/>
      <w:bookmarkStart w:id="139" w:name="_Toc290846331"/>
      <w:bookmarkStart w:id="140" w:name="_Toc272414693"/>
      <w:bookmarkStart w:id="141" w:name="_Ref272160836"/>
      <w:bookmarkStart w:id="142" w:name="_Toc241374331"/>
      <w:bookmarkStart w:id="143" w:name="_Toc236802592"/>
      <w:r>
        <w:t>First round assessment of benefits</w:t>
      </w:r>
      <w:bookmarkEnd w:id="138"/>
      <w:bookmarkEnd w:id="139"/>
      <w:bookmarkEnd w:id="140"/>
      <w:bookmarkEnd w:id="141"/>
      <w:bookmarkEnd w:id="142"/>
      <w:bookmarkEnd w:id="143"/>
    </w:p>
    <w:p w:rsidR="004559F1" w:rsidRDefault="004559F1" w:rsidP="004559F1">
      <w:r>
        <w:t xml:space="preserve">The benefits of </w:t>
      </w:r>
      <w:proofErr w:type="spellStart"/>
      <w:r w:rsidR="005A1D2B">
        <w:t>omalizumab</w:t>
      </w:r>
      <w:proofErr w:type="spellEnd"/>
      <w:r w:rsidR="005A1D2B">
        <w:t xml:space="preserve"> (</w:t>
      </w:r>
      <w:proofErr w:type="spellStart"/>
      <w:r w:rsidR="005A1D2B">
        <w:t>rch</w:t>
      </w:r>
      <w:proofErr w:type="spellEnd"/>
      <w:r w:rsidR="005A1D2B">
        <w:t>)</w:t>
      </w:r>
      <w:r>
        <w:t xml:space="preserve"> in </w:t>
      </w:r>
      <w:r w:rsidRPr="006750C7">
        <w:rPr>
          <w:i/>
        </w:rPr>
        <w:t>children aged 6 to &lt; 12 years</w:t>
      </w:r>
      <w:r>
        <w:t xml:space="preserve"> are:</w:t>
      </w:r>
    </w:p>
    <w:p w:rsidR="004559F1" w:rsidRDefault="004559F1" w:rsidP="006750C7">
      <w:pPr>
        <w:pStyle w:val="ListBullet"/>
      </w:pPr>
      <w:r>
        <w:lastRenderedPageBreak/>
        <w:t>A reduction in the rate of clinically significant asthma exacerbations. The rate was reduced by approximately 31% after 24 weeks and 43% after 52 weeks. Similar reductions were observed in the subgroup of patients with serve asthma, the population being proposed by the sponsor.</w:t>
      </w:r>
    </w:p>
    <w:p w:rsidR="004559F1" w:rsidRDefault="004559F1" w:rsidP="004559F1">
      <w:r>
        <w:t xml:space="preserve">The benefits of the proposed </w:t>
      </w:r>
      <w:r w:rsidRPr="006750C7">
        <w:rPr>
          <w:i/>
        </w:rPr>
        <w:t>changes to the dosing regimen</w:t>
      </w:r>
      <w:r>
        <w:t xml:space="preserve"> for adolescents and adults are:</w:t>
      </w:r>
    </w:p>
    <w:p w:rsidR="004559F1" w:rsidRDefault="004559F1" w:rsidP="006750C7">
      <w:pPr>
        <w:pStyle w:val="ListBullet"/>
      </w:pPr>
      <w:r>
        <w:t>Improved convenience and possibly compliance in patients, and reduced use of health care resources. No improvements in efficacy are expected.</w:t>
      </w:r>
    </w:p>
    <w:p w:rsidR="004559F1" w:rsidRDefault="004559F1" w:rsidP="006750C7">
      <w:pPr>
        <w:pStyle w:val="Heading4"/>
      </w:pPr>
      <w:bookmarkStart w:id="144" w:name="_Toc292121160"/>
      <w:bookmarkStart w:id="145" w:name="_Toc290846332"/>
      <w:bookmarkStart w:id="146" w:name="_Toc272414694"/>
      <w:bookmarkStart w:id="147" w:name="_Ref272160964"/>
      <w:bookmarkStart w:id="148" w:name="_Toc241374334"/>
      <w:bookmarkStart w:id="149" w:name="_Toc236802596"/>
      <w:r>
        <w:t>First round assessment of risks</w:t>
      </w:r>
      <w:bookmarkEnd w:id="144"/>
      <w:bookmarkEnd w:id="145"/>
      <w:bookmarkEnd w:id="146"/>
      <w:bookmarkEnd w:id="147"/>
      <w:bookmarkEnd w:id="148"/>
      <w:bookmarkEnd w:id="149"/>
    </w:p>
    <w:p w:rsidR="004559F1" w:rsidRDefault="004559F1" w:rsidP="004559F1">
      <w:r>
        <w:t xml:space="preserve">The risks of </w:t>
      </w:r>
      <w:proofErr w:type="spellStart"/>
      <w:r w:rsidR="005A1D2B">
        <w:t>omalizumab</w:t>
      </w:r>
      <w:proofErr w:type="spellEnd"/>
      <w:r w:rsidR="005A1D2B">
        <w:t xml:space="preserve"> (</w:t>
      </w:r>
      <w:proofErr w:type="spellStart"/>
      <w:r w:rsidR="005A1D2B">
        <w:t>rch</w:t>
      </w:r>
      <w:proofErr w:type="spellEnd"/>
      <w:r w:rsidR="005A1D2B">
        <w:t>)</w:t>
      </w:r>
      <w:r>
        <w:t xml:space="preserve"> in </w:t>
      </w:r>
      <w:r w:rsidRPr="006750C7">
        <w:rPr>
          <w:i/>
        </w:rPr>
        <w:t>children aged 6 to &lt; 12 years</w:t>
      </w:r>
      <w:r>
        <w:t xml:space="preserve"> are:</w:t>
      </w:r>
    </w:p>
    <w:p w:rsidR="004559F1" w:rsidRDefault="004559F1" w:rsidP="006750C7">
      <w:pPr>
        <w:pStyle w:val="ListBullet"/>
      </w:pPr>
      <w:r>
        <w:t>Risks similar to those associated with its use in adults and adolescents (</w:t>
      </w:r>
      <w:r w:rsidR="006750C7">
        <w:t>including</w:t>
      </w:r>
      <w:r>
        <w:t xml:space="preserve"> allergic reactions).</w:t>
      </w:r>
    </w:p>
    <w:p w:rsidR="004559F1" w:rsidRDefault="004559F1" w:rsidP="004559F1">
      <w:pPr>
        <w:autoSpaceDE w:val="0"/>
        <w:autoSpaceDN w:val="0"/>
        <w:adjustRightInd w:val="0"/>
      </w:pPr>
      <w:r>
        <w:t xml:space="preserve">The submitted data suggest that there are no significant additional risks associated with the proposed </w:t>
      </w:r>
      <w:r w:rsidRPr="006750C7">
        <w:t>changes to the dosing regimen</w:t>
      </w:r>
      <w:r>
        <w:t xml:space="preserve"> for adolescents and adults</w:t>
      </w:r>
    </w:p>
    <w:p w:rsidR="004559F1" w:rsidRDefault="004559F1" w:rsidP="006750C7">
      <w:pPr>
        <w:pStyle w:val="Heading4"/>
      </w:pPr>
      <w:bookmarkStart w:id="150" w:name="_Toc292121161"/>
      <w:bookmarkStart w:id="151" w:name="_Toc290846333"/>
      <w:bookmarkStart w:id="152" w:name="_Toc272414695"/>
      <w:bookmarkStart w:id="153" w:name="_Toc241374335"/>
      <w:bookmarkStart w:id="154" w:name="_Toc236802597"/>
      <w:r>
        <w:t>First round assessment of benefit-risk balance</w:t>
      </w:r>
      <w:bookmarkEnd w:id="150"/>
      <w:bookmarkEnd w:id="151"/>
      <w:bookmarkEnd w:id="152"/>
      <w:bookmarkEnd w:id="153"/>
      <w:bookmarkEnd w:id="154"/>
    </w:p>
    <w:p w:rsidR="004559F1" w:rsidRDefault="004559F1" w:rsidP="006750C7">
      <w:pPr>
        <w:pStyle w:val="Heading5"/>
      </w:pPr>
      <w:r>
        <w:t>Use in children aged 6 to &lt; 12 years</w:t>
      </w:r>
    </w:p>
    <w:p w:rsidR="004559F1" w:rsidRDefault="004559F1" w:rsidP="004559F1">
      <w:r>
        <w:t xml:space="preserve">The demonstrated efficacy benefits associated with </w:t>
      </w:r>
      <w:proofErr w:type="spellStart"/>
      <w:r w:rsidR="005A1D2B">
        <w:t>omalizumab</w:t>
      </w:r>
      <w:proofErr w:type="spellEnd"/>
      <w:r w:rsidR="005A1D2B">
        <w:t xml:space="preserve"> (</w:t>
      </w:r>
      <w:proofErr w:type="spellStart"/>
      <w:r w:rsidR="005A1D2B">
        <w:t>rch</w:t>
      </w:r>
      <w:proofErr w:type="spellEnd"/>
      <w:r w:rsidR="005A1D2B">
        <w:t>)</w:t>
      </w:r>
      <w:r>
        <w:t xml:space="preserve"> are limited to its effect on exacerbations.</w:t>
      </w:r>
      <w:r w:rsidR="006750C7">
        <w:t xml:space="preserve"> </w:t>
      </w:r>
      <w:r>
        <w:t>The benefits are modest, with a reduction in the rate of asthma exacerbations from 0.64 to 0.45 episodes per 24</w:t>
      </w:r>
      <w:r w:rsidR="006750C7">
        <w:t xml:space="preserve"> </w:t>
      </w:r>
      <w:r>
        <w:t xml:space="preserve">week treatment period. In general, the submitted safety data do not suggest any new safety issues associated with use of </w:t>
      </w:r>
      <w:proofErr w:type="spellStart"/>
      <w:r w:rsidR="005A1D2B">
        <w:t>omalizumab</w:t>
      </w:r>
      <w:proofErr w:type="spellEnd"/>
      <w:r w:rsidR="005A1D2B">
        <w:t xml:space="preserve"> (</w:t>
      </w:r>
      <w:proofErr w:type="spellStart"/>
      <w:r w:rsidR="005A1D2B">
        <w:t>rch</w:t>
      </w:r>
      <w:proofErr w:type="spellEnd"/>
      <w:r w:rsidR="005A1D2B">
        <w:t>)</w:t>
      </w:r>
      <w:r>
        <w:t xml:space="preserve"> in subjects aged between 6 and &lt;12 years. However, the drug is known to be associated with several adverse effects that are likely to occur in the paediatric population such as allergic reactions. Overall, the benefit-risk balance could be considered marginal.</w:t>
      </w:r>
    </w:p>
    <w:p w:rsidR="004559F1" w:rsidRDefault="004559F1" w:rsidP="004559F1">
      <w:r>
        <w:t xml:space="preserve">In contrast to the original application in 2009, the sponsor is proposing to limit the approved population to children with severe asthma who are uncontrolled on high dose ICS. The approved population in Europe is limited even further, to those subjects with severe asthma who are uncontrolled on high dose ICS </w:t>
      </w:r>
      <w:r w:rsidRPr="006750C7">
        <w:rPr>
          <w:i/>
        </w:rPr>
        <w:t>and</w:t>
      </w:r>
      <w:r>
        <w:t xml:space="preserve"> LABA. Given the limited evidence of efficacy it would be appropriate to restrict the indication to subjects with severe disease who are uncontrolled on optimal available therapy. Subgroup analyses of the pivotal study indicate that similar efficacy is likely to be obtained in such subjects. Unlike </w:t>
      </w:r>
      <w:r w:rsidR="006750C7">
        <w:t>the one in</w:t>
      </w:r>
      <w:r>
        <w:t xml:space="preserve"> Europe, the sponsor’s proposed indication for Australia does not require that subjects should have been treated with LABAs prior to commencing </w:t>
      </w:r>
      <w:proofErr w:type="spellStart"/>
      <w:r w:rsidR="005A1D2B">
        <w:t>omalizumab</w:t>
      </w:r>
      <w:proofErr w:type="spellEnd"/>
      <w:r w:rsidR="005A1D2B">
        <w:t xml:space="preserve"> (</w:t>
      </w:r>
      <w:proofErr w:type="spellStart"/>
      <w:r w:rsidR="005A1D2B">
        <w:t>rch</w:t>
      </w:r>
      <w:proofErr w:type="spellEnd"/>
      <w:r w:rsidR="005A1D2B">
        <w:t>)</w:t>
      </w:r>
      <w:r>
        <w:t xml:space="preserve">. LABAs have been associated with adverse outcomes in </w:t>
      </w:r>
      <w:r w:rsidRPr="00917B8C">
        <w:t>children.</w:t>
      </w:r>
      <w:r w:rsidR="00917B8C" w:rsidRPr="00917B8C">
        <w:rPr>
          <w:rStyle w:val="FootnoteReference"/>
        </w:rPr>
        <w:footnoteReference w:id="4"/>
      </w:r>
      <w:r w:rsidR="00917B8C" w:rsidRPr="00917B8C">
        <w:rPr>
          <w:vertAlign w:val="superscript"/>
        </w:rPr>
        <w:t>,</w:t>
      </w:r>
      <w:r w:rsidR="00917B8C" w:rsidRPr="00917B8C">
        <w:rPr>
          <w:rStyle w:val="FootnoteReference"/>
        </w:rPr>
        <w:footnoteReference w:id="5"/>
      </w:r>
      <w:r w:rsidRPr="00917B8C">
        <w:t xml:space="preserve"> Neither</w:t>
      </w:r>
      <w:r>
        <w:t xml:space="preserve"> the current Australian Asthma Handbook</w:t>
      </w:r>
      <w:r w:rsidR="00917B8C">
        <w:rPr>
          <w:rStyle w:val="FootnoteReference"/>
        </w:rPr>
        <w:footnoteReference w:id="6"/>
      </w:r>
      <w:r w:rsidR="00917B8C">
        <w:t xml:space="preserve"> n</w:t>
      </w:r>
      <w:r>
        <w:t>or the international GINA guidelines</w:t>
      </w:r>
      <w:r w:rsidR="00917B8C">
        <w:rPr>
          <w:rStyle w:val="FootnoteReference"/>
        </w:rPr>
        <w:footnoteReference w:id="7"/>
      </w:r>
      <w:r>
        <w:t xml:space="preserve"> recommend routine introduction of LABAs in children who are not controlled on high dose ICS. Given the safety concerns associated with LABAs, it may be more appropriate for some patients to be commenced on </w:t>
      </w:r>
      <w:proofErr w:type="spellStart"/>
      <w:r w:rsidR="005A1D2B">
        <w:t>omalizumab</w:t>
      </w:r>
      <w:proofErr w:type="spellEnd"/>
      <w:r w:rsidR="005A1D2B">
        <w:t xml:space="preserve"> (</w:t>
      </w:r>
      <w:proofErr w:type="spellStart"/>
      <w:r w:rsidR="005A1D2B">
        <w:t>rch</w:t>
      </w:r>
      <w:proofErr w:type="spellEnd"/>
      <w:r w:rsidR="005A1D2B">
        <w:t>)</w:t>
      </w:r>
      <w:r>
        <w:t>. Therefore, if the application is to be approved, the indication proposed by the sponsor is considered acceptable.</w:t>
      </w:r>
    </w:p>
    <w:p w:rsidR="00E24628" w:rsidRDefault="004559F1" w:rsidP="004559F1">
      <w:r>
        <w:lastRenderedPageBreak/>
        <w:t xml:space="preserve">Overall, the benefit-risk balance of </w:t>
      </w:r>
      <w:proofErr w:type="spellStart"/>
      <w:r w:rsidR="005A1D2B">
        <w:t>omalizumab</w:t>
      </w:r>
      <w:proofErr w:type="spellEnd"/>
      <w:r w:rsidR="005A1D2B">
        <w:t xml:space="preserve"> (</w:t>
      </w:r>
      <w:proofErr w:type="spellStart"/>
      <w:r w:rsidR="005A1D2B">
        <w:t>rch</w:t>
      </w:r>
      <w:proofErr w:type="spellEnd"/>
      <w:r w:rsidR="005A1D2B">
        <w:t>)</w:t>
      </w:r>
      <w:r>
        <w:t xml:space="preserve"> for the proposed paediatric population is considered favourable. This assessment takes into account the fact that the proposed population (severe disease</w:t>
      </w:r>
      <w:r w:rsidR="006750C7">
        <w:t xml:space="preserve"> and</w:t>
      </w:r>
      <w:r>
        <w:t xml:space="preserve"> already on high dose ICS) is one with limited available treatment options</w:t>
      </w:r>
      <w:r w:rsidR="00E24628">
        <w:t>.</w:t>
      </w:r>
    </w:p>
    <w:p w:rsidR="004559F1" w:rsidRDefault="004559F1" w:rsidP="006750C7">
      <w:pPr>
        <w:pStyle w:val="Heading5"/>
      </w:pPr>
      <w:r>
        <w:t>Changes to the dosing regimen for adolescents and adults</w:t>
      </w:r>
    </w:p>
    <w:p w:rsidR="004559F1" w:rsidRDefault="004559F1" w:rsidP="004559F1">
      <w:r>
        <w:t xml:space="preserve">Based on the PK/PD model developed by the sponsor, the overall benefit-risk balance for </w:t>
      </w:r>
      <w:proofErr w:type="spellStart"/>
      <w:r w:rsidR="005A1D2B">
        <w:t>omalizumab</w:t>
      </w:r>
      <w:proofErr w:type="spellEnd"/>
      <w:r w:rsidR="005A1D2B">
        <w:t xml:space="preserve"> (</w:t>
      </w:r>
      <w:proofErr w:type="spellStart"/>
      <w:r w:rsidR="005A1D2B">
        <w:t>rch</w:t>
      </w:r>
      <w:proofErr w:type="spellEnd"/>
      <w:r w:rsidR="005A1D2B">
        <w:t>)</w:t>
      </w:r>
      <w:r>
        <w:t xml:space="preserve"> will not be significantly altered and therefore remains favourable.</w:t>
      </w:r>
    </w:p>
    <w:p w:rsidR="00605AD4" w:rsidRPr="00605AD4" w:rsidRDefault="00917B8C" w:rsidP="006750C7">
      <w:pPr>
        <w:pStyle w:val="Heading4"/>
      </w:pPr>
      <w:r w:rsidRPr="00605AD4">
        <w:t>First round recommendation regarding authorisation</w:t>
      </w:r>
    </w:p>
    <w:p w:rsidR="004559F1" w:rsidRDefault="004559F1" w:rsidP="004559F1">
      <w:r>
        <w:t>It is recommended that the application be approved.</w:t>
      </w:r>
    </w:p>
    <w:p w:rsidR="00605AD4" w:rsidRPr="006750C7" w:rsidRDefault="00605AD4" w:rsidP="006750C7">
      <w:pPr>
        <w:pStyle w:val="Heading3"/>
        <w:rPr>
          <w:rFonts w:eastAsia="Cambria"/>
        </w:rPr>
      </w:pPr>
      <w:bookmarkStart w:id="155" w:name="_Toc454447848"/>
      <w:r w:rsidRPr="00605AD4">
        <w:rPr>
          <w:rFonts w:eastAsia="Cambria"/>
        </w:rPr>
        <w:t xml:space="preserve">Clinical </w:t>
      </w:r>
      <w:r w:rsidR="00E24628">
        <w:rPr>
          <w:rFonts w:eastAsia="Cambria"/>
        </w:rPr>
        <w:t>q</w:t>
      </w:r>
      <w:r w:rsidRPr="00605AD4">
        <w:rPr>
          <w:rFonts w:eastAsia="Cambria"/>
        </w:rPr>
        <w:t>uestions</w:t>
      </w:r>
      <w:bookmarkEnd w:id="155"/>
    </w:p>
    <w:p w:rsidR="004559F1" w:rsidRDefault="004559F1" w:rsidP="00FA00C2">
      <w:pPr>
        <w:pStyle w:val="Heading4"/>
      </w:pPr>
      <w:bookmarkStart w:id="156" w:name="_Toc292121168"/>
      <w:bookmarkStart w:id="157" w:name="_Toc290846345"/>
      <w:bookmarkStart w:id="158" w:name="_Toc272414705"/>
      <w:r>
        <w:t>Safety</w:t>
      </w:r>
      <w:bookmarkEnd w:id="156"/>
      <w:bookmarkEnd w:id="157"/>
      <w:bookmarkEnd w:id="158"/>
    </w:p>
    <w:p w:rsidR="00E24628" w:rsidRDefault="004559F1" w:rsidP="00917B8C">
      <w:pPr>
        <w:pStyle w:val="Numberbullet0"/>
        <w:numPr>
          <w:ilvl w:val="0"/>
          <w:numId w:val="37"/>
        </w:numPr>
      </w:pPr>
      <w:r>
        <w:t>In the AAO safety population there were two cases of clinically notab</w:t>
      </w:r>
      <w:r w:rsidR="006750C7">
        <w:t>le reductions in platelet count;</w:t>
      </w:r>
      <w:r>
        <w:t xml:space="preserve"> 1 in the re-treatment group and 1 in the new treatment group. Please provide summaries of these cases, including results of all platelet counts</w:t>
      </w:r>
      <w:r w:rsidR="00E24628">
        <w:t>.</w:t>
      </w:r>
    </w:p>
    <w:p w:rsidR="004559F1" w:rsidRDefault="004559F1" w:rsidP="00917B8C">
      <w:pPr>
        <w:pStyle w:val="Numberbullet0"/>
        <w:numPr>
          <w:ilvl w:val="0"/>
          <w:numId w:val="37"/>
        </w:numPr>
      </w:pPr>
      <w:r>
        <w:t xml:space="preserve">One case of severe </w:t>
      </w:r>
      <w:proofErr w:type="spellStart"/>
      <w:r>
        <w:t>pancytopaenia</w:t>
      </w:r>
      <w:proofErr w:type="spellEnd"/>
      <w:r>
        <w:t xml:space="preserve"> was reported (IA05</w:t>
      </w:r>
      <w:r w:rsidR="006750C7">
        <w:t>)</w:t>
      </w:r>
      <w:r>
        <w:t>. Please provide a summary of this case.</w:t>
      </w:r>
    </w:p>
    <w:p w:rsidR="00605AD4" w:rsidRDefault="00605AD4" w:rsidP="00605AD4">
      <w:pPr>
        <w:pStyle w:val="Heading3"/>
        <w:rPr>
          <w:rFonts w:eastAsia="Cambria"/>
        </w:rPr>
      </w:pPr>
      <w:bookmarkStart w:id="159" w:name="_Toc454447849"/>
      <w:r w:rsidRPr="00605AD4">
        <w:rPr>
          <w:rFonts w:eastAsia="Cambria"/>
        </w:rPr>
        <w:t xml:space="preserve">Second </w:t>
      </w:r>
      <w:r w:rsidR="00E24628" w:rsidRPr="00605AD4">
        <w:rPr>
          <w:rFonts w:eastAsia="Cambria"/>
        </w:rPr>
        <w:t xml:space="preserve">round evaluation </w:t>
      </w:r>
      <w:r w:rsidRPr="00605AD4">
        <w:rPr>
          <w:rFonts w:eastAsia="Cambria"/>
        </w:rPr>
        <w:t>of clinical data submitted in response to questions</w:t>
      </w:r>
      <w:bookmarkEnd w:id="159"/>
    </w:p>
    <w:p w:rsidR="004559F1" w:rsidRDefault="004559F1" w:rsidP="006750C7">
      <w:pPr>
        <w:pStyle w:val="Heading4"/>
      </w:pPr>
      <w:r>
        <w:t>Errors of fact and omissions</w:t>
      </w:r>
    </w:p>
    <w:p w:rsidR="004559F1" w:rsidRDefault="004559F1" w:rsidP="004559F1">
      <w:r>
        <w:t xml:space="preserve">The evaluators has noted and amended this version of the evaluation report with the </w:t>
      </w:r>
      <w:r w:rsidR="006750C7">
        <w:t xml:space="preserve">sponsor’s </w:t>
      </w:r>
      <w:r>
        <w:t xml:space="preserve">comments </w:t>
      </w:r>
      <w:r w:rsidR="006750C7">
        <w:t>on the first round evaluation</w:t>
      </w:r>
      <w:r>
        <w:t>. These changes have no effect on the outcome of the first round evaluation.</w:t>
      </w:r>
    </w:p>
    <w:p w:rsidR="004559F1" w:rsidRDefault="004559F1" w:rsidP="006750C7">
      <w:pPr>
        <w:pStyle w:val="Heading4"/>
      </w:pPr>
      <w:r>
        <w:t>Response to clinical questions</w:t>
      </w:r>
    </w:p>
    <w:p w:rsidR="004559F1" w:rsidRDefault="00917B8C" w:rsidP="00634114">
      <w:pPr>
        <w:pStyle w:val="Heading5"/>
      </w:pPr>
      <w:r>
        <w:t>Clinical q</w:t>
      </w:r>
      <w:r w:rsidR="004559F1">
        <w:t xml:space="preserve">uestion </w:t>
      </w:r>
      <w:r>
        <w:t xml:space="preserve">I. </w:t>
      </w:r>
      <w:r w:rsidR="00543D3D">
        <w:t xml:space="preserve">evaluator </w:t>
      </w:r>
      <w:r>
        <w:t>comments on the sponsor’s response</w:t>
      </w:r>
    </w:p>
    <w:p w:rsidR="004559F1" w:rsidRDefault="004559F1" w:rsidP="004559F1">
      <w:r>
        <w:t xml:space="preserve">The sponsor’s response is satisfactory. It is unlikely that these patient’s low platelet counts were related to </w:t>
      </w:r>
      <w:proofErr w:type="spellStart"/>
      <w:r w:rsidR="005A1D2B">
        <w:t>omalizumab</w:t>
      </w:r>
      <w:proofErr w:type="spellEnd"/>
      <w:r w:rsidR="005A1D2B">
        <w:t xml:space="preserve"> (</w:t>
      </w:r>
      <w:proofErr w:type="spellStart"/>
      <w:r w:rsidR="005A1D2B">
        <w:t>rch</w:t>
      </w:r>
      <w:proofErr w:type="spellEnd"/>
      <w:r w:rsidR="005A1D2B">
        <w:t>)</w:t>
      </w:r>
      <w:r>
        <w:t xml:space="preserve">. Possible causes include </w:t>
      </w:r>
      <w:proofErr w:type="spellStart"/>
      <w:r>
        <w:t>artefactually</w:t>
      </w:r>
      <w:proofErr w:type="spellEnd"/>
      <w:r>
        <w:t xml:space="preserve"> low readings from clumping in the laboratory, viral illness or concomitant medications.</w:t>
      </w:r>
    </w:p>
    <w:p w:rsidR="004559F1" w:rsidRDefault="00917B8C" w:rsidP="00917B8C">
      <w:pPr>
        <w:pStyle w:val="Heading5"/>
      </w:pPr>
      <w:r>
        <w:t>Clinical q</w:t>
      </w:r>
      <w:r w:rsidR="004559F1">
        <w:t xml:space="preserve">uestion </w:t>
      </w:r>
      <w:r>
        <w:t xml:space="preserve">II. </w:t>
      </w:r>
      <w:proofErr w:type="gramStart"/>
      <w:r w:rsidR="00543D3D">
        <w:t>e</w:t>
      </w:r>
      <w:r w:rsidR="004559F1">
        <w:t>valuator</w:t>
      </w:r>
      <w:proofErr w:type="gramEnd"/>
      <w:r w:rsidR="004559F1">
        <w:t xml:space="preserve"> </w:t>
      </w:r>
      <w:r>
        <w:t>comments on the sponsor’s response</w:t>
      </w:r>
    </w:p>
    <w:p w:rsidR="004559F1" w:rsidRDefault="004559F1" w:rsidP="004559F1">
      <w:r>
        <w:t>The sponsor’s response is satisfactory. The abnormal haematology results were unlikely to be due to the study medication.</w:t>
      </w:r>
    </w:p>
    <w:p w:rsidR="004559F1" w:rsidRDefault="004559F1" w:rsidP="00634114">
      <w:pPr>
        <w:pStyle w:val="Heading4"/>
      </w:pPr>
      <w:r>
        <w:t>Additional safety related changes requested by the sponsor</w:t>
      </w:r>
    </w:p>
    <w:p w:rsidR="00E24628" w:rsidRDefault="004559F1" w:rsidP="004559F1">
      <w:r>
        <w:t xml:space="preserve">The sponsor has proposed additional safety related changes to the PI following the results of a study (EXPAND) that characterised the risk factors for anaphylaxis following </w:t>
      </w:r>
      <w:r w:rsidR="00634114" w:rsidRPr="00634114">
        <w:t>Xolair</w:t>
      </w:r>
      <w:r w:rsidR="00634114">
        <w:t xml:space="preserve"> </w:t>
      </w:r>
      <w:r>
        <w:t>administration to asthma patients. This information became available during the review period of PSUR 20 from Jan</w:t>
      </w:r>
      <w:r w:rsidR="00634114">
        <w:t>uary</w:t>
      </w:r>
      <w:r>
        <w:t xml:space="preserve"> 1 2014</w:t>
      </w:r>
      <w:r w:rsidR="00634114">
        <w:t xml:space="preserve"> to </w:t>
      </w:r>
      <w:r>
        <w:t>Dec</w:t>
      </w:r>
      <w:r w:rsidR="00634114">
        <w:t>ember</w:t>
      </w:r>
      <w:r>
        <w:t xml:space="preserve"> 31 2014</w:t>
      </w:r>
      <w:r w:rsidR="00E24628">
        <w:t>.</w:t>
      </w:r>
    </w:p>
    <w:p w:rsidR="004559F1" w:rsidRDefault="004559F1" w:rsidP="004559F1">
      <w:r>
        <w:t>The following information is from the response</w:t>
      </w:r>
      <w:r w:rsidR="003B6CF2">
        <w:t>:</w:t>
      </w:r>
    </w:p>
    <w:p w:rsidR="004559F1" w:rsidRDefault="00634114" w:rsidP="00634114">
      <w:pPr>
        <w:pStyle w:val="Heading5"/>
      </w:pPr>
      <w:r>
        <w:lastRenderedPageBreak/>
        <w:t>Background</w:t>
      </w:r>
    </w:p>
    <w:p w:rsidR="004559F1" w:rsidRDefault="004559F1" w:rsidP="004559F1">
      <w:r>
        <w:t xml:space="preserve">The incidence of anaphylaxis in severe asthma patients is reported to be 65.35 cases per 100 000 patient years. Because </w:t>
      </w:r>
      <w:r w:rsidR="00634114">
        <w:t xml:space="preserve">Xolair </w:t>
      </w:r>
      <w:r>
        <w:t xml:space="preserve">is a protein, there is a possibility of immediate hypersensitivity reactions such as </w:t>
      </w:r>
      <w:proofErr w:type="spellStart"/>
      <w:r>
        <w:t>anaphylactoid</w:t>
      </w:r>
      <w:proofErr w:type="spellEnd"/>
      <w:r>
        <w:t xml:space="preserve"> reactions. Anaphylaxis and </w:t>
      </w:r>
      <w:proofErr w:type="spellStart"/>
      <w:r>
        <w:t>anaphylactoid</w:t>
      </w:r>
      <w:proofErr w:type="spellEnd"/>
      <w:r>
        <w:t xml:space="preserve"> reactions were rare in the clinical development program and balanced between </w:t>
      </w:r>
      <w:r w:rsidR="00634114">
        <w:t xml:space="preserve">Xolair </w:t>
      </w:r>
      <w:r>
        <w:t xml:space="preserve">and placebo arms. Cases of anaphylaxis and </w:t>
      </w:r>
      <w:proofErr w:type="spellStart"/>
      <w:r>
        <w:t>anaphylactoid</w:t>
      </w:r>
      <w:proofErr w:type="spellEnd"/>
      <w:r>
        <w:t xml:space="preserve"> reactions have been reported in the post market setting.</w:t>
      </w:r>
    </w:p>
    <w:p w:rsidR="004559F1" w:rsidRDefault="004559F1" w:rsidP="004559F1">
      <w:r w:rsidRPr="00634114">
        <w:rPr>
          <w:rStyle w:val="Heading6Char"/>
          <w:rFonts w:eastAsia="Cambria"/>
        </w:rPr>
        <w:t>X-PAND (Q4458g)</w:t>
      </w:r>
      <w:r>
        <w:t xml:space="preserve"> was a case control study using clinical data and serum repository of subjects who experienced anaphylaxis associated with </w:t>
      </w:r>
      <w:proofErr w:type="spellStart"/>
      <w:r w:rsidR="005A1D2B">
        <w:t>omalizumab</w:t>
      </w:r>
      <w:proofErr w:type="spellEnd"/>
      <w:r w:rsidR="005A1D2B">
        <w:t xml:space="preserve"> (</w:t>
      </w:r>
      <w:proofErr w:type="spellStart"/>
      <w:r w:rsidR="005A1D2B">
        <w:t>rch</w:t>
      </w:r>
      <w:proofErr w:type="spellEnd"/>
      <w:r w:rsidR="005A1D2B">
        <w:t>)</w:t>
      </w:r>
      <w:r>
        <w:t xml:space="preserve"> (cases) compared to subjects treated with </w:t>
      </w:r>
      <w:proofErr w:type="spellStart"/>
      <w:r w:rsidR="005A1D2B">
        <w:t>omalizumab</w:t>
      </w:r>
      <w:proofErr w:type="spellEnd"/>
      <w:r w:rsidR="005A1D2B">
        <w:t xml:space="preserve"> (</w:t>
      </w:r>
      <w:proofErr w:type="spellStart"/>
      <w:r w:rsidR="005A1D2B">
        <w:t>rch</w:t>
      </w:r>
      <w:proofErr w:type="spellEnd"/>
      <w:r w:rsidR="005A1D2B">
        <w:t>)</w:t>
      </w:r>
      <w:r>
        <w:t xml:space="preserve"> who did not experience anaphylaxis (controls). Potential cases of anaphylaxis or </w:t>
      </w:r>
      <w:proofErr w:type="spellStart"/>
      <w:r>
        <w:t>anaphylactoid</w:t>
      </w:r>
      <w:proofErr w:type="spellEnd"/>
      <w:r>
        <w:t xml:space="preserve"> reactions were adjudicated on the basis of Sampson Criteria. If a positive adjudication was made, the health care providers who reported cases were asked to enrol each anaphylaxis patient in the repository study and identify up to 4 suitable controls. Patients who had discontinued treatment for more than 16 weeks but less than 18 months were eligible to be tested for anti-therapeutic antibody assay and a skin test.</w:t>
      </w:r>
    </w:p>
    <w:p w:rsidR="004559F1" w:rsidRDefault="004559F1" w:rsidP="004559F1">
      <w:r>
        <w:t>There were 30 cases identified. These were matched to 88 controls. A previous history of anaphylaxis was noted in 56.7% of anaphylaxis cases and 22.7% of control subjects. Exploratory analysis using a multivariate logistic regression model found that prior anaphylaxis was a risk factor for adjudicated anaphylaxis.</w:t>
      </w:r>
      <w:r w:rsidR="006750C7">
        <w:t xml:space="preserve"> </w:t>
      </w:r>
      <w:r>
        <w:t xml:space="preserve">Approximately 40% of patients with anaphylaxis experienced a reaction in the first 3 doses. All patients (n=31, 21 cases and 10 controls) that were tested for anti-treatment antibodies were negative for IgG and </w:t>
      </w:r>
      <w:proofErr w:type="spellStart"/>
      <w:r>
        <w:t>IgE</w:t>
      </w:r>
      <w:proofErr w:type="spellEnd"/>
      <w:r>
        <w:t xml:space="preserve"> isotypes to </w:t>
      </w:r>
      <w:proofErr w:type="spellStart"/>
      <w:r w:rsidR="005A1D2B">
        <w:t>omalizumab</w:t>
      </w:r>
      <w:proofErr w:type="spellEnd"/>
      <w:r w:rsidR="005A1D2B">
        <w:t xml:space="preserve"> (</w:t>
      </w:r>
      <w:proofErr w:type="spellStart"/>
      <w:r w:rsidR="005A1D2B">
        <w:t>rch</w:t>
      </w:r>
      <w:proofErr w:type="spellEnd"/>
      <w:r w:rsidR="005A1D2B">
        <w:t>)</w:t>
      </w:r>
      <w:r>
        <w:t>.</w:t>
      </w:r>
    </w:p>
    <w:p w:rsidR="004559F1" w:rsidRDefault="004559F1" w:rsidP="00634114">
      <w:pPr>
        <w:pStyle w:val="Heading5"/>
      </w:pPr>
      <w:proofErr w:type="spellStart"/>
      <w:r>
        <w:t>Postmarketing</w:t>
      </w:r>
      <w:proofErr w:type="spellEnd"/>
      <w:r>
        <w:t xml:space="preserve"> safety data</w:t>
      </w:r>
    </w:p>
    <w:p w:rsidR="004559F1" w:rsidRDefault="004559F1" w:rsidP="004559F1">
      <w:r>
        <w:t xml:space="preserve">A cumulative search of the safety database retrieved a total of 2873 evaluable cases. The majority of </w:t>
      </w:r>
      <w:proofErr w:type="spellStart"/>
      <w:r>
        <w:t>anaphylactoid</w:t>
      </w:r>
      <w:proofErr w:type="spellEnd"/>
      <w:r>
        <w:t xml:space="preserve"> reactions occurred after the first dose.</w:t>
      </w:r>
      <w:r w:rsidR="006750C7">
        <w:t xml:space="preserve"> </w:t>
      </w:r>
      <w:r>
        <w:t>Based on an estimated exposure of 566 923 patient years, the reporting rate of anaphylaxis was 0.16%.</w:t>
      </w:r>
    </w:p>
    <w:p w:rsidR="004559F1" w:rsidRDefault="004559F1" w:rsidP="00634114">
      <w:pPr>
        <w:pStyle w:val="Heading5"/>
      </w:pPr>
      <w:r>
        <w:t xml:space="preserve">Evaluator’s </w:t>
      </w:r>
      <w:r w:rsidR="00FA00C2">
        <w:t>c</w:t>
      </w:r>
      <w:r>
        <w:t>omment</w:t>
      </w:r>
    </w:p>
    <w:p w:rsidR="004559F1" w:rsidRDefault="004559F1" w:rsidP="004559F1">
      <w:r>
        <w:t>The sponsor has noted a number of limitations of the X-PAND study and post marketing data.</w:t>
      </w:r>
      <w:r w:rsidR="006750C7">
        <w:t xml:space="preserve"> </w:t>
      </w:r>
      <w:r>
        <w:t>Despite this, the safety related changes are acceptable.</w:t>
      </w:r>
    </w:p>
    <w:p w:rsidR="004559F1" w:rsidRDefault="004559F1" w:rsidP="00634114">
      <w:pPr>
        <w:pStyle w:val="Heading4"/>
      </w:pPr>
      <w:r>
        <w:t xml:space="preserve">Sponsors </w:t>
      </w:r>
      <w:r w:rsidR="00917B8C">
        <w:t>r</w:t>
      </w:r>
      <w:r>
        <w:t xml:space="preserve">esponse to further questions from the </w:t>
      </w:r>
      <w:r w:rsidR="00917B8C">
        <w:t>D</w:t>
      </w:r>
      <w:r>
        <w:t>elegate</w:t>
      </w:r>
    </w:p>
    <w:p w:rsidR="004559F1" w:rsidRDefault="00917B8C" w:rsidP="00634114">
      <w:pPr>
        <w:pStyle w:val="Heading5"/>
        <w:rPr>
          <w:lang w:val="en-US"/>
        </w:rPr>
      </w:pPr>
      <w:r>
        <w:t xml:space="preserve">Delegate’s </w:t>
      </w:r>
      <w:r w:rsidR="00543D3D">
        <w:t>q</w:t>
      </w:r>
      <w:r>
        <w:t xml:space="preserve">uestion </w:t>
      </w:r>
      <w:r w:rsidR="004559F1">
        <w:rPr>
          <w:lang w:val="en-US"/>
        </w:rPr>
        <w:t>1</w:t>
      </w:r>
    </w:p>
    <w:p w:rsidR="004559F1" w:rsidRPr="00634114" w:rsidRDefault="004559F1" w:rsidP="00634114">
      <w:pPr>
        <w:rPr>
          <w:i/>
          <w:lang w:val="en-US"/>
        </w:rPr>
      </w:pPr>
      <w:r w:rsidRPr="00634114">
        <w:rPr>
          <w:i/>
          <w:lang w:val="en-US"/>
        </w:rPr>
        <w:t xml:space="preserve">In relation to the dosing: Is there any role in monitoring patients free </w:t>
      </w:r>
      <w:proofErr w:type="spellStart"/>
      <w:r w:rsidRPr="00634114">
        <w:rPr>
          <w:i/>
          <w:lang w:val="en-US"/>
        </w:rPr>
        <w:t>IgE</w:t>
      </w:r>
      <w:proofErr w:type="spellEnd"/>
      <w:r w:rsidRPr="00634114">
        <w:rPr>
          <w:i/>
          <w:lang w:val="en-US"/>
        </w:rPr>
        <w:t xml:space="preserve"> level and adjusting the dose of </w:t>
      </w:r>
      <w:proofErr w:type="spellStart"/>
      <w:r w:rsidR="005A1D2B">
        <w:rPr>
          <w:i/>
          <w:lang w:val="en-US"/>
        </w:rPr>
        <w:t>omalizumab</w:t>
      </w:r>
      <w:proofErr w:type="spellEnd"/>
      <w:r w:rsidR="005A1D2B">
        <w:rPr>
          <w:i/>
          <w:lang w:val="en-US"/>
        </w:rPr>
        <w:t xml:space="preserve"> (</w:t>
      </w:r>
      <w:proofErr w:type="spellStart"/>
      <w:r w:rsidR="005A1D2B">
        <w:rPr>
          <w:i/>
          <w:lang w:val="en-US"/>
        </w:rPr>
        <w:t>rch</w:t>
      </w:r>
      <w:proofErr w:type="spellEnd"/>
      <w:r w:rsidR="005A1D2B">
        <w:rPr>
          <w:i/>
          <w:lang w:val="en-US"/>
        </w:rPr>
        <w:t>)</w:t>
      </w:r>
      <w:r w:rsidRPr="00634114">
        <w:rPr>
          <w:i/>
          <w:lang w:val="en-US"/>
        </w:rPr>
        <w:t xml:space="preserve"> to achieve a level &lt; 50 (or 25)</w:t>
      </w:r>
      <w:r w:rsidR="00634114">
        <w:rPr>
          <w:i/>
          <w:lang w:val="en-US"/>
        </w:rPr>
        <w:t xml:space="preserve"> </w:t>
      </w:r>
      <w:r w:rsidRPr="00634114">
        <w:rPr>
          <w:i/>
          <w:lang w:val="en-US"/>
        </w:rPr>
        <w:t>IU/m</w:t>
      </w:r>
      <w:r w:rsidR="00634114">
        <w:rPr>
          <w:i/>
          <w:lang w:val="en-US"/>
        </w:rPr>
        <w:t>L</w:t>
      </w:r>
      <w:r w:rsidRPr="00634114">
        <w:rPr>
          <w:i/>
          <w:lang w:val="en-US"/>
        </w:rPr>
        <w:t>?</w:t>
      </w:r>
    </w:p>
    <w:p w:rsidR="004559F1" w:rsidRDefault="004559F1" w:rsidP="00477DE8">
      <w:pPr>
        <w:pStyle w:val="Heading6"/>
        <w:rPr>
          <w:kern w:val="16"/>
        </w:rPr>
      </w:pPr>
      <w:r>
        <w:t>Sponsor’s response</w:t>
      </w:r>
    </w:p>
    <w:p w:rsidR="004559F1" w:rsidRDefault="004559F1" w:rsidP="00634114">
      <w:r>
        <w:t xml:space="preserve">Two commercial free </w:t>
      </w:r>
      <w:proofErr w:type="spellStart"/>
      <w:r>
        <w:t>IgE</w:t>
      </w:r>
      <w:proofErr w:type="spellEnd"/>
      <w:r>
        <w:t xml:space="preserve"> assays have been compared to the Genentech assay used in the sponsor’s drug development program. Both of these assays were found to over report </w:t>
      </w:r>
      <w:proofErr w:type="spellStart"/>
      <w:r>
        <w:t>IgE</w:t>
      </w:r>
      <w:proofErr w:type="spellEnd"/>
      <w:r>
        <w:t xml:space="preserve"> levels. If patients are treated as per the dosing table provided by the sponsor, free </w:t>
      </w:r>
      <w:proofErr w:type="spellStart"/>
      <w:r>
        <w:t>IgE</w:t>
      </w:r>
      <w:proofErr w:type="spellEnd"/>
      <w:r>
        <w:t xml:space="preserve"> levels are expected to be less than 50ng/m</w:t>
      </w:r>
      <w:r w:rsidR="00634114">
        <w:t>L</w:t>
      </w:r>
      <w:r>
        <w:t xml:space="preserve"> in &gt; 95% of patients.</w:t>
      </w:r>
    </w:p>
    <w:p w:rsidR="004559F1" w:rsidRDefault="004559F1" w:rsidP="00477DE8">
      <w:pPr>
        <w:pStyle w:val="Heading6"/>
      </w:pPr>
      <w:r>
        <w:t>Evaluator comment</w:t>
      </w:r>
    </w:p>
    <w:p w:rsidR="004559F1" w:rsidRDefault="004559F1" w:rsidP="00634114">
      <w:r>
        <w:t>The response is acceptable and helpful.</w:t>
      </w:r>
    </w:p>
    <w:p w:rsidR="004559F1" w:rsidRDefault="00917B8C" w:rsidP="00634114">
      <w:pPr>
        <w:pStyle w:val="Heading5"/>
      </w:pPr>
      <w:r>
        <w:t xml:space="preserve">Delegate’s </w:t>
      </w:r>
      <w:r w:rsidR="00543D3D">
        <w:t>q</w:t>
      </w:r>
      <w:r w:rsidR="00FA00C2">
        <w:t>uestion</w:t>
      </w:r>
      <w:r w:rsidR="004559F1">
        <w:t xml:space="preserve"> 2</w:t>
      </w:r>
    </w:p>
    <w:p w:rsidR="004559F1" w:rsidRPr="00634114" w:rsidRDefault="004559F1" w:rsidP="00634114">
      <w:pPr>
        <w:rPr>
          <w:i/>
          <w:lang w:val="en-US"/>
        </w:rPr>
      </w:pPr>
      <w:r w:rsidRPr="00634114">
        <w:rPr>
          <w:i/>
          <w:lang w:val="en-US"/>
        </w:rPr>
        <w:t xml:space="preserve">Based on the clinical trials, it appears that </w:t>
      </w:r>
      <w:proofErr w:type="spellStart"/>
      <w:r w:rsidR="005A1D2B">
        <w:rPr>
          <w:i/>
          <w:lang w:val="en-US"/>
        </w:rPr>
        <w:t>omalizumab</w:t>
      </w:r>
      <w:proofErr w:type="spellEnd"/>
      <w:r w:rsidR="005A1D2B">
        <w:rPr>
          <w:i/>
          <w:lang w:val="en-US"/>
        </w:rPr>
        <w:t xml:space="preserve"> (</w:t>
      </w:r>
      <w:proofErr w:type="spellStart"/>
      <w:r w:rsidR="005A1D2B">
        <w:rPr>
          <w:i/>
          <w:lang w:val="en-US"/>
        </w:rPr>
        <w:t>rch</w:t>
      </w:r>
      <w:proofErr w:type="spellEnd"/>
      <w:r w:rsidR="005A1D2B">
        <w:rPr>
          <w:i/>
          <w:lang w:val="en-US"/>
        </w:rPr>
        <w:t>)</w:t>
      </w:r>
      <w:r w:rsidRPr="00634114">
        <w:rPr>
          <w:i/>
          <w:lang w:val="en-US"/>
        </w:rPr>
        <w:t xml:space="preserve"> is less efficacious in children than in adults. This may be because the clinical trials in children were smaller and underpowered to detect a significant difference and the patients had less severe asthma than </w:t>
      </w:r>
      <w:r w:rsidRPr="00634114">
        <w:rPr>
          <w:i/>
          <w:lang w:val="en-US"/>
        </w:rPr>
        <w:lastRenderedPageBreak/>
        <w:t>in the adult trials. Could the sponsor please provide some more background information about the heterogeneity and natural history of moderate and severe asthma in children?</w:t>
      </w:r>
    </w:p>
    <w:p w:rsidR="00E24628" w:rsidRDefault="004559F1" w:rsidP="00634114">
      <w:r>
        <w:t xml:space="preserve">Although there have been more clinical trials in adults than in children, the clinical response in children is comparable or in some ways superior to in adults. For example, in the 5 placebo controlled </w:t>
      </w:r>
      <w:r w:rsidR="00634114">
        <w:t>randomised clinical trial (</w:t>
      </w:r>
      <w:r>
        <w:t>RCT</w:t>
      </w:r>
      <w:r w:rsidR="00634114">
        <w:t>)</w:t>
      </w:r>
      <w:r>
        <w:t xml:space="preserve"> in adults and adolescents, </w:t>
      </w:r>
      <w:r w:rsidR="00634114">
        <w:t xml:space="preserve">Xolair </w:t>
      </w:r>
      <w:r>
        <w:t xml:space="preserve">reduced asthma exacerbations by 35% (95% </w:t>
      </w:r>
      <w:r w:rsidR="00634114">
        <w:t>confidence interval (</w:t>
      </w:r>
      <w:r>
        <w:t>CI</w:t>
      </w:r>
      <w:r w:rsidR="00634114">
        <w:t>)</w:t>
      </w:r>
      <w:r>
        <w:t xml:space="preserve"> 23</w:t>
      </w:r>
      <w:r w:rsidR="00634114">
        <w:t xml:space="preserve"> to </w:t>
      </w:r>
      <w:r>
        <w:t>45%), compared with study IA05 where the relative rate reduction in asthma exacerbations was 30.7%. Patients with more severe asthma had greater benefits</w:t>
      </w:r>
      <w:r w:rsidR="00E24628">
        <w:t>.</w:t>
      </w:r>
    </w:p>
    <w:p w:rsidR="004559F1" w:rsidRDefault="004559F1" w:rsidP="00634114">
      <w:r>
        <w:t xml:space="preserve">The sponsor acknowledges that benefits in secondary end points were not apparent in </w:t>
      </w:r>
      <w:r w:rsidR="00634114">
        <w:t>S</w:t>
      </w:r>
      <w:r>
        <w:t>tudy IA05 and explains this on the basis of a number of studies that have demonstrated that children and their families are unable to perceive differences in asthma control.</w:t>
      </w:r>
    </w:p>
    <w:p w:rsidR="004559F1" w:rsidRDefault="004559F1" w:rsidP="00634114">
      <w:r>
        <w:t>Epidemiological studies have shown that in around 50% of children, symptoms improve by adolescences. Those with more severe asthma are less likely to improve. Atopy is also a risk factor for persistent asthma. Poorly controlled asthma can lead to loss of lung function.</w:t>
      </w:r>
    </w:p>
    <w:p w:rsidR="004549ED" w:rsidRDefault="004549ED" w:rsidP="00477DE8">
      <w:pPr>
        <w:pStyle w:val="Heading6"/>
      </w:pPr>
      <w:r>
        <w:t>Sponsor’s response</w:t>
      </w:r>
    </w:p>
    <w:p w:rsidR="004549ED" w:rsidRDefault="004549ED" w:rsidP="004549ED">
      <w:r>
        <w:t xml:space="preserve">In </w:t>
      </w:r>
      <w:proofErr w:type="spellStart"/>
      <w:r>
        <w:t>Busse</w:t>
      </w:r>
      <w:proofErr w:type="spellEnd"/>
      <w:r>
        <w:t xml:space="preserve"> et al 2007, the mean benefit on corticosteroid bursts was 35% in 5 placebo-controlled randomized trials. The duration of active treatment in each of these trials was 28, 28, 52, 52, and 32 weeks. In Study IA05, the benefit on clinically significant exacerbations in the </w:t>
      </w:r>
      <w:proofErr w:type="spellStart"/>
      <w:r>
        <w:t>mITT</w:t>
      </w:r>
      <w:proofErr w:type="spellEnd"/>
      <w:r>
        <w:t xml:space="preserve"> population was 31% over 24 weeks and 43% over 52 weeks; in the EU </w:t>
      </w:r>
      <w:proofErr w:type="spellStart"/>
      <w:r>
        <w:t>mITT</w:t>
      </w:r>
      <w:proofErr w:type="spellEnd"/>
      <w:r>
        <w:t xml:space="preserve"> population (Step 4 treatment as background) the benefit was 34% over 24 weeks and 50% over 52 weeks.</w:t>
      </w:r>
    </w:p>
    <w:p w:rsidR="004549ED" w:rsidRDefault="004549ED" w:rsidP="004549ED">
      <w:r>
        <w:t>In the adult trial in severe asthma in this analysis (INNOVATE), in which all recruited patients were receiving Step 4 treatment as background therapy, the benefit on exacerbations over 52 weeks was 26% (v</w:t>
      </w:r>
      <w:r w:rsidR="00241905">
        <w:t>ersu</w:t>
      </w:r>
      <w:r>
        <w:t xml:space="preserve">s a 50% benefit in the equivalent population over the same time interval in Study IA05). Therefore, the </w:t>
      </w:r>
      <w:r w:rsidR="00241905">
        <w:t>s</w:t>
      </w:r>
      <w:r>
        <w:t>ponsor maintains that the benefit on exacerbations in children is at least as good as that in adults and the benefit on exacerbations among patients on high dose ICS/LABA background controller therapy is numerically greater in children than in adults.</w:t>
      </w:r>
    </w:p>
    <w:p w:rsidR="004559F1" w:rsidRDefault="004559F1" w:rsidP="00477DE8">
      <w:pPr>
        <w:pStyle w:val="Heading6"/>
      </w:pPr>
      <w:r>
        <w:t>Evaluator’s comment</w:t>
      </w:r>
    </w:p>
    <w:p w:rsidR="004559F1" w:rsidRPr="00634114" w:rsidRDefault="004559F1" w:rsidP="00634114">
      <w:r>
        <w:t xml:space="preserve">Although the poor ability of children and their families to accurate describe symptoms of control may contribute to bias towards no treatment difference in the reports of symptom score or quality of life, it does not explain the discrepancy between reduction in exacerbations but not </w:t>
      </w:r>
      <w:r w:rsidRPr="00634114">
        <w:t xml:space="preserve">difference seen in ICS, use of asthma rescue medications or </w:t>
      </w:r>
      <w:r w:rsidR="00634114" w:rsidRPr="00634114">
        <w:t>emergency department (</w:t>
      </w:r>
      <w:r w:rsidRPr="00634114">
        <w:t>ED</w:t>
      </w:r>
      <w:r w:rsidR="00634114" w:rsidRPr="00634114">
        <w:t>)</w:t>
      </w:r>
      <w:r w:rsidRPr="00634114">
        <w:t xml:space="preserve"> presentations with asthma. The secondary outcomes also demonstrated an improvement in </w:t>
      </w:r>
      <w:r w:rsidR="00634114" w:rsidRPr="00634114">
        <w:t>forced vital capacity (</w:t>
      </w:r>
      <w:r w:rsidRPr="00634114">
        <w:t>FVC</w:t>
      </w:r>
      <w:r w:rsidR="00634114" w:rsidRPr="00634114">
        <w:t>)</w:t>
      </w:r>
      <w:r w:rsidRPr="00634114">
        <w:t xml:space="preserve"> but not </w:t>
      </w:r>
      <w:r w:rsidR="00634114" w:rsidRPr="00634114">
        <w:t>forced expiratory volume (</w:t>
      </w:r>
      <w:r w:rsidRPr="00634114">
        <w:t>FEV1</w:t>
      </w:r>
      <w:r w:rsidR="00634114" w:rsidRPr="00634114">
        <w:t>)</w:t>
      </w:r>
      <w:r w:rsidRPr="00634114">
        <w:t>.</w:t>
      </w:r>
    </w:p>
    <w:p w:rsidR="004559F1" w:rsidRDefault="004559F1" w:rsidP="00634114">
      <w:r>
        <w:t xml:space="preserve">There was also some inconsistency in findings between trials. For example in </w:t>
      </w:r>
      <w:r w:rsidR="00634114">
        <w:t>S</w:t>
      </w:r>
      <w:r>
        <w:t>tudy IA05 there was no reduction in ICS dose, where as in IA010 patients were able to reduce the dose of ICS.</w:t>
      </w:r>
    </w:p>
    <w:p w:rsidR="004559F1" w:rsidRPr="00477DE8" w:rsidRDefault="00917B8C" w:rsidP="00477DE8">
      <w:pPr>
        <w:pStyle w:val="Heading5"/>
      </w:pPr>
      <w:r>
        <w:t xml:space="preserve">Delegate’s </w:t>
      </w:r>
      <w:r w:rsidR="00543D3D">
        <w:t>q</w:t>
      </w:r>
      <w:r>
        <w:t>uestion</w:t>
      </w:r>
      <w:r w:rsidR="004559F1">
        <w:rPr>
          <w:lang w:val="en-US"/>
        </w:rPr>
        <w:t xml:space="preserve"> 3</w:t>
      </w:r>
    </w:p>
    <w:p w:rsidR="004559F1" w:rsidRPr="00634114" w:rsidRDefault="004559F1" w:rsidP="00634114">
      <w:pPr>
        <w:rPr>
          <w:i/>
          <w:lang w:val="en-US"/>
        </w:rPr>
      </w:pPr>
      <w:r w:rsidRPr="00634114">
        <w:rPr>
          <w:i/>
          <w:lang w:val="en-US"/>
        </w:rPr>
        <w:t xml:space="preserve">For patients who respond to </w:t>
      </w:r>
      <w:proofErr w:type="spellStart"/>
      <w:r w:rsidR="005A1D2B">
        <w:rPr>
          <w:i/>
          <w:lang w:val="en-US"/>
        </w:rPr>
        <w:t>omalizumab</w:t>
      </w:r>
      <w:proofErr w:type="spellEnd"/>
      <w:r w:rsidR="005A1D2B">
        <w:rPr>
          <w:i/>
          <w:lang w:val="en-US"/>
        </w:rPr>
        <w:t xml:space="preserve"> (</w:t>
      </w:r>
      <w:proofErr w:type="spellStart"/>
      <w:r w:rsidR="005A1D2B">
        <w:rPr>
          <w:i/>
          <w:lang w:val="en-US"/>
        </w:rPr>
        <w:t>rch</w:t>
      </w:r>
      <w:proofErr w:type="spellEnd"/>
      <w:r w:rsidR="005A1D2B">
        <w:rPr>
          <w:i/>
          <w:lang w:val="en-US"/>
        </w:rPr>
        <w:t>)</w:t>
      </w:r>
      <w:r w:rsidRPr="00634114">
        <w:rPr>
          <w:i/>
          <w:lang w:val="en-US"/>
        </w:rPr>
        <w:t>, is ongoing treatment recommended, or is finite period better? What has been the experience with long term treatment in children and adults? Does the response wane over time?</w:t>
      </w:r>
    </w:p>
    <w:p w:rsidR="004559F1" w:rsidRDefault="004559F1" w:rsidP="00477DE8">
      <w:pPr>
        <w:pStyle w:val="Heading6"/>
        <w:rPr>
          <w:u w:val="single"/>
          <w:lang w:val="en-US"/>
        </w:rPr>
      </w:pPr>
      <w:r>
        <w:rPr>
          <w:lang w:val="en-US"/>
        </w:rPr>
        <w:t>Sponsor’s response</w:t>
      </w:r>
    </w:p>
    <w:p w:rsidR="00E24628" w:rsidRDefault="004559F1" w:rsidP="004559F1">
      <w:r>
        <w:t xml:space="preserve">Few studies have evaluated long term efficacy of asthma therapies. The XPORT study evaluated the persistence of response in patients continuing or withdrawing from </w:t>
      </w:r>
      <w:proofErr w:type="spellStart"/>
      <w:r w:rsidR="005A1D2B">
        <w:t>omalizumab</w:t>
      </w:r>
      <w:proofErr w:type="spellEnd"/>
      <w:r w:rsidR="005A1D2B">
        <w:t xml:space="preserve"> (</w:t>
      </w:r>
      <w:proofErr w:type="spellStart"/>
      <w:r w:rsidR="005A1D2B">
        <w:t>rch</w:t>
      </w:r>
      <w:proofErr w:type="spellEnd"/>
      <w:r w:rsidR="005A1D2B">
        <w:t>)</w:t>
      </w:r>
      <w:r>
        <w:t xml:space="preserve"> therapy after &gt; 5 years of therapy with </w:t>
      </w:r>
      <w:proofErr w:type="spellStart"/>
      <w:r w:rsidR="005A1D2B">
        <w:t>omalizumab</w:t>
      </w:r>
      <w:proofErr w:type="spellEnd"/>
      <w:r w:rsidR="005A1D2B">
        <w:t xml:space="preserve"> (</w:t>
      </w:r>
      <w:proofErr w:type="spellStart"/>
      <w:r w:rsidR="005A1D2B">
        <w:t>rch</w:t>
      </w:r>
      <w:proofErr w:type="spellEnd"/>
      <w:r w:rsidR="005A1D2B">
        <w:t>)</w:t>
      </w:r>
      <w:r w:rsidR="00E24628">
        <w:t>.</w:t>
      </w:r>
    </w:p>
    <w:p w:rsidR="004559F1" w:rsidRDefault="004559F1" w:rsidP="004559F1">
      <w:r>
        <w:lastRenderedPageBreak/>
        <w:t xml:space="preserve">The XPORT study was a randomised, double blind, placebo controlled 52 week withdrawal study. Patients were enrolled in the study if they had received ≥ 5 years of </w:t>
      </w:r>
      <w:proofErr w:type="spellStart"/>
      <w:r w:rsidR="005A1D2B">
        <w:t>omalizumab</w:t>
      </w:r>
      <w:proofErr w:type="spellEnd"/>
      <w:r w:rsidR="005A1D2B">
        <w:t xml:space="preserve"> (</w:t>
      </w:r>
      <w:proofErr w:type="spellStart"/>
      <w:r w:rsidR="005A1D2B">
        <w:t>rch</w:t>
      </w:r>
      <w:proofErr w:type="spellEnd"/>
      <w:r w:rsidR="005A1D2B">
        <w:t>)</w:t>
      </w:r>
      <w:r>
        <w:t xml:space="preserve">. The primary objective was to determine the persistence of response to </w:t>
      </w:r>
      <w:proofErr w:type="spellStart"/>
      <w:r w:rsidR="005A1D2B">
        <w:t>omalizumab</w:t>
      </w:r>
      <w:proofErr w:type="spellEnd"/>
      <w:r w:rsidR="005A1D2B">
        <w:t xml:space="preserve"> (</w:t>
      </w:r>
      <w:proofErr w:type="spellStart"/>
      <w:r w:rsidR="005A1D2B">
        <w:t>rch</w:t>
      </w:r>
      <w:proofErr w:type="spellEnd"/>
      <w:r w:rsidR="005A1D2B">
        <w:t>)</w:t>
      </w:r>
      <w:r>
        <w:t xml:space="preserve"> in patients with moderate to severe persistent allergic asthma who discontinued </w:t>
      </w:r>
      <w:proofErr w:type="spellStart"/>
      <w:r w:rsidR="005A1D2B">
        <w:t>omalizumab</w:t>
      </w:r>
      <w:proofErr w:type="spellEnd"/>
      <w:r w:rsidR="005A1D2B">
        <w:t xml:space="preserve"> (</w:t>
      </w:r>
      <w:proofErr w:type="spellStart"/>
      <w:r w:rsidR="005A1D2B">
        <w:t>rch</w:t>
      </w:r>
      <w:proofErr w:type="spellEnd"/>
      <w:r w:rsidR="005A1D2B">
        <w:t>)</w:t>
      </w:r>
      <w:r>
        <w:t xml:space="preserve"> after long term treatment. The study enrolled 176 adult patients, 88 who were randomised to treatment with </w:t>
      </w:r>
      <w:proofErr w:type="spellStart"/>
      <w:r w:rsidR="005A1D2B">
        <w:t>omalizumab</w:t>
      </w:r>
      <w:proofErr w:type="spellEnd"/>
      <w:r w:rsidR="005A1D2B">
        <w:t xml:space="preserve"> (</w:t>
      </w:r>
      <w:proofErr w:type="spellStart"/>
      <w:r w:rsidR="005A1D2B">
        <w:t>rch</w:t>
      </w:r>
      <w:proofErr w:type="spellEnd"/>
      <w:r w:rsidR="005A1D2B">
        <w:t>)</w:t>
      </w:r>
      <w:r>
        <w:t xml:space="preserve"> and 88 to placebo. A significantly greater number of patients showed persistency in the prevention of an asthma exacerbation in the </w:t>
      </w:r>
      <w:proofErr w:type="spellStart"/>
      <w:r w:rsidR="005A1D2B">
        <w:t>omalizumab</w:t>
      </w:r>
      <w:proofErr w:type="spellEnd"/>
      <w:r w:rsidR="005A1D2B">
        <w:t xml:space="preserve"> (</w:t>
      </w:r>
      <w:proofErr w:type="spellStart"/>
      <w:r w:rsidR="005A1D2B">
        <w:t>rch</w:t>
      </w:r>
      <w:proofErr w:type="spellEnd"/>
      <w:r w:rsidR="005A1D2B">
        <w:t>)</w:t>
      </w:r>
      <w:r>
        <w:t xml:space="preserve"> continuation group (n=59, 67%) versus placebo (n=42, 47.7%). There was a 40.1% relative difference in the proportion of patients with exacerbations. Time to fist protocol defined exacerbation was longer and symptom control was better in the </w:t>
      </w:r>
      <w:proofErr w:type="spellStart"/>
      <w:r w:rsidR="005A1D2B">
        <w:t>omalizumab</w:t>
      </w:r>
      <w:proofErr w:type="spellEnd"/>
      <w:r w:rsidR="005A1D2B">
        <w:t xml:space="preserve"> (</w:t>
      </w:r>
      <w:proofErr w:type="spellStart"/>
      <w:r w:rsidR="005A1D2B">
        <w:t>rch</w:t>
      </w:r>
      <w:proofErr w:type="spellEnd"/>
      <w:r w:rsidR="005A1D2B">
        <w:t>)</w:t>
      </w:r>
      <w:r>
        <w:t xml:space="preserve"> group. The incidence of adverse events was similar. However the authors also found that for some patients, cessation of therapy results in an increased likelihood of asthma exacerbations</w:t>
      </w:r>
    </w:p>
    <w:p w:rsidR="004559F1" w:rsidRDefault="004559F1" w:rsidP="00477DE8">
      <w:pPr>
        <w:pStyle w:val="Heading6"/>
      </w:pPr>
      <w:r>
        <w:t xml:space="preserve">Evaluators </w:t>
      </w:r>
      <w:r w:rsidR="00FA00C2">
        <w:t>comment</w:t>
      </w:r>
    </w:p>
    <w:p w:rsidR="004559F1" w:rsidRDefault="004559F1" w:rsidP="00634114">
      <w:r>
        <w:t xml:space="preserve">The response is acceptable. Further studies comparing </w:t>
      </w:r>
      <w:proofErr w:type="spellStart"/>
      <w:r w:rsidR="005A1D2B">
        <w:t>omalizumab</w:t>
      </w:r>
      <w:proofErr w:type="spellEnd"/>
      <w:r w:rsidR="005A1D2B">
        <w:t xml:space="preserve"> (</w:t>
      </w:r>
      <w:proofErr w:type="spellStart"/>
      <w:r w:rsidR="005A1D2B">
        <w:t>rch</w:t>
      </w:r>
      <w:proofErr w:type="spellEnd"/>
      <w:r w:rsidR="005A1D2B">
        <w:t>)</w:t>
      </w:r>
      <w:r>
        <w:t xml:space="preserve"> to other preventative therapies for long term control would be helpful. Information about discontinuation should be added to the PI.</w:t>
      </w:r>
    </w:p>
    <w:p w:rsidR="004559F1" w:rsidRDefault="00917B8C" w:rsidP="00477DE8">
      <w:pPr>
        <w:pStyle w:val="Heading5"/>
      </w:pPr>
      <w:r>
        <w:t xml:space="preserve">Delegate’s </w:t>
      </w:r>
      <w:r w:rsidR="00543D3D">
        <w:t>q</w:t>
      </w:r>
      <w:r>
        <w:t>uestion</w:t>
      </w:r>
      <w:r w:rsidR="004559F1">
        <w:t xml:space="preserve"> 4</w:t>
      </w:r>
    </w:p>
    <w:p w:rsidR="004559F1" w:rsidRPr="00634114" w:rsidRDefault="004559F1" w:rsidP="00634114">
      <w:pPr>
        <w:rPr>
          <w:i/>
          <w:lang w:val="en-US"/>
        </w:rPr>
      </w:pPr>
      <w:r w:rsidRPr="00634114">
        <w:rPr>
          <w:i/>
          <w:lang w:val="en-US"/>
        </w:rPr>
        <w:t xml:space="preserve">Does the use of </w:t>
      </w:r>
      <w:proofErr w:type="spellStart"/>
      <w:r w:rsidR="005A1D2B">
        <w:rPr>
          <w:i/>
          <w:lang w:val="en-US"/>
        </w:rPr>
        <w:t>omalizumab</w:t>
      </w:r>
      <w:proofErr w:type="spellEnd"/>
      <w:r w:rsidR="005A1D2B">
        <w:rPr>
          <w:i/>
          <w:lang w:val="en-US"/>
        </w:rPr>
        <w:t xml:space="preserve"> (</w:t>
      </w:r>
      <w:proofErr w:type="spellStart"/>
      <w:r w:rsidR="005A1D2B">
        <w:rPr>
          <w:i/>
          <w:lang w:val="en-US"/>
        </w:rPr>
        <w:t>rch</w:t>
      </w:r>
      <w:proofErr w:type="spellEnd"/>
      <w:r w:rsidR="005A1D2B">
        <w:rPr>
          <w:i/>
          <w:lang w:val="en-US"/>
        </w:rPr>
        <w:t>)</w:t>
      </w:r>
      <w:r w:rsidRPr="00634114">
        <w:rPr>
          <w:i/>
          <w:lang w:val="en-US"/>
        </w:rPr>
        <w:t xml:space="preserve"> interfere with patch testing? For patients with allergies who are on </w:t>
      </w:r>
      <w:proofErr w:type="spellStart"/>
      <w:r w:rsidR="005A1D2B">
        <w:rPr>
          <w:i/>
          <w:lang w:val="en-US"/>
        </w:rPr>
        <w:t>omalizumab</w:t>
      </w:r>
      <w:proofErr w:type="spellEnd"/>
      <w:r w:rsidR="005A1D2B">
        <w:rPr>
          <w:i/>
          <w:lang w:val="en-US"/>
        </w:rPr>
        <w:t xml:space="preserve"> (</w:t>
      </w:r>
      <w:proofErr w:type="spellStart"/>
      <w:r w:rsidR="005A1D2B">
        <w:rPr>
          <w:i/>
          <w:lang w:val="en-US"/>
        </w:rPr>
        <w:t>rch</w:t>
      </w:r>
      <w:proofErr w:type="spellEnd"/>
      <w:r w:rsidR="005A1D2B">
        <w:rPr>
          <w:i/>
          <w:lang w:val="en-US"/>
        </w:rPr>
        <w:t>)</w:t>
      </w:r>
      <w:r w:rsidRPr="00634114">
        <w:rPr>
          <w:i/>
          <w:lang w:val="en-US"/>
        </w:rPr>
        <w:t xml:space="preserve"> where clinicians may use serum </w:t>
      </w:r>
      <w:proofErr w:type="spellStart"/>
      <w:r w:rsidRPr="00634114">
        <w:rPr>
          <w:i/>
          <w:lang w:val="en-US"/>
        </w:rPr>
        <w:t>IgE</w:t>
      </w:r>
      <w:proofErr w:type="spellEnd"/>
      <w:r w:rsidRPr="00634114">
        <w:rPr>
          <w:i/>
          <w:lang w:val="en-US"/>
        </w:rPr>
        <w:t xml:space="preserve"> or patch testing to assess ongoing sensitization, how would clinicians judge whether it is safe to expose a patient to potential allergens?</w:t>
      </w:r>
    </w:p>
    <w:p w:rsidR="004559F1" w:rsidRDefault="004559F1" w:rsidP="00477DE8">
      <w:pPr>
        <w:pStyle w:val="Heading6"/>
        <w:rPr>
          <w:kern w:val="16"/>
          <w:szCs w:val="24"/>
        </w:rPr>
      </w:pPr>
      <w:r>
        <w:t>Sponsors response</w:t>
      </w:r>
    </w:p>
    <w:p w:rsidR="004559F1" w:rsidRDefault="005A1D2B" w:rsidP="00C203BC">
      <w:proofErr w:type="spellStart"/>
      <w:r>
        <w:t>Omalizumab</w:t>
      </w:r>
      <w:proofErr w:type="spellEnd"/>
      <w:r>
        <w:t xml:space="preserve"> (</w:t>
      </w:r>
      <w:proofErr w:type="spellStart"/>
      <w:r>
        <w:t>rch</w:t>
      </w:r>
      <w:proofErr w:type="spellEnd"/>
      <w:r>
        <w:t>)</w:t>
      </w:r>
      <w:r w:rsidR="004559F1">
        <w:t xml:space="preserve"> does appear to increase the likelihood of false negative to skin prick and perhaps also patch testing.</w:t>
      </w:r>
    </w:p>
    <w:p w:rsidR="004559F1" w:rsidRDefault="004559F1" w:rsidP="00477DE8">
      <w:pPr>
        <w:pStyle w:val="Heading6"/>
      </w:pPr>
      <w:r>
        <w:t>Evaluators comment</w:t>
      </w:r>
    </w:p>
    <w:p w:rsidR="004559F1" w:rsidRDefault="004559F1" w:rsidP="004559F1">
      <w:r>
        <w:t xml:space="preserve">The response is acceptable. It would be helpful to add a comment in the PI in relation to the interpretation of serum </w:t>
      </w:r>
      <w:proofErr w:type="spellStart"/>
      <w:r>
        <w:t>IgE</w:t>
      </w:r>
      <w:proofErr w:type="spellEnd"/>
      <w:r>
        <w:t xml:space="preserve"> levels and skin prick and patch testing while patients are being treated with </w:t>
      </w:r>
      <w:proofErr w:type="spellStart"/>
      <w:r w:rsidR="005A1D2B">
        <w:t>omalizumab</w:t>
      </w:r>
      <w:proofErr w:type="spellEnd"/>
      <w:r w:rsidR="005A1D2B">
        <w:t xml:space="preserve"> (</w:t>
      </w:r>
      <w:proofErr w:type="spellStart"/>
      <w:r w:rsidR="005A1D2B">
        <w:t>rch</w:t>
      </w:r>
      <w:proofErr w:type="spellEnd"/>
      <w:r w:rsidR="005A1D2B">
        <w:t>)</w:t>
      </w:r>
      <w:r>
        <w:t>.</w:t>
      </w:r>
    </w:p>
    <w:p w:rsidR="00605AD4" w:rsidRDefault="00605AD4" w:rsidP="00546154">
      <w:pPr>
        <w:pStyle w:val="Heading3"/>
        <w:rPr>
          <w:rFonts w:eastAsia="Cambria"/>
        </w:rPr>
      </w:pPr>
      <w:bookmarkStart w:id="160" w:name="_Toc454447850"/>
      <w:r w:rsidRPr="00605AD4">
        <w:rPr>
          <w:rFonts w:eastAsia="Cambria"/>
        </w:rPr>
        <w:t xml:space="preserve">Second </w:t>
      </w:r>
      <w:r w:rsidR="00543D3D" w:rsidRPr="00605AD4">
        <w:rPr>
          <w:rFonts w:eastAsia="Cambria"/>
        </w:rPr>
        <w:t>round benefit-risk assessment</w:t>
      </w:r>
      <w:bookmarkEnd w:id="160"/>
    </w:p>
    <w:p w:rsidR="004559F1" w:rsidRDefault="004559F1" w:rsidP="004559F1">
      <w:bookmarkStart w:id="161" w:name="_Toc290663810"/>
      <w:bookmarkStart w:id="162" w:name="_Toc290663966"/>
      <w:bookmarkStart w:id="163" w:name="_Toc290664559"/>
      <w:bookmarkStart w:id="164" w:name="_Toc290664868"/>
      <w:bookmarkStart w:id="165" w:name="_Toc290665024"/>
      <w:bookmarkStart w:id="166" w:name="_Toc290665752"/>
      <w:bookmarkStart w:id="167" w:name="_Toc290665925"/>
      <w:bookmarkStart w:id="168" w:name="_Toc290669473"/>
      <w:bookmarkStart w:id="169" w:name="_Toc290669646"/>
      <w:bookmarkStart w:id="170" w:name="_Toc290715963"/>
      <w:bookmarkStart w:id="171" w:name="_Toc290716136"/>
      <w:bookmarkStart w:id="172" w:name="_Toc290731463"/>
      <w:bookmarkStart w:id="173" w:name="_Toc290731636"/>
      <w:bookmarkStart w:id="174" w:name="_Toc290731957"/>
      <w:bookmarkStart w:id="175" w:name="_Toc290732278"/>
      <w:bookmarkStart w:id="176" w:name="_Toc290663811"/>
      <w:bookmarkStart w:id="177" w:name="_Toc290663967"/>
      <w:bookmarkStart w:id="178" w:name="_Toc290664560"/>
      <w:bookmarkStart w:id="179" w:name="_Toc290664869"/>
      <w:bookmarkStart w:id="180" w:name="_Toc290665025"/>
      <w:bookmarkStart w:id="181" w:name="_Toc290665753"/>
      <w:bookmarkStart w:id="182" w:name="_Toc290665926"/>
      <w:bookmarkStart w:id="183" w:name="_Toc290669474"/>
      <w:bookmarkStart w:id="184" w:name="_Toc290669647"/>
      <w:bookmarkStart w:id="185" w:name="_Toc290715964"/>
      <w:bookmarkStart w:id="186" w:name="_Toc290716137"/>
      <w:bookmarkStart w:id="187" w:name="_Toc290731464"/>
      <w:bookmarkStart w:id="188" w:name="_Toc290731637"/>
      <w:bookmarkStart w:id="189" w:name="_Toc290731958"/>
      <w:bookmarkStart w:id="190" w:name="_Toc290732279"/>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t xml:space="preserve">The benefits and risks associated with the use of </w:t>
      </w:r>
      <w:proofErr w:type="spellStart"/>
      <w:r w:rsidR="005A1D2B">
        <w:t>omalizumab</w:t>
      </w:r>
      <w:proofErr w:type="spellEnd"/>
      <w:r w:rsidR="005A1D2B">
        <w:t xml:space="preserve"> (</w:t>
      </w:r>
      <w:proofErr w:type="spellStart"/>
      <w:r w:rsidR="005A1D2B">
        <w:t>rch</w:t>
      </w:r>
      <w:proofErr w:type="spellEnd"/>
      <w:r w:rsidR="005A1D2B">
        <w:t>)</w:t>
      </w:r>
      <w:r>
        <w:t xml:space="preserve"> in children aged 6 to 12 years with allergic asthma are unchanged as a result of the additional information presented.</w:t>
      </w:r>
    </w:p>
    <w:p w:rsidR="004559F1" w:rsidRDefault="00E61628" w:rsidP="00C203BC">
      <w:pPr>
        <w:pStyle w:val="Heading3"/>
      </w:pPr>
      <w:bookmarkStart w:id="191" w:name="_Toc292121171"/>
      <w:bookmarkStart w:id="192" w:name="_Toc290846352"/>
      <w:bookmarkStart w:id="193" w:name="_Toc272414713"/>
      <w:bookmarkStart w:id="194" w:name="_Ref272160677"/>
      <w:bookmarkStart w:id="195" w:name="_Toc454447851"/>
      <w:r>
        <w:t xml:space="preserve">Second round </w:t>
      </w:r>
      <w:r w:rsidRPr="00C203BC">
        <w:t>recommendation</w:t>
      </w:r>
      <w:r>
        <w:t xml:space="preserve"> regarding authorisation</w:t>
      </w:r>
      <w:bookmarkEnd w:id="191"/>
      <w:bookmarkEnd w:id="192"/>
      <w:bookmarkEnd w:id="193"/>
      <w:bookmarkEnd w:id="194"/>
      <w:bookmarkEnd w:id="195"/>
      <w:r>
        <w:t xml:space="preserve"> </w:t>
      </w:r>
    </w:p>
    <w:p w:rsidR="00E24628" w:rsidRDefault="004559F1" w:rsidP="004559F1">
      <w:r>
        <w:t>The clinical evaluator recommends approval</w:t>
      </w:r>
      <w:r w:rsidR="00E24628">
        <w:t>.</w:t>
      </w:r>
    </w:p>
    <w:p w:rsidR="008E7846" w:rsidRPr="00E41208" w:rsidRDefault="008E7846" w:rsidP="00546154">
      <w:pPr>
        <w:pStyle w:val="Heading2"/>
      </w:pPr>
      <w:bookmarkStart w:id="196" w:name="_Toc454447852"/>
      <w:r w:rsidRPr="00E41208">
        <w:t xml:space="preserve">V. Pharmacovigilance </w:t>
      </w:r>
      <w:r>
        <w:t>f</w:t>
      </w:r>
      <w:r w:rsidRPr="00E41208">
        <w:t>indings</w:t>
      </w:r>
      <w:bookmarkEnd w:id="99"/>
      <w:bookmarkEnd w:id="100"/>
      <w:bookmarkEnd w:id="196"/>
    </w:p>
    <w:p w:rsidR="008E7846" w:rsidRDefault="00386150" w:rsidP="008E7846">
      <w:pPr>
        <w:pStyle w:val="Heading3"/>
        <w:rPr>
          <w:lang w:eastAsia="en-AU"/>
        </w:rPr>
      </w:pPr>
      <w:bookmarkStart w:id="197" w:name="_Toc247691526"/>
      <w:bookmarkStart w:id="198" w:name="_Toc314842509"/>
      <w:bookmarkStart w:id="199" w:name="_Toc454447853"/>
      <w:r>
        <w:rPr>
          <w:lang w:eastAsia="en-AU"/>
        </w:rPr>
        <w:t>Risk m</w:t>
      </w:r>
      <w:r w:rsidR="008E7846">
        <w:rPr>
          <w:lang w:eastAsia="en-AU"/>
        </w:rPr>
        <w:t xml:space="preserve">anagement </w:t>
      </w:r>
      <w:r>
        <w:rPr>
          <w:lang w:eastAsia="en-AU"/>
        </w:rPr>
        <w:t>p</w:t>
      </w:r>
      <w:r w:rsidR="008E7846">
        <w:rPr>
          <w:lang w:eastAsia="en-AU"/>
        </w:rPr>
        <w:t>lan</w:t>
      </w:r>
      <w:bookmarkEnd w:id="197"/>
      <w:bookmarkEnd w:id="198"/>
      <w:bookmarkEnd w:id="199"/>
    </w:p>
    <w:p w:rsidR="008E7846" w:rsidRDefault="008E7846" w:rsidP="004559F1">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4559F1">
        <w:t xml:space="preserve">Core RMP </w:t>
      </w:r>
      <w:r w:rsidR="004559F1">
        <w:rPr>
          <w:iCs/>
        </w:rPr>
        <w:t xml:space="preserve">Version 9.0 (dated </w:t>
      </w:r>
      <w:r w:rsidR="004559F1">
        <w:t xml:space="preserve">21 July 2013); EU-RMP </w:t>
      </w:r>
      <w:r w:rsidR="004559F1">
        <w:rPr>
          <w:iCs/>
        </w:rPr>
        <w:t xml:space="preserve">Version 9.0 (dated 24 June 2013); </w:t>
      </w:r>
      <w:r w:rsidR="004559F1">
        <w:t xml:space="preserve">and </w:t>
      </w:r>
      <w:r w:rsidR="004559F1">
        <w:rPr>
          <w:iCs/>
        </w:rPr>
        <w:t>an Australian Specific Annex (ASA) Version 1.0 (dated 28 October 2013)</w:t>
      </w:r>
      <w:r w:rsidR="006F25B8" w:rsidRPr="006F25B8">
        <w:rPr>
          <w:lang w:eastAsia="en-AU"/>
        </w:rPr>
        <w:t>)</w:t>
      </w:r>
      <w:r w:rsidRPr="006F25B8">
        <w:t xml:space="preserve"> </w:t>
      </w:r>
      <w:r>
        <w:rPr>
          <w:lang w:eastAsia="en-AU"/>
        </w:rPr>
        <w:t>which w</w:t>
      </w:r>
      <w:r w:rsidR="00C203BC">
        <w:rPr>
          <w:lang w:eastAsia="en-AU"/>
        </w:rPr>
        <w:t>ere</w:t>
      </w:r>
      <w:r>
        <w:rPr>
          <w:lang w:eastAsia="en-AU"/>
        </w:rPr>
        <w:t xml:space="preserve"> reviewed by the </w:t>
      </w:r>
      <w:r w:rsidR="00FC1FCA">
        <w:rPr>
          <w:lang w:eastAsia="en-AU"/>
        </w:rPr>
        <w:t>RMP evaluator.</w:t>
      </w:r>
    </w:p>
    <w:p w:rsidR="008E7846" w:rsidRDefault="003A7F6C" w:rsidP="008E7846">
      <w:pPr>
        <w:pStyle w:val="Heading4"/>
        <w:rPr>
          <w:lang w:eastAsia="en-AU"/>
        </w:rPr>
      </w:pPr>
      <w:r>
        <w:rPr>
          <w:lang w:eastAsia="en-AU"/>
        </w:rPr>
        <w:lastRenderedPageBreak/>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sidRPr="00DF2F1F">
        <w:rPr>
          <w:lang w:eastAsia="en-AU"/>
        </w:rPr>
        <w:t>c</w:t>
      </w:r>
      <w:r w:rsidRPr="00DF2F1F">
        <w:rPr>
          <w:lang w:eastAsia="en-AU"/>
        </w:rPr>
        <w:t xml:space="preserve">oncerns which are shown at Table </w:t>
      </w:r>
      <w:r w:rsidR="00DF2F1F" w:rsidRPr="00DF2F1F">
        <w:rPr>
          <w:lang w:eastAsia="en-AU"/>
        </w:rPr>
        <w:t>13.</w:t>
      </w:r>
    </w:p>
    <w:p w:rsidR="00863197" w:rsidRDefault="00DF2F1F" w:rsidP="00863197">
      <w:pPr>
        <w:pStyle w:val="TableTitle"/>
        <w:rPr>
          <w:lang w:eastAsia="en-AU"/>
        </w:rPr>
      </w:pPr>
      <w:r>
        <w:rPr>
          <w:lang w:eastAsia="en-AU"/>
        </w:rPr>
        <w:t>Table 13</w:t>
      </w:r>
      <w:r w:rsidR="00863197">
        <w:rPr>
          <w:lang w:eastAsia="en-AU"/>
        </w:rPr>
        <w:t>: Summary of ongoing safety concerns</w:t>
      </w:r>
    </w:p>
    <w:tbl>
      <w:tblPr>
        <w:tblStyle w:val="TableTGAblue"/>
        <w:tblW w:w="0" w:type="auto"/>
        <w:tblLook w:val="04A0" w:firstRow="1" w:lastRow="0" w:firstColumn="1" w:lastColumn="0" w:noHBand="0" w:noVBand="1"/>
      </w:tblPr>
      <w:tblGrid>
        <w:gridCol w:w="4360"/>
        <w:gridCol w:w="4360"/>
      </w:tblGrid>
      <w:tr w:rsidR="00863197" w:rsidTr="00543D3D">
        <w:trPr>
          <w:cnfStyle w:val="100000000000" w:firstRow="1" w:lastRow="0" w:firstColumn="0" w:lastColumn="0" w:oddVBand="0" w:evenVBand="0" w:oddHBand="0" w:evenHBand="0" w:firstRowFirstColumn="0" w:firstRowLastColumn="0" w:lastRowFirstColumn="0" w:lastRowLastColumn="0"/>
        </w:trPr>
        <w:tc>
          <w:tcPr>
            <w:tcW w:w="4360" w:type="dxa"/>
          </w:tcPr>
          <w:p w:rsidR="00863197" w:rsidRPr="00FA00C2" w:rsidRDefault="007040BC" w:rsidP="00543D3D">
            <w:r w:rsidRPr="00FA00C2">
              <w:t>Information</w:t>
            </w:r>
          </w:p>
        </w:tc>
        <w:tc>
          <w:tcPr>
            <w:tcW w:w="4360" w:type="dxa"/>
          </w:tcPr>
          <w:p w:rsidR="00863197" w:rsidRPr="00FA00C2" w:rsidRDefault="00863197" w:rsidP="00543D3D">
            <w:r w:rsidRPr="00FA00C2">
              <w:t>Safety concern</w:t>
            </w:r>
          </w:p>
        </w:tc>
      </w:tr>
      <w:tr w:rsidR="00863197" w:rsidTr="00543D3D">
        <w:tc>
          <w:tcPr>
            <w:tcW w:w="4360" w:type="dxa"/>
          </w:tcPr>
          <w:p w:rsidR="00863197" w:rsidRPr="00FA00C2" w:rsidRDefault="00863197" w:rsidP="00543D3D">
            <w:r w:rsidRPr="00FA00C2">
              <w:t>Important identified risks</w:t>
            </w:r>
          </w:p>
        </w:tc>
        <w:tc>
          <w:tcPr>
            <w:tcW w:w="4360" w:type="dxa"/>
          </w:tcPr>
          <w:p w:rsidR="00863197" w:rsidRPr="00FA00C2" w:rsidRDefault="00863197" w:rsidP="00543D3D">
            <w:r w:rsidRPr="00FA00C2">
              <w:t>Anaphylaxis/</w:t>
            </w:r>
            <w:proofErr w:type="spellStart"/>
            <w:r w:rsidRPr="00FA00C2">
              <w:t>anaphylactoid</w:t>
            </w:r>
            <w:proofErr w:type="spellEnd"/>
            <w:r w:rsidRPr="00FA00C2">
              <w:t xml:space="preserve"> reactions</w:t>
            </w:r>
          </w:p>
          <w:p w:rsidR="00863197" w:rsidRPr="00FA00C2" w:rsidRDefault="00863197" w:rsidP="00543D3D">
            <w:r w:rsidRPr="00FA00C2">
              <w:t>Malignant neoplasm (in adults and adolescent patients ≥ 12 years old)</w:t>
            </w:r>
          </w:p>
          <w:p w:rsidR="00863197" w:rsidRPr="00FA00C2" w:rsidRDefault="00863197" w:rsidP="00543D3D">
            <w:r w:rsidRPr="00FA00C2">
              <w:t>Serum sickness syndrome (SSS)/Serum sickness like disease (SSLD)</w:t>
            </w:r>
          </w:p>
          <w:p w:rsidR="00863197" w:rsidRPr="00FA00C2" w:rsidRDefault="00863197" w:rsidP="00543D3D">
            <w:pPr>
              <w:rPr>
                <w:rFonts w:eastAsia="TimesNewRomanPSMT"/>
              </w:rPr>
            </w:pPr>
            <w:r w:rsidRPr="00FA00C2">
              <w:t xml:space="preserve">Antibody formation to </w:t>
            </w:r>
            <w:proofErr w:type="spellStart"/>
            <w:r w:rsidR="005A1D2B">
              <w:rPr>
                <w:rFonts w:eastAsia="TimesNewRomanPSMT"/>
              </w:rPr>
              <w:t>omalizumab</w:t>
            </w:r>
            <w:proofErr w:type="spellEnd"/>
            <w:r w:rsidR="005A1D2B">
              <w:rPr>
                <w:rFonts w:eastAsia="TimesNewRomanPSMT"/>
              </w:rPr>
              <w:t xml:space="preserve"> (</w:t>
            </w:r>
            <w:proofErr w:type="spellStart"/>
            <w:r w:rsidR="005A1D2B">
              <w:rPr>
                <w:rFonts w:eastAsia="TimesNewRomanPSMT"/>
              </w:rPr>
              <w:t>rch</w:t>
            </w:r>
            <w:proofErr w:type="spellEnd"/>
            <w:r w:rsidR="005A1D2B">
              <w:rPr>
                <w:rFonts w:eastAsia="TimesNewRomanPSMT"/>
              </w:rPr>
              <w:t>)</w:t>
            </w:r>
          </w:p>
          <w:p w:rsidR="00863197" w:rsidRPr="00FA00C2" w:rsidRDefault="00863197" w:rsidP="00543D3D">
            <w:pPr>
              <w:rPr>
                <w:rFonts w:eastAsia="TimesNewRomanPSMT"/>
              </w:rPr>
            </w:pPr>
            <w:proofErr w:type="spellStart"/>
            <w:r w:rsidRPr="00FA00C2">
              <w:rPr>
                <w:rFonts w:eastAsia="TimesNewRomanPSMT"/>
              </w:rPr>
              <w:t>Churg</w:t>
            </w:r>
            <w:proofErr w:type="spellEnd"/>
            <w:r w:rsidRPr="00FA00C2">
              <w:rPr>
                <w:rFonts w:eastAsia="TimesNewRomanPSMT"/>
              </w:rPr>
              <w:t xml:space="preserve"> Strauss Syndrome/</w:t>
            </w:r>
            <w:proofErr w:type="spellStart"/>
            <w:r w:rsidRPr="00FA00C2">
              <w:rPr>
                <w:rFonts w:eastAsia="TimesNewRomanPSMT"/>
              </w:rPr>
              <w:t>Hypereosinophilic</w:t>
            </w:r>
            <w:proofErr w:type="spellEnd"/>
            <w:r w:rsidRPr="00FA00C2">
              <w:rPr>
                <w:rFonts w:eastAsia="TimesNewRomanPSMT"/>
              </w:rPr>
              <w:t xml:space="preserve"> syndrome</w:t>
            </w:r>
          </w:p>
          <w:p w:rsidR="00863197" w:rsidRPr="00FA00C2" w:rsidRDefault="00863197" w:rsidP="00543D3D">
            <w:r w:rsidRPr="00FA00C2">
              <w:rPr>
                <w:rFonts w:eastAsia="TimesNewRomanPSMT"/>
              </w:rPr>
              <w:t>Thrombocytopenia</w:t>
            </w:r>
          </w:p>
        </w:tc>
      </w:tr>
      <w:tr w:rsidR="00863197" w:rsidTr="00543D3D">
        <w:tc>
          <w:tcPr>
            <w:tcW w:w="4360" w:type="dxa"/>
          </w:tcPr>
          <w:p w:rsidR="00863197" w:rsidRPr="00FA00C2" w:rsidRDefault="00863197" w:rsidP="00543D3D">
            <w:r w:rsidRPr="00FA00C2">
              <w:t>Important potential risks</w:t>
            </w:r>
          </w:p>
        </w:tc>
        <w:tc>
          <w:tcPr>
            <w:tcW w:w="4360" w:type="dxa"/>
          </w:tcPr>
          <w:p w:rsidR="00863197" w:rsidRPr="00FA00C2" w:rsidRDefault="00FA00C2" w:rsidP="00543D3D">
            <w:r w:rsidRPr="00FA00C2">
              <w:t>Arterial</w:t>
            </w:r>
            <w:r w:rsidR="00863197" w:rsidRPr="00FA00C2">
              <w:t xml:space="preserve"> thromboembolic events (ATEs)</w:t>
            </w:r>
          </w:p>
          <w:p w:rsidR="00863197" w:rsidRPr="00FA00C2" w:rsidRDefault="00863197" w:rsidP="00543D3D">
            <w:r w:rsidRPr="00FA00C2">
              <w:t>Malignant neoplasms (in paediatric patients 6 to &lt; 12 years old)</w:t>
            </w:r>
          </w:p>
          <w:p w:rsidR="00863197" w:rsidRPr="00FA00C2" w:rsidRDefault="00863197" w:rsidP="00543D3D">
            <w:r w:rsidRPr="00FA00C2">
              <w:t>Off label use</w:t>
            </w:r>
          </w:p>
        </w:tc>
      </w:tr>
      <w:tr w:rsidR="00863197" w:rsidTr="00543D3D">
        <w:tc>
          <w:tcPr>
            <w:tcW w:w="4360" w:type="dxa"/>
          </w:tcPr>
          <w:p w:rsidR="00863197" w:rsidRPr="00FA00C2" w:rsidRDefault="00863197" w:rsidP="00543D3D">
            <w:r w:rsidRPr="00FA00C2">
              <w:t>Important missing information</w:t>
            </w:r>
          </w:p>
        </w:tc>
        <w:tc>
          <w:tcPr>
            <w:tcW w:w="4360" w:type="dxa"/>
          </w:tcPr>
          <w:p w:rsidR="00863197" w:rsidRPr="00FA00C2" w:rsidRDefault="00863197" w:rsidP="00543D3D">
            <w:r w:rsidRPr="00FA00C2">
              <w:t>Pregnancy outcomes</w:t>
            </w:r>
          </w:p>
        </w:tc>
      </w:tr>
    </w:tbl>
    <w:p w:rsidR="004559F1" w:rsidRDefault="004559F1" w:rsidP="004559F1">
      <w:pPr>
        <w:rPr>
          <w:sz w:val="23"/>
          <w:szCs w:val="23"/>
        </w:rPr>
      </w:pPr>
      <w:r>
        <w:t>The sponsor proposes routine pharmacovigilance activities to monitor all the specified ongoing safety concerns, including the use of a targeted follow-up questionnaire/checklist for the important identified risks: ‘Anaphylaxis/</w:t>
      </w:r>
      <w:proofErr w:type="spellStart"/>
      <w:r>
        <w:t>anaphylactoid</w:t>
      </w:r>
      <w:proofErr w:type="spellEnd"/>
      <w:r>
        <w:t xml:space="preserve"> reactions</w:t>
      </w:r>
      <w:r>
        <w:rPr>
          <w:sz w:val="23"/>
          <w:szCs w:val="23"/>
        </w:rPr>
        <w:t xml:space="preserve">’ </w:t>
      </w:r>
      <w:r w:rsidR="00C203BC">
        <w:rPr>
          <w:sz w:val="23"/>
          <w:szCs w:val="23"/>
        </w:rPr>
        <w:t>and</w:t>
      </w:r>
      <w:r>
        <w:rPr>
          <w:sz w:val="23"/>
          <w:szCs w:val="23"/>
        </w:rPr>
        <w:t xml:space="preserve"> </w:t>
      </w:r>
      <w:r>
        <w:t>‘Malignant neoplasms in adults and adolescents ≥ 12 years of age’ and the important potential risk: ‘Arterial Thromboembolic Events (ATEs)</w:t>
      </w:r>
      <w:r>
        <w:rPr>
          <w:sz w:val="23"/>
          <w:szCs w:val="23"/>
        </w:rPr>
        <w:t>’.</w:t>
      </w:r>
      <w:r w:rsidR="006750C7">
        <w:rPr>
          <w:sz w:val="23"/>
          <w:szCs w:val="23"/>
        </w:rPr>
        <w:t xml:space="preserve"> </w:t>
      </w:r>
      <w:r>
        <w:t>Copies of these questionnaire/checklists have been provided as an attachment to the ASA.</w:t>
      </w:r>
    </w:p>
    <w:p w:rsidR="004559F1" w:rsidRDefault="004559F1" w:rsidP="00E61628">
      <w:r>
        <w:t xml:space="preserve">For all the specified important identified risks and for all the specified important potential risks, except for ‘Off-label use’, an ongoing extension study will </w:t>
      </w:r>
      <w:r>
        <w:rPr>
          <w:rFonts w:eastAsia="TimesNewRomanPSMT"/>
        </w:rPr>
        <w:t>assess the long</w:t>
      </w:r>
      <w:r w:rsidR="00C203BC">
        <w:rPr>
          <w:rFonts w:eastAsia="TimesNewRomanPSMT"/>
        </w:rPr>
        <w:t xml:space="preserve"> </w:t>
      </w:r>
      <w:r>
        <w:rPr>
          <w:rFonts w:eastAsia="TimesNewRomanPSMT"/>
        </w:rPr>
        <w:t xml:space="preserve">term safety and tolerability of </w:t>
      </w:r>
      <w:proofErr w:type="spellStart"/>
      <w:r w:rsidR="005A1D2B">
        <w:rPr>
          <w:rFonts w:eastAsia="TimesNewRomanPSMT"/>
        </w:rPr>
        <w:t>omalizumab</w:t>
      </w:r>
      <w:proofErr w:type="spellEnd"/>
      <w:r w:rsidR="005A1D2B">
        <w:rPr>
          <w:rFonts w:eastAsia="TimesNewRomanPSMT"/>
        </w:rPr>
        <w:t xml:space="preserve"> (</w:t>
      </w:r>
      <w:proofErr w:type="spellStart"/>
      <w:r w:rsidR="005A1D2B">
        <w:rPr>
          <w:rFonts w:eastAsia="TimesNewRomanPSMT"/>
        </w:rPr>
        <w:t>rch</w:t>
      </w:r>
      <w:proofErr w:type="spellEnd"/>
      <w:r w:rsidR="005A1D2B">
        <w:rPr>
          <w:rFonts w:eastAsia="TimesNewRomanPSMT"/>
        </w:rPr>
        <w:t>)</w:t>
      </w:r>
      <w:r>
        <w:rPr>
          <w:rFonts w:eastAsia="TimesNewRomanPSMT"/>
        </w:rPr>
        <w:t xml:space="preserve"> as an add-on therapy in Japanese paediatric patients (6 to 15 years of age) with inadequately controlled allergic asthma despite current recommended treatment by providing continued treatment with </w:t>
      </w:r>
      <w:proofErr w:type="spellStart"/>
      <w:r w:rsidR="005A1D2B">
        <w:rPr>
          <w:rFonts w:eastAsia="TimesNewRomanPSMT"/>
        </w:rPr>
        <w:t>omalizumab</w:t>
      </w:r>
      <w:proofErr w:type="spellEnd"/>
      <w:r w:rsidR="005A1D2B">
        <w:rPr>
          <w:rFonts w:eastAsia="TimesNewRomanPSMT"/>
        </w:rPr>
        <w:t xml:space="preserve"> (</w:t>
      </w:r>
      <w:proofErr w:type="spellStart"/>
      <w:r w:rsidR="005A1D2B">
        <w:rPr>
          <w:rFonts w:eastAsia="TimesNewRomanPSMT"/>
        </w:rPr>
        <w:t>rch</w:t>
      </w:r>
      <w:proofErr w:type="spellEnd"/>
      <w:r w:rsidR="005A1D2B">
        <w:rPr>
          <w:rFonts w:eastAsia="TimesNewRomanPSMT"/>
        </w:rPr>
        <w:t>)</w:t>
      </w:r>
      <w:r>
        <w:rPr>
          <w:rFonts w:eastAsia="TimesNewRomanPSMT"/>
        </w:rPr>
        <w:t xml:space="preserve"> to patients who have previously completed the core study.</w:t>
      </w:r>
      <w:r w:rsidR="006750C7">
        <w:rPr>
          <w:rFonts w:eastAsia="TimesNewRomanPSMT"/>
        </w:rPr>
        <w:t xml:space="preserve"> </w:t>
      </w:r>
      <w:r>
        <w:rPr>
          <w:rFonts w:eastAsia="TimesNewRomanPSMT"/>
        </w:rPr>
        <w:t>A final protocol for ‘</w:t>
      </w:r>
      <w:r w:rsidRPr="007A569B">
        <w:rPr>
          <w:rFonts w:eastAsia="TimesNewRomanPSMT"/>
          <w:i/>
        </w:rPr>
        <w:t>A</w:t>
      </w:r>
      <w:r w:rsidRPr="007A569B">
        <w:rPr>
          <w:i/>
        </w:rPr>
        <w:t xml:space="preserve">n extension study to CIGE025B1301 to evaluate the long-term safety, tolerability and efficacy of </w:t>
      </w:r>
      <w:proofErr w:type="spellStart"/>
      <w:r w:rsidR="005A1D2B" w:rsidRPr="007A569B">
        <w:rPr>
          <w:i/>
        </w:rPr>
        <w:t>omalizumab</w:t>
      </w:r>
      <w:proofErr w:type="spellEnd"/>
      <w:r w:rsidR="005A1D2B" w:rsidRPr="007A569B">
        <w:rPr>
          <w:i/>
        </w:rPr>
        <w:t xml:space="preserve"> (</w:t>
      </w:r>
      <w:proofErr w:type="spellStart"/>
      <w:r w:rsidR="005A1D2B" w:rsidRPr="007A569B">
        <w:rPr>
          <w:i/>
        </w:rPr>
        <w:t>rch</w:t>
      </w:r>
      <w:proofErr w:type="spellEnd"/>
      <w:r w:rsidR="005A1D2B" w:rsidRPr="007A569B">
        <w:rPr>
          <w:i/>
        </w:rPr>
        <w:t>)</w:t>
      </w:r>
      <w:r w:rsidRPr="007A569B">
        <w:rPr>
          <w:i/>
        </w:rPr>
        <w:t xml:space="preserve"> in Japanese children (6 </w:t>
      </w:r>
      <w:r w:rsidR="00C203BC" w:rsidRPr="007A569B">
        <w:rPr>
          <w:i/>
        </w:rPr>
        <w:t>to</w:t>
      </w:r>
      <w:r w:rsidRPr="007A569B">
        <w:rPr>
          <w:i/>
        </w:rPr>
        <w:t xml:space="preserve"> 15 years) with inadequately controlled allergic asthma despite current recommended treatment (CIGE025B1301E1)</w:t>
      </w:r>
      <w:r>
        <w:t>’ was provided in the sponsor’s correspondence dated 11 December 2013.</w:t>
      </w:r>
      <w:r w:rsidR="006750C7">
        <w:t xml:space="preserve"> </w:t>
      </w:r>
      <w:r>
        <w:t>The ASA states that the planned date for submission of the final report to the EU is May 2014.</w:t>
      </w:r>
    </w:p>
    <w:p w:rsidR="008E7846" w:rsidRDefault="008E7846" w:rsidP="004559F1">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4559F1" w:rsidRDefault="004559F1" w:rsidP="004559F1">
      <w:bookmarkStart w:id="200" w:name="_Toc247691527"/>
      <w:r>
        <w:t>The sponsor has concluded that routine risk minimisation activities for all the specified ongoing</w:t>
      </w:r>
      <w:r w:rsidR="00C203BC">
        <w:t xml:space="preserve"> safety concerns are sufficient</w:t>
      </w:r>
      <w:r>
        <w:t>.</w:t>
      </w:r>
    </w:p>
    <w:p w:rsidR="004559F1" w:rsidRDefault="004559F1" w:rsidP="004559F1">
      <w:pPr>
        <w:tabs>
          <w:tab w:val="left" w:pos="720"/>
        </w:tabs>
        <w:autoSpaceDE w:val="0"/>
        <w:autoSpaceDN w:val="0"/>
        <w:adjustRightInd w:val="0"/>
        <w:rPr>
          <w:i/>
        </w:rPr>
      </w:pPr>
      <w:r>
        <w:t xml:space="preserve">The ASA states: </w:t>
      </w:r>
      <w:r w:rsidR="008C1E17">
        <w:rPr>
          <w:i/>
        </w:rPr>
        <w:t>‘</w:t>
      </w:r>
      <w:r>
        <w:rPr>
          <w:i/>
        </w:rPr>
        <w:t>Section 10 of the Core Safety RMP for Xolair outlines the Risk Minimisation Plan that Novartis will be implementing globally</w:t>
      </w:r>
      <w:r w:rsidR="008C1E17">
        <w:rPr>
          <w:i/>
        </w:rPr>
        <w:t>’</w:t>
      </w:r>
      <w:r>
        <w:rPr>
          <w:i/>
        </w:rPr>
        <w:t xml:space="preserve"> </w:t>
      </w:r>
      <w:r>
        <w:t xml:space="preserve">and </w:t>
      </w:r>
      <w:r w:rsidR="008C1E17">
        <w:rPr>
          <w:i/>
        </w:rPr>
        <w:t>‘</w:t>
      </w:r>
      <w:r>
        <w:rPr>
          <w:i/>
        </w:rPr>
        <w:t xml:space="preserve">Novartis Pharmaceuticals Australia will be implementing </w:t>
      </w:r>
      <w:r w:rsidR="008C1E17">
        <w:rPr>
          <w:i/>
        </w:rPr>
        <w:t>‘</w:t>
      </w:r>
      <w:r>
        <w:rPr>
          <w:i/>
        </w:rPr>
        <w:t>routine</w:t>
      </w:r>
      <w:r w:rsidR="008C1E17">
        <w:rPr>
          <w:i/>
        </w:rPr>
        <w:t>’</w:t>
      </w:r>
      <w:r>
        <w:rPr>
          <w:i/>
        </w:rPr>
        <w:t xml:space="preserve"> risk minimisation activities in Australia through the provision </w:t>
      </w:r>
      <w:r>
        <w:rPr>
          <w:i/>
        </w:rPr>
        <w:lastRenderedPageBreak/>
        <w:t>of the TGA approved Product Information (PI) and Consumer Medicine Information (CMI)</w:t>
      </w:r>
      <w:r w:rsidR="008C1E17">
        <w:rPr>
          <w:i/>
        </w:rPr>
        <w:t>’</w:t>
      </w:r>
      <w:r>
        <w:rPr>
          <w:i/>
        </w:rPr>
        <w:t xml:space="preserve"> </w:t>
      </w:r>
      <w:r>
        <w:t xml:space="preserve">and </w:t>
      </w:r>
      <w:r w:rsidR="008C1E17">
        <w:rPr>
          <w:i/>
        </w:rPr>
        <w:t>‘</w:t>
      </w:r>
      <w:r>
        <w:rPr>
          <w:i/>
        </w:rPr>
        <w:t>There are no additional risk minimisation activities planned for Xolair</w:t>
      </w:r>
      <w:r w:rsidR="008C1E17">
        <w:rPr>
          <w:i/>
        </w:rPr>
        <w:t>’</w:t>
      </w:r>
      <w:r>
        <w:rPr>
          <w:i/>
        </w:rPr>
        <w:t>.</w:t>
      </w:r>
    </w:p>
    <w:p w:rsidR="00E24628" w:rsidRDefault="004559F1" w:rsidP="004559F1">
      <w:r>
        <w:t xml:space="preserve">The sponsor’s conclusion remains similar to what was previously accepted for </w:t>
      </w:r>
      <w:r w:rsidR="00C203BC">
        <w:t>Xolair</w:t>
      </w:r>
      <w:r>
        <w:t>, and at this time continues to be acceptable</w:t>
      </w:r>
      <w:r w:rsidR="00E24628">
        <w:t>.</w:t>
      </w:r>
    </w:p>
    <w:p w:rsidR="006F25B8" w:rsidRDefault="006F25B8" w:rsidP="006F25B8">
      <w:pPr>
        <w:pStyle w:val="Heading4"/>
        <w:rPr>
          <w:lang w:eastAsia="en-AU"/>
        </w:rPr>
      </w:pPr>
      <w:r w:rsidRPr="006F25B8">
        <w:rPr>
          <w:lang w:eastAsia="en-AU"/>
        </w:rPr>
        <w:t>Reconciliation of is</w:t>
      </w:r>
      <w:r w:rsidR="00543D3D">
        <w:rPr>
          <w:lang w:eastAsia="en-AU"/>
        </w:rPr>
        <w:t>sues outlined in the RMP report</w:t>
      </w:r>
    </w:p>
    <w:p w:rsidR="006F25B8" w:rsidRDefault="006F25B8" w:rsidP="006F25B8">
      <w:pPr>
        <w:rPr>
          <w:lang w:eastAsia="en-AU"/>
        </w:rPr>
      </w:pPr>
      <w:r>
        <w:rPr>
          <w:lang w:eastAsia="en-AU"/>
        </w:rPr>
        <w:t xml:space="preserve">Table </w:t>
      </w:r>
      <w:r w:rsidR="00DF2F1F">
        <w:rPr>
          <w:lang w:eastAsia="en-AU"/>
        </w:rPr>
        <w:t>14</w:t>
      </w:r>
      <w:r>
        <w:rPr>
          <w:lang w:eastAsia="en-AU"/>
        </w:rPr>
        <w:t xml:space="preserve"> summarises the </w:t>
      </w:r>
      <w:r w:rsidR="00C203BC">
        <w:rPr>
          <w:lang w:eastAsia="en-AU"/>
        </w:rPr>
        <w:t>TGA’</w:t>
      </w:r>
      <w:r>
        <w:rPr>
          <w:lang w:eastAsia="en-AU"/>
        </w:rPr>
        <w:t xml:space="preserve">s first round evaluation of the RMP, the sponsor’s responses to issues raised by the </w:t>
      </w:r>
      <w:r w:rsidR="00C203BC">
        <w:rPr>
          <w:lang w:eastAsia="en-AU"/>
        </w:rPr>
        <w:t>evaluator and the evaluator</w:t>
      </w:r>
      <w:r>
        <w:rPr>
          <w:lang w:eastAsia="en-AU"/>
        </w:rPr>
        <w:t xml:space="preserve">’s </w:t>
      </w:r>
      <w:r w:rsidR="00C203BC">
        <w:rPr>
          <w:lang w:eastAsia="en-AU"/>
        </w:rPr>
        <w:t>comments</w:t>
      </w:r>
      <w:r>
        <w:rPr>
          <w:lang w:eastAsia="en-AU"/>
        </w:rPr>
        <w:t xml:space="preserve"> of the sponsor’s responses.</w:t>
      </w:r>
    </w:p>
    <w:p w:rsidR="00C41CE7" w:rsidRDefault="00C41CE7" w:rsidP="00A67870">
      <w:pPr>
        <w:pStyle w:val="TableTitle"/>
      </w:pPr>
      <w:r>
        <w:t xml:space="preserve">Table </w:t>
      </w:r>
      <w:r w:rsidR="00DF2F1F">
        <w:t>14</w:t>
      </w:r>
      <w:r>
        <w:t>: Reconciliation of issues outlined in the RMP Evaluation Report</w:t>
      </w:r>
    </w:p>
    <w:tbl>
      <w:tblPr>
        <w:tblStyle w:val="TableTGAblue"/>
        <w:tblW w:w="5000" w:type="pct"/>
        <w:jc w:val="center"/>
        <w:tblLook w:val="04A0" w:firstRow="1" w:lastRow="0" w:firstColumn="1" w:lastColumn="0" w:noHBand="0" w:noVBand="1"/>
      </w:tblPr>
      <w:tblGrid>
        <w:gridCol w:w="3119"/>
        <w:gridCol w:w="2483"/>
        <w:gridCol w:w="3118"/>
      </w:tblGrid>
      <w:tr w:rsidR="005649C8" w:rsidTr="00981D0E">
        <w:trPr>
          <w:cnfStyle w:val="100000000000" w:firstRow="1" w:lastRow="0" w:firstColumn="0" w:lastColumn="0" w:oddVBand="0" w:evenVBand="0" w:oddHBand="0" w:evenHBand="0" w:firstRowFirstColumn="0" w:firstRowLastColumn="0" w:lastRowFirstColumn="0" w:lastRowLastColumn="0"/>
          <w:cantSplit/>
          <w:jc w:val="center"/>
        </w:trPr>
        <w:tc>
          <w:tcPr>
            <w:tcW w:w="1866" w:type="pct"/>
            <w:noWrap/>
            <w:hideMark/>
          </w:tcPr>
          <w:p w:rsidR="00C41CE7" w:rsidRPr="00981D0E" w:rsidRDefault="00C41CE7" w:rsidP="00543D3D">
            <w:pPr>
              <w:rPr>
                <w:rFonts w:eastAsia="MS Mincho"/>
              </w:rPr>
            </w:pPr>
            <w:r w:rsidRPr="00981D0E">
              <w:t>Recommendation in RMP evaluation report</w:t>
            </w:r>
          </w:p>
        </w:tc>
        <w:tc>
          <w:tcPr>
            <w:tcW w:w="1268" w:type="pct"/>
            <w:noWrap/>
          </w:tcPr>
          <w:p w:rsidR="00C41CE7" w:rsidRPr="00981D0E" w:rsidRDefault="00C41CE7" w:rsidP="00543D3D">
            <w:pPr>
              <w:rPr>
                <w:rFonts w:eastAsia="MS Mincho"/>
              </w:rPr>
            </w:pPr>
            <w:r w:rsidRPr="00981D0E">
              <w:t>Sponsor’s response</w:t>
            </w:r>
          </w:p>
        </w:tc>
        <w:tc>
          <w:tcPr>
            <w:tcW w:w="1866" w:type="pct"/>
            <w:noWrap/>
            <w:hideMark/>
          </w:tcPr>
          <w:p w:rsidR="00C41CE7" w:rsidRPr="00981D0E" w:rsidRDefault="00C41CE7" w:rsidP="00543D3D">
            <w:pPr>
              <w:rPr>
                <w:rFonts w:eastAsia="MS Mincho"/>
              </w:rPr>
            </w:pPr>
            <w:r w:rsidRPr="00981D0E">
              <w:t>Evaluator’s comment</w:t>
            </w:r>
          </w:p>
        </w:tc>
      </w:tr>
      <w:tr w:rsidR="005649C8" w:rsidTr="00981D0E">
        <w:trPr>
          <w:cantSplit/>
          <w:trHeight w:val="1673"/>
          <w:jc w:val="center"/>
        </w:trPr>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C41CE7" w:rsidRPr="00650065" w:rsidRDefault="00C41CE7" w:rsidP="00543D3D">
            <w:pPr>
              <w:rPr>
                <w:highlight w:val="yellow"/>
              </w:rPr>
            </w:pPr>
            <w:r w:rsidRPr="00F146DB">
              <w:t>The sponsor should provide a concise summary of the context of the withdrawn paediatric application in the US</w:t>
            </w:r>
            <w:r w:rsidR="00C42824">
              <w:t>.</w:t>
            </w:r>
            <w:r w:rsidRPr="00F146DB">
              <w:t xml:space="preserve"> </w:t>
            </w:r>
          </w:p>
        </w:tc>
        <w:tc>
          <w:tcPr>
            <w:tcW w:w="126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C41CE7" w:rsidRPr="00650065" w:rsidRDefault="005649C8" w:rsidP="00543D3D">
            <w:pPr>
              <w:rPr>
                <w:rFonts w:eastAsia="TimesNewRoman" w:cs="TimesNewRoman"/>
                <w:highlight w:val="yellow"/>
              </w:rPr>
            </w:pPr>
            <w:r>
              <w:t>[Information redacted]</w:t>
            </w:r>
          </w:p>
        </w:tc>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C41CE7" w:rsidRPr="00981D0E" w:rsidRDefault="00C41CE7" w:rsidP="00543D3D">
            <w:pPr>
              <w:rPr>
                <w:rFonts w:eastAsia="MS Mincho"/>
              </w:rPr>
            </w:pPr>
            <w:r w:rsidRPr="00981D0E">
              <w:rPr>
                <w:rFonts w:cs="TimesNewRoman"/>
              </w:rPr>
              <w:t>This is acceptable</w:t>
            </w:r>
            <w:r w:rsidRPr="00981D0E">
              <w:rPr>
                <w:rFonts w:eastAsia="TimesNewRoman"/>
              </w:rPr>
              <w:t xml:space="preserve">. </w:t>
            </w:r>
          </w:p>
        </w:tc>
      </w:tr>
      <w:tr w:rsidR="005649C8" w:rsidTr="00981D0E">
        <w:trPr>
          <w:cantSplit/>
          <w:trHeight w:val="1084"/>
          <w:jc w:val="center"/>
        </w:trPr>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MS Mincho"/>
              </w:rPr>
            </w:pPr>
            <w:r w:rsidRPr="00981D0E">
              <w:t>The sponsor should provide an update on the status of Study CIGE025B1301E1, as the planned date for the submission of the final report has passed.</w:t>
            </w:r>
          </w:p>
        </w:tc>
        <w:tc>
          <w:tcPr>
            <w:tcW w:w="126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MS Mincho"/>
              </w:rPr>
            </w:pPr>
            <w:r w:rsidRPr="00981D0E">
              <w:t xml:space="preserve">The sponsor has advised that </w:t>
            </w:r>
            <w:r w:rsidRPr="00981D0E">
              <w:rPr>
                <w:rFonts w:eastAsiaTheme="minorHAnsi" w:cs="TimesNewRomanPSMT"/>
              </w:rPr>
              <w:t>Study CIGE025B1301E1 has been completed and is part of the data package submitted in the current application to the TGA.</w:t>
            </w:r>
          </w:p>
        </w:tc>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MS Mincho"/>
              </w:rPr>
            </w:pPr>
            <w:r w:rsidRPr="00981D0E">
              <w:rPr>
                <w:rFonts w:cs="TimesNewRoman"/>
              </w:rPr>
              <w:t xml:space="preserve">The status of </w:t>
            </w:r>
            <w:r w:rsidRPr="00981D0E">
              <w:rPr>
                <w:rFonts w:eastAsiaTheme="minorHAnsi" w:cs="TimesNewRomanPSMT"/>
              </w:rPr>
              <w:t>Study CIGE025B1301E1 has been revised in the updated EU-RMP. Th</w:t>
            </w:r>
            <w:r w:rsidRPr="00981D0E">
              <w:rPr>
                <w:rFonts w:cs="TimesNewRoman"/>
              </w:rPr>
              <w:t>is is acceptable</w:t>
            </w:r>
            <w:r w:rsidRPr="00981D0E">
              <w:rPr>
                <w:rFonts w:eastAsia="TimesNewRoman"/>
              </w:rPr>
              <w:t xml:space="preserve">. </w:t>
            </w:r>
          </w:p>
        </w:tc>
      </w:tr>
      <w:tr w:rsidR="005649C8" w:rsidTr="00981D0E">
        <w:trPr>
          <w:cantSplit/>
          <w:trHeight w:val="1084"/>
          <w:jc w:val="center"/>
        </w:trPr>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MS Mincho"/>
              </w:rPr>
            </w:pPr>
            <w:r w:rsidRPr="00981D0E">
              <w:t>For the important potential risk: ‘Malignant neoplasms (children 6 to less than 12 years old)’, the ‘Pharmacovigilance activity’ column of Section 10.2 - Table 2: ‘Summary of safety specification, pharmacovigilance plan and planned risk minimisation measures in Australia’ of the ASA should be amended to be consistent with Part III - Table 10-8 of the EU-RMP.</w:t>
            </w:r>
          </w:p>
        </w:tc>
        <w:tc>
          <w:tcPr>
            <w:tcW w:w="126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Theme="minorHAnsi"/>
                <w:i/>
              </w:rPr>
            </w:pPr>
            <w:r w:rsidRPr="00981D0E">
              <w:t xml:space="preserve">The sponsor states: </w:t>
            </w:r>
            <w:r w:rsidRPr="00981D0E">
              <w:rPr>
                <w:i/>
              </w:rPr>
              <w:t>‘</w:t>
            </w:r>
            <w:r w:rsidRPr="00981D0E">
              <w:rPr>
                <w:rFonts w:eastAsiaTheme="minorHAnsi" w:cs="TimesNewRomanPSMT"/>
                <w:i/>
              </w:rPr>
              <w:t>Novartis acknowledges the RMP evaluator’s request and Table 2 (Summary of safety specification, pharmacovigilance plan and planned risk minimization measures in Australia) in attachment 1 of the updated ASA version 5.0 has been amended’.</w:t>
            </w:r>
          </w:p>
        </w:tc>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Theme="minorHAnsi" w:cs="TimesNewRoman"/>
              </w:rPr>
            </w:pPr>
            <w:r w:rsidRPr="00981D0E">
              <w:rPr>
                <w:rFonts w:cs="TimesNewRoman"/>
              </w:rPr>
              <w:t>This is acceptable</w:t>
            </w:r>
            <w:r w:rsidR="00543D3D">
              <w:rPr>
                <w:rFonts w:eastAsia="TimesNewRoman"/>
              </w:rPr>
              <w:t>.</w:t>
            </w:r>
          </w:p>
        </w:tc>
      </w:tr>
      <w:tr w:rsidR="005649C8" w:rsidTr="00981D0E">
        <w:trPr>
          <w:cantSplit/>
          <w:trHeight w:val="1084"/>
          <w:jc w:val="center"/>
        </w:trPr>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MS Mincho"/>
              </w:rPr>
            </w:pPr>
            <w:r w:rsidRPr="00981D0E">
              <w:lastRenderedPageBreak/>
              <w:t>In regard to the proposed routine risk minimisation activities for the important identified risk: ‘</w:t>
            </w:r>
            <w:proofErr w:type="spellStart"/>
            <w:r w:rsidRPr="00981D0E">
              <w:t>Churg</w:t>
            </w:r>
            <w:proofErr w:type="spellEnd"/>
            <w:r w:rsidRPr="00981D0E">
              <w:t xml:space="preserve"> Strauss Syndrome (CSS)/</w:t>
            </w:r>
            <w:proofErr w:type="spellStart"/>
            <w:r w:rsidRPr="00981D0E">
              <w:t>Hypereosinophilic</w:t>
            </w:r>
            <w:proofErr w:type="spellEnd"/>
            <w:r w:rsidRPr="00981D0E">
              <w:t xml:space="preserve"> Syndrome’, it is recommended to the Delegate that the related wording in the current EU </w:t>
            </w:r>
            <w:proofErr w:type="spellStart"/>
            <w:r w:rsidRPr="00981D0E">
              <w:t>SmPC</w:t>
            </w:r>
            <w:proofErr w:type="spellEnd"/>
            <w:r w:rsidRPr="00981D0E">
              <w:t xml:space="preserve"> be included in the </w:t>
            </w:r>
            <w:r w:rsidR="00834B26" w:rsidRPr="00981D0E">
              <w:t xml:space="preserve">Precautions </w:t>
            </w:r>
            <w:r w:rsidRPr="00981D0E">
              <w:t>section of the proposed Australian PI to enhance safe use of this medicine.</w:t>
            </w:r>
          </w:p>
        </w:tc>
        <w:tc>
          <w:tcPr>
            <w:tcW w:w="1268"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MS Mincho"/>
              </w:rPr>
            </w:pPr>
            <w:r w:rsidRPr="00981D0E">
              <w:t xml:space="preserve">The sponsor has advised that the wording in the </w:t>
            </w:r>
            <w:r w:rsidR="00834B26" w:rsidRPr="00981D0E">
              <w:t xml:space="preserve">Precaution </w:t>
            </w:r>
            <w:r w:rsidRPr="00981D0E">
              <w:t xml:space="preserve">section of the draft Australian PI is the same as that in the current EU </w:t>
            </w:r>
            <w:proofErr w:type="spellStart"/>
            <w:r w:rsidRPr="00981D0E">
              <w:t>SmPC</w:t>
            </w:r>
            <w:proofErr w:type="spellEnd"/>
            <w:r w:rsidRPr="00981D0E">
              <w:t xml:space="preserve">. </w:t>
            </w:r>
          </w:p>
        </w:tc>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MS Mincho" w:cs="TimesNewRoman"/>
              </w:rPr>
            </w:pPr>
            <w:r w:rsidRPr="00981D0E">
              <w:t>This is acceptable, although Tabl</w:t>
            </w:r>
            <w:r w:rsidRPr="00981D0E">
              <w:rPr>
                <w:bCs/>
              </w:rPr>
              <w:t xml:space="preserve">e 1: ‘Details by safety concern of information included in the Australia Product Information and EU </w:t>
            </w:r>
            <w:proofErr w:type="spellStart"/>
            <w:r w:rsidRPr="00981D0E">
              <w:rPr>
                <w:bCs/>
              </w:rPr>
              <w:t>SmPC</w:t>
            </w:r>
            <w:proofErr w:type="spellEnd"/>
            <w:r w:rsidRPr="00981D0E">
              <w:rPr>
                <w:bCs/>
              </w:rPr>
              <w:t xml:space="preserve"> and justification for any differences’ and </w:t>
            </w:r>
            <w:r w:rsidRPr="00981D0E">
              <w:t xml:space="preserve">Table 2: ‘Summary of safety specification, pharmacovigilance plan and planned risk minimisation measures in Australia’ of the ASA only state: </w:t>
            </w:r>
            <w:r w:rsidRPr="00981D0E">
              <w:rPr>
                <w:i/>
              </w:rPr>
              <w:t>‘</w:t>
            </w:r>
            <w:r w:rsidRPr="00981D0E">
              <w:rPr>
                <w:rFonts w:cs="Calibri"/>
                <w:i/>
                <w:iCs/>
              </w:rPr>
              <w:t xml:space="preserve">Adverse effects, Post-marketing observations Respiratory, thoracic and mediastinal disorders: Allergic granulomatous </w:t>
            </w:r>
            <w:proofErr w:type="spellStart"/>
            <w:r w:rsidRPr="00981D0E">
              <w:rPr>
                <w:rFonts w:cs="Calibri"/>
                <w:i/>
                <w:iCs/>
              </w:rPr>
              <w:t>angiitis</w:t>
            </w:r>
            <w:proofErr w:type="spellEnd"/>
            <w:r w:rsidRPr="00981D0E">
              <w:rPr>
                <w:rFonts w:cs="Calibri"/>
                <w:i/>
                <w:iCs/>
              </w:rPr>
              <w:t xml:space="preserve"> (</w:t>
            </w:r>
            <w:r w:rsidR="00FA00C2">
              <w:rPr>
                <w:rFonts w:cs="Calibri"/>
                <w:i/>
                <w:iCs/>
              </w:rPr>
              <w:t>that is,</w:t>
            </w:r>
            <w:r w:rsidRPr="00981D0E">
              <w:rPr>
                <w:rFonts w:cs="Calibri"/>
                <w:i/>
                <w:iCs/>
              </w:rPr>
              <w:t xml:space="preserve"> </w:t>
            </w:r>
            <w:proofErr w:type="spellStart"/>
            <w:r w:rsidRPr="00981D0E">
              <w:rPr>
                <w:rFonts w:cs="Calibri"/>
                <w:i/>
                <w:iCs/>
              </w:rPr>
              <w:t>Churg</w:t>
            </w:r>
            <w:proofErr w:type="spellEnd"/>
            <w:r w:rsidRPr="00981D0E">
              <w:rPr>
                <w:rFonts w:cs="Calibri"/>
                <w:i/>
                <w:iCs/>
              </w:rPr>
              <w:t xml:space="preserve"> Strauss syndrome) is listed as a post-marketing observation’. </w:t>
            </w:r>
            <w:r w:rsidRPr="00981D0E">
              <w:rPr>
                <w:rFonts w:cs="Calibri"/>
                <w:iCs/>
              </w:rPr>
              <w:t xml:space="preserve">Consequently these tables of the </w:t>
            </w:r>
            <w:r w:rsidRPr="00981D0E">
              <w:t xml:space="preserve">ASA should be updated with this information, </w:t>
            </w:r>
            <w:r w:rsidRPr="00981D0E">
              <w:rPr>
                <w:bCs/>
              </w:rPr>
              <w:t xml:space="preserve">preferably before this application is approved. In addition the ASA states that the release date for the EU-RMP (Version: 10) is 8 July 2015, while the document itself states the date for final sign-off is 5 March 2015. The sponsor should clarify this discrepancy and amend the ASA if required. </w:t>
            </w:r>
          </w:p>
        </w:tc>
      </w:tr>
      <w:tr w:rsidR="005649C8" w:rsidTr="00981D0E">
        <w:trPr>
          <w:cantSplit/>
          <w:trHeight w:val="1153"/>
          <w:jc w:val="center"/>
        </w:trPr>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r w:rsidRPr="00981D0E">
              <w:lastRenderedPageBreak/>
              <w:t xml:space="preserve">In regard to the proposed routine risk minimisation activities, it is recommended to the Delegate that the draft consumer medicine information document be revised to adequately reflect any changes made to the Australian PI as a result of the above recommendations. </w:t>
            </w:r>
          </w:p>
        </w:tc>
        <w:tc>
          <w:tcPr>
            <w:tcW w:w="1268" w:type="pct"/>
            <w:tcBorders>
              <w:top w:val="single" w:sz="8" w:space="0" w:color="000000" w:themeColor="text1"/>
              <w:left w:val="single" w:sz="8" w:space="0" w:color="000000" w:themeColor="text1"/>
              <w:bottom w:val="single" w:sz="4" w:space="0" w:color="000000" w:themeColor="text1"/>
              <w:right w:val="single" w:sz="8" w:space="0" w:color="000000" w:themeColor="text1"/>
            </w:tcBorders>
            <w:noWrap/>
          </w:tcPr>
          <w:p w:rsidR="00981D0E" w:rsidRPr="00981D0E" w:rsidRDefault="00981D0E" w:rsidP="00543D3D">
            <w:pPr>
              <w:rPr>
                <w:rFonts w:eastAsia="MS Mincho"/>
              </w:rPr>
            </w:pPr>
            <w:r w:rsidRPr="00981D0E">
              <w:t>The sponsor states:</w:t>
            </w:r>
            <w:r w:rsidRPr="00981D0E">
              <w:rPr>
                <w:i/>
              </w:rPr>
              <w:t xml:space="preserve"> ‘</w:t>
            </w:r>
            <w:r w:rsidRPr="00981D0E">
              <w:rPr>
                <w:rFonts w:eastAsiaTheme="minorHAnsi" w:cs="TimesNewRomanPSMT"/>
                <w:i/>
              </w:rPr>
              <w:t>None of the above recommendations are actually warranting any changes to the draft consumer medicine information’.</w:t>
            </w:r>
          </w:p>
        </w:tc>
        <w:tc>
          <w:tcPr>
            <w:tcW w:w="1866"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981D0E" w:rsidRPr="00981D0E" w:rsidRDefault="00981D0E" w:rsidP="00543D3D">
            <w:pPr>
              <w:rPr>
                <w:rFonts w:eastAsia="MS Mincho" w:cs="TimesNewRoman"/>
              </w:rPr>
            </w:pPr>
            <w:r w:rsidRPr="00981D0E">
              <w:rPr>
                <w:rFonts w:cs="TimesNewRoman"/>
              </w:rPr>
              <w:t>This is acceptable</w:t>
            </w:r>
            <w:r w:rsidRPr="00981D0E">
              <w:rPr>
                <w:rFonts w:eastAsia="TimesNewRoman"/>
              </w:rPr>
              <w:t xml:space="preserve">. </w:t>
            </w:r>
          </w:p>
        </w:tc>
      </w:tr>
    </w:tbl>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E24628" w:rsidRDefault="00E61628" w:rsidP="00C203BC">
      <w:pPr>
        <w:rPr>
          <w:bCs/>
        </w:rPr>
      </w:pPr>
      <w:r>
        <w:t>It is considered that the sponsor’s response to the TGA has adequately addressed all of the issues identified in the RMP evaluation report.</w:t>
      </w:r>
      <w:r w:rsidR="006750C7">
        <w:t xml:space="preserve"> </w:t>
      </w:r>
      <w:r>
        <w:t xml:space="preserve">Nevertheless an updated ASA should be submitted to the TGA, </w:t>
      </w:r>
      <w:r>
        <w:rPr>
          <w:bCs/>
        </w:rPr>
        <w:t>preferably before this application is approved</w:t>
      </w:r>
      <w:r w:rsidR="00E24628">
        <w:rPr>
          <w:bCs/>
        </w:rPr>
        <w:t>.</w:t>
      </w:r>
    </w:p>
    <w:p w:rsidR="00625F97" w:rsidRDefault="00625F97" w:rsidP="00C203BC">
      <w:pPr>
        <w:pStyle w:val="Heading5"/>
      </w:pPr>
      <w:r>
        <w:t>Outstanding issues</w:t>
      </w:r>
    </w:p>
    <w:p w:rsidR="00625F97" w:rsidRDefault="00543D3D" w:rsidP="00C203BC">
      <w:pPr>
        <w:pStyle w:val="Heading6"/>
        <w:rPr>
          <w:sz w:val="24"/>
        </w:rPr>
      </w:pPr>
      <w:r>
        <w:t>Issues in relation to the RMP</w:t>
      </w:r>
    </w:p>
    <w:p w:rsidR="00625F97" w:rsidRDefault="00625F97" w:rsidP="00C203BC">
      <w:pPr>
        <w:rPr>
          <w:bCs/>
        </w:rPr>
      </w:pPr>
      <w:r>
        <w:t>In regard to the proposed routine risk minimisation activities for the important identified risk: ‘</w:t>
      </w:r>
      <w:proofErr w:type="spellStart"/>
      <w:r>
        <w:t>Churg</w:t>
      </w:r>
      <w:proofErr w:type="spellEnd"/>
      <w:r>
        <w:t xml:space="preserve"> Strauss Syndrome (CSS) / </w:t>
      </w:r>
      <w:proofErr w:type="spellStart"/>
      <w:r>
        <w:t>Hypereosinophilic</w:t>
      </w:r>
      <w:proofErr w:type="spellEnd"/>
      <w:r>
        <w:t xml:space="preserve"> Syndrome’, the sponsor has advised that the wording in the </w:t>
      </w:r>
      <w:r w:rsidR="00C41CE7">
        <w:t xml:space="preserve">Precaution </w:t>
      </w:r>
      <w:r>
        <w:t xml:space="preserve">section of the draft Australian PI is the same as that in the current EU </w:t>
      </w:r>
      <w:proofErr w:type="spellStart"/>
      <w:r>
        <w:t>SmPC</w:t>
      </w:r>
      <w:proofErr w:type="spellEnd"/>
      <w:r>
        <w:t>.</w:t>
      </w:r>
      <w:r w:rsidR="006750C7">
        <w:t xml:space="preserve"> </w:t>
      </w:r>
      <w:r>
        <w:t>This is acceptable, although Tabl</w:t>
      </w:r>
      <w:r>
        <w:rPr>
          <w:bCs/>
        </w:rPr>
        <w:t xml:space="preserve">e 1: ‘Details by safety concern of information included in the Australia Product Information and EU </w:t>
      </w:r>
      <w:proofErr w:type="spellStart"/>
      <w:r>
        <w:rPr>
          <w:bCs/>
        </w:rPr>
        <w:t>SmPC</w:t>
      </w:r>
      <w:proofErr w:type="spellEnd"/>
      <w:r>
        <w:rPr>
          <w:bCs/>
        </w:rPr>
        <w:t xml:space="preserve"> and justification for any differences’ and </w:t>
      </w:r>
      <w:r>
        <w:t xml:space="preserve">Table 2: ‘Summary of safety specification, pharmacovigilance plan and planned risk minimisation measures in Australia’ of the ASA only state: </w:t>
      </w:r>
      <w:r w:rsidR="008C1E17">
        <w:rPr>
          <w:i/>
        </w:rPr>
        <w:t>‘</w:t>
      </w:r>
      <w:r>
        <w:rPr>
          <w:rFonts w:cs="Calibri"/>
          <w:i/>
          <w:iCs/>
        </w:rPr>
        <w:t xml:space="preserve">Adverse effects, Post-marketing observations Respiratory, thoracic and mediastinal disorders: Allergic granulomatous </w:t>
      </w:r>
      <w:proofErr w:type="spellStart"/>
      <w:r>
        <w:rPr>
          <w:rFonts w:cs="Calibri"/>
          <w:i/>
          <w:iCs/>
        </w:rPr>
        <w:t>angiitis</w:t>
      </w:r>
      <w:proofErr w:type="spellEnd"/>
      <w:r>
        <w:rPr>
          <w:rFonts w:cs="Calibri"/>
          <w:i/>
          <w:iCs/>
        </w:rPr>
        <w:t xml:space="preserve"> (i.e. </w:t>
      </w:r>
      <w:proofErr w:type="spellStart"/>
      <w:r>
        <w:rPr>
          <w:rFonts w:cs="Calibri"/>
          <w:i/>
          <w:iCs/>
        </w:rPr>
        <w:t>Churg</w:t>
      </w:r>
      <w:proofErr w:type="spellEnd"/>
      <w:r>
        <w:rPr>
          <w:rFonts w:cs="Calibri"/>
          <w:i/>
          <w:iCs/>
        </w:rPr>
        <w:t xml:space="preserve"> Strauss syndrome) is listed as a post-marketing observation</w:t>
      </w:r>
      <w:r w:rsidR="008C1E17">
        <w:rPr>
          <w:rFonts w:cs="Calibri"/>
          <w:i/>
          <w:iCs/>
        </w:rPr>
        <w:t>’</w:t>
      </w:r>
      <w:r>
        <w:rPr>
          <w:rFonts w:cs="Calibri"/>
          <w:i/>
          <w:iCs/>
        </w:rPr>
        <w:t>.</w:t>
      </w:r>
      <w:r w:rsidR="006750C7">
        <w:rPr>
          <w:rFonts w:cs="Calibri"/>
          <w:i/>
          <w:iCs/>
        </w:rPr>
        <w:t xml:space="preserve"> </w:t>
      </w:r>
      <w:r>
        <w:rPr>
          <w:rFonts w:cs="Calibri"/>
          <w:iCs/>
        </w:rPr>
        <w:t xml:space="preserve">Consequently these tables of the </w:t>
      </w:r>
      <w:r>
        <w:t xml:space="preserve">ASA should be updated with this information, </w:t>
      </w:r>
      <w:r>
        <w:rPr>
          <w:bCs/>
        </w:rPr>
        <w:t>preferably before this application is approved.</w:t>
      </w:r>
      <w:r w:rsidR="006750C7">
        <w:rPr>
          <w:bCs/>
        </w:rPr>
        <w:t xml:space="preserve"> </w:t>
      </w:r>
      <w:r>
        <w:rPr>
          <w:bCs/>
        </w:rPr>
        <w:t>In addition the ASA states that the release date for the EU-RMP (Version: 10) is 8 July 2015, while the document itself states the date for final sign-off is 5 March 2015.</w:t>
      </w:r>
      <w:r w:rsidR="006750C7">
        <w:rPr>
          <w:bCs/>
        </w:rPr>
        <w:t xml:space="preserve"> </w:t>
      </w:r>
      <w:r>
        <w:rPr>
          <w:bCs/>
        </w:rPr>
        <w:t>The sponsor should clarify this discrepancy and amend the ASA if required.</w:t>
      </w:r>
    </w:p>
    <w:p w:rsidR="00625F97" w:rsidRPr="007A569B" w:rsidRDefault="00625F97" w:rsidP="007A569B">
      <w:pPr>
        <w:pStyle w:val="Heading5"/>
      </w:pPr>
      <w:r w:rsidRPr="007A569B">
        <w:t xml:space="preserve">Advice from the </w:t>
      </w:r>
      <w:r w:rsidRPr="007A569B">
        <w:rPr>
          <w:rStyle w:val="st1"/>
        </w:rPr>
        <w:t>Advisory Committee on the Safety of Medicines (ACSOM)</w:t>
      </w:r>
    </w:p>
    <w:p w:rsidR="00625F97" w:rsidRDefault="00625F97" w:rsidP="00C41CE7">
      <w:r>
        <w:t>ACSOM advice was not sought for this submission.</w:t>
      </w:r>
    </w:p>
    <w:p w:rsidR="00625F97" w:rsidRDefault="00543D3D" w:rsidP="00C41CE7">
      <w:pPr>
        <w:pStyle w:val="Heading5"/>
      </w:pPr>
      <w:r>
        <w:t>Key changes to the updated RMP</w:t>
      </w:r>
    </w:p>
    <w:p w:rsidR="00625F97" w:rsidRDefault="00625F97" w:rsidP="00C41CE7">
      <w:r>
        <w:t xml:space="preserve">In their response to the TGA the sponsor provided </w:t>
      </w:r>
      <w:r>
        <w:rPr>
          <w:iCs/>
        </w:rPr>
        <w:t xml:space="preserve">an </w:t>
      </w:r>
      <w:r>
        <w:t>updated EU-RMP (Version 10.0, dated 5 March 2015) with an updated ASA (Version 5.0, dated 13 August 2015)</w:t>
      </w:r>
      <w:r>
        <w:rPr>
          <w:iCs/>
        </w:rPr>
        <w:t>.</w:t>
      </w:r>
      <w:r w:rsidR="006750C7">
        <w:rPr>
          <w:iCs/>
        </w:rPr>
        <w:t xml:space="preserve"> </w:t>
      </w:r>
      <w:r>
        <w:t xml:space="preserve">Key changes from the versions evaluated </w:t>
      </w:r>
      <w:r w:rsidR="00C41CE7">
        <w:t>in the first round</w:t>
      </w:r>
      <w:r>
        <w:t xml:space="preserve"> are summarised below</w:t>
      </w:r>
      <w:r w:rsidR="00DF2F1F">
        <w:t xml:space="preserve"> in Table 15.</w:t>
      </w:r>
    </w:p>
    <w:p w:rsidR="00C41CE7" w:rsidRDefault="00DF2F1F" w:rsidP="00543D3D">
      <w:pPr>
        <w:pStyle w:val="TableTitle"/>
        <w:pageBreakBefore/>
        <w:rPr>
          <w:u w:val="single"/>
        </w:rPr>
      </w:pPr>
      <w:r>
        <w:lastRenderedPageBreak/>
        <w:t>Table 15</w:t>
      </w:r>
      <w:r w:rsidR="00C41CE7">
        <w:t>: Key changes to the RMP and ASA</w:t>
      </w:r>
    </w:p>
    <w:tbl>
      <w:tblPr>
        <w:tblStyle w:val="TableTGAblue"/>
        <w:tblW w:w="0" w:type="auto"/>
        <w:tblLook w:val="04A0" w:firstRow="1" w:lastRow="0" w:firstColumn="1" w:lastColumn="0" w:noHBand="0" w:noVBand="1"/>
      </w:tblPr>
      <w:tblGrid>
        <w:gridCol w:w="1597"/>
        <w:gridCol w:w="7123"/>
      </w:tblGrid>
      <w:tr w:rsidR="00625F97" w:rsidTr="00543D3D">
        <w:trPr>
          <w:cnfStyle w:val="100000000000" w:firstRow="1" w:lastRow="0" w:firstColumn="0" w:lastColumn="0" w:oddVBand="0" w:evenVBand="0" w:oddHBand="0" w:evenHBand="0" w:firstRowFirstColumn="0" w:firstRowLastColumn="0" w:lastRowFirstColumn="0" w:lastRowLastColumn="0"/>
          <w:trHeight w:val="536"/>
        </w:trPr>
        <w:tc>
          <w:tcPr>
            <w:tcW w:w="1418" w:type="dxa"/>
          </w:tcPr>
          <w:p w:rsidR="00625F97" w:rsidRPr="00834B26" w:rsidRDefault="00C41CE7" w:rsidP="00543D3D">
            <w:r w:rsidRPr="00834B26">
              <w:t>Document</w:t>
            </w:r>
          </w:p>
        </w:tc>
        <w:tc>
          <w:tcPr>
            <w:tcW w:w="7194" w:type="dxa"/>
          </w:tcPr>
          <w:p w:rsidR="00625F97" w:rsidRPr="00834B26" w:rsidRDefault="00C41CE7" w:rsidP="00543D3D">
            <w:r w:rsidRPr="00834B26">
              <w:t>Key Change</w:t>
            </w:r>
          </w:p>
        </w:tc>
      </w:tr>
      <w:tr w:rsidR="00625F97" w:rsidTr="00543D3D">
        <w:trPr>
          <w:trHeight w:val="524"/>
        </w:trPr>
        <w:tc>
          <w:tcPr>
            <w:tcW w:w="1418" w:type="dxa"/>
            <w:hideMark/>
          </w:tcPr>
          <w:p w:rsidR="00625F97" w:rsidRPr="00834B26" w:rsidRDefault="00625F97" w:rsidP="00543D3D">
            <w:r w:rsidRPr="00834B26">
              <w:t>EU-RMP</w:t>
            </w:r>
          </w:p>
        </w:tc>
        <w:tc>
          <w:tcPr>
            <w:tcW w:w="7194" w:type="dxa"/>
            <w:hideMark/>
          </w:tcPr>
          <w:p w:rsidR="00625F97" w:rsidRPr="00834B26" w:rsidRDefault="00625F97" w:rsidP="00543D3D">
            <w:pPr>
              <w:rPr>
                <w:lang w:eastAsia="en-US"/>
              </w:rPr>
            </w:pPr>
            <w:r w:rsidRPr="00834B26">
              <w:rPr>
                <w:rFonts w:eastAsiaTheme="minorHAnsi"/>
                <w:lang w:eastAsia="en-US"/>
              </w:rPr>
              <w:t xml:space="preserve">Addition of </w:t>
            </w:r>
            <w:r w:rsidRPr="00834B26">
              <w:rPr>
                <w:rFonts w:eastAsiaTheme="minorHAnsi" w:cs="Arial"/>
                <w:lang w:eastAsia="en-US"/>
              </w:rPr>
              <w:t xml:space="preserve">a new important potential risk: ‘Hypersensitivity reactions in latex-sensitive individuals treated with PFS’ to be monitored by routine </w:t>
            </w:r>
            <w:proofErr w:type="spellStart"/>
            <w:r w:rsidRPr="00834B26">
              <w:rPr>
                <w:rFonts w:eastAsiaTheme="minorHAnsi" w:cs="Arial"/>
                <w:lang w:eastAsia="en-US"/>
              </w:rPr>
              <w:t>PhV</w:t>
            </w:r>
            <w:proofErr w:type="spellEnd"/>
            <w:r w:rsidRPr="00834B26">
              <w:rPr>
                <w:rFonts w:eastAsiaTheme="minorHAnsi" w:cs="Arial"/>
                <w:lang w:eastAsia="en-US"/>
              </w:rPr>
              <w:t xml:space="preserve"> and addressed by routine risk minimisation.</w:t>
            </w:r>
          </w:p>
          <w:p w:rsidR="00625F97" w:rsidRPr="00834B26" w:rsidRDefault="00625F97" w:rsidP="00543D3D">
            <w:pPr>
              <w:rPr>
                <w:lang w:eastAsia="en-US"/>
              </w:rPr>
            </w:pPr>
            <w:r w:rsidRPr="00834B26">
              <w:rPr>
                <w:lang w:eastAsia="en-US"/>
              </w:rPr>
              <w:t>Study CIGE025B1301E1: ‘</w:t>
            </w:r>
            <w:r w:rsidRPr="00834B26">
              <w:rPr>
                <w:rFonts w:eastAsia="TimesNewRomanPSMT"/>
                <w:lang w:eastAsia="en-US"/>
              </w:rPr>
              <w:t>A</w:t>
            </w:r>
            <w:r w:rsidRPr="00834B26">
              <w:rPr>
                <w:lang w:eastAsia="en-US"/>
              </w:rPr>
              <w:t xml:space="preserve">n extension study to CIGE025B1301 to evaluate the long-term safety, tolerability and efficacy of </w:t>
            </w:r>
            <w:proofErr w:type="spellStart"/>
            <w:r w:rsidR="005A1D2B">
              <w:rPr>
                <w:lang w:eastAsia="en-US"/>
              </w:rPr>
              <w:t>omalizumab</w:t>
            </w:r>
            <w:proofErr w:type="spellEnd"/>
            <w:r w:rsidR="005A1D2B">
              <w:rPr>
                <w:lang w:eastAsia="en-US"/>
              </w:rPr>
              <w:t xml:space="preserve"> (</w:t>
            </w:r>
            <w:proofErr w:type="spellStart"/>
            <w:r w:rsidR="005A1D2B">
              <w:rPr>
                <w:lang w:eastAsia="en-US"/>
              </w:rPr>
              <w:t>rch</w:t>
            </w:r>
            <w:proofErr w:type="spellEnd"/>
            <w:r w:rsidR="005A1D2B">
              <w:rPr>
                <w:lang w:eastAsia="en-US"/>
              </w:rPr>
              <w:t>)</w:t>
            </w:r>
            <w:r w:rsidRPr="00834B26">
              <w:rPr>
                <w:lang w:eastAsia="en-US"/>
              </w:rPr>
              <w:t xml:space="preserve"> in Japanese children (6 </w:t>
            </w:r>
            <w:r w:rsidR="00124F86">
              <w:rPr>
                <w:lang w:eastAsia="en-US"/>
              </w:rPr>
              <w:t>to</w:t>
            </w:r>
            <w:r w:rsidRPr="00834B26">
              <w:rPr>
                <w:lang w:eastAsia="en-US"/>
              </w:rPr>
              <w:t xml:space="preserve"> 15 years) with inadequately controlled allergic asthma despite current recommended treatment’ to further characterise all the specified important identified risks and for all the specified important potential risks, except for ‘Off-label use’, has been completed and therefore removed from the </w:t>
            </w:r>
            <w:proofErr w:type="spellStart"/>
            <w:r w:rsidRPr="00834B26">
              <w:rPr>
                <w:lang w:eastAsia="en-US"/>
              </w:rPr>
              <w:t>PhV</w:t>
            </w:r>
            <w:proofErr w:type="spellEnd"/>
            <w:r w:rsidRPr="00834B26">
              <w:rPr>
                <w:lang w:eastAsia="en-US"/>
              </w:rPr>
              <w:t xml:space="preserve"> Plan.</w:t>
            </w:r>
          </w:p>
        </w:tc>
      </w:tr>
      <w:tr w:rsidR="00625F97" w:rsidTr="00543D3D">
        <w:trPr>
          <w:trHeight w:val="524"/>
        </w:trPr>
        <w:tc>
          <w:tcPr>
            <w:tcW w:w="1418" w:type="dxa"/>
            <w:hideMark/>
          </w:tcPr>
          <w:p w:rsidR="00625F97" w:rsidRPr="00834B26" w:rsidRDefault="00625F97" w:rsidP="00543D3D">
            <w:r w:rsidRPr="00834B26">
              <w:t>ASA</w:t>
            </w:r>
          </w:p>
        </w:tc>
        <w:tc>
          <w:tcPr>
            <w:tcW w:w="7194" w:type="dxa"/>
            <w:hideMark/>
          </w:tcPr>
          <w:p w:rsidR="00E24628" w:rsidRDefault="00625F97" w:rsidP="00543D3D">
            <w:pPr>
              <w:rPr>
                <w:rFonts w:eastAsiaTheme="minorHAnsi" w:cs="Arial"/>
                <w:lang w:eastAsia="en-US"/>
              </w:rPr>
            </w:pPr>
            <w:r w:rsidRPr="00834B26">
              <w:rPr>
                <w:rFonts w:eastAsiaTheme="minorHAnsi"/>
                <w:lang w:eastAsia="en-US"/>
              </w:rPr>
              <w:t xml:space="preserve">Addition of </w:t>
            </w:r>
            <w:r w:rsidRPr="00834B26">
              <w:rPr>
                <w:rFonts w:eastAsiaTheme="minorHAnsi" w:cs="Arial"/>
                <w:lang w:eastAsia="en-US"/>
              </w:rPr>
              <w:t xml:space="preserve">a new important potential risk: ‘Hypersensitivity reactions in latex-sensitive individuals treated with PFS’ to be monitored by routine </w:t>
            </w:r>
            <w:proofErr w:type="spellStart"/>
            <w:r w:rsidRPr="00834B26">
              <w:rPr>
                <w:rFonts w:eastAsiaTheme="minorHAnsi" w:cs="Arial"/>
                <w:lang w:eastAsia="en-US"/>
              </w:rPr>
              <w:t>PhV</w:t>
            </w:r>
            <w:proofErr w:type="spellEnd"/>
            <w:r w:rsidRPr="00834B26">
              <w:rPr>
                <w:rFonts w:eastAsiaTheme="minorHAnsi" w:cs="Arial"/>
                <w:lang w:eastAsia="en-US"/>
              </w:rPr>
              <w:t xml:space="preserve"> and addressed by routine risk minimisation</w:t>
            </w:r>
            <w:r w:rsidR="00E24628">
              <w:rPr>
                <w:rFonts w:eastAsiaTheme="minorHAnsi" w:cs="Arial"/>
                <w:lang w:eastAsia="en-US"/>
              </w:rPr>
              <w:t>.</w:t>
            </w:r>
          </w:p>
          <w:p w:rsidR="00625F97" w:rsidRPr="00834B26" w:rsidRDefault="00625F97" w:rsidP="00543D3D">
            <w:pPr>
              <w:rPr>
                <w:lang w:eastAsia="en-US"/>
              </w:rPr>
            </w:pPr>
            <w:r w:rsidRPr="00834B26">
              <w:rPr>
                <w:bCs/>
                <w:lang w:eastAsia="en-US"/>
              </w:rPr>
              <w:t>Section 3.3: ‘Risk Management Plan Status’ u</w:t>
            </w:r>
            <w:r w:rsidRPr="00834B26">
              <w:rPr>
                <w:lang w:eastAsia="en-US"/>
              </w:rPr>
              <w:t>pdated to describ</w:t>
            </w:r>
            <w:r w:rsidR="00543D3D">
              <w:rPr>
                <w:lang w:eastAsia="en-US"/>
              </w:rPr>
              <w:t>e ASA alignment with EU-RMP v10</w:t>
            </w:r>
          </w:p>
          <w:p w:rsidR="00625F97" w:rsidRPr="00834B26" w:rsidRDefault="00625F97" w:rsidP="00543D3D">
            <w:pPr>
              <w:rPr>
                <w:lang w:eastAsia="en-US"/>
              </w:rPr>
            </w:pPr>
            <w:r w:rsidRPr="00834B26">
              <w:rPr>
                <w:rFonts w:eastAsiaTheme="minorHAnsi"/>
                <w:lang w:eastAsia="en-US"/>
              </w:rPr>
              <w:t>Updated contact person for RMP</w:t>
            </w:r>
          </w:p>
        </w:tc>
      </w:tr>
    </w:tbl>
    <w:p w:rsidR="00625F97" w:rsidRDefault="00625F97" w:rsidP="00C41CE7">
      <w:pPr>
        <w:pStyle w:val="Heading5"/>
        <w:rPr>
          <w:rFonts w:cs="Arial"/>
        </w:rPr>
      </w:pPr>
      <w:r>
        <w:t>Suggested wording</w:t>
      </w:r>
      <w:r w:rsidR="00543D3D">
        <w:t xml:space="preserve"> for conditions of registration</w:t>
      </w:r>
    </w:p>
    <w:p w:rsidR="00625F97" w:rsidRDefault="00625F97" w:rsidP="00C41CE7">
      <w:pPr>
        <w:pStyle w:val="Heading6"/>
        <w:rPr>
          <w:sz w:val="24"/>
        </w:rPr>
      </w:pPr>
      <w:r>
        <w:t>RMP</w:t>
      </w:r>
    </w:p>
    <w:p w:rsidR="00625F97" w:rsidRDefault="00625F97" w:rsidP="00C41CE7">
      <w:r>
        <w:t>Any changes to which the sponsor agreed become part of the risk management system, whether they are included in the currently available version of the RMP document, or not included, inadvertently or otherwise.</w:t>
      </w:r>
    </w:p>
    <w:p w:rsidR="00C41CE7" w:rsidRPr="00C41CE7" w:rsidRDefault="00625F97" w:rsidP="00C41CE7">
      <w:pPr>
        <w:pStyle w:val="ListBullet"/>
        <w:rPr>
          <w:b/>
          <w:u w:val="single"/>
        </w:rPr>
      </w:pPr>
      <w:r>
        <w:t xml:space="preserve">At this time no wording can be provided, as it is recommended that an acceptably revised ASA be submitted before </w:t>
      </w:r>
      <w:r>
        <w:rPr>
          <w:color w:val="000000"/>
        </w:rPr>
        <w:t>this application is approved</w:t>
      </w:r>
      <w:r w:rsidR="00C41CE7">
        <w:rPr>
          <w:color w:val="000000"/>
        </w:rPr>
        <w:t>.</w:t>
      </w:r>
    </w:p>
    <w:p w:rsidR="008E7846" w:rsidRPr="00792A32" w:rsidRDefault="008E7846" w:rsidP="008E7846">
      <w:pPr>
        <w:pStyle w:val="Heading2"/>
      </w:pPr>
      <w:bookmarkStart w:id="201" w:name="_Toc314842510"/>
      <w:bookmarkStart w:id="202" w:name="_Toc454447854"/>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1"/>
      <w:bookmarkEnd w:id="200"/>
      <w:bookmarkEnd w:id="201"/>
      <w:bookmarkEnd w:id="202"/>
    </w:p>
    <w:p w:rsidR="008E7846" w:rsidRDefault="008E7846" w:rsidP="008E7846">
      <w:bookmarkStart w:id="20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04" w:name="_Toc314842511"/>
      <w:bookmarkStart w:id="205" w:name="_Toc454447855"/>
      <w:r>
        <w:t>Quality</w:t>
      </w:r>
      <w:bookmarkEnd w:id="203"/>
      <w:bookmarkEnd w:id="204"/>
      <w:bookmarkEnd w:id="205"/>
    </w:p>
    <w:p w:rsidR="00E45619" w:rsidRDefault="008E7846" w:rsidP="003A7F6C">
      <w:r>
        <w:t>There was no requirement for a quality evaluation in a submission of this type.</w:t>
      </w:r>
    </w:p>
    <w:p w:rsidR="008E7846" w:rsidRDefault="008E7846" w:rsidP="008E7846">
      <w:pPr>
        <w:pStyle w:val="Heading3"/>
      </w:pPr>
      <w:bookmarkStart w:id="206" w:name="_Toc314842512"/>
      <w:bookmarkStart w:id="207" w:name="_Toc454447856"/>
      <w:r>
        <w:t>Nonclinical</w:t>
      </w:r>
      <w:bookmarkEnd w:id="206"/>
      <w:bookmarkEnd w:id="207"/>
    </w:p>
    <w:p w:rsidR="002F367C" w:rsidRDefault="002F367C" w:rsidP="00834B26">
      <w:pPr>
        <w:pStyle w:val="Heading4"/>
      </w:pPr>
      <w:r>
        <w:t>New indication</w:t>
      </w:r>
    </w:p>
    <w:p w:rsidR="002F367C" w:rsidRDefault="002F367C" w:rsidP="00834B26">
      <w:r>
        <w:t xml:space="preserve">No new nonclinical data was submitted. Previously evaluated nonclinical studies established that </w:t>
      </w:r>
      <w:proofErr w:type="spellStart"/>
      <w:r w:rsidR="005A1D2B">
        <w:t>omalizumab</w:t>
      </w:r>
      <w:proofErr w:type="spellEnd"/>
      <w:r w:rsidR="005A1D2B">
        <w:t xml:space="preserve"> (</w:t>
      </w:r>
      <w:proofErr w:type="spellStart"/>
      <w:r w:rsidR="005A1D2B">
        <w:t>rch</w:t>
      </w:r>
      <w:proofErr w:type="spellEnd"/>
      <w:r w:rsidR="005A1D2B">
        <w:t>)</w:t>
      </w:r>
      <w:r>
        <w:t xml:space="preserve"> has a low order of acute toxicity and does not target developing systems. </w:t>
      </w:r>
      <w:proofErr w:type="spellStart"/>
      <w:r w:rsidR="005A1D2B">
        <w:t>Omalizumab</w:t>
      </w:r>
      <w:proofErr w:type="spellEnd"/>
      <w:r w:rsidR="005A1D2B">
        <w:t xml:space="preserve"> (</w:t>
      </w:r>
      <w:proofErr w:type="spellStart"/>
      <w:r w:rsidR="005A1D2B">
        <w:t>rch</w:t>
      </w:r>
      <w:proofErr w:type="spellEnd"/>
      <w:r w:rsidR="005A1D2B">
        <w:t>)</w:t>
      </w:r>
      <w:r>
        <w:t xml:space="preserve"> was found to cause marked reduction in platelet counts in </w:t>
      </w:r>
      <w:proofErr w:type="spellStart"/>
      <w:r>
        <w:t>cynomolgus</w:t>
      </w:r>
      <w:proofErr w:type="spellEnd"/>
      <w:r>
        <w:t xml:space="preserve"> monkeys and chimpanzees, with juvenile monkeys more sensitive to </w:t>
      </w:r>
      <w:r>
        <w:lastRenderedPageBreak/>
        <w:t>this effect than adult monkeys.</w:t>
      </w:r>
      <w:r w:rsidR="006750C7">
        <w:t xml:space="preserve"> </w:t>
      </w:r>
      <w:r>
        <w:t>This was mediated through a low affinity interaction between the drug and the platelet surface, with binding of the antibody promoting elimination of platelets via the reticuloendothelial system. The nonclinical evaluator had no objections to the extension of indications to paediatric use provided the potential risks of thrombocytopenia were addressed.</w:t>
      </w:r>
    </w:p>
    <w:p w:rsidR="002F367C" w:rsidRDefault="002F367C" w:rsidP="00834B26">
      <w:pPr>
        <w:pStyle w:val="Heading4"/>
      </w:pPr>
      <w:r>
        <w:t>Changes to the use in pregnancy and effects on fertility statements</w:t>
      </w:r>
    </w:p>
    <w:p w:rsidR="00E24628" w:rsidRDefault="002F367C" w:rsidP="00834B26">
      <w:r>
        <w:t xml:space="preserve">The sponsor proposed to change the description of weekly doses given to </w:t>
      </w:r>
      <w:proofErr w:type="spellStart"/>
      <w:r w:rsidR="00FA00C2">
        <w:t>cynomolgus</w:t>
      </w:r>
      <w:proofErr w:type="spellEnd"/>
      <w:r>
        <w:t xml:space="preserve"> monkeys in pregnancy from a ratio of exposure (</w:t>
      </w:r>
      <w:r w:rsidR="0047588C">
        <w:t>area under the concentration versus time curve (</w:t>
      </w:r>
      <w:r>
        <w:t>AUC</w:t>
      </w:r>
      <w:r w:rsidR="0047588C">
        <w:t>)</w:t>
      </w:r>
      <w:r>
        <w:t>) to a ratio of dose in mg/kg. The nonclinical evaluator opposed these changes as it provided a less accurate estimation of the true exposure the monkeys received and was not calculated correctly</w:t>
      </w:r>
      <w:r w:rsidR="00E24628">
        <w:t>.</w:t>
      </w:r>
    </w:p>
    <w:p w:rsidR="008E7846" w:rsidRDefault="008E7846" w:rsidP="008E7846">
      <w:pPr>
        <w:pStyle w:val="Heading3"/>
      </w:pPr>
      <w:bookmarkStart w:id="208" w:name="_Toc247691530"/>
      <w:bookmarkStart w:id="209" w:name="_Toc314842513"/>
      <w:bookmarkStart w:id="210" w:name="_Toc454447857"/>
      <w:r>
        <w:t>Clinical</w:t>
      </w:r>
      <w:bookmarkEnd w:id="208"/>
      <w:bookmarkEnd w:id="209"/>
      <w:bookmarkEnd w:id="210"/>
    </w:p>
    <w:p w:rsidR="002F367C" w:rsidRDefault="002F367C" w:rsidP="00237E58">
      <w:pPr>
        <w:pStyle w:val="Heading4"/>
      </w:pPr>
      <w:bookmarkStart w:id="211" w:name="_Toc314842514"/>
      <w:r>
        <w:t>Pharmacology</w:t>
      </w:r>
    </w:p>
    <w:p w:rsidR="002F367C" w:rsidRDefault="002F367C" w:rsidP="0047588C">
      <w:r>
        <w:t xml:space="preserve">PK and PD results for children were based on serum drug concentrations, free and total </w:t>
      </w:r>
      <w:proofErr w:type="spellStart"/>
      <w:r>
        <w:t>IgE</w:t>
      </w:r>
      <w:proofErr w:type="spellEnd"/>
      <w:r>
        <w:t xml:space="preserve"> levels performed at randomisati</w:t>
      </w:r>
      <w:r w:rsidR="0047588C">
        <w:t>on and in Weeks 25, 49, 61 and 69 of S</w:t>
      </w:r>
      <w:r>
        <w:t>tudies IA05 and IA10.</w:t>
      </w:r>
    </w:p>
    <w:p w:rsidR="002F367C" w:rsidRDefault="002F367C" w:rsidP="0047588C">
      <w:r>
        <w:t xml:space="preserve">The serum </w:t>
      </w:r>
      <w:proofErr w:type="spellStart"/>
      <w:r w:rsidR="005A1D2B">
        <w:t>omalizumab</w:t>
      </w:r>
      <w:proofErr w:type="spellEnd"/>
      <w:r w:rsidR="005A1D2B">
        <w:t xml:space="preserve"> (</w:t>
      </w:r>
      <w:proofErr w:type="spellStart"/>
      <w:r w:rsidR="005A1D2B">
        <w:t>rch</w:t>
      </w:r>
      <w:proofErr w:type="spellEnd"/>
      <w:r w:rsidR="005A1D2B">
        <w:t>)</w:t>
      </w:r>
      <w:r>
        <w:t xml:space="preserve"> levels tended to be lower than adults but free and total </w:t>
      </w:r>
      <w:proofErr w:type="spellStart"/>
      <w:r>
        <w:t>IgE</w:t>
      </w:r>
      <w:proofErr w:type="spellEnd"/>
      <w:r>
        <w:t xml:space="preserve"> similar. Body weight and baseline </w:t>
      </w:r>
      <w:proofErr w:type="spellStart"/>
      <w:r>
        <w:t>IgE</w:t>
      </w:r>
      <w:proofErr w:type="spellEnd"/>
      <w:r>
        <w:t xml:space="preserve"> (but not age) have the greatest effects of PK and PD. Children &lt; 12 years had a statistically significant higher binding constant compared to adults, suggestive of less efficient binding. Age did not have a significant effect on clearance or volume of distribution.</w:t>
      </w:r>
    </w:p>
    <w:p w:rsidR="00E24628" w:rsidRDefault="002F367C" w:rsidP="00233FD9">
      <w:pPr>
        <w:pStyle w:val="TableTitle"/>
      </w:pPr>
      <w:r>
        <w:t xml:space="preserve">Table </w:t>
      </w:r>
      <w:r w:rsidR="0047588C">
        <w:t>1</w:t>
      </w:r>
      <w:r w:rsidR="00DF2F1F">
        <w:t>6</w:t>
      </w:r>
      <w:r>
        <w:t>:</w:t>
      </w:r>
      <w:r w:rsidR="0047588C">
        <w:t xml:space="preserve"> Steady-state observed trough concentrations of </w:t>
      </w:r>
      <w:proofErr w:type="spellStart"/>
      <w:r w:rsidR="005A1D2B">
        <w:t>omalizumab</w:t>
      </w:r>
      <w:proofErr w:type="spellEnd"/>
      <w:r w:rsidR="005A1D2B">
        <w:t xml:space="preserve"> (</w:t>
      </w:r>
      <w:proofErr w:type="spellStart"/>
      <w:r w:rsidR="005A1D2B">
        <w:t>rch</w:t>
      </w:r>
      <w:proofErr w:type="spellEnd"/>
      <w:r w:rsidR="005A1D2B">
        <w:t>)</w:t>
      </w:r>
      <w:r w:rsidR="0047588C">
        <w:t xml:space="preserve">, total and free </w:t>
      </w:r>
      <w:proofErr w:type="spellStart"/>
      <w:r w:rsidR="0047588C">
        <w:t>IgE</w:t>
      </w:r>
      <w:proofErr w:type="spellEnd"/>
      <w:r w:rsidR="0047588C">
        <w:t xml:space="preserve"> in paediatric and adult patients</w:t>
      </w:r>
      <w:r w:rsidR="00E24628">
        <w:t>.</w:t>
      </w:r>
    </w:p>
    <w:p w:rsidR="002F367C" w:rsidRDefault="002F367C" w:rsidP="00543D3D">
      <w:pPr>
        <w:rPr>
          <w:noProof/>
          <w:lang w:val="en-US"/>
        </w:rPr>
      </w:pPr>
      <w:r>
        <w:rPr>
          <w:noProof/>
          <w:lang w:eastAsia="en-AU"/>
        </w:rPr>
        <w:drawing>
          <wp:inline distT="0" distB="0" distL="0" distR="0" wp14:anchorId="548294D1" wp14:editId="3093F1B7">
            <wp:extent cx="3436359" cy="2499360"/>
            <wp:effectExtent l="0" t="0" r="0" b="0"/>
            <wp:docPr id="16" name="Picture 16" descr="Table 16: Steady-state observed trough concentrations of omalizumab, total and free IgE in paediatric and adult patients. Summarised for trough sample drawn 84 days or more after commencing treatment with active omalizumab in the moderate to severe allergic asthma Studies 10, IA05, 8, 9 and 11. Paediatric patients are those less than 12 years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t="12998"/>
                    <a:stretch/>
                  </pic:blipFill>
                  <pic:spPr bwMode="auto">
                    <a:xfrm>
                      <a:off x="0" y="0"/>
                      <a:ext cx="3434080" cy="2497703"/>
                    </a:xfrm>
                    <a:prstGeom prst="rect">
                      <a:avLst/>
                    </a:prstGeom>
                    <a:noFill/>
                    <a:ln>
                      <a:noFill/>
                    </a:ln>
                    <a:extLst>
                      <a:ext uri="{53640926-AAD7-44D8-BBD7-CCE9431645EC}">
                        <a14:shadowObscured xmlns:a14="http://schemas.microsoft.com/office/drawing/2010/main"/>
                      </a:ext>
                    </a:extLst>
                  </pic:spPr>
                </pic:pic>
              </a:graphicData>
            </a:graphic>
          </wp:inline>
        </w:drawing>
      </w:r>
    </w:p>
    <w:p w:rsidR="00543D3D" w:rsidRDefault="00543D3D" w:rsidP="00543D3D">
      <w:pPr>
        <w:pStyle w:val="TableDescription"/>
      </w:pPr>
      <w:proofErr w:type="gramStart"/>
      <w:r>
        <w:t xml:space="preserve">Summarised for trough sample drawn 84 days or more after commencing treatment with active </w:t>
      </w:r>
      <w:proofErr w:type="spellStart"/>
      <w:r>
        <w:t>omalizumab</w:t>
      </w:r>
      <w:proofErr w:type="spellEnd"/>
      <w:r>
        <w:t xml:space="preserve"> (</w:t>
      </w:r>
      <w:proofErr w:type="spellStart"/>
      <w:r>
        <w:t>rch</w:t>
      </w:r>
      <w:proofErr w:type="spellEnd"/>
      <w:r>
        <w:t>) in the moderate to severe allergic asthma Studies 10, IA05, 8, 9 and 11.</w:t>
      </w:r>
      <w:proofErr w:type="gramEnd"/>
      <w:r>
        <w:t xml:space="preserve"> Paediatric patients are those less than 12 years of age.</w:t>
      </w:r>
    </w:p>
    <w:p w:rsidR="00E24628" w:rsidRDefault="002F367C" w:rsidP="00543D3D">
      <w:r>
        <w:t xml:space="preserve">Efficacy correlates with dose. In the clinical trials, the doses were calculated to aim for a mean trough free </w:t>
      </w:r>
      <w:proofErr w:type="spellStart"/>
      <w:r>
        <w:t>IgE</w:t>
      </w:r>
      <w:proofErr w:type="spellEnd"/>
      <w:r>
        <w:t xml:space="preserve"> of 25ng/ml</w:t>
      </w:r>
      <w:r w:rsidR="00E24628">
        <w:t>.</w:t>
      </w:r>
    </w:p>
    <w:p w:rsidR="002F367C" w:rsidRDefault="002F367C" w:rsidP="00237E58">
      <w:pPr>
        <w:pStyle w:val="Heading5"/>
      </w:pPr>
      <w:r>
        <w:lastRenderedPageBreak/>
        <w:t xml:space="preserve">Change in </w:t>
      </w:r>
      <w:r w:rsidR="0047588C">
        <w:t>d</w:t>
      </w:r>
      <w:r>
        <w:t xml:space="preserve">osage </w:t>
      </w:r>
      <w:r w:rsidR="0047588C">
        <w:t>t</w:t>
      </w:r>
      <w:r>
        <w:t>able</w:t>
      </w:r>
    </w:p>
    <w:p w:rsidR="002F367C" w:rsidRDefault="002F367C" w:rsidP="00237E58">
      <w:pPr>
        <w:rPr>
          <w:szCs w:val="20"/>
          <w:lang w:eastAsia="en-AU"/>
        </w:rPr>
      </w:pPr>
      <w:r>
        <w:rPr>
          <w:lang w:eastAsia="en-AU"/>
        </w:rPr>
        <w:t>The aim of revising</w:t>
      </w:r>
      <w:r w:rsidR="006750C7">
        <w:rPr>
          <w:lang w:eastAsia="en-AU"/>
        </w:rPr>
        <w:t xml:space="preserve"> </w:t>
      </w:r>
      <w:r>
        <w:rPr>
          <w:lang w:eastAsia="en-AU"/>
        </w:rPr>
        <w:t>Xolair dosing table was to reduce the dosing frequency from every 2 weeks to every 4 weeks to the portion of the dosing table between 225- 300 mg ever 2 weeks; doubling the dose and increasing the dose interval to every 4 weeks. A detailed analysis of this was obtained from the report for the EU</w:t>
      </w:r>
      <w:r w:rsidR="007040BC">
        <w:rPr>
          <w:lang w:eastAsia="en-AU"/>
        </w:rPr>
        <w:t>.</w:t>
      </w:r>
    </w:p>
    <w:p w:rsidR="002F367C" w:rsidRDefault="002F367C" w:rsidP="00237E58">
      <w:pPr>
        <w:rPr>
          <w:lang w:eastAsia="en-AU"/>
        </w:rPr>
      </w:pPr>
      <w:r>
        <w:rPr>
          <w:lang w:eastAsia="en-AU"/>
        </w:rPr>
        <w:t>The evidence for this change was obtained by modelling and simulation using PK/PD and clinical trial data from previous studies in allergic asthma. This same mechanism</w:t>
      </w:r>
      <w:r w:rsidR="0047588C">
        <w:rPr>
          <w:lang w:eastAsia="en-AU"/>
        </w:rPr>
        <w:t xml:space="preserve"> </w:t>
      </w:r>
      <w:r>
        <w:rPr>
          <w:lang w:eastAsia="en-AU"/>
        </w:rPr>
        <w:t xml:space="preserve">based mathematical model was used to expand the dosing table to include patients with baseline </w:t>
      </w:r>
      <w:proofErr w:type="spellStart"/>
      <w:r>
        <w:rPr>
          <w:lang w:eastAsia="en-AU"/>
        </w:rPr>
        <w:t>IgE</w:t>
      </w:r>
      <w:proofErr w:type="spellEnd"/>
      <w:r>
        <w:rPr>
          <w:lang w:eastAsia="en-AU"/>
        </w:rPr>
        <w:t xml:space="preserve"> up to 1500 IU/</w:t>
      </w:r>
      <w:proofErr w:type="spellStart"/>
      <w:r>
        <w:rPr>
          <w:lang w:eastAsia="en-AU"/>
        </w:rPr>
        <w:t>mL.</w:t>
      </w:r>
      <w:proofErr w:type="spellEnd"/>
      <w:r>
        <w:rPr>
          <w:lang w:eastAsia="en-AU"/>
        </w:rPr>
        <w:t xml:space="preserve"> The submission also included post-marketing safety data for patients exposed to high doses (600 mg or above).</w:t>
      </w:r>
    </w:p>
    <w:p w:rsidR="002F367C" w:rsidRDefault="002F367C" w:rsidP="002F367C">
      <w:pPr>
        <w:rPr>
          <w:lang w:eastAsia="en-AU"/>
        </w:rPr>
      </w:pPr>
      <w:r>
        <w:rPr>
          <w:lang w:eastAsia="en-AU"/>
        </w:rPr>
        <w:t>An investigation of potential safety liabilities and efficacy concerns was carried out by:</w:t>
      </w:r>
    </w:p>
    <w:p w:rsidR="002F367C" w:rsidRDefault="002F367C" w:rsidP="0047588C">
      <w:pPr>
        <w:pStyle w:val="ListBullet"/>
      </w:pPr>
      <w:r>
        <w:t>Platelet concentration</w:t>
      </w:r>
      <w:r w:rsidR="0047588C">
        <w:t xml:space="preserve"> </w:t>
      </w:r>
      <w:r>
        <w:t>effect relationship from non-human primates with clinical data from human clinical studies</w:t>
      </w:r>
    </w:p>
    <w:p w:rsidR="002F367C" w:rsidRDefault="002F367C" w:rsidP="0047588C">
      <w:pPr>
        <w:pStyle w:val="ListBullet"/>
      </w:pPr>
      <w:r>
        <w:t>Simulations from a previously submitted PK/PD model built from data from 6 Phase</w:t>
      </w:r>
      <w:r w:rsidR="0047588C">
        <w:t xml:space="preserve"> III</w:t>
      </w:r>
      <w:r>
        <w:t xml:space="preserve"> and 3 clinical pharmacology studies.</w:t>
      </w:r>
    </w:p>
    <w:p w:rsidR="002F367C" w:rsidRDefault="002F367C" w:rsidP="002F367C">
      <w:pPr>
        <w:rPr>
          <w:lang w:eastAsia="en-AU"/>
        </w:rPr>
      </w:pPr>
      <w:r>
        <w:rPr>
          <w:lang w:eastAsia="en-AU"/>
        </w:rPr>
        <w:t xml:space="preserve">The mechanism-based mathematical model describes the relation between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exposure and </w:t>
      </w:r>
      <w:proofErr w:type="spellStart"/>
      <w:r>
        <w:rPr>
          <w:lang w:eastAsia="en-AU"/>
        </w:rPr>
        <w:t>IgE</w:t>
      </w:r>
      <w:proofErr w:type="spellEnd"/>
      <w:r>
        <w:rPr>
          <w:lang w:eastAsia="en-AU"/>
        </w:rPr>
        <w:t xml:space="preserve"> response (binding of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to and thereby suppression of the concentration of free </w:t>
      </w:r>
      <w:proofErr w:type="spellStart"/>
      <w:r>
        <w:rPr>
          <w:lang w:eastAsia="en-AU"/>
        </w:rPr>
        <w:t>IgE</w:t>
      </w:r>
      <w:proofErr w:type="spellEnd"/>
      <w:r>
        <w:rPr>
          <w:lang w:eastAsia="en-AU"/>
        </w:rPr>
        <w:t>).</w:t>
      </w:r>
      <w:r w:rsidR="006750C7">
        <w:rPr>
          <w:lang w:eastAsia="en-AU"/>
        </w:rPr>
        <w:t xml:space="preserve"> </w:t>
      </w:r>
      <w:r>
        <w:rPr>
          <w:lang w:eastAsia="en-AU"/>
        </w:rPr>
        <w:t xml:space="preserve">The model was found to give a reasonable prediction of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exposure and PD response in terms of free </w:t>
      </w:r>
      <w:proofErr w:type="spellStart"/>
      <w:r>
        <w:rPr>
          <w:lang w:eastAsia="en-AU"/>
        </w:rPr>
        <w:t>IgE</w:t>
      </w:r>
      <w:proofErr w:type="spellEnd"/>
      <w:r>
        <w:rPr>
          <w:lang w:eastAsia="en-AU"/>
        </w:rPr>
        <w:t xml:space="preserve"> suppression in plasma.</w:t>
      </w:r>
    </w:p>
    <w:p w:rsidR="002F367C" w:rsidRDefault="002F367C" w:rsidP="002F367C">
      <w:pPr>
        <w:rPr>
          <w:lang w:eastAsia="en-AU"/>
        </w:rPr>
      </w:pPr>
      <w:r>
        <w:rPr>
          <w:lang w:eastAsia="en-AU"/>
        </w:rPr>
        <w:t xml:space="preserve">The model covers a range of body weight and baseline </w:t>
      </w:r>
      <w:proofErr w:type="spellStart"/>
      <w:r>
        <w:rPr>
          <w:lang w:eastAsia="en-AU"/>
        </w:rPr>
        <w:t>IgE</w:t>
      </w:r>
      <w:proofErr w:type="spellEnd"/>
      <w:r>
        <w:rPr>
          <w:lang w:eastAsia="en-AU"/>
        </w:rPr>
        <w:t xml:space="preserve"> that underlies the dosage of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although some combinations of body weight and baseline </w:t>
      </w:r>
      <w:proofErr w:type="spellStart"/>
      <w:r>
        <w:rPr>
          <w:lang w:eastAsia="en-AU"/>
        </w:rPr>
        <w:t>IgE</w:t>
      </w:r>
      <w:proofErr w:type="spellEnd"/>
      <w:r>
        <w:rPr>
          <w:lang w:eastAsia="en-AU"/>
        </w:rPr>
        <w:t xml:space="preserve"> are less well explored in the clinical studies.</w:t>
      </w:r>
    </w:p>
    <w:p w:rsidR="002F367C" w:rsidRDefault="002F367C" w:rsidP="002F367C">
      <w:pPr>
        <w:spacing w:before="0" w:after="0" w:line="240" w:lineRule="auto"/>
        <w:rPr>
          <w:lang w:eastAsia="en-AU"/>
        </w:rPr>
      </w:pPr>
      <w:r>
        <w:rPr>
          <w:lang w:eastAsia="en-AU"/>
        </w:rPr>
        <w:t xml:space="preserve">Simulations show that while receiving Xolair, the molar excess of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over </w:t>
      </w:r>
      <w:proofErr w:type="spellStart"/>
      <w:r>
        <w:rPr>
          <w:lang w:eastAsia="en-AU"/>
        </w:rPr>
        <w:t>IgE</w:t>
      </w:r>
      <w:proofErr w:type="spellEnd"/>
      <w:r>
        <w:rPr>
          <w:lang w:eastAsia="en-AU"/>
        </w:rPr>
        <w:t xml:space="preserve"> is such that the free and total drug concentrations are the same. The only point at which the free and total drug concentrations diverge is during the elimination phase. Simulations indicate that the fluctuations in free </w:t>
      </w:r>
      <w:proofErr w:type="spellStart"/>
      <w:r>
        <w:rPr>
          <w:lang w:eastAsia="en-AU"/>
        </w:rPr>
        <w:t>IgE</w:t>
      </w:r>
      <w:proofErr w:type="spellEnd"/>
      <w:r>
        <w:rPr>
          <w:lang w:eastAsia="en-AU"/>
        </w:rPr>
        <w:t xml:space="preserve"> levels were small and the median level of </w:t>
      </w:r>
      <w:proofErr w:type="spellStart"/>
      <w:r>
        <w:rPr>
          <w:lang w:eastAsia="en-AU"/>
        </w:rPr>
        <w:t>IgE</w:t>
      </w:r>
      <w:proofErr w:type="spellEnd"/>
      <w:r>
        <w:rPr>
          <w:lang w:eastAsia="en-AU"/>
        </w:rPr>
        <w:t xml:space="preserve"> at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trough seems to be contained within the 10</w:t>
      </w:r>
      <w:r w:rsidR="00237E58">
        <w:rPr>
          <w:lang w:eastAsia="en-AU"/>
        </w:rPr>
        <w:t xml:space="preserve"> to </w:t>
      </w:r>
      <w:r>
        <w:rPr>
          <w:lang w:eastAsia="en-AU"/>
        </w:rPr>
        <w:t>20</w:t>
      </w:r>
      <w:r w:rsidR="00237E58">
        <w:rPr>
          <w:lang w:eastAsia="en-AU"/>
        </w:rPr>
        <w:t xml:space="preserve"> </w:t>
      </w:r>
      <w:r>
        <w:rPr>
          <w:lang w:eastAsia="en-AU"/>
        </w:rPr>
        <w:t>ng/m</w:t>
      </w:r>
      <w:r w:rsidR="00237E58">
        <w:rPr>
          <w:lang w:eastAsia="en-AU"/>
        </w:rPr>
        <w:t>L</w:t>
      </w:r>
      <w:r>
        <w:rPr>
          <w:lang w:eastAsia="en-AU"/>
        </w:rPr>
        <w:t xml:space="preserve"> for all dose groups in the revised table regarding the </w:t>
      </w:r>
      <w:r w:rsidR="00237E58">
        <w:rPr>
          <w:lang w:eastAsia="en-AU"/>
        </w:rPr>
        <w:t>every 2 or every 4</w:t>
      </w:r>
      <w:r>
        <w:rPr>
          <w:lang w:eastAsia="en-AU"/>
        </w:rPr>
        <w:t xml:space="preserve"> weekly administration. As there is a delayed onset of treatment effect and a slow turnover of </w:t>
      </w:r>
      <w:proofErr w:type="spellStart"/>
      <w:r>
        <w:rPr>
          <w:lang w:eastAsia="en-AU"/>
        </w:rPr>
        <w:t>biosystem</w:t>
      </w:r>
      <w:proofErr w:type="spellEnd"/>
      <w:r>
        <w:rPr>
          <w:lang w:eastAsia="en-AU"/>
        </w:rPr>
        <w:t xml:space="preserve"> components, this change is unlikely to cause fluctuations in free </w:t>
      </w:r>
      <w:proofErr w:type="spellStart"/>
      <w:r>
        <w:rPr>
          <w:lang w:eastAsia="en-AU"/>
        </w:rPr>
        <w:t>IgE</w:t>
      </w:r>
      <w:proofErr w:type="spellEnd"/>
      <w:r>
        <w:rPr>
          <w:lang w:eastAsia="en-AU"/>
        </w:rPr>
        <w:t xml:space="preserve"> levels. With the new dosing regime, a proportion of subjects may have higher peak plasma concentrations of Xolair (due to an increase in </w:t>
      </w:r>
      <w:proofErr w:type="spellStart"/>
      <w:r>
        <w:rPr>
          <w:lang w:eastAsia="en-AU"/>
        </w:rPr>
        <w:t>C</w:t>
      </w:r>
      <w:r>
        <w:rPr>
          <w:vertAlign w:val="subscript"/>
          <w:lang w:eastAsia="en-AU"/>
        </w:rPr>
        <w:t>max</w:t>
      </w:r>
      <w:proofErr w:type="spellEnd"/>
      <w:r>
        <w:rPr>
          <w:lang w:eastAsia="en-AU"/>
        </w:rPr>
        <w:t xml:space="preserve"> of 15%). There was concern using the modelling of data pooled across species at the risk of thrombocytopenia in primates ma</w:t>
      </w:r>
      <w:r w:rsidR="00237E58">
        <w:rPr>
          <w:lang w:eastAsia="en-AU"/>
        </w:rPr>
        <w:t>y not be the same as in humans.</w:t>
      </w:r>
    </w:p>
    <w:p w:rsidR="002F367C" w:rsidRDefault="002F367C" w:rsidP="002F367C">
      <w:pPr>
        <w:spacing w:before="0" w:after="0" w:line="240" w:lineRule="auto"/>
        <w:rPr>
          <w:lang w:eastAsia="en-AU"/>
        </w:rPr>
      </w:pPr>
      <w:r>
        <w:rPr>
          <w:lang w:eastAsia="en-AU"/>
        </w:rPr>
        <w:t>Additional safety data from clinical trials and post marketing experience showed that although the number of subjects exposed to high doses of Xolair was low, the distribution of AE was consistent with lower doses of Xolair, type of AE were known and already included in the label and RMP, or symptoms or signs of asthma. The proposed changes are unlikely to affect the efficacy.</w:t>
      </w:r>
    </w:p>
    <w:p w:rsidR="00E24628" w:rsidRDefault="002F367C" w:rsidP="002F367C">
      <w:pPr>
        <w:spacing w:before="0" w:after="0" w:line="240" w:lineRule="auto"/>
        <w:rPr>
          <w:lang w:eastAsia="en-AU"/>
        </w:rPr>
      </w:pPr>
      <w:r>
        <w:rPr>
          <w:lang w:eastAsia="en-AU"/>
        </w:rPr>
        <w:t xml:space="preserve">The sponsor was asked if measuring serum </w:t>
      </w:r>
      <w:proofErr w:type="spellStart"/>
      <w:r>
        <w:rPr>
          <w:lang w:eastAsia="en-AU"/>
        </w:rPr>
        <w:t>IgE</w:t>
      </w:r>
      <w:proofErr w:type="spellEnd"/>
      <w:r>
        <w:rPr>
          <w:lang w:eastAsia="en-AU"/>
        </w:rPr>
        <w:t xml:space="preserve"> levels would assist with dose titration. The sponsor responded that because of the variability in </w:t>
      </w:r>
      <w:proofErr w:type="spellStart"/>
      <w:r>
        <w:rPr>
          <w:lang w:eastAsia="en-AU"/>
        </w:rPr>
        <w:t>IgE</w:t>
      </w:r>
      <w:proofErr w:type="spellEnd"/>
      <w:r>
        <w:rPr>
          <w:lang w:eastAsia="en-AU"/>
        </w:rPr>
        <w:t xml:space="preserve"> measured in commercial laboratories, th</w:t>
      </w:r>
      <w:r w:rsidR="00237E58">
        <w:rPr>
          <w:lang w:eastAsia="en-AU"/>
        </w:rPr>
        <w:t>i</w:t>
      </w:r>
      <w:r>
        <w:rPr>
          <w:lang w:eastAsia="en-AU"/>
        </w:rPr>
        <w:t>s would not be helpful</w:t>
      </w:r>
      <w:r w:rsidR="00E24628">
        <w:rPr>
          <w:lang w:eastAsia="en-AU"/>
        </w:rPr>
        <w:t>.</w:t>
      </w:r>
    </w:p>
    <w:p w:rsidR="002F367C" w:rsidRPr="00237E58" w:rsidRDefault="002F367C" w:rsidP="00237E58">
      <w:pPr>
        <w:pStyle w:val="Heading4"/>
      </w:pPr>
      <w:r>
        <w:t>Efficacy</w:t>
      </w:r>
    </w:p>
    <w:p w:rsidR="002F367C" w:rsidRDefault="002F367C" w:rsidP="00237E58">
      <w:r>
        <w:t>EMA Guidelines for asthma:</w:t>
      </w:r>
    </w:p>
    <w:p w:rsidR="002F367C" w:rsidRDefault="002F367C" w:rsidP="00237E58">
      <w:pPr>
        <w:pStyle w:val="ListBullet"/>
      </w:pPr>
      <w:r>
        <w:t>6 months trials are recommended.</w:t>
      </w:r>
    </w:p>
    <w:p w:rsidR="002F367C" w:rsidRDefault="002F367C" w:rsidP="00237E58">
      <w:r>
        <w:t>Recommended primary and secondary endpoints:</w:t>
      </w:r>
    </w:p>
    <w:p w:rsidR="002F367C" w:rsidRDefault="002F367C" w:rsidP="00237E58">
      <w:pPr>
        <w:pStyle w:val="ListBullet"/>
      </w:pPr>
      <w:r>
        <w:lastRenderedPageBreak/>
        <w:t>Both FEV1 and PEFR</w:t>
      </w:r>
      <w:r w:rsidR="00237E58">
        <w:rPr>
          <w:rStyle w:val="FootnoteReference"/>
        </w:rPr>
        <w:footnoteReference w:id="8"/>
      </w:r>
      <w:r>
        <w:t xml:space="preserve"> reflect airway obstruction and are accepted as </w:t>
      </w:r>
      <w:proofErr w:type="spellStart"/>
      <w:r>
        <w:t>spirometric</w:t>
      </w:r>
      <w:proofErr w:type="spellEnd"/>
      <w:r>
        <w:t xml:space="preserve"> evaluations of the effect of anti-asthma drugs. Accepted symptom based clinical endpoints include symptom scores and the use of reliever medication. Exacerbation rates may be useful to assess controller treatment in more severe asthma. There is no universal definition of exacerbation rate, but the most useful parameters are symptom scores, the need for rescue medication and an objective worsening or airway obstruction. For moderate and persistent asthma, symptom based endpoints are particularly important. These may include the frequency of exacerbations and an assessment of asthma control.</w:t>
      </w:r>
      <w:r>
        <w:tab/>
      </w:r>
    </w:p>
    <w:p w:rsidR="002F367C" w:rsidRDefault="002F367C" w:rsidP="00237E58">
      <w:pPr>
        <w:pStyle w:val="Heading5"/>
      </w:pPr>
      <w:r>
        <w:t>S</w:t>
      </w:r>
      <w:r w:rsidR="00237E58">
        <w:t>tudy</w:t>
      </w:r>
      <w:r>
        <w:t xml:space="preserve"> IA05</w:t>
      </w:r>
    </w:p>
    <w:p w:rsidR="00237E58" w:rsidRDefault="00237E58" w:rsidP="00237E58">
      <w:r>
        <w:t xml:space="preserve">The details </w:t>
      </w:r>
      <w:r w:rsidR="003836E5">
        <w:t xml:space="preserve">and results </w:t>
      </w:r>
      <w:r>
        <w:t>of this study are summ</w:t>
      </w:r>
      <w:r w:rsidR="001A2F5C">
        <w:t>a</w:t>
      </w:r>
      <w:r w:rsidR="003836E5">
        <w:t>rised in T</w:t>
      </w:r>
      <w:r>
        <w:t>able</w:t>
      </w:r>
      <w:r w:rsidR="003836E5">
        <w:t>s</w:t>
      </w:r>
      <w:r>
        <w:t xml:space="preserve"> 1</w:t>
      </w:r>
      <w:r w:rsidR="00951939">
        <w:t>7</w:t>
      </w:r>
      <w:r>
        <w:t xml:space="preserve"> </w:t>
      </w:r>
      <w:r w:rsidR="003836E5">
        <w:t>and 1</w:t>
      </w:r>
      <w:r w:rsidR="00951939">
        <w:t>8</w:t>
      </w:r>
      <w:r w:rsidR="003836E5">
        <w:t xml:space="preserve"> </w:t>
      </w:r>
      <w:r>
        <w:t>below.</w:t>
      </w:r>
    </w:p>
    <w:p w:rsidR="00237E58" w:rsidRPr="00237E58" w:rsidRDefault="00237E58" w:rsidP="007904F2">
      <w:pPr>
        <w:pStyle w:val="TableTitle"/>
      </w:pPr>
      <w:r>
        <w:t>Table 1</w:t>
      </w:r>
      <w:r w:rsidR="00951939">
        <w:t>7</w:t>
      </w:r>
      <w:r>
        <w:t>: Summary of Study IA05</w:t>
      </w:r>
    </w:p>
    <w:tbl>
      <w:tblPr>
        <w:tblStyle w:val="TableTGAblue"/>
        <w:tblW w:w="0" w:type="auto"/>
        <w:tblLook w:val="04A0" w:firstRow="1" w:lastRow="0" w:firstColumn="1" w:lastColumn="0" w:noHBand="0" w:noVBand="1"/>
      </w:tblPr>
      <w:tblGrid>
        <w:gridCol w:w="1978"/>
        <w:gridCol w:w="6742"/>
      </w:tblGrid>
      <w:tr w:rsidR="001A2F5C" w:rsidTr="00543D3D">
        <w:trPr>
          <w:cnfStyle w:val="100000000000" w:firstRow="1" w:lastRow="0" w:firstColumn="0" w:lastColumn="0" w:oddVBand="0" w:evenVBand="0" w:oddHBand="0" w:evenHBand="0" w:firstRowFirstColumn="0" w:firstRowLastColumn="0" w:lastRowFirstColumn="0" w:lastRowLastColumn="0"/>
        </w:trPr>
        <w:tc>
          <w:tcPr>
            <w:tcW w:w="1242" w:type="dxa"/>
          </w:tcPr>
          <w:p w:rsidR="001A2F5C" w:rsidRPr="007904F2" w:rsidRDefault="001A2F5C" w:rsidP="00543D3D"/>
        </w:tc>
        <w:tc>
          <w:tcPr>
            <w:tcW w:w="7478" w:type="dxa"/>
          </w:tcPr>
          <w:p w:rsidR="001A2F5C" w:rsidRPr="007904F2" w:rsidRDefault="001A2F5C" w:rsidP="00543D3D">
            <w:r w:rsidRPr="007904F2">
              <w:t>Details</w:t>
            </w:r>
          </w:p>
        </w:tc>
      </w:tr>
      <w:tr w:rsidR="002F367C" w:rsidTr="00543D3D">
        <w:tc>
          <w:tcPr>
            <w:tcW w:w="1242" w:type="dxa"/>
            <w:hideMark/>
          </w:tcPr>
          <w:p w:rsidR="002F367C" w:rsidRPr="007904F2" w:rsidRDefault="002F367C" w:rsidP="00543D3D">
            <w:pPr>
              <w:rPr>
                <w:rFonts w:eastAsia="MS Mincho"/>
                <w:lang w:eastAsia="ja-JP"/>
              </w:rPr>
            </w:pPr>
            <w:r w:rsidRPr="007904F2">
              <w:t>Design</w:t>
            </w:r>
          </w:p>
        </w:tc>
        <w:tc>
          <w:tcPr>
            <w:tcW w:w="7478" w:type="dxa"/>
            <w:hideMark/>
          </w:tcPr>
          <w:p w:rsidR="002F367C" w:rsidRPr="007904F2" w:rsidRDefault="002F367C" w:rsidP="00543D3D">
            <w:pPr>
              <w:rPr>
                <w:rFonts w:eastAsia="MS Mincho"/>
                <w:lang w:eastAsia="ja-JP"/>
              </w:rPr>
            </w:pPr>
            <w:r w:rsidRPr="007904F2">
              <w:t>Randomised, double blind, placebo control, parallel groups</w:t>
            </w:r>
          </w:p>
        </w:tc>
      </w:tr>
      <w:tr w:rsidR="002F367C" w:rsidTr="00543D3D">
        <w:trPr>
          <w:trHeight w:val="870"/>
        </w:trPr>
        <w:tc>
          <w:tcPr>
            <w:tcW w:w="1242" w:type="dxa"/>
            <w:hideMark/>
          </w:tcPr>
          <w:p w:rsidR="002F367C" w:rsidRPr="007904F2" w:rsidRDefault="002F367C" w:rsidP="00543D3D">
            <w:pPr>
              <w:rPr>
                <w:rFonts w:eastAsia="MS Mincho"/>
                <w:lang w:eastAsia="ja-JP"/>
              </w:rPr>
            </w:pPr>
            <w:r w:rsidRPr="007904F2">
              <w:t>Duration</w:t>
            </w:r>
          </w:p>
        </w:tc>
        <w:tc>
          <w:tcPr>
            <w:tcW w:w="7478" w:type="dxa"/>
            <w:hideMark/>
          </w:tcPr>
          <w:p w:rsidR="002F367C" w:rsidRPr="007904F2" w:rsidRDefault="002F367C" w:rsidP="00543D3D">
            <w:pPr>
              <w:rPr>
                <w:rFonts w:eastAsia="MS Mincho"/>
                <w:lang w:eastAsia="ja-JP"/>
              </w:rPr>
            </w:pPr>
            <w:r w:rsidRPr="007904F2">
              <w:t>Run in phase 8 weeks to optimise treatment</w:t>
            </w:r>
          </w:p>
          <w:p w:rsidR="002F367C" w:rsidRPr="007904F2" w:rsidRDefault="002F367C" w:rsidP="00543D3D">
            <w:pPr>
              <w:rPr>
                <w:rFonts w:eastAsia="MS Mincho"/>
                <w:lang w:eastAsia="ja-JP"/>
              </w:rPr>
            </w:pPr>
            <w:r w:rsidRPr="007904F2">
              <w:t>Double blind 52 weeks – fixed inhaled corticosteroid 24 weeks then adjustable dose ICS</w:t>
            </w:r>
          </w:p>
        </w:tc>
      </w:tr>
      <w:tr w:rsidR="002F367C" w:rsidTr="00543D3D">
        <w:tc>
          <w:tcPr>
            <w:tcW w:w="1242" w:type="dxa"/>
            <w:hideMark/>
          </w:tcPr>
          <w:p w:rsidR="002F367C" w:rsidRPr="007904F2" w:rsidRDefault="002F367C" w:rsidP="00543D3D">
            <w:pPr>
              <w:rPr>
                <w:rFonts w:eastAsia="MS Mincho"/>
                <w:lang w:eastAsia="ja-JP"/>
              </w:rPr>
            </w:pPr>
            <w:r w:rsidRPr="007904F2">
              <w:t>Population</w:t>
            </w:r>
          </w:p>
        </w:tc>
        <w:tc>
          <w:tcPr>
            <w:tcW w:w="7478" w:type="dxa"/>
            <w:hideMark/>
          </w:tcPr>
          <w:p w:rsidR="002F367C" w:rsidRPr="00AD775B" w:rsidRDefault="00543D3D" w:rsidP="00543D3D">
            <w:pPr>
              <w:rPr>
                <w:rFonts w:eastAsia="MS Mincho"/>
                <w:i/>
                <w:lang w:eastAsia="ja-JP"/>
              </w:rPr>
            </w:pPr>
            <w:r>
              <w:rPr>
                <w:i/>
              </w:rPr>
              <w:t>Inclusion</w:t>
            </w:r>
          </w:p>
          <w:p w:rsidR="002F367C" w:rsidRPr="007904F2" w:rsidRDefault="002F367C" w:rsidP="00543D3D">
            <w:r w:rsidRPr="007904F2">
              <w:t>Age 6-</w:t>
            </w:r>
            <w:r w:rsidR="006C4FF9">
              <w:t>&lt;</w:t>
            </w:r>
            <w:r w:rsidRPr="007904F2">
              <w:t>12 years</w:t>
            </w:r>
          </w:p>
          <w:p w:rsidR="002F367C" w:rsidRPr="007904F2" w:rsidRDefault="002F367C" w:rsidP="00543D3D">
            <w:r w:rsidRPr="007904F2">
              <w:t xml:space="preserve">Total serum </w:t>
            </w:r>
            <w:proofErr w:type="spellStart"/>
            <w:r w:rsidRPr="007904F2">
              <w:t>IgE</w:t>
            </w:r>
            <w:proofErr w:type="spellEnd"/>
            <w:r w:rsidRPr="007904F2">
              <w:t xml:space="preserve"> </w:t>
            </w:r>
            <w:r w:rsidR="00F94380">
              <w:t xml:space="preserve">≥ </w:t>
            </w:r>
            <w:r w:rsidRPr="007904F2">
              <w:t>30-</w:t>
            </w:r>
            <w:r w:rsidR="00F94380">
              <w:t xml:space="preserve">≤ </w:t>
            </w:r>
            <w:r w:rsidR="006C4FF9">
              <w:t>1</w:t>
            </w:r>
            <w:r w:rsidRPr="007904F2">
              <w:t>300</w:t>
            </w:r>
            <w:r w:rsidR="00C42824">
              <w:t xml:space="preserve"> </w:t>
            </w:r>
            <w:r w:rsidRPr="007904F2">
              <w:t>IU</w:t>
            </w:r>
            <w:r w:rsidR="006C4FF9">
              <w:t>/ml</w:t>
            </w:r>
          </w:p>
          <w:p w:rsidR="002F367C" w:rsidRPr="007904F2" w:rsidRDefault="002F367C" w:rsidP="00543D3D">
            <w:r w:rsidRPr="007904F2">
              <w:t>Diagnosis of allergic asthma of moderate-severe severity</w:t>
            </w:r>
          </w:p>
          <w:p w:rsidR="002F367C" w:rsidRPr="007904F2" w:rsidRDefault="002F367C" w:rsidP="00543D3D">
            <w:r w:rsidRPr="007904F2">
              <w:t>Positive skin prick test (diameter of wheal &gt; 3mm) to at least one perennial allergen within the last 2 years</w:t>
            </w:r>
          </w:p>
          <w:p w:rsidR="002F367C" w:rsidRPr="007904F2" w:rsidRDefault="002F367C" w:rsidP="00543D3D">
            <w:r w:rsidRPr="007904F2">
              <w:t>&gt; 12% increase in FEV1 within 30 minutes of salbutamol</w:t>
            </w:r>
          </w:p>
          <w:p w:rsidR="002F367C" w:rsidRPr="007904F2" w:rsidRDefault="002F367C" w:rsidP="00543D3D">
            <w:r w:rsidRPr="007904F2">
              <w:t>While receiving fluticasone DPI&gt;200ug/day or equivalent ex-valve dose</w:t>
            </w:r>
          </w:p>
          <w:p w:rsidR="002F367C" w:rsidRPr="00C42824" w:rsidRDefault="002F367C" w:rsidP="00543D3D">
            <w:pPr>
              <w:rPr>
                <w:rFonts w:asciiTheme="minorHAnsi" w:hAnsiTheme="minorHAnsi"/>
              </w:rPr>
            </w:pPr>
            <w:r w:rsidRPr="00AD775B">
              <w:t xml:space="preserve">2 </w:t>
            </w:r>
            <w:r w:rsidRPr="00C42824">
              <w:rPr>
                <w:rFonts w:asciiTheme="minorHAnsi" w:hAnsiTheme="minorHAnsi"/>
              </w:rPr>
              <w:t xml:space="preserve">independent exacerbations in the previous 12 months requiring treatment with systemic corticosteroids </w:t>
            </w:r>
            <w:r w:rsidR="00D4418C" w:rsidRPr="00C42824">
              <w:rPr>
                <w:rFonts w:asciiTheme="minorHAnsi" w:hAnsiTheme="minorHAnsi"/>
              </w:rPr>
              <w:t>and/</w:t>
            </w:r>
            <w:r w:rsidRPr="00C42824">
              <w:rPr>
                <w:rFonts w:asciiTheme="minorHAnsi" w:hAnsiTheme="minorHAnsi"/>
              </w:rPr>
              <w:t>or doubling maintenance inhaled corticosteroid</w:t>
            </w:r>
            <w:r w:rsidR="00477DE8" w:rsidRPr="00C42824">
              <w:rPr>
                <w:rFonts w:asciiTheme="minorHAnsi" w:hAnsiTheme="minorHAnsi"/>
              </w:rPr>
              <w:t xml:space="preserve"> </w:t>
            </w:r>
            <w:r w:rsidR="00D4418C" w:rsidRPr="00C42824">
              <w:rPr>
                <w:rFonts w:asciiTheme="minorHAnsi" w:hAnsiTheme="minorHAnsi"/>
              </w:rPr>
              <w:t>for at least 3 days</w:t>
            </w:r>
            <w:r w:rsidRPr="00C42824">
              <w:rPr>
                <w:rFonts w:asciiTheme="minorHAnsi" w:hAnsiTheme="minorHAnsi"/>
              </w:rPr>
              <w:t xml:space="preserve"> OR</w:t>
            </w:r>
          </w:p>
          <w:p w:rsidR="002F367C" w:rsidRPr="00C42824" w:rsidRDefault="002F367C" w:rsidP="00543D3D">
            <w:pPr>
              <w:rPr>
                <w:rFonts w:asciiTheme="minorHAnsi" w:eastAsiaTheme="minorHAnsi" w:hAnsiTheme="minorHAnsi" w:cs="TimesNewRomanPSMT"/>
                <w:lang w:val="en-US"/>
              </w:rPr>
            </w:pPr>
            <w:r w:rsidRPr="00C42824">
              <w:rPr>
                <w:rFonts w:asciiTheme="minorHAnsi" w:hAnsiTheme="minorHAnsi"/>
              </w:rPr>
              <w:t>3 independent exacerbations over the past 24 months</w:t>
            </w:r>
            <w:r w:rsidR="00D4418C" w:rsidRPr="00C42824">
              <w:rPr>
                <w:rFonts w:asciiTheme="minorHAnsi" w:hAnsiTheme="minorHAnsi"/>
              </w:rPr>
              <w:t>;</w:t>
            </w:r>
            <w:r w:rsidR="00D4418C" w:rsidRPr="00C42824">
              <w:rPr>
                <w:rFonts w:asciiTheme="minorHAnsi" w:eastAsiaTheme="minorHAnsi" w:hAnsiTheme="minorHAnsi" w:cs="TimesNewRomanPSMT"/>
                <w:lang w:val="en-US"/>
              </w:rPr>
              <w:t xml:space="preserve"> one of these exacerbations must have occurred in the previous 12 months (same treatment as above)</w:t>
            </w:r>
            <w:r w:rsidRPr="00C42824">
              <w:rPr>
                <w:rFonts w:asciiTheme="minorHAnsi" w:hAnsiTheme="minorHAnsi"/>
              </w:rPr>
              <w:t xml:space="preserve"> OR</w:t>
            </w:r>
          </w:p>
          <w:p w:rsidR="002F367C" w:rsidRPr="00C42824" w:rsidRDefault="002F367C" w:rsidP="00543D3D">
            <w:pPr>
              <w:rPr>
                <w:rFonts w:asciiTheme="minorHAnsi" w:hAnsiTheme="minorHAnsi"/>
              </w:rPr>
            </w:pPr>
            <w:r w:rsidRPr="00C42824">
              <w:rPr>
                <w:rFonts w:asciiTheme="minorHAnsi" w:hAnsiTheme="minorHAnsi"/>
              </w:rPr>
              <w:t>Admitted to ED or hospital within last 12 months</w:t>
            </w:r>
            <w:r w:rsidR="00D4418C" w:rsidRPr="00C42824">
              <w:rPr>
                <w:rFonts w:asciiTheme="minorHAnsi" w:hAnsiTheme="minorHAnsi"/>
              </w:rPr>
              <w:t xml:space="preserve"> for an asthma exacerbation</w:t>
            </w:r>
          </w:p>
          <w:p w:rsidR="002F367C" w:rsidRPr="00C42824" w:rsidRDefault="002F367C" w:rsidP="00543D3D">
            <w:pPr>
              <w:rPr>
                <w:rFonts w:asciiTheme="minorHAnsi" w:hAnsiTheme="minorHAnsi"/>
                <w:i/>
              </w:rPr>
            </w:pPr>
            <w:r w:rsidRPr="00C42824">
              <w:rPr>
                <w:rFonts w:asciiTheme="minorHAnsi" w:hAnsiTheme="minorHAnsi"/>
                <w:i/>
              </w:rPr>
              <w:t xml:space="preserve">Exclusion </w:t>
            </w:r>
          </w:p>
          <w:p w:rsidR="002F367C" w:rsidRPr="007904F2" w:rsidRDefault="002F367C" w:rsidP="00543D3D">
            <w:r w:rsidRPr="007904F2">
              <w:t>Treated with systemic corticosteroids within 4 weeks</w:t>
            </w:r>
          </w:p>
          <w:p w:rsidR="002F367C" w:rsidRPr="007904F2" w:rsidRDefault="002F367C" w:rsidP="00543D3D">
            <w:r w:rsidRPr="007904F2">
              <w:t xml:space="preserve">Taking oral β agonists; methotrexate, gold, </w:t>
            </w:r>
            <w:proofErr w:type="spellStart"/>
            <w:r w:rsidRPr="007904F2">
              <w:t>cyclosporin</w:t>
            </w:r>
            <w:proofErr w:type="spellEnd"/>
            <w:r w:rsidRPr="007904F2">
              <w:t xml:space="preserve"> or other immunosuppressant; taking oral or inhaled anticholinergics</w:t>
            </w:r>
          </w:p>
          <w:p w:rsidR="002F367C" w:rsidRPr="007904F2" w:rsidRDefault="002F367C" w:rsidP="00543D3D">
            <w:r w:rsidRPr="007904F2">
              <w:t xml:space="preserve">History of food or drug induced anaphylaxis, allergy to antibiotics, </w:t>
            </w:r>
          </w:p>
          <w:p w:rsidR="002F367C" w:rsidRPr="007904F2" w:rsidRDefault="002F367C" w:rsidP="00543D3D">
            <w:r w:rsidRPr="007904F2">
              <w:lastRenderedPageBreak/>
              <w:t xml:space="preserve">Aspirin or </w:t>
            </w:r>
            <w:r w:rsidR="003836E5" w:rsidRPr="007904F2">
              <w:t>non-steroidal anti-inflammatory (</w:t>
            </w:r>
            <w:r w:rsidRPr="007904F2">
              <w:t>NSAID</w:t>
            </w:r>
            <w:r w:rsidR="003836E5" w:rsidRPr="007904F2">
              <w:t>)</w:t>
            </w:r>
            <w:r w:rsidRPr="007904F2">
              <w:t xml:space="preserve"> related asthma</w:t>
            </w:r>
          </w:p>
          <w:p w:rsidR="002F367C" w:rsidRPr="007904F2" w:rsidRDefault="002F367C" w:rsidP="00543D3D">
            <w:r w:rsidRPr="007904F2">
              <w:t>Active lung disease other than asthma</w:t>
            </w:r>
          </w:p>
          <w:p w:rsidR="002F367C" w:rsidRPr="007904F2" w:rsidRDefault="002F367C" w:rsidP="00543D3D">
            <w:r w:rsidRPr="007904F2">
              <w:t xml:space="preserve">Elevated </w:t>
            </w:r>
            <w:proofErr w:type="spellStart"/>
            <w:r w:rsidRPr="007904F2">
              <w:t>IgE</w:t>
            </w:r>
            <w:proofErr w:type="spellEnd"/>
            <w:r w:rsidRPr="007904F2">
              <w:t xml:space="preserve"> for reasons other than asthma </w:t>
            </w:r>
            <w:proofErr w:type="spellStart"/>
            <w:r w:rsidRPr="007904F2">
              <w:t>eg</w:t>
            </w:r>
            <w:proofErr w:type="spellEnd"/>
            <w:r w:rsidRPr="007904F2">
              <w:t xml:space="preserve"> parasitic infection, </w:t>
            </w:r>
            <w:proofErr w:type="spellStart"/>
            <w:r w:rsidRPr="007904F2">
              <w:t>hyperimmunoglobulin</w:t>
            </w:r>
            <w:proofErr w:type="spellEnd"/>
            <w:r w:rsidRPr="007904F2">
              <w:t xml:space="preserve"> E, </w:t>
            </w:r>
            <w:proofErr w:type="spellStart"/>
            <w:r w:rsidRPr="007904F2">
              <w:t>Wiskott</w:t>
            </w:r>
            <w:proofErr w:type="spellEnd"/>
            <w:r w:rsidRPr="007904F2">
              <w:t>-Aldrich Syndrome or clinical bronchopulmonary aspergillosis</w:t>
            </w:r>
          </w:p>
          <w:p w:rsidR="002F367C" w:rsidRPr="007904F2" w:rsidRDefault="002F367C" w:rsidP="00543D3D">
            <w:pPr>
              <w:rPr>
                <w:rFonts w:eastAsiaTheme="minorHAnsi"/>
                <w:lang w:eastAsia="ja-JP"/>
              </w:rPr>
            </w:pPr>
            <w:r w:rsidRPr="007904F2">
              <w:t>Uncontrolled systemic disease or cancer</w:t>
            </w:r>
          </w:p>
        </w:tc>
      </w:tr>
      <w:tr w:rsidR="002F367C" w:rsidTr="00543D3D">
        <w:tc>
          <w:tcPr>
            <w:tcW w:w="1242" w:type="dxa"/>
            <w:hideMark/>
          </w:tcPr>
          <w:p w:rsidR="002F367C" w:rsidRPr="007904F2" w:rsidRDefault="002F367C" w:rsidP="00543D3D">
            <w:pPr>
              <w:rPr>
                <w:rFonts w:eastAsia="MS Mincho"/>
                <w:lang w:eastAsia="ja-JP"/>
              </w:rPr>
            </w:pPr>
            <w:r w:rsidRPr="007904F2">
              <w:lastRenderedPageBreak/>
              <w:t>Intervention</w:t>
            </w:r>
          </w:p>
        </w:tc>
        <w:tc>
          <w:tcPr>
            <w:tcW w:w="7478" w:type="dxa"/>
            <w:hideMark/>
          </w:tcPr>
          <w:p w:rsidR="002F367C" w:rsidRPr="007904F2" w:rsidRDefault="002F367C" w:rsidP="00543D3D">
            <w:pPr>
              <w:rPr>
                <w:rFonts w:eastAsia="MS Mincho"/>
                <w:lang w:eastAsia="ja-JP"/>
              </w:rPr>
            </w:pPr>
            <w:r w:rsidRPr="007904F2">
              <w:t>As per current dosing chart</w:t>
            </w:r>
          </w:p>
        </w:tc>
      </w:tr>
      <w:tr w:rsidR="002F367C" w:rsidTr="00543D3D">
        <w:tc>
          <w:tcPr>
            <w:tcW w:w="1242" w:type="dxa"/>
            <w:hideMark/>
          </w:tcPr>
          <w:p w:rsidR="002F367C" w:rsidRPr="007904F2" w:rsidRDefault="002F367C" w:rsidP="00543D3D">
            <w:pPr>
              <w:rPr>
                <w:rFonts w:eastAsia="MS Mincho"/>
                <w:lang w:eastAsia="ja-JP"/>
              </w:rPr>
            </w:pPr>
            <w:r w:rsidRPr="007904F2">
              <w:t>Comparator</w:t>
            </w:r>
          </w:p>
        </w:tc>
        <w:tc>
          <w:tcPr>
            <w:tcW w:w="7478" w:type="dxa"/>
            <w:hideMark/>
          </w:tcPr>
          <w:p w:rsidR="002F367C" w:rsidRPr="007904F2" w:rsidRDefault="00543D3D" w:rsidP="00543D3D">
            <w:pPr>
              <w:rPr>
                <w:rFonts w:eastAsia="MS Mincho"/>
                <w:lang w:eastAsia="ja-JP"/>
              </w:rPr>
            </w:pPr>
            <w:r>
              <w:t>Placebo</w:t>
            </w:r>
          </w:p>
        </w:tc>
      </w:tr>
      <w:tr w:rsidR="002F367C" w:rsidTr="00543D3D">
        <w:tc>
          <w:tcPr>
            <w:tcW w:w="1242" w:type="dxa"/>
            <w:hideMark/>
          </w:tcPr>
          <w:p w:rsidR="002F367C" w:rsidRPr="007904F2" w:rsidRDefault="002F367C" w:rsidP="00543D3D">
            <w:pPr>
              <w:rPr>
                <w:rFonts w:eastAsia="MS Mincho"/>
                <w:lang w:eastAsia="ja-JP"/>
              </w:rPr>
            </w:pPr>
            <w:r w:rsidRPr="007904F2">
              <w:t>Efficacy outcomes</w:t>
            </w:r>
          </w:p>
        </w:tc>
        <w:tc>
          <w:tcPr>
            <w:tcW w:w="7478" w:type="dxa"/>
            <w:hideMark/>
          </w:tcPr>
          <w:p w:rsidR="002F367C" w:rsidRPr="007904F2" w:rsidRDefault="002F367C" w:rsidP="00543D3D">
            <w:pPr>
              <w:rPr>
                <w:rFonts w:eastAsia="MS Mincho"/>
                <w:lang w:eastAsia="ja-JP"/>
              </w:rPr>
            </w:pPr>
            <w:r w:rsidRPr="007904F2">
              <w:t>Primary Outcome:</w:t>
            </w:r>
          </w:p>
          <w:p w:rsidR="002F367C" w:rsidRPr="007904F2" w:rsidRDefault="002F367C" w:rsidP="00543D3D">
            <w:r w:rsidRPr="007904F2">
              <w:t>Reduction in asthma exacerbations*</w:t>
            </w:r>
          </w:p>
          <w:p w:rsidR="002F367C" w:rsidRPr="007904F2" w:rsidRDefault="002F367C" w:rsidP="00543D3D">
            <w:r w:rsidRPr="007904F2">
              <w:t>Secondary outcomes</w:t>
            </w:r>
          </w:p>
          <w:p w:rsidR="002F367C" w:rsidRPr="007904F2" w:rsidRDefault="002F367C" w:rsidP="00543D3D">
            <w:r w:rsidRPr="007904F2">
              <w:t xml:space="preserve">Reductions in BDP dose </w:t>
            </w:r>
          </w:p>
          <w:p w:rsidR="002F367C" w:rsidRPr="007904F2" w:rsidRDefault="002F367C" w:rsidP="00543D3D">
            <w:r w:rsidRPr="007904F2">
              <w:t>Asthma symptoms</w:t>
            </w:r>
          </w:p>
          <w:p w:rsidR="002F367C" w:rsidRPr="007904F2" w:rsidRDefault="002F367C" w:rsidP="00543D3D">
            <w:r w:rsidRPr="007904F2">
              <w:t>Spirometry parameters;</w:t>
            </w:r>
          </w:p>
          <w:p w:rsidR="002F367C" w:rsidRPr="007904F2" w:rsidRDefault="002F367C" w:rsidP="00543D3D">
            <w:r w:rsidRPr="007904F2">
              <w:t>Use of rescue medication;</w:t>
            </w:r>
          </w:p>
          <w:p w:rsidR="002F367C" w:rsidRPr="007904F2" w:rsidRDefault="002F367C" w:rsidP="00543D3D">
            <w:pPr>
              <w:rPr>
                <w:rFonts w:eastAsiaTheme="minorHAnsi"/>
                <w:lang w:eastAsia="ja-JP"/>
              </w:rPr>
            </w:pPr>
            <w:r w:rsidRPr="007904F2">
              <w:t>Quality of life.</w:t>
            </w:r>
          </w:p>
        </w:tc>
      </w:tr>
      <w:tr w:rsidR="002F367C" w:rsidTr="00543D3D">
        <w:tc>
          <w:tcPr>
            <w:tcW w:w="1242" w:type="dxa"/>
            <w:hideMark/>
          </w:tcPr>
          <w:p w:rsidR="002F367C" w:rsidRPr="007904F2" w:rsidRDefault="002F367C" w:rsidP="00543D3D">
            <w:pPr>
              <w:rPr>
                <w:rFonts w:eastAsia="MS Mincho"/>
                <w:lang w:eastAsia="ja-JP"/>
              </w:rPr>
            </w:pPr>
            <w:r w:rsidRPr="007904F2">
              <w:t>Statistics</w:t>
            </w:r>
          </w:p>
        </w:tc>
        <w:tc>
          <w:tcPr>
            <w:tcW w:w="7478" w:type="dxa"/>
            <w:hideMark/>
          </w:tcPr>
          <w:p w:rsidR="002F367C" w:rsidRPr="007904F2" w:rsidRDefault="002F367C" w:rsidP="00543D3D">
            <w:pPr>
              <w:rPr>
                <w:rFonts w:eastAsia="MS Mincho"/>
                <w:lang w:eastAsia="ja-JP"/>
              </w:rPr>
            </w:pPr>
            <w:r w:rsidRPr="007904F2">
              <w:t xml:space="preserve">The power calculations were based on an estimated reduction in exacerbations of 41%, power 85%, 2 sided t test at alpha=0.05. It was estimated that 570 subjects would be required (380 </w:t>
            </w:r>
            <w:proofErr w:type="spellStart"/>
            <w:r w:rsidR="005A1D2B" w:rsidRPr="007904F2">
              <w:t>omalizumab</w:t>
            </w:r>
            <w:proofErr w:type="spellEnd"/>
            <w:r w:rsidR="005A1D2B" w:rsidRPr="007904F2">
              <w:t xml:space="preserve"> (</w:t>
            </w:r>
            <w:proofErr w:type="spellStart"/>
            <w:r w:rsidR="005A1D2B" w:rsidRPr="007904F2">
              <w:t>rch</w:t>
            </w:r>
            <w:proofErr w:type="spellEnd"/>
            <w:r w:rsidR="005A1D2B" w:rsidRPr="007904F2">
              <w:t>)</w:t>
            </w:r>
            <w:r w:rsidRPr="007904F2">
              <w:t xml:space="preserve">) </w:t>
            </w:r>
          </w:p>
        </w:tc>
      </w:tr>
      <w:tr w:rsidR="002F367C" w:rsidTr="00543D3D">
        <w:tc>
          <w:tcPr>
            <w:tcW w:w="1242" w:type="dxa"/>
          </w:tcPr>
          <w:p w:rsidR="002F367C" w:rsidRPr="007904F2" w:rsidRDefault="002F367C" w:rsidP="00543D3D">
            <w:pPr>
              <w:rPr>
                <w:rFonts w:eastAsia="MS Mincho"/>
                <w:lang w:eastAsia="ja-JP"/>
              </w:rPr>
            </w:pPr>
            <w:r w:rsidRPr="007904F2">
              <w:t>Baseline characteristics.</w:t>
            </w:r>
          </w:p>
        </w:tc>
        <w:tc>
          <w:tcPr>
            <w:tcW w:w="7478" w:type="dxa"/>
            <w:hideMark/>
          </w:tcPr>
          <w:p w:rsidR="002F367C" w:rsidRPr="007904F2" w:rsidRDefault="002F367C" w:rsidP="00543D3D">
            <w:pPr>
              <w:rPr>
                <w:rFonts w:eastAsia="MS Mincho"/>
                <w:lang w:eastAsia="ja-JP"/>
              </w:rPr>
            </w:pPr>
            <w:r w:rsidRPr="007904F2">
              <w:t>1433 patients were screened, 627 were randomised.</w:t>
            </w:r>
          </w:p>
          <w:p w:rsidR="002F367C" w:rsidRPr="007904F2" w:rsidRDefault="002F367C" w:rsidP="00543D3D">
            <w:r w:rsidRPr="007904F2">
              <w:t>Average age 9 years, range 6-11 years</w:t>
            </w:r>
          </w:p>
          <w:p w:rsidR="00E24628" w:rsidRDefault="002F367C" w:rsidP="00543D3D">
            <w:r w:rsidRPr="007904F2">
              <w:t>Average severity of asthma</w:t>
            </w:r>
            <w:r w:rsidR="00FA00C2" w:rsidRPr="007904F2">
              <w:t>;</w:t>
            </w:r>
            <w:r w:rsidRPr="007904F2">
              <w:t xml:space="preserve"> 2/3 were classified as severe persistent asthma, mean FEV</w:t>
            </w:r>
            <w:r w:rsidRPr="007904F2">
              <w:rPr>
                <w:vertAlign w:val="subscript"/>
              </w:rPr>
              <w:t>1</w:t>
            </w:r>
            <w:r w:rsidRPr="007904F2">
              <w:t xml:space="preserve"> 86.4 (SD 18); mean serum </w:t>
            </w:r>
            <w:proofErr w:type="spellStart"/>
            <w:r w:rsidRPr="007904F2">
              <w:t>IgE</w:t>
            </w:r>
            <w:proofErr w:type="spellEnd"/>
            <w:r w:rsidRPr="007904F2">
              <w:t xml:space="preserve"> 469.7 IU/m</w:t>
            </w:r>
            <w:r w:rsidR="00FA00C2" w:rsidRPr="007904F2">
              <w:t xml:space="preserve">L </w:t>
            </w:r>
            <w:r w:rsidRPr="007904F2">
              <w:t>(SD 338)</w:t>
            </w:r>
            <w:r w:rsidR="00E24628">
              <w:t>.</w:t>
            </w:r>
          </w:p>
          <w:p w:rsidR="002F367C" w:rsidRPr="007904F2" w:rsidRDefault="002F367C" w:rsidP="00543D3D">
            <w:pPr>
              <w:rPr>
                <w:rFonts w:eastAsia="MS Mincho"/>
                <w:lang w:eastAsia="ja-JP"/>
              </w:rPr>
            </w:pPr>
            <w:r w:rsidRPr="007904F2">
              <w:t xml:space="preserve">Concomitant meds: inhaled long acting β agonist 67.4%; anti-leukotriene 36.6%, maintenance oral steroid 1.3%, short acting β agonist 87.4%. </w:t>
            </w:r>
          </w:p>
        </w:tc>
      </w:tr>
      <w:tr w:rsidR="002F367C" w:rsidTr="00543D3D">
        <w:tc>
          <w:tcPr>
            <w:tcW w:w="1242" w:type="dxa"/>
            <w:hideMark/>
          </w:tcPr>
          <w:p w:rsidR="002F367C" w:rsidRPr="007904F2" w:rsidRDefault="002F367C" w:rsidP="00543D3D">
            <w:pPr>
              <w:rPr>
                <w:rFonts w:eastAsia="MS Mincho"/>
                <w:lang w:eastAsia="ja-JP"/>
              </w:rPr>
            </w:pPr>
            <w:r w:rsidRPr="007904F2">
              <w:t>Outcomes</w:t>
            </w:r>
          </w:p>
        </w:tc>
        <w:tc>
          <w:tcPr>
            <w:tcW w:w="7478" w:type="dxa"/>
          </w:tcPr>
          <w:p w:rsidR="002F367C" w:rsidRPr="007904F2" w:rsidRDefault="002F367C" w:rsidP="00543D3D">
            <w:pPr>
              <w:rPr>
                <w:rFonts w:eastAsia="MS Mincho"/>
                <w:lang w:eastAsia="ja-JP"/>
              </w:rPr>
            </w:pPr>
            <w:r w:rsidRPr="007904F2">
              <w:t>There was a significant reduction in the rate of clinically significant exacerbations, 0.45 versus 0.64;</w:t>
            </w:r>
            <w:r w:rsidR="006750C7" w:rsidRPr="007904F2">
              <w:t xml:space="preserve"> </w:t>
            </w:r>
            <w:r w:rsidRPr="007904F2">
              <w:t>ratio 0.69 (95% CI 0.53</w:t>
            </w:r>
            <w:r w:rsidR="00C47A30" w:rsidRPr="007904F2">
              <w:t xml:space="preserve"> to </w:t>
            </w:r>
            <w:r w:rsidRPr="007904F2">
              <w:t>0.90) over the initial per 24 week period</w:t>
            </w:r>
            <w:r w:rsidR="00D4418C">
              <w:t>. The rate of clinically significant exacerbations over the entire 52 week treatment period was 0.78 versus 1.36; ratio 0.57 (95% CI 0.45 to 0.73).</w:t>
            </w:r>
          </w:p>
          <w:p w:rsidR="002F367C" w:rsidRPr="007904F2" w:rsidRDefault="002F367C" w:rsidP="00543D3D">
            <w:r w:rsidRPr="007904F2">
              <w:t>There was a trend towards a reduction (which did not reach statistical significance) in the proportion of patients who were free of clinically significant exacerbations (64.3% versus 58.3%)</w:t>
            </w:r>
          </w:p>
          <w:p w:rsidR="002F367C" w:rsidRPr="007904F2" w:rsidRDefault="002F367C" w:rsidP="00543D3D">
            <w:r w:rsidRPr="007904F2">
              <w:t xml:space="preserve">There was no significant difference in the treatment arms in the </w:t>
            </w:r>
            <w:r w:rsidRPr="007904F2">
              <w:lastRenderedPageBreak/>
              <w:t>rate of nocturnal symptoms (-0.63 v</w:t>
            </w:r>
            <w:r w:rsidR="00C47A30" w:rsidRPr="007904F2">
              <w:t>ersu</w:t>
            </w:r>
            <w:r w:rsidRPr="007904F2">
              <w:t>s -0.50), asthma rescue medications (-1.3 v</w:t>
            </w:r>
            <w:r w:rsidR="00C47A30" w:rsidRPr="007904F2">
              <w:t>ersu</w:t>
            </w:r>
            <w:r w:rsidRPr="007904F2">
              <w:t>s -1.0) or quality of life.</w:t>
            </w:r>
          </w:p>
          <w:p w:rsidR="002F367C" w:rsidRPr="007904F2" w:rsidRDefault="002F367C" w:rsidP="00543D3D">
            <w:r w:rsidRPr="007904F2">
              <w:t xml:space="preserve">There was a numerical but not statistically significant difference in the percent change of ICS dose (-3.6% in the </w:t>
            </w:r>
            <w:proofErr w:type="spellStart"/>
            <w:r w:rsidR="005A1D2B" w:rsidRPr="007904F2">
              <w:t>omalizumab</w:t>
            </w:r>
            <w:proofErr w:type="spellEnd"/>
            <w:r w:rsidR="005A1D2B" w:rsidRPr="007904F2">
              <w:t xml:space="preserve"> (</w:t>
            </w:r>
            <w:proofErr w:type="spellStart"/>
            <w:r w:rsidR="005A1D2B" w:rsidRPr="007904F2">
              <w:t>rch</w:t>
            </w:r>
            <w:proofErr w:type="spellEnd"/>
            <w:r w:rsidR="005A1D2B" w:rsidRPr="007904F2">
              <w:t>)</w:t>
            </w:r>
            <w:r w:rsidRPr="007904F2">
              <w:t xml:space="preserve"> group versus 1.8% in the placebo group).</w:t>
            </w:r>
          </w:p>
          <w:p w:rsidR="002F367C" w:rsidRPr="007904F2" w:rsidRDefault="002F367C" w:rsidP="00543D3D">
            <w:r w:rsidRPr="007904F2">
              <w:t xml:space="preserve">There was a </w:t>
            </w:r>
            <w:r w:rsidR="00377239">
              <w:t xml:space="preserve">44 to </w:t>
            </w:r>
            <w:r w:rsidR="003C37B6">
              <w:t xml:space="preserve">50% </w:t>
            </w:r>
            <w:r w:rsidRPr="007904F2">
              <w:t>reduction in the rate of severe exacerbations but not in ED presentations or admissions.</w:t>
            </w:r>
          </w:p>
          <w:p w:rsidR="002F367C" w:rsidRPr="007904F2" w:rsidRDefault="002F367C" w:rsidP="00543D3D">
            <w:pPr>
              <w:rPr>
                <w:rFonts w:eastAsiaTheme="minorHAnsi"/>
                <w:lang w:eastAsia="ja-JP"/>
              </w:rPr>
            </w:pPr>
            <w:r w:rsidRPr="007904F2">
              <w:t xml:space="preserve">There was an improvement in FVC with </w:t>
            </w:r>
            <w:proofErr w:type="spellStart"/>
            <w:r w:rsidR="005A1D2B" w:rsidRPr="007904F2">
              <w:t>omalizumab</w:t>
            </w:r>
            <w:proofErr w:type="spellEnd"/>
            <w:r w:rsidR="005A1D2B" w:rsidRPr="007904F2">
              <w:t xml:space="preserve"> (</w:t>
            </w:r>
            <w:proofErr w:type="spellStart"/>
            <w:r w:rsidR="005A1D2B" w:rsidRPr="007904F2">
              <w:t>rch</w:t>
            </w:r>
            <w:proofErr w:type="spellEnd"/>
            <w:r w:rsidR="005A1D2B" w:rsidRPr="007904F2">
              <w:t>)</w:t>
            </w:r>
            <w:r w:rsidRPr="007904F2">
              <w:t xml:space="preserve"> but no significant change in FEV</w:t>
            </w:r>
            <w:r w:rsidRPr="007904F2">
              <w:rPr>
                <w:vertAlign w:val="subscript"/>
              </w:rPr>
              <w:t>1</w:t>
            </w:r>
            <w:r w:rsidRPr="007904F2">
              <w:t>, percent change in FEV</w:t>
            </w:r>
            <w:r w:rsidRPr="007904F2">
              <w:rPr>
                <w:vertAlign w:val="subscript"/>
              </w:rPr>
              <w:t>1</w:t>
            </w:r>
            <w:r w:rsidRPr="007904F2">
              <w:t xml:space="preserve"> or FEF 25-75%.</w:t>
            </w:r>
          </w:p>
        </w:tc>
      </w:tr>
    </w:tbl>
    <w:p w:rsidR="00E24628" w:rsidRPr="00543D3D" w:rsidRDefault="002F367C" w:rsidP="00543D3D">
      <w:pPr>
        <w:pStyle w:val="TableDescription"/>
      </w:pPr>
      <w:r w:rsidRPr="00543D3D">
        <w:lastRenderedPageBreak/>
        <w:t>*A clinically significant exacerbation was defined as a worsening of asthma symptoms as judged clinically by the investigator, requiring a doubling of the baseline inhaled corticosteroid dose and/or treatment with rescue systemic corticosteroids for at least 3 days AND either 1) PEF or FEV1 &lt; 60% of personal best or PEF or FEV1 60-80% of personal best following B agonist 2) a fall in PEF of &gt; 20% on at least 2 of any 3 consecutive days 3) a &gt; 50% increase in 24 hour rescue medication use on at least 2 of any 3 consecutive days 4) at least 2 night-time awakenings due to asthma symptoms requiring rescue medication within the previous 7 days</w:t>
      </w:r>
      <w:r w:rsidR="00E24628" w:rsidRPr="00543D3D">
        <w:t>.</w:t>
      </w:r>
    </w:p>
    <w:p w:rsidR="002F367C" w:rsidRDefault="002F367C" w:rsidP="001A2F5C">
      <w:pPr>
        <w:pStyle w:val="TableTitle"/>
      </w:pPr>
      <w:r>
        <w:t xml:space="preserve">Table </w:t>
      </w:r>
      <w:r w:rsidR="001A2F5C">
        <w:t>1</w:t>
      </w:r>
      <w:r w:rsidR="00951939">
        <w:t>8</w:t>
      </w:r>
      <w:r w:rsidR="001A2F5C">
        <w:t>:</w:t>
      </w:r>
      <w:r>
        <w:t xml:space="preserve"> Study IA05 – Clinically significant exacerbations over 24 weeks (MITT population)</w:t>
      </w:r>
    </w:p>
    <w:p w:rsidR="002F367C" w:rsidRDefault="002F367C" w:rsidP="001A2F5C">
      <w:pPr>
        <w:rPr>
          <w:b/>
        </w:rPr>
      </w:pPr>
      <w:r>
        <w:rPr>
          <w:noProof/>
          <w:lang w:eastAsia="en-AU"/>
        </w:rPr>
        <w:drawing>
          <wp:inline distT="0" distB="0" distL="0" distR="0" wp14:anchorId="61BFEA05" wp14:editId="1A81AE17">
            <wp:extent cx="4019550" cy="3215640"/>
            <wp:effectExtent l="0" t="0" r="0" b="3810"/>
            <wp:docPr id="15" name="Picture 15" descr="Table 18: Study IA05 – Clinically significant exacerbations over 24 weeks (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9550" cy="3215640"/>
                    </a:xfrm>
                    <a:prstGeom prst="rect">
                      <a:avLst/>
                    </a:prstGeom>
                    <a:noFill/>
                    <a:ln>
                      <a:noFill/>
                    </a:ln>
                  </pic:spPr>
                </pic:pic>
              </a:graphicData>
            </a:graphic>
          </wp:inline>
        </w:drawing>
      </w:r>
    </w:p>
    <w:p w:rsidR="002F367C" w:rsidRPr="003836E5" w:rsidRDefault="002F367C" w:rsidP="003836E5">
      <w:pPr>
        <w:pStyle w:val="Heading5"/>
      </w:pPr>
      <w:r>
        <w:t>S</w:t>
      </w:r>
      <w:r w:rsidR="003836E5">
        <w:t>tudy</w:t>
      </w:r>
      <w:r>
        <w:t xml:space="preserve"> IA 010</w:t>
      </w:r>
    </w:p>
    <w:p w:rsidR="003836E5" w:rsidRDefault="003836E5" w:rsidP="003836E5">
      <w:r>
        <w:t>The details and results of this study are summarised in Tables 1</w:t>
      </w:r>
      <w:r w:rsidR="00951939">
        <w:t>9</w:t>
      </w:r>
      <w:r w:rsidR="00C47A30">
        <w:t>-</w:t>
      </w:r>
      <w:r w:rsidR="00951939">
        <w:t xml:space="preserve">22 </w:t>
      </w:r>
      <w:r>
        <w:t>below.</w:t>
      </w:r>
    </w:p>
    <w:p w:rsidR="003836E5" w:rsidRPr="00237E58" w:rsidRDefault="003836E5" w:rsidP="00543D3D">
      <w:pPr>
        <w:pStyle w:val="TableTitle"/>
        <w:pageBreakBefore/>
      </w:pPr>
      <w:r>
        <w:lastRenderedPageBreak/>
        <w:t>Table 1</w:t>
      </w:r>
      <w:r w:rsidR="00951939">
        <w:t>9</w:t>
      </w:r>
      <w:r>
        <w:t xml:space="preserve">: </w:t>
      </w:r>
      <w:bookmarkStart w:id="212" w:name="_Toc292121222"/>
      <w:r>
        <w:t>Summary of Study IA010</w:t>
      </w:r>
    </w:p>
    <w:tbl>
      <w:tblPr>
        <w:tblStyle w:val="TableTGAblue"/>
        <w:tblW w:w="0" w:type="auto"/>
        <w:tblLook w:val="04A0" w:firstRow="1" w:lastRow="0" w:firstColumn="1" w:lastColumn="0" w:noHBand="0" w:noVBand="1"/>
      </w:tblPr>
      <w:tblGrid>
        <w:gridCol w:w="1978"/>
        <w:gridCol w:w="6742"/>
      </w:tblGrid>
      <w:tr w:rsidR="003836E5" w:rsidTr="00543D3D">
        <w:trPr>
          <w:cnfStyle w:val="100000000000" w:firstRow="1" w:lastRow="0" w:firstColumn="0" w:lastColumn="0" w:oddVBand="0" w:evenVBand="0" w:oddHBand="0" w:evenHBand="0" w:firstRowFirstColumn="0" w:firstRowLastColumn="0" w:lastRowFirstColumn="0" w:lastRowLastColumn="0"/>
          <w:trHeight w:val="20"/>
        </w:trPr>
        <w:tc>
          <w:tcPr>
            <w:tcW w:w="1694" w:type="dxa"/>
          </w:tcPr>
          <w:p w:rsidR="003836E5" w:rsidRPr="00FA00C2" w:rsidRDefault="003836E5" w:rsidP="00543D3D"/>
        </w:tc>
        <w:tc>
          <w:tcPr>
            <w:tcW w:w="7026" w:type="dxa"/>
          </w:tcPr>
          <w:p w:rsidR="003836E5" w:rsidRPr="00FA00C2" w:rsidRDefault="003836E5" w:rsidP="00543D3D">
            <w:r w:rsidRPr="00FA00C2">
              <w:t>Details</w:t>
            </w:r>
          </w:p>
        </w:tc>
      </w:tr>
      <w:tr w:rsidR="002F367C" w:rsidTr="00543D3D">
        <w:trPr>
          <w:trHeight w:val="20"/>
        </w:trPr>
        <w:tc>
          <w:tcPr>
            <w:tcW w:w="1694" w:type="dxa"/>
            <w:hideMark/>
          </w:tcPr>
          <w:p w:rsidR="002F367C" w:rsidRPr="00543D3D" w:rsidRDefault="002F367C" w:rsidP="00543D3D">
            <w:pPr>
              <w:rPr>
                <w:rFonts w:eastAsia="MS Mincho"/>
                <w:szCs w:val="22"/>
                <w:lang w:eastAsia="ja-JP"/>
              </w:rPr>
            </w:pPr>
            <w:r w:rsidRPr="00543D3D">
              <w:rPr>
                <w:szCs w:val="22"/>
              </w:rPr>
              <w:t>Design</w:t>
            </w:r>
          </w:p>
        </w:tc>
        <w:tc>
          <w:tcPr>
            <w:tcW w:w="7026" w:type="dxa"/>
            <w:hideMark/>
          </w:tcPr>
          <w:p w:rsidR="002F367C" w:rsidRPr="00543D3D" w:rsidRDefault="002F367C" w:rsidP="00543D3D">
            <w:pPr>
              <w:rPr>
                <w:rFonts w:eastAsia="MS Mincho"/>
                <w:szCs w:val="22"/>
                <w:lang w:eastAsia="ja-JP"/>
              </w:rPr>
            </w:pPr>
            <w:r w:rsidRPr="00543D3D">
              <w:rPr>
                <w:szCs w:val="22"/>
              </w:rPr>
              <w:t>Randomised, double blind, placebo control, parallel groups</w:t>
            </w:r>
          </w:p>
        </w:tc>
      </w:tr>
      <w:tr w:rsidR="002F367C" w:rsidTr="00543D3D">
        <w:trPr>
          <w:trHeight w:val="20"/>
        </w:trPr>
        <w:tc>
          <w:tcPr>
            <w:tcW w:w="1694" w:type="dxa"/>
            <w:hideMark/>
          </w:tcPr>
          <w:p w:rsidR="002F367C" w:rsidRPr="00543D3D" w:rsidRDefault="002F367C" w:rsidP="00543D3D">
            <w:pPr>
              <w:rPr>
                <w:rFonts w:eastAsia="MS Mincho"/>
                <w:szCs w:val="22"/>
                <w:lang w:eastAsia="ja-JP"/>
              </w:rPr>
            </w:pPr>
            <w:r w:rsidRPr="00543D3D">
              <w:rPr>
                <w:szCs w:val="22"/>
              </w:rPr>
              <w:t>Duration</w:t>
            </w:r>
          </w:p>
        </w:tc>
        <w:tc>
          <w:tcPr>
            <w:tcW w:w="7026" w:type="dxa"/>
          </w:tcPr>
          <w:p w:rsidR="002F367C" w:rsidRPr="00543D3D" w:rsidRDefault="002F367C" w:rsidP="00543D3D">
            <w:pPr>
              <w:rPr>
                <w:rFonts w:eastAsia="MS Mincho"/>
                <w:szCs w:val="22"/>
                <w:lang w:eastAsia="ja-JP"/>
              </w:rPr>
            </w:pPr>
            <w:r w:rsidRPr="00543D3D">
              <w:rPr>
                <w:szCs w:val="22"/>
              </w:rPr>
              <w:t>Run in phase 4</w:t>
            </w:r>
            <w:r w:rsidR="00951939" w:rsidRPr="00543D3D">
              <w:rPr>
                <w:szCs w:val="22"/>
              </w:rPr>
              <w:t xml:space="preserve"> to </w:t>
            </w:r>
            <w:r w:rsidRPr="00543D3D">
              <w:rPr>
                <w:szCs w:val="22"/>
              </w:rPr>
              <w:t xml:space="preserve">6 weeks to optimise treatment with inhaled beclomethasone </w:t>
            </w:r>
            <w:proofErr w:type="spellStart"/>
            <w:r w:rsidRPr="00543D3D">
              <w:rPr>
                <w:szCs w:val="22"/>
              </w:rPr>
              <w:t>diproprionate</w:t>
            </w:r>
            <w:proofErr w:type="spellEnd"/>
            <w:r w:rsidRPr="00543D3D">
              <w:rPr>
                <w:szCs w:val="22"/>
              </w:rPr>
              <w:t xml:space="preserve"> 168-420</w:t>
            </w:r>
            <w:r w:rsidR="00951939" w:rsidRPr="00543D3D">
              <w:rPr>
                <w:szCs w:val="22"/>
              </w:rPr>
              <w:t xml:space="preserve"> µ</w:t>
            </w:r>
            <w:r w:rsidRPr="00543D3D">
              <w:rPr>
                <w:szCs w:val="22"/>
              </w:rPr>
              <w:t>g/dose</w:t>
            </w:r>
          </w:p>
          <w:p w:rsidR="002F367C" w:rsidRPr="00543D3D" w:rsidRDefault="002F367C" w:rsidP="00543D3D">
            <w:pPr>
              <w:rPr>
                <w:rFonts w:eastAsia="MS Mincho"/>
                <w:szCs w:val="22"/>
                <w:lang w:eastAsia="ja-JP"/>
              </w:rPr>
            </w:pPr>
            <w:r w:rsidRPr="00543D3D">
              <w:rPr>
                <w:szCs w:val="22"/>
              </w:rPr>
              <w:t>Double blind 28 week</w:t>
            </w:r>
            <w:r w:rsidR="00951939" w:rsidRPr="00543D3D">
              <w:rPr>
                <w:szCs w:val="22"/>
              </w:rPr>
              <w:t>;</w:t>
            </w:r>
            <w:r w:rsidRPr="00543D3D">
              <w:rPr>
                <w:szCs w:val="22"/>
              </w:rPr>
              <w:t xml:space="preserve"> first 1</w:t>
            </w:r>
            <w:r w:rsidR="00EE4959" w:rsidRPr="00543D3D">
              <w:rPr>
                <w:szCs w:val="22"/>
              </w:rPr>
              <w:t>6</w:t>
            </w:r>
            <w:r w:rsidRPr="00543D3D">
              <w:rPr>
                <w:szCs w:val="22"/>
              </w:rPr>
              <w:t xml:space="preserve"> weeks BPD dose unchanged, next 12 weeks BDP dose weaned, then open label extension</w:t>
            </w:r>
            <w:r w:rsidR="003836E5" w:rsidRPr="00543D3D">
              <w:rPr>
                <w:szCs w:val="22"/>
              </w:rPr>
              <w:t>.</w:t>
            </w:r>
          </w:p>
        </w:tc>
      </w:tr>
      <w:tr w:rsidR="002F367C" w:rsidTr="00543D3D">
        <w:trPr>
          <w:trHeight w:val="20"/>
        </w:trPr>
        <w:tc>
          <w:tcPr>
            <w:tcW w:w="1694" w:type="dxa"/>
            <w:hideMark/>
          </w:tcPr>
          <w:p w:rsidR="002F367C" w:rsidRPr="00543D3D" w:rsidRDefault="002F367C" w:rsidP="00543D3D">
            <w:pPr>
              <w:rPr>
                <w:rFonts w:eastAsia="MS Mincho"/>
                <w:szCs w:val="22"/>
                <w:lang w:eastAsia="ja-JP"/>
              </w:rPr>
            </w:pPr>
            <w:r w:rsidRPr="00543D3D">
              <w:rPr>
                <w:szCs w:val="22"/>
              </w:rPr>
              <w:t>Population</w:t>
            </w:r>
          </w:p>
        </w:tc>
        <w:tc>
          <w:tcPr>
            <w:tcW w:w="7026" w:type="dxa"/>
            <w:hideMark/>
          </w:tcPr>
          <w:p w:rsidR="002F367C" w:rsidRPr="00543D3D" w:rsidRDefault="002F367C" w:rsidP="00543D3D">
            <w:pPr>
              <w:rPr>
                <w:rFonts w:eastAsia="MS Mincho"/>
                <w:szCs w:val="22"/>
                <w:lang w:eastAsia="ja-JP"/>
              </w:rPr>
            </w:pPr>
            <w:r w:rsidRPr="00543D3D">
              <w:rPr>
                <w:szCs w:val="22"/>
              </w:rPr>
              <w:t>Inclusion Age 6</w:t>
            </w:r>
            <w:r w:rsidR="00C47A30" w:rsidRPr="00543D3D">
              <w:rPr>
                <w:szCs w:val="22"/>
              </w:rPr>
              <w:t xml:space="preserve"> to </w:t>
            </w:r>
            <w:r w:rsidRPr="00543D3D">
              <w:rPr>
                <w:szCs w:val="22"/>
              </w:rPr>
              <w:t>12 years</w:t>
            </w:r>
          </w:p>
          <w:p w:rsidR="002F367C" w:rsidRPr="00543D3D" w:rsidRDefault="002F367C" w:rsidP="00543D3D">
            <w:pPr>
              <w:rPr>
                <w:szCs w:val="22"/>
              </w:rPr>
            </w:pPr>
            <w:r w:rsidRPr="00543D3D">
              <w:rPr>
                <w:szCs w:val="22"/>
              </w:rPr>
              <w:t xml:space="preserve">Total serum </w:t>
            </w:r>
            <w:proofErr w:type="spellStart"/>
            <w:r w:rsidRPr="00543D3D">
              <w:rPr>
                <w:szCs w:val="22"/>
              </w:rPr>
              <w:t>IgE</w:t>
            </w:r>
            <w:proofErr w:type="spellEnd"/>
            <w:r w:rsidRPr="00543D3D">
              <w:rPr>
                <w:szCs w:val="22"/>
              </w:rPr>
              <w:t xml:space="preserve"> </w:t>
            </w:r>
            <w:r w:rsidR="00EE4959" w:rsidRPr="00543D3D">
              <w:rPr>
                <w:szCs w:val="22"/>
              </w:rPr>
              <w:t>≥</w:t>
            </w:r>
            <w:r w:rsidRPr="00543D3D">
              <w:rPr>
                <w:szCs w:val="22"/>
              </w:rPr>
              <w:t xml:space="preserve"> 30</w:t>
            </w:r>
          </w:p>
          <w:p w:rsidR="002F367C" w:rsidRPr="00543D3D" w:rsidRDefault="002F367C" w:rsidP="00543D3D">
            <w:pPr>
              <w:rPr>
                <w:szCs w:val="22"/>
              </w:rPr>
            </w:pPr>
            <w:r w:rsidRPr="00543D3D">
              <w:rPr>
                <w:szCs w:val="22"/>
              </w:rPr>
              <w:t>Diagnosis of allergic asthma (ATS) of moderate-severe severity</w:t>
            </w:r>
          </w:p>
          <w:p w:rsidR="002F367C" w:rsidRPr="00543D3D" w:rsidRDefault="002F367C" w:rsidP="00543D3D">
            <w:pPr>
              <w:rPr>
                <w:szCs w:val="22"/>
              </w:rPr>
            </w:pPr>
            <w:r w:rsidRPr="00543D3D">
              <w:rPr>
                <w:szCs w:val="22"/>
              </w:rPr>
              <w:t>Positive skin prick test (diameter of wheal &gt; 3</w:t>
            </w:r>
            <w:r w:rsidR="00C47A30" w:rsidRPr="00543D3D">
              <w:rPr>
                <w:szCs w:val="22"/>
              </w:rPr>
              <w:t xml:space="preserve"> </w:t>
            </w:r>
            <w:r w:rsidRPr="00543D3D">
              <w:rPr>
                <w:szCs w:val="22"/>
              </w:rPr>
              <w:t xml:space="preserve">mm) to at least one of the following allergens: </w:t>
            </w:r>
            <w:proofErr w:type="spellStart"/>
            <w:r w:rsidRPr="00543D3D">
              <w:rPr>
                <w:szCs w:val="22"/>
              </w:rPr>
              <w:t>dermatophagoides</w:t>
            </w:r>
            <w:proofErr w:type="spellEnd"/>
            <w:r w:rsidRPr="00543D3D">
              <w:rPr>
                <w:szCs w:val="22"/>
              </w:rPr>
              <w:t xml:space="preserve"> farina, </w:t>
            </w:r>
            <w:proofErr w:type="spellStart"/>
            <w:r w:rsidRPr="00543D3D">
              <w:rPr>
                <w:szCs w:val="22"/>
              </w:rPr>
              <w:t>dermatophagiodes</w:t>
            </w:r>
            <w:proofErr w:type="spellEnd"/>
            <w:r w:rsidRPr="00543D3D">
              <w:rPr>
                <w:szCs w:val="22"/>
              </w:rPr>
              <w:t xml:space="preserve"> </w:t>
            </w:r>
            <w:proofErr w:type="spellStart"/>
            <w:r w:rsidRPr="00543D3D">
              <w:rPr>
                <w:szCs w:val="22"/>
              </w:rPr>
              <w:t>pteronyssinus</w:t>
            </w:r>
            <w:proofErr w:type="spellEnd"/>
            <w:r w:rsidRPr="00543D3D">
              <w:rPr>
                <w:szCs w:val="22"/>
              </w:rPr>
              <w:t>, cockroaches, dog or cat</w:t>
            </w:r>
          </w:p>
          <w:p w:rsidR="002F367C" w:rsidRPr="00543D3D" w:rsidRDefault="002F367C" w:rsidP="00543D3D">
            <w:pPr>
              <w:rPr>
                <w:szCs w:val="22"/>
              </w:rPr>
            </w:pPr>
            <w:r w:rsidRPr="00543D3D">
              <w:rPr>
                <w:szCs w:val="22"/>
              </w:rPr>
              <w:t>&gt; 12% increase in FEV</w:t>
            </w:r>
            <w:r w:rsidRPr="00543D3D">
              <w:rPr>
                <w:szCs w:val="22"/>
                <w:vertAlign w:val="subscript"/>
              </w:rPr>
              <w:t>1</w:t>
            </w:r>
            <w:r w:rsidRPr="00543D3D">
              <w:rPr>
                <w:szCs w:val="22"/>
              </w:rPr>
              <w:t xml:space="preserve"> within 30 minutes of salbutamol</w:t>
            </w:r>
          </w:p>
          <w:p w:rsidR="002F367C" w:rsidRPr="00543D3D" w:rsidRDefault="002F367C" w:rsidP="00543D3D">
            <w:pPr>
              <w:rPr>
                <w:szCs w:val="22"/>
              </w:rPr>
            </w:pPr>
            <w:r w:rsidRPr="00543D3D">
              <w:rPr>
                <w:szCs w:val="22"/>
              </w:rPr>
              <w:t>Asthma well controlled with minimal effective dose of inhaled corticosteroids at doses of &gt; 168</w:t>
            </w:r>
            <w:r w:rsidR="00C47A30" w:rsidRPr="00543D3D">
              <w:rPr>
                <w:szCs w:val="22"/>
              </w:rPr>
              <w:t xml:space="preserve"> to </w:t>
            </w:r>
            <w:r w:rsidRPr="00543D3D">
              <w:rPr>
                <w:szCs w:val="22"/>
              </w:rPr>
              <w:t>420</w:t>
            </w:r>
            <w:r w:rsidR="00C47A30" w:rsidRPr="00543D3D">
              <w:rPr>
                <w:szCs w:val="22"/>
              </w:rPr>
              <w:t xml:space="preserve"> µ</w:t>
            </w:r>
            <w:r w:rsidRPr="00543D3D">
              <w:rPr>
                <w:szCs w:val="22"/>
              </w:rPr>
              <w:t xml:space="preserve">g/day of beclomethasone </w:t>
            </w:r>
            <w:r w:rsidRPr="00543D3D">
              <w:rPr>
                <w:i/>
                <w:szCs w:val="22"/>
              </w:rPr>
              <w:t>(NB this equates to MILD asthma by Australian standards)</w:t>
            </w:r>
          </w:p>
          <w:p w:rsidR="002F367C" w:rsidRPr="00543D3D" w:rsidRDefault="002F367C" w:rsidP="00543D3D">
            <w:pPr>
              <w:rPr>
                <w:szCs w:val="22"/>
              </w:rPr>
            </w:pPr>
            <w:r w:rsidRPr="00543D3D">
              <w:rPr>
                <w:szCs w:val="22"/>
              </w:rPr>
              <w:t xml:space="preserve">Exclusion </w:t>
            </w:r>
          </w:p>
          <w:p w:rsidR="002F367C" w:rsidRPr="00543D3D" w:rsidRDefault="002F367C" w:rsidP="00543D3D">
            <w:pPr>
              <w:rPr>
                <w:szCs w:val="22"/>
              </w:rPr>
            </w:pPr>
            <w:r w:rsidRPr="00543D3D">
              <w:rPr>
                <w:szCs w:val="22"/>
              </w:rPr>
              <w:t>Treated with systemic corticosteroids within 4 weeks</w:t>
            </w:r>
          </w:p>
          <w:p w:rsidR="002F367C" w:rsidRPr="00543D3D" w:rsidRDefault="002F367C" w:rsidP="00543D3D">
            <w:pPr>
              <w:rPr>
                <w:szCs w:val="22"/>
              </w:rPr>
            </w:pPr>
            <w:r w:rsidRPr="00543D3D">
              <w:rPr>
                <w:szCs w:val="22"/>
              </w:rPr>
              <w:t xml:space="preserve">Taking oral </w:t>
            </w:r>
            <w:r w:rsidR="00C47A30" w:rsidRPr="00543D3D">
              <w:rPr>
                <w:szCs w:val="22"/>
              </w:rPr>
              <w:t>β</w:t>
            </w:r>
            <w:r w:rsidRPr="00543D3D">
              <w:rPr>
                <w:szCs w:val="22"/>
              </w:rPr>
              <w:t xml:space="preserve"> agonists; methotrexate, gold, </w:t>
            </w:r>
            <w:proofErr w:type="spellStart"/>
            <w:r w:rsidRPr="00543D3D">
              <w:rPr>
                <w:szCs w:val="22"/>
              </w:rPr>
              <w:t>cyclosporin</w:t>
            </w:r>
            <w:proofErr w:type="spellEnd"/>
            <w:r w:rsidRPr="00543D3D">
              <w:rPr>
                <w:szCs w:val="22"/>
              </w:rPr>
              <w:t xml:space="preserve"> or other immunosuppressant; taking oral or inhaled anticholinergics</w:t>
            </w:r>
          </w:p>
          <w:p w:rsidR="002F367C" w:rsidRPr="00543D3D" w:rsidRDefault="002F367C" w:rsidP="00543D3D">
            <w:pPr>
              <w:rPr>
                <w:szCs w:val="22"/>
              </w:rPr>
            </w:pPr>
            <w:r w:rsidRPr="00543D3D">
              <w:rPr>
                <w:szCs w:val="22"/>
              </w:rPr>
              <w:t>Taking antihistamines, leukotriene receptor inhibitors</w:t>
            </w:r>
          </w:p>
          <w:p w:rsidR="002F367C" w:rsidRPr="00543D3D" w:rsidRDefault="002F367C" w:rsidP="00543D3D">
            <w:pPr>
              <w:rPr>
                <w:szCs w:val="22"/>
              </w:rPr>
            </w:pPr>
            <w:r w:rsidRPr="00543D3D">
              <w:rPr>
                <w:szCs w:val="22"/>
              </w:rPr>
              <w:t xml:space="preserve">History of food or drug induced anaphylaxis, allergy to antibiotics, </w:t>
            </w:r>
          </w:p>
          <w:p w:rsidR="002F367C" w:rsidRPr="00543D3D" w:rsidRDefault="002F367C" w:rsidP="00543D3D">
            <w:pPr>
              <w:rPr>
                <w:szCs w:val="22"/>
              </w:rPr>
            </w:pPr>
            <w:r w:rsidRPr="00543D3D">
              <w:rPr>
                <w:szCs w:val="22"/>
              </w:rPr>
              <w:t>Aspirin or NSAID related asthma</w:t>
            </w:r>
          </w:p>
          <w:p w:rsidR="002F367C" w:rsidRPr="00543D3D" w:rsidRDefault="002F367C" w:rsidP="00543D3D">
            <w:pPr>
              <w:rPr>
                <w:szCs w:val="22"/>
              </w:rPr>
            </w:pPr>
            <w:r w:rsidRPr="00543D3D">
              <w:rPr>
                <w:szCs w:val="22"/>
              </w:rPr>
              <w:t>Active lung disease other than asthma</w:t>
            </w:r>
          </w:p>
          <w:p w:rsidR="002F367C" w:rsidRPr="00543D3D" w:rsidRDefault="002F367C" w:rsidP="00543D3D">
            <w:pPr>
              <w:rPr>
                <w:szCs w:val="22"/>
              </w:rPr>
            </w:pPr>
            <w:r w:rsidRPr="00543D3D">
              <w:rPr>
                <w:szCs w:val="22"/>
              </w:rPr>
              <w:t xml:space="preserve">Elevated </w:t>
            </w:r>
            <w:proofErr w:type="spellStart"/>
            <w:r w:rsidRPr="00543D3D">
              <w:rPr>
                <w:szCs w:val="22"/>
              </w:rPr>
              <w:t>IgE</w:t>
            </w:r>
            <w:proofErr w:type="spellEnd"/>
            <w:r w:rsidRPr="00543D3D">
              <w:rPr>
                <w:szCs w:val="22"/>
              </w:rPr>
              <w:t xml:space="preserve"> for reasons other than asthma</w:t>
            </w:r>
            <w:r w:rsidR="00C47A30" w:rsidRPr="00543D3D">
              <w:rPr>
                <w:szCs w:val="22"/>
              </w:rPr>
              <w:t>, for example</w:t>
            </w:r>
            <w:r w:rsidRPr="00543D3D">
              <w:rPr>
                <w:szCs w:val="22"/>
              </w:rPr>
              <w:t xml:space="preserve"> parasitic infection, </w:t>
            </w:r>
            <w:proofErr w:type="spellStart"/>
            <w:r w:rsidRPr="00543D3D">
              <w:rPr>
                <w:szCs w:val="22"/>
              </w:rPr>
              <w:t>hyperimmunoglobulin</w:t>
            </w:r>
            <w:proofErr w:type="spellEnd"/>
            <w:r w:rsidRPr="00543D3D">
              <w:rPr>
                <w:szCs w:val="22"/>
              </w:rPr>
              <w:t xml:space="preserve"> E, </w:t>
            </w:r>
            <w:proofErr w:type="spellStart"/>
            <w:r w:rsidRPr="00543D3D">
              <w:rPr>
                <w:szCs w:val="22"/>
              </w:rPr>
              <w:t>Wiskott</w:t>
            </w:r>
            <w:proofErr w:type="spellEnd"/>
            <w:r w:rsidRPr="00543D3D">
              <w:rPr>
                <w:szCs w:val="22"/>
              </w:rPr>
              <w:t>-Aldrich Syndrome or clinical bronchopulmonary aspergillosis</w:t>
            </w:r>
          </w:p>
          <w:p w:rsidR="002F367C" w:rsidRPr="00543D3D" w:rsidRDefault="002F367C" w:rsidP="00543D3D">
            <w:pPr>
              <w:rPr>
                <w:rFonts w:eastAsiaTheme="minorHAnsi"/>
                <w:szCs w:val="22"/>
                <w:lang w:eastAsia="ja-JP"/>
              </w:rPr>
            </w:pPr>
            <w:r w:rsidRPr="00543D3D">
              <w:rPr>
                <w:szCs w:val="22"/>
              </w:rPr>
              <w:t>Uncontrolled systemic disease or cancer</w:t>
            </w:r>
          </w:p>
        </w:tc>
      </w:tr>
      <w:tr w:rsidR="002F367C" w:rsidTr="00543D3D">
        <w:trPr>
          <w:trHeight w:val="20"/>
        </w:trPr>
        <w:tc>
          <w:tcPr>
            <w:tcW w:w="1694" w:type="dxa"/>
            <w:hideMark/>
          </w:tcPr>
          <w:p w:rsidR="002F367C" w:rsidRPr="00543D3D" w:rsidRDefault="002F367C" w:rsidP="00543D3D">
            <w:pPr>
              <w:rPr>
                <w:rFonts w:eastAsia="MS Mincho"/>
                <w:szCs w:val="22"/>
                <w:lang w:eastAsia="ja-JP"/>
              </w:rPr>
            </w:pPr>
            <w:r w:rsidRPr="00543D3D">
              <w:rPr>
                <w:szCs w:val="22"/>
              </w:rPr>
              <w:t>Intervention</w:t>
            </w:r>
          </w:p>
        </w:tc>
        <w:tc>
          <w:tcPr>
            <w:tcW w:w="7026" w:type="dxa"/>
            <w:hideMark/>
          </w:tcPr>
          <w:p w:rsidR="002F367C" w:rsidRPr="00543D3D" w:rsidRDefault="005A1D2B" w:rsidP="00543D3D">
            <w:pPr>
              <w:rPr>
                <w:rFonts w:eastAsia="MS Mincho"/>
                <w:szCs w:val="22"/>
                <w:lang w:eastAsia="ja-JP"/>
              </w:rPr>
            </w:pPr>
            <w:proofErr w:type="spellStart"/>
            <w:r w:rsidRPr="00543D3D">
              <w:rPr>
                <w:szCs w:val="22"/>
              </w:rPr>
              <w:t>Omalizumab</w:t>
            </w:r>
            <w:proofErr w:type="spellEnd"/>
            <w:r w:rsidRPr="00543D3D">
              <w:rPr>
                <w:szCs w:val="22"/>
              </w:rPr>
              <w:t xml:space="preserve"> (</w:t>
            </w:r>
            <w:proofErr w:type="spellStart"/>
            <w:r w:rsidRPr="00543D3D">
              <w:rPr>
                <w:szCs w:val="22"/>
              </w:rPr>
              <w:t>rch</w:t>
            </w:r>
            <w:proofErr w:type="spellEnd"/>
            <w:r w:rsidRPr="00543D3D">
              <w:rPr>
                <w:szCs w:val="22"/>
              </w:rPr>
              <w:t>)</w:t>
            </w:r>
            <w:r w:rsidR="002F367C" w:rsidRPr="00543D3D">
              <w:rPr>
                <w:szCs w:val="22"/>
              </w:rPr>
              <w:t xml:space="preserve"> in a slightly different dose</w:t>
            </w:r>
          </w:p>
        </w:tc>
      </w:tr>
      <w:tr w:rsidR="002F367C" w:rsidTr="00543D3D">
        <w:trPr>
          <w:trHeight w:val="20"/>
        </w:trPr>
        <w:tc>
          <w:tcPr>
            <w:tcW w:w="1694" w:type="dxa"/>
            <w:hideMark/>
          </w:tcPr>
          <w:p w:rsidR="002F367C" w:rsidRPr="00543D3D" w:rsidRDefault="002F367C" w:rsidP="00543D3D">
            <w:pPr>
              <w:rPr>
                <w:rFonts w:eastAsia="MS Mincho"/>
                <w:szCs w:val="22"/>
                <w:lang w:eastAsia="ja-JP"/>
              </w:rPr>
            </w:pPr>
            <w:r w:rsidRPr="00543D3D">
              <w:rPr>
                <w:szCs w:val="22"/>
              </w:rPr>
              <w:t>Efficacy outcomes</w:t>
            </w:r>
          </w:p>
        </w:tc>
        <w:tc>
          <w:tcPr>
            <w:tcW w:w="7026" w:type="dxa"/>
            <w:hideMark/>
          </w:tcPr>
          <w:p w:rsidR="002F367C" w:rsidRPr="00543D3D" w:rsidRDefault="002F367C" w:rsidP="00543D3D">
            <w:pPr>
              <w:rPr>
                <w:rFonts w:eastAsia="MS Mincho"/>
                <w:szCs w:val="22"/>
                <w:lang w:eastAsia="ja-JP"/>
              </w:rPr>
            </w:pPr>
            <w:r w:rsidRPr="00543D3D">
              <w:rPr>
                <w:szCs w:val="22"/>
              </w:rPr>
              <w:t>Safety and tolerability</w:t>
            </w:r>
          </w:p>
          <w:p w:rsidR="002F367C" w:rsidRPr="00543D3D" w:rsidRDefault="002F367C" w:rsidP="00543D3D">
            <w:pPr>
              <w:rPr>
                <w:szCs w:val="22"/>
              </w:rPr>
            </w:pPr>
            <w:r w:rsidRPr="00543D3D">
              <w:rPr>
                <w:szCs w:val="22"/>
              </w:rPr>
              <w:t>Effect on inhaled corticosteroid dose</w:t>
            </w:r>
          </w:p>
          <w:p w:rsidR="002F367C" w:rsidRPr="00543D3D" w:rsidRDefault="002F367C" w:rsidP="00543D3D">
            <w:pPr>
              <w:rPr>
                <w:szCs w:val="22"/>
              </w:rPr>
            </w:pPr>
            <w:r w:rsidRPr="00543D3D">
              <w:rPr>
                <w:szCs w:val="22"/>
              </w:rPr>
              <w:t xml:space="preserve">Effect on </w:t>
            </w:r>
            <w:proofErr w:type="spellStart"/>
            <w:r w:rsidRPr="00543D3D">
              <w:rPr>
                <w:szCs w:val="22"/>
              </w:rPr>
              <w:t>QoL</w:t>
            </w:r>
            <w:proofErr w:type="spellEnd"/>
          </w:p>
          <w:p w:rsidR="002F367C" w:rsidRPr="00543D3D" w:rsidRDefault="002F367C" w:rsidP="00543D3D">
            <w:pPr>
              <w:rPr>
                <w:rFonts w:eastAsia="MS Mincho"/>
                <w:szCs w:val="22"/>
                <w:lang w:eastAsia="ja-JP"/>
              </w:rPr>
            </w:pPr>
            <w:r w:rsidRPr="00543D3D">
              <w:rPr>
                <w:szCs w:val="22"/>
              </w:rPr>
              <w:t>PK and PD</w:t>
            </w:r>
          </w:p>
        </w:tc>
      </w:tr>
      <w:tr w:rsidR="002F367C" w:rsidTr="00543D3D">
        <w:trPr>
          <w:trHeight w:val="20"/>
        </w:trPr>
        <w:tc>
          <w:tcPr>
            <w:tcW w:w="1694" w:type="dxa"/>
            <w:hideMark/>
          </w:tcPr>
          <w:p w:rsidR="002F367C" w:rsidRPr="00543D3D" w:rsidRDefault="002F367C" w:rsidP="00543D3D">
            <w:pPr>
              <w:rPr>
                <w:rFonts w:eastAsia="MS Mincho"/>
                <w:szCs w:val="22"/>
                <w:lang w:eastAsia="ja-JP"/>
              </w:rPr>
            </w:pPr>
            <w:r w:rsidRPr="00543D3D">
              <w:rPr>
                <w:szCs w:val="22"/>
              </w:rPr>
              <w:t>Statistics</w:t>
            </w:r>
          </w:p>
        </w:tc>
        <w:tc>
          <w:tcPr>
            <w:tcW w:w="7026" w:type="dxa"/>
            <w:hideMark/>
          </w:tcPr>
          <w:p w:rsidR="002F367C" w:rsidRPr="00543D3D" w:rsidRDefault="002F367C" w:rsidP="00543D3D">
            <w:pPr>
              <w:rPr>
                <w:rFonts w:eastAsia="MS Mincho"/>
                <w:szCs w:val="22"/>
                <w:lang w:eastAsia="ja-JP"/>
              </w:rPr>
            </w:pPr>
            <w:r w:rsidRPr="00543D3D">
              <w:rPr>
                <w:szCs w:val="22"/>
              </w:rPr>
              <w:t xml:space="preserve">Sample size based on convenience </w:t>
            </w:r>
          </w:p>
        </w:tc>
      </w:tr>
      <w:tr w:rsidR="002F367C" w:rsidTr="00543D3D">
        <w:trPr>
          <w:trHeight w:val="20"/>
        </w:trPr>
        <w:tc>
          <w:tcPr>
            <w:tcW w:w="1694" w:type="dxa"/>
          </w:tcPr>
          <w:p w:rsidR="002F367C" w:rsidRPr="00543D3D" w:rsidRDefault="002F367C" w:rsidP="00543D3D">
            <w:pPr>
              <w:rPr>
                <w:rFonts w:eastAsia="MS Mincho"/>
                <w:szCs w:val="22"/>
                <w:lang w:eastAsia="ja-JP"/>
              </w:rPr>
            </w:pPr>
            <w:r w:rsidRPr="00543D3D">
              <w:rPr>
                <w:szCs w:val="22"/>
              </w:rPr>
              <w:t xml:space="preserve">Baseline </w:t>
            </w:r>
            <w:r w:rsidRPr="00543D3D">
              <w:rPr>
                <w:szCs w:val="22"/>
              </w:rPr>
              <w:lastRenderedPageBreak/>
              <w:t>characteristics.</w:t>
            </w:r>
          </w:p>
        </w:tc>
        <w:tc>
          <w:tcPr>
            <w:tcW w:w="7026" w:type="dxa"/>
            <w:hideMark/>
          </w:tcPr>
          <w:p w:rsidR="002F367C" w:rsidRPr="00543D3D" w:rsidRDefault="002F367C" w:rsidP="00543D3D">
            <w:pPr>
              <w:rPr>
                <w:rFonts w:eastAsia="MS Mincho"/>
                <w:szCs w:val="22"/>
                <w:lang w:eastAsia="ja-JP"/>
              </w:rPr>
            </w:pPr>
            <w:r w:rsidRPr="00543D3D">
              <w:rPr>
                <w:szCs w:val="22"/>
              </w:rPr>
              <w:lastRenderedPageBreak/>
              <w:t>Total 334 subjects</w:t>
            </w:r>
          </w:p>
          <w:p w:rsidR="00E24628" w:rsidRPr="00543D3D" w:rsidRDefault="002F367C" w:rsidP="00543D3D">
            <w:pPr>
              <w:rPr>
                <w:szCs w:val="22"/>
              </w:rPr>
            </w:pPr>
            <w:r w:rsidRPr="00543D3D">
              <w:rPr>
                <w:szCs w:val="22"/>
              </w:rPr>
              <w:lastRenderedPageBreak/>
              <w:t>Mean age 9.4 years, range 5</w:t>
            </w:r>
            <w:r w:rsidR="00C47A30" w:rsidRPr="00543D3D">
              <w:rPr>
                <w:szCs w:val="22"/>
              </w:rPr>
              <w:t xml:space="preserve"> to </w:t>
            </w:r>
            <w:r w:rsidRPr="00543D3D">
              <w:rPr>
                <w:szCs w:val="22"/>
              </w:rPr>
              <w:t>12 years</w:t>
            </w:r>
            <w:r w:rsidR="00E24628" w:rsidRPr="00543D3D">
              <w:rPr>
                <w:szCs w:val="22"/>
              </w:rPr>
              <w:t>.</w:t>
            </w:r>
          </w:p>
          <w:p w:rsidR="002F367C" w:rsidRPr="00543D3D" w:rsidRDefault="002F367C" w:rsidP="00543D3D">
            <w:pPr>
              <w:rPr>
                <w:szCs w:val="22"/>
              </w:rPr>
            </w:pPr>
            <w:r w:rsidRPr="00543D3D">
              <w:rPr>
                <w:szCs w:val="22"/>
              </w:rPr>
              <w:t>Mean duration of asthma 6.1 years (range 1</w:t>
            </w:r>
            <w:r w:rsidR="00C47A30" w:rsidRPr="00543D3D">
              <w:rPr>
                <w:szCs w:val="22"/>
              </w:rPr>
              <w:t xml:space="preserve"> to </w:t>
            </w:r>
            <w:r w:rsidRPr="00543D3D">
              <w:rPr>
                <w:szCs w:val="22"/>
              </w:rPr>
              <w:t>12 years). 8.1% severe</w:t>
            </w:r>
          </w:p>
          <w:p w:rsidR="002F367C" w:rsidRPr="00543D3D" w:rsidRDefault="002F367C" w:rsidP="00543D3D">
            <w:pPr>
              <w:rPr>
                <w:szCs w:val="22"/>
              </w:rPr>
            </w:pPr>
            <w:r w:rsidRPr="00543D3D">
              <w:rPr>
                <w:szCs w:val="22"/>
              </w:rPr>
              <w:t xml:space="preserve">Mean BBP dose 278 </w:t>
            </w:r>
            <w:r w:rsidR="00C47A30" w:rsidRPr="00543D3D">
              <w:rPr>
                <w:szCs w:val="22"/>
              </w:rPr>
              <w:t>µ</w:t>
            </w:r>
            <w:r w:rsidRPr="00543D3D">
              <w:rPr>
                <w:szCs w:val="22"/>
              </w:rPr>
              <w:t>g/day (range 168</w:t>
            </w:r>
            <w:r w:rsidR="00C47A30" w:rsidRPr="00543D3D">
              <w:rPr>
                <w:szCs w:val="22"/>
              </w:rPr>
              <w:t xml:space="preserve"> to </w:t>
            </w:r>
            <w:r w:rsidRPr="00543D3D">
              <w:rPr>
                <w:szCs w:val="22"/>
              </w:rPr>
              <w:t>672)</w:t>
            </w:r>
          </w:p>
          <w:p w:rsidR="002F367C" w:rsidRPr="00543D3D" w:rsidRDefault="002F367C" w:rsidP="00543D3D">
            <w:pPr>
              <w:rPr>
                <w:rFonts w:eastAsia="MS Mincho"/>
                <w:szCs w:val="22"/>
                <w:lang w:eastAsia="ja-JP"/>
              </w:rPr>
            </w:pPr>
            <w:r w:rsidRPr="00543D3D">
              <w:rPr>
                <w:szCs w:val="22"/>
              </w:rPr>
              <w:t xml:space="preserve">Mean serum </w:t>
            </w:r>
            <w:proofErr w:type="spellStart"/>
            <w:r w:rsidRPr="00543D3D">
              <w:rPr>
                <w:szCs w:val="22"/>
              </w:rPr>
              <w:t>IgE</w:t>
            </w:r>
            <w:proofErr w:type="spellEnd"/>
            <w:r w:rsidRPr="00543D3D">
              <w:rPr>
                <w:szCs w:val="22"/>
              </w:rPr>
              <w:t xml:space="preserve"> IU/ml 340 (20</w:t>
            </w:r>
            <w:r w:rsidR="00C47A30" w:rsidRPr="00543D3D">
              <w:rPr>
                <w:szCs w:val="22"/>
              </w:rPr>
              <w:t xml:space="preserve"> to </w:t>
            </w:r>
            <w:r w:rsidRPr="00543D3D">
              <w:rPr>
                <w:szCs w:val="22"/>
              </w:rPr>
              <w:t>1269)</w:t>
            </w:r>
          </w:p>
        </w:tc>
      </w:tr>
      <w:tr w:rsidR="002F367C" w:rsidTr="00543D3D">
        <w:trPr>
          <w:trHeight w:val="20"/>
        </w:trPr>
        <w:tc>
          <w:tcPr>
            <w:tcW w:w="1694" w:type="dxa"/>
            <w:hideMark/>
          </w:tcPr>
          <w:p w:rsidR="002F367C" w:rsidRPr="00543D3D" w:rsidRDefault="002F367C" w:rsidP="00543D3D">
            <w:pPr>
              <w:rPr>
                <w:rFonts w:eastAsia="MS Mincho"/>
                <w:szCs w:val="22"/>
                <w:lang w:eastAsia="ja-JP"/>
              </w:rPr>
            </w:pPr>
            <w:r w:rsidRPr="00543D3D">
              <w:rPr>
                <w:szCs w:val="22"/>
              </w:rPr>
              <w:lastRenderedPageBreak/>
              <w:t>Outcomes</w:t>
            </w:r>
          </w:p>
        </w:tc>
        <w:tc>
          <w:tcPr>
            <w:tcW w:w="7026" w:type="dxa"/>
          </w:tcPr>
          <w:p w:rsidR="002F367C" w:rsidRPr="00543D3D" w:rsidRDefault="002F367C" w:rsidP="00543D3D">
            <w:pPr>
              <w:rPr>
                <w:rFonts w:eastAsia="MS Mincho"/>
                <w:szCs w:val="22"/>
                <w:lang w:eastAsia="ja-JP"/>
              </w:rPr>
            </w:pPr>
            <w:r w:rsidRPr="00543D3D">
              <w:rPr>
                <w:szCs w:val="22"/>
              </w:rPr>
              <w:t xml:space="preserve">There was a greater reduction in BPD dose in the </w:t>
            </w:r>
            <w:proofErr w:type="spellStart"/>
            <w:r w:rsidR="005A1D2B" w:rsidRPr="00543D3D">
              <w:rPr>
                <w:szCs w:val="22"/>
              </w:rPr>
              <w:t>omalizumab</w:t>
            </w:r>
            <w:proofErr w:type="spellEnd"/>
            <w:r w:rsidR="005A1D2B" w:rsidRPr="00543D3D">
              <w:rPr>
                <w:szCs w:val="22"/>
              </w:rPr>
              <w:t xml:space="preserve"> (</w:t>
            </w:r>
            <w:proofErr w:type="spellStart"/>
            <w:r w:rsidR="005A1D2B" w:rsidRPr="00543D3D">
              <w:rPr>
                <w:szCs w:val="22"/>
              </w:rPr>
              <w:t>rch</w:t>
            </w:r>
            <w:proofErr w:type="spellEnd"/>
            <w:r w:rsidR="005A1D2B" w:rsidRPr="00543D3D">
              <w:rPr>
                <w:szCs w:val="22"/>
              </w:rPr>
              <w:t>)</w:t>
            </w:r>
            <w:r w:rsidRPr="00543D3D">
              <w:rPr>
                <w:szCs w:val="22"/>
              </w:rPr>
              <w:t xml:space="preserve"> group (see Table </w:t>
            </w:r>
            <w:r w:rsidR="00951939" w:rsidRPr="00543D3D">
              <w:rPr>
                <w:szCs w:val="22"/>
              </w:rPr>
              <w:t>20</w:t>
            </w:r>
            <w:r w:rsidRPr="00543D3D">
              <w:rPr>
                <w:szCs w:val="22"/>
              </w:rPr>
              <w:t>).</w:t>
            </w:r>
          </w:p>
          <w:p w:rsidR="002F367C" w:rsidRPr="00543D3D" w:rsidRDefault="002F367C" w:rsidP="00543D3D">
            <w:pPr>
              <w:rPr>
                <w:szCs w:val="22"/>
              </w:rPr>
            </w:pPr>
            <w:r w:rsidRPr="00543D3D">
              <w:rPr>
                <w:szCs w:val="22"/>
              </w:rPr>
              <w:t xml:space="preserve">There was no difference in exacerbation rate in the dose stabilisation phase (Table </w:t>
            </w:r>
            <w:r w:rsidR="00951939" w:rsidRPr="00543D3D">
              <w:rPr>
                <w:szCs w:val="22"/>
              </w:rPr>
              <w:t>21</w:t>
            </w:r>
            <w:r w:rsidRPr="00543D3D">
              <w:rPr>
                <w:szCs w:val="22"/>
              </w:rPr>
              <w:t>).</w:t>
            </w:r>
          </w:p>
          <w:p w:rsidR="002F367C" w:rsidRPr="00543D3D" w:rsidRDefault="002F367C" w:rsidP="00543D3D">
            <w:pPr>
              <w:rPr>
                <w:szCs w:val="22"/>
              </w:rPr>
            </w:pPr>
            <w:r w:rsidRPr="00543D3D">
              <w:rPr>
                <w:szCs w:val="22"/>
              </w:rPr>
              <w:t xml:space="preserve">There was a reduction in exacerbation in the weaning ICS phase (Table </w:t>
            </w:r>
            <w:r w:rsidR="00951939" w:rsidRPr="00543D3D">
              <w:rPr>
                <w:szCs w:val="22"/>
              </w:rPr>
              <w:t>22</w:t>
            </w:r>
            <w:r w:rsidRPr="00543D3D">
              <w:rPr>
                <w:szCs w:val="22"/>
              </w:rPr>
              <w:t>).</w:t>
            </w:r>
          </w:p>
          <w:p w:rsidR="002F367C" w:rsidRPr="00543D3D" w:rsidRDefault="002F367C" w:rsidP="00543D3D">
            <w:pPr>
              <w:rPr>
                <w:rFonts w:eastAsia="MS Mincho"/>
                <w:szCs w:val="22"/>
                <w:lang w:eastAsia="ja-JP"/>
              </w:rPr>
            </w:pPr>
            <w:r w:rsidRPr="00543D3D">
              <w:rPr>
                <w:szCs w:val="22"/>
              </w:rPr>
              <w:t xml:space="preserve">There was no difference in asthma free days, PEFR, spirometry or symptoms scores. Quality of life was similar between the 2 groups at week 16 but better for </w:t>
            </w:r>
            <w:proofErr w:type="spellStart"/>
            <w:r w:rsidR="005A1D2B" w:rsidRPr="00543D3D">
              <w:rPr>
                <w:szCs w:val="22"/>
              </w:rPr>
              <w:t>omalizumab</w:t>
            </w:r>
            <w:proofErr w:type="spellEnd"/>
            <w:r w:rsidR="005A1D2B" w:rsidRPr="00543D3D">
              <w:rPr>
                <w:szCs w:val="22"/>
              </w:rPr>
              <w:t xml:space="preserve"> (</w:t>
            </w:r>
            <w:proofErr w:type="spellStart"/>
            <w:r w:rsidR="005A1D2B" w:rsidRPr="00543D3D">
              <w:rPr>
                <w:szCs w:val="22"/>
              </w:rPr>
              <w:t>rch</w:t>
            </w:r>
            <w:proofErr w:type="spellEnd"/>
            <w:r w:rsidR="005A1D2B" w:rsidRPr="00543D3D">
              <w:rPr>
                <w:szCs w:val="22"/>
              </w:rPr>
              <w:t>)</w:t>
            </w:r>
            <w:r w:rsidRPr="00543D3D">
              <w:rPr>
                <w:szCs w:val="22"/>
              </w:rPr>
              <w:t xml:space="preserve"> at the end of the dose reduction phase.</w:t>
            </w:r>
          </w:p>
        </w:tc>
      </w:tr>
    </w:tbl>
    <w:p w:rsidR="002F367C" w:rsidRDefault="002F367C" w:rsidP="00543D3D">
      <w:pPr>
        <w:pStyle w:val="TableTitle"/>
      </w:pPr>
      <w:r>
        <w:t xml:space="preserve">Table </w:t>
      </w:r>
      <w:r w:rsidR="00951939">
        <w:t>20</w:t>
      </w:r>
      <w:r>
        <w:t>: Study 010 Percent reduction in BDP dose (ITT population)</w:t>
      </w:r>
      <w:bookmarkEnd w:id="212"/>
    </w:p>
    <w:p w:rsidR="002F367C" w:rsidRDefault="00C47A30" w:rsidP="00543D3D">
      <w:r>
        <w:rPr>
          <w:noProof/>
          <w:lang w:eastAsia="en-AU"/>
        </w:rPr>
        <w:drawing>
          <wp:inline distT="0" distB="0" distL="0" distR="0" wp14:anchorId="649753D1" wp14:editId="1C77577D">
            <wp:extent cx="2840642" cy="2880360"/>
            <wp:effectExtent l="0" t="0" r="0" b="0"/>
            <wp:docPr id="3" name="Picture 3" descr="Table 20: Study 010 – Percent reduction in BDP dose (ITT pop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Lst>
                    </a:blip>
                    <a:srcRect l="2393" t="2151"/>
                    <a:stretch/>
                  </pic:blipFill>
                  <pic:spPr bwMode="auto">
                    <a:xfrm>
                      <a:off x="0" y="0"/>
                      <a:ext cx="2841583" cy="2881314"/>
                    </a:xfrm>
                    <a:prstGeom prst="rect">
                      <a:avLst/>
                    </a:prstGeom>
                    <a:ln>
                      <a:noFill/>
                    </a:ln>
                    <a:extLst>
                      <a:ext uri="{53640926-AAD7-44D8-BBD7-CCE9431645EC}">
                        <a14:shadowObscured xmlns:a14="http://schemas.microsoft.com/office/drawing/2010/main"/>
                      </a:ext>
                    </a:extLst>
                  </pic:spPr>
                </pic:pic>
              </a:graphicData>
            </a:graphic>
          </wp:inline>
        </w:drawing>
      </w:r>
    </w:p>
    <w:p w:rsidR="002F367C" w:rsidRDefault="002F367C" w:rsidP="00C47A30">
      <w:pPr>
        <w:pStyle w:val="TableTitle"/>
      </w:pPr>
      <w:bookmarkStart w:id="213" w:name="_Toc292121223"/>
      <w:r>
        <w:lastRenderedPageBreak/>
        <w:t xml:space="preserve">Table </w:t>
      </w:r>
      <w:r w:rsidR="00951939">
        <w:t>21</w:t>
      </w:r>
      <w:r>
        <w:t>: Study 010 Asthma exacerbations in steroid reduction period (ITT population)</w:t>
      </w:r>
      <w:bookmarkEnd w:id="213"/>
    </w:p>
    <w:p w:rsidR="00C47A30" w:rsidRDefault="00C47A30" w:rsidP="00543D3D">
      <w:pPr>
        <w:rPr>
          <w:b/>
        </w:rPr>
      </w:pPr>
      <w:r>
        <w:rPr>
          <w:noProof/>
          <w:lang w:eastAsia="en-AU"/>
        </w:rPr>
        <w:drawing>
          <wp:inline distT="0" distB="0" distL="0" distR="0" wp14:anchorId="07434311" wp14:editId="3A70AA82">
            <wp:extent cx="1828800" cy="2103359"/>
            <wp:effectExtent l="0" t="0" r="0" b="0"/>
            <wp:docPr id="4" name="Picture 4" descr="Table 21: Study 010 – Asthma exacerbations in steroid reduction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005" t="2935"/>
                    <a:stretch/>
                  </pic:blipFill>
                  <pic:spPr bwMode="auto">
                    <a:xfrm>
                      <a:off x="0" y="0"/>
                      <a:ext cx="1828921" cy="2103498"/>
                    </a:xfrm>
                    <a:prstGeom prst="rect">
                      <a:avLst/>
                    </a:prstGeom>
                    <a:ln>
                      <a:noFill/>
                    </a:ln>
                    <a:extLst>
                      <a:ext uri="{53640926-AAD7-44D8-BBD7-CCE9431645EC}">
                        <a14:shadowObscured xmlns:a14="http://schemas.microsoft.com/office/drawing/2010/main"/>
                      </a:ext>
                    </a:extLst>
                  </pic:spPr>
                </pic:pic>
              </a:graphicData>
            </a:graphic>
          </wp:inline>
        </w:drawing>
      </w:r>
      <w:bookmarkStart w:id="214" w:name="_Toc292121224"/>
    </w:p>
    <w:p w:rsidR="002F367C" w:rsidRDefault="002F367C" w:rsidP="00C47A30">
      <w:pPr>
        <w:pStyle w:val="TableTitle"/>
        <w:keepLines/>
      </w:pPr>
      <w:r>
        <w:t xml:space="preserve">Table </w:t>
      </w:r>
      <w:r w:rsidR="00951939">
        <w:t>22</w:t>
      </w:r>
      <w:r>
        <w:t>: Study 010 Clinically significant exacerbations over 28 weeks (Paediatric ITT population)</w:t>
      </w:r>
      <w:bookmarkEnd w:id="214"/>
    </w:p>
    <w:p w:rsidR="002F367C" w:rsidRDefault="002F367C" w:rsidP="00543D3D">
      <w:r>
        <w:rPr>
          <w:noProof/>
          <w:lang w:eastAsia="en-AU"/>
        </w:rPr>
        <w:drawing>
          <wp:inline distT="0" distB="0" distL="0" distR="0" wp14:anchorId="547EB634" wp14:editId="1C20BD0A">
            <wp:extent cx="5044440" cy="1539237"/>
            <wp:effectExtent l="0" t="0" r="3810" b="4445"/>
            <wp:docPr id="9" name="Picture 9" descr="Table 22: Study 010 - Clinically significant exacerbations over 28 weeks (Paediatri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4440" cy="1539237"/>
                    </a:xfrm>
                    <a:prstGeom prst="rect">
                      <a:avLst/>
                    </a:prstGeom>
                    <a:noFill/>
                    <a:ln>
                      <a:noFill/>
                    </a:ln>
                  </pic:spPr>
                </pic:pic>
              </a:graphicData>
            </a:graphic>
          </wp:inline>
        </w:drawing>
      </w:r>
    </w:p>
    <w:p w:rsidR="002F367C" w:rsidRDefault="002F367C" w:rsidP="00C47A30">
      <w:pPr>
        <w:pStyle w:val="Heading5"/>
      </w:pPr>
      <w:r>
        <w:t>Study B1301</w:t>
      </w:r>
    </w:p>
    <w:p w:rsidR="002F367C" w:rsidRDefault="002F367C" w:rsidP="00C47A30">
      <w:r>
        <w:t xml:space="preserve">This was a single arm, open label study of </w:t>
      </w:r>
      <w:proofErr w:type="spellStart"/>
      <w:r w:rsidR="005A1D2B">
        <w:t>omalizumab</w:t>
      </w:r>
      <w:proofErr w:type="spellEnd"/>
      <w:r w:rsidR="005A1D2B">
        <w:t xml:space="preserve"> (</w:t>
      </w:r>
      <w:proofErr w:type="spellStart"/>
      <w:r w:rsidR="005A1D2B">
        <w:t>rch</w:t>
      </w:r>
      <w:proofErr w:type="spellEnd"/>
      <w:r w:rsidR="005A1D2B">
        <w:t>)</w:t>
      </w:r>
      <w:r>
        <w:t xml:space="preserve"> in Japanese children. The primary endpoint was safety</w:t>
      </w:r>
      <w:r w:rsidR="00C47A30">
        <w:t xml:space="preserve"> whereas</w:t>
      </w:r>
      <w:r>
        <w:t xml:space="preserve"> efficacy was a secondary objective.</w:t>
      </w:r>
    </w:p>
    <w:p w:rsidR="002F367C" w:rsidRDefault="002F367C" w:rsidP="00C47A30">
      <w:r>
        <w:t xml:space="preserve">Subjects included children between the age of 6 and 15 years with inadequately controlled asthma symptoms despite high dose ICS and two or more controller medications. The dose of </w:t>
      </w:r>
      <w:proofErr w:type="spellStart"/>
      <w:r w:rsidR="005A1D2B">
        <w:t>omalizumab</w:t>
      </w:r>
      <w:proofErr w:type="spellEnd"/>
      <w:r w:rsidR="005A1D2B">
        <w:t xml:space="preserve"> (</w:t>
      </w:r>
      <w:proofErr w:type="spellStart"/>
      <w:r w:rsidR="005A1D2B">
        <w:t>rch</w:t>
      </w:r>
      <w:proofErr w:type="spellEnd"/>
      <w:r w:rsidR="005A1D2B">
        <w:t>)</w:t>
      </w:r>
      <w:r>
        <w:t xml:space="preserve"> was the same as for </w:t>
      </w:r>
      <w:r w:rsidR="00C47A30">
        <w:t>Study IA</w:t>
      </w:r>
      <w:r>
        <w:t>05. The duration of the trial was 24 weeks.</w:t>
      </w:r>
    </w:p>
    <w:p w:rsidR="00E24628" w:rsidRDefault="002F367C" w:rsidP="00C47A30">
      <w:r>
        <w:t xml:space="preserve">A total of 38 children were enrolled, 19 (55%) were less than 12 years. Treatment with </w:t>
      </w:r>
      <w:proofErr w:type="spellStart"/>
      <w:r w:rsidR="005A1D2B">
        <w:t>omalizumab</w:t>
      </w:r>
      <w:proofErr w:type="spellEnd"/>
      <w:r w:rsidR="005A1D2B">
        <w:t xml:space="preserve"> (</w:t>
      </w:r>
      <w:proofErr w:type="spellStart"/>
      <w:r w:rsidR="005A1D2B">
        <w:t>rch</w:t>
      </w:r>
      <w:proofErr w:type="spellEnd"/>
      <w:r w:rsidR="005A1D2B">
        <w:t>)</w:t>
      </w:r>
      <w:r>
        <w:t xml:space="preserve"> resulted in an improvement in symptom score, PEFR and a reduction in the rate of exacerbations (Table </w:t>
      </w:r>
      <w:r w:rsidR="00951939">
        <w:t>23</w:t>
      </w:r>
      <w:r>
        <w:t>)</w:t>
      </w:r>
      <w:r w:rsidR="00E24628">
        <w:t>.</w:t>
      </w:r>
    </w:p>
    <w:p w:rsidR="002F367C" w:rsidRDefault="002F367C" w:rsidP="00C47A30">
      <w:pPr>
        <w:pStyle w:val="TableTitle"/>
        <w:rPr>
          <w:rFonts w:asciiTheme="minorHAnsi" w:hAnsiTheme="minorHAnsi"/>
        </w:rPr>
      </w:pPr>
      <w:r>
        <w:t xml:space="preserve">Table </w:t>
      </w:r>
      <w:r w:rsidR="00951939">
        <w:t>23</w:t>
      </w:r>
      <w:r>
        <w:t xml:space="preserve">: Efficacy Outcomes from </w:t>
      </w:r>
      <w:r w:rsidR="007A569B">
        <w:t>S</w:t>
      </w:r>
      <w:r>
        <w:t>tudy B1301</w:t>
      </w:r>
    </w:p>
    <w:p w:rsidR="002F367C" w:rsidRDefault="002F367C" w:rsidP="002F367C">
      <w:pPr>
        <w:spacing w:before="0" w:after="0" w:line="240" w:lineRule="auto"/>
        <w:rPr>
          <w:rFonts w:asciiTheme="minorHAnsi" w:hAnsiTheme="minorHAnsi"/>
        </w:rPr>
      </w:pPr>
      <w:r>
        <w:rPr>
          <w:noProof/>
          <w:lang w:eastAsia="en-AU"/>
        </w:rPr>
        <w:drawing>
          <wp:inline distT="0" distB="0" distL="0" distR="0" wp14:anchorId="694BCCA3" wp14:editId="1BF67E41">
            <wp:extent cx="4107180" cy="2158853"/>
            <wp:effectExtent l="0" t="0" r="7620" b="0"/>
            <wp:docPr id="8" name="Picture 8" descr="Table 23: Efficacy Outcomes from study B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6215" cy="2158346"/>
                    </a:xfrm>
                    <a:prstGeom prst="rect">
                      <a:avLst/>
                    </a:prstGeom>
                    <a:noFill/>
                    <a:ln>
                      <a:noFill/>
                    </a:ln>
                  </pic:spPr>
                </pic:pic>
              </a:graphicData>
            </a:graphic>
          </wp:inline>
        </w:drawing>
      </w:r>
    </w:p>
    <w:p w:rsidR="002F367C" w:rsidRDefault="002F367C" w:rsidP="00C47A30">
      <w:pPr>
        <w:pStyle w:val="Heading5"/>
      </w:pPr>
      <w:r>
        <w:lastRenderedPageBreak/>
        <w:t>ICATA Study (not conducted by sponsor)</w:t>
      </w:r>
    </w:p>
    <w:p w:rsidR="002F367C" w:rsidRDefault="002F367C" w:rsidP="00C47A30">
      <w:r>
        <w:t xml:space="preserve">The Inner-City Anti </w:t>
      </w:r>
      <w:proofErr w:type="spellStart"/>
      <w:r>
        <w:t>IgE</w:t>
      </w:r>
      <w:proofErr w:type="spellEnd"/>
      <w:r>
        <w:t xml:space="preserve"> Therapy for Asthma study was a randomised, double blind, placebo controlled trial with two parallel groups (</w:t>
      </w:r>
      <w:proofErr w:type="spellStart"/>
      <w:r w:rsidR="005A1D2B">
        <w:t>omalizumab</w:t>
      </w:r>
      <w:proofErr w:type="spellEnd"/>
      <w:r w:rsidR="005A1D2B">
        <w:t xml:space="preserve"> (</w:t>
      </w:r>
      <w:proofErr w:type="spellStart"/>
      <w:r w:rsidR="005A1D2B">
        <w:t>rch</w:t>
      </w:r>
      <w:proofErr w:type="spellEnd"/>
      <w:r w:rsidR="005A1D2B">
        <w:t>)</w:t>
      </w:r>
      <w:r>
        <w:t xml:space="preserve"> versus placebo) conducted in 8 centres in the USA between November 2006 and April 2008.</w:t>
      </w:r>
    </w:p>
    <w:p w:rsidR="002F367C" w:rsidRDefault="002F367C" w:rsidP="00C47A30">
      <w:r>
        <w:t>The study recruited inner city children, adolescents and young adults (aged 6 to 20 years). Subjects were required to have a history of asthma for at least 12 months, a positive skin test for a perennial allergen and uncontrolled disease. The dosage was the same for study IA05. Treatment was continued for 60 weeks. Ongoing treatment adjustments of ICS/LABA/</w:t>
      </w:r>
      <w:proofErr w:type="spellStart"/>
      <w:r>
        <w:t>montelukast</w:t>
      </w:r>
      <w:proofErr w:type="spellEnd"/>
      <w:r>
        <w:t xml:space="preserve"> were made to achieve good asthma control.</w:t>
      </w:r>
    </w:p>
    <w:p w:rsidR="002F367C" w:rsidRDefault="002F367C" w:rsidP="00C47A30">
      <w:r>
        <w:t xml:space="preserve">A total of 419 subjects were randomised (208 to </w:t>
      </w:r>
      <w:proofErr w:type="spellStart"/>
      <w:r w:rsidR="005A1D2B">
        <w:t>omalizumab</w:t>
      </w:r>
      <w:proofErr w:type="spellEnd"/>
      <w:r w:rsidR="005A1D2B">
        <w:t xml:space="preserve"> (</w:t>
      </w:r>
      <w:proofErr w:type="spellStart"/>
      <w:r w:rsidR="005A1D2B">
        <w:t>rch</w:t>
      </w:r>
      <w:proofErr w:type="spellEnd"/>
      <w:r w:rsidR="005A1D2B">
        <w:t>)</w:t>
      </w:r>
      <w:r>
        <w:t xml:space="preserve"> and 211 to placebo). 60% of subjects were in the 6</w:t>
      </w:r>
      <w:r w:rsidR="00C47A30">
        <w:t xml:space="preserve"> to </w:t>
      </w:r>
      <w:r>
        <w:t xml:space="preserve">11 years age group and 73% had moderate to severe disease. The primary end point was the number of days in the preceding 2 weeks that the patient had asthma symptoms. </w:t>
      </w:r>
      <w:proofErr w:type="spellStart"/>
      <w:r w:rsidR="005A1D2B">
        <w:t>Omalizumab</w:t>
      </w:r>
      <w:proofErr w:type="spellEnd"/>
      <w:r w:rsidR="005A1D2B">
        <w:t xml:space="preserve"> (</w:t>
      </w:r>
      <w:proofErr w:type="spellStart"/>
      <w:r w:rsidR="005A1D2B">
        <w:t>rch</w:t>
      </w:r>
      <w:proofErr w:type="spellEnd"/>
      <w:r w:rsidR="005A1D2B">
        <w:t>)</w:t>
      </w:r>
      <w:r>
        <w:t xml:space="preserve"> treatment was associated with significantly fewer days with asthma symptoms in the preceding 2 weeks (mean: 1.48 v</w:t>
      </w:r>
      <w:r w:rsidR="00C47A30">
        <w:t xml:space="preserve">ersus </w:t>
      </w:r>
      <w:r>
        <w:t>1.96; p&lt;0.001)</w:t>
      </w:r>
      <w:r w:rsidR="00951939">
        <w:t xml:space="preserve"> (Table 24)</w:t>
      </w:r>
      <w:r>
        <w:t>. It was also associated with a lower proportion of patients experiencing an exacerbation (30.3% v</w:t>
      </w:r>
      <w:r w:rsidR="00C47A30">
        <w:t>ersu</w:t>
      </w:r>
      <w:r>
        <w:t>s 48.8%; p&lt;0.001) and with significantly lower doses of ICS (663 v</w:t>
      </w:r>
      <w:r w:rsidR="00C47A30">
        <w:t>ersu</w:t>
      </w:r>
      <w:r>
        <w:t xml:space="preserve">s 771 </w:t>
      </w:r>
      <w:r w:rsidR="00C47A30">
        <w:t>µ</w:t>
      </w:r>
      <w:r>
        <w:t>g budesonide or equivalent/day; p&lt;0.001).</w:t>
      </w:r>
    </w:p>
    <w:p w:rsidR="00EF2C33" w:rsidRDefault="002F367C" w:rsidP="00EF2C33">
      <w:pPr>
        <w:pStyle w:val="TableTitle"/>
      </w:pPr>
      <w:r>
        <w:lastRenderedPageBreak/>
        <w:t xml:space="preserve">Table </w:t>
      </w:r>
      <w:r w:rsidR="00951939">
        <w:t>24</w:t>
      </w:r>
      <w:r>
        <w:t xml:space="preserve">: Efficacy </w:t>
      </w:r>
      <w:r w:rsidR="007A569B">
        <w:t>o</w:t>
      </w:r>
      <w:r>
        <w:t>utcomes from the ICATA Study</w:t>
      </w:r>
    </w:p>
    <w:p w:rsidR="002F367C" w:rsidRPr="00EF2C33" w:rsidRDefault="002F367C" w:rsidP="00EF2C33">
      <w:pPr>
        <w:rPr>
          <w:rFonts w:asciiTheme="minorHAnsi" w:hAnsiTheme="minorHAnsi"/>
          <w:sz w:val="16"/>
          <w:szCs w:val="16"/>
        </w:rPr>
      </w:pPr>
      <w:r>
        <w:rPr>
          <w:noProof/>
          <w:lang w:eastAsia="en-AU"/>
        </w:rPr>
        <w:drawing>
          <wp:inline distT="0" distB="0" distL="0" distR="0" wp14:anchorId="5A5652D0" wp14:editId="3CB3CF2D">
            <wp:extent cx="4919613" cy="6035040"/>
            <wp:effectExtent l="0" t="0" r="0" b="3810"/>
            <wp:docPr id="7" name="Picture 7" descr="Table 24: Efficacy Outcomes from the ICATA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b="1615"/>
                    <a:stretch/>
                  </pic:blipFill>
                  <pic:spPr bwMode="auto">
                    <a:xfrm>
                      <a:off x="0" y="0"/>
                      <a:ext cx="4920822" cy="6036524"/>
                    </a:xfrm>
                    <a:prstGeom prst="rect">
                      <a:avLst/>
                    </a:prstGeom>
                    <a:noFill/>
                    <a:ln>
                      <a:noFill/>
                    </a:ln>
                    <a:extLst>
                      <a:ext uri="{53640926-AAD7-44D8-BBD7-CCE9431645EC}">
                        <a14:shadowObscured xmlns:a14="http://schemas.microsoft.com/office/drawing/2010/main"/>
                      </a:ext>
                    </a:extLst>
                  </pic:spPr>
                </pic:pic>
              </a:graphicData>
            </a:graphic>
          </wp:inline>
        </w:drawing>
      </w:r>
    </w:p>
    <w:p w:rsidR="002F367C" w:rsidRDefault="002F367C" w:rsidP="00EE4DD8">
      <w:pPr>
        <w:pStyle w:val="Heading4"/>
      </w:pPr>
      <w:r>
        <w:t>Safety</w:t>
      </w:r>
    </w:p>
    <w:p w:rsidR="00E24628" w:rsidRDefault="002F367C" w:rsidP="00EE4DD8">
      <w:r>
        <w:t>The sponsor pooled safety data for children aged 6 to 12 years. The data was presented separately for placebo controlled trials (AAP) and open labelled studies (AAO)</w:t>
      </w:r>
      <w:r w:rsidR="00E24628">
        <w:t>.</w:t>
      </w:r>
    </w:p>
    <w:p w:rsidR="002F367C" w:rsidRDefault="002F367C" w:rsidP="00EE4DD8">
      <w:r>
        <w:t xml:space="preserve">In the AAP population, there were 624 subjects treated with </w:t>
      </w:r>
      <w:proofErr w:type="spellStart"/>
      <w:r w:rsidR="005A1D2B">
        <w:t>omalizumab</w:t>
      </w:r>
      <w:proofErr w:type="spellEnd"/>
      <w:r w:rsidR="005A1D2B">
        <w:t xml:space="preserve"> (</w:t>
      </w:r>
      <w:proofErr w:type="spellStart"/>
      <w:r w:rsidR="005A1D2B">
        <w:t>rch</w:t>
      </w:r>
      <w:proofErr w:type="spellEnd"/>
      <w:r w:rsidR="005A1D2B">
        <w:t>)</w:t>
      </w:r>
      <w:r>
        <w:t xml:space="preserve"> and 302 with placebo. The mean duration of exposure was 42 weeks. In the AAO population, 407 subjects received </w:t>
      </w:r>
      <w:proofErr w:type="spellStart"/>
      <w:r w:rsidR="005A1D2B">
        <w:t>omalizumab</w:t>
      </w:r>
      <w:proofErr w:type="spellEnd"/>
      <w:r w:rsidR="005A1D2B">
        <w:t xml:space="preserve"> (</w:t>
      </w:r>
      <w:proofErr w:type="spellStart"/>
      <w:r w:rsidR="005A1D2B">
        <w:t>rch</w:t>
      </w:r>
      <w:proofErr w:type="spellEnd"/>
      <w:r w:rsidR="005A1D2B">
        <w:t>)</w:t>
      </w:r>
      <w:r>
        <w:t>. The mean duration of exposure was 104 weeks.</w:t>
      </w:r>
    </w:p>
    <w:p w:rsidR="002F367C" w:rsidRDefault="002F367C" w:rsidP="00EE4DD8">
      <w:r>
        <w:t xml:space="preserve">Overall, adverse events were commonly reported in both </w:t>
      </w:r>
      <w:proofErr w:type="spellStart"/>
      <w:r w:rsidR="005A1D2B">
        <w:t>omalizumab</w:t>
      </w:r>
      <w:proofErr w:type="spellEnd"/>
      <w:r w:rsidR="005A1D2B">
        <w:t xml:space="preserve"> (</w:t>
      </w:r>
      <w:proofErr w:type="spellStart"/>
      <w:r w:rsidR="005A1D2B">
        <w:t>rch</w:t>
      </w:r>
      <w:proofErr w:type="spellEnd"/>
      <w:r w:rsidR="005A1D2B">
        <w:t>)</w:t>
      </w:r>
      <w:r>
        <w:t xml:space="preserve"> and placebo groups. There was a higher incidence of pyrexia (15.1% v</w:t>
      </w:r>
      <w:r w:rsidR="00EE4DD8">
        <w:t>ersu</w:t>
      </w:r>
      <w:r>
        <w:t>s 11.3%) and viral gastroenteritis (3.8 versus 2.3%) in the AAP population, and headache (17.6 v</w:t>
      </w:r>
      <w:r w:rsidR="00EE4DD8">
        <w:t>ersu</w:t>
      </w:r>
      <w:r>
        <w:t>s 7%) in the AAO population.</w:t>
      </w:r>
    </w:p>
    <w:p w:rsidR="002F367C" w:rsidRDefault="002F367C" w:rsidP="00EE4DD8">
      <w:r>
        <w:t xml:space="preserve">Most AE were mild or moderate. </w:t>
      </w:r>
      <w:r w:rsidR="00EE4DD8">
        <w:t>Treatment-emergent AEs (</w:t>
      </w:r>
      <w:r>
        <w:t>TEAE</w:t>
      </w:r>
      <w:r w:rsidR="00EE4DD8">
        <w:t>s)</w:t>
      </w:r>
      <w:r>
        <w:t xml:space="preserve"> occurred with similar frequency in </w:t>
      </w:r>
      <w:proofErr w:type="spellStart"/>
      <w:r w:rsidR="005A1D2B">
        <w:t>omalizumab</w:t>
      </w:r>
      <w:proofErr w:type="spellEnd"/>
      <w:r w:rsidR="005A1D2B">
        <w:t xml:space="preserve"> (</w:t>
      </w:r>
      <w:proofErr w:type="spellStart"/>
      <w:r w:rsidR="005A1D2B">
        <w:t>rch</w:t>
      </w:r>
      <w:proofErr w:type="spellEnd"/>
      <w:r w:rsidR="005A1D2B">
        <w:t>)</w:t>
      </w:r>
      <w:r>
        <w:t xml:space="preserve"> and control groups</w:t>
      </w:r>
    </w:p>
    <w:p w:rsidR="002F367C" w:rsidRDefault="002F367C" w:rsidP="00EE4DD8">
      <w:r>
        <w:lastRenderedPageBreak/>
        <w:t xml:space="preserve">AE of special interest (skin rash, urticarial, hypersensitivity, injection site reactions) occurred similarly between </w:t>
      </w:r>
      <w:proofErr w:type="spellStart"/>
      <w:r w:rsidR="005A1D2B">
        <w:t>omalizumab</w:t>
      </w:r>
      <w:proofErr w:type="spellEnd"/>
      <w:r w:rsidR="005A1D2B">
        <w:t xml:space="preserve"> (</w:t>
      </w:r>
      <w:proofErr w:type="spellStart"/>
      <w:r w:rsidR="005A1D2B">
        <w:t>rch</w:t>
      </w:r>
      <w:proofErr w:type="spellEnd"/>
      <w:r w:rsidR="005A1D2B">
        <w:t>)</w:t>
      </w:r>
      <w:r>
        <w:t xml:space="preserve"> and control groups. No patients had serum sickness. One child in the placebo arm developed a malignancy.</w:t>
      </w:r>
    </w:p>
    <w:p w:rsidR="002F367C" w:rsidRDefault="002F367C" w:rsidP="00EE4DD8">
      <w:r>
        <w:t>The sponsor submitted extra data after the first round evaluation evaluating a clinical trial and the sponsor’s safety database in relation to anaphylaxis. The rate of anaphylaxis was estimated to be 0.2%. Previous anaphylaxis was recognised as a risk factor. This information was included into the PI.</w:t>
      </w:r>
    </w:p>
    <w:p w:rsidR="002F367C" w:rsidRDefault="002F367C" w:rsidP="00EE4DD8">
      <w:r>
        <w:t xml:space="preserve">One subject developed antibodies to </w:t>
      </w:r>
      <w:proofErr w:type="spellStart"/>
      <w:r w:rsidR="005A1D2B">
        <w:t>omalizumab</w:t>
      </w:r>
      <w:proofErr w:type="spellEnd"/>
      <w:r w:rsidR="005A1D2B">
        <w:t xml:space="preserve"> (</w:t>
      </w:r>
      <w:proofErr w:type="spellStart"/>
      <w:r w:rsidR="005A1D2B">
        <w:t>rch</w:t>
      </w:r>
      <w:proofErr w:type="spellEnd"/>
      <w:r w:rsidR="005A1D2B">
        <w:t>)</w:t>
      </w:r>
      <w:r>
        <w:t>. No adverse reactions were observed.</w:t>
      </w:r>
    </w:p>
    <w:p w:rsidR="002F367C" w:rsidRDefault="00EE4DD8" w:rsidP="00EE4DD8">
      <w:pPr>
        <w:pStyle w:val="Heading4"/>
      </w:pPr>
      <w:r>
        <w:t>Post-market data</w:t>
      </w:r>
    </w:p>
    <w:p w:rsidR="00E24628" w:rsidRDefault="002F367C" w:rsidP="00543D3D">
      <w:r>
        <w:t>The dossier included a PSUR from 1</w:t>
      </w:r>
      <w:r w:rsidR="00EE4DD8">
        <w:t xml:space="preserve"> January </w:t>
      </w:r>
      <w:r>
        <w:t>2014</w:t>
      </w:r>
      <w:r w:rsidR="00EE4DD8">
        <w:t xml:space="preserve"> to </w:t>
      </w:r>
      <w:r>
        <w:t>30</w:t>
      </w:r>
      <w:r w:rsidR="00EE4DD8">
        <w:t xml:space="preserve"> June </w:t>
      </w:r>
      <w:r>
        <w:t>2014. This period was after approval for use in children and with the new dosing table in Europe, New Zealand and Switzerland</w:t>
      </w:r>
      <w:r w:rsidR="00E24628">
        <w:t>.</w:t>
      </w:r>
    </w:p>
    <w:p w:rsidR="00E24628" w:rsidRDefault="002F367C" w:rsidP="00EE4DD8">
      <w:r>
        <w:t>For the 3</w:t>
      </w:r>
      <w:r w:rsidR="00EE4DD8">
        <w:t xml:space="preserve"> </w:t>
      </w:r>
      <w:r>
        <w:t>month period of January to March 2014, the estimated exposure in children aged 6</w:t>
      </w:r>
      <w:r w:rsidR="00EE4DD8">
        <w:t xml:space="preserve"> to </w:t>
      </w:r>
      <w:r>
        <w:t>-11 years was 952 subjects. The cumulative exposure in children aged 6</w:t>
      </w:r>
      <w:r w:rsidR="00EE4DD8">
        <w:t xml:space="preserve"> to </w:t>
      </w:r>
      <w:r>
        <w:t xml:space="preserve">11 years between June 2011 and March 2014 was 9,157 subjects for asthma and 2,512 subjects for other indications. The most common events reported in children aged 6 to &lt; 12 years during the period were asthma (15), malaise (9), </w:t>
      </w:r>
      <w:proofErr w:type="spellStart"/>
      <w:r>
        <w:t>urticaria</w:t>
      </w:r>
      <w:proofErr w:type="spellEnd"/>
      <w:r>
        <w:t xml:space="preserve"> (9), cough (5), pyrexia (4), drug ineffective (4), fatigue (4), pruritus (4)</w:t>
      </w:r>
      <w:r w:rsidR="00EE4DD8">
        <w:t xml:space="preserve"> and</w:t>
      </w:r>
      <w:r>
        <w:t xml:space="preserve"> headache (4)</w:t>
      </w:r>
      <w:r w:rsidR="00E24628">
        <w:t>.</w:t>
      </w:r>
    </w:p>
    <w:p w:rsidR="002F367C" w:rsidRDefault="002F367C" w:rsidP="00EE4DD8">
      <w:r>
        <w:t>Of all the events reported, 27 were reported as serious. Thirteen of these cases were not assessable due to insufficient information. The remaining 14 included the following:</w:t>
      </w:r>
    </w:p>
    <w:p w:rsidR="002F367C" w:rsidRDefault="002F367C" w:rsidP="00EE4DD8">
      <w:pPr>
        <w:pStyle w:val="ListBullet"/>
      </w:pPr>
      <w:r>
        <w:t>One report of thrombocytopenia (7 x 10</w:t>
      </w:r>
      <w:r w:rsidRPr="00EE4DD8">
        <w:rPr>
          <w:vertAlign w:val="superscript"/>
        </w:rPr>
        <w:t>9</w:t>
      </w:r>
      <w:r>
        <w:t xml:space="preserve">/L), probable ITP, which recurred after </w:t>
      </w:r>
      <w:proofErr w:type="spellStart"/>
      <w:r w:rsidR="005A1D2B">
        <w:t>omalizumab</w:t>
      </w:r>
      <w:proofErr w:type="spellEnd"/>
      <w:r w:rsidR="005A1D2B">
        <w:t xml:space="preserve"> (</w:t>
      </w:r>
      <w:proofErr w:type="spellStart"/>
      <w:r w:rsidR="005A1D2B">
        <w:t>rch</w:t>
      </w:r>
      <w:proofErr w:type="spellEnd"/>
      <w:r w:rsidR="005A1D2B">
        <w:t>)</w:t>
      </w:r>
      <w:r w:rsidR="00FA00C2">
        <w:t>,</w:t>
      </w:r>
      <w:r>
        <w:t xml:space="preserve"> was stopped.</w:t>
      </w:r>
    </w:p>
    <w:p w:rsidR="002F367C" w:rsidRDefault="002F367C" w:rsidP="00EE4DD8">
      <w:pPr>
        <w:pStyle w:val="ListBullet"/>
      </w:pPr>
      <w:r>
        <w:t xml:space="preserve">Three reports suggestive of allergic reactions (rash, </w:t>
      </w:r>
      <w:proofErr w:type="spellStart"/>
      <w:r>
        <w:t>urticaria</w:t>
      </w:r>
      <w:proofErr w:type="spellEnd"/>
      <w:r>
        <w:t>, erythema, pruritus);</w:t>
      </w:r>
    </w:p>
    <w:p w:rsidR="002F367C" w:rsidRDefault="002F367C" w:rsidP="00EE4DD8">
      <w:pPr>
        <w:pStyle w:val="ListBullet"/>
      </w:pPr>
      <w:r>
        <w:t>Two reports of injection site reactions;</w:t>
      </w:r>
    </w:p>
    <w:p w:rsidR="002F367C" w:rsidRDefault="002F367C" w:rsidP="00EE4DD8">
      <w:pPr>
        <w:pStyle w:val="ListBullet"/>
      </w:pPr>
      <w:r>
        <w:t>One report of allergic bronchopulmonary aspergillosis;</w:t>
      </w:r>
    </w:p>
    <w:p w:rsidR="002F367C" w:rsidRDefault="002F367C" w:rsidP="00EE4DD8">
      <w:pPr>
        <w:pStyle w:val="ListBullet"/>
      </w:pPr>
      <w:r>
        <w:t>Two reports of dengue fever;</w:t>
      </w:r>
    </w:p>
    <w:p w:rsidR="002F367C" w:rsidRDefault="002F367C" w:rsidP="00EE4DD8">
      <w:pPr>
        <w:pStyle w:val="ListBullet"/>
      </w:pPr>
      <w:r>
        <w:t>Five reports of asthma exacerbations.</w:t>
      </w:r>
    </w:p>
    <w:p w:rsidR="007B6132" w:rsidRDefault="007B6132" w:rsidP="00555280">
      <w:pPr>
        <w:pStyle w:val="Heading4"/>
      </w:pPr>
      <w:r w:rsidRPr="007B6132">
        <w:t>Clinical evaluator’s recommendation</w:t>
      </w:r>
    </w:p>
    <w:p w:rsidR="00E24628" w:rsidRDefault="00EE4DD8" w:rsidP="00EE4DD8">
      <w:r>
        <w:t>The clinical evaluator recommends approval</w:t>
      </w:r>
      <w:r w:rsidR="00E24628">
        <w:t>.</w:t>
      </w:r>
    </w:p>
    <w:p w:rsidR="008E7846" w:rsidRDefault="00386150" w:rsidP="00EE4DD8">
      <w:pPr>
        <w:pStyle w:val="Heading3"/>
        <w:rPr>
          <w:lang w:eastAsia="en-AU"/>
        </w:rPr>
      </w:pPr>
      <w:bookmarkStart w:id="215" w:name="_Toc454447858"/>
      <w:r>
        <w:rPr>
          <w:lang w:eastAsia="en-AU"/>
        </w:rPr>
        <w:t>Risk m</w:t>
      </w:r>
      <w:r w:rsidR="008E7846">
        <w:rPr>
          <w:lang w:eastAsia="en-AU"/>
        </w:rPr>
        <w:t xml:space="preserve">anagement </w:t>
      </w:r>
      <w:r>
        <w:rPr>
          <w:lang w:eastAsia="en-AU"/>
        </w:rPr>
        <w:t>p</w:t>
      </w:r>
      <w:r w:rsidR="008E7846">
        <w:rPr>
          <w:lang w:eastAsia="en-AU"/>
        </w:rPr>
        <w:t>lan</w:t>
      </w:r>
      <w:bookmarkEnd w:id="211"/>
      <w:bookmarkEnd w:id="215"/>
    </w:p>
    <w:p w:rsidR="002F367C" w:rsidRPr="00951939" w:rsidRDefault="002F367C" w:rsidP="002F367C">
      <w:pPr>
        <w:spacing w:before="0" w:after="0" w:line="240" w:lineRule="auto"/>
        <w:rPr>
          <w:rFonts w:asciiTheme="minorHAnsi" w:hAnsiTheme="minorHAnsi"/>
        </w:rPr>
      </w:pPr>
      <w:r>
        <w:rPr>
          <w:rFonts w:asciiTheme="minorHAnsi" w:hAnsiTheme="minorHAnsi"/>
        </w:rPr>
        <w:t xml:space="preserve">The sponsor has amended the PI based on concerns by the pharmacovigilance branch about the wording of the </w:t>
      </w:r>
      <w:r w:rsidRPr="00951939">
        <w:rPr>
          <w:rFonts w:asciiTheme="minorHAnsi" w:hAnsiTheme="minorHAnsi"/>
        </w:rPr>
        <w:t xml:space="preserve">precautions section on </w:t>
      </w:r>
      <w:proofErr w:type="spellStart"/>
      <w:r w:rsidRPr="00951939">
        <w:rPr>
          <w:rFonts w:asciiTheme="minorHAnsi" w:hAnsiTheme="minorHAnsi"/>
        </w:rPr>
        <w:t>Churg</w:t>
      </w:r>
      <w:proofErr w:type="spellEnd"/>
      <w:r w:rsidRPr="00951939">
        <w:rPr>
          <w:rFonts w:asciiTheme="minorHAnsi" w:hAnsiTheme="minorHAnsi"/>
        </w:rPr>
        <w:t xml:space="preserve">-Strauss Syndrome and </w:t>
      </w:r>
      <w:proofErr w:type="spellStart"/>
      <w:r w:rsidRPr="00951939">
        <w:rPr>
          <w:rFonts w:asciiTheme="minorHAnsi" w:hAnsiTheme="minorHAnsi"/>
        </w:rPr>
        <w:t>Hypereosinophilic</w:t>
      </w:r>
      <w:proofErr w:type="spellEnd"/>
      <w:r w:rsidRPr="00951939">
        <w:rPr>
          <w:rFonts w:asciiTheme="minorHAnsi" w:hAnsiTheme="minorHAnsi"/>
        </w:rPr>
        <w:t xml:space="preserve"> Syndrome. The wording is now in line with the EU </w:t>
      </w:r>
      <w:proofErr w:type="spellStart"/>
      <w:r w:rsidRPr="00951939">
        <w:rPr>
          <w:rFonts w:asciiTheme="minorHAnsi" w:hAnsiTheme="minorHAnsi"/>
        </w:rPr>
        <w:t>SmP</w:t>
      </w:r>
      <w:r w:rsidR="00EE4DD8" w:rsidRPr="00951939">
        <w:rPr>
          <w:rFonts w:asciiTheme="minorHAnsi" w:hAnsiTheme="minorHAnsi"/>
        </w:rPr>
        <w:t>C</w:t>
      </w:r>
      <w:proofErr w:type="spellEnd"/>
      <w:r w:rsidRPr="00951939">
        <w:rPr>
          <w:rFonts w:asciiTheme="minorHAnsi" w:hAnsiTheme="minorHAnsi"/>
        </w:rPr>
        <w:t>.</w:t>
      </w:r>
    </w:p>
    <w:p w:rsidR="002F367C" w:rsidRDefault="002F367C" w:rsidP="002F367C">
      <w:pPr>
        <w:spacing w:before="0" w:after="0" w:line="240" w:lineRule="auto"/>
        <w:rPr>
          <w:rFonts w:asciiTheme="minorHAnsi" w:hAnsiTheme="minorHAnsi"/>
        </w:rPr>
      </w:pPr>
      <w:r w:rsidRPr="00951939">
        <w:rPr>
          <w:rFonts w:asciiTheme="minorHAnsi" w:hAnsiTheme="minorHAnsi"/>
        </w:rPr>
        <w:t>The summary of safety concerns includes the known and potential safety signals</w:t>
      </w:r>
      <w:r w:rsidR="00295E91" w:rsidRPr="00951939">
        <w:rPr>
          <w:rFonts w:asciiTheme="minorHAnsi" w:hAnsiTheme="minorHAnsi"/>
        </w:rPr>
        <w:t xml:space="preserve"> (Table 1</w:t>
      </w:r>
      <w:r w:rsidR="00951939" w:rsidRPr="00951939">
        <w:rPr>
          <w:rFonts w:asciiTheme="minorHAnsi" w:hAnsiTheme="minorHAnsi"/>
        </w:rPr>
        <w:t>3</w:t>
      </w:r>
      <w:r w:rsidR="00295E91" w:rsidRPr="00951939">
        <w:rPr>
          <w:rFonts w:asciiTheme="minorHAnsi" w:hAnsiTheme="minorHAnsi"/>
        </w:rPr>
        <w:t>)</w:t>
      </w:r>
      <w:r w:rsidRPr="00951939">
        <w:rPr>
          <w:rFonts w:asciiTheme="minorHAnsi" w:hAnsiTheme="minorHAnsi"/>
        </w:rPr>
        <w:t>. Routine pharmacovigilance activities are recommend</w:t>
      </w:r>
      <w:r w:rsidR="00EE4DD8" w:rsidRPr="00951939">
        <w:rPr>
          <w:rFonts w:asciiTheme="minorHAnsi" w:hAnsiTheme="minorHAnsi"/>
        </w:rPr>
        <w:t>ed. No additional pharmacovigila</w:t>
      </w:r>
      <w:r w:rsidRPr="00951939">
        <w:rPr>
          <w:rFonts w:asciiTheme="minorHAnsi" w:hAnsiTheme="minorHAnsi"/>
        </w:rPr>
        <w:t>nce activities are required.</w:t>
      </w:r>
    </w:p>
    <w:p w:rsidR="008E7846" w:rsidRPr="00295E91" w:rsidRDefault="00AA0ED0" w:rsidP="00295E91">
      <w:pPr>
        <w:pStyle w:val="Heading3"/>
      </w:pPr>
      <w:bookmarkStart w:id="216" w:name="_Toc247691531"/>
      <w:bookmarkStart w:id="217" w:name="_Toc314842515"/>
      <w:bookmarkStart w:id="218" w:name="_Toc196046505"/>
      <w:bookmarkStart w:id="219" w:name="_Toc196046949"/>
      <w:bookmarkStart w:id="220" w:name="_Toc454447859"/>
      <w:r>
        <w:lastRenderedPageBreak/>
        <w:t>Risk-benefit a</w:t>
      </w:r>
      <w:r w:rsidR="008E7846">
        <w:t>nalysis</w:t>
      </w:r>
      <w:bookmarkEnd w:id="216"/>
      <w:bookmarkEnd w:id="217"/>
      <w:bookmarkEnd w:id="220"/>
    </w:p>
    <w:p w:rsidR="00D23139" w:rsidRPr="00295E91" w:rsidRDefault="00D23139" w:rsidP="00295E91">
      <w:pPr>
        <w:pStyle w:val="Heading4"/>
      </w:pPr>
      <w:r w:rsidRPr="00D23139">
        <w:t xml:space="preserve">Delegate’s considerations </w:t>
      </w:r>
    </w:p>
    <w:p w:rsidR="002F367C" w:rsidRDefault="002F367C" w:rsidP="00295E91">
      <w:r>
        <w:t xml:space="preserve">The sponsor has </w:t>
      </w:r>
      <w:r w:rsidRPr="00951939">
        <w:t xml:space="preserve">adequately addressed most of the issued raised by the previous </w:t>
      </w:r>
      <w:r w:rsidR="00295E91" w:rsidRPr="00951939">
        <w:t>D</w:t>
      </w:r>
      <w:r w:rsidRPr="00951939">
        <w:t>elegate and clinical evaluator (</w:t>
      </w:r>
      <w:r w:rsidR="00FE55CF" w:rsidRPr="00951939">
        <w:t>See T</w:t>
      </w:r>
      <w:r w:rsidRPr="00951939">
        <w:t xml:space="preserve">able </w:t>
      </w:r>
      <w:r w:rsidR="00FE55CF" w:rsidRPr="00951939">
        <w:t>2</w:t>
      </w:r>
      <w:r w:rsidR="00951939" w:rsidRPr="00951939">
        <w:t>5</w:t>
      </w:r>
      <w:r w:rsidRPr="00951939">
        <w:t xml:space="preserve">). There is adequate information in the PI and RMP in relation to the safety issues (thrombocytopenia, malignancy and </w:t>
      </w:r>
      <w:r w:rsidR="00295E91" w:rsidRPr="00951939">
        <w:t>arterial thromboembolism (</w:t>
      </w:r>
      <w:r w:rsidRPr="00951939">
        <w:t>ATE</w:t>
      </w:r>
      <w:r w:rsidR="00295E91" w:rsidRPr="00951939">
        <w:t>)</w:t>
      </w:r>
      <w:r w:rsidRPr="00951939">
        <w:t>). The sponsor</w:t>
      </w:r>
      <w:r w:rsidRPr="00295E91">
        <w:t xml:space="preserve"> has also submitted data from a clinical trial reporting a low risk of anaphylaxis (0.2%).</w:t>
      </w:r>
      <w:r w:rsidR="006750C7" w:rsidRPr="00295E91">
        <w:t xml:space="preserve"> </w:t>
      </w:r>
      <w:r w:rsidRPr="00295E91">
        <w:t>Post market data has not identified any new safety</w:t>
      </w:r>
      <w:r>
        <w:t xml:space="preserve"> signals.</w:t>
      </w:r>
    </w:p>
    <w:p w:rsidR="00E24628" w:rsidRDefault="002F367C" w:rsidP="00295E91">
      <w:r>
        <w:t xml:space="preserve">Overall, the clinical trials in children suggest that </w:t>
      </w:r>
      <w:proofErr w:type="spellStart"/>
      <w:r w:rsidR="005A1D2B">
        <w:t>omalizumab</w:t>
      </w:r>
      <w:proofErr w:type="spellEnd"/>
      <w:r w:rsidR="005A1D2B">
        <w:t xml:space="preserve"> (</w:t>
      </w:r>
      <w:proofErr w:type="spellStart"/>
      <w:r w:rsidR="005A1D2B">
        <w:t>rch</w:t>
      </w:r>
      <w:proofErr w:type="spellEnd"/>
      <w:r w:rsidR="005A1D2B">
        <w:t>)</w:t>
      </w:r>
      <w:r>
        <w:t xml:space="preserve"> reduces the number of exacerbations of children with asthma and may enable the dose of inhaled corticosteroids to be weaned. However there is some inconsistency with reported outcomes in the clinical trials.</w:t>
      </w:r>
      <w:r w:rsidR="006750C7">
        <w:t xml:space="preserve"> </w:t>
      </w:r>
      <w:r>
        <w:t xml:space="preserve">Of particular concern was in the pivotal </w:t>
      </w:r>
      <w:r w:rsidR="00295E91">
        <w:t>S</w:t>
      </w:r>
      <w:r>
        <w:t>tudy IA050, there was a reduction in exacerbation rate but no change in rescue medication use, ED presentations. The sponsor has explained some of this to be due to inaccuracies in children and families ability to describe asthma control. The sponsor has submitted a number of journal articles describing how children and parents under estimate asthma severity using symptoms scores and the FEV</w:t>
      </w:r>
      <w:r>
        <w:rPr>
          <w:vertAlign w:val="subscript"/>
        </w:rPr>
        <w:t>1</w:t>
      </w:r>
      <w:r>
        <w:t xml:space="preserve"> is a very blunt predictor of asthma symptoms</w:t>
      </w:r>
      <w:r w:rsidR="00E24628">
        <w:t>.</w:t>
      </w:r>
    </w:p>
    <w:p w:rsidR="002F367C" w:rsidRDefault="00295E91" w:rsidP="00295E91">
      <w:pPr>
        <w:pStyle w:val="Heading5"/>
      </w:pPr>
      <w:r>
        <w:t>Clinical need</w:t>
      </w:r>
    </w:p>
    <w:p w:rsidR="00E24628" w:rsidRDefault="002F367C" w:rsidP="00295E91">
      <w:r>
        <w:t>The overall prevalence of asthma in children is around 8.7%</w:t>
      </w:r>
      <w:r w:rsidR="00FA00C2">
        <w:t>;</w:t>
      </w:r>
      <w:r>
        <w:t xml:space="preserve"> of these around 4.6% have severe asthma.</w:t>
      </w:r>
      <w:r w:rsidR="006750C7">
        <w:t xml:space="preserve"> </w:t>
      </w:r>
      <w:r>
        <w:t xml:space="preserve">Approximately 50% of childhood asthma improves by adolescents. Elevated </w:t>
      </w:r>
      <w:proofErr w:type="spellStart"/>
      <w:r>
        <w:t>IgE</w:t>
      </w:r>
      <w:proofErr w:type="spellEnd"/>
      <w:r>
        <w:t xml:space="preserve"> is a risk factor for persistent asthma. Children with poorly controlled asthma can have reduced lung function that deteriorates with age</w:t>
      </w:r>
      <w:r w:rsidR="00E24628">
        <w:t>.</w:t>
      </w:r>
    </w:p>
    <w:p w:rsidR="00E24628" w:rsidRDefault="002F367C" w:rsidP="00295E91">
      <w:r>
        <w:t xml:space="preserve">For patients with severe asthma, the mainstay of treatment has been high dose inhaled or oral corticosteroids. </w:t>
      </w:r>
      <w:proofErr w:type="spellStart"/>
      <w:r w:rsidR="005A1D2B">
        <w:t>Omalizumab</w:t>
      </w:r>
      <w:proofErr w:type="spellEnd"/>
      <w:r w:rsidR="005A1D2B">
        <w:t xml:space="preserve"> (</w:t>
      </w:r>
      <w:proofErr w:type="spellStart"/>
      <w:r w:rsidR="005A1D2B">
        <w:t>rch</w:t>
      </w:r>
      <w:proofErr w:type="spellEnd"/>
      <w:r w:rsidR="005A1D2B">
        <w:t>)</w:t>
      </w:r>
      <w:r>
        <w:t xml:space="preserve"> has potential advantageous in being able to reduce the dose of inhaled steroids (and side effects from this). It also targets a different mechanism of action than other asthma treatments, such as theophylline, long acting </w:t>
      </w:r>
      <w:r w:rsidR="00295E91">
        <w:t>β</w:t>
      </w:r>
      <w:r>
        <w:t xml:space="preserve"> agonists (the use of which has been associated with increased hospital admissions) and leukotriene antagonists</w:t>
      </w:r>
      <w:r w:rsidR="00E24628">
        <w:t>.</w:t>
      </w:r>
    </w:p>
    <w:p w:rsidR="00E24628" w:rsidRDefault="002F367C" w:rsidP="00295E91">
      <w:r>
        <w:t xml:space="preserve">The TGA has had only two </w:t>
      </w:r>
      <w:r w:rsidR="00295E91">
        <w:t>special access scheme requests</w:t>
      </w:r>
      <w:r>
        <w:t xml:space="preserve"> for </w:t>
      </w:r>
      <w:proofErr w:type="spellStart"/>
      <w:r w:rsidR="005A1D2B">
        <w:t>omalizumab</w:t>
      </w:r>
      <w:proofErr w:type="spellEnd"/>
      <w:r w:rsidR="005A1D2B">
        <w:t xml:space="preserve"> (</w:t>
      </w:r>
      <w:proofErr w:type="spellStart"/>
      <w:r w:rsidR="005A1D2B">
        <w:t>rch</w:t>
      </w:r>
      <w:proofErr w:type="spellEnd"/>
      <w:r w:rsidR="005A1D2B">
        <w:t>)</w:t>
      </w:r>
      <w:r>
        <w:t xml:space="preserve"> in children since January </w:t>
      </w:r>
      <w:r w:rsidR="00FA00C2">
        <w:t>2015;</w:t>
      </w:r>
      <w:r>
        <w:t xml:space="preserve"> however it is possible that it has been prescribed to children by private prescription</w:t>
      </w:r>
      <w:r w:rsidR="00E24628">
        <w:t>.</w:t>
      </w:r>
    </w:p>
    <w:p w:rsidR="002F367C" w:rsidRDefault="002F367C" w:rsidP="00295E91">
      <w:r>
        <w:t xml:space="preserve">In the Global Initiative for Asthma report, </w:t>
      </w:r>
      <w:proofErr w:type="spellStart"/>
      <w:r w:rsidR="005A1D2B">
        <w:t>omalizumab</w:t>
      </w:r>
      <w:proofErr w:type="spellEnd"/>
      <w:r w:rsidR="005A1D2B">
        <w:t xml:space="preserve"> (</w:t>
      </w:r>
      <w:proofErr w:type="spellStart"/>
      <w:r w:rsidR="005A1D2B">
        <w:t>rch</w:t>
      </w:r>
      <w:proofErr w:type="spellEnd"/>
      <w:r w:rsidR="005A1D2B">
        <w:t>)</w:t>
      </w:r>
      <w:r>
        <w:t xml:space="preserve"> is recommended as step 5 in the treatment algorithm for children aged 6-11 years.</w:t>
      </w:r>
      <w:r w:rsidR="00295E91">
        <w:rPr>
          <w:rStyle w:val="FootnoteReference"/>
        </w:rPr>
        <w:footnoteReference w:id="9"/>
      </w:r>
    </w:p>
    <w:p w:rsidR="002F367C" w:rsidRDefault="005A1D2B" w:rsidP="00295E91">
      <w:proofErr w:type="spellStart"/>
      <w:r>
        <w:t>Omalizumab</w:t>
      </w:r>
      <w:proofErr w:type="spellEnd"/>
      <w:r>
        <w:t xml:space="preserve"> (</w:t>
      </w:r>
      <w:proofErr w:type="spellStart"/>
      <w:r>
        <w:t>rch</w:t>
      </w:r>
      <w:proofErr w:type="spellEnd"/>
      <w:r>
        <w:t>)</w:t>
      </w:r>
      <w:r w:rsidR="002F367C">
        <w:t xml:space="preserve"> is not mentioned in the Australian Therapeutic Guidelines for asthma or the Australian Asthma Handbook in children or adults.</w:t>
      </w:r>
      <w:r w:rsidR="00295E91">
        <w:rPr>
          <w:rStyle w:val="FootnoteReference"/>
        </w:rPr>
        <w:footnoteReference w:id="10"/>
      </w:r>
    </w:p>
    <w:p w:rsidR="002F367C" w:rsidRDefault="00295E91" w:rsidP="00295E91">
      <w:pPr>
        <w:pStyle w:val="Heading5"/>
      </w:pPr>
      <w:r>
        <w:t>Unresolved issues</w:t>
      </w:r>
    </w:p>
    <w:p w:rsidR="002F367C" w:rsidRDefault="002F367C" w:rsidP="00295E91">
      <w:pPr>
        <w:pStyle w:val="Numberbullet0"/>
        <w:numPr>
          <w:ilvl w:val="0"/>
          <w:numId w:val="34"/>
        </w:numPr>
      </w:pPr>
      <w:r>
        <w:t xml:space="preserve">There is still limited experience in the long term use of </w:t>
      </w:r>
      <w:proofErr w:type="spellStart"/>
      <w:r w:rsidR="005A1D2B">
        <w:t>omalizumab</w:t>
      </w:r>
      <w:proofErr w:type="spellEnd"/>
      <w:r w:rsidR="005A1D2B">
        <w:t xml:space="preserve"> (</w:t>
      </w:r>
      <w:proofErr w:type="spellStart"/>
      <w:r w:rsidR="005A1D2B">
        <w:t>rch</w:t>
      </w:r>
      <w:proofErr w:type="spellEnd"/>
      <w:r w:rsidR="005A1D2B">
        <w:t>)</w:t>
      </w:r>
      <w:r>
        <w:t xml:space="preserve"> and when/how to wean the dose. The XPORT study examined the risk of relapse after treatment with </w:t>
      </w:r>
      <w:proofErr w:type="spellStart"/>
      <w:r w:rsidR="005A1D2B">
        <w:t>omalizumab</w:t>
      </w:r>
      <w:proofErr w:type="spellEnd"/>
      <w:r w:rsidR="005A1D2B">
        <w:t xml:space="preserve"> (</w:t>
      </w:r>
      <w:proofErr w:type="spellStart"/>
      <w:r w:rsidR="005A1D2B">
        <w:t>rch</w:t>
      </w:r>
      <w:proofErr w:type="spellEnd"/>
      <w:r w:rsidR="005A1D2B">
        <w:t>)</w:t>
      </w:r>
      <w:r>
        <w:t xml:space="preserve"> or placebo was stopped.</w:t>
      </w:r>
      <w:r w:rsidR="006750C7">
        <w:t xml:space="preserve"> </w:t>
      </w:r>
      <w:r>
        <w:t xml:space="preserve">On average patients who took </w:t>
      </w:r>
      <w:proofErr w:type="spellStart"/>
      <w:r w:rsidR="005A1D2B">
        <w:t>omalizumab</w:t>
      </w:r>
      <w:proofErr w:type="spellEnd"/>
      <w:r w:rsidR="005A1D2B">
        <w:t xml:space="preserve"> (</w:t>
      </w:r>
      <w:proofErr w:type="spellStart"/>
      <w:r w:rsidR="005A1D2B">
        <w:t>rch</w:t>
      </w:r>
      <w:proofErr w:type="spellEnd"/>
      <w:r w:rsidR="005A1D2B">
        <w:t>)</w:t>
      </w:r>
      <w:r>
        <w:t xml:space="preserve"> had less exacerbations than those treated with placebo. However a subgroup of patients had more exacerbations. It is unknown how </w:t>
      </w:r>
      <w:proofErr w:type="spellStart"/>
      <w:r w:rsidR="005A1D2B">
        <w:t>omalizumab</w:t>
      </w:r>
      <w:proofErr w:type="spellEnd"/>
      <w:r w:rsidR="005A1D2B">
        <w:t xml:space="preserve"> (</w:t>
      </w:r>
      <w:proofErr w:type="spellStart"/>
      <w:r w:rsidR="005A1D2B">
        <w:t>rch</w:t>
      </w:r>
      <w:proofErr w:type="spellEnd"/>
      <w:r w:rsidR="005A1D2B">
        <w:t>)</w:t>
      </w:r>
      <w:r>
        <w:t xml:space="preserve"> compares to other asthma treatments after they are discontinued.</w:t>
      </w:r>
    </w:p>
    <w:p w:rsidR="002F367C" w:rsidRDefault="002F367C" w:rsidP="00295E91">
      <w:pPr>
        <w:pStyle w:val="Numberbullet0"/>
        <w:numPr>
          <w:ilvl w:val="0"/>
          <w:numId w:val="34"/>
        </w:numPr>
      </w:pPr>
      <w:r>
        <w:t xml:space="preserve">Most participants in the clinical trials had very high </w:t>
      </w:r>
      <w:proofErr w:type="spellStart"/>
      <w:r>
        <w:t>IgE</w:t>
      </w:r>
      <w:proofErr w:type="spellEnd"/>
      <w:r>
        <w:t xml:space="preserve"> levels. In adults, the greatest benefit was shown with </w:t>
      </w:r>
      <w:proofErr w:type="spellStart"/>
      <w:r>
        <w:t>IgE</w:t>
      </w:r>
      <w:proofErr w:type="spellEnd"/>
      <w:r>
        <w:t xml:space="preserve"> levels &gt; 75</w:t>
      </w:r>
      <w:r w:rsidR="00295E91">
        <w:t xml:space="preserve"> </w:t>
      </w:r>
      <w:r>
        <w:t>IU/</w:t>
      </w:r>
      <w:proofErr w:type="spellStart"/>
      <w:r>
        <w:t>m</w:t>
      </w:r>
      <w:r w:rsidR="00295E91">
        <w:t>L</w:t>
      </w:r>
      <w:r>
        <w:t>.</w:t>
      </w:r>
      <w:proofErr w:type="spellEnd"/>
      <w:r w:rsidR="006750C7">
        <w:t xml:space="preserve"> </w:t>
      </w:r>
      <w:r>
        <w:t xml:space="preserve">In the EU </w:t>
      </w:r>
      <w:proofErr w:type="spellStart"/>
      <w:r>
        <w:t>SmP</w:t>
      </w:r>
      <w:r w:rsidR="00295E91">
        <w:t>C</w:t>
      </w:r>
      <w:proofErr w:type="spellEnd"/>
      <w:r>
        <w:t xml:space="preserve"> it states ‘</w:t>
      </w:r>
      <w:r w:rsidRPr="00295E91">
        <w:rPr>
          <w:i/>
        </w:rPr>
        <w:t xml:space="preserve">prescribing </w:t>
      </w:r>
      <w:r w:rsidRPr="00295E91">
        <w:rPr>
          <w:i/>
        </w:rPr>
        <w:lastRenderedPageBreak/>
        <w:t>physicians should ensure that children (6-12 years of age)</w:t>
      </w:r>
      <w:r w:rsidR="006750C7" w:rsidRPr="00295E91">
        <w:rPr>
          <w:i/>
        </w:rPr>
        <w:t xml:space="preserve"> </w:t>
      </w:r>
      <w:r w:rsidRPr="00295E91">
        <w:rPr>
          <w:i/>
        </w:rPr>
        <w:t xml:space="preserve">with </w:t>
      </w:r>
      <w:proofErr w:type="spellStart"/>
      <w:r w:rsidRPr="00295E91">
        <w:rPr>
          <w:i/>
        </w:rPr>
        <w:t>IgE</w:t>
      </w:r>
      <w:proofErr w:type="spellEnd"/>
      <w:r w:rsidRPr="00295E91">
        <w:rPr>
          <w:i/>
        </w:rPr>
        <w:t xml:space="preserve"> levels &lt; 200</w:t>
      </w:r>
      <w:r w:rsidR="00295E91" w:rsidRPr="00295E91">
        <w:rPr>
          <w:i/>
        </w:rPr>
        <w:t xml:space="preserve"> </w:t>
      </w:r>
      <w:r w:rsidRPr="00295E91">
        <w:rPr>
          <w:i/>
        </w:rPr>
        <w:t>IU/m</w:t>
      </w:r>
      <w:r w:rsidR="00295E91" w:rsidRPr="00295E91">
        <w:rPr>
          <w:i/>
        </w:rPr>
        <w:t>L</w:t>
      </w:r>
      <w:r w:rsidRPr="00295E91">
        <w:rPr>
          <w:i/>
        </w:rPr>
        <w:t xml:space="preserve"> have unequivocal in vitro reactivity (RAST) to a perennial allergen before starting therapy</w:t>
      </w:r>
      <w:r w:rsidR="006750C7">
        <w:t xml:space="preserve"> </w:t>
      </w:r>
      <w:r>
        <w:t xml:space="preserve">(however the evidence for this is not clear). Should an </w:t>
      </w:r>
      <w:proofErr w:type="spellStart"/>
      <w:r>
        <w:t>IgE</w:t>
      </w:r>
      <w:proofErr w:type="spellEnd"/>
      <w:r>
        <w:t xml:space="preserve"> level </w:t>
      </w:r>
      <w:r w:rsidR="00295E91">
        <w:t xml:space="preserve">be specified </w:t>
      </w:r>
      <w:r>
        <w:t xml:space="preserve">in the indications or include a statement such as in the EU </w:t>
      </w:r>
      <w:proofErr w:type="spellStart"/>
      <w:r>
        <w:t>SmP</w:t>
      </w:r>
      <w:r w:rsidR="00295E91">
        <w:t>C</w:t>
      </w:r>
      <w:proofErr w:type="spellEnd"/>
      <w:r>
        <w:t xml:space="preserve"> in the Australian PI?</w:t>
      </w:r>
    </w:p>
    <w:p w:rsidR="002F367C" w:rsidRDefault="002F367C" w:rsidP="00295E91">
      <w:pPr>
        <w:pStyle w:val="Heading4"/>
      </w:pPr>
      <w:r>
        <w:t xml:space="preserve">Outstanding issues for the </w:t>
      </w:r>
      <w:r w:rsidR="00543D3D">
        <w:t>d</w:t>
      </w:r>
      <w:r>
        <w:t>elegates</w:t>
      </w:r>
    </w:p>
    <w:p w:rsidR="002F367C" w:rsidRDefault="002F367C" w:rsidP="00295E91">
      <w:pPr>
        <w:pStyle w:val="Numberbullet0"/>
        <w:numPr>
          <w:ilvl w:val="0"/>
          <w:numId w:val="35"/>
        </w:numPr>
      </w:pPr>
      <w:r>
        <w:t>Awaiting a reply from the sponsor regarding the progress of the application with the FDA.</w:t>
      </w:r>
    </w:p>
    <w:p w:rsidR="002F367C" w:rsidRDefault="002F367C" w:rsidP="00295E91">
      <w:pPr>
        <w:pStyle w:val="Numberbullet0"/>
        <w:numPr>
          <w:ilvl w:val="0"/>
          <w:numId w:val="35"/>
        </w:numPr>
      </w:pPr>
      <w:r>
        <w:t>Conditions of registration</w:t>
      </w:r>
    </w:p>
    <w:p w:rsidR="002F367C" w:rsidRDefault="008C1E17" w:rsidP="002F367C">
      <w:pPr>
        <w:rPr>
          <w:rFonts w:asciiTheme="minorHAnsi" w:hAnsiTheme="minorHAnsi"/>
        </w:rPr>
      </w:pPr>
      <w:r>
        <w:rPr>
          <w:rFonts w:asciiTheme="minorHAnsi" w:hAnsiTheme="minorHAnsi"/>
        </w:rPr>
        <w:t>‘</w:t>
      </w:r>
      <w:r w:rsidR="002F367C">
        <w:rPr>
          <w:rFonts w:asciiTheme="minorHAnsi" w:hAnsiTheme="minorHAnsi"/>
        </w:rPr>
        <w:t xml:space="preserve">The European Risk management Plan for XOLAIR (version 10.0, dated 5 March 2015), as qualified by the Australian Specific Annex (version 6.0, dated 22 </w:t>
      </w:r>
      <w:r w:rsidR="00295E91">
        <w:rPr>
          <w:rFonts w:asciiTheme="minorHAnsi" w:hAnsiTheme="minorHAnsi"/>
        </w:rPr>
        <w:t>O</w:t>
      </w:r>
      <w:r w:rsidR="002F367C">
        <w:rPr>
          <w:rFonts w:asciiTheme="minorHAnsi" w:hAnsiTheme="minorHAnsi"/>
        </w:rPr>
        <w:t>ctober 2015), must be implemented</w:t>
      </w:r>
      <w:r>
        <w:rPr>
          <w:rFonts w:asciiTheme="minorHAnsi" w:hAnsiTheme="minorHAnsi"/>
        </w:rPr>
        <w:t>’</w:t>
      </w:r>
      <w:r w:rsidR="002F367C">
        <w:rPr>
          <w:rFonts w:asciiTheme="minorHAnsi" w:hAnsiTheme="minorHAnsi"/>
        </w:rPr>
        <w:t xml:space="preserve"> – provided there are no further comments from the ACPM</w:t>
      </w:r>
      <w:r w:rsidR="00295E91">
        <w:rPr>
          <w:rFonts w:asciiTheme="minorHAnsi" w:hAnsiTheme="minorHAnsi"/>
        </w:rPr>
        <w:t>.</w:t>
      </w:r>
    </w:p>
    <w:p w:rsidR="002F367C" w:rsidRPr="00F146DB" w:rsidRDefault="007904F2" w:rsidP="002F367C">
      <w:pPr>
        <w:rPr>
          <w:rFonts w:asciiTheme="minorHAnsi" w:hAnsiTheme="minorHAnsi"/>
          <w:b/>
        </w:rPr>
      </w:pPr>
      <w:r w:rsidRPr="00F146DB">
        <w:rPr>
          <w:rFonts w:asciiTheme="minorHAnsi" w:hAnsiTheme="minorHAnsi"/>
          <w:b/>
        </w:rPr>
        <w:t>Summary of i</w:t>
      </w:r>
      <w:r w:rsidR="002F367C" w:rsidRPr="00F146DB">
        <w:rPr>
          <w:rFonts w:asciiTheme="minorHAnsi" w:hAnsiTheme="minorHAnsi"/>
          <w:b/>
        </w:rPr>
        <w:t>ssues</w:t>
      </w:r>
    </w:p>
    <w:p w:rsidR="002F367C" w:rsidRPr="00F146DB" w:rsidRDefault="002F367C" w:rsidP="00295E91">
      <w:pPr>
        <w:pStyle w:val="Numberbullet0"/>
        <w:numPr>
          <w:ilvl w:val="0"/>
          <w:numId w:val="28"/>
        </w:numPr>
      </w:pPr>
      <w:r w:rsidRPr="00F146DB">
        <w:t>This medicine has been approved in Europe but not in the USA or Canada for use in children age 6</w:t>
      </w:r>
      <w:r w:rsidR="00295E91" w:rsidRPr="00F146DB">
        <w:t xml:space="preserve"> to </w:t>
      </w:r>
      <w:r w:rsidRPr="00F146DB">
        <w:t>11 years.</w:t>
      </w:r>
    </w:p>
    <w:p w:rsidR="002F367C" w:rsidRPr="00295E91" w:rsidRDefault="002F367C" w:rsidP="00295E91">
      <w:pPr>
        <w:pStyle w:val="Numberbullet0"/>
      </w:pPr>
      <w:r w:rsidRPr="00295E91">
        <w:t>Efficacy has been established for a reduction in exacerbations and reduction in ICS dose but not spirometry</w:t>
      </w:r>
    </w:p>
    <w:p w:rsidR="00E24628" w:rsidRDefault="002F367C" w:rsidP="00295E91">
      <w:pPr>
        <w:pStyle w:val="Numberbullet0"/>
      </w:pPr>
      <w:r w:rsidRPr="00295E91">
        <w:t>There is limited but accumulating long term safety data in children</w:t>
      </w:r>
      <w:r w:rsidR="00E24628">
        <w:t>.</w:t>
      </w:r>
    </w:p>
    <w:p w:rsidR="00D23139" w:rsidRDefault="00D23139" w:rsidP="00D23139">
      <w:pPr>
        <w:pStyle w:val="Heading4"/>
      </w:pPr>
      <w:r w:rsidRPr="00D23139">
        <w:t>Proposed action</w:t>
      </w:r>
    </w:p>
    <w:p w:rsidR="002F367C" w:rsidRPr="002F367C" w:rsidRDefault="00295E91" w:rsidP="002F367C">
      <w:r>
        <w:rPr>
          <w:rFonts w:asciiTheme="minorHAnsi" w:hAnsiTheme="minorHAnsi"/>
          <w:bCs/>
        </w:rPr>
        <w:t>The Delegate had</w:t>
      </w:r>
      <w:r w:rsidR="002F367C">
        <w:rPr>
          <w:rFonts w:asciiTheme="minorHAnsi" w:hAnsiTheme="minorHAnsi"/>
          <w:bCs/>
        </w:rPr>
        <w:t xml:space="preserve"> no reason to say, at this time, that the application for </w:t>
      </w:r>
      <w:r>
        <w:rPr>
          <w:rFonts w:asciiTheme="minorHAnsi" w:hAnsiTheme="minorHAnsi"/>
          <w:bCs/>
        </w:rPr>
        <w:t>Xolair</w:t>
      </w:r>
      <w:r w:rsidR="002F367C">
        <w:rPr>
          <w:rFonts w:asciiTheme="minorHAnsi" w:hAnsiTheme="minorHAnsi"/>
          <w:bCs/>
        </w:rPr>
        <w:t xml:space="preserve"> should not be approved for registration.</w:t>
      </w:r>
    </w:p>
    <w:p w:rsidR="00D23139" w:rsidRPr="00295E91" w:rsidRDefault="00D23139" w:rsidP="00295E91">
      <w:pPr>
        <w:pStyle w:val="Heading4"/>
      </w:pPr>
      <w:r w:rsidRPr="00D23139">
        <w:t>Request for ACPM advice</w:t>
      </w:r>
    </w:p>
    <w:p w:rsidR="002F367C" w:rsidRDefault="002F367C" w:rsidP="00295E91">
      <w:pPr>
        <w:pStyle w:val="ListBullet"/>
      </w:pPr>
      <w:r>
        <w:t>Please comment on the discrepant results for exacerbations, ICS dose reductions, ED presentations, symptom scores and use of rescue medications in the clinical trials?</w:t>
      </w:r>
      <w:r w:rsidR="006750C7">
        <w:t xml:space="preserve"> </w:t>
      </w:r>
      <w:r>
        <w:t>What are the most important outcomes in children?</w:t>
      </w:r>
    </w:p>
    <w:p w:rsidR="002F367C" w:rsidRDefault="002F367C" w:rsidP="00295E91">
      <w:pPr>
        <w:pStyle w:val="ListBullet"/>
      </w:pPr>
      <w:r>
        <w:t xml:space="preserve">Should the indications specify an </w:t>
      </w:r>
      <w:proofErr w:type="spellStart"/>
      <w:r>
        <w:t>IgE</w:t>
      </w:r>
      <w:proofErr w:type="spellEnd"/>
      <w:r>
        <w:t xml:space="preserve"> level (</w:t>
      </w:r>
      <w:r w:rsidR="00295E91">
        <w:t xml:space="preserve">for example, </w:t>
      </w:r>
      <w:r>
        <w:t>over 30</w:t>
      </w:r>
      <w:r w:rsidR="00295E91">
        <w:t xml:space="preserve"> </w:t>
      </w:r>
      <w:r>
        <w:t>IU/m</w:t>
      </w:r>
      <w:r w:rsidR="00295E91">
        <w:t>L</w:t>
      </w:r>
      <w:r>
        <w:t xml:space="preserve"> or 75 IU/m</w:t>
      </w:r>
      <w:r w:rsidR="00295E91">
        <w:t>L</w:t>
      </w:r>
      <w:r>
        <w:t>)?</w:t>
      </w:r>
    </w:p>
    <w:p w:rsidR="002F367C" w:rsidRDefault="002F367C" w:rsidP="00295E91">
      <w:pPr>
        <w:pStyle w:val="ListBullet"/>
      </w:pPr>
      <w:r>
        <w:t>Is there a clinical need for this medication?</w:t>
      </w:r>
    </w:p>
    <w:p w:rsidR="002F367C" w:rsidRDefault="002F367C" w:rsidP="00295E91">
      <w:pPr>
        <w:pStyle w:val="ListBullet"/>
      </w:pPr>
      <w:r>
        <w:t xml:space="preserve">Where would </w:t>
      </w:r>
      <w:proofErr w:type="spellStart"/>
      <w:r w:rsidR="005A1D2B">
        <w:t>omalizumab</w:t>
      </w:r>
      <w:proofErr w:type="spellEnd"/>
      <w:r w:rsidR="005A1D2B">
        <w:t xml:space="preserve"> (</w:t>
      </w:r>
      <w:proofErr w:type="spellStart"/>
      <w:r w:rsidR="005A1D2B">
        <w:t>rch</w:t>
      </w:r>
      <w:proofErr w:type="spellEnd"/>
      <w:r w:rsidR="005A1D2B">
        <w:t>)</w:t>
      </w:r>
      <w:r>
        <w:t xml:space="preserve"> be positioned in a treatment algorithm? Are further studies needed comparing it to these agents needed before it is registered? </w:t>
      </w:r>
    </w:p>
    <w:p w:rsidR="002F367C" w:rsidRDefault="002F367C" w:rsidP="00295E91">
      <w:pPr>
        <w:pStyle w:val="ListBullet"/>
      </w:pPr>
      <w:r>
        <w:t>Should prescription be limited to physicians or paediatricians?</w:t>
      </w:r>
    </w:p>
    <w:p w:rsidR="002F367C" w:rsidRPr="002F367C" w:rsidRDefault="002F367C" w:rsidP="00295E91">
      <w:pPr>
        <w:pStyle w:val="ListBullet"/>
      </w:pPr>
      <w:r>
        <w:t>The committee is (also) requested to provide advice on any other issues that it thinks may be relevant to a decision on whether or not to approve this application.</w:t>
      </w:r>
    </w:p>
    <w:p w:rsidR="00436AD3" w:rsidRPr="00951939" w:rsidRDefault="00F90707" w:rsidP="00F90707">
      <w:pPr>
        <w:pStyle w:val="Heading4"/>
      </w:pPr>
      <w:r w:rsidRPr="00951939">
        <w:t>Previous application and how issues have been addressed</w:t>
      </w:r>
    </w:p>
    <w:p w:rsidR="00436AD3" w:rsidRPr="00F90707" w:rsidRDefault="00F90707" w:rsidP="00F90707">
      <w:r w:rsidRPr="00951939">
        <w:t>Summary of issues raised by the previous clinical evaluator and Delegate (and how these have been addressed by the sponsor are shown in Table 2</w:t>
      </w:r>
      <w:r w:rsidR="00951939" w:rsidRPr="00951939">
        <w:t>5</w:t>
      </w:r>
      <w:r w:rsidRPr="00951939">
        <w:t>.</w:t>
      </w:r>
    </w:p>
    <w:p w:rsidR="00436AD3" w:rsidRDefault="00436AD3" w:rsidP="00543D3D">
      <w:pPr>
        <w:pStyle w:val="TableTitle"/>
        <w:pageBreakBefore/>
        <w:rPr>
          <w:rFonts w:asciiTheme="minorHAnsi" w:hAnsiTheme="minorHAnsi"/>
        </w:rPr>
      </w:pPr>
      <w:r>
        <w:lastRenderedPageBreak/>
        <w:t xml:space="preserve">Table </w:t>
      </w:r>
      <w:r w:rsidR="00F90707">
        <w:t>2</w:t>
      </w:r>
      <w:r w:rsidR="00951939">
        <w:t>5</w:t>
      </w:r>
      <w:r w:rsidR="00F90707">
        <w:t>: Summary of the TGA’s issues with the previous application and how these have been addressed in the current application</w:t>
      </w:r>
    </w:p>
    <w:tbl>
      <w:tblPr>
        <w:tblStyle w:val="TableTGAblue"/>
        <w:tblW w:w="0" w:type="auto"/>
        <w:tblLook w:val="04A0" w:firstRow="1" w:lastRow="0" w:firstColumn="1" w:lastColumn="0" w:noHBand="0" w:noVBand="1"/>
      </w:tblPr>
      <w:tblGrid>
        <w:gridCol w:w="3936"/>
        <w:gridCol w:w="4677"/>
      </w:tblGrid>
      <w:tr w:rsidR="00F90707" w:rsidTr="00543D3D">
        <w:trPr>
          <w:cnfStyle w:val="100000000000" w:firstRow="1" w:lastRow="0" w:firstColumn="0" w:lastColumn="0" w:oddVBand="0" w:evenVBand="0" w:oddHBand="0" w:evenHBand="0" w:firstRowFirstColumn="0" w:firstRowLastColumn="0" w:lastRowFirstColumn="0" w:lastRowLastColumn="0"/>
        </w:trPr>
        <w:tc>
          <w:tcPr>
            <w:tcW w:w="3936" w:type="dxa"/>
          </w:tcPr>
          <w:p w:rsidR="00F90707" w:rsidRPr="00F90707" w:rsidRDefault="00F90707" w:rsidP="00543D3D">
            <w:r w:rsidRPr="00F90707">
              <w:t>Issue</w:t>
            </w:r>
          </w:p>
        </w:tc>
        <w:tc>
          <w:tcPr>
            <w:tcW w:w="4677" w:type="dxa"/>
          </w:tcPr>
          <w:p w:rsidR="00F90707" w:rsidRPr="00F90707" w:rsidRDefault="00F90707" w:rsidP="00543D3D">
            <w:pPr>
              <w:rPr>
                <w:rFonts w:eastAsia="MS Mincho"/>
                <w:lang w:eastAsia="ja-JP"/>
              </w:rPr>
            </w:pPr>
            <w:r w:rsidRPr="00F90707">
              <w:rPr>
                <w:rFonts w:eastAsia="MS Mincho"/>
                <w:lang w:eastAsia="ja-JP"/>
              </w:rPr>
              <w:t>How it has been addressed</w:t>
            </w:r>
          </w:p>
        </w:tc>
      </w:tr>
      <w:tr w:rsidR="00436AD3" w:rsidTr="00543D3D">
        <w:tc>
          <w:tcPr>
            <w:tcW w:w="3936" w:type="dxa"/>
          </w:tcPr>
          <w:p w:rsidR="00436AD3" w:rsidRPr="00F90707" w:rsidRDefault="00436AD3" w:rsidP="00543D3D">
            <w:pPr>
              <w:rPr>
                <w:rFonts w:eastAsia="MS Mincho"/>
                <w:lang w:eastAsia="ja-JP"/>
              </w:rPr>
            </w:pPr>
            <w:r w:rsidRPr="00F90707">
              <w:t>Efficacy</w:t>
            </w:r>
          </w:p>
          <w:p w:rsidR="00436AD3" w:rsidRPr="00F90707" w:rsidRDefault="00436AD3" w:rsidP="00543D3D">
            <w:r w:rsidRPr="00F90707">
              <w:t>Would it be better to compare the number of exacerbations per treatment arm or number of subjects with exacerbations rather than the rate</w:t>
            </w:r>
          </w:p>
          <w:p w:rsidR="00436AD3" w:rsidRPr="00F90707" w:rsidRDefault="00436AD3" w:rsidP="00543D3D">
            <w:pPr>
              <w:rPr>
                <w:rFonts w:eastAsia="MS Mincho"/>
                <w:lang w:eastAsia="ja-JP"/>
              </w:rPr>
            </w:pPr>
            <w:r w:rsidRPr="00F90707">
              <w:t>Relevance of secondary endpoints when the clinical significance of the primary endpoint was open to interpretation</w:t>
            </w:r>
          </w:p>
        </w:tc>
        <w:tc>
          <w:tcPr>
            <w:tcW w:w="4677" w:type="dxa"/>
          </w:tcPr>
          <w:p w:rsidR="00436AD3" w:rsidRPr="00F90707" w:rsidRDefault="00436AD3" w:rsidP="00543D3D">
            <w:pPr>
              <w:rPr>
                <w:rFonts w:eastAsia="MS Mincho"/>
                <w:lang w:eastAsia="ja-JP"/>
              </w:rPr>
            </w:pPr>
          </w:p>
          <w:p w:rsidR="00436AD3" w:rsidRPr="00F90707" w:rsidRDefault="00436AD3" w:rsidP="00543D3D">
            <w:r w:rsidRPr="00F90707">
              <w:t>The sponsor has explained the rationale of using exacerbation rate as in line with the efficacy outcome in adults.</w:t>
            </w:r>
          </w:p>
          <w:p w:rsidR="00436AD3" w:rsidRPr="00F90707" w:rsidRDefault="00436AD3" w:rsidP="00543D3D"/>
          <w:p w:rsidR="00436AD3" w:rsidRPr="00F90707" w:rsidRDefault="00436AD3" w:rsidP="00543D3D">
            <w:pPr>
              <w:rPr>
                <w:rFonts w:eastAsia="MS Mincho"/>
                <w:lang w:eastAsia="ja-JP"/>
              </w:rPr>
            </w:pPr>
            <w:r w:rsidRPr="00F90707">
              <w:t xml:space="preserve">The sponsor has argued that a 50% reduction in asthma admissions is clinically significant. </w:t>
            </w:r>
          </w:p>
        </w:tc>
      </w:tr>
      <w:tr w:rsidR="00436AD3" w:rsidTr="00543D3D">
        <w:tc>
          <w:tcPr>
            <w:tcW w:w="3936" w:type="dxa"/>
            <w:hideMark/>
          </w:tcPr>
          <w:p w:rsidR="00436AD3" w:rsidRPr="00F90707" w:rsidRDefault="00436AD3" w:rsidP="00543D3D">
            <w:pPr>
              <w:rPr>
                <w:rFonts w:eastAsia="MS Mincho"/>
                <w:lang w:eastAsia="ja-JP"/>
              </w:rPr>
            </w:pPr>
            <w:r w:rsidRPr="00F90707">
              <w:t>Indication</w:t>
            </w:r>
          </w:p>
        </w:tc>
        <w:tc>
          <w:tcPr>
            <w:tcW w:w="4677" w:type="dxa"/>
            <w:hideMark/>
          </w:tcPr>
          <w:p w:rsidR="00436AD3" w:rsidRPr="00F90707" w:rsidRDefault="00436AD3" w:rsidP="00543D3D">
            <w:pPr>
              <w:rPr>
                <w:rFonts w:eastAsia="MS Mincho"/>
                <w:lang w:eastAsia="ja-JP"/>
              </w:rPr>
            </w:pPr>
            <w:r w:rsidRPr="00F90707">
              <w:t>The sponsor has narrowed the proposed indications to include only children with severe asthma</w:t>
            </w:r>
          </w:p>
        </w:tc>
      </w:tr>
      <w:tr w:rsidR="00436AD3" w:rsidTr="00543D3D">
        <w:tc>
          <w:tcPr>
            <w:tcW w:w="3936" w:type="dxa"/>
            <w:hideMark/>
          </w:tcPr>
          <w:p w:rsidR="00436AD3" w:rsidRPr="00F90707" w:rsidRDefault="00436AD3" w:rsidP="00543D3D">
            <w:pPr>
              <w:rPr>
                <w:rFonts w:eastAsia="MS Mincho"/>
                <w:lang w:eastAsia="ja-JP"/>
              </w:rPr>
            </w:pPr>
            <w:r w:rsidRPr="00F90707">
              <w:t>Safety</w:t>
            </w:r>
          </w:p>
          <w:p w:rsidR="00436AD3" w:rsidRPr="00F90707" w:rsidRDefault="00436AD3" w:rsidP="00543D3D">
            <w:pPr>
              <w:rPr>
                <w:rFonts w:eastAsia="MS Mincho"/>
                <w:lang w:eastAsia="ja-JP"/>
              </w:rPr>
            </w:pPr>
            <w:r w:rsidRPr="00F90707">
              <w:t>Has anaphylaxis been adequately addressed; should previous anaphylaxis be included as a contraindication</w:t>
            </w:r>
          </w:p>
        </w:tc>
        <w:tc>
          <w:tcPr>
            <w:tcW w:w="4677" w:type="dxa"/>
          </w:tcPr>
          <w:p w:rsidR="00436AD3" w:rsidRPr="00F90707" w:rsidRDefault="00436AD3" w:rsidP="00543D3D">
            <w:pPr>
              <w:rPr>
                <w:rFonts w:eastAsia="MS Mincho"/>
                <w:lang w:eastAsia="ja-JP"/>
              </w:rPr>
            </w:pPr>
            <w:r w:rsidRPr="00F90707">
              <w:t>The sponsor has submitted additional information in relation to anaphylaxis.</w:t>
            </w:r>
            <w:r w:rsidR="006750C7" w:rsidRPr="00F90707">
              <w:t xml:space="preserve"> </w:t>
            </w:r>
            <w:r w:rsidRPr="00F90707">
              <w:t>The sponsor considers listing previous anaphylaxis as a contraindication to be unnecessary due to the infrequent nature of this condition.</w:t>
            </w:r>
          </w:p>
        </w:tc>
      </w:tr>
      <w:tr w:rsidR="00436AD3" w:rsidTr="00543D3D">
        <w:tc>
          <w:tcPr>
            <w:tcW w:w="3936" w:type="dxa"/>
            <w:hideMark/>
          </w:tcPr>
          <w:p w:rsidR="00436AD3" w:rsidRPr="00F90707" w:rsidRDefault="00436AD3" w:rsidP="00543D3D">
            <w:pPr>
              <w:rPr>
                <w:rFonts w:eastAsia="MS Mincho"/>
                <w:lang w:eastAsia="ja-JP"/>
              </w:rPr>
            </w:pPr>
            <w:r w:rsidRPr="00F90707">
              <w:t>Safety</w:t>
            </w:r>
            <w:r w:rsidR="00F90707">
              <w:t>.</w:t>
            </w:r>
            <w:r w:rsidRPr="00F90707">
              <w:t xml:space="preserve"> Malignancy</w:t>
            </w:r>
          </w:p>
        </w:tc>
        <w:tc>
          <w:tcPr>
            <w:tcW w:w="4677" w:type="dxa"/>
            <w:hideMark/>
          </w:tcPr>
          <w:p w:rsidR="00436AD3" w:rsidRPr="00F90707" w:rsidRDefault="00436AD3" w:rsidP="00543D3D">
            <w:pPr>
              <w:rPr>
                <w:rFonts w:eastAsia="MS Mincho"/>
                <w:lang w:eastAsia="ja-JP"/>
              </w:rPr>
            </w:pPr>
            <w:r w:rsidRPr="00F90707">
              <w:t>This has been addressed in a previous submission</w:t>
            </w:r>
            <w:r w:rsidR="00F90707">
              <w:rPr>
                <w:vertAlign w:val="superscript"/>
              </w:rPr>
              <w:t>.</w:t>
            </w:r>
          </w:p>
        </w:tc>
      </w:tr>
      <w:tr w:rsidR="00436AD3" w:rsidTr="00543D3D">
        <w:tc>
          <w:tcPr>
            <w:tcW w:w="3936" w:type="dxa"/>
            <w:hideMark/>
          </w:tcPr>
          <w:p w:rsidR="00436AD3" w:rsidRPr="00F90707" w:rsidRDefault="00436AD3" w:rsidP="00543D3D">
            <w:pPr>
              <w:rPr>
                <w:rFonts w:eastAsia="MS Mincho"/>
                <w:lang w:eastAsia="ja-JP"/>
              </w:rPr>
            </w:pPr>
            <w:r w:rsidRPr="00F90707">
              <w:t>Safety</w:t>
            </w:r>
            <w:r w:rsidR="00F90707">
              <w:t xml:space="preserve">. </w:t>
            </w:r>
            <w:r w:rsidR="00F90707" w:rsidRPr="00F90707">
              <w:t>C</w:t>
            </w:r>
            <w:r w:rsidRPr="00F90707">
              <w:t>ardiovascular/cerebrovascular events</w:t>
            </w:r>
          </w:p>
        </w:tc>
        <w:tc>
          <w:tcPr>
            <w:tcW w:w="4677" w:type="dxa"/>
            <w:hideMark/>
          </w:tcPr>
          <w:p w:rsidR="00436AD3" w:rsidRPr="00F90707" w:rsidRDefault="00436AD3" w:rsidP="00543D3D">
            <w:pPr>
              <w:rPr>
                <w:rFonts w:eastAsia="MS Mincho"/>
                <w:lang w:eastAsia="ja-JP"/>
              </w:rPr>
            </w:pPr>
            <w:r w:rsidRPr="00F90707">
              <w:t>Final results from EXCELS revealed an increased</w:t>
            </w:r>
          </w:p>
          <w:p w:rsidR="00436AD3" w:rsidRPr="00F90707" w:rsidRDefault="00436AD3" w:rsidP="00543D3D">
            <w:r w:rsidRPr="00F90707">
              <w:t xml:space="preserve">Arterial Thromboembolism rate in the </w:t>
            </w:r>
            <w:proofErr w:type="spellStart"/>
            <w:r w:rsidR="005A1D2B">
              <w:t>omalizumab</w:t>
            </w:r>
            <w:proofErr w:type="spellEnd"/>
            <w:r w:rsidR="005A1D2B">
              <w:t xml:space="preserve"> (</w:t>
            </w:r>
            <w:proofErr w:type="spellStart"/>
            <w:r w:rsidR="005A1D2B">
              <w:t>rch</w:t>
            </w:r>
            <w:proofErr w:type="spellEnd"/>
            <w:r w:rsidR="005A1D2B">
              <w:t>)</w:t>
            </w:r>
            <w:r w:rsidRPr="00F90707">
              <w:t xml:space="preserve"> cohort HR 1.32 (95% CI: 0.91, 1.91) when adjusted for confounders and risks factors. Although there was no consistent evidence of an association between </w:t>
            </w:r>
            <w:proofErr w:type="spellStart"/>
            <w:r w:rsidR="005A1D2B">
              <w:t>omalizumab</w:t>
            </w:r>
            <w:proofErr w:type="spellEnd"/>
            <w:r w:rsidR="005A1D2B">
              <w:t xml:space="preserve"> (</w:t>
            </w:r>
            <w:proofErr w:type="spellStart"/>
            <w:r w:rsidR="005A1D2B">
              <w:t>rch</w:t>
            </w:r>
            <w:proofErr w:type="spellEnd"/>
            <w:r w:rsidR="005A1D2B">
              <w:t>)</w:t>
            </w:r>
            <w:r w:rsidRPr="00F90707">
              <w:t xml:space="preserve"> use and risk of ATEs, the confidence intervals were wide and could not definitively exclude an elevated risk. Similar results were found when the results of clinical trials were pooled.</w:t>
            </w:r>
          </w:p>
          <w:p w:rsidR="00436AD3" w:rsidRPr="00F90707" w:rsidRDefault="00436AD3" w:rsidP="00543D3D">
            <w:pPr>
              <w:rPr>
                <w:rFonts w:eastAsia="MS Mincho"/>
                <w:lang w:eastAsia="ja-JP"/>
              </w:rPr>
            </w:pPr>
            <w:r w:rsidRPr="00F90707">
              <w:t>The EXCELS trial did not enrol children. There have been no reports of ATE in children.</w:t>
            </w:r>
          </w:p>
        </w:tc>
      </w:tr>
      <w:tr w:rsidR="00436AD3" w:rsidTr="00543D3D">
        <w:tc>
          <w:tcPr>
            <w:tcW w:w="3936" w:type="dxa"/>
            <w:hideMark/>
          </w:tcPr>
          <w:p w:rsidR="00436AD3" w:rsidRPr="00F90707" w:rsidRDefault="00436AD3" w:rsidP="00543D3D">
            <w:pPr>
              <w:rPr>
                <w:rFonts w:eastAsia="MS Mincho"/>
                <w:lang w:eastAsia="ja-JP"/>
              </w:rPr>
            </w:pPr>
            <w:r w:rsidRPr="00F90707">
              <w:t>Dosing rationale</w:t>
            </w:r>
          </w:p>
        </w:tc>
        <w:tc>
          <w:tcPr>
            <w:tcW w:w="4677" w:type="dxa"/>
            <w:hideMark/>
          </w:tcPr>
          <w:p w:rsidR="00436AD3" w:rsidRPr="00F90707" w:rsidRDefault="00436AD3" w:rsidP="00543D3D">
            <w:pPr>
              <w:rPr>
                <w:rFonts w:eastAsia="MS Mincho"/>
                <w:lang w:eastAsia="ja-JP"/>
              </w:rPr>
            </w:pPr>
            <w:r w:rsidRPr="00F90707">
              <w:t xml:space="preserve">The dosing schemes proposed are the same as those used in clinical </w:t>
            </w:r>
            <w:r w:rsidR="00F90707">
              <w:t>Studies</w:t>
            </w:r>
            <w:r w:rsidRPr="00F90707">
              <w:t xml:space="preserve"> IA050 and B1301.</w:t>
            </w:r>
          </w:p>
          <w:p w:rsidR="00436AD3" w:rsidRPr="00F90707" w:rsidRDefault="00436AD3" w:rsidP="00543D3D">
            <w:pPr>
              <w:rPr>
                <w:rFonts w:eastAsia="MS Mincho"/>
                <w:lang w:eastAsia="ja-JP"/>
              </w:rPr>
            </w:pPr>
            <w:r w:rsidRPr="00F90707">
              <w:t xml:space="preserve">Measured concentrations of </w:t>
            </w:r>
            <w:proofErr w:type="spellStart"/>
            <w:r w:rsidR="005A1D2B">
              <w:t>omalizumab</w:t>
            </w:r>
            <w:proofErr w:type="spellEnd"/>
            <w:r w:rsidR="005A1D2B">
              <w:t xml:space="preserve"> (</w:t>
            </w:r>
            <w:proofErr w:type="spellStart"/>
            <w:r w:rsidR="005A1D2B">
              <w:t>rch</w:t>
            </w:r>
            <w:proofErr w:type="spellEnd"/>
            <w:r w:rsidR="005A1D2B">
              <w:t>)</w:t>
            </w:r>
            <w:r w:rsidRPr="00F90707">
              <w:t xml:space="preserve">, free and total </w:t>
            </w:r>
            <w:proofErr w:type="spellStart"/>
            <w:r w:rsidRPr="00F90707">
              <w:t>IgE</w:t>
            </w:r>
            <w:proofErr w:type="spellEnd"/>
            <w:r w:rsidRPr="00F90707">
              <w:t xml:space="preserve"> as well as PK/</w:t>
            </w:r>
            <w:proofErr w:type="spellStart"/>
            <w:r w:rsidRPr="00F90707">
              <w:t>IgE</w:t>
            </w:r>
            <w:proofErr w:type="spellEnd"/>
            <w:r w:rsidRPr="00F90707">
              <w:t>-</w:t>
            </w:r>
            <w:r w:rsidRPr="00F90707">
              <w:lastRenderedPageBreak/>
              <w:t>PD modelling results demonstrated that in both paediatric and adult patients, the main determinants of fre</w:t>
            </w:r>
            <w:r w:rsidR="00543D3D">
              <w:t xml:space="preserve">e </w:t>
            </w:r>
            <w:proofErr w:type="spellStart"/>
            <w:r w:rsidR="00543D3D">
              <w:t>IgE</w:t>
            </w:r>
            <w:proofErr w:type="spellEnd"/>
            <w:r w:rsidR="00543D3D">
              <w:t xml:space="preserve"> are weight and serum </w:t>
            </w:r>
            <w:proofErr w:type="spellStart"/>
            <w:r w:rsidR="00543D3D">
              <w:t>IgE</w:t>
            </w:r>
            <w:proofErr w:type="spellEnd"/>
            <w:r w:rsidR="00543D3D">
              <w:t>.</w:t>
            </w:r>
          </w:p>
        </w:tc>
      </w:tr>
    </w:tbl>
    <w:p w:rsidR="00436AD3" w:rsidRDefault="00436AD3" w:rsidP="00543D3D">
      <w:pPr>
        <w:pStyle w:val="TableDescription"/>
        <w:rPr>
          <w:rFonts w:eastAsia="MS Mincho"/>
          <w:lang w:eastAsia="ja-JP"/>
        </w:rPr>
      </w:pPr>
      <w:proofErr w:type="gramStart"/>
      <w:r>
        <w:lastRenderedPageBreak/>
        <w:t>An application to remove the warnings about malignancy.</w:t>
      </w:r>
      <w:proofErr w:type="gramEnd"/>
      <w:r>
        <w:t xml:space="preserve"> The concerns about malignancy originated at the time of registration in the USA when malignant neoplasms were observed in 0.5% (20/4127) </w:t>
      </w:r>
      <w:proofErr w:type="spellStart"/>
      <w:r w:rsidR="005A1D2B">
        <w:t>omalizumab</w:t>
      </w:r>
      <w:proofErr w:type="spellEnd"/>
      <w:r w:rsidR="005A1D2B">
        <w:t xml:space="preserve"> (</w:t>
      </w:r>
      <w:proofErr w:type="spellStart"/>
      <w:r w:rsidR="005A1D2B">
        <w:t>rch</w:t>
      </w:r>
      <w:proofErr w:type="spellEnd"/>
      <w:r w:rsidR="005A1D2B">
        <w:t>)</w:t>
      </w:r>
      <w:r>
        <w:t xml:space="preserve"> patients versus 0.2% (5/2236) placebo patients. A large 5 year observational study and a meta-analysis of primary malignancies across all Xolair clinical trials of greater than 8 weeks duration did not find an increased risk of malignancy associated with Xolair.</w:t>
      </w:r>
    </w:p>
    <w:p w:rsidR="00D23139" w:rsidRDefault="00D23139" w:rsidP="00D23139">
      <w:pPr>
        <w:pStyle w:val="Heading4"/>
      </w:pPr>
      <w:r w:rsidRPr="00D23139">
        <w:t xml:space="preserve">Response from </w:t>
      </w:r>
      <w:r w:rsidR="00F90707">
        <w:t>s</w:t>
      </w:r>
      <w:r w:rsidR="00543D3D">
        <w:t>ponsor</w:t>
      </w:r>
    </w:p>
    <w:p w:rsidR="00984666" w:rsidRPr="00984666" w:rsidRDefault="00984666" w:rsidP="00E61628">
      <w:r w:rsidRPr="00984666">
        <w:t xml:space="preserve">Novartis welcomes the Delegate’s recommendation to approve for the extension of the indications of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(Xolair) for use in asthma to include children aged 6</w:t>
      </w:r>
      <w:r w:rsidR="00F90707">
        <w:t xml:space="preserve"> to </w:t>
      </w:r>
      <w:r w:rsidRPr="00984666">
        <w:t xml:space="preserve">12 years and to amend the dosage table for some adult/adolescent patients. Where appropriate, </w:t>
      </w:r>
      <w:r w:rsidR="00F90707">
        <w:t>the sponsor’s</w:t>
      </w:r>
      <w:r w:rsidRPr="00984666">
        <w:t xml:space="preserve"> comments have been cross-referenced to the Delegate’s overview (DO), the Clinical Evaluation Report (CER) or our submission for marketing authorisation (MA).</w:t>
      </w:r>
    </w:p>
    <w:p w:rsidR="00984666" w:rsidRPr="00984666" w:rsidRDefault="00984666" w:rsidP="00E61628">
      <w:r w:rsidRPr="00984666">
        <w:t xml:space="preserve">In </w:t>
      </w:r>
      <w:r w:rsidR="00F90707">
        <w:t>the first s</w:t>
      </w:r>
      <w:r w:rsidRPr="00984666">
        <w:t xml:space="preserve">ection of </w:t>
      </w:r>
      <w:r w:rsidR="00F90707">
        <w:t>this</w:t>
      </w:r>
      <w:r w:rsidRPr="00984666">
        <w:t xml:space="preserve"> response, </w:t>
      </w:r>
      <w:r w:rsidR="00F90707">
        <w:t>the sponsor</w:t>
      </w:r>
      <w:r w:rsidRPr="00984666">
        <w:t xml:space="preserve"> address</w:t>
      </w:r>
      <w:r w:rsidR="00F90707">
        <w:t>es</w:t>
      </w:r>
      <w:r w:rsidRPr="00984666">
        <w:t xml:space="preserve"> the Delegate’s ‘Summary of Issues’. In </w:t>
      </w:r>
      <w:r w:rsidR="00F90707">
        <w:t>the second section</w:t>
      </w:r>
      <w:r w:rsidRPr="00984666">
        <w:t xml:space="preserve">, </w:t>
      </w:r>
      <w:r w:rsidR="00F90707">
        <w:t>the sponsor</w:t>
      </w:r>
      <w:r w:rsidRPr="00984666">
        <w:t xml:space="preserve"> take</w:t>
      </w:r>
      <w:r w:rsidR="00F90707">
        <w:t>s</w:t>
      </w:r>
      <w:r w:rsidRPr="00984666">
        <w:t xml:space="preserve"> the opportunity to provide comments on the specific advice sought by the Delegate from the Committee. Novartis proposes an alternative wording from our original MA, which was presented in </w:t>
      </w:r>
      <w:r w:rsidR="00F90707">
        <w:t>the</w:t>
      </w:r>
      <w:r w:rsidRPr="00984666">
        <w:t xml:space="preserve"> response to the CER:</w:t>
      </w:r>
    </w:p>
    <w:p w:rsidR="00984666" w:rsidRPr="00F90707" w:rsidRDefault="00984666" w:rsidP="00F90707">
      <w:pPr>
        <w:ind w:left="720"/>
        <w:rPr>
          <w:i/>
        </w:rPr>
      </w:pPr>
      <w:r w:rsidRPr="00F90707">
        <w:rPr>
          <w:i/>
        </w:rPr>
        <w:t>Xolair is indicated as add on therapy to improve asthma control in patients 6 to &lt;12 years of age with severe persistent allergic asthma despite high dose inhaled corticosteroids and who have serum immunoglobulin E levels corresponding to the recommended dose range (see ‘Dosage and Administration’).</w:t>
      </w:r>
    </w:p>
    <w:p w:rsidR="00984666" w:rsidRPr="00984666" w:rsidRDefault="00984666" w:rsidP="00E61628">
      <w:r w:rsidRPr="00984666">
        <w:t xml:space="preserve">This wording is based on the Delegate’s recommendation with the exception of the inclusion of a specific </w:t>
      </w:r>
      <w:proofErr w:type="spellStart"/>
      <w:r w:rsidRPr="00984666">
        <w:t>IgE</w:t>
      </w:r>
      <w:proofErr w:type="spellEnd"/>
      <w:r w:rsidRPr="00984666">
        <w:t xml:space="preserve"> level. </w:t>
      </w:r>
      <w:r w:rsidR="00F90707">
        <w:t>The sponsor’s</w:t>
      </w:r>
      <w:r w:rsidRPr="00984666">
        <w:t xml:space="preserve"> justification for this is </w:t>
      </w:r>
      <w:r w:rsidR="00F90707">
        <w:t>below</w:t>
      </w:r>
      <w:r w:rsidRPr="00984666">
        <w:t xml:space="preserve">. In </w:t>
      </w:r>
      <w:r w:rsidR="00F90707">
        <w:t>the third s</w:t>
      </w:r>
      <w:r w:rsidRPr="00984666">
        <w:t xml:space="preserve">ection, </w:t>
      </w:r>
      <w:r w:rsidR="00F90707">
        <w:t xml:space="preserve">the sponsor </w:t>
      </w:r>
      <w:r w:rsidRPr="00984666">
        <w:t>respond</w:t>
      </w:r>
      <w:r w:rsidR="00F90707">
        <w:t>s</w:t>
      </w:r>
      <w:r w:rsidRPr="00984666">
        <w:t xml:space="preserve"> to the two ‘Unresolved Issues’ described by the Delegate. Finally, in </w:t>
      </w:r>
      <w:r w:rsidR="00F90707">
        <w:t>the fourth section</w:t>
      </w:r>
      <w:r w:rsidRPr="00984666">
        <w:t>, Novartis comments on further changes proposed to the PI including but not limited to the additional precaution proposed by the Delegate.</w:t>
      </w:r>
    </w:p>
    <w:p w:rsidR="00984666" w:rsidRPr="00984666" w:rsidRDefault="00984666" w:rsidP="009C435E">
      <w:pPr>
        <w:pStyle w:val="Heading5"/>
      </w:pPr>
      <w:r w:rsidRPr="00984666">
        <w:t xml:space="preserve">Response to the </w:t>
      </w:r>
      <w:r w:rsidR="00543D3D" w:rsidRPr="00984666">
        <w:t>delegate’s ‘summary of issues’</w:t>
      </w:r>
    </w:p>
    <w:p w:rsidR="00984666" w:rsidRPr="00984666" w:rsidRDefault="009C435E" w:rsidP="009C435E">
      <w:pPr>
        <w:pStyle w:val="Heading6"/>
      </w:pPr>
      <w:r>
        <w:t>T</w:t>
      </w:r>
      <w:r w:rsidR="00984666" w:rsidRPr="00984666">
        <w:t xml:space="preserve">his medicine has been approved in Europe </w:t>
      </w:r>
      <w:r w:rsidR="00984666" w:rsidRPr="00072BD8">
        <w:t>but not in the USA for use in children age 6-11 years.</w:t>
      </w:r>
    </w:p>
    <w:p w:rsidR="00E24628" w:rsidRDefault="005A1D2B" w:rsidP="009C435E">
      <w:proofErr w:type="spellStart"/>
      <w:r>
        <w:t>Omalizumab</w:t>
      </w:r>
      <w:proofErr w:type="spellEnd"/>
      <w:r>
        <w:t xml:space="preserve"> (</w:t>
      </w:r>
      <w:proofErr w:type="spellStart"/>
      <w:r>
        <w:t>rch</w:t>
      </w:r>
      <w:proofErr w:type="spellEnd"/>
      <w:r>
        <w:t>)</w:t>
      </w:r>
      <w:r w:rsidR="00984666" w:rsidRPr="00984666">
        <w:t xml:space="preserve"> was approved in the EU for use in children 6 to &lt;12 years of age with severe allergic asthma in 2009</w:t>
      </w:r>
      <w:r w:rsidR="00E24628">
        <w:t>.</w:t>
      </w:r>
    </w:p>
    <w:p w:rsidR="00984666" w:rsidRPr="00984666" w:rsidRDefault="00984666" w:rsidP="009C435E">
      <w:pPr>
        <w:pStyle w:val="Heading6"/>
      </w:pPr>
      <w:r w:rsidRPr="00984666">
        <w:t>Efficacy has been established for a reduction in exacerbations and reduction in ICS dose but not spirometry.</w:t>
      </w:r>
    </w:p>
    <w:p w:rsidR="00984666" w:rsidRPr="00984666" w:rsidRDefault="00984666" w:rsidP="00E61628">
      <w:r w:rsidRPr="00984666">
        <w:t>Novartis acknowledges the inconsistencies between some of the reported outcomes in the clinical trials, although this is not the case for all endpoints (</w:t>
      </w:r>
      <w:r w:rsidR="009C435E">
        <w:t>for example,</w:t>
      </w:r>
      <w:r w:rsidRPr="00984666">
        <w:t xml:space="preserve"> severe asthma exacerbations and Patient’s and Investigator’s global evaluation of treatment effectiveness). The Delegate has noted our explanation that these inconsistencies can partly be ascribed to the well documented inaccuracies in children and families ability to describe asthma control, plus the fact FEV1 is an insensitive predictor of asthma symptoms.</w:t>
      </w:r>
    </w:p>
    <w:p w:rsidR="009C435E" w:rsidRDefault="00984666" w:rsidP="00E61628">
      <w:pPr>
        <w:rPr>
          <w:noProof/>
          <w:lang w:eastAsia="en-AU"/>
        </w:rPr>
      </w:pPr>
      <w:r w:rsidRPr="00984666">
        <w:t xml:space="preserve">In Study IA05, the lack of perception of asthma severity and control might explain both the high baseline scores, despite being an uncontrolled asthma population, and the minimal </w:t>
      </w:r>
      <w:r w:rsidRPr="00984666">
        <w:lastRenderedPageBreak/>
        <w:t xml:space="preserve">apparent change in asthma symptoms and quality of life. Novartis would also like to underscore some of the difficulties that have been encountered in studying asthmatic children who are uncontrolled despite being on the highest treatment step recommended in the GINA guidelines. Expectations of improvement in this patient population need to be balanced against the realisation that measurement of patient-reported outcomes in severe asthmatic children who remain uncontrolled despite treatment with maximal dose ICS/LABA is problematic, as noted </w:t>
      </w:r>
      <w:r w:rsidR="009C435E">
        <w:t>by the Delegate</w:t>
      </w:r>
      <w:r w:rsidRPr="00984666">
        <w:t xml:space="preserve">. Despite this, patients’ quality of life (as assessed by the PAQLQ) was shown to be significantly improved in Study 010. The improvement of 0.42 on the PAQLQ in </w:t>
      </w:r>
      <w:proofErr w:type="spellStart"/>
      <w:r w:rsidR="005A1D2B">
        <w:t>omalizumab</w:t>
      </w:r>
      <w:proofErr w:type="spellEnd"/>
      <w:r w:rsidR="005A1D2B">
        <w:t xml:space="preserve"> (</w:t>
      </w:r>
      <w:proofErr w:type="spellStart"/>
      <w:r w:rsidR="005A1D2B">
        <w:t>rch</w:t>
      </w:r>
      <w:proofErr w:type="spellEnd"/>
      <w:r w:rsidR="005A1D2B">
        <w:t>)</w:t>
      </w:r>
      <w:r w:rsidR="009C435E">
        <w:t xml:space="preserve"> </w:t>
      </w:r>
      <w:r w:rsidRPr="00984666">
        <w:t xml:space="preserve">treated patients (Table </w:t>
      </w:r>
      <w:r w:rsidR="009C435E">
        <w:t>2</w:t>
      </w:r>
      <w:r w:rsidR="00951939">
        <w:t>6</w:t>
      </w:r>
      <w:r w:rsidRPr="00984666">
        <w:t xml:space="preserve">) is equivalent to the minimal important difference of the instrument, which was established without a placebo group </w:t>
      </w:r>
      <w:r w:rsidRPr="00290C34">
        <w:t>comparison.</w:t>
      </w:r>
      <w:r w:rsidR="00290C34" w:rsidRPr="00290C34">
        <w:rPr>
          <w:rStyle w:val="FootnoteReference"/>
        </w:rPr>
        <w:footnoteReference w:id="11"/>
      </w:r>
    </w:p>
    <w:p w:rsidR="00394E08" w:rsidRDefault="009C435E" w:rsidP="009C435E">
      <w:pPr>
        <w:pStyle w:val="TableTitle"/>
        <w:rPr>
          <w:noProof/>
          <w:lang w:eastAsia="en-AU"/>
        </w:rPr>
      </w:pPr>
      <w:r>
        <w:rPr>
          <w:noProof/>
          <w:lang w:eastAsia="en-AU"/>
        </w:rPr>
        <w:t>Table 2</w:t>
      </w:r>
      <w:r w:rsidR="00951939">
        <w:rPr>
          <w:noProof/>
          <w:lang w:eastAsia="en-AU"/>
        </w:rPr>
        <w:t>6</w:t>
      </w:r>
      <w:r>
        <w:rPr>
          <w:noProof/>
          <w:lang w:eastAsia="en-AU"/>
        </w:rPr>
        <w:t>: Change from baseline in overall quality of life score at the end of the 28 week double—blind treatment period (Study 010 Paediatric ITT population).</w:t>
      </w:r>
    </w:p>
    <w:p w:rsidR="00984666" w:rsidRDefault="00984666" w:rsidP="00394E08">
      <w:pPr>
        <w:rPr>
          <w:noProof/>
          <w:lang w:eastAsia="en-AU"/>
        </w:rPr>
      </w:pPr>
      <w:r>
        <w:rPr>
          <w:noProof/>
          <w:lang w:eastAsia="en-AU"/>
        </w:rPr>
        <w:drawing>
          <wp:inline distT="0" distB="0" distL="0" distR="0" wp14:anchorId="35ACB6B7" wp14:editId="3DEA54BC">
            <wp:extent cx="5262883" cy="678180"/>
            <wp:effectExtent l="0" t="0" r="0" b="7620"/>
            <wp:docPr id="19" name="Picture 19" descr="Table 26: Change from baseline in overall quality of life score at the end of the 28 week double—blind treatment period (Study 010 Paediatri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l="2402" t="30469"/>
                    <a:stretch/>
                  </pic:blipFill>
                  <pic:spPr bwMode="auto">
                    <a:xfrm>
                      <a:off x="0" y="0"/>
                      <a:ext cx="5270317" cy="679138"/>
                    </a:xfrm>
                    <a:prstGeom prst="rect">
                      <a:avLst/>
                    </a:prstGeom>
                    <a:ln>
                      <a:noFill/>
                    </a:ln>
                    <a:extLst>
                      <a:ext uri="{53640926-AAD7-44D8-BBD7-CCE9431645EC}">
                        <a14:shadowObscured xmlns:a14="http://schemas.microsoft.com/office/drawing/2010/main"/>
                      </a:ext>
                    </a:extLst>
                  </pic:spPr>
                </pic:pic>
              </a:graphicData>
            </a:graphic>
          </wp:inline>
        </w:drawing>
      </w:r>
    </w:p>
    <w:p w:rsidR="00984666" w:rsidRDefault="00984666" w:rsidP="00394E08">
      <w:pPr>
        <w:rPr>
          <w:lang w:eastAsia="en-AU"/>
        </w:rPr>
      </w:pPr>
      <w:r>
        <w:rPr>
          <w:lang w:eastAsia="en-AU"/>
        </w:rPr>
        <w:t>Regarding spirometry, the baseline lung function in the patients recruited to Studies IA05 and 010 was high (mean % predicted FEV1 of 85.4 and 84.2, respectively), typical of even severe asthmatics in this age group</w:t>
      </w:r>
      <w:r w:rsidR="00290C34">
        <w:rPr>
          <w:rStyle w:val="FootnoteReference"/>
          <w:lang w:eastAsia="en-AU"/>
        </w:rPr>
        <w:footnoteReference w:id="12"/>
      </w:r>
      <w:r>
        <w:rPr>
          <w:lang w:eastAsia="en-AU"/>
        </w:rPr>
        <w:t xml:space="preserve"> and improvement in lung function was not necessarily expected.</w:t>
      </w:r>
    </w:p>
    <w:p w:rsidR="00984666" w:rsidRDefault="00984666" w:rsidP="00394E08">
      <w:pPr>
        <w:rPr>
          <w:lang w:eastAsia="en-AU"/>
        </w:rPr>
      </w:pPr>
      <w:r>
        <w:rPr>
          <w:lang w:eastAsia="en-AU"/>
        </w:rPr>
        <w:t>An endpoint such as presentations to the emergency department is clinically meaningful but occurs infrequently especially in the intensively managed setting of a clinical trial and therefore lacks sensitivity they were rare in Studies IA05 and 010, even in placebo</w:t>
      </w:r>
      <w:r w:rsidR="009C435E">
        <w:rPr>
          <w:lang w:eastAsia="en-AU"/>
        </w:rPr>
        <w:t xml:space="preserve"> </w:t>
      </w:r>
      <w:r>
        <w:rPr>
          <w:lang w:eastAsia="en-AU"/>
        </w:rPr>
        <w:t xml:space="preserve">treated patients. The benefit of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on health care utilisation is best appreciated in a ‘real world setting’ in which patients with a greater burden of disease are treated with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A ‘real-world’ study was conducted in 104 children who received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and were followed in paediatr</w:t>
      </w:r>
      <w:r w:rsidR="009C435E">
        <w:rPr>
          <w:lang w:eastAsia="en-AU"/>
        </w:rPr>
        <w:t>ic pulmonary tertiary care cent</w:t>
      </w:r>
      <w:r>
        <w:rPr>
          <w:lang w:eastAsia="en-AU"/>
        </w:rPr>
        <w:t>r</w:t>
      </w:r>
      <w:r w:rsidR="009C435E">
        <w:rPr>
          <w:lang w:eastAsia="en-AU"/>
        </w:rPr>
        <w:t>e</w:t>
      </w:r>
      <w:r>
        <w:rPr>
          <w:lang w:eastAsia="en-AU"/>
        </w:rPr>
        <w:t>s in France</w:t>
      </w:r>
      <w:r w:rsidR="00290C34">
        <w:rPr>
          <w:lang w:eastAsia="en-AU"/>
        </w:rPr>
        <w:t>.</w:t>
      </w:r>
      <w:r w:rsidR="00290C34">
        <w:rPr>
          <w:rStyle w:val="FootnoteReference"/>
          <w:lang w:eastAsia="en-AU"/>
        </w:rPr>
        <w:footnoteReference w:id="13"/>
      </w:r>
      <w:r>
        <w:rPr>
          <w:lang w:eastAsia="en-AU"/>
        </w:rPr>
        <w:t xml:space="preserve"> Exacerbations decreased from a mean (95% CI) of 4.4 (3.7</w:t>
      </w:r>
      <w:r w:rsidR="009C435E">
        <w:rPr>
          <w:lang w:eastAsia="en-AU"/>
        </w:rPr>
        <w:t xml:space="preserve"> to </w:t>
      </w:r>
      <w:r>
        <w:rPr>
          <w:lang w:eastAsia="en-AU"/>
        </w:rPr>
        <w:t>5.2) per patient during the previous year to 1.25 (0.55</w:t>
      </w:r>
      <w:r w:rsidR="009C435E">
        <w:rPr>
          <w:lang w:eastAsia="en-AU"/>
        </w:rPr>
        <w:t xml:space="preserve"> to </w:t>
      </w:r>
      <w:r>
        <w:rPr>
          <w:lang w:eastAsia="en-AU"/>
        </w:rPr>
        <w:t>1.95) during the year of treatment (p&lt;0.0001), representing a reduction of 72%. In addition, the percentage of children requiring hospitalisation decreased from 44% in the past year to 6.7%, representing an 88.5% relative decrease, with none necessitating a stay in the intensive care unit during the year on treatment (p&lt;0.001). Among children &lt;</w:t>
      </w:r>
      <w:r w:rsidR="00290C34">
        <w:rPr>
          <w:lang w:eastAsia="en-AU"/>
        </w:rPr>
        <w:t xml:space="preserve"> </w:t>
      </w:r>
      <w:r>
        <w:rPr>
          <w:lang w:eastAsia="en-AU"/>
        </w:rPr>
        <w:t>12 years of age in the study, none (0/47) demonstrated ‘good control’ at Visit 0 whereas 22/41 (53.5%) achieved ‘good control’ at 52 weeks. In addition, among children &lt;</w:t>
      </w:r>
      <w:r w:rsidR="00290C34">
        <w:rPr>
          <w:lang w:eastAsia="en-AU"/>
        </w:rPr>
        <w:t xml:space="preserve"> </w:t>
      </w:r>
      <w:r>
        <w:rPr>
          <w:lang w:eastAsia="en-AU"/>
        </w:rPr>
        <w:t xml:space="preserve">12 years of age in the study, 40/47 (85%) demonstrated ‘poor control’ at Visit 0 whereas 4/41 (10%) demonstrated ‘poor control’ at 52 weeks. It was concluded that actual clinical use of </w:t>
      </w:r>
      <w:proofErr w:type="spellStart"/>
      <w:r w:rsidR="005A1D2B">
        <w:rPr>
          <w:lang w:eastAsia="en-AU"/>
        </w:rPr>
        <w:t>omalizumab</w:t>
      </w:r>
      <w:proofErr w:type="spellEnd"/>
      <w:r w:rsidR="005A1D2B">
        <w:rPr>
          <w:lang w:eastAsia="en-AU"/>
        </w:rPr>
        <w:t xml:space="preserve"> (</w:t>
      </w:r>
      <w:proofErr w:type="spellStart"/>
      <w:r w:rsidR="005A1D2B">
        <w:rPr>
          <w:lang w:eastAsia="en-AU"/>
        </w:rPr>
        <w:t>rch</w:t>
      </w:r>
      <w:proofErr w:type="spellEnd"/>
      <w:r w:rsidR="005A1D2B">
        <w:rPr>
          <w:lang w:eastAsia="en-AU"/>
        </w:rPr>
        <w:t>)</w:t>
      </w:r>
      <w:r>
        <w:rPr>
          <w:lang w:eastAsia="en-AU"/>
        </w:rPr>
        <w:t xml:space="preserve"> in asthmatic children with a high burden of disease in France was associated with highly significant clinical benefits.</w:t>
      </w:r>
    </w:p>
    <w:p w:rsidR="00984666" w:rsidRPr="00290C34" w:rsidRDefault="00984666" w:rsidP="00E61628">
      <w:r>
        <w:rPr>
          <w:lang w:eastAsia="en-AU"/>
        </w:rPr>
        <w:t>Asthma exacerbations are among the most clinically relevant aspects of asthma for many children. Studies in children</w:t>
      </w:r>
      <w:r w:rsidR="00290C34">
        <w:rPr>
          <w:rStyle w:val="FootnoteReference"/>
          <w:lang w:eastAsia="en-AU"/>
        </w:rPr>
        <w:footnoteReference w:id="14"/>
      </w:r>
      <w:r>
        <w:rPr>
          <w:lang w:eastAsia="en-AU"/>
        </w:rPr>
        <w:t xml:space="preserve"> demonstrate that severe asthma exacerbations are associated with a more rapid decline in lung function, suggesting that a more effective approach to treating young asthmatics experiencing recurrent exacerbations may be </w:t>
      </w:r>
      <w:r>
        <w:rPr>
          <w:lang w:eastAsia="en-AU"/>
        </w:rPr>
        <w:lastRenderedPageBreak/>
        <w:t xml:space="preserve">warranted. </w:t>
      </w:r>
      <w:proofErr w:type="spellStart"/>
      <w:r w:rsidR="005A1D2B">
        <w:t>Omalizumab</w:t>
      </w:r>
      <w:proofErr w:type="spellEnd"/>
      <w:r w:rsidR="005A1D2B">
        <w:t xml:space="preserve"> (</w:t>
      </w:r>
      <w:proofErr w:type="spellStart"/>
      <w:r w:rsidR="005A1D2B">
        <w:t>rch</w:t>
      </w:r>
      <w:proofErr w:type="spellEnd"/>
      <w:r w:rsidR="005A1D2B">
        <w:t>)</w:t>
      </w:r>
      <w:r w:rsidRPr="00290C34">
        <w:t xml:space="preserve"> reduces seasonal exacerbations in children, which is correlated with reversal of deficits in innate immunity to rhinovirus due to elevated </w:t>
      </w:r>
      <w:proofErr w:type="spellStart"/>
      <w:r w:rsidRPr="00290C34">
        <w:t>IgE</w:t>
      </w:r>
      <w:proofErr w:type="spellEnd"/>
      <w:r w:rsidRPr="00290C34">
        <w:t>.</w:t>
      </w:r>
      <w:r w:rsidR="00290C34" w:rsidRPr="00290C34">
        <w:rPr>
          <w:rStyle w:val="FootnoteReference"/>
        </w:rPr>
        <w:footnoteReference w:id="15"/>
      </w:r>
      <w:r w:rsidRPr="00290C34">
        <w:t xml:space="preserve"> Together with the association of rhinovirus infection and worsening asthma symptoms in children in Australia</w:t>
      </w:r>
      <w:r w:rsidR="00290C34">
        <w:rPr>
          <w:rStyle w:val="FootnoteReference"/>
        </w:rPr>
        <w:footnoteReference w:id="16"/>
      </w:r>
      <w:r w:rsidRPr="00290C34">
        <w:t xml:space="preserve">, these results emphasise the fundamental role of </w:t>
      </w:r>
      <w:proofErr w:type="spellStart"/>
      <w:r w:rsidRPr="00290C34">
        <w:t>IgE</w:t>
      </w:r>
      <w:proofErr w:type="spellEnd"/>
      <w:r w:rsidRPr="00290C34">
        <w:t xml:space="preserve"> in the pathogenesis of childhood asthma and the potential importance of </w:t>
      </w:r>
      <w:proofErr w:type="spellStart"/>
      <w:r w:rsidRPr="00290C34">
        <w:t>IgE</w:t>
      </w:r>
      <w:proofErr w:type="spellEnd"/>
      <w:r w:rsidRPr="00290C34">
        <w:t xml:space="preserve"> as a therapeutic target in this at-risk population.</w:t>
      </w:r>
    </w:p>
    <w:p w:rsidR="00984666" w:rsidRPr="00984666" w:rsidRDefault="00984666" w:rsidP="00290C34">
      <w:pPr>
        <w:pStyle w:val="Heading6"/>
      </w:pPr>
      <w:r w:rsidRPr="00984666">
        <w:t>There is limited but accumulating long term safety data in children.</w:t>
      </w:r>
    </w:p>
    <w:p w:rsidR="00984666" w:rsidRPr="00984666" w:rsidRDefault="00984666" w:rsidP="00E61628">
      <w:r w:rsidRPr="00984666">
        <w:t xml:space="preserve">Since the withdrawal of the original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pae</w:t>
      </w:r>
      <w:r w:rsidR="00290C34">
        <w:t xml:space="preserve">diatric indication application </w:t>
      </w:r>
      <w:r w:rsidRPr="00984666">
        <w:t>in Australia in September 2010, additional post-marketing safety data in children has been accumulated together with data from additional observational safety studies (EXCELS (Q2948G), X-PAND (Q4458G)) and a pooled analyses of clinical trial data.</w:t>
      </w:r>
      <w:r w:rsidR="00290C34">
        <w:rPr>
          <w:rStyle w:val="FootnoteReference"/>
        </w:rPr>
        <w:footnoteReference w:id="17"/>
      </w:r>
      <w:r w:rsidRPr="00984666">
        <w:t xml:space="preserve"> Novartis believes that the totality of these data address the safety concerns (</w:t>
      </w:r>
      <w:r w:rsidR="00290C34">
        <w:t>that is,</w:t>
      </w:r>
      <w:r w:rsidRPr="00984666">
        <w:t xml:space="preserve"> malignancy, cardiovascular/cerebrovascular adverse events, anaphylaxis) raised by the TGA in the review of </w:t>
      </w:r>
      <w:r w:rsidR="00290C34">
        <w:t>the</w:t>
      </w:r>
      <w:r w:rsidRPr="00984666">
        <w:t xml:space="preserve"> previous application and indicates a favourable safety profile for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in children, without the need for additional safety studies.</w:t>
      </w:r>
    </w:p>
    <w:p w:rsidR="00984666" w:rsidRPr="00984666" w:rsidRDefault="00984666" w:rsidP="00E61628">
      <w:r w:rsidRPr="00984666">
        <w:t>A total of 945 children &lt;</w:t>
      </w:r>
      <w:r w:rsidR="00290C34">
        <w:t xml:space="preserve"> </w:t>
      </w:r>
      <w:r w:rsidRPr="00984666">
        <w:t xml:space="preserve">12 years of age (approximately 1,108.8 patient-years exposure) were exposed to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in clinical trials in allergic asthma and there has been approximately 10,503 patient-years of post-marketing exposure in all children 6 to &lt;</w:t>
      </w:r>
      <w:r w:rsidR="00290C34">
        <w:t xml:space="preserve"> </w:t>
      </w:r>
      <w:r w:rsidRPr="00984666">
        <w:t xml:space="preserve">12 years old (approximately 9,637 in those with allergic asthma). The adverse event profile observed in </w:t>
      </w:r>
      <w:proofErr w:type="spellStart"/>
      <w:r w:rsidR="005A1D2B">
        <w:t>omalizumab</w:t>
      </w:r>
      <w:proofErr w:type="spellEnd"/>
      <w:r w:rsidR="005A1D2B">
        <w:t xml:space="preserve"> (</w:t>
      </w:r>
      <w:proofErr w:type="spellStart"/>
      <w:r w:rsidR="005A1D2B">
        <w:t>rch</w:t>
      </w:r>
      <w:proofErr w:type="spellEnd"/>
      <w:r w:rsidR="005A1D2B">
        <w:t>)</w:t>
      </w:r>
      <w:r w:rsidRPr="00984666">
        <w:t>-treated children ages 6 to &lt;</w:t>
      </w:r>
      <w:r w:rsidR="00290C34">
        <w:t xml:space="preserve"> </w:t>
      </w:r>
      <w:r w:rsidRPr="00984666">
        <w:t>12 in double-blind randomi</w:t>
      </w:r>
      <w:r w:rsidR="00290C34">
        <w:t>s</w:t>
      </w:r>
      <w:r w:rsidRPr="00984666">
        <w:t xml:space="preserve">ed clinical trials was very similar to that of placebo, including the small number of serious adverse events (SAEs) seen. Cumulative review of post-marketing AE reports in children until 31 December 2014 did not reveal any specific concern related to use in paediatric patients and is consistent with the known safety profile of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in adult patients.</w:t>
      </w:r>
    </w:p>
    <w:p w:rsidR="00984666" w:rsidRPr="00984666" w:rsidRDefault="00984666" w:rsidP="00E61628">
      <w:r w:rsidRPr="00984666">
        <w:t>There is no evidence of an increased risk of malignancy, arterial thrombotic events, or drug-related hypersensitivity, including evidence of immune complex</w:t>
      </w:r>
      <w:r w:rsidR="00290C34">
        <w:t xml:space="preserve"> </w:t>
      </w:r>
      <w:r w:rsidRPr="00984666">
        <w:t xml:space="preserve">mediated disease in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paediatric clinical trial or post-marketing safety data. In addition, the TGA approved the removal of the malignancy precaution from the current Australian PI based on the results of the EXCELS study in adolescents and adults, plus the results of a pooled analysis of phase I to IV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clin</w:t>
      </w:r>
      <w:r w:rsidR="00290C34">
        <w:t>ical trials</w:t>
      </w:r>
      <w:r w:rsidRPr="00984666">
        <w:t xml:space="preserve">. The EXCELS study showed a statistically non-significant increase in the rate of cardiovascular/cerebrovascular SAE in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-treated patients over control patients, although a pooled analysis of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clinical trial data, subsequently requested by FDA, did not demonstrate notable imbalances in theses SAEs. As cardiovascular risk could not be definitely excluded in the EXCELS study, ATEs are classified as an important potential risk, monitored in the RMP and included in the Australian PI.</w:t>
      </w:r>
    </w:p>
    <w:p w:rsidR="00984666" w:rsidRPr="00984666" w:rsidRDefault="00984666" w:rsidP="00E61628">
      <w:r w:rsidRPr="00984666">
        <w:t xml:space="preserve">There are no imbalances in anaphylactic events among children treated with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in the clinical trial database. Post-marketing cases of anaphylaxis in children have been consistent with findings in the adolescent and adult populations. An exploratory analysis from a case-control study to assess the risk of anaphylaxis (X-PAND) suggested that a prior history of anaphylaxis to foods, medications or unknown causes may be a risk for anaphylaxis associated with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administration. Although these events are rare, anaphylaxis is a recognised risk associated with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use. Anaphylaxis remains an identified risk associated with use of </w:t>
      </w:r>
      <w:proofErr w:type="spellStart"/>
      <w:r w:rsidR="005A1D2B">
        <w:t>omalizumab</w:t>
      </w:r>
      <w:proofErr w:type="spellEnd"/>
      <w:r w:rsidR="005A1D2B">
        <w:t xml:space="preserve"> (</w:t>
      </w:r>
      <w:proofErr w:type="spellStart"/>
      <w:r w:rsidR="005A1D2B">
        <w:t>rch</w:t>
      </w:r>
      <w:proofErr w:type="spellEnd"/>
      <w:r w:rsidR="005A1D2B">
        <w:t>)</w:t>
      </w:r>
      <w:r w:rsidRPr="00984666">
        <w:t xml:space="preserve"> in all age groups.</w:t>
      </w:r>
    </w:p>
    <w:p w:rsidR="00984666" w:rsidRPr="00984666" w:rsidRDefault="00984666" w:rsidP="00290C34">
      <w:pPr>
        <w:pStyle w:val="Heading5"/>
      </w:pPr>
      <w:r w:rsidRPr="00984666">
        <w:lastRenderedPageBreak/>
        <w:t xml:space="preserve">Novartis’ comments on the </w:t>
      </w:r>
      <w:r w:rsidR="00394E08" w:rsidRPr="00984666">
        <w:t xml:space="preserve">advice sought </w:t>
      </w:r>
      <w:r w:rsidR="00394E08">
        <w:t xml:space="preserve">by the delegate </w:t>
      </w:r>
      <w:r w:rsidR="00394E08" w:rsidRPr="00984666">
        <w:t>from the committee</w:t>
      </w:r>
    </w:p>
    <w:p w:rsidR="00984666" w:rsidRPr="00984666" w:rsidRDefault="00984666" w:rsidP="00290C34">
      <w:pPr>
        <w:pStyle w:val="Heading6"/>
      </w:pPr>
      <w:r w:rsidRPr="00984666">
        <w:t>Please comment on the discrepant results for exacerbations, ICS dose reductions, ED presentations, symptom scores and use of rescue medications in the clinical trials? What are the most important outcomes for children?</w:t>
      </w:r>
    </w:p>
    <w:p w:rsidR="00984666" w:rsidRDefault="00290C34" w:rsidP="00E61628">
      <w:r>
        <w:t>The sponsor’s</w:t>
      </w:r>
      <w:r w:rsidR="00984666">
        <w:t xml:space="preserve"> comments above directly address this first point raised by the Delegate in relation to the apparent discrepancies between the results from IA05 and </w:t>
      </w:r>
      <w:r>
        <w:t>the sponsor</w:t>
      </w:r>
      <w:r w:rsidR="00984666">
        <w:t xml:space="preserve"> direct</w:t>
      </w:r>
      <w:r>
        <w:t>s</w:t>
      </w:r>
      <w:r w:rsidR="00984666">
        <w:t xml:space="preserve"> the Committee to that section in response to this particular point.</w:t>
      </w:r>
    </w:p>
    <w:p w:rsidR="00984666" w:rsidRDefault="00984666" w:rsidP="00290C34">
      <w:pPr>
        <w:pStyle w:val="Heading6"/>
      </w:pPr>
      <w:r>
        <w:t xml:space="preserve">Should the indications specify an </w:t>
      </w:r>
      <w:proofErr w:type="spellStart"/>
      <w:r>
        <w:t>IgE</w:t>
      </w:r>
      <w:proofErr w:type="spellEnd"/>
      <w:r>
        <w:t xml:space="preserve"> level (</w:t>
      </w:r>
      <w:r w:rsidR="00290C34">
        <w:t>for example,</w:t>
      </w:r>
      <w:r>
        <w:t xml:space="preserve"> over 30</w:t>
      </w:r>
      <w:r w:rsidR="00290C34">
        <w:t xml:space="preserve"> </w:t>
      </w:r>
      <w:r>
        <w:t>IU/mL or 75</w:t>
      </w:r>
      <w:r w:rsidR="00290C34">
        <w:t xml:space="preserve"> </w:t>
      </w:r>
      <w:r>
        <w:t>IU/mL)</w:t>
      </w:r>
    </w:p>
    <w:p w:rsidR="00984666" w:rsidRDefault="00984666" w:rsidP="00290C34">
      <w:r>
        <w:t xml:space="preserve">Novartis does not believe that the indication should specify an </w:t>
      </w:r>
      <w:proofErr w:type="spellStart"/>
      <w:r>
        <w:t>IgE</w:t>
      </w:r>
      <w:proofErr w:type="spellEnd"/>
      <w:r>
        <w:t xml:space="preserve"> level. Subgroup analyses in </w:t>
      </w:r>
      <w:r w:rsidR="00290C34">
        <w:t>S</w:t>
      </w:r>
      <w:r>
        <w:t>tudy IA05 indicate that children in the modified ITT (</w:t>
      </w:r>
      <w:proofErr w:type="spellStart"/>
      <w:r>
        <w:t>mITT</w:t>
      </w:r>
      <w:proofErr w:type="spellEnd"/>
      <w:r>
        <w:t xml:space="preserve">) population with severe persistent asthma have a numerically greater response to </w:t>
      </w:r>
      <w:proofErr w:type="spellStart"/>
      <w:r w:rsidR="005A1D2B">
        <w:t>omalizumab</w:t>
      </w:r>
      <w:proofErr w:type="spellEnd"/>
      <w:r w:rsidR="005A1D2B">
        <w:t xml:space="preserve"> (</w:t>
      </w:r>
      <w:proofErr w:type="spellStart"/>
      <w:r w:rsidR="005A1D2B">
        <w:t>rch</w:t>
      </w:r>
      <w:proofErr w:type="spellEnd"/>
      <w:r w:rsidR="005A1D2B">
        <w:t>)</w:t>
      </w:r>
      <w:r>
        <w:t xml:space="preserve"> than those with moderate persistent asthma; for the EU </w:t>
      </w:r>
      <w:proofErr w:type="spellStart"/>
      <w:r>
        <w:t>mITT</w:t>
      </w:r>
      <w:proofErr w:type="spellEnd"/>
      <w:r>
        <w:t xml:space="preserve"> population, children with an FEV1 of 60 to &lt;80% predicted had a numerically greater response than patients </w:t>
      </w:r>
      <w:r w:rsidR="00290C34">
        <w:t>with an FEV1 of ≥80% predicted</w:t>
      </w:r>
      <w:r>
        <w:t xml:space="preserve">. Although Study IA05 was not powered for assessing exacerbation reduction among patients with different baseline factors in addition to baseline </w:t>
      </w:r>
      <w:proofErr w:type="spellStart"/>
      <w:r>
        <w:t>IgE</w:t>
      </w:r>
      <w:proofErr w:type="spellEnd"/>
      <w:r>
        <w:t xml:space="preserve"> (</w:t>
      </w:r>
      <w:r w:rsidR="00290C34">
        <w:t>for example,</w:t>
      </w:r>
      <w:r>
        <w:t xml:space="preserve"> </w:t>
      </w:r>
      <w:proofErr w:type="spellStart"/>
      <w:r>
        <w:t>IgE</w:t>
      </w:r>
      <w:proofErr w:type="spellEnd"/>
      <w:r>
        <w:t xml:space="preserve"> &lt;75 IU/mL and different FEV1 cut</w:t>
      </w:r>
      <w:r w:rsidR="00290C34">
        <w:t>-</w:t>
      </w:r>
      <w:r>
        <w:t>offs), presumably children with FEV1 in the 60</w:t>
      </w:r>
      <w:r w:rsidR="00290C34">
        <w:t xml:space="preserve"> to </w:t>
      </w:r>
      <w:r>
        <w:t xml:space="preserve">80% predicted range despite low </w:t>
      </w:r>
      <w:proofErr w:type="spellStart"/>
      <w:r>
        <w:t>IgE</w:t>
      </w:r>
      <w:proofErr w:type="spellEnd"/>
      <w:r>
        <w:t xml:space="preserve"> would derive clinically meaningful benefits from </w:t>
      </w:r>
      <w:proofErr w:type="spellStart"/>
      <w:r w:rsidR="005A1D2B">
        <w:t>omalizumab</w:t>
      </w:r>
      <w:proofErr w:type="spellEnd"/>
      <w:r w:rsidR="005A1D2B">
        <w:t xml:space="preserve"> (</w:t>
      </w:r>
      <w:proofErr w:type="spellStart"/>
      <w:r w:rsidR="005A1D2B">
        <w:t>rch</w:t>
      </w:r>
      <w:proofErr w:type="spellEnd"/>
      <w:r w:rsidR="005A1D2B">
        <w:t>)</w:t>
      </w:r>
      <w:r>
        <w:t>.</w:t>
      </w:r>
    </w:p>
    <w:p w:rsidR="00984666" w:rsidRDefault="00984666" w:rsidP="00290C34">
      <w:r>
        <w:t xml:space="preserve">Restricting the indication to subgroups of baseline </w:t>
      </w:r>
      <w:proofErr w:type="spellStart"/>
      <w:r>
        <w:t>IgE</w:t>
      </w:r>
      <w:proofErr w:type="spellEnd"/>
      <w:r>
        <w:t xml:space="preserve"> may result in fewer children receiving </w:t>
      </w:r>
      <w:proofErr w:type="spellStart"/>
      <w:r w:rsidR="005A1D2B">
        <w:t>omalizumab</w:t>
      </w:r>
      <w:proofErr w:type="spellEnd"/>
      <w:r w:rsidR="005A1D2B">
        <w:t xml:space="preserve"> (</w:t>
      </w:r>
      <w:proofErr w:type="spellStart"/>
      <w:r w:rsidR="005A1D2B">
        <w:t>rch</w:t>
      </w:r>
      <w:proofErr w:type="spellEnd"/>
      <w:r w:rsidR="005A1D2B">
        <w:t>)</w:t>
      </w:r>
      <w:r>
        <w:t xml:space="preserve"> who might otherwise derive considerable clinical benefits; in children who remain uncontrolled despite high dose ICS plus additional controllers, the only other recourse is systemic corticosteroids. The adverse effects of oral corticosteroids in patients, especially the very young, are well documented and guidelines consistently advise against their long-term use.</w:t>
      </w:r>
      <w:r w:rsidR="003434C0">
        <w:rPr>
          <w:rStyle w:val="FootnoteReference"/>
        </w:rPr>
        <w:footnoteReference w:id="18"/>
      </w:r>
      <w:r w:rsidR="003434C0" w:rsidRPr="003434C0">
        <w:rPr>
          <w:vertAlign w:val="superscript"/>
        </w:rPr>
        <w:t>,</w:t>
      </w:r>
      <w:r w:rsidR="003434C0">
        <w:rPr>
          <w:rStyle w:val="FootnoteReference"/>
        </w:rPr>
        <w:footnoteReference w:id="19"/>
      </w:r>
      <w:r>
        <w:t xml:space="preserve"> Novartis strongly recommends not to exclude the use of </w:t>
      </w:r>
      <w:proofErr w:type="spellStart"/>
      <w:r w:rsidR="005A1D2B">
        <w:t>omalizumab</w:t>
      </w:r>
      <w:proofErr w:type="spellEnd"/>
      <w:r w:rsidR="005A1D2B">
        <w:t xml:space="preserve"> (</w:t>
      </w:r>
      <w:proofErr w:type="spellStart"/>
      <w:r w:rsidR="005A1D2B">
        <w:t>rch</w:t>
      </w:r>
      <w:proofErr w:type="spellEnd"/>
      <w:r w:rsidR="005A1D2B">
        <w:t>)</w:t>
      </w:r>
      <w:r>
        <w:t xml:space="preserve"> in severe allergic asthma paediatric patients with a baseline </w:t>
      </w:r>
      <w:proofErr w:type="spellStart"/>
      <w:r>
        <w:t>IgE</w:t>
      </w:r>
      <w:proofErr w:type="spellEnd"/>
      <w:r>
        <w:t xml:space="preserve"> &lt;75 IU/</w:t>
      </w:r>
      <w:proofErr w:type="spellStart"/>
      <w:r>
        <w:t>mL.</w:t>
      </w:r>
      <w:proofErr w:type="spellEnd"/>
    </w:p>
    <w:p w:rsidR="00984666" w:rsidRDefault="00984666" w:rsidP="00290C34">
      <w:r>
        <w:t>To address this issue, Novartis proposes to amend the indication to cross-reference the ‘</w:t>
      </w:r>
      <w:r w:rsidR="00290C34">
        <w:t xml:space="preserve">Dosage and Administration’ </w:t>
      </w:r>
      <w:r>
        <w:t>section of the PI.</w:t>
      </w:r>
    </w:p>
    <w:p w:rsidR="00984666" w:rsidRDefault="00984666" w:rsidP="00290C34">
      <w:pPr>
        <w:pStyle w:val="Heading6"/>
      </w:pPr>
      <w:r>
        <w:t>Is there a clinical need for this medication in Australia?</w:t>
      </w:r>
    </w:p>
    <w:p w:rsidR="00984666" w:rsidRDefault="00984666" w:rsidP="00E61628">
      <w:r>
        <w:t xml:space="preserve">The TGA Delegate acknowledges that despite the range of currently available therapies, there is a significant unmet medical need in Australia for children aged 6 to &lt;12 years of age with poorly controlled asthma. Severe persistent asthma in children is an uncommon, but serious condition. These children suffer considerable co-morbidities: hospital </w:t>
      </w:r>
      <w:r w:rsidRPr="003434C0">
        <w:t xml:space="preserve">admissions, frequent outpatient attendances, time off school and impaired quality of life for both the patient and close family members. </w:t>
      </w:r>
      <w:proofErr w:type="spellStart"/>
      <w:r w:rsidR="005A1D2B">
        <w:t>Omalizumab</w:t>
      </w:r>
      <w:proofErr w:type="spellEnd"/>
      <w:r w:rsidR="005A1D2B">
        <w:t xml:space="preserve"> (</w:t>
      </w:r>
      <w:proofErr w:type="spellStart"/>
      <w:r w:rsidR="005A1D2B">
        <w:t>rch</w:t>
      </w:r>
      <w:proofErr w:type="spellEnd"/>
      <w:r w:rsidR="005A1D2B">
        <w:t>)</w:t>
      </w:r>
      <w:r w:rsidRPr="003434C0">
        <w:t xml:space="preserve"> demonstrates significant corticosteroid-sparing effects, resulting in improvements in asthma control and quality of life.</w:t>
      </w:r>
      <w:r w:rsidR="003434C0" w:rsidRPr="003434C0">
        <w:rPr>
          <w:rStyle w:val="FootnoteReference"/>
        </w:rPr>
        <w:footnoteReference w:id="20"/>
      </w:r>
    </w:p>
    <w:p w:rsidR="00984666" w:rsidRDefault="00984666" w:rsidP="00E61628">
      <w:r>
        <w:t xml:space="preserve">The Delegate states that only two </w:t>
      </w:r>
      <w:r w:rsidR="00290C34">
        <w:t>special access scheme (</w:t>
      </w:r>
      <w:r>
        <w:t>SAS</w:t>
      </w:r>
      <w:r w:rsidR="00290C34">
        <w:t>)</w:t>
      </w:r>
      <w:r>
        <w:t xml:space="preserve"> requests have been received by the TGA this year; however, </w:t>
      </w:r>
      <w:r w:rsidR="00290C34">
        <w:t>the sponsor</w:t>
      </w:r>
      <w:r>
        <w:t xml:space="preserve"> do not believe this provides an accurate indication of the medical need for this medication in Australian paediatric patients. While there may be some private off-label use in hospitals, </w:t>
      </w:r>
      <w:r w:rsidR="00290C34">
        <w:t>the sponsor</w:t>
      </w:r>
      <w:r>
        <w:t xml:space="preserve"> consider</w:t>
      </w:r>
      <w:r w:rsidR="00290C34">
        <w:t>s</w:t>
      </w:r>
      <w:r>
        <w:t xml:space="preserve"> it is important for the Australian PI to reflect the availability of new evidence of the safety and efficacy of </w:t>
      </w:r>
      <w:proofErr w:type="spellStart"/>
      <w:r w:rsidR="005A1D2B">
        <w:t>omalizumab</w:t>
      </w:r>
      <w:proofErr w:type="spellEnd"/>
      <w:r w:rsidR="005A1D2B">
        <w:t xml:space="preserve"> (</w:t>
      </w:r>
      <w:proofErr w:type="spellStart"/>
      <w:r w:rsidR="005A1D2B">
        <w:t>rch</w:t>
      </w:r>
      <w:proofErr w:type="spellEnd"/>
      <w:r w:rsidR="005A1D2B">
        <w:t>)</w:t>
      </w:r>
      <w:r>
        <w:t xml:space="preserve"> in paediatric patients as presented in our application, as </w:t>
      </w:r>
      <w:r>
        <w:lastRenderedPageBreak/>
        <w:t xml:space="preserve">well as changes in Australian clinical practice. At present there are no effective treatment options for children suffering from severe, persistent allergic asthma. Given the reduction of exacerbation rate and ICS use observed with </w:t>
      </w:r>
      <w:proofErr w:type="spellStart"/>
      <w:r w:rsidR="005A1D2B">
        <w:t>omalizumab</w:t>
      </w:r>
      <w:proofErr w:type="spellEnd"/>
      <w:r w:rsidR="005A1D2B">
        <w:t xml:space="preserve"> (</w:t>
      </w:r>
      <w:proofErr w:type="spellStart"/>
      <w:r w:rsidR="005A1D2B">
        <w:t>rch</w:t>
      </w:r>
      <w:proofErr w:type="spellEnd"/>
      <w:r w:rsidR="005A1D2B">
        <w:t>)</w:t>
      </w:r>
      <w:r>
        <w:t xml:space="preserve"> in the clinical trials (and the reduction in oral corticosteroids use in real-world studies), Novartis believes that </w:t>
      </w:r>
      <w:proofErr w:type="spellStart"/>
      <w:r w:rsidR="005A1D2B">
        <w:t>omalizumab</w:t>
      </w:r>
      <w:proofErr w:type="spellEnd"/>
      <w:r w:rsidR="005A1D2B">
        <w:t xml:space="preserve"> (</w:t>
      </w:r>
      <w:proofErr w:type="spellStart"/>
      <w:r w:rsidR="005A1D2B">
        <w:t>rch</w:t>
      </w:r>
      <w:proofErr w:type="spellEnd"/>
      <w:r w:rsidR="005A1D2B">
        <w:t>)</w:t>
      </w:r>
      <w:r>
        <w:t xml:space="preserve"> will be a useful drug for paediatric patients with severe, persistent allergic asthma.</w:t>
      </w:r>
    </w:p>
    <w:p w:rsidR="00984666" w:rsidRDefault="00984666" w:rsidP="00E61628">
      <w:r>
        <w:t xml:space="preserve">Contrary to the Delegate’s statement that </w:t>
      </w:r>
      <w:proofErr w:type="spellStart"/>
      <w:r w:rsidR="005A1D2B">
        <w:t>omalizumab</w:t>
      </w:r>
      <w:proofErr w:type="spellEnd"/>
      <w:r w:rsidR="005A1D2B">
        <w:t xml:space="preserve"> (</w:t>
      </w:r>
      <w:proofErr w:type="spellStart"/>
      <w:r w:rsidR="005A1D2B">
        <w:t>rch</w:t>
      </w:r>
      <w:proofErr w:type="spellEnd"/>
      <w:r w:rsidR="005A1D2B">
        <w:t>)</w:t>
      </w:r>
      <w:r>
        <w:t xml:space="preserve"> is not mentioned in the Australian Asthma Handbook (AAH), Novartis would like to clarify that </w:t>
      </w:r>
      <w:proofErr w:type="spellStart"/>
      <w:r w:rsidR="005A1D2B">
        <w:t>omalizumab</w:t>
      </w:r>
      <w:proofErr w:type="spellEnd"/>
      <w:r w:rsidR="005A1D2B">
        <w:t xml:space="preserve"> (</w:t>
      </w:r>
      <w:proofErr w:type="spellStart"/>
      <w:r w:rsidR="005A1D2B">
        <w:t>rch</w:t>
      </w:r>
      <w:proofErr w:type="spellEnd"/>
      <w:r w:rsidR="005A1D2B">
        <w:t>)</w:t>
      </w:r>
      <w:r>
        <w:t xml:space="preserve"> is in fact recommended in the more complete version of the AAH for difficult to treat patients with severe allergic asthma.</w:t>
      </w:r>
      <w:r w:rsidR="003434C0">
        <w:rPr>
          <w:rStyle w:val="FootnoteReference"/>
        </w:rPr>
        <w:footnoteReference w:id="21"/>
      </w:r>
      <w:r>
        <w:t xml:space="preserve"> The Delegate has only referred and provided a link to AAH ‘Quick Reference Guide’.</w:t>
      </w:r>
    </w:p>
    <w:p w:rsidR="00984666" w:rsidRDefault="00984666" w:rsidP="003434C0">
      <w:pPr>
        <w:pStyle w:val="Heading6"/>
      </w:pPr>
      <w:r>
        <w:t xml:space="preserve">Where would </w:t>
      </w:r>
      <w:proofErr w:type="spellStart"/>
      <w:r w:rsidR="005A1D2B">
        <w:t>omalizumab</w:t>
      </w:r>
      <w:proofErr w:type="spellEnd"/>
      <w:r w:rsidR="005A1D2B">
        <w:t xml:space="preserve"> (</w:t>
      </w:r>
      <w:proofErr w:type="spellStart"/>
      <w:r w:rsidR="005A1D2B">
        <w:t>rch</w:t>
      </w:r>
      <w:proofErr w:type="spellEnd"/>
      <w:r w:rsidR="005A1D2B">
        <w:t>)</w:t>
      </w:r>
      <w:r>
        <w:t xml:space="preserve"> be positioned in a treatment algorithm? Are further studies needed comparing it to these agents needed before it is registered?</w:t>
      </w:r>
    </w:p>
    <w:p w:rsidR="00984666" w:rsidRDefault="00984666" w:rsidP="00E61628">
      <w:r>
        <w:t xml:space="preserve">Similar to the adolescent and adult populations, </w:t>
      </w:r>
      <w:proofErr w:type="spellStart"/>
      <w:r w:rsidR="005A1D2B">
        <w:t>omalizumab</w:t>
      </w:r>
      <w:proofErr w:type="spellEnd"/>
      <w:r w:rsidR="005A1D2B">
        <w:t xml:space="preserve"> (</w:t>
      </w:r>
      <w:proofErr w:type="spellStart"/>
      <w:r w:rsidR="005A1D2B">
        <w:t>rch</w:t>
      </w:r>
      <w:proofErr w:type="spellEnd"/>
      <w:r w:rsidR="005A1D2B">
        <w:t>)</w:t>
      </w:r>
      <w:r>
        <w:t xml:space="preserve"> is intended as a treatment option for some children with </w:t>
      </w:r>
      <w:r w:rsidR="008C1E17">
        <w:t>‘</w:t>
      </w:r>
      <w:r>
        <w:t>difficult to treat asthma</w:t>
      </w:r>
      <w:r w:rsidR="008C1E17">
        <w:t>’</w:t>
      </w:r>
      <w:r>
        <w:t xml:space="preserve"> or </w:t>
      </w:r>
      <w:r w:rsidR="008C1E17">
        <w:t>‘</w:t>
      </w:r>
      <w:r>
        <w:t>severe asthma</w:t>
      </w:r>
      <w:r w:rsidR="008C1E17">
        <w:t>’</w:t>
      </w:r>
      <w:r>
        <w:t xml:space="preserve">. The World Health Organisation Consultation on Severe Asthma proposed a global definition of severe asthma as uncontrolled asthma which can result in risk of frequent severe exacerbations (or death) and/or adverse reactions to medications and/or chronic morbidity (including impaired lung function or reduced lung </w:t>
      </w:r>
      <w:r w:rsidRPr="003434C0">
        <w:t>growth in children).</w:t>
      </w:r>
      <w:r w:rsidR="003434C0" w:rsidRPr="003434C0">
        <w:rPr>
          <w:rStyle w:val="FootnoteReference"/>
        </w:rPr>
        <w:footnoteReference w:id="22"/>
      </w:r>
    </w:p>
    <w:p w:rsidR="00984666" w:rsidRDefault="00984666" w:rsidP="00E61628">
      <w:r>
        <w:t xml:space="preserve">Novartis is of the view that the risk/benefit balance in this difficult to treat patient population has been adequately demonstrated and for this reason no further studies are needed before it is registered. The body of evidence including the results of IA05 and real-world studies indicate that children with severe persistent allergic asthma derive clinically meaningful benefit from </w:t>
      </w:r>
      <w:proofErr w:type="spellStart"/>
      <w:r w:rsidR="005A1D2B">
        <w:t>omalizumab</w:t>
      </w:r>
      <w:proofErr w:type="spellEnd"/>
      <w:r w:rsidR="005A1D2B">
        <w:t xml:space="preserve"> (</w:t>
      </w:r>
      <w:proofErr w:type="spellStart"/>
      <w:r w:rsidR="005A1D2B">
        <w:t>rch</w:t>
      </w:r>
      <w:proofErr w:type="spellEnd"/>
      <w:r w:rsidR="005A1D2B">
        <w:t>)</w:t>
      </w:r>
      <w:r>
        <w:t>. Moreover, the safety profile in children is consistent with the known safety profile in older patients.</w:t>
      </w:r>
    </w:p>
    <w:p w:rsidR="00984666" w:rsidRDefault="00984666" w:rsidP="003434C0">
      <w:pPr>
        <w:pStyle w:val="Heading6"/>
      </w:pPr>
      <w:r>
        <w:t>Should prescription be limited to physicians or paediatricians?</w:t>
      </w:r>
    </w:p>
    <w:p w:rsidR="00984666" w:rsidRDefault="00984666" w:rsidP="00E61628">
      <w:r>
        <w:t>In clinical practice, children and adolescent patients with severe allergic asthma are often presenting routinely to a paediatrician, respiratory physician, clinical immunologist or allergist. Paediatricians will usually refer children with severe life</w:t>
      </w:r>
      <w:r w:rsidR="003434C0">
        <w:t xml:space="preserve"> </w:t>
      </w:r>
      <w:r>
        <w:t>threatening respiratory diseases to paediatric respiratory physicians for expert management. Prescribing for asthma is unlikely to change with the extension of indication proposed within this application hence restricting prescription to paediatricians would potentially create barriers to the Australian clinical practice.</w:t>
      </w:r>
    </w:p>
    <w:p w:rsidR="00984666" w:rsidRDefault="00984666" w:rsidP="003434C0">
      <w:pPr>
        <w:pStyle w:val="Heading5"/>
      </w:pPr>
      <w:r>
        <w:t>Novartis’ response to ‘</w:t>
      </w:r>
      <w:r w:rsidR="00394E08">
        <w:t>unresolved issues’</w:t>
      </w:r>
    </w:p>
    <w:p w:rsidR="00984666" w:rsidRDefault="00984666" w:rsidP="00951939">
      <w:pPr>
        <w:pStyle w:val="Heading6"/>
        <w:keepNext w:val="0"/>
      </w:pPr>
      <w:r>
        <w:t xml:space="preserve">There is still limited experience in the long term use of </w:t>
      </w:r>
      <w:proofErr w:type="spellStart"/>
      <w:r w:rsidR="005A1D2B">
        <w:t>omalizumab</w:t>
      </w:r>
      <w:proofErr w:type="spellEnd"/>
      <w:r w:rsidR="005A1D2B">
        <w:t xml:space="preserve"> (</w:t>
      </w:r>
      <w:proofErr w:type="spellStart"/>
      <w:r w:rsidR="005A1D2B">
        <w:t>rch</w:t>
      </w:r>
      <w:proofErr w:type="spellEnd"/>
      <w:r w:rsidR="005A1D2B">
        <w:t>)</w:t>
      </w:r>
      <w:r>
        <w:t xml:space="preserve"> and when/how to wean the dose. The XPORT study examined the risk of relapse after treatment with </w:t>
      </w:r>
      <w:proofErr w:type="spellStart"/>
      <w:r w:rsidR="005A1D2B">
        <w:t>omalizumab</w:t>
      </w:r>
      <w:proofErr w:type="spellEnd"/>
      <w:r w:rsidR="005A1D2B">
        <w:t xml:space="preserve"> (</w:t>
      </w:r>
      <w:proofErr w:type="spellStart"/>
      <w:r w:rsidR="005A1D2B">
        <w:t>rch</w:t>
      </w:r>
      <w:proofErr w:type="spellEnd"/>
      <w:r w:rsidR="005A1D2B">
        <w:t>)</w:t>
      </w:r>
      <w:r>
        <w:t xml:space="preserve"> or placebo was stopped. On average patients who took </w:t>
      </w:r>
      <w:proofErr w:type="spellStart"/>
      <w:r w:rsidR="005A1D2B">
        <w:t>omalizumab</w:t>
      </w:r>
      <w:proofErr w:type="spellEnd"/>
      <w:r w:rsidR="005A1D2B">
        <w:t xml:space="preserve"> (</w:t>
      </w:r>
      <w:proofErr w:type="spellStart"/>
      <w:r w:rsidR="005A1D2B">
        <w:t>rch</w:t>
      </w:r>
      <w:proofErr w:type="spellEnd"/>
      <w:r w:rsidR="005A1D2B">
        <w:t>)</w:t>
      </w:r>
      <w:r>
        <w:t xml:space="preserve"> had less exacerbations than those treated with placebo. However a subgroup of patients had more exacerbations. It is unknown how </w:t>
      </w:r>
      <w:proofErr w:type="spellStart"/>
      <w:r w:rsidR="005A1D2B">
        <w:t>omalizumab</w:t>
      </w:r>
      <w:proofErr w:type="spellEnd"/>
      <w:r w:rsidR="005A1D2B">
        <w:t xml:space="preserve"> (</w:t>
      </w:r>
      <w:proofErr w:type="spellStart"/>
      <w:r w:rsidR="005A1D2B">
        <w:t>rch</w:t>
      </w:r>
      <w:proofErr w:type="spellEnd"/>
      <w:r w:rsidR="005A1D2B">
        <w:t>)</w:t>
      </w:r>
      <w:r>
        <w:t xml:space="preserve"> compares to other asthma treatments after they are discontinued.</w:t>
      </w:r>
    </w:p>
    <w:p w:rsidR="00984666" w:rsidRDefault="00984666" w:rsidP="00E61628">
      <w:r>
        <w:t>The results of XPORT, conducted in patients with asthma aged 17</w:t>
      </w:r>
      <w:r w:rsidR="003434C0">
        <w:t xml:space="preserve"> to </w:t>
      </w:r>
      <w:r>
        <w:t xml:space="preserve">70 years, demonstrated that time to first protocol-defined exacerbation was longer in the </w:t>
      </w:r>
      <w:proofErr w:type="spellStart"/>
      <w:r w:rsidR="005A1D2B">
        <w:t>omalizumab</w:t>
      </w:r>
      <w:proofErr w:type="spellEnd"/>
      <w:r w:rsidR="005A1D2B">
        <w:t xml:space="preserve"> (</w:t>
      </w:r>
      <w:proofErr w:type="spellStart"/>
      <w:r w:rsidR="005A1D2B">
        <w:t>rch</w:t>
      </w:r>
      <w:proofErr w:type="spellEnd"/>
      <w:r w:rsidR="005A1D2B">
        <w:t>)</w:t>
      </w:r>
      <w:r>
        <w:t xml:space="preserve"> continuation group versus the placebo group (hazard ratio 0.49 [95% confidence interval: 0.28, 0.86]. The difference in exacerbation rates between the two </w:t>
      </w:r>
      <w:r>
        <w:lastRenderedPageBreak/>
        <w:t>groups was apparent even after 4 weeks after randomisation.</w:t>
      </w:r>
      <w:r w:rsidR="003434C0">
        <w:rPr>
          <w:rStyle w:val="FootnoteReference"/>
        </w:rPr>
        <w:footnoteReference w:id="23"/>
      </w:r>
      <w:r>
        <w:t xml:space="preserve"> A relevant question is what happens to asthma control after discontinuation of other controllers; there is evidence that loss of control ensues when asthmatics treated with ICS and a LABA undergo ‘step-down’ to ICS alone</w:t>
      </w:r>
      <w:r w:rsidR="003434C0">
        <w:t>.</w:t>
      </w:r>
      <w:r w:rsidR="003434C0">
        <w:rPr>
          <w:rStyle w:val="FootnoteReference"/>
        </w:rPr>
        <w:footnoteReference w:id="24"/>
      </w:r>
      <w:r>
        <w:t xml:space="preserve"> However, this question has not been extensively addressed, particularly in children.</w:t>
      </w:r>
      <w:r w:rsidR="003434C0">
        <w:rPr>
          <w:rStyle w:val="FootnoteReference"/>
        </w:rPr>
        <w:footnoteReference w:id="25"/>
      </w:r>
      <w:r>
        <w:t xml:space="preserve"> Of note is that the clinical program of </w:t>
      </w:r>
      <w:proofErr w:type="spellStart"/>
      <w:r w:rsidR="005A1D2B">
        <w:t>omalizumab</w:t>
      </w:r>
      <w:proofErr w:type="spellEnd"/>
      <w:r w:rsidR="005A1D2B">
        <w:t xml:space="preserve"> (</w:t>
      </w:r>
      <w:proofErr w:type="spellStart"/>
      <w:r w:rsidR="005A1D2B">
        <w:t>rch</w:t>
      </w:r>
      <w:proofErr w:type="spellEnd"/>
      <w:r w:rsidR="005A1D2B">
        <w:t>)</w:t>
      </w:r>
      <w:r>
        <w:t xml:space="preserve"> in asthmatic children did not demonstrate any evidence of withdrawal or rebound following discontinuation of </w:t>
      </w:r>
      <w:proofErr w:type="spellStart"/>
      <w:r w:rsidR="005A1D2B">
        <w:t>omalizumab</w:t>
      </w:r>
      <w:proofErr w:type="spellEnd"/>
      <w:r w:rsidR="005A1D2B">
        <w:t xml:space="preserve"> (</w:t>
      </w:r>
      <w:proofErr w:type="spellStart"/>
      <w:r w:rsidR="005A1D2B">
        <w:t>rch</w:t>
      </w:r>
      <w:proofErr w:type="spellEnd"/>
      <w:r w:rsidR="005A1D2B">
        <w:t>)</w:t>
      </w:r>
      <w:r>
        <w:t xml:space="preserve"> (Study IA05 follow-up).</w:t>
      </w:r>
    </w:p>
    <w:p w:rsidR="003434C0" w:rsidRDefault="00984666" w:rsidP="003434C0">
      <w:r>
        <w:t xml:space="preserve">In conclusion, the increased risk of exacerbations among adults whose </w:t>
      </w:r>
      <w:proofErr w:type="spellStart"/>
      <w:r w:rsidR="005A1D2B">
        <w:t>omalizumab</w:t>
      </w:r>
      <w:proofErr w:type="spellEnd"/>
      <w:r w:rsidR="005A1D2B">
        <w:t xml:space="preserve"> (</w:t>
      </w:r>
      <w:proofErr w:type="spellStart"/>
      <w:r w:rsidR="005A1D2B">
        <w:t>rch</w:t>
      </w:r>
      <w:proofErr w:type="spellEnd"/>
      <w:r w:rsidR="005A1D2B">
        <w:t>)</w:t>
      </w:r>
      <w:r>
        <w:t xml:space="preserve"> is discontinued after having received long-term treatment is consistent with a benefit on exacerbations that </w:t>
      </w:r>
      <w:proofErr w:type="spellStart"/>
      <w:r w:rsidR="005A1D2B">
        <w:t>omalizumab</w:t>
      </w:r>
      <w:proofErr w:type="spellEnd"/>
      <w:r w:rsidR="005A1D2B">
        <w:t xml:space="preserve"> (</w:t>
      </w:r>
      <w:proofErr w:type="spellStart"/>
      <w:r w:rsidR="005A1D2B">
        <w:t>rch</w:t>
      </w:r>
      <w:proofErr w:type="spellEnd"/>
      <w:r w:rsidR="005A1D2B">
        <w:t>)</w:t>
      </w:r>
      <w:r>
        <w:t xml:space="preserve"> provides in such patients. Whether similar results would be obtained in children receiving long-term treatment with </w:t>
      </w:r>
      <w:proofErr w:type="spellStart"/>
      <w:r w:rsidR="005A1D2B">
        <w:t>omalizumab</w:t>
      </w:r>
      <w:proofErr w:type="spellEnd"/>
      <w:r w:rsidR="005A1D2B">
        <w:t xml:space="preserve"> (</w:t>
      </w:r>
      <w:proofErr w:type="spellStart"/>
      <w:r w:rsidR="005A1D2B">
        <w:t>rch</w:t>
      </w:r>
      <w:proofErr w:type="spellEnd"/>
      <w:r w:rsidR="005A1D2B">
        <w:t>)</w:t>
      </w:r>
      <w:r>
        <w:t xml:space="preserve"> is unknown. Clinicians are advised to base individual treatment decisions regarding stopping</w:t>
      </w:r>
      <w:r w:rsidR="003434C0" w:rsidRPr="003434C0">
        <w:t xml:space="preserve"> </w:t>
      </w:r>
      <w:proofErr w:type="spellStart"/>
      <w:r w:rsidR="005A1D2B">
        <w:t>omalizumab</w:t>
      </w:r>
      <w:proofErr w:type="spellEnd"/>
      <w:r w:rsidR="005A1D2B">
        <w:t xml:space="preserve"> (</w:t>
      </w:r>
      <w:proofErr w:type="spellStart"/>
      <w:r w:rsidR="005A1D2B">
        <w:t>rch</w:t>
      </w:r>
      <w:proofErr w:type="spellEnd"/>
      <w:r w:rsidR="005A1D2B">
        <w:t>)</w:t>
      </w:r>
      <w:r w:rsidR="003434C0">
        <w:t xml:space="preserve"> based on their knowledge of the patient and clinical judgment.</w:t>
      </w:r>
    </w:p>
    <w:p w:rsidR="00984666" w:rsidRDefault="00984666" w:rsidP="003434C0">
      <w:pPr>
        <w:pStyle w:val="Heading6"/>
      </w:pPr>
      <w:r>
        <w:t xml:space="preserve">Most participants in the trials had very high </w:t>
      </w:r>
      <w:proofErr w:type="spellStart"/>
      <w:r>
        <w:t>IgE</w:t>
      </w:r>
      <w:proofErr w:type="spellEnd"/>
      <w:r>
        <w:t xml:space="preserve"> levels. In adults the greatest benefit was shown with </w:t>
      </w:r>
      <w:proofErr w:type="spellStart"/>
      <w:r>
        <w:t>IgE</w:t>
      </w:r>
      <w:proofErr w:type="spellEnd"/>
      <w:r>
        <w:t xml:space="preserve"> levels &gt;75</w:t>
      </w:r>
      <w:r w:rsidR="003434C0">
        <w:t xml:space="preserve"> </w:t>
      </w:r>
      <w:r>
        <w:t>IU/</w:t>
      </w:r>
      <w:proofErr w:type="spellStart"/>
      <w:r>
        <w:t>mL.</w:t>
      </w:r>
      <w:proofErr w:type="spellEnd"/>
      <w:r>
        <w:t xml:space="preserve"> In the EU </w:t>
      </w:r>
      <w:proofErr w:type="spellStart"/>
      <w:r>
        <w:t>SmPC</w:t>
      </w:r>
      <w:proofErr w:type="spellEnd"/>
      <w:r>
        <w:t xml:space="preserve"> it states ‘prescribing physicians should ensure that children (6-12 years of age) with </w:t>
      </w:r>
      <w:proofErr w:type="spellStart"/>
      <w:r>
        <w:t>IgE</w:t>
      </w:r>
      <w:proofErr w:type="spellEnd"/>
      <w:r>
        <w:t xml:space="preserve"> levels &lt;200 IU/mL have unequivocal in vitro reactivity (RAST) to a perennial allergen before starting therapy (however the evidence for this is not clear). Should an </w:t>
      </w:r>
      <w:proofErr w:type="spellStart"/>
      <w:r>
        <w:t>IgE</w:t>
      </w:r>
      <w:proofErr w:type="spellEnd"/>
      <w:r>
        <w:t xml:space="preserve"> level </w:t>
      </w:r>
      <w:r w:rsidR="003434C0">
        <w:t xml:space="preserve">be specified </w:t>
      </w:r>
      <w:r>
        <w:t xml:space="preserve">in the indications or include a statement such as in the EU </w:t>
      </w:r>
      <w:proofErr w:type="spellStart"/>
      <w:r>
        <w:t>SmPC</w:t>
      </w:r>
      <w:proofErr w:type="spellEnd"/>
      <w:r>
        <w:t xml:space="preserve"> in the AU PI?</w:t>
      </w:r>
    </w:p>
    <w:p w:rsidR="00984666" w:rsidRDefault="00984666" w:rsidP="00E61628">
      <w:r>
        <w:t>Given the alternative wording of the indication proposed above, Novartis suggests to include in the ‘</w:t>
      </w:r>
      <w:r w:rsidR="003434C0">
        <w:t xml:space="preserve">Dosage and Administration’ </w:t>
      </w:r>
      <w:r>
        <w:t>section of the PI a statement similar to the one already included in the EU. Prescribing physicians should ensure that children (6 to &lt;</w:t>
      </w:r>
      <w:r w:rsidR="003434C0">
        <w:t xml:space="preserve"> </w:t>
      </w:r>
      <w:r>
        <w:t xml:space="preserve">12 years of age) with </w:t>
      </w:r>
      <w:proofErr w:type="spellStart"/>
      <w:r>
        <w:t>IgE</w:t>
      </w:r>
      <w:proofErr w:type="spellEnd"/>
      <w:r>
        <w:t xml:space="preserve"> levels &lt;200 IU/mL have unequivocal in vitro reactivity (RAST) to a perennial allergen before starting therapy.</w:t>
      </w:r>
    </w:p>
    <w:p w:rsidR="00984666" w:rsidRDefault="00984666" w:rsidP="003434C0">
      <w:pPr>
        <w:pStyle w:val="Heading5"/>
      </w:pPr>
      <w:r>
        <w:t>Comments on additional changes to proposed PI</w:t>
      </w:r>
    </w:p>
    <w:p w:rsidR="00984666" w:rsidRDefault="00984666" w:rsidP="00E61628">
      <w:r>
        <w:t xml:space="preserve">Novartis notes the Delegate’s review of the Australian PI. </w:t>
      </w:r>
      <w:r w:rsidR="003434C0">
        <w:t>The sponsor has</w:t>
      </w:r>
      <w:r>
        <w:t xml:space="preserve"> provided comments on the indication previously in </w:t>
      </w:r>
      <w:r w:rsidR="003434C0">
        <w:t>the</w:t>
      </w:r>
      <w:r>
        <w:t xml:space="preserve"> response. With respect to the changes to the ‘</w:t>
      </w:r>
      <w:r w:rsidR="003434C0">
        <w:t xml:space="preserve">Precautions’ </w:t>
      </w:r>
      <w:r>
        <w:t xml:space="preserve">section, Novartis agrees to include a statement as proposed by the Delegate. Novartis believes it is important to balance this against the needs of patient with lower </w:t>
      </w:r>
      <w:proofErr w:type="spellStart"/>
      <w:r>
        <w:t>IgE</w:t>
      </w:r>
      <w:proofErr w:type="spellEnd"/>
      <w:r>
        <w:t xml:space="preserve"> levels who may derive considerable clinical benefits from </w:t>
      </w:r>
      <w:proofErr w:type="spellStart"/>
      <w:r w:rsidR="005A1D2B">
        <w:t>omalizumab</w:t>
      </w:r>
      <w:proofErr w:type="spellEnd"/>
      <w:r w:rsidR="005A1D2B">
        <w:t xml:space="preserve"> (</w:t>
      </w:r>
      <w:proofErr w:type="spellStart"/>
      <w:r w:rsidR="005A1D2B">
        <w:t>rch</w:t>
      </w:r>
      <w:proofErr w:type="spellEnd"/>
      <w:r w:rsidR="005A1D2B">
        <w:t>)</w:t>
      </w:r>
      <w:r>
        <w:t>. Novartis proposes to include the following statement in ‘</w:t>
      </w:r>
      <w:r w:rsidR="003434C0">
        <w:t xml:space="preserve">Dosage and Administration’ </w:t>
      </w:r>
      <w:r>
        <w:t>section:</w:t>
      </w:r>
    </w:p>
    <w:p w:rsidR="00984666" w:rsidRPr="003434C0" w:rsidRDefault="00984666" w:rsidP="003434C0">
      <w:pPr>
        <w:ind w:left="720"/>
        <w:rPr>
          <w:i/>
        </w:rPr>
      </w:pPr>
      <w:r w:rsidRPr="003434C0">
        <w:rPr>
          <w:i/>
        </w:rPr>
        <w:t xml:space="preserve">Patients with </w:t>
      </w:r>
      <w:proofErr w:type="spellStart"/>
      <w:r w:rsidRPr="003434C0">
        <w:rPr>
          <w:i/>
        </w:rPr>
        <w:t>IgE</w:t>
      </w:r>
      <w:proofErr w:type="spellEnd"/>
      <w:r w:rsidRPr="003434C0">
        <w:rPr>
          <w:i/>
        </w:rPr>
        <w:t xml:space="preserve"> levels below these thresholds may still benefit from treatment. Physicians are urged to use caution in interpreting such tests in patients receiving Xolair (See PRECAUTIONS Interpretation of serum </w:t>
      </w:r>
      <w:proofErr w:type="spellStart"/>
      <w:r w:rsidRPr="003434C0">
        <w:rPr>
          <w:i/>
        </w:rPr>
        <w:t>IgE</w:t>
      </w:r>
      <w:proofErr w:type="spellEnd"/>
      <w:r w:rsidRPr="003434C0">
        <w:rPr>
          <w:i/>
        </w:rPr>
        <w:t xml:space="preserve"> levels, skin patch and skin prick testing).</w:t>
      </w:r>
    </w:p>
    <w:p w:rsidR="00984666" w:rsidRDefault="00984666" w:rsidP="003434C0">
      <w:pPr>
        <w:pStyle w:val="Heading5"/>
      </w:pPr>
      <w:r>
        <w:t>Concluding remarks</w:t>
      </w:r>
    </w:p>
    <w:p w:rsidR="00984666" w:rsidRPr="00984666" w:rsidRDefault="00984666" w:rsidP="00984666">
      <w:r>
        <w:t>It is well recognised that there is an unmet clinical need for an effective treatment in children with severe persistent asthma who experience exacerbations despite the use of available controller medications. Currently paediatric patients tend to be treated with multiple medications, including high</w:t>
      </w:r>
      <w:r w:rsidR="003434C0">
        <w:t xml:space="preserve"> </w:t>
      </w:r>
      <w:r>
        <w:t xml:space="preserve">dose ICS plus a LABA. It is recognised that complete control of severe persistent asthma may not be possible with existing treatments. Leaving these patients poorly controlled on current standard therapies is associated with risks of asthma exacerbations, and the associated morbidity, as well as the major effects of the disease on the quality of life of the parents and families of the patients. Existing treatments </w:t>
      </w:r>
      <w:r>
        <w:lastRenderedPageBreak/>
        <w:t>are also associated with significant toxicities and side</w:t>
      </w:r>
      <w:r w:rsidR="003434C0">
        <w:t xml:space="preserve"> </w:t>
      </w:r>
      <w:r>
        <w:t xml:space="preserve">effects. </w:t>
      </w:r>
      <w:proofErr w:type="spellStart"/>
      <w:r w:rsidR="005A1D2B">
        <w:t>Omalizumab</w:t>
      </w:r>
      <w:proofErr w:type="spellEnd"/>
      <w:r w:rsidR="005A1D2B">
        <w:t xml:space="preserve"> (</w:t>
      </w:r>
      <w:proofErr w:type="spellStart"/>
      <w:r w:rsidR="005A1D2B">
        <w:t>rch</w:t>
      </w:r>
      <w:proofErr w:type="spellEnd"/>
      <w:r w:rsidR="005A1D2B">
        <w:t>)</w:t>
      </w:r>
      <w:r>
        <w:t xml:space="preserve"> has been shown to reduce exacerbation rates and has the added advantage of reducing the use of ICS in children. Novartis welcomes the Delegate’s proposal to approve </w:t>
      </w:r>
      <w:r w:rsidR="003434C0">
        <w:t>this</w:t>
      </w:r>
      <w:r>
        <w:t xml:space="preserve"> application. Restricting the indication to subgroups of baseline </w:t>
      </w:r>
      <w:proofErr w:type="spellStart"/>
      <w:r>
        <w:t>IgE</w:t>
      </w:r>
      <w:proofErr w:type="spellEnd"/>
      <w:r>
        <w:t xml:space="preserve"> may result in fewer children receiving </w:t>
      </w:r>
      <w:proofErr w:type="spellStart"/>
      <w:r w:rsidR="005A1D2B">
        <w:t>omalizumab</w:t>
      </w:r>
      <w:proofErr w:type="spellEnd"/>
      <w:r w:rsidR="005A1D2B">
        <w:t xml:space="preserve"> (</w:t>
      </w:r>
      <w:proofErr w:type="spellStart"/>
      <w:r w:rsidR="005A1D2B">
        <w:t>rch</w:t>
      </w:r>
      <w:proofErr w:type="spellEnd"/>
      <w:r w:rsidR="005A1D2B">
        <w:t>)</w:t>
      </w:r>
      <w:r>
        <w:t xml:space="preserve"> who might otherwise derive considerable clinical benefits.</w:t>
      </w:r>
    </w:p>
    <w:p w:rsidR="008E7846" w:rsidRDefault="008E7846" w:rsidP="00984666">
      <w:pPr>
        <w:pStyle w:val="Heading4"/>
      </w:pPr>
      <w:r>
        <w:t xml:space="preserve">Advisory </w:t>
      </w:r>
      <w:r w:rsidR="00394E08">
        <w:t>committee considerations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E61628" w:rsidRPr="0085777F" w:rsidRDefault="00E61628" w:rsidP="00E61628">
      <w:pPr>
        <w:rPr>
          <w:rFonts w:cs="Arial"/>
        </w:rPr>
      </w:pPr>
      <w:r w:rsidRPr="0085777F">
        <w:rPr>
          <w:rFonts w:cs="Arial"/>
        </w:rPr>
        <w:t xml:space="preserve">The ACPM resolved to recommend to the TGA </w:t>
      </w:r>
      <w:r>
        <w:rPr>
          <w:rFonts w:cs="Arial"/>
        </w:rPr>
        <w:t>delegate</w:t>
      </w:r>
      <w:r w:rsidRPr="0085777F">
        <w:rPr>
          <w:rFonts w:cs="Arial"/>
        </w:rPr>
        <w:t xml:space="preserve"> of the Minister and Secretary that: </w:t>
      </w:r>
    </w:p>
    <w:p w:rsidR="00E61628" w:rsidRPr="00564F6E" w:rsidRDefault="00E61628" w:rsidP="00E61628">
      <w:pPr>
        <w:rPr>
          <w:rFonts w:cs="Calibri"/>
        </w:rPr>
      </w:pPr>
      <w:r w:rsidRPr="0024557B">
        <w:rPr>
          <w:rFonts w:cs="Calibri"/>
        </w:rPr>
        <w:t xml:space="preserve">The ACPM, taking into account the submitted evidence of efficacy, safety and quality, agreed with the Delegate and considered </w:t>
      </w:r>
      <w:r w:rsidR="003434C0" w:rsidRPr="0024557B">
        <w:rPr>
          <w:bCs/>
        </w:rPr>
        <w:t xml:space="preserve">Xolair </w:t>
      </w:r>
      <w:r w:rsidRPr="00761952">
        <w:rPr>
          <w:bCs/>
        </w:rPr>
        <w:t>solution for injection containing 75 mg</w:t>
      </w:r>
      <w:r>
        <w:rPr>
          <w:bCs/>
        </w:rPr>
        <w:t xml:space="preserve"> and 150 mg of </w:t>
      </w:r>
      <w:proofErr w:type="spellStart"/>
      <w:r w:rsidR="005A1D2B">
        <w:rPr>
          <w:bCs/>
        </w:rPr>
        <w:t>omalizumab</w:t>
      </w:r>
      <w:proofErr w:type="spellEnd"/>
      <w:r w:rsidR="005A1D2B">
        <w:rPr>
          <w:bCs/>
        </w:rPr>
        <w:t xml:space="preserve"> </w:t>
      </w:r>
      <w:r w:rsidR="00D0027A">
        <w:rPr>
          <w:bCs/>
        </w:rPr>
        <w:t>(</w:t>
      </w:r>
      <w:proofErr w:type="spellStart"/>
      <w:r w:rsidR="00D0027A">
        <w:rPr>
          <w:bCs/>
        </w:rPr>
        <w:t>rch</w:t>
      </w:r>
      <w:proofErr w:type="spellEnd"/>
      <w:r w:rsidR="00D0027A">
        <w:rPr>
          <w:bCs/>
        </w:rPr>
        <w:t>)</w:t>
      </w:r>
      <w:r w:rsidRPr="0024557B">
        <w:rPr>
          <w:b/>
          <w:bCs/>
        </w:rPr>
        <w:t xml:space="preserve"> </w:t>
      </w:r>
      <w:r w:rsidRPr="0024557B">
        <w:rPr>
          <w:rFonts w:cs="Calibri"/>
        </w:rPr>
        <w:t xml:space="preserve">to have an overall positive benefit–risk profile for the </w:t>
      </w:r>
      <w:r w:rsidR="003434C0">
        <w:rPr>
          <w:rFonts w:cs="Calibri"/>
        </w:rPr>
        <w:t>D</w:t>
      </w:r>
      <w:r>
        <w:rPr>
          <w:rFonts w:cs="Calibri"/>
        </w:rPr>
        <w:t xml:space="preserve">elegate’s </w:t>
      </w:r>
      <w:r w:rsidRPr="0024557B">
        <w:rPr>
          <w:rFonts w:cs="Calibri"/>
        </w:rPr>
        <w:t>amended indication</w:t>
      </w:r>
      <w:r>
        <w:rPr>
          <w:rFonts w:cs="Calibri"/>
        </w:rPr>
        <w:t>:</w:t>
      </w:r>
      <w:r w:rsidRPr="00323107">
        <w:rPr>
          <w:rFonts w:cs="Calibri"/>
        </w:rPr>
        <w:t xml:space="preserve"> </w:t>
      </w:r>
    </w:p>
    <w:p w:rsidR="00E61628" w:rsidRPr="00564F6E" w:rsidRDefault="00E61628" w:rsidP="00E61628">
      <w:pPr>
        <w:pStyle w:val="ListParagraph"/>
        <w:rPr>
          <w:bCs/>
          <w:szCs w:val="22"/>
        </w:rPr>
      </w:pPr>
      <w:r>
        <w:rPr>
          <w:rFonts w:cs="Arial"/>
          <w:bCs/>
          <w:i/>
          <w:iCs/>
          <w:caps/>
          <w:noProof/>
        </w:rPr>
        <w:t>I</w:t>
      </w:r>
      <w:r>
        <w:rPr>
          <w:rFonts w:cs="Arial"/>
          <w:bCs/>
          <w:i/>
          <w:iCs/>
          <w:noProof/>
        </w:rPr>
        <w:t xml:space="preserve">n children aged 6 to 12 years: </w:t>
      </w:r>
      <w:r w:rsidR="00B676BA" w:rsidRPr="00564F6E">
        <w:rPr>
          <w:rFonts w:cs="Arial"/>
          <w:bCs/>
          <w:i/>
          <w:iCs/>
          <w:noProof/>
        </w:rPr>
        <w:t xml:space="preserve">Xolair </w:t>
      </w:r>
      <w:r w:rsidRPr="00564F6E">
        <w:rPr>
          <w:rFonts w:cs="Arial"/>
          <w:bCs/>
          <w:i/>
          <w:iCs/>
          <w:noProof/>
        </w:rPr>
        <w:t>is indicated as add on therapy to improve asthma control in patients with severe persistent allergic asthma despite high dose inhale</w:t>
      </w:r>
      <w:r w:rsidRPr="00C923BC">
        <w:rPr>
          <w:rFonts w:cs="Arial"/>
          <w:bCs/>
          <w:i/>
          <w:iCs/>
          <w:noProof/>
        </w:rPr>
        <w:t>d corticosteroids.</w:t>
      </w:r>
    </w:p>
    <w:p w:rsidR="00E61628" w:rsidRPr="00DA23FB" w:rsidRDefault="00E61628" w:rsidP="00E61628">
      <w:pPr>
        <w:rPr>
          <w:b/>
          <w:bCs/>
          <w:i/>
        </w:rPr>
      </w:pPr>
      <w:r w:rsidRPr="00DA23FB">
        <w:rPr>
          <w:b/>
          <w:bCs/>
          <w:i/>
        </w:rPr>
        <w:t>Proposed conditions of registration</w:t>
      </w:r>
    </w:p>
    <w:p w:rsidR="00E24628" w:rsidRDefault="00E61628" w:rsidP="00E61628">
      <w:pPr>
        <w:rPr>
          <w:bCs/>
        </w:rPr>
      </w:pPr>
      <w:r w:rsidRPr="002848CC">
        <w:rPr>
          <w:bCs/>
        </w:rPr>
        <w:t xml:space="preserve">The ACPM agreed with the </w:t>
      </w:r>
      <w:r w:rsidR="003434C0">
        <w:rPr>
          <w:bCs/>
        </w:rPr>
        <w:t>D</w:t>
      </w:r>
      <w:r w:rsidRPr="002848CC">
        <w:rPr>
          <w:bCs/>
        </w:rPr>
        <w:t>elegate on the proposed conditions of registration</w:t>
      </w:r>
      <w:r w:rsidR="00E24628">
        <w:rPr>
          <w:bCs/>
        </w:rPr>
        <w:t>.</w:t>
      </w:r>
    </w:p>
    <w:p w:rsidR="00E61628" w:rsidRPr="00D724FC" w:rsidRDefault="00E61628" w:rsidP="00E61628">
      <w:pPr>
        <w:spacing w:after="0"/>
        <w:rPr>
          <w:b/>
          <w:bCs/>
          <w:i/>
          <w:u w:val="single"/>
        </w:rPr>
      </w:pPr>
      <w:r w:rsidRPr="00D724FC">
        <w:rPr>
          <w:b/>
          <w:bCs/>
          <w:i/>
        </w:rPr>
        <w:t>Proposed Product Information (PI)/Consumer Medicine Information (CMI) amendments</w:t>
      </w:r>
    </w:p>
    <w:p w:rsidR="00E61628" w:rsidRPr="002848CC" w:rsidRDefault="00E61628" w:rsidP="00E61628">
      <w:pPr>
        <w:rPr>
          <w:bCs/>
        </w:rPr>
      </w:pPr>
      <w:r w:rsidRPr="002848CC">
        <w:rPr>
          <w:bCs/>
        </w:rPr>
        <w:t xml:space="preserve">The ACPM agreed with the </w:t>
      </w:r>
      <w:r w:rsidR="003434C0">
        <w:rPr>
          <w:bCs/>
        </w:rPr>
        <w:t>D</w:t>
      </w:r>
      <w:r w:rsidRPr="002848CC">
        <w:rPr>
          <w:bCs/>
        </w:rPr>
        <w:t xml:space="preserve">elegate to the proposed amendments to the Product Information (PI) and Consumer Medicine Information (CMI) and specifically advised on the inclusion of the following: </w:t>
      </w:r>
    </w:p>
    <w:p w:rsidR="00E61628" w:rsidRDefault="00E61628" w:rsidP="003434C0">
      <w:pPr>
        <w:pStyle w:val="ListBullet"/>
      </w:pPr>
      <w:r>
        <w:t>Inclusion of the full data from Study IA05 but data from Study IA 010, which only looked at mild asthma, should be deleted.</w:t>
      </w:r>
    </w:p>
    <w:p w:rsidR="00E61628" w:rsidRPr="00BB04E9" w:rsidRDefault="00E61628" w:rsidP="003434C0">
      <w:pPr>
        <w:pStyle w:val="ListBullet"/>
      </w:pPr>
      <w:r>
        <w:t xml:space="preserve">Inclusion of the </w:t>
      </w:r>
      <w:proofErr w:type="spellStart"/>
      <w:r>
        <w:t>IgE</w:t>
      </w:r>
      <w:proofErr w:type="spellEnd"/>
      <w:r>
        <w:t xml:space="preserve"> levels above which treatment may be initiated in the </w:t>
      </w:r>
      <w:r w:rsidR="003434C0">
        <w:t xml:space="preserve">Dosage </w:t>
      </w:r>
      <w:r>
        <w:t xml:space="preserve">and </w:t>
      </w:r>
      <w:r w:rsidR="003434C0">
        <w:t xml:space="preserve">Administration </w:t>
      </w:r>
      <w:r>
        <w:t>section rather than the indication.</w:t>
      </w:r>
    </w:p>
    <w:p w:rsidR="00E61628" w:rsidRPr="0085777F" w:rsidRDefault="00E61628" w:rsidP="003434C0">
      <w:pPr>
        <w:pStyle w:val="Heading5"/>
      </w:pPr>
      <w:r w:rsidRPr="0085777F">
        <w:t>Specific advice</w:t>
      </w:r>
    </w:p>
    <w:p w:rsidR="00E61628" w:rsidRPr="0085777F" w:rsidRDefault="00E61628" w:rsidP="00E61628">
      <w:pPr>
        <w:rPr>
          <w:rFonts w:cs="Arial"/>
        </w:rPr>
      </w:pPr>
      <w:r w:rsidRPr="0085777F">
        <w:rPr>
          <w:rFonts w:cs="Arial"/>
        </w:rPr>
        <w:t xml:space="preserve">The ACPM advised the following in response to the specific </w:t>
      </w:r>
      <w:r w:rsidR="003434C0">
        <w:rPr>
          <w:rFonts w:cs="Arial"/>
        </w:rPr>
        <w:t>D</w:t>
      </w:r>
      <w:r>
        <w:rPr>
          <w:rFonts w:cs="Arial"/>
        </w:rPr>
        <w:t>elegate</w:t>
      </w:r>
      <w:r w:rsidRPr="0085777F">
        <w:rPr>
          <w:rFonts w:cs="Arial"/>
        </w:rPr>
        <w:t>’s questions on this submission:</w:t>
      </w:r>
    </w:p>
    <w:p w:rsidR="00E61628" w:rsidRPr="003434C0" w:rsidRDefault="00E61628" w:rsidP="003434C0">
      <w:pPr>
        <w:pStyle w:val="Numberbullet0"/>
        <w:numPr>
          <w:ilvl w:val="0"/>
          <w:numId w:val="36"/>
        </w:numPr>
        <w:rPr>
          <w:i/>
        </w:rPr>
      </w:pPr>
      <w:r w:rsidRPr="003434C0">
        <w:rPr>
          <w:i/>
        </w:rPr>
        <w:t>Please comment on the discrepant results for exacerbations, ICS dose reductions, ED presentations, symptom scores and use of rescue medications in the clinical trials?</w:t>
      </w:r>
      <w:r w:rsidR="006750C7" w:rsidRPr="003434C0">
        <w:rPr>
          <w:i/>
        </w:rPr>
        <w:t xml:space="preserve"> </w:t>
      </w:r>
      <w:r w:rsidRPr="003434C0">
        <w:rPr>
          <w:i/>
        </w:rPr>
        <w:t>What are the most important outcomes in children?</w:t>
      </w:r>
    </w:p>
    <w:p w:rsidR="00E24628" w:rsidRDefault="00E61628" w:rsidP="00E61628">
      <w:pPr>
        <w:rPr>
          <w:iCs/>
        </w:rPr>
      </w:pPr>
      <w:r>
        <w:rPr>
          <w:iCs/>
        </w:rPr>
        <w:t>The ACPM considered that the d</w:t>
      </w:r>
      <w:r w:rsidRPr="0089403A">
        <w:rPr>
          <w:iCs/>
        </w:rPr>
        <w:t xml:space="preserve">iscrepancies in exacerbation frequency may have arisen from the designs of the studies which included children with mild and moderate asthma. The </w:t>
      </w:r>
      <w:r>
        <w:rPr>
          <w:iCs/>
        </w:rPr>
        <w:t xml:space="preserve">ACPM advised that the </w:t>
      </w:r>
      <w:r w:rsidRPr="0089403A">
        <w:rPr>
          <w:iCs/>
        </w:rPr>
        <w:t xml:space="preserve">most significant benefit of </w:t>
      </w:r>
      <w:r w:rsidR="003434C0">
        <w:rPr>
          <w:iCs/>
        </w:rPr>
        <w:t xml:space="preserve">Xolair </w:t>
      </w:r>
      <w:r w:rsidRPr="0089403A">
        <w:rPr>
          <w:iCs/>
        </w:rPr>
        <w:t xml:space="preserve">is in </w:t>
      </w:r>
      <w:r>
        <w:rPr>
          <w:iCs/>
        </w:rPr>
        <w:t xml:space="preserve">the </w:t>
      </w:r>
      <w:r w:rsidRPr="0089403A">
        <w:rPr>
          <w:iCs/>
        </w:rPr>
        <w:t xml:space="preserve">reduction of </w:t>
      </w:r>
      <w:r>
        <w:rPr>
          <w:iCs/>
        </w:rPr>
        <w:t>clinically significant exacerbations</w:t>
      </w:r>
      <w:r w:rsidRPr="0089403A">
        <w:rPr>
          <w:iCs/>
        </w:rPr>
        <w:t xml:space="preserve"> an</w:t>
      </w:r>
      <w:r>
        <w:rPr>
          <w:iCs/>
        </w:rPr>
        <w:t>d concomitant corticosteroid reduction</w:t>
      </w:r>
      <w:r w:rsidR="00E24628">
        <w:rPr>
          <w:iCs/>
        </w:rPr>
        <w:t>.</w:t>
      </w:r>
    </w:p>
    <w:p w:rsidR="00E61628" w:rsidRPr="002A4A65" w:rsidRDefault="00E61628" w:rsidP="002A4A65">
      <w:pPr>
        <w:pStyle w:val="Numberbullet0"/>
        <w:rPr>
          <w:i/>
        </w:rPr>
      </w:pPr>
      <w:r w:rsidRPr="002A4A65">
        <w:rPr>
          <w:i/>
        </w:rPr>
        <w:t xml:space="preserve">Should the indications specify an </w:t>
      </w:r>
      <w:proofErr w:type="spellStart"/>
      <w:r w:rsidRPr="002A4A65">
        <w:rPr>
          <w:i/>
        </w:rPr>
        <w:t>IgE</w:t>
      </w:r>
      <w:proofErr w:type="spellEnd"/>
      <w:r w:rsidRPr="002A4A65">
        <w:rPr>
          <w:i/>
        </w:rPr>
        <w:t xml:space="preserve"> level (</w:t>
      </w:r>
      <w:proofErr w:type="spellStart"/>
      <w:r w:rsidRPr="002A4A65">
        <w:rPr>
          <w:i/>
        </w:rPr>
        <w:t>eg</w:t>
      </w:r>
      <w:proofErr w:type="spellEnd"/>
      <w:r w:rsidRPr="002A4A65">
        <w:rPr>
          <w:i/>
        </w:rPr>
        <w:t xml:space="preserve"> over 30</w:t>
      </w:r>
      <w:r w:rsidR="002A4A65">
        <w:rPr>
          <w:i/>
        </w:rPr>
        <w:t xml:space="preserve"> </w:t>
      </w:r>
      <w:r w:rsidRPr="002A4A65">
        <w:rPr>
          <w:i/>
        </w:rPr>
        <w:t>IU/m</w:t>
      </w:r>
      <w:r w:rsidR="002A4A65">
        <w:rPr>
          <w:i/>
        </w:rPr>
        <w:t>L</w:t>
      </w:r>
      <w:r w:rsidRPr="002A4A65">
        <w:rPr>
          <w:i/>
        </w:rPr>
        <w:t xml:space="preserve"> or 75 IU/m</w:t>
      </w:r>
      <w:r w:rsidR="002A4A65">
        <w:rPr>
          <w:i/>
        </w:rPr>
        <w:t>L</w:t>
      </w:r>
      <w:r w:rsidRPr="002A4A65">
        <w:rPr>
          <w:i/>
        </w:rPr>
        <w:t>)?</w:t>
      </w:r>
    </w:p>
    <w:p w:rsidR="00E61628" w:rsidRPr="00CE52B8" w:rsidRDefault="00E61628" w:rsidP="00E61628">
      <w:pPr>
        <w:rPr>
          <w:lang w:val="en-US"/>
        </w:rPr>
      </w:pPr>
      <w:r w:rsidRPr="0089403A">
        <w:rPr>
          <w:iCs/>
        </w:rPr>
        <w:t xml:space="preserve">The ACPM advised that </w:t>
      </w:r>
      <w:r w:rsidR="002A4A65" w:rsidRPr="0089403A">
        <w:rPr>
          <w:iCs/>
        </w:rPr>
        <w:t xml:space="preserve">Xolair </w:t>
      </w:r>
      <w:r w:rsidRPr="0089403A">
        <w:rPr>
          <w:iCs/>
        </w:rPr>
        <w:t xml:space="preserve">is suitable only for atopic patients with </w:t>
      </w:r>
      <w:proofErr w:type="spellStart"/>
      <w:r w:rsidRPr="0089403A">
        <w:rPr>
          <w:iCs/>
        </w:rPr>
        <w:t>IgE</w:t>
      </w:r>
      <w:proofErr w:type="spellEnd"/>
      <w:r w:rsidRPr="0089403A">
        <w:rPr>
          <w:iCs/>
        </w:rPr>
        <w:t xml:space="preserve"> &gt; 30 IU/mL </w:t>
      </w:r>
      <w:r>
        <w:rPr>
          <w:lang w:val="en-US"/>
        </w:rPr>
        <w:t>and that this should be reflected in the dosing and administration section of the PI rather than inclusion in the indication.</w:t>
      </w:r>
    </w:p>
    <w:p w:rsidR="00E61628" w:rsidRPr="00DB2E2D" w:rsidRDefault="00E61628" w:rsidP="002A4A65">
      <w:pPr>
        <w:pStyle w:val="Numberbullet0"/>
      </w:pPr>
      <w:r w:rsidRPr="002A4A65">
        <w:rPr>
          <w:i/>
        </w:rPr>
        <w:t>Is there a clinical need for this medication</w:t>
      </w:r>
      <w:r w:rsidRPr="00DB2E2D">
        <w:t>?</w:t>
      </w:r>
    </w:p>
    <w:p w:rsidR="00E61628" w:rsidRPr="0024557B" w:rsidRDefault="00E61628" w:rsidP="00E61628">
      <w:pPr>
        <w:rPr>
          <w:iCs/>
          <w:lang w:val="en-US"/>
        </w:rPr>
      </w:pPr>
      <w:r>
        <w:rPr>
          <w:iCs/>
          <w:lang w:val="en-US"/>
        </w:rPr>
        <w:lastRenderedPageBreak/>
        <w:t>The ACPM</w:t>
      </w:r>
      <w:r w:rsidRPr="0024557B">
        <w:rPr>
          <w:iCs/>
          <w:lang w:val="en-US"/>
        </w:rPr>
        <w:t xml:space="preserve"> noted that there is no other biological medicine available for the treatment of asthma </w:t>
      </w:r>
      <w:r w:rsidRPr="00DB2E2D">
        <w:rPr>
          <w:iCs/>
          <w:lang w:val="en-US"/>
        </w:rPr>
        <w:t xml:space="preserve">which remains a life-threatening and lung-damaging chronic condition. </w:t>
      </w:r>
      <w:r>
        <w:rPr>
          <w:iCs/>
          <w:lang w:val="en-US"/>
        </w:rPr>
        <w:t xml:space="preserve">The ACPM advised </w:t>
      </w:r>
      <w:r w:rsidRPr="0024557B">
        <w:rPr>
          <w:iCs/>
          <w:lang w:val="en-US"/>
        </w:rPr>
        <w:t xml:space="preserve">that </w:t>
      </w:r>
      <w:r w:rsidR="002A4A65" w:rsidRPr="0024557B">
        <w:rPr>
          <w:iCs/>
          <w:lang w:val="en-US"/>
        </w:rPr>
        <w:t xml:space="preserve">Xolair </w:t>
      </w:r>
      <w:r w:rsidRPr="0024557B">
        <w:rPr>
          <w:iCs/>
          <w:lang w:val="en-US"/>
        </w:rPr>
        <w:t>has a role in preventing exacerbations in selected patients with severe asthma.</w:t>
      </w:r>
    </w:p>
    <w:p w:rsidR="00E61628" w:rsidRPr="002A4A65" w:rsidRDefault="00E61628" w:rsidP="002A4A65">
      <w:pPr>
        <w:pStyle w:val="Numberbullet0"/>
        <w:rPr>
          <w:i/>
        </w:rPr>
      </w:pPr>
      <w:r w:rsidRPr="002A4A65">
        <w:rPr>
          <w:i/>
        </w:rPr>
        <w:t xml:space="preserve">Where would </w:t>
      </w:r>
      <w:proofErr w:type="spellStart"/>
      <w:r w:rsidR="005A1D2B">
        <w:rPr>
          <w:i/>
        </w:rPr>
        <w:t>omalizumab</w:t>
      </w:r>
      <w:proofErr w:type="spellEnd"/>
      <w:r w:rsidR="005A1D2B">
        <w:rPr>
          <w:i/>
        </w:rPr>
        <w:t xml:space="preserve"> (</w:t>
      </w:r>
      <w:proofErr w:type="spellStart"/>
      <w:r w:rsidR="005A1D2B">
        <w:rPr>
          <w:i/>
        </w:rPr>
        <w:t>rch</w:t>
      </w:r>
      <w:proofErr w:type="spellEnd"/>
      <w:r w:rsidR="005A1D2B">
        <w:rPr>
          <w:i/>
        </w:rPr>
        <w:t>)</w:t>
      </w:r>
      <w:r w:rsidRPr="002A4A65">
        <w:rPr>
          <w:i/>
        </w:rPr>
        <w:t xml:space="preserve"> be positioned in a treatment algorithm? Are further studies needed comparing it to these agents needed before it is registered? </w:t>
      </w:r>
    </w:p>
    <w:p w:rsidR="00E61628" w:rsidRPr="0024557B" w:rsidRDefault="00E61628" w:rsidP="00E61628">
      <w:pPr>
        <w:rPr>
          <w:rFonts w:cs="Arial"/>
        </w:rPr>
      </w:pPr>
      <w:r>
        <w:rPr>
          <w:iCs/>
        </w:rPr>
        <w:t xml:space="preserve">The ACPM was of the view </w:t>
      </w:r>
      <w:proofErr w:type="spellStart"/>
      <w:r w:rsidR="005A1D2B">
        <w:rPr>
          <w:iCs/>
        </w:rPr>
        <w:t>omalizumab</w:t>
      </w:r>
      <w:proofErr w:type="spellEnd"/>
      <w:r w:rsidR="005A1D2B">
        <w:rPr>
          <w:iCs/>
        </w:rPr>
        <w:t xml:space="preserve"> (</w:t>
      </w:r>
      <w:proofErr w:type="spellStart"/>
      <w:r w:rsidR="005A1D2B">
        <w:rPr>
          <w:iCs/>
        </w:rPr>
        <w:t>rch</w:t>
      </w:r>
      <w:proofErr w:type="spellEnd"/>
      <w:r w:rsidR="005A1D2B">
        <w:rPr>
          <w:iCs/>
        </w:rPr>
        <w:t>)</w:t>
      </w:r>
      <w:r>
        <w:rPr>
          <w:iCs/>
        </w:rPr>
        <w:t xml:space="preserve"> should only be used in patients with severe asthma. </w:t>
      </w:r>
      <w:r w:rsidRPr="0024557B">
        <w:rPr>
          <w:iCs/>
        </w:rPr>
        <w:t xml:space="preserve">More data from the use of </w:t>
      </w:r>
      <w:r w:rsidR="002A4A65" w:rsidRPr="0024557B">
        <w:rPr>
          <w:iCs/>
        </w:rPr>
        <w:t xml:space="preserve">Xolair </w:t>
      </w:r>
      <w:r w:rsidRPr="0024557B">
        <w:rPr>
          <w:iCs/>
        </w:rPr>
        <w:t>in the target group (children with severe asthma) would be useful however there is sufficient experience in older patients to allow it to be registered for use in children.</w:t>
      </w:r>
    </w:p>
    <w:p w:rsidR="00E61628" w:rsidRPr="002A4A65" w:rsidRDefault="00E61628" w:rsidP="002A4A65">
      <w:pPr>
        <w:pStyle w:val="Numberbullet0"/>
        <w:rPr>
          <w:i/>
        </w:rPr>
      </w:pPr>
      <w:r w:rsidRPr="002A4A65">
        <w:rPr>
          <w:i/>
        </w:rPr>
        <w:t>Should prescription be limited to physicians or paediatricians?</w:t>
      </w:r>
    </w:p>
    <w:p w:rsidR="00E61628" w:rsidRPr="0024557B" w:rsidRDefault="00E61628" w:rsidP="00E61628">
      <w:pPr>
        <w:autoSpaceDE w:val="0"/>
        <w:autoSpaceDN w:val="0"/>
        <w:adjustRightInd w:val="0"/>
        <w:spacing w:after="0"/>
        <w:rPr>
          <w:rFonts w:eastAsiaTheme="minorHAnsi" w:cs="Arial"/>
        </w:rPr>
      </w:pPr>
      <w:r w:rsidRPr="0024557B">
        <w:rPr>
          <w:iCs/>
        </w:rPr>
        <w:t xml:space="preserve">The ACPM was of the view that </w:t>
      </w:r>
      <w:r w:rsidR="002A4A65" w:rsidRPr="0024557B">
        <w:rPr>
          <w:iCs/>
        </w:rPr>
        <w:t xml:space="preserve">Xolair </w:t>
      </w:r>
      <w:r w:rsidRPr="0024557B">
        <w:rPr>
          <w:iCs/>
        </w:rPr>
        <w:t>should be available to experienced asthma specialists to limit exposure to inhaled and systemic stero</w:t>
      </w:r>
      <w:r>
        <w:rPr>
          <w:iCs/>
        </w:rPr>
        <w:t>ids and prevent exacerbations.</w:t>
      </w:r>
    </w:p>
    <w:p w:rsidR="00E61628" w:rsidRPr="002A4A65" w:rsidRDefault="00E61628" w:rsidP="00E61628">
      <w:pPr>
        <w:autoSpaceDE w:val="0"/>
        <w:autoSpaceDN w:val="0"/>
        <w:adjustRightInd w:val="0"/>
        <w:spacing w:after="0"/>
        <w:rPr>
          <w:rFonts w:cs="Arial"/>
        </w:rPr>
      </w:pPr>
      <w:r w:rsidRPr="0024557B">
        <w:rPr>
          <w:rFonts w:eastAsiaTheme="minorHAnsi" w:cs="Arial"/>
        </w:rPr>
        <w:t>The ACPM advised that the implementation by the sponsor of the recommendations</w:t>
      </w:r>
      <w:r>
        <w:rPr>
          <w:rFonts w:eastAsiaTheme="minorHAnsi" w:cs="Arial"/>
        </w:rPr>
        <w:t xml:space="preserve"> </w:t>
      </w:r>
      <w:r w:rsidRPr="0024557B">
        <w:rPr>
          <w:rFonts w:eastAsiaTheme="minorHAnsi" w:cs="Arial"/>
        </w:rPr>
        <w:t>outlined above to the satisfaction of the TGA, in addition to the evidence of efficacy and</w:t>
      </w:r>
      <w:r>
        <w:rPr>
          <w:rFonts w:eastAsiaTheme="minorHAnsi" w:cs="Arial"/>
        </w:rPr>
        <w:t xml:space="preserve"> </w:t>
      </w:r>
      <w:r w:rsidRPr="0024557B">
        <w:rPr>
          <w:rFonts w:eastAsiaTheme="minorHAnsi" w:cs="Arial"/>
        </w:rPr>
        <w:t xml:space="preserve">safety provided would support the safe and </w:t>
      </w:r>
      <w:r w:rsidRPr="002A4A65">
        <w:rPr>
          <w:rFonts w:eastAsiaTheme="minorHAnsi" w:cs="Arial"/>
        </w:rPr>
        <w:t>effective use of these products.</w:t>
      </w:r>
    </w:p>
    <w:p w:rsidR="008E7846" w:rsidRPr="002E238E" w:rsidRDefault="008E7846" w:rsidP="008E7846">
      <w:pPr>
        <w:pStyle w:val="Heading3"/>
      </w:pPr>
      <w:bookmarkStart w:id="221" w:name="_Toc247691532"/>
      <w:bookmarkStart w:id="222" w:name="_Toc314842516"/>
      <w:bookmarkStart w:id="223" w:name="_Toc454447860"/>
      <w:bookmarkEnd w:id="102"/>
      <w:bookmarkEnd w:id="218"/>
      <w:bookmarkEnd w:id="219"/>
      <w:r>
        <w:t>Outcome</w:t>
      </w:r>
      <w:bookmarkEnd w:id="221"/>
      <w:bookmarkEnd w:id="222"/>
      <w:bookmarkEnd w:id="223"/>
    </w:p>
    <w:p w:rsidR="00906B11" w:rsidRDefault="00D23139" w:rsidP="00906B11">
      <w:bookmarkStart w:id="224" w:name="_Toc247691533"/>
      <w:bookmarkStart w:id="225" w:name="_Toc314842517"/>
      <w:r w:rsidRPr="00906B11">
        <w:t xml:space="preserve">Based on a review of quality, safety and efficacy, TGA approved the registration </w:t>
      </w:r>
      <w:r w:rsidR="002A4A65">
        <w:t xml:space="preserve">of </w:t>
      </w:r>
      <w:r w:rsidR="002A4A65" w:rsidRPr="00906B11">
        <w:t xml:space="preserve">Xolair </w:t>
      </w:r>
      <w:proofErr w:type="spellStart"/>
      <w:r w:rsidR="005A1D2B">
        <w:t>omalizumab</w:t>
      </w:r>
      <w:proofErr w:type="spellEnd"/>
      <w:r w:rsidR="005A1D2B">
        <w:t xml:space="preserve"> </w:t>
      </w:r>
      <w:r w:rsidR="00D0027A">
        <w:t>(</w:t>
      </w:r>
      <w:proofErr w:type="spellStart"/>
      <w:r w:rsidR="00D0027A">
        <w:t>rch</w:t>
      </w:r>
      <w:proofErr w:type="spellEnd"/>
      <w:r w:rsidR="00D0027A">
        <w:t>)</w:t>
      </w:r>
      <w:r w:rsidR="00906B11" w:rsidRPr="00906B11">
        <w:t xml:space="preserve"> 75mg powder for injection vial with diluent ampoule AUST R</w:t>
      </w:r>
      <w:r w:rsidR="006750C7">
        <w:t xml:space="preserve"> </w:t>
      </w:r>
      <w:r w:rsidR="00906B11" w:rsidRPr="00906B11">
        <w:t>115399;</w:t>
      </w:r>
      <w:r w:rsidR="006750C7">
        <w:t xml:space="preserve"> </w:t>
      </w:r>
      <w:r w:rsidR="002A4A65" w:rsidRPr="00906B11">
        <w:t xml:space="preserve">Xolair </w:t>
      </w:r>
      <w:proofErr w:type="spellStart"/>
      <w:r w:rsidR="005A1D2B">
        <w:t>omalizumab</w:t>
      </w:r>
      <w:proofErr w:type="spellEnd"/>
      <w:r w:rsidR="005A1D2B">
        <w:t xml:space="preserve"> </w:t>
      </w:r>
      <w:r w:rsidR="00D0027A">
        <w:t>(</w:t>
      </w:r>
      <w:proofErr w:type="spellStart"/>
      <w:r w:rsidR="00D0027A">
        <w:t>rch</w:t>
      </w:r>
      <w:proofErr w:type="spellEnd"/>
      <w:r w:rsidR="00D0027A">
        <w:t>)</w:t>
      </w:r>
      <w:r w:rsidR="00906B11" w:rsidRPr="00906B11">
        <w:t xml:space="preserve"> 150mg powder for injection vial with diluent ampoule AUST R</w:t>
      </w:r>
      <w:r w:rsidR="006750C7">
        <w:t xml:space="preserve"> </w:t>
      </w:r>
      <w:r w:rsidR="00906B11" w:rsidRPr="00906B11">
        <w:t xml:space="preserve">82744; </w:t>
      </w:r>
      <w:r w:rsidR="002A4A65" w:rsidRPr="00906B11">
        <w:t xml:space="preserve">Xolair </w:t>
      </w:r>
      <w:proofErr w:type="spellStart"/>
      <w:r w:rsidR="005A1D2B">
        <w:t>omalizumab</w:t>
      </w:r>
      <w:proofErr w:type="spellEnd"/>
      <w:r w:rsidR="005A1D2B">
        <w:t xml:space="preserve"> </w:t>
      </w:r>
      <w:r w:rsidR="00D0027A">
        <w:t>(</w:t>
      </w:r>
      <w:proofErr w:type="spellStart"/>
      <w:r w:rsidR="00D0027A">
        <w:t>rch</w:t>
      </w:r>
      <w:proofErr w:type="spellEnd"/>
      <w:r w:rsidR="00D0027A">
        <w:t>)</w:t>
      </w:r>
      <w:r w:rsidR="00906B11" w:rsidRPr="00906B11">
        <w:t xml:space="preserve"> 75 mg solution for injection pre-filled syringe AUST R 201124; </w:t>
      </w:r>
      <w:r w:rsidR="002A4A65" w:rsidRPr="00906B11">
        <w:t xml:space="preserve">Xolair </w:t>
      </w:r>
      <w:proofErr w:type="spellStart"/>
      <w:r w:rsidR="005A1D2B">
        <w:t>omalizumab</w:t>
      </w:r>
      <w:proofErr w:type="spellEnd"/>
      <w:r w:rsidR="005A1D2B">
        <w:t xml:space="preserve"> </w:t>
      </w:r>
      <w:r w:rsidR="00D0027A">
        <w:t>(</w:t>
      </w:r>
      <w:proofErr w:type="spellStart"/>
      <w:r w:rsidR="00D0027A">
        <w:t>rch</w:t>
      </w:r>
      <w:proofErr w:type="spellEnd"/>
      <w:r w:rsidR="00D0027A">
        <w:t>)</w:t>
      </w:r>
      <w:r w:rsidR="00906B11" w:rsidRPr="00906B11">
        <w:t xml:space="preserve"> 150 mg solution for injection pre-filled syringe AUST R 201126, for the new indication: </w:t>
      </w:r>
    </w:p>
    <w:p w:rsidR="00906B11" w:rsidRPr="00906B11" w:rsidRDefault="00906B11" w:rsidP="00906B11">
      <w:pPr>
        <w:ind w:left="720"/>
        <w:rPr>
          <w:i/>
        </w:rPr>
      </w:pPr>
      <w:r w:rsidRPr="00906B11">
        <w:rPr>
          <w:i/>
        </w:rPr>
        <w:t>Children 6 to &lt; 12 years of age</w:t>
      </w:r>
    </w:p>
    <w:p w:rsidR="00906B11" w:rsidRPr="00906B11" w:rsidRDefault="00906B11" w:rsidP="00906B11">
      <w:pPr>
        <w:ind w:left="720"/>
        <w:rPr>
          <w:i/>
        </w:rPr>
      </w:pPr>
      <w:r w:rsidRPr="00906B11">
        <w:rPr>
          <w:rFonts w:eastAsia="MS Mincho"/>
          <w:i/>
          <w:lang w:eastAsia="ja-JP"/>
        </w:rPr>
        <w:t xml:space="preserve">In children aged 6 to &lt;12 years, Xolair is indicated as add-on therapy to improve asthma control in patients with severe allergic asthma who have documented exacerbations </w:t>
      </w:r>
      <w:r w:rsidRPr="00906B11">
        <w:rPr>
          <w:rFonts w:eastAsia="MS Mincho"/>
          <w:i/>
          <w:lang w:eastAsia="ja-JP"/>
        </w:rPr>
        <w:tab/>
        <w:t>despite daily high dose inhaled corticosteroids, and who have immunoglobulin E levels</w:t>
      </w:r>
      <w:r w:rsidR="006750C7">
        <w:rPr>
          <w:rFonts w:eastAsia="MS Mincho"/>
          <w:i/>
          <w:lang w:eastAsia="ja-JP"/>
        </w:rPr>
        <w:t xml:space="preserve"> </w:t>
      </w:r>
      <w:r w:rsidRPr="00906B11">
        <w:rPr>
          <w:rFonts w:eastAsia="MS Mincho"/>
          <w:i/>
          <w:lang w:eastAsia="ja-JP"/>
        </w:rPr>
        <w:t xml:space="preserve">corresponding to the recommended dose range (see Table 10 under </w:t>
      </w:r>
      <w:r w:rsidR="008C1E17">
        <w:rPr>
          <w:rFonts w:eastAsia="MS Mincho"/>
          <w:i/>
          <w:lang w:eastAsia="ja-JP"/>
        </w:rPr>
        <w:t>‘</w:t>
      </w:r>
      <w:r w:rsidRPr="00906B11">
        <w:rPr>
          <w:rFonts w:eastAsia="MS Mincho"/>
          <w:i/>
          <w:lang w:eastAsia="ja-JP"/>
        </w:rPr>
        <w:t>Dosage and Administration</w:t>
      </w:r>
      <w:r w:rsidR="008C1E17">
        <w:rPr>
          <w:rFonts w:eastAsia="MS Mincho"/>
          <w:i/>
          <w:lang w:eastAsia="ja-JP"/>
        </w:rPr>
        <w:t>’</w:t>
      </w:r>
      <w:r w:rsidRPr="00906B11">
        <w:rPr>
          <w:rFonts w:eastAsia="MS Mincho"/>
          <w:i/>
          <w:lang w:eastAsia="ja-JP"/>
        </w:rPr>
        <w:t>).</w:t>
      </w:r>
      <w:r w:rsidR="008C1E17">
        <w:rPr>
          <w:i/>
        </w:rPr>
        <w:t>’</w:t>
      </w:r>
    </w:p>
    <w:p w:rsidR="00D23139" w:rsidRPr="00D23139" w:rsidRDefault="00D23139" w:rsidP="00D23139">
      <w:pPr>
        <w:pStyle w:val="Heading4"/>
      </w:pPr>
      <w:r w:rsidRPr="00D23139">
        <w:t>Specific conditions of registration applying to these goods</w:t>
      </w:r>
    </w:p>
    <w:p w:rsidR="00906B11" w:rsidRDefault="00906B11" w:rsidP="00E61628">
      <w:pPr>
        <w:pStyle w:val="Numberbullet0"/>
        <w:numPr>
          <w:ilvl w:val="0"/>
          <w:numId w:val="30"/>
        </w:numPr>
      </w:pPr>
      <w:r>
        <w:t xml:space="preserve">The </w:t>
      </w:r>
      <w:proofErr w:type="spellStart"/>
      <w:r w:rsidR="005A1D2B">
        <w:t>omalizumab</w:t>
      </w:r>
      <w:proofErr w:type="spellEnd"/>
      <w:r w:rsidR="005A1D2B">
        <w:t xml:space="preserve"> </w:t>
      </w:r>
      <w:r w:rsidR="00D0027A">
        <w:t>(</w:t>
      </w:r>
      <w:proofErr w:type="spellStart"/>
      <w:r w:rsidR="00D0027A">
        <w:t>rch</w:t>
      </w:r>
      <w:proofErr w:type="spellEnd"/>
      <w:r w:rsidR="00D0027A">
        <w:t>)</w:t>
      </w:r>
      <w:r>
        <w:t xml:space="preserve"> Xolair EU Risk Management Plan (RMP), (version 10.0, dated 5 March 2015), included with submission PM-2014-03868-1-5) revised as specified by the Australian Specific Annex (version 6.0, dated 22 October 2015) and any subsequent revisions, as agreed with the TGA will be implemented in Australia.</w:t>
      </w:r>
    </w:p>
    <w:p w:rsidR="008E7846" w:rsidRDefault="00A80B5B" w:rsidP="00D23139">
      <w:pPr>
        <w:pStyle w:val="Heading2"/>
      </w:pPr>
      <w:bookmarkStart w:id="226" w:name="_Toc454447861"/>
      <w:r>
        <w:t xml:space="preserve">Attachment 1. </w:t>
      </w:r>
      <w:r w:rsidR="008E7846">
        <w:t xml:space="preserve">Product </w:t>
      </w:r>
      <w:r w:rsidR="00AA0ED0">
        <w:t>I</w:t>
      </w:r>
      <w:r w:rsidR="008E7846">
        <w:t>nformation</w:t>
      </w:r>
      <w:bookmarkEnd w:id="224"/>
      <w:bookmarkEnd w:id="225"/>
      <w:bookmarkEnd w:id="226"/>
    </w:p>
    <w:p w:rsidR="00E24628" w:rsidRDefault="002B3624" w:rsidP="00C80137">
      <w:r w:rsidRPr="002B3624">
        <w:t xml:space="preserve">The </w:t>
      </w:r>
      <w:r w:rsidR="00133A1B">
        <w:t>PI</w:t>
      </w:r>
      <w:r w:rsidRPr="002B3624">
        <w:t xml:space="preserve"> approved for </w:t>
      </w:r>
      <w:r w:rsidR="00906B11">
        <w:t>Xolair</w:t>
      </w:r>
      <w:r w:rsidRPr="002B3624">
        <w:t xml:space="preserve"> </w:t>
      </w:r>
      <w:r w:rsidR="00D0027A">
        <w:t>with the application</w:t>
      </w:r>
      <w:r w:rsidRPr="002B3624">
        <w:t xml:space="preserve"> </w:t>
      </w:r>
      <w:r w:rsidR="00D0027A">
        <w:t xml:space="preserve">described in this </w:t>
      </w:r>
      <w:r w:rsidRPr="002B3624">
        <w:t xml:space="preserve">AusPAR is at Attachment 1. For the most recent </w:t>
      </w:r>
      <w:r w:rsidR="00133A1B">
        <w:t>PI,</w:t>
      </w:r>
      <w:r w:rsidRPr="002B3624">
        <w:t xml:space="preserve"> please refer to the </w:t>
      </w:r>
      <w:r w:rsidR="007C6B9B" w:rsidRPr="007C6B9B">
        <w:t>TGA website at &lt;</w:t>
      </w:r>
      <w:hyperlink r:id="rId39" w:history="1">
        <w:r w:rsidR="007C6B9B" w:rsidRPr="007C6B9B">
          <w:rPr>
            <w:rStyle w:val="Hyperlink"/>
          </w:rPr>
          <w:t>https://www.tga.gov.au/product-information-pi</w:t>
        </w:r>
      </w:hyperlink>
      <w:r w:rsidR="007C6B9B" w:rsidRPr="007C6B9B">
        <w:t>&gt;</w:t>
      </w:r>
      <w:r w:rsidR="00E24628">
        <w:t>.</w:t>
      </w:r>
    </w:p>
    <w:p w:rsidR="00C80137" w:rsidRDefault="00C80137" w:rsidP="00C80137">
      <w:pPr>
        <w:pStyle w:val="Heading2"/>
        <w:rPr>
          <w:lang w:eastAsia="en-AU"/>
        </w:rPr>
      </w:pPr>
      <w:bookmarkStart w:id="227" w:name="_Toc454447862"/>
      <w:proofErr w:type="gramStart"/>
      <w:r>
        <w:rPr>
          <w:lang w:eastAsia="en-AU"/>
        </w:rPr>
        <w:t>Attachment 2.</w:t>
      </w:r>
      <w:proofErr w:type="gramEnd"/>
      <w:r w:rsidR="00A80B5B">
        <w:rPr>
          <w:lang w:eastAsia="en-AU"/>
        </w:rPr>
        <w:t xml:space="preserve"> </w:t>
      </w:r>
      <w:r>
        <w:rPr>
          <w:lang w:eastAsia="en-AU"/>
        </w:rPr>
        <w:t>Extract from the Clinical Evaluation Report</w:t>
      </w:r>
      <w:bookmarkEnd w:id="227"/>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4" w:history="1">
              <w:r w:rsidRPr="004C239D">
                <w:rPr>
                  <w:rStyle w:val="Hyperlink"/>
                </w:rPr>
                <w:t>info@tga.gov.au</w:t>
              </w:r>
            </w:hyperlink>
            <w:r w:rsidR="006750C7">
              <w:t xml:space="preserve"> </w:t>
            </w:r>
            <w:r w:rsidRPr="00487162">
              <w:t>Phone: 1800 020 653</w:t>
            </w:r>
            <w:r w:rsidR="006750C7">
              <w:t xml:space="preserve"> </w:t>
            </w:r>
            <w:r w:rsidRPr="00487162">
              <w:t>Fax: 02 6232 8605</w:t>
            </w:r>
          </w:p>
          <w:p w:rsidR="001C32CD" w:rsidRPr="004C239D" w:rsidRDefault="00E24628"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628" w:rsidRDefault="00E24628" w:rsidP="00C40A36">
      <w:pPr>
        <w:spacing w:after="0"/>
      </w:pPr>
      <w:r>
        <w:separator/>
      </w:r>
    </w:p>
  </w:endnote>
  <w:endnote w:type="continuationSeparator" w:id="0">
    <w:p w:rsidR="00E24628" w:rsidRDefault="00E2462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24628" w:rsidRPr="00487162" w:rsidTr="00DB750B">
      <w:trPr>
        <w:trHeight w:val="269"/>
      </w:trPr>
      <w:tc>
        <w:tcPr>
          <w:tcW w:w="7371" w:type="dxa"/>
          <w:tcMar>
            <w:top w:w="142" w:type="dxa"/>
            <w:bottom w:w="0" w:type="dxa"/>
          </w:tcMar>
        </w:tcPr>
        <w:p w:rsidR="00E24628" w:rsidRPr="00602B82" w:rsidRDefault="00E24628" w:rsidP="0048325F">
          <w:pPr>
            <w:pStyle w:val="Footer"/>
            <w:rPr>
              <w:szCs w:val="17"/>
            </w:rPr>
          </w:pPr>
          <w:r w:rsidRPr="00602B82">
            <w:rPr>
              <w:szCs w:val="17"/>
            </w:rPr>
            <w:t>AusPAR Xolair</w:t>
          </w:r>
          <w:r w:rsidRPr="00602B82">
            <w:rPr>
              <w:b/>
              <w:smallCaps/>
              <w:kern w:val="2"/>
              <w:szCs w:val="17"/>
            </w:rPr>
            <w:t xml:space="preserve"> </w:t>
          </w:r>
          <w:proofErr w:type="spellStart"/>
          <w:r w:rsidRPr="00602B82">
            <w:rPr>
              <w:kern w:val="2"/>
              <w:szCs w:val="17"/>
            </w:rPr>
            <w:t>Omalizumab</w:t>
          </w:r>
          <w:proofErr w:type="spellEnd"/>
          <w:r w:rsidRPr="00602B82">
            <w:rPr>
              <w:b/>
              <w:kern w:val="2"/>
              <w:szCs w:val="17"/>
            </w:rPr>
            <w:t xml:space="preserve"> </w:t>
          </w:r>
          <w:r w:rsidRPr="00602B82">
            <w:rPr>
              <w:kern w:val="2"/>
              <w:szCs w:val="17"/>
            </w:rPr>
            <w:t xml:space="preserve">Novartis Pharmaceuticals Australia Pty Ltd PM-2014-03868-1-5 </w:t>
          </w:r>
          <w:r w:rsidRPr="00602B82">
            <w:rPr>
              <w:szCs w:val="17"/>
            </w:rPr>
            <w:br/>
          </w:r>
          <w:r>
            <w:rPr>
              <w:szCs w:val="17"/>
            </w:rPr>
            <w:t>Final 22 June 2016</w:t>
          </w:r>
        </w:p>
      </w:tc>
      <w:tc>
        <w:tcPr>
          <w:tcW w:w="1490" w:type="dxa"/>
          <w:tcMar>
            <w:top w:w="142" w:type="dxa"/>
            <w:bottom w:w="0" w:type="dxa"/>
          </w:tcMar>
        </w:tcPr>
        <w:p w:rsidR="00E24628" w:rsidRPr="00487162" w:rsidRDefault="00E24628" w:rsidP="00DB750B">
          <w:pPr>
            <w:pStyle w:val="Footer"/>
            <w:jc w:val="right"/>
          </w:pPr>
          <w:r w:rsidRPr="00487162">
            <w:t xml:space="preserve">Page </w:t>
          </w:r>
          <w:r>
            <w:fldChar w:fldCharType="begin"/>
          </w:r>
          <w:r>
            <w:instrText xml:space="preserve"> PAGE  \* Arabic </w:instrText>
          </w:r>
          <w:r>
            <w:fldChar w:fldCharType="separate"/>
          </w:r>
          <w:r w:rsidR="00E337EC">
            <w:rPr>
              <w:noProof/>
            </w:rPr>
            <w:t>4</w:t>
          </w:r>
          <w:r>
            <w:fldChar w:fldCharType="end"/>
          </w:r>
          <w:r w:rsidRPr="00487162">
            <w:t xml:space="preserve"> of </w:t>
          </w:r>
          <w:r>
            <w:fldChar w:fldCharType="begin"/>
          </w:r>
          <w:r>
            <w:instrText xml:space="preserve"> NUMPAGES  \* Arabic </w:instrText>
          </w:r>
          <w:r>
            <w:fldChar w:fldCharType="separate"/>
          </w:r>
          <w:r w:rsidR="00E337EC">
            <w:rPr>
              <w:noProof/>
            </w:rPr>
            <w:t>58</w:t>
          </w:r>
          <w:r>
            <w:rPr>
              <w:noProof/>
            </w:rPr>
            <w:fldChar w:fldCharType="end"/>
          </w:r>
        </w:p>
      </w:tc>
    </w:tr>
  </w:tbl>
  <w:p w:rsidR="00E24628" w:rsidRDefault="00E2462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24628" w:rsidRPr="00487162" w:rsidTr="00E45619">
      <w:trPr>
        <w:trHeight w:val="269"/>
      </w:trPr>
      <w:tc>
        <w:tcPr>
          <w:tcW w:w="4519" w:type="dxa"/>
          <w:tcBorders>
            <w:top w:val="single" w:sz="4" w:space="0" w:color="auto"/>
          </w:tcBorders>
          <w:tcMar>
            <w:top w:w="142" w:type="dxa"/>
            <w:bottom w:w="0" w:type="dxa"/>
          </w:tcMar>
        </w:tcPr>
        <w:p w:rsidR="00E24628" w:rsidRPr="00487162" w:rsidRDefault="00E24628" w:rsidP="00FE1DEE">
          <w:pPr>
            <w:pStyle w:val="Footer"/>
          </w:pPr>
          <w:r w:rsidRPr="00487162">
            <w:t>Document title, Part #, Section # - Section title</w:t>
          </w:r>
        </w:p>
        <w:p w:rsidR="00E24628" w:rsidRPr="00487162" w:rsidRDefault="00E24628" w:rsidP="00FE1DEE">
          <w:pPr>
            <w:pStyle w:val="Footer"/>
          </w:pPr>
          <w:r w:rsidRPr="00487162">
            <w:t>V1.0 October 2010</w:t>
          </w:r>
        </w:p>
      </w:tc>
      <w:tc>
        <w:tcPr>
          <w:tcW w:w="4342" w:type="dxa"/>
          <w:tcBorders>
            <w:top w:val="single" w:sz="4" w:space="0" w:color="auto"/>
          </w:tcBorders>
          <w:tcMar>
            <w:top w:w="142" w:type="dxa"/>
            <w:bottom w:w="0" w:type="dxa"/>
          </w:tcMar>
        </w:tcPr>
        <w:p w:rsidR="00E24628" w:rsidRPr="00487162" w:rsidRDefault="00E2462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55</w:t>
          </w:r>
          <w:r>
            <w:rPr>
              <w:noProof/>
            </w:rPr>
            <w:fldChar w:fldCharType="end"/>
          </w:r>
        </w:p>
      </w:tc>
    </w:tr>
  </w:tbl>
  <w:p w:rsidR="00E24628" w:rsidRDefault="00E246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Pr="001C32CD" w:rsidRDefault="00E2462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24628" w:rsidTr="0010601F">
      <w:trPr>
        <w:trHeight w:val="108"/>
      </w:trPr>
      <w:tc>
        <w:tcPr>
          <w:tcW w:w="8875" w:type="dxa"/>
          <w:gridSpan w:val="2"/>
          <w:tcBorders>
            <w:bottom w:val="single" w:sz="4" w:space="0" w:color="auto"/>
          </w:tcBorders>
          <w:tcMar>
            <w:right w:w="284" w:type="dxa"/>
          </w:tcMar>
        </w:tcPr>
        <w:p w:rsidR="00E24628" w:rsidRDefault="00E24628" w:rsidP="006E08B3">
          <w:pPr>
            <w:pStyle w:val="Heading3"/>
          </w:pPr>
          <w:r>
            <w:t>Copyright</w:t>
          </w:r>
        </w:p>
        <w:p w:rsidR="00E24628" w:rsidRDefault="00E24628" w:rsidP="006E08B3">
          <w:r>
            <w:rPr>
              <w:rFonts w:cs="Arial"/>
            </w:rPr>
            <w:t>©</w:t>
          </w:r>
          <w:r>
            <w:t xml:space="preserve"> Commonwealth of Australia [add year]</w:t>
          </w:r>
        </w:p>
        <w:p w:rsidR="00E24628" w:rsidRDefault="00E24628" w:rsidP="006E08B3"/>
        <w:p w:rsidR="00E24628" w:rsidRDefault="00E2462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24628" w:rsidRDefault="00E24628" w:rsidP="006E08B3"/>
        <w:p w:rsidR="00E24628" w:rsidRDefault="00E24628" w:rsidP="006E08B3">
          <w:pPr>
            <w:pStyle w:val="Heading3"/>
          </w:pPr>
          <w:r>
            <w:t>Confidentiality</w:t>
          </w:r>
        </w:p>
        <w:p w:rsidR="00E24628" w:rsidRDefault="00E2462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24628" w:rsidRDefault="00E24628" w:rsidP="006E08B3"/>
        <w:p w:rsidR="00E24628" w:rsidRDefault="00E24628" w:rsidP="006E08B3">
          <w:r>
            <w:t>For submission made by individuals, all personal details, other than your name, will be removed from your submission before it is published on the TGA’s Internet site.</w:t>
          </w:r>
        </w:p>
        <w:p w:rsidR="00E24628" w:rsidRDefault="00E24628" w:rsidP="006E08B3"/>
        <w:p w:rsidR="00E24628" w:rsidRDefault="00E2462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24628" w:rsidTr="0010601F">
      <w:trPr>
        <w:trHeight w:val="417"/>
      </w:trPr>
      <w:tc>
        <w:tcPr>
          <w:tcW w:w="4519" w:type="dxa"/>
          <w:tcBorders>
            <w:top w:val="single" w:sz="4" w:space="0" w:color="auto"/>
          </w:tcBorders>
          <w:tcMar>
            <w:top w:w="142" w:type="dxa"/>
            <w:bottom w:w="0" w:type="dxa"/>
          </w:tcMar>
        </w:tcPr>
        <w:p w:rsidR="00E24628" w:rsidRDefault="00E24628" w:rsidP="006E08B3">
          <w:r>
            <w:t>Document title, Part #, Section # - Section title</w:t>
          </w:r>
        </w:p>
        <w:p w:rsidR="00E24628" w:rsidRDefault="00E24628" w:rsidP="006E08B3">
          <w:r>
            <w:t>V1.0 October 2010</w:t>
          </w:r>
        </w:p>
      </w:tc>
      <w:tc>
        <w:tcPr>
          <w:tcW w:w="4356" w:type="dxa"/>
          <w:tcBorders>
            <w:top w:val="single" w:sz="4" w:space="0" w:color="auto"/>
          </w:tcBorders>
          <w:tcMar>
            <w:top w:w="142" w:type="dxa"/>
            <w:bottom w:w="0" w:type="dxa"/>
          </w:tcMar>
        </w:tcPr>
        <w:p w:rsidR="00E24628" w:rsidRDefault="00E2462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55</w:t>
          </w:r>
          <w:r>
            <w:rPr>
              <w:noProof/>
            </w:rPr>
            <w:fldChar w:fldCharType="end"/>
          </w:r>
          <w:r>
            <w:t xml:space="preserve"> </w:t>
          </w:r>
        </w:p>
      </w:tc>
    </w:tr>
  </w:tbl>
  <w:p w:rsidR="00E24628" w:rsidRDefault="00E246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628" w:rsidRDefault="00E24628" w:rsidP="00C40A36">
      <w:pPr>
        <w:spacing w:after="0"/>
      </w:pPr>
      <w:r>
        <w:separator/>
      </w:r>
    </w:p>
  </w:footnote>
  <w:footnote w:type="continuationSeparator" w:id="0">
    <w:p w:rsidR="00E24628" w:rsidRDefault="00E24628" w:rsidP="00C40A36">
      <w:pPr>
        <w:spacing w:after="0"/>
      </w:pPr>
      <w:r>
        <w:continuationSeparator/>
      </w:r>
    </w:p>
  </w:footnote>
  <w:footnote w:id="1">
    <w:p w:rsidR="00E24628" w:rsidRDefault="00E24628" w:rsidP="00E24628">
      <w:pPr>
        <w:pStyle w:val="FootnoteText"/>
      </w:pPr>
      <w:r>
        <w:rPr>
          <w:rStyle w:val="FootnoteReference"/>
        </w:rPr>
        <w:footnoteRef/>
      </w:r>
      <w:r>
        <w:t xml:space="preserve"> Turner (1998) cited in the Nonclinical Overview as background information on the placental transfer of IgG class immunoglobulins across the placenta.</w:t>
      </w:r>
    </w:p>
  </w:footnote>
  <w:footnote w:id="2">
    <w:p w:rsidR="00E24628" w:rsidRPr="00863197" w:rsidRDefault="00E24628" w:rsidP="00E24628">
      <w:pPr>
        <w:pStyle w:val="FootnoteText"/>
        <w:rPr>
          <w:color w:val="0000FF"/>
          <w:u w:val="single"/>
        </w:rPr>
      </w:pPr>
      <w:r w:rsidRPr="00863197">
        <w:rPr>
          <w:rStyle w:val="FootnoteReference"/>
          <w:szCs w:val="18"/>
        </w:rPr>
        <w:footnoteRef/>
      </w:r>
      <w:r w:rsidRPr="00863197">
        <w:t xml:space="preserve"> </w:t>
      </w:r>
      <w:proofErr w:type="gramStart"/>
      <w:r w:rsidRPr="00863197">
        <w:t>European Medicines Agency.</w:t>
      </w:r>
      <w:proofErr w:type="gramEnd"/>
      <w:r w:rsidRPr="00863197">
        <w:t xml:space="preserve"> Note for Guidance on the Clinical Investigation of Medicinal Products in the Treatment of Asthma (CPMP/EWP/2922/01). 2002. Available from: </w:t>
      </w:r>
      <w:hyperlink r:id="rId1" w:anchor="respiratory" w:history="1">
        <w:r w:rsidRPr="00863197">
          <w:rPr>
            <w:rStyle w:val="Hyperlink"/>
            <w:szCs w:val="18"/>
          </w:rPr>
          <w:t>https://www.tga.gov.au/clinical-efficacy-and-safety-guidelines#respiratory</w:t>
        </w:r>
      </w:hyperlink>
    </w:p>
  </w:footnote>
  <w:footnote w:id="3">
    <w:p w:rsidR="00E24628" w:rsidRPr="00863197" w:rsidRDefault="00E24628" w:rsidP="00E24628">
      <w:pPr>
        <w:pStyle w:val="FootnoteText"/>
      </w:pPr>
      <w:r w:rsidRPr="00477DE8">
        <w:rPr>
          <w:vertAlign w:val="superscript"/>
        </w:rPr>
        <w:footnoteRef/>
      </w:r>
      <w:r w:rsidRPr="00863197">
        <w:t xml:space="preserve"> </w:t>
      </w:r>
      <w:proofErr w:type="gramStart"/>
      <w:r w:rsidRPr="00863197">
        <w:t>European Medicines Agency.</w:t>
      </w:r>
      <w:proofErr w:type="gramEnd"/>
      <w:r w:rsidRPr="00863197">
        <w:t xml:space="preserve"> Note for Guidance on Clinical Investigation of Medicinal Products in the Paediatric Population (CPMP/ICH/2711/99). 2001. Available from: </w:t>
      </w:r>
      <w:hyperlink r:id="rId2" w:history="1">
        <w:r w:rsidRPr="00863197">
          <w:rPr>
            <w:rStyle w:val="Hyperlink"/>
            <w:szCs w:val="18"/>
          </w:rPr>
          <w:t>https://www.tga.gov.au/clinical-efficacy-and-safety-guidelines</w:t>
        </w:r>
      </w:hyperlink>
    </w:p>
  </w:footnote>
  <w:footnote w:id="4">
    <w:p w:rsidR="00E24628" w:rsidRPr="00863197" w:rsidRDefault="00E24628" w:rsidP="00E24628">
      <w:pPr>
        <w:pStyle w:val="FootnoteText"/>
        <w:rPr>
          <w:vertAlign w:val="superscript"/>
        </w:rPr>
      </w:pPr>
      <w:r w:rsidRPr="00863197">
        <w:rPr>
          <w:rStyle w:val="FootnoteReference"/>
          <w:szCs w:val="18"/>
        </w:rPr>
        <w:footnoteRef/>
      </w:r>
      <w:r w:rsidRPr="00863197">
        <w:t xml:space="preserve"> Van </w:t>
      </w:r>
      <w:proofErr w:type="spellStart"/>
      <w:r w:rsidRPr="00863197">
        <w:t>Asperen</w:t>
      </w:r>
      <w:proofErr w:type="spellEnd"/>
      <w:r w:rsidRPr="00863197">
        <w:t xml:space="preserve"> P. Deaths from childhood asthma, 2004–2013: what lessons can we learn? Med Journal of Australia 2015; 202 (3): 125-127</w:t>
      </w:r>
      <w:r w:rsidRPr="00863197">
        <w:rPr>
          <w:rStyle w:val="EndnoteReference"/>
          <w:szCs w:val="18"/>
        </w:rPr>
        <w:t xml:space="preserve"> </w:t>
      </w:r>
    </w:p>
  </w:footnote>
  <w:footnote w:id="5">
    <w:p w:rsidR="00E24628" w:rsidRPr="00863197" w:rsidRDefault="00E24628" w:rsidP="00E24628">
      <w:pPr>
        <w:pStyle w:val="FootnoteText"/>
      </w:pPr>
      <w:r w:rsidRPr="00863197">
        <w:rPr>
          <w:rStyle w:val="FootnoteReference"/>
          <w:szCs w:val="18"/>
        </w:rPr>
        <w:footnoteRef/>
      </w:r>
      <w:r w:rsidRPr="00863197">
        <w:t xml:space="preserve"> </w:t>
      </w:r>
      <w:proofErr w:type="gramStart"/>
      <w:r w:rsidRPr="00863197">
        <w:t xml:space="preserve">Xia Y, Kelton CML, </w:t>
      </w:r>
      <w:proofErr w:type="spellStart"/>
      <w:r w:rsidRPr="00863197">
        <w:t>Xue</w:t>
      </w:r>
      <w:proofErr w:type="spellEnd"/>
      <w:r w:rsidRPr="00863197">
        <w:t xml:space="preserve"> L et al. Safety of long-acting beta agonists and inhaled corticosteroids in children and adolescents with asthma.</w:t>
      </w:r>
      <w:proofErr w:type="gramEnd"/>
      <w:r w:rsidRPr="00863197">
        <w:t xml:space="preserve"> </w:t>
      </w:r>
      <w:proofErr w:type="spellStart"/>
      <w:r w:rsidRPr="00863197">
        <w:t>Ther</w:t>
      </w:r>
      <w:proofErr w:type="spellEnd"/>
      <w:r w:rsidRPr="00863197">
        <w:t xml:space="preserve"> </w:t>
      </w:r>
      <w:proofErr w:type="spellStart"/>
      <w:r w:rsidRPr="00863197">
        <w:t>Adv</w:t>
      </w:r>
      <w:proofErr w:type="spellEnd"/>
      <w:r w:rsidRPr="00863197">
        <w:t xml:space="preserve"> Drug </w:t>
      </w:r>
      <w:proofErr w:type="spellStart"/>
      <w:r w:rsidRPr="00863197">
        <w:t>Saf</w:t>
      </w:r>
      <w:proofErr w:type="spellEnd"/>
      <w:r w:rsidRPr="00863197">
        <w:t xml:space="preserve"> 2013; 4(6): 254– 263</w:t>
      </w:r>
    </w:p>
  </w:footnote>
  <w:footnote w:id="6">
    <w:p w:rsidR="00E24628" w:rsidRPr="00863197" w:rsidRDefault="00E24628" w:rsidP="00E24628">
      <w:pPr>
        <w:pStyle w:val="FootnoteText"/>
      </w:pPr>
      <w:r w:rsidRPr="00863197">
        <w:rPr>
          <w:rStyle w:val="FootnoteReference"/>
          <w:szCs w:val="18"/>
        </w:rPr>
        <w:footnoteRef/>
      </w:r>
      <w:r w:rsidRPr="00863197">
        <w:t xml:space="preserve"> </w:t>
      </w:r>
      <w:proofErr w:type="gramStart"/>
      <w:r w:rsidRPr="00863197">
        <w:t>National Asthma Council of Australia.</w:t>
      </w:r>
      <w:proofErr w:type="gramEnd"/>
      <w:r w:rsidRPr="00863197">
        <w:t xml:space="preserve"> </w:t>
      </w:r>
      <w:proofErr w:type="gramStart"/>
      <w:r w:rsidRPr="00863197">
        <w:t>Australian Asthma Handbook.</w:t>
      </w:r>
      <w:proofErr w:type="gramEnd"/>
      <w:r w:rsidRPr="00863197">
        <w:t xml:space="preserve"> 2015. Available from: </w:t>
      </w:r>
      <w:hyperlink r:id="rId3" w:history="1">
        <w:r w:rsidRPr="00863197">
          <w:rPr>
            <w:rStyle w:val="Hyperlink"/>
            <w:szCs w:val="18"/>
          </w:rPr>
          <w:t>http://www.asthmahandbook.org.au/</w:t>
        </w:r>
      </w:hyperlink>
    </w:p>
  </w:footnote>
  <w:footnote w:id="7">
    <w:p w:rsidR="00E24628" w:rsidRPr="00863197" w:rsidRDefault="00E24628" w:rsidP="00E24628">
      <w:pPr>
        <w:pStyle w:val="FootnoteText"/>
      </w:pPr>
      <w:r w:rsidRPr="00863197">
        <w:rPr>
          <w:rStyle w:val="FootnoteReference"/>
          <w:szCs w:val="18"/>
        </w:rPr>
        <w:footnoteRef/>
      </w:r>
      <w:r w:rsidRPr="00863197">
        <w:t xml:space="preserve"> </w:t>
      </w:r>
      <w:proofErr w:type="gramStart"/>
      <w:r w:rsidRPr="00863197">
        <w:t>From the Global Strategy for Asthma Management and Prevention, Global Initiative for Asthma (GINA) 2015.</w:t>
      </w:r>
      <w:proofErr w:type="gramEnd"/>
      <w:r w:rsidRPr="00863197">
        <w:t xml:space="preserve"> Available from: </w:t>
      </w:r>
      <w:hyperlink r:id="rId4" w:history="1">
        <w:r w:rsidRPr="00863197">
          <w:rPr>
            <w:rStyle w:val="Hyperlink"/>
            <w:szCs w:val="18"/>
          </w:rPr>
          <w:t>http://www.ginasthma.org/</w:t>
        </w:r>
      </w:hyperlink>
    </w:p>
  </w:footnote>
  <w:footnote w:id="8">
    <w:p w:rsidR="00E24628" w:rsidRPr="00237E58" w:rsidRDefault="00E24628" w:rsidP="00543D3D">
      <w:pPr>
        <w:pStyle w:val="FootnoteText"/>
      </w:pPr>
      <w:r w:rsidRPr="00237E58">
        <w:rPr>
          <w:rStyle w:val="FootnoteReference"/>
          <w:szCs w:val="18"/>
        </w:rPr>
        <w:footnoteRef/>
      </w:r>
      <w:r w:rsidRPr="00237E58">
        <w:t xml:space="preserve"> PEFR=peak expiratory flow rate </w:t>
      </w:r>
    </w:p>
  </w:footnote>
  <w:footnote w:id="9">
    <w:p w:rsidR="00E24628" w:rsidRPr="00477DE8" w:rsidRDefault="00E24628" w:rsidP="00543D3D">
      <w:pPr>
        <w:pStyle w:val="FootnoteText"/>
      </w:pPr>
      <w:r w:rsidRPr="00477DE8">
        <w:rPr>
          <w:rStyle w:val="FootnoteReference"/>
        </w:rPr>
        <w:footnoteRef/>
      </w:r>
      <w:r w:rsidRPr="00477DE8">
        <w:t xml:space="preserve"> </w:t>
      </w:r>
      <w:hyperlink r:id="rId5" w:history="1">
        <w:r w:rsidRPr="00477DE8">
          <w:rPr>
            <w:rStyle w:val="Hyperlink"/>
            <w:rFonts w:asciiTheme="minorHAnsi" w:hAnsiTheme="minorHAnsi"/>
            <w:color w:val="auto"/>
            <w:u w:val="none"/>
          </w:rPr>
          <w:t>http://www.ginasthma.org/local/uploads/files/GINA_Report_2015_Aug11.pdf</w:t>
        </w:r>
      </w:hyperlink>
    </w:p>
  </w:footnote>
  <w:footnote w:id="10">
    <w:p w:rsidR="00E24628" w:rsidRPr="00477DE8" w:rsidRDefault="00E24628" w:rsidP="00543D3D">
      <w:pPr>
        <w:pStyle w:val="FootnoteText"/>
      </w:pPr>
      <w:r w:rsidRPr="00477DE8">
        <w:rPr>
          <w:rStyle w:val="FootnoteReference"/>
        </w:rPr>
        <w:footnoteRef/>
      </w:r>
      <w:r w:rsidRPr="00477DE8">
        <w:t xml:space="preserve"> </w:t>
      </w:r>
      <w:hyperlink r:id="rId6" w:history="1">
        <w:r w:rsidRPr="00477DE8">
          <w:rPr>
            <w:rStyle w:val="Hyperlink"/>
            <w:rFonts w:asciiTheme="minorHAnsi" w:hAnsiTheme="minorHAnsi"/>
            <w:color w:val="auto"/>
            <w:u w:val="none"/>
          </w:rPr>
          <w:t>http://www.asthmahandbook.org.au/uploads/555143d72c3e3.pdf</w:t>
        </w:r>
      </w:hyperlink>
    </w:p>
  </w:footnote>
  <w:footnote w:id="11">
    <w:p w:rsidR="00E24628" w:rsidRDefault="00E24628" w:rsidP="00394E08">
      <w:pPr>
        <w:pStyle w:val="FootnoteText"/>
      </w:pPr>
      <w:r>
        <w:rPr>
          <w:rStyle w:val="FootnoteReference"/>
        </w:rPr>
        <w:footnoteRef/>
      </w:r>
      <w:r>
        <w:t xml:space="preserve"> </w:t>
      </w:r>
      <w:r>
        <w:rPr>
          <w:lang w:eastAsia="en-AU"/>
        </w:rPr>
        <w:t xml:space="preserve">Juniper EF, </w:t>
      </w:r>
      <w:proofErr w:type="spellStart"/>
      <w:r>
        <w:rPr>
          <w:lang w:eastAsia="en-AU"/>
        </w:rPr>
        <w:t>Guyatt</w:t>
      </w:r>
      <w:proofErr w:type="spellEnd"/>
      <w:r>
        <w:rPr>
          <w:lang w:eastAsia="en-AU"/>
        </w:rPr>
        <w:t xml:space="preserve"> GH, </w:t>
      </w:r>
      <w:proofErr w:type="spellStart"/>
      <w:r>
        <w:rPr>
          <w:lang w:eastAsia="en-AU"/>
        </w:rPr>
        <w:t>Feeny</w:t>
      </w:r>
      <w:proofErr w:type="spellEnd"/>
      <w:r>
        <w:rPr>
          <w:lang w:eastAsia="en-AU"/>
        </w:rPr>
        <w:t xml:space="preserve"> DH, et al (1996) Measuring quality of life in the parents of children with asthma. Qual Life Res; 5(1): 27-34.</w:t>
      </w:r>
    </w:p>
  </w:footnote>
  <w:footnote w:id="12">
    <w:p w:rsidR="00E24628" w:rsidRDefault="00E24628">
      <w:pPr>
        <w:pStyle w:val="FootnoteText"/>
      </w:pPr>
      <w:r>
        <w:rPr>
          <w:rStyle w:val="FootnoteReference"/>
        </w:rPr>
        <w:footnoteRef/>
      </w:r>
      <w:r>
        <w:t xml:space="preserve"> </w:t>
      </w:r>
      <w:proofErr w:type="spellStart"/>
      <w:r>
        <w:rPr>
          <w:lang w:eastAsia="en-AU"/>
        </w:rPr>
        <w:t>Bacharier</w:t>
      </w:r>
      <w:proofErr w:type="spellEnd"/>
      <w:r>
        <w:rPr>
          <w:lang w:eastAsia="en-AU"/>
        </w:rPr>
        <w:t xml:space="preserve"> LB, Strunk RC, </w:t>
      </w:r>
      <w:proofErr w:type="spellStart"/>
      <w:r>
        <w:rPr>
          <w:lang w:eastAsia="en-AU"/>
        </w:rPr>
        <w:t>Mauger</w:t>
      </w:r>
      <w:proofErr w:type="spellEnd"/>
      <w:r>
        <w:rPr>
          <w:lang w:eastAsia="en-AU"/>
        </w:rPr>
        <w:t xml:space="preserve"> D, et al (2004) Classifying asthma severity in children: mismatch between symptoms, medication use, and lung function. Am J </w:t>
      </w:r>
      <w:proofErr w:type="spellStart"/>
      <w:r>
        <w:rPr>
          <w:lang w:eastAsia="en-AU"/>
        </w:rPr>
        <w:t>Respir</w:t>
      </w:r>
      <w:proofErr w:type="spellEnd"/>
      <w:r>
        <w:rPr>
          <w:lang w:eastAsia="en-AU"/>
        </w:rPr>
        <w:t xml:space="preserve"> </w:t>
      </w:r>
      <w:proofErr w:type="spellStart"/>
      <w:r>
        <w:rPr>
          <w:lang w:eastAsia="en-AU"/>
        </w:rPr>
        <w:t>Crit</w:t>
      </w:r>
      <w:proofErr w:type="spellEnd"/>
      <w:r>
        <w:rPr>
          <w:lang w:eastAsia="en-AU"/>
        </w:rPr>
        <w:t xml:space="preserve"> Care Med; 170(4):426-32.</w:t>
      </w:r>
    </w:p>
  </w:footnote>
  <w:footnote w:id="13">
    <w:p w:rsidR="00E24628" w:rsidRDefault="00E24628">
      <w:pPr>
        <w:pStyle w:val="FootnoteText"/>
      </w:pPr>
      <w:r>
        <w:rPr>
          <w:rStyle w:val="FootnoteReference"/>
        </w:rPr>
        <w:footnoteRef/>
      </w:r>
      <w:r>
        <w:t xml:space="preserve"> </w:t>
      </w:r>
      <w:proofErr w:type="spellStart"/>
      <w:proofErr w:type="gramStart"/>
      <w:r w:rsidRPr="00290C34">
        <w:t>Deschildre</w:t>
      </w:r>
      <w:proofErr w:type="spellEnd"/>
      <w:r w:rsidRPr="00290C34">
        <w:t xml:space="preserve"> ,</w:t>
      </w:r>
      <w:proofErr w:type="gramEnd"/>
      <w:r w:rsidRPr="00290C34">
        <w:t xml:space="preserve"> </w:t>
      </w:r>
      <w:proofErr w:type="spellStart"/>
      <w:r w:rsidRPr="00290C34">
        <w:t>Marguet</w:t>
      </w:r>
      <w:proofErr w:type="spellEnd"/>
      <w:r w:rsidRPr="00290C34">
        <w:t xml:space="preserve"> C, </w:t>
      </w:r>
      <w:proofErr w:type="spellStart"/>
      <w:r w:rsidRPr="00290C34">
        <w:t>Salleron</w:t>
      </w:r>
      <w:proofErr w:type="spellEnd"/>
      <w:r w:rsidRPr="00290C34">
        <w:t xml:space="preserve"> </w:t>
      </w:r>
      <w:proofErr w:type="spellStart"/>
      <w:r w:rsidRPr="00290C34">
        <w:t>J,et</w:t>
      </w:r>
      <w:proofErr w:type="spellEnd"/>
      <w:r w:rsidRPr="00290C34">
        <w:t xml:space="preserve"> al (2013) Add-on </w:t>
      </w:r>
      <w:proofErr w:type="spellStart"/>
      <w:r w:rsidRPr="00290C34">
        <w:t>omalizumab</w:t>
      </w:r>
      <w:proofErr w:type="spellEnd"/>
      <w:r w:rsidRPr="00290C34">
        <w:t xml:space="preserve"> in children with severe allergic asthma: a 1-year real life survey. </w:t>
      </w:r>
      <w:proofErr w:type="spellStart"/>
      <w:r w:rsidRPr="00290C34">
        <w:t>Eur</w:t>
      </w:r>
      <w:proofErr w:type="spellEnd"/>
      <w:r w:rsidRPr="00290C34">
        <w:t xml:space="preserve"> </w:t>
      </w:r>
      <w:proofErr w:type="spellStart"/>
      <w:r w:rsidRPr="00290C34">
        <w:t>Respir</w:t>
      </w:r>
      <w:proofErr w:type="spellEnd"/>
      <w:r w:rsidRPr="00290C34">
        <w:t xml:space="preserve"> J; 42: 1224–123.</w:t>
      </w:r>
    </w:p>
  </w:footnote>
  <w:footnote w:id="14">
    <w:p w:rsidR="00E24628" w:rsidRPr="00290C34" w:rsidRDefault="00E24628" w:rsidP="00290C34">
      <w:pPr>
        <w:pStyle w:val="FootnoteText"/>
        <w:rPr>
          <w:szCs w:val="18"/>
        </w:rPr>
      </w:pPr>
      <w:r w:rsidRPr="00290C34">
        <w:rPr>
          <w:rStyle w:val="FootnoteReference"/>
          <w:szCs w:val="18"/>
        </w:rPr>
        <w:footnoteRef/>
      </w:r>
      <w:r w:rsidRPr="00290C34">
        <w:rPr>
          <w:szCs w:val="18"/>
        </w:rPr>
        <w:t xml:space="preserve"> </w:t>
      </w:r>
      <w:r w:rsidRPr="00290C34">
        <w:rPr>
          <w:szCs w:val="18"/>
          <w:lang w:eastAsia="en-AU"/>
        </w:rPr>
        <w:t xml:space="preserve">O’Brian AL, </w:t>
      </w:r>
      <w:proofErr w:type="spellStart"/>
      <w:r w:rsidRPr="00290C34">
        <w:rPr>
          <w:szCs w:val="18"/>
          <w:lang w:eastAsia="en-AU"/>
        </w:rPr>
        <w:t>Lemanske</w:t>
      </w:r>
      <w:proofErr w:type="spellEnd"/>
      <w:r w:rsidRPr="00290C34">
        <w:rPr>
          <w:szCs w:val="18"/>
          <w:lang w:eastAsia="en-AU"/>
        </w:rPr>
        <w:t xml:space="preserve"> RF, Evans MD, et al (2012) </w:t>
      </w:r>
      <w:proofErr w:type="gramStart"/>
      <w:r w:rsidRPr="00290C34">
        <w:rPr>
          <w:szCs w:val="18"/>
          <w:lang w:eastAsia="en-AU"/>
        </w:rPr>
        <w:t>Recurrent</w:t>
      </w:r>
      <w:proofErr w:type="gramEnd"/>
      <w:r w:rsidRPr="00290C34">
        <w:rPr>
          <w:szCs w:val="18"/>
          <w:lang w:eastAsia="en-AU"/>
        </w:rPr>
        <w:t xml:space="preserve"> severe exacerbations in early life and reduced lung function at school age. J Allergy </w:t>
      </w:r>
      <w:proofErr w:type="spellStart"/>
      <w:r w:rsidRPr="00290C34">
        <w:rPr>
          <w:szCs w:val="18"/>
          <w:lang w:eastAsia="en-AU"/>
        </w:rPr>
        <w:t>Clin</w:t>
      </w:r>
      <w:proofErr w:type="spellEnd"/>
      <w:r w:rsidRPr="00290C34">
        <w:rPr>
          <w:szCs w:val="18"/>
          <w:lang w:eastAsia="en-AU"/>
        </w:rPr>
        <w:t xml:space="preserve"> </w:t>
      </w:r>
      <w:proofErr w:type="spellStart"/>
      <w:r w:rsidRPr="00290C34">
        <w:rPr>
          <w:szCs w:val="18"/>
          <w:lang w:eastAsia="en-AU"/>
        </w:rPr>
        <w:t>Immunol</w:t>
      </w:r>
      <w:proofErr w:type="spellEnd"/>
      <w:r w:rsidRPr="00290C34">
        <w:rPr>
          <w:szCs w:val="18"/>
          <w:lang w:eastAsia="en-AU"/>
        </w:rPr>
        <w:t>; 129(4): 1162-1164.</w:t>
      </w:r>
    </w:p>
  </w:footnote>
  <w:footnote w:id="15">
    <w:p w:rsidR="00E24628" w:rsidRPr="00290C34" w:rsidRDefault="00E24628" w:rsidP="00394E08">
      <w:pPr>
        <w:pStyle w:val="FootnoteText"/>
      </w:pPr>
      <w:r>
        <w:rPr>
          <w:rStyle w:val="FootnoteReference"/>
        </w:rPr>
        <w:footnoteRef/>
      </w:r>
      <w:r>
        <w:t xml:space="preserve"> </w:t>
      </w:r>
      <w:r w:rsidRPr="00290C34">
        <w:t xml:space="preserve">Teach S, Gill MA, </w:t>
      </w:r>
      <w:proofErr w:type="spellStart"/>
      <w:r w:rsidRPr="00290C34">
        <w:t>Togias</w:t>
      </w:r>
      <w:proofErr w:type="spellEnd"/>
      <w:r w:rsidRPr="00290C34">
        <w:t xml:space="preserve"> A, et al (2015) Pre-seasonal treatment with either </w:t>
      </w:r>
      <w:proofErr w:type="spellStart"/>
      <w:r w:rsidRPr="00290C34">
        <w:t>omalizumab</w:t>
      </w:r>
      <w:proofErr w:type="spellEnd"/>
      <w:r w:rsidRPr="00290C34">
        <w:t xml:space="preserve"> or inhaled corticosteroid boost to prevent fall asthma exacerbations. </w:t>
      </w:r>
      <w:proofErr w:type="gramStart"/>
      <w:r w:rsidRPr="00290C34">
        <w:t xml:space="preserve">J Allergy </w:t>
      </w:r>
      <w:proofErr w:type="spellStart"/>
      <w:r w:rsidRPr="00290C34">
        <w:t>Clin</w:t>
      </w:r>
      <w:proofErr w:type="spellEnd"/>
      <w:r w:rsidRPr="00290C34">
        <w:t xml:space="preserve"> </w:t>
      </w:r>
      <w:proofErr w:type="spellStart"/>
      <w:r w:rsidRPr="00290C34">
        <w:t>Immunol</w:t>
      </w:r>
      <w:proofErr w:type="spellEnd"/>
      <w:r w:rsidRPr="00290C34">
        <w:t>.</w:t>
      </w:r>
      <w:proofErr w:type="gramEnd"/>
      <w:r w:rsidRPr="00290C34">
        <w:t xml:space="preserve"> In press</w:t>
      </w:r>
    </w:p>
  </w:footnote>
  <w:footnote w:id="16">
    <w:p w:rsidR="00E24628" w:rsidRPr="00290C34" w:rsidRDefault="00E24628" w:rsidP="00394E08">
      <w:pPr>
        <w:pStyle w:val="FootnoteText"/>
      </w:pPr>
      <w:r w:rsidRPr="00290C34">
        <w:rPr>
          <w:rStyle w:val="FootnoteReference"/>
          <w:b/>
          <w:szCs w:val="18"/>
        </w:rPr>
        <w:footnoteRef/>
      </w:r>
      <w:r w:rsidRPr="00290C34">
        <w:t xml:space="preserve"> Tovey ER, </w:t>
      </w:r>
      <w:proofErr w:type="spellStart"/>
      <w:r w:rsidRPr="00290C34">
        <w:t>Stelzer</w:t>
      </w:r>
      <w:proofErr w:type="spellEnd"/>
      <w:r w:rsidRPr="00290C34">
        <w:t xml:space="preserve">-Braid S, </w:t>
      </w:r>
      <w:proofErr w:type="spellStart"/>
      <w:r w:rsidRPr="00290C34">
        <w:t>Toelle</w:t>
      </w:r>
      <w:proofErr w:type="spellEnd"/>
      <w:r w:rsidRPr="00290C34">
        <w:t xml:space="preserve"> BG, et al (2015) Rhinoviruses significantly affect day-to-day respiratory symptoms of children with asthma. J Allery </w:t>
      </w:r>
      <w:proofErr w:type="spellStart"/>
      <w:r w:rsidRPr="00290C34">
        <w:t>Clin</w:t>
      </w:r>
      <w:proofErr w:type="spellEnd"/>
      <w:r w:rsidRPr="00290C34">
        <w:t xml:space="preserve"> </w:t>
      </w:r>
      <w:proofErr w:type="spellStart"/>
      <w:r w:rsidRPr="00290C34">
        <w:t>Immunol</w:t>
      </w:r>
      <w:proofErr w:type="spellEnd"/>
      <w:r w:rsidRPr="00290C34">
        <w:t>; 135(3): 663-9.</w:t>
      </w:r>
    </w:p>
  </w:footnote>
  <w:footnote w:id="17">
    <w:p w:rsidR="00E24628" w:rsidRPr="00290C34" w:rsidRDefault="00E24628" w:rsidP="00394E08">
      <w:pPr>
        <w:pStyle w:val="FootnoteText"/>
      </w:pPr>
      <w:r w:rsidRPr="00290C34">
        <w:rPr>
          <w:rStyle w:val="FootnoteReference"/>
          <w:szCs w:val="18"/>
        </w:rPr>
        <w:footnoteRef/>
      </w:r>
      <w:r w:rsidRPr="00290C34">
        <w:t xml:space="preserve"> </w:t>
      </w:r>
      <w:proofErr w:type="spellStart"/>
      <w:r w:rsidRPr="00290C34">
        <w:t>Busse</w:t>
      </w:r>
      <w:proofErr w:type="spellEnd"/>
      <w:r w:rsidRPr="00290C34">
        <w:t xml:space="preserve"> W, Buhl R, </w:t>
      </w:r>
      <w:proofErr w:type="spellStart"/>
      <w:r w:rsidRPr="00290C34">
        <w:t>Canvin</w:t>
      </w:r>
      <w:proofErr w:type="spellEnd"/>
      <w:r w:rsidRPr="00290C34">
        <w:t xml:space="preserve"> J, et al (2012) </w:t>
      </w:r>
      <w:proofErr w:type="spellStart"/>
      <w:r w:rsidRPr="00290C34">
        <w:t>Omalizumab</w:t>
      </w:r>
      <w:proofErr w:type="spellEnd"/>
      <w:r w:rsidRPr="00290C34">
        <w:t xml:space="preserve"> and the risk of malignancy: results from a pooled analysis. J Allery </w:t>
      </w:r>
      <w:proofErr w:type="spellStart"/>
      <w:r w:rsidRPr="00290C34">
        <w:t>Clin</w:t>
      </w:r>
      <w:proofErr w:type="spellEnd"/>
      <w:r w:rsidRPr="00290C34">
        <w:t xml:space="preserve"> </w:t>
      </w:r>
      <w:proofErr w:type="spellStart"/>
      <w:r w:rsidRPr="00290C34">
        <w:t>Immunol</w:t>
      </w:r>
      <w:proofErr w:type="spellEnd"/>
      <w:r w:rsidRPr="00290C34">
        <w:t>; 129:983-9</w:t>
      </w:r>
    </w:p>
  </w:footnote>
  <w:footnote w:id="18">
    <w:p w:rsidR="00E24628" w:rsidRDefault="00E24628" w:rsidP="00394E08">
      <w:pPr>
        <w:pStyle w:val="FootnoteText"/>
      </w:pPr>
      <w:r>
        <w:rPr>
          <w:rStyle w:val="FootnoteReference"/>
        </w:rPr>
        <w:footnoteRef/>
      </w:r>
      <w:r>
        <w:t xml:space="preserve"> Tai A, Tran H, Roberts M, et al (2014) </w:t>
      </w:r>
      <w:proofErr w:type="gramStart"/>
      <w:r>
        <w:t>The</w:t>
      </w:r>
      <w:proofErr w:type="gramEnd"/>
      <w:r>
        <w:t xml:space="preserve"> association between childhood asthma and adult chronic obstructive pulmonary disease. Thorax; 69:805–810.</w:t>
      </w:r>
    </w:p>
  </w:footnote>
  <w:footnote w:id="19">
    <w:p w:rsidR="00E24628" w:rsidRDefault="00E24628" w:rsidP="00394E08">
      <w:pPr>
        <w:pStyle w:val="FootnoteText"/>
      </w:pPr>
      <w:r>
        <w:rPr>
          <w:rStyle w:val="FootnoteReference"/>
        </w:rPr>
        <w:footnoteRef/>
      </w:r>
      <w:r>
        <w:t xml:space="preserve"> Van </w:t>
      </w:r>
      <w:proofErr w:type="spellStart"/>
      <w:r>
        <w:t>Asperen</w:t>
      </w:r>
      <w:proofErr w:type="spellEnd"/>
      <w:r>
        <w:t xml:space="preserve"> PP, </w:t>
      </w:r>
      <w:proofErr w:type="spellStart"/>
      <w:r>
        <w:t>Mellis</w:t>
      </w:r>
      <w:proofErr w:type="spellEnd"/>
      <w:r>
        <w:t xml:space="preserve"> CM, Sly P, Robertson C, (2010) The Role of Corticosteroids in the Management of Childhood Asthma. The Thoracic Society of Australia and New Zealand, Available From http://www.thoracic.org.au/professional-information/position-papers-guidelines/asthma/</w:t>
      </w:r>
    </w:p>
  </w:footnote>
  <w:footnote w:id="20">
    <w:p w:rsidR="00E24628" w:rsidRDefault="00E24628" w:rsidP="00394E08">
      <w:pPr>
        <w:pStyle w:val="FootnoteText"/>
      </w:pPr>
      <w:r>
        <w:rPr>
          <w:rStyle w:val="FootnoteReference"/>
        </w:rPr>
        <w:footnoteRef/>
      </w:r>
      <w:r>
        <w:t xml:space="preserve"> </w:t>
      </w:r>
      <w:proofErr w:type="spellStart"/>
      <w:r w:rsidRPr="003434C0">
        <w:t>Brodlie</w:t>
      </w:r>
      <w:proofErr w:type="spellEnd"/>
      <w:r w:rsidRPr="003434C0">
        <w:t xml:space="preserve"> M, McKean MC, Moss S, et al (2012) </w:t>
      </w:r>
      <w:proofErr w:type="gramStart"/>
      <w:r w:rsidRPr="003434C0">
        <w:t>The</w:t>
      </w:r>
      <w:proofErr w:type="gramEnd"/>
      <w:r w:rsidRPr="003434C0">
        <w:t xml:space="preserve"> oral corticosteroid-sparing effect of </w:t>
      </w:r>
      <w:proofErr w:type="spellStart"/>
      <w:r w:rsidRPr="003434C0">
        <w:t>omalizumab</w:t>
      </w:r>
      <w:proofErr w:type="spellEnd"/>
      <w:r w:rsidRPr="003434C0">
        <w:t xml:space="preserve"> in children with severe asthma. Arch Dis Child</w:t>
      </w:r>
      <w:r>
        <w:t>; 97(7):604</w:t>
      </w:r>
    </w:p>
  </w:footnote>
  <w:footnote w:id="21">
    <w:p w:rsidR="00E24628" w:rsidRDefault="00E24628">
      <w:pPr>
        <w:pStyle w:val="FootnoteText"/>
      </w:pPr>
      <w:r>
        <w:rPr>
          <w:rStyle w:val="FootnoteReference"/>
        </w:rPr>
        <w:footnoteRef/>
      </w:r>
      <w:r>
        <w:t xml:space="preserve"> http://www.asthmahandbook.org.au/management/children/6-years-and-over/further-review</w:t>
      </w:r>
    </w:p>
  </w:footnote>
  <w:footnote w:id="22">
    <w:p w:rsidR="00E24628" w:rsidRDefault="00E24628">
      <w:pPr>
        <w:pStyle w:val="FootnoteText"/>
      </w:pPr>
      <w:r>
        <w:rPr>
          <w:rStyle w:val="FootnoteReference"/>
        </w:rPr>
        <w:footnoteRef/>
      </w:r>
      <w:r w:rsidRPr="00650065">
        <w:rPr>
          <w:lang w:val="fr-FR"/>
        </w:rPr>
        <w:t xml:space="preserve"> Bousquet J, </w:t>
      </w:r>
      <w:proofErr w:type="spellStart"/>
      <w:r w:rsidRPr="00650065">
        <w:rPr>
          <w:lang w:val="fr-FR"/>
        </w:rPr>
        <w:t>Mantzouranis</w:t>
      </w:r>
      <w:proofErr w:type="spellEnd"/>
      <w:r w:rsidRPr="00650065">
        <w:rPr>
          <w:lang w:val="fr-FR"/>
        </w:rPr>
        <w:t xml:space="preserve"> E, Cruz AA, et al. </w:t>
      </w:r>
      <w:r>
        <w:t xml:space="preserve">Uniform definition of asthma severity, control, and exacerbations: document presented for the World Health Organization Consultation on Severe Asthma. </w:t>
      </w:r>
      <w:proofErr w:type="gramStart"/>
      <w:r>
        <w:t xml:space="preserve">J Allergy </w:t>
      </w:r>
      <w:proofErr w:type="spellStart"/>
      <w:r>
        <w:t>Clin</w:t>
      </w:r>
      <w:proofErr w:type="spellEnd"/>
      <w:r>
        <w:t xml:space="preserve"> </w:t>
      </w:r>
      <w:proofErr w:type="spellStart"/>
      <w:r>
        <w:t>Immunol</w:t>
      </w:r>
      <w:proofErr w:type="spellEnd"/>
      <w:r>
        <w:t>.</w:t>
      </w:r>
      <w:proofErr w:type="gramEnd"/>
      <w:r>
        <w:t xml:space="preserve"> </w:t>
      </w:r>
      <w:proofErr w:type="gramStart"/>
      <w:r>
        <w:t>2010; 126: 926-38.</w:t>
      </w:r>
      <w:proofErr w:type="gramEnd"/>
    </w:p>
  </w:footnote>
  <w:footnote w:id="23">
    <w:p w:rsidR="00E24628" w:rsidRDefault="00E24628">
      <w:pPr>
        <w:pStyle w:val="FootnoteText"/>
      </w:pPr>
      <w:r>
        <w:rPr>
          <w:rStyle w:val="FootnoteReference"/>
        </w:rPr>
        <w:footnoteRef/>
      </w:r>
      <w:r>
        <w:t xml:space="preserve"> </w:t>
      </w:r>
      <w:proofErr w:type="spellStart"/>
      <w:r>
        <w:t>Busse</w:t>
      </w:r>
      <w:proofErr w:type="spellEnd"/>
      <w:r>
        <w:t xml:space="preserve"> W, </w:t>
      </w:r>
      <w:proofErr w:type="spellStart"/>
      <w:r>
        <w:t>Trzaskoma</w:t>
      </w:r>
      <w:proofErr w:type="spellEnd"/>
      <w:r>
        <w:t xml:space="preserve"> B, </w:t>
      </w:r>
      <w:proofErr w:type="spellStart"/>
      <w:r>
        <w:t>Omachi</w:t>
      </w:r>
      <w:proofErr w:type="spellEnd"/>
      <w:r>
        <w:t xml:space="preserve"> TA (2014) Evaluating Xolair persistency of response after long-term therapy (</w:t>
      </w:r>
      <w:proofErr w:type="spellStart"/>
      <w:r>
        <w:t>xport</w:t>
      </w:r>
      <w:proofErr w:type="spellEnd"/>
      <w:r>
        <w:t xml:space="preserve">) Am J </w:t>
      </w:r>
      <w:proofErr w:type="spellStart"/>
      <w:r>
        <w:t>Respir</w:t>
      </w:r>
      <w:proofErr w:type="spellEnd"/>
      <w:r>
        <w:t xml:space="preserve"> </w:t>
      </w:r>
      <w:proofErr w:type="spellStart"/>
      <w:r>
        <w:t>Crit</w:t>
      </w:r>
      <w:proofErr w:type="spellEnd"/>
      <w:r>
        <w:t xml:space="preserve"> Care Med; 189:A6576</w:t>
      </w:r>
    </w:p>
  </w:footnote>
  <w:footnote w:id="24">
    <w:p w:rsidR="00E24628" w:rsidRDefault="00E24628">
      <w:pPr>
        <w:pStyle w:val="FootnoteText"/>
      </w:pPr>
      <w:r>
        <w:rPr>
          <w:rStyle w:val="FootnoteReference"/>
        </w:rPr>
        <w:footnoteRef/>
      </w:r>
      <w:r>
        <w:t xml:space="preserve"> </w:t>
      </w:r>
      <w:proofErr w:type="gramStart"/>
      <w:r w:rsidRPr="003434C0">
        <w:t xml:space="preserve">Thomas A, </w:t>
      </w:r>
      <w:proofErr w:type="spellStart"/>
      <w:r w:rsidRPr="003434C0">
        <w:t>Lemanske</w:t>
      </w:r>
      <w:proofErr w:type="spellEnd"/>
      <w:r w:rsidRPr="003434C0">
        <w:t xml:space="preserve"> R.F, Jackson D.J (2011) Approaches to stepping up and stepping down care in asthmatic patients.</w:t>
      </w:r>
      <w:proofErr w:type="gramEnd"/>
      <w:r w:rsidRPr="003434C0">
        <w:t xml:space="preserve"> J Allergy </w:t>
      </w:r>
      <w:proofErr w:type="spellStart"/>
      <w:r w:rsidRPr="003434C0">
        <w:t>Clin</w:t>
      </w:r>
      <w:proofErr w:type="spellEnd"/>
      <w:r w:rsidRPr="003434C0">
        <w:t xml:space="preserve"> Immunol</w:t>
      </w:r>
      <w:proofErr w:type="gramStart"/>
      <w:r w:rsidRPr="003434C0">
        <w:t>;128:915</w:t>
      </w:r>
      <w:proofErr w:type="gramEnd"/>
      <w:r w:rsidRPr="003434C0">
        <w:t>-24.</w:t>
      </w:r>
    </w:p>
  </w:footnote>
  <w:footnote w:id="25">
    <w:p w:rsidR="00E24628" w:rsidRDefault="00E24628">
      <w:pPr>
        <w:pStyle w:val="FootnoteText"/>
      </w:pPr>
      <w:r>
        <w:rPr>
          <w:rStyle w:val="FootnoteReference"/>
        </w:rPr>
        <w:footnoteRef/>
      </w:r>
      <w:r>
        <w:t xml:space="preserve"> Kew KM, </w:t>
      </w:r>
      <w:proofErr w:type="spellStart"/>
      <w:r>
        <w:t>Beggs</w:t>
      </w:r>
      <w:proofErr w:type="spellEnd"/>
      <w:r>
        <w:t xml:space="preserve"> S, Ahmad S (2015) Stopping long-acting beta2-agonists (LABA) for children with asthma well controlled on LABA and inhaled corticosteroids. Cochrane Database </w:t>
      </w:r>
      <w:proofErr w:type="spellStart"/>
      <w:r>
        <w:t>Symp</w:t>
      </w:r>
      <w:proofErr w:type="spellEnd"/>
      <w:r>
        <w:t>; May 21</w:t>
      </w:r>
      <w:proofErr w:type="gramStart"/>
      <w:r>
        <w:t>;5:CD011316</w:t>
      </w:r>
      <w:proofErr w:type="gram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Default="00E2462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Default="00E24628">
    <w:pPr>
      <w:rPr>
        <w:noProof/>
        <w:lang w:eastAsia="en-AU"/>
      </w:rPr>
    </w:pPr>
    <w:r w:rsidRPr="00347824">
      <w:rPr>
        <w:noProof/>
        <w:lang w:eastAsia="en-AU"/>
      </w:rPr>
      <w:drawing>
        <wp:anchor distT="0" distB="0" distL="114300" distR="114300" simplePos="0" relativeHeight="251659264" behindDoc="1" locked="0" layoutInCell="1" allowOverlap="1" wp14:anchorId="27D798BB" wp14:editId="150B0139">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24628" w:rsidRDefault="00E24628" w:rsidP="00593AD1">
    <w:pPr>
      <w:pStyle w:val="HeaderNoLine"/>
    </w:pPr>
    <w:r>
      <w:rPr>
        <w:noProof/>
        <w:lang w:eastAsia="en-AU"/>
      </w:rPr>
      <w:drawing>
        <wp:inline distT="0" distB="0" distL="0" distR="0" wp14:anchorId="623A9F87" wp14:editId="7E06E43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Default="00E2462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Default="00E2462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Default="00E2462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Default="00E246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Default="00E2462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628" w:rsidRDefault="00E24628" w:rsidP="006E08B3">
    <w:r>
      <w:t>Therapeutic Goods Administration</w:t>
    </w:r>
  </w:p>
  <w:p w:rsidR="00E24628" w:rsidRDefault="00E2462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54D6"/>
    <w:multiLevelType w:val="hybridMultilevel"/>
    <w:tmpl w:val="E0A6ED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E0D3BAE"/>
    <w:multiLevelType w:val="hybridMultilevel"/>
    <w:tmpl w:val="A328A8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32C428D"/>
    <w:multiLevelType w:val="hybridMultilevel"/>
    <w:tmpl w:val="D6761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5F74B56"/>
    <w:multiLevelType w:val="hybridMultilevel"/>
    <w:tmpl w:val="485E9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BF35EEE"/>
    <w:multiLevelType w:val="hybridMultilevel"/>
    <w:tmpl w:val="1E1457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E236C07"/>
    <w:multiLevelType w:val="multilevel"/>
    <w:tmpl w:val="29C00892"/>
    <w:lvl w:ilvl="0">
      <w:start w:val="1"/>
      <w:numFmt w:val="upperRoman"/>
      <w:lvlText w:val="%1."/>
      <w:lvlJc w:val="righ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29FA1F81"/>
    <w:multiLevelType w:val="hybridMultilevel"/>
    <w:tmpl w:val="92A42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2BCF57AC"/>
    <w:multiLevelType w:val="hybridMultilevel"/>
    <w:tmpl w:val="02C8E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E2A35C1"/>
    <w:multiLevelType w:val="hybridMultilevel"/>
    <w:tmpl w:val="5E1CE522"/>
    <w:lvl w:ilvl="0" w:tplc="0C09000F">
      <w:start w:val="1"/>
      <w:numFmt w:val="decimal"/>
      <w:lvlText w:val="%1."/>
      <w:lvlJc w:val="left"/>
      <w:pPr>
        <w:ind w:left="750" w:hanging="360"/>
      </w:pPr>
    </w:lvl>
    <w:lvl w:ilvl="1" w:tplc="0C090019">
      <w:start w:val="1"/>
      <w:numFmt w:val="lowerLetter"/>
      <w:lvlText w:val="%2."/>
      <w:lvlJc w:val="left"/>
      <w:pPr>
        <w:ind w:left="1470" w:hanging="360"/>
      </w:pPr>
    </w:lvl>
    <w:lvl w:ilvl="2" w:tplc="0C09001B">
      <w:start w:val="1"/>
      <w:numFmt w:val="lowerRoman"/>
      <w:lvlText w:val="%3."/>
      <w:lvlJc w:val="right"/>
      <w:pPr>
        <w:ind w:left="2190" w:hanging="180"/>
      </w:pPr>
    </w:lvl>
    <w:lvl w:ilvl="3" w:tplc="0C09000F">
      <w:start w:val="1"/>
      <w:numFmt w:val="decimal"/>
      <w:lvlText w:val="%4."/>
      <w:lvlJc w:val="left"/>
      <w:pPr>
        <w:ind w:left="2910" w:hanging="360"/>
      </w:pPr>
    </w:lvl>
    <w:lvl w:ilvl="4" w:tplc="0C090019">
      <w:start w:val="1"/>
      <w:numFmt w:val="lowerLetter"/>
      <w:lvlText w:val="%5."/>
      <w:lvlJc w:val="left"/>
      <w:pPr>
        <w:ind w:left="3630" w:hanging="360"/>
      </w:pPr>
    </w:lvl>
    <w:lvl w:ilvl="5" w:tplc="0C09001B">
      <w:start w:val="1"/>
      <w:numFmt w:val="lowerRoman"/>
      <w:lvlText w:val="%6."/>
      <w:lvlJc w:val="right"/>
      <w:pPr>
        <w:ind w:left="4350" w:hanging="180"/>
      </w:pPr>
    </w:lvl>
    <w:lvl w:ilvl="6" w:tplc="0C09000F">
      <w:start w:val="1"/>
      <w:numFmt w:val="decimal"/>
      <w:lvlText w:val="%7."/>
      <w:lvlJc w:val="left"/>
      <w:pPr>
        <w:ind w:left="5070" w:hanging="360"/>
      </w:pPr>
    </w:lvl>
    <w:lvl w:ilvl="7" w:tplc="0C090019">
      <w:start w:val="1"/>
      <w:numFmt w:val="lowerLetter"/>
      <w:lvlText w:val="%8."/>
      <w:lvlJc w:val="left"/>
      <w:pPr>
        <w:ind w:left="5790" w:hanging="360"/>
      </w:pPr>
    </w:lvl>
    <w:lvl w:ilvl="8" w:tplc="0C09001B">
      <w:start w:val="1"/>
      <w:numFmt w:val="lowerRoman"/>
      <w:lvlText w:val="%9."/>
      <w:lvlJc w:val="right"/>
      <w:pPr>
        <w:ind w:left="6510" w:hanging="180"/>
      </w:p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2">
    <w:nsid w:val="3145688A"/>
    <w:multiLevelType w:val="hybridMultilevel"/>
    <w:tmpl w:val="63681E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nsid w:val="38E8543D"/>
    <w:multiLevelType w:val="hybridMultilevel"/>
    <w:tmpl w:val="F7202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5">
    <w:nsid w:val="3BA97DB0"/>
    <w:multiLevelType w:val="hybridMultilevel"/>
    <w:tmpl w:val="53149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3CA42C7C"/>
    <w:multiLevelType w:val="hybridMultilevel"/>
    <w:tmpl w:val="2A58C5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nsid w:val="3EB31F32"/>
    <w:multiLevelType w:val="hybridMultilevel"/>
    <w:tmpl w:val="89EED3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450F12E7"/>
    <w:multiLevelType w:val="hybridMultilevel"/>
    <w:tmpl w:val="9FB09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Symbol"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Symbol"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nsid w:val="48F51F37"/>
    <w:multiLevelType w:val="hybridMultilevel"/>
    <w:tmpl w:val="E6C4A4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F650B34"/>
    <w:multiLevelType w:val="hybridMultilevel"/>
    <w:tmpl w:val="059CAB0C"/>
    <w:lvl w:ilvl="0" w:tplc="FB883FBA">
      <w:start w:val="1"/>
      <w:numFmt w:val="bullet"/>
      <w:lvlText w:val=""/>
      <w:lvlJc w:val="left"/>
      <w:pPr>
        <w:ind w:left="1724" w:hanging="360"/>
      </w:pPr>
      <w:rPr>
        <w:rFonts w:ascii="Cambria" w:hAnsi="Cambria" w:hint="default"/>
        <w:sz w:val="22"/>
        <w:szCs w:val="22"/>
      </w:rPr>
    </w:lvl>
    <w:lvl w:ilvl="1" w:tplc="04090003">
      <w:start w:val="1"/>
      <w:numFmt w:val="bullet"/>
      <w:lvlText w:val="o"/>
      <w:lvlJc w:val="left"/>
      <w:pPr>
        <w:ind w:left="2444" w:hanging="360"/>
      </w:pPr>
      <w:rPr>
        <w:rFonts w:ascii="Courier New" w:hAnsi="Courier New" w:cs="Times New Roman" w:hint="default"/>
      </w:rPr>
    </w:lvl>
    <w:lvl w:ilvl="2" w:tplc="04090005">
      <w:start w:val="1"/>
      <w:numFmt w:val="bullet"/>
      <w:lvlText w:val=""/>
      <w:lvlJc w:val="left"/>
      <w:pPr>
        <w:ind w:left="3164" w:hanging="360"/>
      </w:pPr>
      <w:rPr>
        <w:rFonts w:ascii="Wingdings" w:hAnsi="Wingdings" w:hint="default"/>
      </w:rPr>
    </w:lvl>
    <w:lvl w:ilvl="3" w:tplc="04090001">
      <w:start w:val="1"/>
      <w:numFmt w:val="bullet"/>
      <w:lvlText w:val=""/>
      <w:lvlJc w:val="left"/>
      <w:pPr>
        <w:ind w:left="3884" w:hanging="360"/>
      </w:pPr>
      <w:rPr>
        <w:rFonts w:ascii="Symbol" w:hAnsi="Symbol" w:hint="default"/>
      </w:rPr>
    </w:lvl>
    <w:lvl w:ilvl="4" w:tplc="04090003">
      <w:start w:val="1"/>
      <w:numFmt w:val="bullet"/>
      <w:lvlText w:val="o"/>
      <w:lvlJc w:val="left"/>
      <w:pPr>
        <w:ind w:left="4604" w:hanging="360"/>
      </w:pPr>
      <w:rPr>
        <w:rFonts w:ascii="Courier New" w:hAnsi="Courier New" w:cs="Times New Roman" w:hint="default"/>
      </w:rPr>
    </w:lvl>
    <w:lvl w:ilvl="5" w:tplc="04090005">
      <w:start w:val="1"/>
      <w:numFmt w:val="bullet"/>
      <w:lvlText w:val=""/>
      <w:lvlJc w:val="left"/>
      <w:pPr>
        <w:ind w:left="5324" w:hanging="360"/>
      </w:pPr>
      <w:rPr>
        <w:rFonts w:ascii="Wingdings" w:hAnsi="Wingdings" w:hint="default"/>
      </w:rPr>
    </w:lvl>
    <w:lvl w:ilvl="6" w:tplc="04090001">
      <w:start w:val="1"/>
      <w:numFmt w:val="bullet"/>
      <w:lvlText w:val=""/>
      <w:lvlJc w:val="left"/>
      <w:pPr>
        <w:ind w:left="6044" w:hanging="360"/>
      </w:pPr>
      <w:rPr>
        <w:rFonts w:ascii="Symbol" w:hAnsi="Symbol" w:hint="default"/>
      </w:rPr>
    </w:lvl>
    <w:lvl w:ilvl="7" w:tplc="04090003">
      <w:start w:val="1"/>
      <w:numFmt w:val="bullet"/>
      <w:lvlText w:val="o"/>
      <w:lvlJc w:val="left"/>
      <w:pPr>
        <w:ind w:left="6764" w:hanging="360"/>
      </w:pPr>
      <w:rPr>
        <w:rFonts w:ascii="Courier New" w:hAnsi="Courier New" w:cs="Times New Roman" w:hint="default"/>
      </w:rPr>
    </w:lvl>
    <w:lvl w:ilvl="8" w:tplc="04090005">
      <w:start w:val="1"/>
      <w:numFmt w:val="bullet"/>
      <w:lvlText w:val=""/>
      <w:lvlJc w:val="left"/>
      <w:pPr>
        <w:ind w:left="7484" w:hanging="360"/>
      </w:pPr>
      <w:rPr>
        <w:rFonts w:ascii="Wingdings" w:hAnsi="Wingdings" w:hint="default"/>
      </w:rPr>
    </w:lvl>
  </w:abstractNum>
  <w:abstractNum w:abstractNumId="23">
    <w:nsid w:val="54383C83"/>
    <w:multiLevelType w:val="hybridMultilevel"/>
    <w:tmpl w:val="6C706F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nsid w:val="5DB2400B"/>
    <w:multiLevelType w:val="hybridMultilevel"/>
    <w:tmpl w:val="2E3070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nsid w:val="6E173A1B"/>
    <w:multiLevelType w:val="hybridMultilevel"/>
    <w:tmpl w:val="D75EF4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7B703D1F"/>
    <w:multiLevelType w:val="hybridMultilevel"/>
    <w:tmpl w:val="B49689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BEE3803"/>
    <w:multiLevelType w:val="hybridMultilevel"/>
    <w:tmpl w:val="1FB26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5"/>
  </w:num>
  <w:num w:numId="4">
    <w:abstractNumId w:val="2"/>
  </w:num>
  <w:num w:numId="5">
    <w:abstractNumId w:val="20"/>
  </w:num>
  <w:num w:numId="6">
    <w:abstractNumId w:val="11"/>
  </w:num>
  <w:num w:numId="7">
    <w:abstractNumId w:val="14"/>
  </w:num>
  <w:num w:numId="8">
    <w:abstractNumId w:val="13"/>
  </w:num>
  <w:num w:numId="9">
    <w:abstractNumId w:val="2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9"/>
  </w:num>
  <w:num w:numId="16">
    <w:abstractNumId w:val="19"/>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23"/>
  </w:num>
  <w:num w:numId="20">
    <w:abstractNumId w:val="0"/>
  </w:num>
  <w:num w:numId="21">
    <w:abstractNumId w:val="1"/>
  </w:num>
  <w:num w:numId="22">
    <w:abstractNumId w:val="15"/>
  </w:num>
  <w:num w:numId="23">
    <w:abstractNumId w:val="8"/>
  </w:num>
  <w:num w:numId="24">
    <w:abstractNumId w:val="27"/>
  </w:num>
  <w:num w:numId="25">
    <w:abstractNumId w:val="12"/>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8"/>
  </w:num>
  <w:num w:numId="33">
    <w:abstractNumId w:val="10"/>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formatting="1" w:enforcement="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B82"/>
    <w:rsid w:val="00002031"/>
    <w:rsid w:val="00004734"/>
    <w:rsid w:val="00006B22"/>
    <w:rsid w:val="0001276A"/>
    <w:rsid w:val="000246AE"/>
    <w:rsid w:val="00025C67"/>
    <w:rsid w:val="00044772"/>
    <w:rsid w:val="0005559E"/>
    <w:rsid w:val="000604D6"/>
    <w:rsid w:val="00072BD8"/>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4F86"/>
    <w:rsid w:val="00125318"/>
    <w:rsid w:val="00125B70"/>
    <w:rsid w:val="001305A2"/>
    <w:rsid w:val="00133238"/>
    <w:rsid w:val="00133A1B"/>
    <w:rsid w:val="0014197B"/>
    <w:rsid w:val="00142145"/>
    <w:rsid w:val="001447CD"/>
    <w:rsid w:val="001516B1"/>
    <w:rsid w:val="00154EBB"/>
    <w:rsid w:val="00156316"/>
    <w:rsid w:val="00161181"/>
    <w:rsid w:val="00162D14"/>
    <w:rsid w:val="00165389"/>
    <w:rsid w:val="0017693F"/>
    <w:rsid w:val="00177F40"/>
    <w:rsid w:val="0018110E"/>
    <w:rsid w:val="00181684"/>
    <w:rsid w:val="001843C6"/>
    <w:rsid w:val="001850E0"/>
    <w:rsid w:val="001A2158"/>
    <w:rsid w:val="001A2F5C"/>
    <w:rsid w:val="001A525F"/>
    <w:rsid w:val="001B09F9"/>
    <w:rsid w:val="001B596C"/>
    <w:rsid w:val="001B5C90"/>
    <w:rsid w:val="001B6448"/>
    <w:rsid w:val="001C32CD"/>
    <w:rsid w:val="001D2984"/>
    <w:rsid w:val="001E07CF"/>
    <w:rsid w:val="001E59F1"/>
    <w:rsid w:val="001F2CEE"/>
    <w:rsid w:val="001F49EB"/>
    <w:rsid w:val="001F6CBA"/>
    <w:rsid w:val="00201D4E"/>
    <w:rsid w:val="00206BFD"/>
    <w:rsid w:val="002076C9"/>
    <w:rsid w:val="002176E8"/>
    <w:rsid w:val="00220B8A"/>
    <w:rsid w:val="002257F3"/>
    <w:rsid w:val="00233456"/>
    <w:rsid w:val="00233824"/>
    <w:rsid w:val="002339A5"/>
    <w:rsid w:val="00233FD9"/>
    <w:rsid w:val="00237E58"/>
    <w:rsid w:val="00241905"/>
    <w:rsid w:val="00257848"/>
    <w:rsid w:val="0027084A"/>
    <w:rsid w:val="00286434"/>
    <w:rsid w:val="00286C59"/>
    <w:rsid w:val="00290C34"/>
    <w:rsid w:val="00291957"/>
    <w:rsid w:val="002942D1"/>
    <w:rsid w:val="0029501A"/>
    <w:rsid w:val="00295E91"/>
    <w:rsid w:val="002A3721"/>
    <w:rsid w:val="002A4A65"/>
    <w:rsid w:val="002B1638"/>
    <w:rsid w:val="002B3624"/>
    <w:rsid w:val="002B3AB9"/>
    <w:rsid w:val="002D0952"/>
    <w:rsid w:val="002E40B3"/>
    <w:rsid w:val="002E4C9A"/>
    <w:rsid w:val="002F11F8"/>
    <w:rsid w:val="002F367C"/>
    <w:rsid w:val="002F3F56"/>
    <w:rsid w:val="002F44B5"/>
    <w:rsid w:val="00311AC0"/>
    <w:rsid w:val="003176FC"/>
    <w:rsid w:val="0032583B"/>
    <w:rsid w:val="00327883"/>
    <w:rsid w:val="00335504"/>
    <w:rsid w:val="00340C18"/>
    <w:rsid w:val="003434C0"/>
    <w:rsid w:val="003442FD"/>
    <w:rsid w:val="00347824"/>
    <w:rsid w:val="00350567"/>
    <w:rsid w:val="003521E8"/>
    <w:rsid w:val="00370CE3"/>
    <w:rsid w:val="003728F3"/>
    <w:rsid w:val="0037496E"/>
    <w:rsid w:val="00377239"/>
    <w:rsid w:val="00383221"/>
    <w:rsid w:val="003836E5"/>
    <w:rsid w:val="00386150"/>
    <w:rsid w:val="0038624E"/>
    <w:rsid w:val="003874CE"/>
    <w:rsid w:val="00390900"/>
    <w:rsid w:val="00394E08"/>
    <w:rsid w:val="003A475A"/>
    <w:rsid w:val="003A7F6C"/>
    <w:rsid w:val="003B4D60"/>
    <w:rsid w:val="003B6CF2"/>
    <w:rsid w:val="003B7E39"/>
    <w:rsid w:val="003C37B6"/>
    <w:rsid w:val="003C58DC"/>
    <w:rsid w:val="003D1E62"/>
    <w:rsid w:val="003E0B99"/>
    <w:rsid w:val="003E2486"/>
    <w:rsid w:val="003E3208"/>
    <w:rsid w:val="003F0B04"/>
    <w:rsid w:val="0040134E"/>
    <w:rsid w:val="00415D25"/>
    <w:rsid w:val="004334C7"/>
    <w:rsid w:val="00436AD3"/>
    <w:rsid w:val="00440A2D"/>
    <w:rsid w:val="00441C3F"/>
    <w:rsid w:val="004549ED"/>
    <w:rsid w:val="004559F1"/>
    <w:rsid w:val="004564A7"/>
    <w:rsid w:val="004617BF"/>
    <w:rsid w:val="00462432"/>
    <w:rsid w:val="00463658"/>
    <w:rsid w:val="004637A0"/>
    <w:rsid w:val="004722CC"/>
    <w:rsid w:val="0047588C"/>
    <w:rsid w:val="00477DE8"/>
    <w:rsid w:val="0048325F"/>
    <w:rsid w:val="004936E4"/>
    <w:rsid w:val="00493D04"/>
    <w:rsid w:val="00494E60"/>
    <w:rsid w:val="00497487"/>
    <w:rsid w:val="004A6189"/>
    <w:rsid w:val="004A7390"/>
    <w:rsid w:val="004B7B76"/>
    <w:rsid w:val="004C239D"/>
    <w:rsid w:val="004C2DCA"/>
    <w:rsid w:val="004C61D2"/>
    <w:rsid w:val="004F0C4A"/>
    <w:rsid w:val="004F0F38"/>
    <w:rsid w:val="004F47D6"/>
    <w:rsid w:val="00501921"/>
    <w:rsid w:val="00530354"/>
    <w:rsid w:val="0053625B"/>
    <w:rsid w:val="00537C9D"/>
    <w:rsid w:val="005434C6"/>
    <w:rsid w:val="00543B39"/>
    <w:rsid w:val="00543D3D"/>
    <w:rsid w:val="00546154"/>
    <w:rsid w:val="00550096"/>
    <w:rsid w:val="00555280"/>
    <w:rsid w:val="00557FF9"/>
    <w:rsid w:val="00562327"/>
    <w:rsid w:val="005649C8"/>
    <w:rsid w:val="005711D5"/>
    <w:rsid w:val="00576378"/>
    <w:rsid w:val="00577130"/>
    <w:rsid w:val="00577945"/>
    <w:rsid w:val="00577E38"/>
    <w:rsid w:val="00585322"/>
    <w:rsid w:val="005857C6"/>
    <w:rsid w:val="00592F6E"/>
    <w:rsid w:val="00593AD1"/>
    <w:rsid w:val="005A1D2B"/>
    <w:rsid w:val="005A68B6"/>
    <w:rsid w:val="005C0708"/>
    <w:rsid w:val="005C5570"/>
    <w:rsid w:val="005C79A4"/>
    <w:rsid w:val="005D5442"/>
    <w:rsid w:val="00602B82"/>
    <w:rsid w:val="00603F32"/>
    <w:rsid w:val="006046E1"/>
    <w:rsid w:val="00605AD4"/>
    <w:rsid w:val="00625A6E"/>
    <w:rsid w:val="00625F97"/>
    <w:rsid w:val="00632398"/>
    <w:rsid w:val="00634114"/>
    <w:rsid w:val="00637871"/>
    <w:rsid w:val="00640FC3"/>
    <w:rsid w:val="00642020"/>
    <w:rsid w:val="00650065"/>
    <w:rsid w:val="0065337B"/>
    <w:rsid w:val="0065419D"/>
    <w:rsid w:val="006604D8"/>
    <w:rsid w:val="00664A5B"/>
    <w:rsid w:val="0066735C"/>
    <w:rsid w:val="006750C7"/>
    <w:rsid w:val="006763D2"/>
    <w:rsid w:val="00680C08"/>
    <w:rsid w:val="006916A0"/>
    <w:rsid w:val="006931B1"/>
    <w:rsid w:val="00695B5B"/>
    <w:rsid w:val="006A15C0"/>
    <w:rsid w:val="006A5ABD"/>
    <w:rsid w:val="006C3E2A"/>
    <w:rsid w:val="006C4FF9"/>
    <w:rsid w:val="006C642F"/>
    <w:rsid w:val="006D03E5"/>
    <w:rsid w:val="006D5D3E"/>
    <w:rsid w:val="006E08B3"/>
    <w:rsid w:val="006F17AC"/>
    <w:rsid w:val="006F25B8"/>
    <w:rsid w:val="006F572E"/>
    <w:rsid w:val="007040BC"/>
    <w:rsid w:val="007046D6"/>
    <w:rsid w:val="00705DB0"/>
    <w:rsid w:val="00716619"/>
    <w:rsid w:val="00722B57"/>
    <w:rsid w:val="00727C8E"/>
    <w:rsid w:val="00730F8A"/>
    <w:rsid w:val="00733982"/>
    <w:rsid w:val="00734F28"/>
    <w:rsid w:val="00735A8C"/>
    <w:rsid w:val="0074253D"/>
    <w:rsid w:val="0074429B"/>
    <w:rsid w:val="007615BC"/>
    <w:rsid w:val="00762F05"/>
    <w:rsid w:val="007652FF"/>
    <w:rsid w:val="00770CAC"/>
    <w:rsid w:val="00770EF1"/>
    <w:rsid w:val="00773EF7"/>
    <w:rsid w:val="00774E1D"/>
    <w:rsid w:val="007765D8"/>
    <w:rsid w:val="0077675A"/>
    <w:rsid w:val="00780355"/>
    <w:rsid w:val="00781343"/>
    <w:rsid w:val="007819FD"/>
    <w:rsid w:val="00785717"/>
    <w:rsid w:val="00785721"/>
    <w:rsid w:val="007904F2"/>
    <w:rsid w:val="00793A59"/>
    <w:rsid w:val="007A569B"/>
    <w:rsid w:val="007B6132"/>
    <w:rsid w:val="007B6E9F"/>
    <w:rsid w:val="007C1216"/>
    <w:rsid w:val="007C1AF7"/>
    <w:rsid w:val="007C5606"/>
    <w:rsid w:val="007C6B9B"/>
    <w:rsid w:val="00805D27"/>
    <w:rsid w:val="00806DCB"/>
    <w:rsid w:val="00821776"/>
    <w:rsid w:val="008321F5"/>
    <w:rsid w:val="00832369"/>
    <w:rsid w:val="00834660"/>
    <w:rsid w:val="00834B26"/>
    <w:rsid w:val="00836BC2"/>
    <w:rsid w:val="0085156D"/>
    <w:rsid w:val="0085641B"/>
    <w:rsid w:val="00857136"/>
    <w:rsid w:val="00863197"/>
    <w:rsid w:val="00875A6B"/>
    <w:rsid w:val="00885B11"/>
    <w:rsid w:val="00886D15"/>
    <w:rsid w:val="00887DD8"/>
    <w:rsid w:val="00891BA9"/>
    <w:rsid w:val="00896018"/>
    <w:rsid w:val="008960DD"/>
    <w:rsid w:val="0089635C"/>
    <w:rsid w:val="008A2B9D"/>
    <w:rsid w:val="008A3D9F"/>
    <w:rsid w:val="008A5E0B"/>
    <w:rsid w:val="008A6D59"/>
    <w:rsid w:val="008B475F"/>
    <w:rsid w:val="008B4B03"/>
    <w:rsid w:val="008B596F"/>
    <w:rsid w:val="008C159F"/>
    <w:rsid w:val="008C1623"/>
    <w:rsid w:val="008C1850"/>
    <w:rsid w:val="008C1E17"/>
    <w:rsid w:val="008C51A9"/>
    <w:rsid w:val="008E7846"/>
    <w:rsid w:val="008F02E5"/>
    <w:rsid w:val="008F1CCC"/>
    <w:rsid w:val="008F2967"/>
    <w:rsid w:val="008F6943"/>
    <w:rsid w:val="00902A21"/>
    <w:rsid w:val="00906B11"/>
    <w:rsid w:val="00917B8C"/>
    <w:rsid w:val="00920330"/>
    <w:rsid w:val="009219D7"/>
    <w:rsid w:val="00922D53"/>
    <w:rsid w:val="00923B70"/>
    <w:rsid w:val="00923DFC"/>
    <w:rsid w:val="00924482"/>
    <w:rsid w:val="00930237"/>
    <w:rsid w:val="00937C17"/>
    <w:rsid w:val="00940A89"/>
    <w:rsid w:val="00946EA5"/>
    <w:rsid w:val="00951939"/>
    <w:rsid w:val="00963C08"/>
    <w:rsid w:val="009752A5"/>
    <w:rsid w:val="00981D0E"/>
    <w:rsid w:val="00984666"/>
    <w:rsid w:val="0098585A"/>
    <w:rsid w:val="009867FA"/>
    <w:rsid w:val="009A4CED"/>
    <w:rsid w:val="009A690D"/>
    <w:rsid w:val="009B1D12"/>
    <w:rsid w:val="009B416B"/>
    <w:rsid w:val="009C435E"/>
    <w:rsid w:val="009C4BD5"/>
    <w:rsid w:val="009D7B77"/>
    <w:rsid w:val="009E0BB0"/>
    <w:rsid w:val="009E3FBB"/>
    <w:rsid w:val="009F7353"/>
    <w:rsid w:val="00A04F85"/>
    <w:rsid w:val="00A05FA4"/>
    <w:rsid w:val="00A102E4"/>
    <w:rsid w:val="00A12C42"/>
    <w:rsid w:val="00A14DF7"/>
    <w:rsid w:val="00A22A58"/>
    <w:rsid w:val="00A3246D"/>
    <w:rsid w:val="00A36FA7"/>
    <w:rsid w:val="00A44DDB"/>
    <w:rsid w:val="00A475B7"/>
    <w:rsid w:val="00A47AF7"/>
    <w:rsid w:val="00A47C3E"/>
    <w:rsid w:val="00A50226"/>
    <w:rsid w:val="00A60BAD"/>
    <w:rsid w:val="00A67870"/>
    <w:rsid w:val="00A80B5B"/>
    <w:rsid w:val="00A84E36"/>
    <w:rsid w:val="00A964D1"/>
    <w:rsid w:val="00AA0ED0"/>
    <w:rsid w:val="00AC2B40"/>
    <w:rsid w:val="00AC2BB2"/>
    <w:rsid w:val="00AC2C3C"/>
    <w:rsid w:val="00AC512D"/>
    <w:rsid w:val="00AD0083"/>
    <w:rsid w:val="00AD3935"/>
    <w:rsid w:val="00AD775B"/>
    <w:rsid w:val="00AE65EB"/>
    <w:rsid w:val="00AE67A7"/>
    <w:rsid w:val="00AF1D94"/>
    <w:rsid w:val="00AF60C5"/>
    <w:rsid w:val="00B009C6"/>
    <w:rsid w:val="00B01548"/>
    <w:rsid w:val="00B13EBD"/>
    <w:rsid w:val="00B21D29"/>
    <w:rsid w:val="00B25034"/>
    <w:rsid w:val="00B33588"/>
    <w:rsid w:val="00B33863"/>
    <w:rsid w:val="00B37D17"/>
    <w:rsid w:val="00B4020B"/>
    <w:rsid w:val="00B4175E"/>
    <w:rsid w:val="00B452CE"/>
    <w:rsid w:val="00B54C25"/>
    <w:rsid w:val="00B676BA"/>
    <w:rsid w:val="00B76B91"/>
    <w:rsid w:val="00B77EB1"/>
    <w:rsid w:val="00B811C6"/>
    <w:rsid w:val="00B855B0"/>
    <w:rsid w:val="00B92E08"/>
    <w:rsid w:val="00BC622A"/>
    <w:rsid w:val="00BE0A78"/>
    <w:rsid w:val="00BE1A5E"/>
    <w:rsid w:val="00BE79F0"/>
    <w:rsid w:val="00BF046D"/>
    <w:rsid w:val="00BF1190"/>
    <w:rsid w:val="00BF5D04"/>
    <w:rsid w:val="00BF61E8"/>
    <w:rsid w:val="00C009AA"/>
    <w:rsid w:val="00C1164D"/>
    <w:rsid w:val="00C16861"/>
    <w:rsid w:val="00C203BC"/>
    <w:rsid w:val="00C315B6"/>
    <w:rsid w:val="00C346AB"/>
    <w:rsid w:val="00C404A6"/>
    <w:rsid w:val="00C40A36"/>
    <w:rsid w:val="00C41CE7"/>
    <w:rsid w:val="00C42824"/>
    <w:rsid w:val="00C44419"/>
    <w:rsid w:val="00C45E7B"/>
    <w:rsid w:val="00C471B1"/>
    <w:rsid w:val="00C47A30"/>
    <w:rsid w:val="00C6316B"/>
    <w:rsid w:val="00C634A9"/>
    <w:rsid w:val="00C64586"/>
    <w:rsid w:val="00C70D53"/>
    <w:rsid w:val="00C73D0B"/>
    <w:rsid w:val="00C772FF"/>
    <w:rsid w:val="00C80137"/>
    <w:rsid w:val="00C801AF"/>
    <w:rsid w:val="00C80256"/>
    <w:rsid w:val="00C94CD4"/>
    <w:rsid w:val="00C9747E"/>
    <w:rsid w:val="00CA60EB"/>
    <w:rsid w:val="00CB6BC0"/>
    <w:rsid w:val="00CC1B7C"/>
    <w:rsid w:val="00CC6C9F"/>
    <w:rsid w:val="00CC727F"/>
    <w:rsid w:val="00CD7CF8"/>
    <w:rsid w:val="00CF15C3"/>
    <w:rsid w:val="00CF2B6F"/>
    <w:rsid w:val="00CF2F3E"/>
    <w:rsid w:val="00CF58B6"/>
    <w:rsid w:val="00D0027A"/>
    <w:rsid w:val="00D0062D"/>
    <w:rsid w:val="00D017ED"/>
    <w:rsid w:val="00D040D3"/>
    <w:rsid w:val="00D04C65"/>
    <w:rsid w:val="00D201D2"/>
    <w:rsid w:val="00D224FE"/>
    <w:rsid w:val="00D23139"/>
    <w:rsid w:val="00D425BB"/>
    <w:rsid w:val="00D4418C"/>
    <w:rsid w:val="00D6493E"/>
    <w:rsid w:val="00D7195D"/>
    <w:rsid w:val="00D7301E"/>
    <w:rsid w:val="00D83AE1"/>
    <w:rsid w:val="00D855D4"/>
    <w:rsid w:val="00D902C9"/>
    <w:rsid w:val="00D93466"/>
    <w:rsid w:val="00DA1124"/>
    <w:rsid w:val="00DB6124"/>
    <w:rsid w:val="00DB750B"/>
    <w:rsid w:val="00DB75B7"/>
    <w:rsid w:val="00DC6E02"/>
    <w:rsid w:val="00DD28CD"/>
    <w:rsid w:val="00DD746F"/>
    <w:rsid w:val="00DE02AE"/>
    <w:rsid w:val="00DF1D7F"/>
    <w:rsid w:val="00DF2F1F"/>
    <w:rsid w:val="00DF4BE4"/>
    <w:rsid w:val="00E02FB4"/>
    <w:rsid w:val="00E13FC7"/>
    <w:rsid w:val="00E20571"/>
    <w:rsid w:val="00E235F7"/>
    <w:rsid w:val="00E23659"/>
    <w:rsid w:val="00E239D4"/>
    <w:rsid w:val="00E24628"/>
    <w:rsid w:val="00E26130"/>
    <w:rsid w:val="00E337EC"/>
    <w:rsid w:val="00E40B22"/>
    <w:rsid w:val="00E43E9C"/>
    <w:rsid w:val="00E44ED1"/>
    <w:rsid w:val="00E44F39"/>
    <w:rsid w:val="00E45619"/>
    <w:rsid w:val="00E4588F"/>
    <w:rsid w:val="00E46DA3"/>
    <w:rsid w:val="00E51BB1"/>
    <w:rsid w:val="00E61628"/>
    <w:rsid w:val="00E624A5"/>
    <w:rsid w:val="00E64BA4"/>
    <w:rsid w:val="00E70F13"/>
    <w:rsid w:val="00E7319C"/>
    <w:rsid w:val="00E7344E"/>
    <w:rsid w:val="00E82665"/>
    <w:rsid w:val="00EA5A22"/>
    <w:rsid w:val="00EB0798"/>
    <w:rsid w:val="00EB40AD"/>
    <w:rsid w:val="00EB586E"/>
    <w:rsid w:val="00EB5FC8"/>
    <w:rsid w:val="00EC463D"/>
    <w:rsid w:val="00EC7A85"/>
    <w:rsid w:val="00ED2922"/>
    <w:rsid w:val="00ED3CAD"/>
    <w:rsid w:val="00ED482A"/>
    <w:rsid w:val="00ED5A41"/>
    <w:rsid w:val="00EE0EDA"/>
    <w:rsid w:val="00EE1DE8"/>
    <w:rsid w:val="00EE27C2"/>
    <w:rsid w:val="00EE4959"/>
    <w:rsid w:val="00EE4DD8"/>
    <w:rsid w:val="00EF2C33"/>
    <w:rsid w:val="00EF4BAD"/>
    <w:rsid w:val="00EF59DC"/>
    <w:rsid w:val="00F033EC"/>
    <w:rsid w:val="00F04F68"/>
    <w:rsid w:val="00F06083"/>
    <w:rsid w:val="00F06292"/>
    <w:rsid w:val="00F12670"/>
    <w:rsid w:val="00F146DB"/>
    <w:rsid w:val="00F14B27"/>
    <w:rsid w:val="00F3148D"/>
    <w:rsid w:val="00F325C5"/>
    <w:rsid w:val="00F32FE0"/>
    <w:rsid w:val="00F35298"/>
    <w:rsid w:val="00F407A4"/>
    <w:rsid w:val="00F47333"/>
    <w:rsid w:val="00F47E37"/>
    <w:rsid w:val="00F53C07"/>
    <w:rsid w:val="00F54B65"/>
    <w:rsid w:val="00F640B6"/>
    <w:rsid w:val="00F66DF2"/>
    <w:rsid w:val="00F80E40"/>
    <w:rsid w:val="00F848D9"/>
    <w:rsid w:val="00F90707"/>
    <w:rsid w:val="00F94380"/>
    <w:rsid w:val="00FA00C2"/>
    <w:rsid w:val="00FA5B82"/>
    <w:rsid w:val="00FA639E"/>
    <w:rsid w:val="00FC1FCA"/>
    <w:rsid w:val="00FC25E4"/>
    <w:rsid w:val="00FC4EF7"/>
    <w:rsid w:val="00FD0824"/>
    <w:rsid w:val="00FD119B"/>
    <w:rsid w:val="00FD1EDC"/>
    <w:rsid w:val="00FE1DEE"/>
    <w:rsid w:val="00FE55C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2462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4559F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StandardChar">
    <w:name w:val="Standard Char"/>
    <w:basedOn w:val="DefaultParagraphFont"/>
    <w:link w:val="Standard"/>
    <w:locked/>
    <w:rsid w:val="00602B82"/>
    <w:rPr>
      <w:rFonts w:ascii="Cambria" w:eastAsia="Times New Roman" w:hAnsi="Cambria" w:cs="Times New Roman"/>
      <w:kern w:val="16"/>
      <w:szCs w:val="24"/>
    </w:rPr>
  </w:style>
  <w:style w:type="paragraph" w:customStyle="1" w:styleId="Standard">
    <w:name w:val="Standard"/>
    <w:basedOn w:val="Normal"/>
    <w:link w:val="StandardChar"/>
    <w:rsid w:val="00602B82"/>
    <w:pPr>
      <w:snapToGrid w:val="0"/>
      <w:spacing w:before="0" w:after="220" w:line="252" w:lineRule="auto"/>
    </w:pPr>
    <w:rPr>
      <w:rFonts w:eastAsia="Times New Roman"/>
      <w:kern w:val="16"/>
      <w:szCs w:val="24"/>
    </w:rPr>
  </w:style>
  <w:style w:type="character" w:customStyle="1" w:styleId="TabletextChar">
    <w:name w:val="Table text Char"/>
    <w:basedOn w:val="DefaultParagraphFont"/>
    <w:link w:val="Tabletext"/>
    <w:locked/>
    <w:rsid w:val="00602B82"/>
    <w:rPr>
      <w:rFonts w:ascii="Cambria" w:eastAsia="Cambria" w:hAnsi="Cambria" w:cs="Times New Roman"/>
      <w:sz w:val="19"/>
    </w:rPr>
  </w:style>
  <w:style w:type="character" w:customStyle="1" w:styleId="WhiteSpaceChar">
    <w:name w:val="White Space Char"/>
    <w:basedOn w:val="TabletextChar"/>
    <w:link w:val="WhiteSpace"/>
    <w:locked/>
    <w:rsid w:val="00602B82"/>
    <w:rPr>
      <w:rFonts w:ascii="Cambria" w:eastAsia="Cambria" w:hAnsi="Cambria" w:cs="Times New Roman"/>
      <w:sz w:val="16"/>
      <w:szCs w:val="16"/>
    </w:rPr>
  </w:style>
  <w:style w:type="paragraph" w:customStyle="1" w:styleId="WhiteSpace">
    <w:name w:val="White Space"/>
    <w:basedOn w:val="Standard"/>
    <w:next w:val="Standard"/>
    <w:link w:val="WhiteSpaceChar"/>
    <w:rsid w:val="00602B82"/>
    <w:pPr>
      <w:spacing w:after="0"/>
    </w:pPr>
    <w:rPr>
      <w:rFonts w:eastAsia="Cambria"/>
      <w:kern w:val="0"/>
      <w:sz w:val="16"/>
      <w:szCs w:val="16"/>
    </w:rPr>
  </w:style>
  <w:style w:type="paragraph" w:customStyle="1" w:styleId="AssessmentSubsection">
    <w:name w:val="Assessment Subsection"/>
    <w:basedOn w:val="Standard"/>
    <w:next w:val="Standard"/>
    <w:rsid w:val="00602B82"/>
    <w:pPr>
      <w:keepNext/>
      <w:spacing w:after="110"/>
      <w:outlineLvl w:val="2"/>
    </w:pPr>
    <w:rPr>
      <w:b/>
      <w:i/>
    </w:rPr>
  </w:style>
  <w:style w:type="paragraph" w:customStyle="1" w:styleId="AssessmentSection">
    <w:name w:val="Assessment Section"/>
    <w:basedOn w:val="AssessmentSubsection"/>
    <w:next w:val="Standard"/>
    <w:rsid w:val="00602B82"/>
    <w:pPr>
      <w:outlineLvl w:val="1"/>
    </w:pPr>
    <w:rPr>
      <w:i w:val="0"/>
    </w:rPr>
  </w:style>
  <w:style w:type="paragraph" w:customStyle="1" w:styleId="Bulletpoint">
    <w:name w:val="Bullet point"/>
    <w:basedOn w:val="Standard"/>
    <w:rsid w:val="00602B82"/>
    <w:pPr>
      <w:numPr>
        <w:numId w:val="5"/>
      </w:numPr>
      <w:tabs>
        <w:tab w:val="clear" w:pos="369"/>
        <w:tab w:val="left" w:pos="397"/>
        <w:tab w:val="num" w:pos="511"/>
      </w:tabs>
      <w:spacing w:after="180"/>
      <w:ind w:left="0" w:firstLine="0"/>
    </w:pPr>
  </w:style>
  <w:style w:type="paragraph" w:customStyle="1" w:styleId="TableHeader">
    <w:name w:val="Table Header"/>
    <w:basedOn w:val="Normal"/>
    <w:rsid w:val="00602B82"/>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rsid w:val="00602B82"/>
    <w:pPr>
      <w:spacing w:before="60" w:after="440" w:line="215" w:lineRule="exact"/>
      <w:ind w:left="170"/>
    </w:pPr>
    <w:rPr>
      <w:sz w:val="18"/>
      <w:szCs w:val="19"/>
    </w:rPr>
  </w:style>
  <w:style w:type="character" w:customStyle="1" w:styleId="TableCaptionChar">
    <w:name w:val="Table Caption Char"/>
    <w:basedOn w:val="TabletextChar"/>
    <w:link w:val="TableCaption"/>
    <w:locked/>
    <w:rsid w:val="00602B82"/>
    <w:rPr>
      <w:rFonts w:ascii="Cambria" w:eastAsia="Times New Roman" w:hAnsi="Cambria" w:cs="Times New Roman"/>
      <w:kern w:val="16"/>
      <w:sz w:val="18"/>
      <w:szCs w:val="19"/>
    </w:rPr>
  </w:style>
  <w:style w:type="character" w:styleId="HTMLTypewriter">
    <w:name w:val="HTML Typewriter"/>
    <w:basedOn w:val="DefaultParagraphFont"/>
    <w:uiPriority w:val="99"/>
    <w:semiHidden/>
    <w:unhideWhenUsed/>
    <w:rsid w:val="009867FA"/>
    <w:rPr>
      <w:rFonts w:ascii="Courier New" w:eastAsia="Times New Roman" w:hAnsi="Courier New" w:cs="Courier New" w:hint="default"/>
      <w:sz w:val="20"/>
      <w:szCs w:val="20"/>
    </w:rPr>
  </w:style>
  <w:style w:type="paragraph" w:customStyle="1" w:styleId="Bullet1">
    <w:name w:val="Bullet 1"/>
    <w:basedOn w:val="Normal"/>
    <w:rsid w:val="004559F1"/>
    <w:pPr>
      <w:numPr>
        <w:numId w:val="6"/>
      </w:numPr>
      <w:spacing w:after="0" w:line="240" w:lineRule="auto"/>
    </w:pPr>
    <w:rPr>
      <w:rFonts w:eastAsia="Times New Roman"/>
      <w:kern w:val="24"/>
      <w:szCs w:val="24"/>
      <w:lang w:eastAsia="en-AU"/>
    </w:rPr>
  </w:style>
  <w:style w:type="paragraph" w:customStyle="1" w:styleId="Bullet2">
    <w:name w:val="Bullet 2"/>
    <w:basedOn w:val="Bullet1"/>
    <w:rsid w:val="004559F1"/>
    <w:pPr>
      <w:numPr>
        <w:numId w:val="7"/>
      </w:numPr>
    </w:pPr>
  </w:style>
  <w:style w:type="character" w:customStyle="1" w:styleId="Heading8Char">
    <w:name w:val="Heading 8 Char"/>
    <w:basedOn w:val="DefaultParagraphFont"/>
    <w:link w:val="Heading8"/>
    <w:uiPriority w:val="9"/>
    <w:semiHidden/>
    <w:rsid w:val="004559F1"/>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4559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Abbreviations">
    <w:name w:val="Abbreviations"/>
    <w:basedOn w:val="Normal"/>
    <w:rsid w:val="004559F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Default">
    <w:name w:val="Default"/>
    <w:rsid w:val="004559F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st1">
    <w:name w:val="st1"/>
    <w:basedOn w:val="DefaultParagraphFont"/>
    <w:rsid w:val="00625F97"/>
  </w:style>
  <w:style w:type="table" w:customStyle="1" w:styleId="TableTGAblue1">
    <w:name w:val="Table TGA blue1"/>
    <w:basedOn w:val="TableNormal"/>
    <w:uiPriority w:val="99"/>
    <w:qFormat/>
    <w:rsid w:val="00625F97"/>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BodyText">
    <w:name w:val="Body Text"/>
    <w:basedOn w:val="Normal"/>
    <w:link w:val="BodyTextChar"/>
    <w:semiHidden/>
    <w:unhideWhenUsed/>
    <w:rsid w:val="00906B11"/>
    <w:pPr>
      <w:tabs>
        <w:tab w:val="left" w:pos="720"/>
      </w:tabs>
      <w:spacing w:before="0" w:after="0" w:line="240" w:lineRule="auto"/>
    </w:pPr>
    <w:rPr>
      <w:rFonts w:ascii="Arial" w:eastAsia="Times New Roman" w:hAnsi="Arial"/>
      <w:color w:val="FF0000"/>
      <w:szCs w:val="20"/>
      <w:lang w:eastAsia="en-AU"/>
    </w:rPr>
  </w:style>
  <w:style w:type="character" w:customStyle="1" w:styleId="BodyTextChar">
    <w:name w:val="Body Text Char"/>
    <w:basedOn w:val="DefaultParagraphFont"/>
    <w:link w:val="BodyText"/>
    <w:semiHidden/>
    <w:rsid w:val="00906B11"/>
    <w:rPr>
      <w:rFonts w:ascii="Arial" w:eastAsia="Times New Roman" w:hAnsi="Arial" w:cs="Times New Roman"/>
      <w:color w:val="FF0000"/>
      <w:szCs w:val="20"/>
      <w:lang w:eastAsia="en-AU"/>
    </w:rPr>
  </w:style>
  <w:style w:type="paragraph" w:customStyle="1" w:styleId="ACPMminorheader">
    <w:name w:val="ACPM minor header"/>
    <w:basedOn w:val="Normal"/>
    <w:link w:val="ACPMminorheaderChar"/>
    <w:qFormat/>
    <w:rsid w:val="00E61628"/>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E61628"/>
    <w:rPr>
      <w:rFonts w:ascii="Cambria" w:eastAsia="Times New Roman" w:hAnsi="Cambria" w:cs="Arial"/>
      <w:b/>
      <w:i/>
      <w:lang w:val="en-GB" w:eastAsia="en-AU"/>
    </w:rPr>
  </w:style>
  <w:style w:type="character" w:styleId="HTMLCite">
    <w:name w:val="HTML Cite"/>
    <w:basedOn w:val="DefaultParagraphFont"/>
    <w:uiPriority w:val="99"/>
    <w:semiHidden/>
    <w:unhideWhenUsed/>
    <w:rsid w:val="00634114"/>
    <w:rPr>
      <w:i w:val="0"/>
      <w:iCs w:val="0"/>
      <w:color w:val="006621"/>
    </w:rPr>
  </w:style>
  <w:style w:type="paragraph" w:styleId="NormalWeb">
    <w:name w:val="Normal (Web)"/>
    <w:basedOn w:val="Normal"/>
    <w:uiPriority w:val="99"/>
    <w:semiHidden/>
    <w:unhideWhenUsed/>
    <w:rsid w:val="004549ED"/>
    <w:pPr>
      <w:spacing w:before="100" w:beforeAutospacing="1" w:after="100" w:afterAutospacing="1" w:line="240" w:lineRule="auto"/>
    </w:pPr>
    <w:rPr>
      <w:rFonts w:ascii="Times New Roman" w:eastAsiaTheme="minorHAnsi"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E2462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4559F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StandardChar">
    <w:name w:val="Standard Char"/>
    <w:basedOn w:val="DefaultParagraphFont"/>
    <w:link w:val="Standard"/>
    <w:locked/>
    <w:rsid w:val="00602B82"/>
    <w:rPr>
      <w:rFonts w:ascii="Cambria" w:eastAsia="Times New Roman" w:hAnsi="Cambria" w:cs="Times New Roman"/>
      <w:kern w:val="16"/>
      <w:szCs w:val="24"/>
    </w:rPr>
  </w:style>
  <w:style w:type="paragraph" w:customStyle="1" w:styleId="Standard">
    <w:name w:val="Standard"/>
    <w:basedOn w:val="Normal"/>
    <w:link w:val="StandardChar"/>
    <w:rsid w:val="00602B82"/>
    <w:pPr>
      <w:snapToGrid w:val="0"/>
      <w:spacing w:before="0" w:after="220" w:line="252" w:lineRule="auto"/>
    </w:pPr>
    <w:rPr>
      <w:rFonts w:eastAsia="Times New Roman"/>
      <w:kern w:val="16"/>
      <w:szCs w:val="24"/>
    </w:rPr>
  </w:style>
  <w:style w:type="character" w:customStyle="1" w:styleId="TabletextChar">
    <w:name w:val="Table text Char"/>
    <w:basedOn w:val="DefaultParagraphFont"/>
    <w:link w:val="Tabletext"/>
    <w:locked/>
    <w:rsid w:val="00602B82"/>
    <w:rPr>
      <w:rFonts w:ascii="Cambria" w:eastAsia="Cambria" w:hAnsi="Cambria" w:cs="Times New Roman"/>
      <w:sz w:val="19"/>
    </w:rPr>
  </w:style>
  <w:style w:type="character" w:customStyle="1" w:styleId="WhiteSpaceChar">
    <w:name w:val="White Space Char"/>
    <w:basedOn w:val="TabletextChar"/>
    <w:link w:val="WhiteSpace"/>
    <w:locked/>
    <w:rsid w:val="00602B82"/>
    <w:rPr>
      <w:rFonts w:ascii="Cambria" w:eastAsia="Cambria" w:hAnsi="Cambria" w:cs="Times New Roman"/>
      <w:sz w:val="16"/>
      <w:szCs w:val="16"/>
    </w:rPr>
  </w:style>
  <w:style w:type="paragraph" w:customStyle="1" w:styleId="WhiteSpace">
    <w:name w:val="White Space"/>
    <w:basedOn w:val="Standard"/>
    <w:next w:val="Standard"/>
    <w:link w:val="WhiteSpaceChar"/>
    <w:rsid w:val="00602B82"/>
    <w:pPr>
      <w:spacing w:after="0"/>
    </w:pPr>
    <w:rPr>
      <w:rFonts w:eastAsia="Cambria"/>
      <w:kern w:val="0"/>
      <w:sz w:val="16"/>
      <w:szCs w:val="16"/>
    </w:rPr>
  </w:style>
  <w:style w:type="paragraph" w:customStyle="1" w:styleId="AssessmentSubsection">
    <w:name w:val="Assessment Subsection"/>
    <w:basedOn w:val="Standard"/>
    <w:next w:val="Standard"/>
    <w:rsid w:val="00602B82"/>
    <w:pPr>
      <w:keepNext/>
      <w:spacing w:after="110"/>
      <w:outlineLvl w:val="2"/>
    </w:pPr>
    <w:rPr>
      <w:b/>
      <w:i/>
    </w:rPr>
  </w:style>
  <w:style w:type="paragraph" w:customStyle="1" w:styleId="AssessmentSection">
    <w:name w:val="Assessment Section"/>
    <w:basedOn w:val="AssessmentSubsection"/>
    <w:next w:val="Standard"/>
    <w:rsid w:val="00602B82"/>
    <w:pPr>
      <w:outlineLvl w:val="1"/>
    </w:pPr>
    <w:rPr>
      <w:i w:val="0"/>
    </w:rPr>
  </w:style>
  <w:style w:type="paragraph" w:customStyle="1" w:styleId="Bulletpoint">
    <w:name w:val="Bullet point"/>
    <w:basedOn w:val="Standard"/>
    <w:rsid w:val="00602B82"/>
    <w:pPr>
      <w:numPr>
        <w:numId w:val="5"/>
      </w:numPr>
      <w:tabs>
        <w:tab w:val="clear" w:pos="369"/>
        <w:tab w:val="left" w:pos="397"/>
        <w:tab w:val="num" w:pos="511"/>
      </w:tabs>
      <w:spacing w:after="180"/>
      <w:ind w:left="0" w:firstLine="0"/>
    </w:pPr>
  </w:style>
  <w:style w:type="paragraph" w:customStyle="1" w:styleId="TableHeader">
    <w:name w:val="Table Header"/>
    <w:basedOn w:val="Normal"/>
    <w:rsid w:val="00602B82"/>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rsid w:val="00602B82"/>
    <w:pPr>
      <w:spacing w:before="60" w:after="440" w:line="215" w:lineRule="exact"/>
      <w:ind w:left="170"/>
    </w:pPr>
    <w:rPr>
      <w:sz w:val="18"/>
      <w:szCs w:val="19"/>
    </w:rPr>
  </w:style>
  <w:style w:type="character" w:customStyle="1" w:styleId="TableCaptionChar">
    <w:name w:val="Table Caption Char"/>
    <w:basedOn w:val="TabletextChar"/>
    <w:link w:val="TableCaption"/>
    <w:locked/>
    <w:rsid w:val="00602B82"/>
    <w:rPr>
      <w:rFonts w:ascii="Cambria" w:eastAsia="Times New Roman" w:hAnsi="Cambria" w:cs="Times New Roman"/>
      <w:kern w:val="16"/>
      <w:sz w:val="18"/>
      <w:szCs w:val="19"/>
    </w:rPr>
  </w:style>
  <w:style w:type="character" w:styleId="HTMLTypewriter">
    <w:name w:val="HTML Typewriter"/>
    <w:basedOn w:val="DefaultParagraphFont"/>
    <w:uiPriority w:val="99"/>
    <w:semiHidden/>
    <w:unhideWhenUsed/>
    <w:rsid w:val="009867FA"/>
    <w:rPr>
      <w:rFonts w:ascii="Courier New" w:eastAsia="Times New Roman" w:hAnsi="Courier New" w:cs="Courier New" w:hint="default"/>
      <w:sz w:val="20"/>
      <w:szCs w:val="20"/>
    </w:rPr>
  </w:style>
  <w:style w:type="paragraph" w:customStyle="1" w:styleId="Bullet1">
    <w:name w:val="Bullet 1"/>
    <w:basedOn w:val="Normal"/>
    <w:rsid w:val="004559F1"/>
    <w:pPr>
      <w:numPr>
        <w:numId w:val="6"/>
      </w:numPr>
      <w:spacing w:after="0" w:line="240" w:lineRule="auto"/>
    </w:pPr>
    <w:rPr>
      <w:rFonts w:eastAsia="Times New Roman"/>
      <w:kern w:val="24"/>
      <w:szCs w:val="24"/>
      <w:lang w:eastAsia="en-AU"/>
    </w:rPr>
  </w:style>
  <w:style w:type="paragraph" w:customStyle="1" w:styleId="Bullet2">
    <w:name w:val="Bullet 2"/>
    <w:basedOn w:val="Bullet1"/>
    <w:rsid w:val="004559F1"/>
    <w:pPr>
      <w:numPr>
        <w:numId w:val="7"/>
      </w:numPr>
    </w:pPr>
  </w:style>
  <w:style w:type="character" w:customStyle="1" w:styleId="Heading8Char">
    <w:name w:val="Heading 8 Char"/>
    <w:basedOn w:val="DefaultParagraphFont"/>
    <w:link w:val="Heading8"/>
    <w:uiPriority w:val="9"/>
    <w:semiHidden/>
    <w:rsid w:val="004559F1"/>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4559F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Abbreviations">
    <w:name w:val="Abbreviations"/>
    <w:basedOn w:val="Normal"/>
    <w:rsid w:val="004559F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Default">
    <w:name w:val="Default"/>
    <w:rsid w:val="004559F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st1">
    <w:name w:val="st1"/>
    <w:basedOn w:val="DefaultParagraphFont"/>
    <w:rsid w:val="00625F97"/>
  </w:style>
  <w:style w:type="table" w:customStyle="1" w:styleId="TableTGAblue1">
    <w:name w:val="Table TGA blue1"/>
    <w:basedOn w:val="TableNormal"/>
    <w:uiPriority w:val="99"/>
    <w:qFormat/>
    <w:rsid w:val="00625F97"/>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styleId="BodyText">
    <w:name w:val="Body Text"/>
    <w:basedOn w:val="Normal"/>
    <w:link w:val="BodyTextChar"/>
    <w:semiHidden/>
    <w:unhideWhenUsed/>
    <w:rsid w:val="00906B11"/>
    <w:pPr>
      <w:tabs>
        <w:tab w:val="left" w:pos="720"/>
      </w:tabs>
      <w:spacing w:before="0" w:after="0" w:line="240" w:lineRule="auto"/>
    </w:pPr>
    <w:rPr>
      <w:rFonts w:ascii="Arial" w:eastAsia="Times New Roman" w:hAnsi="Arial"/>
      <w:color w:val="FF0000"/>
      <w:szCs w:val="20"/>
      <w:lang w:eastAsia="en-AU"/>
    </w:rPr>
  </w:style>
  <w:style w:type="character" w:customStyle="1" w:styleId="BodyTextChar">
    <w:name w:val="Body Text Char"/>
    <w:basedOn w:val="DefaultParagraphFont"/>
    <w:link w:val="BodyText"/>
    <w:semiHidden/>
    <w:rsid w:val="00906B11"/>
    <w:rPr>
      <w:rFonts w:ascii="Arial" w:eastAsia="Times New Roman" w:hAnsi="Arial" w:cs="Times New Roman"/>
      <w:color w:val="FF0000"/>
      <w:szCs w:val="20"/>
      <w:lang w:eastAsia="en-AU"/>
    </w:rPr>
  </w:style>
  <w:style w:type="paragraph" w:customStyle="1" w:styleId="ACPMminorheader">
    <w:name w:val="ACPM minor header"/>
    <w:basedOn w:val="Normal"/>
    <w:link w:val="ACPMminorheaderChar"/>
    <w:qFormat/>
    <w:rsid w:val="00E61628"/>
    <w:pPr>
      <w:keepNext/>
      <w:spacing w:before="0" w:after="0" w:line="240" w:lineRule="auto"/>
    </w:pPr>
    <w:rPr>
      <w:rFonts w:eastAsia="Times New Roman" w:cs="Arial"/>
      <w:b/>
      <w:i/>
      <w:lang w:val="en-GB" w:eastAsia="en-AU"/>
    </w:rPr>
  </w:style>
  <w:style w:type="character" w:customStyle="1" w:styleId="ACPMminorheaderChar">
    <w:name w:val="ACPM minor header Char"/>
    <w:link w:val="ACPMminorheader"/>
    <w:rsid w:val="00E61628"/>
    <w:rPr>
      <w:rFonts w:ascii="Cambria" w:eastAsia="Times New Roman" w:hAnsi="Cambria" w:cs="Arial"/>
      <w:b/>
      <w:i/>
      <w:lang w:val="en-GB" w:eastAsia="en-AU"/>
    </w:rPr>
  </w:style>
  <w:style w:type="character" w:styleId="HTMLCite">
    <w:name w:val="HTML Cite"/>
    <w:basedOn w:val="DefaultParagraphFont"/>
    <w:uiPriority w:val="99"/>
    <w:semiHidden/>
    <w:unhideWhenUsed/>
    <w:rsid w:val="00634114"/>
    <w:rPr>
      <w:i w:val="0"/>
      <w:iCs w:val="0"/>
      <w:color w:val="006621"/>
    </w:rPr>
  </w:style>
  <w:style w:type="paragraph" w:styleId="NormalWeb">
    <w:name w:val="Normal (Web)"/>
    <w:basedOn w:val="Normal"/>
    <w:uiPriority w:val="99"/>
    <w:semiHidden/>
    <w:unhideWhenUsed/>
    <w:rsid w:val="004549ED"/>
    <w:pPr>
      <w:spacing w:before="100" w:beforeAutospacing="1" w:after="100" w:afterAutospacing="1" w:line="240" w:lineRule="auto"/>
    </w:pPr>
    <w:rPr>
      <w:rFonts w:ascii="Times New Roman" w:eastAsiaTheme="minorHAnsi"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77054">
      <w:bodyDiv w:val="1"/>
      <w:marLeft w:val="0"/>
      <w:marRight w:val="0"/>
      <w:marTop w:val="0"/>
      <w:marBottom w:val="0"/>
      <w:divBdr>
        <w:top w:val="none" w:sz="0" w:space="0" w:color="auto"/>
        <w:left w:val="none" w:sz="0" w:space="0" w:color="auto"/>
        <w:bottom w:val="none" w:sz="0" w:space="0" w:color="auto"/>
        <w:right w:val="none" w:sz="0" w:space="0" w:color="auto"/>
      </w:divBdr>
    </w:div>
    <w:div w:id="157305040">
      <w:bodyDiv w:val="1"/>
      <w:marLeft w:val="0"/>
      <w:marRight w:val="0"/>
      <w:marTop w:val="0"/>
      <w:marBottom w:val="0"/>
      <w:divBdr>
        <w:top w:val="none" w:sz="0" w:space="0" w:color="auto"/>
        <w:left w:val="none" w:sz="0" w:space="0" w:color="auto"/>
        <w:bottom w:val="none" w:sz="0" w:space="0" w:color="auto"/>
        <w:right w:val="none" w:sz="0" w:space="0" w:color="auto"/>
      </w:divBdr>
    </w:div>
    <w:div w:id="203907798">
      <w:bodyDiv w:val="1"/>
      <w:marLeft w:val="0"/>
      <w:marRight w:val="0"/>
      <w:marTop w:val="0"/>
      <w:marBottom w:val="0"/>
      <w:divBdr>
        <w:top w:val="none" w:sz="0" w:space="0" w:color="auto"/>
        <w:left w:val="none" w:sz="0" w:space="0" w:color="auto"/>
        <w:bottom w:val="none" w:sz="0" w:space="0" w:color="auto"/>
        <w:right w:val="none" w:sz="0" w:space="0" w:color="auto"/>
      </w:divBdr>
    </w:div>
    <w:div w:id="237981661">
      <w:bodyDiv w:val="1"/>
      <w:marLeft w:val="0"/>
      <w:marRight w:val="0"/>
      <w:marTop w:val="0"/>
      <w:marBottom w:val="0"/>
      <w:divBdr>
        <w:top w:val="none" w:sz="0" w:space="0" w:color="auto"/>
        <w:left w:val="none" w:sz="0" w:space="0" w:color="auto"/>
        <w:bottom w:val="none" w:sz="0" w:space="0" w:color="auto"/>
        <w:right w:val="none" w:sz="0" w:space="0" w:color="auto"/>
      </w:divBdr>
    </w:div>
    <w:div w:id="315498925">
      <w:bodyDiv w:val="1"/>
      <w:marLeft w:val="0"/>
      <w:marRight w:val="0"/>
      <w:marTop w:val="0"/>
      <w:marBottom w:val="0"/>
      <w:divBdr>
        <w:top w:val="none" w:sz="0" w:space="0" w:color="auto"/>
        <w:left w:val="none" w:sz="0" w:space="0" w:color="auto"/>
        <w:bottom w:val="none" w:sz="0" w:space="0" w:color="auto"/>
        <w:right w:val="none" w:sz="0" w:space="0" w:color="auto"/>
      </w:divBdr>
    </w:div>
    <w:div w:id="329405753">
      <w:bodyDiv w:val="1"/>
      <w:marLeft w:val="0"/>
      <w:marRight w:val="0"/>
      <w:marTop w:val="0"/>
      <w:marBottom w:val="0"/>
      <w:divBdr>
        <w:top w:val="none" w:sz="0" w:space="0" w:color="auto"/>
        <w:left w:val="none" w:sz="0" w:space="0" w:color="auto"/>
        <w:bottom w:val="none" w:sz="0" w:space="0" w:color="auto"/>
        <w:right w:val="none" w:sz="0" w:space="0" w:color="auto"/>
      </w:divBdr>
    </w:div>
    <w:div w:id="353968588">
      <w:bodyDiv w:val="1"/>
      <w:marLeft w:val="0"/>
      <w:marRight w:val="0"/>
      <w:marTop w:val="0"/>
      <w:marBottom w:val="0"/>
      <w:divBdr>
        <w:top w:val="none" w:sz="0" w:space="0" w:color="auto"/>
        <w:left w:val="none" w:sz="0" w:space="0" w:color="auto"/>
        <w:bottom w:val="none" w:sz="0" w:space="0" w:color="auto"/>
        <w:right w:val="none" w:sz="0" w:space="0" w:color="auto"/>
      </w:divBdr>
    </w:div>
    <w:div w:id="366492681">
      <w:bodyDiv w:val="1"/>
      <w:marLeft w:val="0"/>
      <w:marRight w:val="0"/>
      <w:marTop w:val="0"/>
      <w:marBottom w:val="0"/>
      <w:divBdr>
        <w:top w:val="none" w:sz="0" w:space="0" w:color="auto"/>
        <w:left w:val="none" w:sz="0" w:space="0" w:color="auto"/>
        <w:bottom w:val="none" w:sz="0" w:space="0" w:color="auto"/>
        <w:right w:val="none" w:sz="0" w:space="0" w:color="auto"/>
      </w:divBdr>
    </w:div>
    <w:div w:id="379594159">
      <w:bodyDiv w:val="1"/>
      <w:marLeft w:val="0"/>
      <w:marRight w:val="0"/>
      <w:marTop w:val="0"/>
      <w:marBottom w:val="0"/>
      <w:divBdr>
        <w:top w:val="none" w:sz="0" w:space="0" w:color="auto"/>
        <w:left w:val="none" w:sz="0" w:space="0" w:color="auto"/>
        <w:bottom w:val="none" w:sz="0" w:space="0" w:color="auto"/>
        <w:right w:val="none" w:sz="0" w:space="0" w:color="auto"/>
      </w:divBdr>
    </w:div>
    <w:div w:id="388848744">
      <w:bodyDiv w:val="1"/>
      <w:marLeft w:val="0"/>
      <w:marRight w:val="0"/>
      <w:marTop w:val="0"/>
      <w:marBottom w:val="0"/>
      <w:divBdr>
        <w:top w:val="none" w:sz="0" w:space="0" w:color="auto"/>
        <w:left w:val="none" w:sz="0" w:space="0" w:color="auto"/>
        <w:bottom w:val="none" w:sz="0" w:space="0" w:color="auto"/>
        <w:right w:val="none" w:sz="0" w:space="0" w:color="auto"/>
      </w:divBdr>
    </w:div>
    <w:div w:id="530338466">
      <w:bodyDiv w:val="1"/>
      <w:marLeft w:val="0"/>
      <w:marRight w:val="0"/>
      <w:marTop w:val="0"/>
      <w:marBottom w:val="0"/>
      <w:divBdr>
        <w:top w:val="none" w:sz="0" w:space="0" w:color="auto"/>
        <w:left w:val="none" w:sz="0" w:space="0" w:color="auto"/>
        <w:bottom w:val="none" w:sz="0" w:space="0" w:color="auto"/>
        <w:right w:val="none" w:sz="0" w:space="0" w:color="auto"/>
      </w:divBdr>
    </w:div>
    <w:div w:id="556628003">
      <w:bodyDiv w:val="1"/>
      <w:marLeft w:val="0"/>
      <w:marRight w:val="0"/>
      <w:marTop w:val="0"/>
      <w:marBottom w:val="0"/>
      <w:divBdr>
        <w:top w:val="none" w:sz="0" w:space="0" w:color="auto"/>
        <w:left w:val="none" w:sz="0" w:space="0" w:color="auto"/>
        <w:bottom w:val="none" w:sz="0" w:space="0" w:color="auto"/>
        <w:right w:val="none" w:sz="0" w:space="0" w:color="auto"/>
      </w:divBdr>
    </w:div>
    <w:div w:id="572357349">
      <w:bodyDiv w:val="1"/>
      <w:marLeft w:val="0"/>
      <w:marRight w:val="0"/>
      <w:marTop w:val="0"/>
      <w:marBottom w:val="0"/>
      <w:divBdr>
        <w:top w:val="none" w:sz="0" w:space="0" w:color="auto"/>
        <w:left w:val="none" w:sz="0" w:space="0" w:color="auto"/>
        <w:bottom w:val="none" w:sz="0" w:space="0" w:color="auto"/>
        <w:right w:val="none" w:sz="0" w:space="0" w:color="auto"/>
      </w:divBdr>
    </w:div>
    <w:div w:id="646981638">
      <w:bodyDiv w:val="1"/>
      <w:marLeft w:val="0"/>
      <w:marRight w:val="0"/>
      <w:marTop w:val="0"/>
      <w:marBottom w:val="0"/>
      <w:divBdr>
        <w:top w:val="none" w:sz="0" w:space="0" w:color="auto"/>
        <w:left w:val="none" w:sz="0" w:space="0" w:color="auto"/>
        <w:bottom w:val="none" w:sz="0" w:space="0" w:color="auto"/>
        <w:right w:val="none" w:sz="0" w:space="0" w:color="auto"/>
      </w:divBdr>
    </w:div>
    <w:div w:id="679627935">
      <w:bodyDiv w:val="1"/>
      <w:marLeft w:val="0"/>
      <w:marRight w:val="0"/>
      <w:marTop w:val="0"/>
      <w:marBottom w:val="0"/>
      <w:divBdr>
        <w:top w:val="none" w:sz="0" w:space="0" w:color="auto"/>
        <w:left w:val="none" w:sz="0" w:space="0" w:color="auto"/>
        <w:bottom w:val="none" w:sz="0" w:space="0" w:color="auto"/>
        <w:right w:val="none" w:sz="0" w:space="0" w:color="auto"/>
      </w:divBdr>
    </w:div>
    <w:div w:id="691691923">
      <w:bodyDiv w:val="1"/>
      <w:marLeft w:val="0"/>
      <w:marRight w:val="0"/>
      <w:marTop w:val="0"/>
      <w:marBottom w:val="0"/>
      <w:divBdr>
        <w:top w:val="none" w:sz="0" w:space="0" w:color="auto"/>
        <w:left w:val="none" w:sz="0" w:space="0" w:color="auto"/>
        <w:bottom w:val="none" w:sz="0" w:space="0" w:color="auto"/>
        <w:right w:val="none" w:sz="0" w:space="0" w:color="auto"/>
      </w:divBdr>
    </w:div>
    <w:div w:id="709647624">
      <w:bodyDiv w:val="1"/>
      <w:marLeft w:val="0"/>
      <w:marRight w:val="0"/>
      <w:marTop w:val="0"/>
      <w:marBottom w:val="0"/>
      <w:divBdr>
        <w:top w:val="none" w:sz="0" w:space="0" w:color="auto"/>
        <w:left w:val="none" w:sz="0" w:space="0" w:color="auto"/>
        <w:bottom w:val="none" w:sz="0" w:space="0" w:color="auto"/>
        <w:right w:val="none" w:sz="0" w:space="0" w:color="auto"/>
      </w:divBdr>
    </w:div>
    <w:div w:id="737285133">
      <w:bodyDiv w:val="1"/>
      <w:marLeft w:val="0"/>
      <w:marRight w:val="0"/>
      <w:marTop w:val="0"/>
      <w:marBottom w:val="0"/>
      <w:divBdr>
        <w:top w:val="none" w:sz="0" w:space="0" w:color="auto"/>
        <w:left w:val="none" w:sz="0" w:space="0" w:color="auto"/>
        <w:bottom w:val="none" w:sz="0" w:space="0" w:color="auto"/>
        <w:right w:val="none" w:sz="0" w:space="0" w:color="auto"/>
      </w:divBdr>
    </w:div>
    <w:div w:id="745421140">
      <w:bodyDiv w:val="1"/>
      <w:marLeft w:val="0"/>
      <w:marRight w:val="0"/>
      <w:marTop w:val="0"/>
      <w:marBottom w:val="0"/>
      <w:divBdr>
        <w:top w:val="none" w:sz="0" w:space="0" w:color="auto"/>
        <w:left w:val="none" w:sz="0" w:space="0" w:color="auto"/>
        <w:bottom w:val="none" w:sz="0" w:space="0" w:color="auto"/>
        <w:right w:val="none" w:sz="0" w:space="0" w:color="auto"/>
      </w:divBdr>
    </w:div>
    <w:div w:id="761998018">
      <w:bodyDiv w:val="1"/>
      <w:marLeft w:val="0"/>
      <w:marRight w:val="0"/>
      <w:marTop w:val="0"/>
      <w:marBottom w:val="0"/>
      <w:divBdr>
        <w:top w:val="none" w:sz="0" w:space="0" w:color="auto"/>
        <w:left w:val="none" w:sz="0" w:space="0" w:color="auto"/>
        <w:bottom w:val="none" w:sz="0" w:space="0" w:color="auto"/>
        <w:right w:val="none" w:sz="0" w:space="0" w:color="auto"/>
      </w:divBdr>
    </w:div>
    <w:div w:id="847528366">
      <w:bodyDiv w:val="1"/>
      <w:marLeft w:val="0"/>
      <w:marRight w:val="0"/>
      <w:marTop w:val="0"/>
      <w:marBottom w:val="0"/>
      <w:divBdr>
        <w:top w:val="none" w:sz="0" w:space="0" w:color="auto"/>
        <w:left w:val="none" w:sz="0" w:space="0" w:color="auto"/>
        <w:bottom w:val="none" w:sz="0" w:space="0" w:color="auto"/>
        <w:right w:val="none" w:sz="0" w:space="0" w:color="auto"/>
      </w:divBdr>
    </w:div>
    <w:div w:id="850724115">
      <w:bodyDiv w:val="1"/>
      <w:marLeft w:val="0"/>
      <w:marRight w:val="0"/>
      <w:marTop w:val="0"/>
      <w:marBottom w:val="0"/>
      <w:divBdr>
        <w:top w:val="none" w:sz="0" w:space="0" w:color="auto"/>
        <w:left w:val="none" w:sz="0" w:space="0" w:color="auto"/>
        <w:bottom w:val="none" w:sz="0" w:space="0" w:color="auto"/>
        <w:right w:val="none" w:sz="0" w:space="0" w:color="auto"/>
      </w:divBdr>
    </w:div>
    <w:div w:id="857891837">
      <w:bodyDiv w:val="1"/>
      <w:marLeft w:val="0"/>
      <w:marRight w:val="0"/>
      <w:marTop w:val="0"/>
      <w:marBottom w:val="0"/>
      <w:divBdr>
        <w:top w:val="none" w:sz="0" w:space="0" w:color="auto"/>
        <w:left w:val="none" w:sz="0" w:space="0" w:color="auto"/>
        <w:bottom w:val="none" w:sz="0" w:space="0" w:color="auto"/>
        <w:right w:val="none" w:sz="0" w:space="0" w:color="auto"/>
      </w:divBdr>
    </w:div>
    <w:div w:id="890969584">
      <w:bodyDiv w:val="1"/>
      <w:marLeft w:val="0"/>
      <w:marRight w:val="0"/>
      <w:marTop w:val="0"/>
      <w:marBottom w:val="0"/>
      <w:divBdr>
        <w:top w:val="none" w:sz="0" w:space="0" w:color="auto"/>
        <w:left w:val="none" w:sz="0" w:space="0" w:color="auto"/>
        <w:bottom w:val="none" w:sz="0" w:space="0" w:color="auto"/>
        <w:right w:val="none" w:sz="0" w:space="0" w:color="auto"/>
      </w:divBdr>
    </w:div>
    <w:div w:id="904223235">
      <w:bodyDiv w:val="1"/>
      <w:marLeft w:val="0"/>
      <w:marRight w:val="0"/>
      <w:marTop w:val="0"/>
      <w:marBottom w:val="0"/>
      <w:divBdr>
        <w:top w:val="none" w:sz="0" w:space="0" w:color="auto"/>
        <w:left w:val="none" w:sz="0" w:space="0" w:color="auto"/>
        <w:bottom w:val="none" w:sz="0" w:space="0" w:color="auto"/>
        <w:right w:val="none" w:sz="0" w:space="0" w:color="auto"/>
      </w:divBdr>
    </w:div>
    <w:div w:id="939029096">
      <w:bodyDiv w:val="1"/>
      <w:marLeft w:val="0"/>
      <w:marRight w:val="0"/>
      <w:marTop w:val="0"/>
      <w:marBottom w:val="0"/>
      <w:divBdr>
        <w:top w:val="none" w:sz="0" w:space="0" w:color="auto"/>
        <w:left w:val="none" w:sz="0" w:space="0" w:color="auto"/>
        <w:bottom w:val="none" w:sz="0" w:space="0" w:color="auto"/>
        <w:right w:val="none" w:sz="0" w:space="0" w:color="auto"/>
      </w:divBdr>
    </w:div>
    <w:div w:id="1078986642">
      <w:bodyDiv w:val="1"/>
      <w:marLeft w:val="0"/>
      <w:marRight w:val="0"/>
      <w:marTop w:val="0"/>
      <w:marBottom w:val="0"/>
      <w:divBdr>
        <w:top w:val="none" w:sz="0" w:space="0" w:color="auto"/>
        <w:left w:val="none" w:sz="0" w:space="0" w:color="auto"/>
        <w:bottom w:val="none" w:sz="0" w:space="0" w:color="auto"/>
        <w:right w:val="none" w:sz="0" w:space="0" w:color="auto"/>
      </w:divBdr>
    </w:div>
    <w:div w:id="1097798365">
      <w:bodyDiv w:val="1"/>
      <w:marLeft w:val="0"/>
      <w:marRight w:val="0"/>
      <w:marTop w:val="0"/>
      <w:marBottom w:val="0"/>
      <w:divBdr>
        <w:top w:val="none" w:sz="0" w:space="0" w:color="auto"/>
        <w:left w:val="none" w:sz="0" w:space="0" w:color="auto"/>
        <w:bottom w:val="none" w:sz="0" w:space="0" w:color="auto"/>
        <w:right w:val="none" w:sz="0" w:space="0" w:color="auto"/>
      </w:divBdr>
    </w:div>
    <w:div w:id="1099563775">
      <w:bodyDiv w:val="1"/>
      <w:marLeft w:val="0"/>
      <w:marRight w:val="0"/>
      <w:marTop w:val="0"/>
      <w:marBottom w:val="0"/>
      <w:divBdr>
        <w:top w:val="none" w:sz="0" w:space="0" w:color="auto"/>
        <w:left w:val="none" w:sz="0" w:space="0" w:color="auto"/>
        <w:bottom w:val="none" w:sz="0" w:space="0" w:color="auto"/>
        <w:right w:val="none" w:sz="0" w:space="0" w:color="auto"/>
      </w:divBdr>
    </w:div>
    <w:div w:id="1143232609">
      <w:bodyDiv w:val="1"/>
      <w:marLeft w:val="0"/>
      <w:marRight w:val="0"/>
      <w:marTop w:val="0"/>
      <w:marBottom w:val="0"/>
      <w:divBdr>
        <w:top w:val="none" w:sz="0" w:space="0" w:color="auto"/>
        <w:left w:val="none" w:sz="0" w:space="0" w:color="auto"/>
        <w:bottom w:val="none" w:sz="0" w:space="0" w:color="auto"/>
        <w:right w:val="none" w:sz="0" w:space="0" w:color="auto"/>
      </w:divBdr>
    </w:div>
    <w:div w:id="1159879639">
      <w:bodyDiv w:val="1"/>
      <w:marLeft w:val="0"/>
      <w:marRight w:val="0"/>
      <w:marTop w:val="0"/>
      <w:marBottom w:val="0"/>
      <w:divBdr>
        <w:top w:val="none" w:sz="0" w:space="0" w:color="auto"/>
        <w:left w:val="none" w:sz="0" w:space="0" w:color="auto"/>
        <w:bottom w:val="none" w:sz="0" w:space="0" w:color="auto"/>
        <w:right w:val="none" w:sz="0" w:space="0" w:color="auto"/>
      </w:divBdr>
    </w:div>
    <w:div w:id="1170483664">
      <w:bodyDiv w:val="1"/>
      <w:marLeft w:val="0"/>
      <w:marRight w:val="0"/>
      <w:marTop w:val="0"/>
      <w:marBottom w:val="0"/>
      <w:divBdr>
        <w:top w:val="none" w:sz="0" w:space="0" w:color="auto"/>
        <w:left w:val="none" w:sz="0" w:space="0" w:color="auto"/>
        <w:bottom w:val="none" w:sz="0" w:space="0" w:color="auto"/>
        <w:right w:val="none" w:sz="0" w:space="0" w:color="auto"/>
      </w:divBdr>
    </w:div>
    <w:div w:id="1186944131">
      <w:bodyDiv w:val="1"/>
      <w:marLeft w:val="0"/>
      <w:marRight w:val="0"/>
      <w:marTop w:val="0"/>
      <w:marBottom w:val="0"/>
      <w:divBdr>
        <w:top w:val="none" w:sz="0" w:space="0" w:color="auto"/>
        <w:left w:val="none" w:sz="0" w:space="0" w:color="auto"/>
        <w:bottom w:val="none" w:sz="0" w:space="0" w:color="auto"/>
        <w:right w:val="none" w:sz="0" w:space="0" w:color="auto"/>
      </w:divBdr>
    </w:div>
    <w:div w:id="1202549883">
      <w:bodyDiv w:val="1"/>
      <w:marLeft w:val="0"/>
      <w:marRight w:val="0"/>
      <w:marTop w:val="0"/>
      <w:marBottom w:val="0"/>
      <w:divBdr>
        <w:top w:val="none" w:sz="0" w:space="0" w:color="auto"/>
        <w:left w:val="none" w:sz="0" w:space="0" w:color="auto"/>
        <w:bottom w:val="none" w:sz="0" w:space="0" w:color="auto"/>
        <w:right w:val="none" w:sz="0" w:space="0" w:color="auto"/>
      </w:divBdr>
    </w:div>
    <w:div w:id="1203321342">
      <w:bodyDiv w:val="1"/>
      <w:marLeft w:val="0"/>
      <w:marRight w:val="0"/>
      <w:marTop w:val="0"/>
      <w:marBottom w:val="0"/>
      <w:divBdr>
        <w:top w:val="none" w:sz="0" w:space="0" w:color="auto"/>
        <w:left w:val="none" w:sz="0" w:space="0" w:color="auto"/>
        <w:bottom w:val="none" w:sz="0" w:space="0" w:color="auto"/>
        <w:right w:val="none" w:sz="0" w:space="0" w:color="auto"/>
      </w:divBdr>
    </w:div>
    <w:div w:id="1232354810">
      <w:bodyDiv w:val="1"/>
      <w:marLeft w:val="0"/>
      <w:marRight w:val="0"/>
      <w:marTop w:val="0"/>
      <w:marBottom w:val="0"/>
      <w:divBdr>
        <w:top w:val="none" w:sz="0" w:space="0" w:color="auto"/>
        <w:left w:val="none" w:sz="0" w:space="0" w:color="auto"/>
        <w:bottom w:val="none" w:sz="0" w:space="0" w:color="auto"/>
        <w:right w:val="none" w:sz="0" w:space="0" w:color="auto"/>
      </w:divBdr>
    </w:div>
    <w:div w:id="1238247180">
      <w:bodyDiv w:val="1"/>
      <w:marLeft w:val="0"/>
      <w:marRight w:val="0"/>
      <w:marTop w:val="0"/>
      <w:marBottom w:val="0"/>
      <w:divBdr>
        <w:top w:val="none" w:sz="0" w:space="0" w:color="auto"/>
        <w:left w:val="none" w:sz="0" w:space="0" w:color="auto"/>
        <w:bottom w:val="none" w:sz="0" w:space="0" w:color="auto"/>
        <w:right w:val="none" w:sz="0" w:space="0" w:color="auto"/>
      </w:divBdr>
    </w:div>
    <w:div w:id="1326472563">
      <w:bodyDiv w:val="1"/>
      <w:marLeft w:val="0"/>
      <w:marRight w:val="0"/>
      <w:marTop w:val="0"/>
      <w:marBottom w:val="0"/>
      <w:divBdr>
        <w:top w:val="none" w:sz="0" w:space="0" w:color="auto"/>
        <w:left w:val="none" w:sz="0" w:space="0" w:color="auto"/>
        <w:bottom w:val="none" w:sz="0" w:space="0" w:color="auto"/>
        <w:right w:val="none" w:sz="0" w:space="0" w:color="auto"/>
      </w:divBdr>
    </w:div>
    <w:div w:id="1360667449">
      <w:bodyDiv w:val="1"/>
      <w:marLeft w:val="0"/>
      <w:marRight w:val="0"/>
      <w:marTop w:val="0"/>
      <w:marBottom w:val="0"/>
      <w:divBdr>
        <w:top w:val="none" w:sz="0" w:space="0" w:color="auto"/>
        <w:left w:val="none" w:sz="0" w:space="0" w:color="auto"/>
        <w:bottom w:val="none" w:sz="0" w:space="0" w:color="auto"/>
        <w:right w:val="none" w:sz="0" w:space="0" w:color="auto"/>
      </w:divBdr>
    </w:div>
    <w:div w:id="1368146299">
      <w:bodyDiv w:val="1"/>
      <w:marLeft w:val="0"/>
      <w:marRight w:val="0"/>
      <w:marTop w:val="0"/>
      <w:marBottom w:val="0"/>
      <w:divBdr>
        <w:top w:val="none" w:sz="0" w:space="0" w:color="auto"/>
        <w:left w:val="none" w:sz="0" w:space="0" w:color="auto"/>
        <w:bottom w:val="none" w:sz="0" w:space="0" w:color="auto"/>
        <w:right w:val="none" w:sz="0" w:space="0" w:color="auto"/>
      </w:divBdr>
    </w:div>
    <w:div w:id="1385640042">
      <w:bodyDiv w:val="1"/>
      <w:marLeft w:val="0"/>
      <w:marRight w:val="0"/>
      <w:marTop w:val="0"/>
      <w:marBottom w:val="0"/>
      <w:divBdr>
        <w:top w:val="none" w:sz="0" w:space="0" w:color="auto"/>
        <w:left w:val="none" w:sz="0" w:space="0" w:color="auto"/>
        <w:bottom w:val="none" w:sz="0" w:space="0" w:color="auto"/>
        <w:right w:val="none" w:sz="0" w:space="0" w:color="auto"/>
      </w:divBdr>
    </w:div>
    <w:div w:id="1403411252">
      <w:bodyDiv w:val="1"/>
      <w:marLeft w:val="0"/>
      <w:marRight w:val="0"/>
      <w:marTop w:val="0"/>
      <w:marBottom w:val="0"/>
      <w:divBdr>
        <w:top w:val="none" w:sz="0" w:space="0" w:color="auto"/>
        <w:left w:val="none" w:sz="0" w:space="0" w:color="auto"/>
        <w:bottom w:val="none" w:sz="0" w:space="0" w:color="auto"/>
        <w:right w:val="none" w:sz="0" w:space="0" w:color="auto"/>
      </w:divBdr>
    </w:div>
    <w:div w:id="1418095838">
      <w:bodyDiv w:val="1"/>
      <w:marLeft w:val="0"/>
      <w:marRight w:val="0"/>
      <w:marTop w:val="0"/>
      <w:marBottom w:val="0"/>
      <w:divBdr>
        <w:top w:val="none" w:sz="0" w:space="0" w:color="auto"/>
        <w:left w:val="none" w:sz="0" w:space="0" w:color="auto"/>
        <w:bottom w:val="none" w:sz="0" w:space="0" w:color="auto"/>
        <w:right w:val="none" w:sz="0" w:space="0" w:color="auto"/>
      </w:divBdr>
    </w:div>
    <w:div w:id="1479692049">
      <w:bodyDiv w:val="1"/>
      <w:marLeft w:val="0"/>
      <w:marRight w:val="0"/>
      <w:marTop w:val="0"/>
      <w:marBottom w:val="0"/>
      <w:divBdr>
        <w:top w:val="none" w:sz="0" w:space="0" w:color="auto"/>
        <w:left w:val="none" w:sz="0" w:space="0" w:color="auto"/>
        <w:bottom w:val="none" w:sz="0" w:space="0" w:color="auto"/>
        <w:right w:val="none" w:sz="0" w:space="0" w:color="auto"/>
      </w:divBdr>
    </w:div>
    <w:div w:id="1516265547">
      <w:bodyDiv w:val="1"/>
      <w:marLeft w:val="0"/>
      <w:marRight w:val="0"/>
      <w:marTop w:val="0"/>
      <w:marBottom w:val="0"/>
      <w:divBdr>
        <w:top w:val="none" w:sz="0" w:space="0" w:color="auto"/>
        <w:left w:val="none" w:sz="0" w:space="0" w:color="auto"/>
        <w:bottom w:val="none" w:sz="0" w:space="0" w:color="auto"/>
        <w:right w:val="none" w:sz="0" w:space="0" w:color="auto"/>
      </w:divBdr>
    </w:div>
    <w:div w:id="1518419345">
      <w:bodyDiv w:val="1"/>
      <w:marLeft w:val="0"/>
      <w:marRight w:val="0"/>
      <w:marTop w:val="0"/>
      <w:marBottom w:val="0"/>
      <w:divBdr>
        <w:top w:val="none" w:sz="0" w:space="0" w:color="auto"/>
        <w:left w:val="none" w:sz="0" w:space="0" w:color="auto"/>
        <w:bottom w:val="none" w:sz="0" w:space="0" w:color="auto"/>
        <w:right w:val="none" w:sz="0" w:space="0" w:color="auto"/>
      </w:divBdr>
    </w:div>
    <w:div w:id="1561090272">
      <w:bodyDiv w:val="1"/>
      <w:marLeft w:val="0"/>
      <w:marRight w:val="0"/>
      <w:marTop w:val="0"/>
      <w:marBottom w:val="0"/>
      <w:divBdr>
        <w:top w:val="none" w:sz="0" w:space="0" w:color="auto"/>
        <w:left w:val="none" w:sz="0" w:space="0" w:color="auto"/>
        <w:bottom w:val="none" w:sz="0" w:space="0" w:color="auto"/>
        <w:right w:val="none" w:sz="0" w:space="0" w:color="auto"/>
      </w:divBdr>
    </w:div>
    <w:div w:id="1562128931">
      <w:bodyDiv w:val="1"/>
      <w:marLeft w:val="0"/>
      <w:marRight w:val="0"/>
      <w:marTop w:val="0"/>
      <w:marBottom w:val="0"/>
      <w:divBdr>
        <w:top w:val="none" w:sz="0" w:space="0" w:color="auto"/>
        <w:left w:val="none" w:sz="0" w:space="0" w:color="auto"/>
        <w:bottom w:val="none" w:sz="0" w:space="0" w:color="auto"/>
        <w:right w:val="none" w:sz="0" w:space="0" w:color="auto"/>
      </w:divBdr>
    </w:div>
    <w:div w:id="1594899970">
      <w:bodyDiv w:val="1"/>
      <w:marLeft w:val="0"/>
      <w:marRight w:val="0"/>
      <w:marTop w:val="0"/>
      <w:marBottom w:val="0"/>
      <w:divBdr>
        <w:top w:val="none" w:sz="0" w:space="0" w:color="auto"/>
        <w:left w:val="none" w:sz="0" w:space="0" w:color="auto"/>
        <w:bottom w:val="none" w:sz="0" w:space="0" w:color="auto"/>
        <w:right w:val="none" w:sz="0" w:space="0" w:color="auto"/>
      </w:divBdr>
    </w:div>
    <w:div w:id="1632245667">
      <w:bodyDiv w:val="1"/>
      <w:marLeft w:val="0"/>
      <w:marRight w:val="0"/>
      <w:marTop w:val="0"/>
      <w:marBottom w:val="0"/>
      <w:divBdr>
        <w:top w:val="none" w:sz="0" w:space="0" w:color="auto"/>
        <w:left w:val="none" w:sz="0" w:space="0" w:color="auto"/>
        <w:bottom w:val="none" w:sz="0" w:space="0" w:color="auto"/>
        <w:right w:val="none" w:sz="0" w:space="0" w:color="auto"/>
      </w:divBdr>
    </w:div>
    <w:div w:id="1648782944">
      <w:bodyDiv w:val="1"/>
      <w:marLeft w:val="0"/>
      <w:marRight w:val="0"/>
      <w:marTop w:val="0"/>
      <w:marBottom w:val="0"/>
      <w:divBdr>
        <w:top w:val="none" w:sz="0" w:space="0" w:color="auto"/>
        <w:left w:val="none" w:sz="0" w:space="0" w:color="auto"/>
        <w:bottom w:val="none" w:sz="0" w:space="0" w:color="auto"/>
        <w:right w:val="none" w:sz="0" w:space="0" w:color="auto"/>
      </w:divBdr>
    </w:div>
    <w:div w:id="1666282159">
      <w:bodyDiv w:val="1"/>
      <w:marLeft w:val="0"/>
      <w:marRight w:val="0"/>
      <w:marTop w:val="0"/>
      <w:marBottom w:val="0"/>
      <w:divBdr>
        <w:top w:val="none" w:sz="0" w:space="0" w:color="auto"/>
        <w:left w:val="none" w:sz="0" w:space="0" w:color="auto"/>
        <w:bottom w:val="none" w:sz="0" w:space="0" w:color="auto"/>
        <w:right w:val="none" w:sz="0" w:space="0" w:color="auto"/>
      </w:divBdr>
    </w:div>
    <w:div w:id="1674335820">
      <w:bodyDiv w:val="1"/>
      <w:marLeft w:val="0"/>
      <w:marRight w:val="0"/>
      <w:marTop w:val="0"/>
      <w:marBottom w:val="0"/>
      <w:divBdr>
        <w:top w:val="none" w:sz="0" w:space="0" w:color="auto"/>
        <w:left w:val="none" w:sz="0" w:space="0" w:color="auto"/>
        <w:bottom w:val="none" w:sz="0" w:space="0" w:color="auto"/>
        <w:right w:val="none" w:sz="0" w:space="0" w:color="auto"/>
      </w:divBdr>
    </w:div>
    <w:div w:id="1696343316">
      <w:bodyDiv w:val="1"/>
      <w:marLeft w:val="0"/>
      <w:marRight w:val="0"/>
      <w:marTop w:val="0"/>
      <w:marBottom w:val="0"/>
      <w:divBdr>
        <w:top w:val="none" w:sz="0" w:space="0" w:color="auto"/>
        <w:left w:val="none" w:sz="0" w:space="0" w:color="auto"/>
        <w:bottom w:val="none" w:sz="0" w:space="0" w:color="auto"/>
        <w:right w:val="none" w:sz="0" w:space="0" w:color="auto"/>
      </w:divBdr>
    </w:div>
    <w:div w:id="1729527255">
      <w:bodyDiv w:val="1"/>
      <w:marLeft w:val="0"/>
      <w:marRight w:val="0"/>
      <w:marTop w:val="0"/>
      <w:marBottom w:val="0"/>
      <w:divBdr>
        <w:top w:val="none" w:sz="0" w:space="0" w:color="auto"/>
        <w:left w:val="none" w:sz="0" w:space="0" w:color="auto"/>
        <w:bottom w:val="none" w:sz="0" w:space="0" w:color="auto"/>
        <w:right w:val="none" w:sz="0" w:space="0" w:color="auto"/>
      </w:divBdr>
    </w:div>
    <w:div w:id="1753232535">
      <w:bodyDiv w:val="1"/>
      <w:marLeft w:val="0"/>
      <w:marRight w:val="0"/>
      <w:marTop w:val="0"/>
      <w:marBottom w:val="0"/>
      <w:divBdr>
        <w:top w:val="none" w:sz="0" w:space="0" w:color="auto"/>
        <w:left w:val="none" w:sz="0" w:space="0" w:color="auto"/>
        <w:bottom w:val="none" w:sz="0" w:space="0" w:color="auto"/>
        <w:right w:val="none" w:sz="0" w:space="0" w:color="auto"/>
      </w:divBdr>
    </w:div>
    <w:div w:id="1780174786">
      <w:bodyDiv w:val="1"/>
      <w:marLeft w:val="0"/>
      <w:marRight w:val="0"/>
      <w:marTop w:val="0"/>
      <w:marBottom w:val="0"/>
      <w:divBdr>
        <w:top w:val="none" w:sz="0" w:space="0" w:color="auto"/>
        <w:left w:val="none" w:sz="0" w:space="0" w:color="auto"/>
        <w:bottom w:val="none" w:sz="0" w:space="0" w:color="auto"/>
        <w:right w:val="none" w:sz="0" w:space="0" w:color="auto"/>
      </w:divBdr>
    </w:div>
    <w:div w:id="1788162581">
      <w:bodyDiv w:val="1"/>
      <w:marLeft w:val="0"/>
      <w:marRight w:val="0"/>
      <w:marTop w:val="0"/>
      <w:marBottom w:val="0"/>
      <w:divBdr>
        <w:top w:val="none" w:sz="0" w:space="0" w:color="auto"/>
        <w:left w:val="none" w:sz="0" w:space="0" w:color="auto"/>
        <w:bottom w:val="none" w:sz="0" w:space="0" w:color="auto"/>
        <w:right w:val="none" w:sz="0" w:space="0" w:color="auto"/>
      </w:divBdr>
    </w:div>
    <w:div w:id="1788548064">
      <w:bodyDiv w:val="1"/>
      <w:marLeft w:val="0"/>
      <w:marRight w:val="0"/>
      <w:marTop w:val="0"/>
      <w:marBottom w:val="0"/>
      <w:divBdr>
        <w:top w:val="none" w:sz="0" w:space="0" w:color="auto"/>
        <w:left w:val="none" w:sz="0" w:space="0" w:color="auto"/>
        <w:bottom w:val="none" w:sz="0" w:space="0" w:color="auto"/>
        <w:right w:val="none" w:sz="0" w:space="0" w:color="auto"/>
      </w:divBdr>
    </w:div>
    <w:div w:id="1789742604">
      <w:bodyDiv w:val="1"/>
      <w:marLeft w:val="0"/>
      <w:marRight w:val="0"/>
      <w:marTop w:val="0"/>
      <w:marBottom w:val="0"/>
      <w:divBdr>
        <w:top w:val="none" w:sz="0" w:space="0" w:color="auto"/>
        <w:left w:val="none" w:sz="0" w:space="0" w:color="auto"/>
        <w:bottom w:val="none" w:sz="0" w:space="0" w:color="auto"/>
        <w:right w:val="none" w:sz="0" w:space="0" w:color="auto"/>
      </w:divBdr>
    </w:div>
    <w:div w:id="1806117132">
      <w:bodyDiv w:val="1"/>
      <w:marLeft w:val="0"/>
      <w:marRight w:val="0"/>
      <w:marTop w:val="0"/>
      <w:marBottom w:val="0"/>
      <w:divBdr>
        <w:top w:val="none" w:sz="0" w:space="0" w:color="auto"/>
        <w:left w:val="none" w:sz="0" w:space="0" w:color="auto"/>
        <w:bottom w:val="none" w:sz="0" w:space="0" w:color="auto"/>
        <w:right w:val="none" w:sz="0" w:space="0" w:color="auto"/>
      </w:divBdr>
    </w:div>
    <w:div w:id="1882135339">
      <w:bodyDiv w:val="1"/>
      <w:marLeft w:val="0"/>
      <w:marRight w:val="0"/>
      <w:marTop w:val="0"/>
      <w:marBottom w:val="0"/>
      <w:divBdr>
        <w:top w:val="none" w:sz="0" w:space="0" w:color="auto"/>
        <w:left w:val="none" w:sz="0" w:space="0" w:color="auto"/>
        <w:bottom w:val="none" w:sz="0" w:space="0" w:color="auto"/>
        <w:right w:val="none" w:sz="0" w:space="0" w:color="auto"/>
      </w:divBdr>
    </w:div>
    <w:div w:id="1894803514">
      <w:bodyDiv w:val="1"/>
      <w:marLeft w:val="0"/>
      <w:marRight w:val="0"/>
      <w:marTop w:val="0"/>
      <w:marBottom w:val="0"/>
      <w:divBdr>
        <w:top w:val="none" w:sz="0" w:space="0" w:color="auto"/>
        <w:left w:val="none" w:sz="0" w:space="0" w:color="auto"/>
        <w:bottom w:val="none" w:sz="0" w:space="0" w:color="auto"/>
        <w:right w:val="none" w:sz="0" w:space="0" w:color="auto"/>
      </w:divBdr>
    </w:div>
    <w:div w:id="1915815346">
      <w:bodyDiv w:val="1"/>
      <w:marLeft w:val="0"/>
      <w:marRight w:val="0"/>
      <w:marTop w:val="0"/>
      <w:marBottom w:val="0"/>
      <w:divBdr>
        <w:top w:val="none" w:sz="0" w:space="0" w:color="auto"/>
        <w:left w:val="none" w:sz="0" w:space="0" w:color="auto"/>
        <w:bottom w:val="none" w:sz="0" w:space="0" w:color="auto"/>
        <w:right w:val="none" w:sz="0" w:space="0" w:color="auto"/>
      </w:divBdr>
    </w:div>
    <w:div w:id="1977294946">
      <w:bodyDiv w:val="1"/>
      <w:marLeft w:val="0"/>
      <w:marRight w:val="0"/>
      <w:marTop w:val="0"/>
      <w:marBottom w:val="0"/>
      <w:divBdr>
        <w:top w:val="none" w:sz="0" w:space="0" w:color="auto"/>
        <w:left w:val="none" w:sz="0" w:space="0" w:color="auto"/>
        <w:bottom w:val="none" w:sz="0" w:space="0" w:color="auto"/>
        <w:right w:val="none" w:sz="0" w:space="0" w:color="auto"/>
      </w:divBdr>
    </w:div>
    <w:div w:id="1995600888">
      <w:bodyDiv w:val="1"/>
      <w:marLeft w:val="0"/>
      <w:marRight w:val="0"/>
      <w:marTop w:val="0"/>
      <w:marBottom w:val="0"/>
      <w:divBdr>
        <w:top w:val="none" w:sz="0" w:space="0" w:color="auto"/>
        <w:left w:val="none" w:sz="0" w:space="0" w:color="auto"/>
        <w:bottom w:val="none" w:sz="0" w:space="0" w:color="auto"/>
        <w:right w:val="none" w:sz="0" w:space="0" w:color="auto"/>
      </w:divBdr>
    </w:div>
    <w:div w:id="2006977956">
      <w:bodyDiv w:val="1"/>
      <w:marLeft w:val="0"/>
      <w:marRight w:val="0"/>
      <w:marTop w:val="0"/>
      <w:marBottom w:val="0"/>
      <w:divBdr>
        <w:top w:val="none" w:sz="0" w:space="0" w:color="auto"/>
        <w:left w:val="none" w:sz="0" w:space="0" w:color="auto"/>
        <w:bottom w:val="none" w:sz="0" w:space="0" w:color="auto"/>
        <w:right w:val="none" w:sz="0" w:space="0" w:color="auto"/>
      </w:divBdr>
    </w:div>
    <w:div w:id="2017344372">
      <w:bodyDiv w:val="1"/>
      <w:marLeft w:val="0"/>
      <w:marRight w:val="0"/>
      <w:marTop w:val="0"/>
      <w:marBottom w:val="0"/>
      <w:divBdr>
        <w:top w:val="none" w:sz="0" w:space="0" w:color="auto"/>
        <w:left w:val="none" w:sz="0" w:space="0" w:color="auto"/>
        <w:bottom w:val="none" w:sz="0" w:space="0" w:color="auto"/>
        <w:right w:val="none" w:sz="0" w:space="0" w:color="auto"/>
      </w:divBdr>
    </w:div>
    <w:div w:id="2020958379">
      <w:bodyDiv w:val="1"/>
      <w:marLeft w:val="0"/>
      <w:marRight w:val="0"/>
      <w:marTop w:val="0"/>
      <w:marBottom w:val="0"/>
      <w:divBdr>
        <w:top w:val="none" w:sz="0" w:space="0" w:color="auto"/>
        <w:left w:val="none" w:sz="0" w:space="0" w:color="auto"/>
        <w:bottom w:val="none" w:sz="0" w:space="0" w:color="auto"/>
        <w:right w:val="none" w:sz="0" w:space="0" w:color="auto"/>
      </w:divBdr>
    </w:div>
    <w:div w:id="2024285010">
      <w:bodyDiv w:val="1"/>
      <w:marLeft w:val="0"/>
      <w:marRight w:val="0"/>
      <w:marTop w:val="0"/>
      <w:marBottom w:val="0"/>
      <w:divBdr>
        <w:top w:val="none" w:sz="0" w:space="0" w:color="auto"/>
        <w:left w:val="none" w:sz="0" w:space="0" w:color="auto"/>
        <w:bottom w:val="none" w:sz="0" w:space="0" w:color="auto"/>
        <w:right w:val="none" w:sz="0" w:space="0" w:color="auto"/>
      </w:divBdr>
    </w:div>
    <w:div w:id="2054452379">
      <w:bodyDiv w:val="1"/>
      <w:marLeft w:val="0"/>
      <w:marRight w:val="0"/>
      <w:marTop w:val="0"/>
      <w:marBottom w:val="0"/>
      <w:divBdr>
        <w:top w:val="none" w:sz="0" w:space="0" w:color="auto"/>
        <w:left w:val="none" w:sz="0" w:space="0" w:color="auto"/>
        <w:bottom w:val="none" w:sz="0" w:space="0" w:color="auto"/>
        <w:right w:val="none" w:sz="0" w:space="0" w:color="auto"/>
      </w:divBdr>
    </w:div>
    <w:div w:id="207828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hyperlink" Target="https://www.tga.gov.au/product-information-pi"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microsoft.com/office/2007/relationships/hdphoto" Target="media/hdphoto7.wdp"/><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microsoft.com/office/2007/relationships/hdphoto" Target="media/hdphoto2.wdp"/><Relationship Id="rId29" Type="http://schemas.openxmlformats.org/officeDocument/2006/relationships/image" Target="media/image1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3.wdp"/><Relationship Id="rId28" Type="http://schemas.microsoft.com/office/2007/relationships/hdphoto" Target="media/hdphoto4.wdp"/><Relationship Id="rId36" Type="http://schemas.microsoft.com/office/2007/relationships/hdphoto" Target="media/hdphoto6.wdp"/><Relationship Id="rId49"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microsoft.com/office/2007/relationships/hdphoto" Target="media/hdphoto5.wdp"/><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sthmahandbook.org.au/" TargetMode="External"/><Relationship Id="rId2" Type="http://schemas.openxmlformats.org/officeDocument/2006/relationships/hyperlink" Target="https://www.tga.gov.au/clinical-efficacy-and-safety-guidelines" TargetMode="External"/><Relationship Id="rId1" Type="http://schemas.openxmlformats.org/officeDocument/2006/relationships/hyperlink" Target="https://www.tga.gov.au/clinical-efficacy-and-safety-guidelines" TargetMode="External"/><Relationship Id="rId6" Type="http://schemas.openxmlformats.org/officeDocument/2006/relationships/hyperlink" Target="http://www.asthmahandbook.org.au/uploads/555143d72c3e3.pdf" TargetMode="External"/><Relationship Id="rId5" Type="http://schemas.openxmlformats.org/officeDocument/2006/relationships/hyperlink" Target="http://www.ginasthma.org/local/uploads/files/GINA_Report_2015_Aug11.pdf" TargetMode="External"/><Relationship Id="rId4" Type="http://schemas.openxmlformats.org/officeDocument/2006/relationships/hyperlink" Target="http://www.ginasthma.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916\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344AF-4D1D-4EEC-A9CA-34F2D2933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Template>
  <TotalTime>34</TotalTime>
  <Pages>58</Pages>
  <Words>17132</Words>
  <Characters>102108</Characters>
  <Application>Microsoft Office Word</Application>
  <DocSecurity>0</DocSecurity>
  <Lines>1823</Lines>
  <Paragraphs>864</Paragraphs>
  <ScaleCrop>false</ScaleCrop>
  <HeadingPairs>
    <vt:vector size="2" baseType="variant">
      <vt:variant>
        <vt:lpstr>Title</vt:lpstr>
      </vt:variant>
      <vt:variant>
        <vt:i4>1</vt:i4>
      </vt:variant>
    </vt:vector>
  </HeadingPairs>
  <TitlesOfParts>
    <vt:vector size="1" baseType="lpstr">
      <vt:lpstr>Australian Public Assessment Report for Omalizumab (rch)</vt:lpstr>
    </vt:vector>
  </TitlesOfParts>
  <Company/>
  <LinksUpToDate>false</LinksUpToDate>
  <CharactersWithSpaces>118376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Omalizumab (rch)</dc:title>
  <dc:subject>prescription medicines</dc:subject>
  <dc:creator>Therapeutic Goods Administration</dc:creator>
  <cp:keywords>AusPARs</cp:keywords>
  <cp:lastModifiedBy>Lack, Janet</cp:lastModifiedBy>
  <cp:revision>4</cp:revision>
  <cp:lastPrinted>2016-05-26T15:39:00Z</cp:lastPrinted>
  <dcterms:created xsi:type="dcterms:W3CDTF">2016-06-23T01:36:00Z</dcterms:created>
  <dcterms:modified xsi:type="dcterms:W3CDTF">2016-06-23T02:21:00Z</dcterms:modified>
  <cp:category/>
</cp:coreProperties>
</file>