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89197F" w:rsidP="00096AA7">
            <w:pPr>
              <w:rPr>
                <w:rFonts w:ascii="Arial" w:hAnsi="Arial" w:cs="Arial"/>
                <w:b/>
                <w:color w:val="002C47"/>
                <w:sz w:val="36"/>
                <w:szCs w:val="36"/>
              </w:rPr>
            </w:pPr>
            <w:r>
              <w:rPr>
                <w:rFonts w:ascii="Arial" w:hAnsi="Arial" w:cs="Arial"/>
                <w:b/>
                <w:color w:val="002C47"/>
                <w:sz w:val="36"/>
                <w:szCs w:val="36"/>
              </w:rPr>
              <w:t>Ju</w:t>
            </w:r>
            <w:r w:rsidR="001F6679">
              <w:rPr>
                <w:rFonts w:ascii="Arial" w:hAnsi="Arial" w:cs="Arial"/>
                <w:b/>
                <w:color w:val="002C47"/>
                <w:sz w:val="36"/>
                <w:szCs w:val="36"/>
              </w:rPr>
              <w:t>ly</w:t>
            </w:r>
            <w:r w:rsidR="00763586">
              <w:rPr>
                <w:rFonts w:ascii="Arial" w:hAnsi="Arial" w:cs="Arial"/>
                <w:b/>
                <w:color w:val="002C47"/>
                <w:sz w:val="36"/>
                <w:szCs w:val="36"/>
              </w:rPr>
              <w:t xml:space="preserve">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B52CBA">
            <w:pPr>
              <w:pStyle w:val="Title"/>
              <w:rPr>
                <w:color w:val="FFFFFF" w:themeColor="background1"/>
              </w:rPr>
            </w:pPr>
            <w:r w:rsidRPr="00A964D1">
              <w:rPr>
                <w:color w:val="FFFFFF" w:themeColor="background1"/>
              </w:rPr>
              <w:t xml:space="preserve">Australian Public Assessment Report for </w:t>
            </w:r>
            <w:proofErr w:type="spellStart"/>
            <w:r w:rsidR="00B52CBA">
              <w:rPr>
                <w:color w:val="FFFFFF" w:themeColor="background1"/>
              </w:rPr>
              <w:t>Omalizumab</w:t>
            </w:r>
            <w:proofErr w:type="spellEnd"/>
            <w:r w:rsidR="00A24217">
              <w:rPr>
                <w:color w:val="FFFFFF" w:themeColor="background1"/>
              </w:rPr>
              <w:t xml:space="preserve"> (</w:t>
            </w:r>
            <w:proofErr w:type="spellStart"/>
            <w:r w:rsidR="00A24217">
              <w:rPr>
                <w:color w:val="FFFFFF" w:themeColor="background1"/>
              </w:rPr>
              <w:t>rch</w:t>
            </w:r>
            <w:proofErr w:type="spellEnd"/>
            <w:r w:rsidR="00A24217">
              <w:rPr>
                <w:color w:val="FFFFFF" w:themeColor="background1"/>
              </w:rPr>
              <w:t>)</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proofErr w:type="spellStart"/>
            <w:r w:rsidR="0089197F">
              <w:rPr>
                <w:color w:val="FFFFFF" w:themeColor="background1"/>
              </w:rPr>
              <w:t>Xolair</w:t>
            </w:r>
            <w:proofErr w:type="spellEnd"/>
          </w:p>
        </w:tc>
      </w:tr>
      <w:tr w:rsidR="0032583B" w:rsidRPr="00B64760" w:rsidTr="0032583B">
        <w:trPr>
          <w:trHeight w:val="486"/>
        </w:trPr>
        <w:tc>
          <w:tcPr>
            <w:tcW w:w="9079" w:type="dxa"/>
          </w:tcPr>
          <w:p w:rsidR="0032583B" w:rsidRPr="008E7846" w:rsidRDefault="0032583B" w:rsidP="00B52CBA">
            <w:pPr>
              <w:pStyle w:val="Subtitle"/>
              <w:rPr>
                <w:color w:val="FFFFFF" w:themeColor="background1"/>
              </w:rPr>
            </w:pPr>
            <w:r w:rsidRPr="008E7846">
              <w:rPr>
                <w:color w:val="FFFFFF" w:themeColor="background1"/>
              </w:rPr>
              <w:t xml:space="preserve">Sponsor: </w:t>
            </w:r>
            <w:r w:rsidR="00B52CBA">
              <w:rPr>
                <w:color w:val="FFFFFF" w:themeColor="background1"/>
              </w:rPr>
              <w:t>Novartis Pharmaceuticals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B46B95">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B46B95">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w:t>
      </w:r>
      <w:proofErr w:type="gramStart"/>
      <w:r w:rsidR="008E7846">
        <w:t>necessary</w:t>
      </w:r>
      <w:proofErr w:type="gramEnd"/>
      <w:r w:rsidR="008E7846">
        <w:t>.</w:t>
      </w:r>
    </w:p>
    <w:p w:rsidR="008E7846" w:rsidRDefault="008E7846" w:rsidP="00B46B95">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B46B95">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B46B95">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4F47D6">
          <w:rPr>
            <w:rStyle w:val="Hyperlink"/>
          </w:rPr>
          <w:t>https://www.tga.gov.au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B46B95">
      <w:pPr>
        <w:pStyle w:val="ListBullet"/>
        <w:numPr>
          <w:ilvl w:val="0"/>
          <w:numId w:val="1"/>
        </w:numPr>
        <w:ind w:left="357" w:hanging="357"/>
      </w:pPr>
      <w:r>
        <w:t>An Australian Public Assessment Record (</w:t>
      </w:r>
      <w:proofErr w:type="spellStart"/>
      <w:r>
        <w:t>AusPAR</w:t>
      </w:r>
      <w:proofErr w:type="spellEnd"/>
      <w:r>
        <w:t>) provides information about the evaluation of a prescription medicine and the considerations that led the TGA to approve or not approve a pr</w:t>
      </w:r>
      <w:r w:rsidR="00760F91">
        <w:t>escription medicine submission.</w:t>
      </w:r>
    </w:p>
    <w:p w:rsidR="008E7846" w:rsidRDefault="008E7846" w:rsidP="00B46B95">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B46B95">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B46B95">
      <w:pPr>
        <w:pStyle w:val="ListBullet"/>
        <w:numPr>
          <w:ilvl w:val="0"/>
          <w:numId w:val="1"/>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B46B95">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E0B99">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405013"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26984845" w:history="1">
            <w:r w:rsidR="00405013" w:rsidRPr="009E748A">
              <w:rPr>
                <w:rStyle w:val="Hyperlink"/>
                <w:noProof/>
              </w:rPr>
              <w:t>List of the most common abbreviations used in this AusPAR</w:t>
            </w:r>
            <w:r w:rsidR="00405013">
              <w:rPr>
                <w:noProof/>
                <w:webHidden/>
              </w:rPr>
              <w:tab/>
            </w:r>
            <w:r w:rsidR="00405013">
              <w:rPr>
                <w:noProof/>
                <w:webHidden/>
              </w:rPr>
              <w:fldChar w:fldCharType="begin"/>
            </w:r>
            <w:r w:rsidR="00405013">
              <w:rPr>
                <w:noProof/>
                <w:webHidden/>
              </w:rPr>
              <w:instrText xml:space="preserve"> PAGEREF _Toc426984845 \h </w:instrText>
            </w:r>
            <w:r w:rsidR="00405013">
              <w:rPr>
                <w:noProof/>
                <w:webHidden/>
              </w:rPr>
            </w:r>
            <w:r w:rsidR="00405013">
              <w:rPr>
                <w:noProof/>
                <w:webHidden/>
              </w:rPr>
              <w:fldChar w:fldCharType="separate"/>
            </w:r>
            <w:r w:rsidR="00405013">
              <w:rPr>
                <w:noProof/>
                <w:webHidden/>
              </w:rPr>
              <w:t>4</w:t>
            </w:r>
            <w:r w:rsidR="00405013">
              <w:rPr>
                <w:noProof/>
                <w:webHidden/>
              </w:rPr>
              <w:fldChar w:fldCharType="end"/>
            </w:r>
          </w:hyperlink>
        </w:p>
        <w:p w:rsidR="00405013" w:rsidRDefault="00866140">
          <w:pPr>
            <w:pStyle w:val="TOC2"/>
            <w:rPr>
              <w:rFonts w:asciiTheme="minorHAnsi" w:eastAsiaTheme="minorEastAsia" w:hAnsiTheme="minorHAnsi" w:cstheme="minorBidi"/>
              <w:b w:val="0"/>
              <w:noProof/>
              <w:sz w:val="22"/>
              <w:lang w:eastAsia="en-AU"/>
            </w:rPr>
          </w:pPr>
          <w:hyperlink w:anchor="_Toc426984846" w:history="1">
            <w:r w:rsidR="00405013" w:rsidRPr="009E748A">
              <w:rPr>
                <w:rStyle w:val="Hyperlink"/>
                <w:noProof/>
              </w:rPr>
              <w:t>I. Introduction to product submission</w:t>
            </w:r>
            <w:r w:rsidR="00405013">
              <w:rPr>
                <w:noProof/>
                <w:webHidden/>
              </w:rPr>
              <w:tab/>
            </w:r>
            <w:r w:rsidR="00405013">
              <w:rPr>
                <w:noProof/>
                <w:webHidden/>
              </w:rPr>
              <w:fldChar w:fldCharType="begin"/>
            </w:r>
            <w:r w:rsidR="00405013">
              <w:rPr>
                <w:noProof/>
                <w:webHidden/>
              </w:rPr>
              <w:instrText xml:space="preserve"> PAGEREF _Toc426984846 \h </w:instrText>
            </w:r>
            <w:r w:rsidR="00405013">
              <w:rPr>
                <w:noProof/>
                <w:webHidden/>
              </w:rPr>
            </w:r>
            <w:r w:rsidR="00405013">
              <w:rPr>
                <w:noProof/>
                <w:webHidden/>
              </w:rPr>
              <w:fldChar w:fldCharType="separate"/>
            </w:r>
            <w:r w:rsidR="00405013">
              <w:rPr>
                <w:noProof/>
                <w:webHidden/>
              </w:rPr>
              <w:t>6</w:t>
            </w:r>
            <w:r w:rsidR="00405013">
              <w:rPr>
                <w:noProof/>
                <w:webHidden/>
              </w:rPr>
              <w:fldChar w:fldCharType="end"/>
            </w:r>
          </w:hyperlink>
        </w:p>
        <w:p w:rsidR="00405013" w:rsidRDefault="00866140">
          <w:pPr>
            <w:pStyle w:val="TOC3"/>
            <w:rPr>
              <w:rFonts w:asciiTheme="minorHAnsi" w:eastAsiaTheme="minorEastAsia" w:hAnsiTheme="minorHAnsi" w:cstheme="minorBidi"/>
              <w:noProof/>
              <w:lang w:eastAsia="en-AU"/>
            </w:rPr>
          </w:pPr>
          <w:hyperlink w:anchor="_Toc426984847" w:history="1">
            <w:r w:rsidR="00405013" w:rsidRPr="009E748A">
              <w:rPr>
                <w:rStyle w:val="Hyperlink"/>
                <w:noProof/>
              </w:rPr>
              <w:t>Submission details</w:t>
            </w:r>
            <w:r w:rsidR="00405013">
              <w:rPr>
                <w:noProof/>
                <w:webHidden/>
              </w:rPr>
              <w:tab/>
            </w:r>
            <w:r w:rsidR="00405013">
              <w:rPr>
                <w:noProof/>
                <w:webHidden/>
              </w:rPr>
              <w:fldChar w:fldCharType="begin"/>
            </w:r>
            <w:r w:rsidR="00405013">
              <w:rPr>
                <w:noProof/>
                <w:webHidden/>
              </w:rPr>
              <w:instrText xml:space="preserve"> PAGEREF _Toc426984847 \h </w:instrText>
            </w:r>
            <w:r w:rsidR="00405013">
              <w:rPr>
                <w:noProof/>
                <w:webHidden/>
              </w:rPr>
            </w:r>
            <w:r w:rsidR="00405013">
              <w:rPr>
                <w:noProof/>
                <w:webHidden/>
              </w:rPr>
              <w:fldChar w:fldCharType="separate"/>
            </w:r>
            <w:r w:rsidR="00405013">
              <w:rPr>
                <w:noProof/>
                <w:webHidden/>
              </w:rPr>
              <w:t>6</w:t>
            </w:r>
            <w:r w:rsidR="00405013">
              <w:rPr>
                <w:noProof/>
                <w:webHidden/>
              </w:rPr>
              <w:fldChar w:fldCharType="end"/>
            </w:r>
          </w:hyperlink>
        </w:p>
        <w:p w:rsidR="00405013" w:rsidRDefault="00866140">
          <w:pPr>
            <w:pStyle w:val="TOC3"/>
            <w:rPr>
              <w:rFonts w:asciiTheme="minorHAnsi" w:eastAsiaTheme="minorEastAsia" w:hAnsiTheme="minorHAnsi" w:cstheme="minorBidi"/>
              <w:noProof/>
              <w:lang w:eastAsia="en-AU"/>
            </w:rPr>
          </w:pPr>
          <w:hyperlink w:anchor="_Toc426984848" w:history="1">
            <w:r w:rsidR="00405013" w:rsidRPr="009E748A">
              <w:rPr>
                <w:rStyle w:val="Hyperlink"/>
                <w:noProof/>
              </w:rPr>
              <w:t>Product background</w:t>
            </w:r>
            <w:r w:rsidR="00405013">
              <w:rPr>
                <w:noProof/>
                <w:webHidden/>
              </w:rPr>
              <w:tab/>
            </w:r>
            <w:r w:rsidR="00405013">
              <w:rPr>
                <w:noProof/>
                <w:webHidden/>
              </w:rPr>
              <w:fldChar w:fldCharType="begin"/>
            </w:r>
            <w:r w:rsidR="00405013">
              <w:rPr>
                <w:noProof/>
                <w:webHidden/>
              </w:rPr>
              <w:instrText xml:space="preserve"> PAGEREF _Toc426984848 \h </w:instrText>
            </w:r>
            <w:r w:rsidR="00405013">
              <w:rPr>
                <w:noProof/>
                <w:webHidden/>
              </w:rPr>
            </w:r>
            <w:r w:rsidR="00405013">
              <w:rPr>
                <w:noProof/>
                <w:webHidden/>
              </w:rPr>
              <w:fldChar w:fldCharType="separate"/>
            </w:r>
            <w:r w:rsidR="00405013">
              <w:rPr>
                <w:noProof/>
                <w:webHidden/>
              </w:rPr>
              <w:t>6</w:t>
            </w:r>
            <w:r w:rsidR="00405013">
              <w:rPr>
                <w:noProof/>
                <w:webHidden/>
              </w:rPr>
              <w:fldChar w:fldCharType="end"/>
            </w:r>
          </w:hyperlink>
        </w:p>
        <w:p w:rsidR="00405013" w:rsidRDefault="00866140">
          <w:pPr>
            <w:pStyle w:val="TOC3"/>
            <w:rPr>
              <w:rFonts w:asciiTheme="minorHAnsi" w:eastAsiaTheme="minorEastAsia" w:hAnsiTheme="minorHAnsi" w:cstheme="minorBidi"/>
              <w:noProof/>
              <w:lang w:eastAsia="en-AU"/>
            </w:rPr>
          </w:pPr>
          <w:hyperlink w:anchor="_Toc426984849" w:history="1">
            <w:r w:rsidR="00405013" w:rsidRPr="009E748A">
              <w:rPr>
                <w:rStyle w:val="Hyperlink"/>
                <w:noProof/>
              </w:rPr>
              <w:t>Regulatory status</w:t>
            </w:r>
            <w:r w:rsidR="00405013">
              <w:rPr>
                <w:noProof/>
                <w:webHidden/>
              </w:rPr>
              <w:tab/>
            </w:r>
            <w:r w:rsidR="00405013">
              <w:rPr>
                <w:noProof/>
                <w:webHidden/>
              </w:rPr>
              <w:fldChar w:fldCharType="begin"/>
            </w:r>
            <w:r w:rsidR="00405013">
              <w:rPr>
                <w:noProof/>
                <w:webHidden/>
              </w:rPr>
              <w:instrText xml:space="preserve"> PAGEREF _Toc426984849 \h </w:instrText>
            </w:r>
            <w:r w:rsidR="00405013">
              <w:rPr>
                <w:noProof/>
                <w:webHidden/>
              </w:rPr>
            </w:r>
            <w:r w:rsidR="00405013">
              <w:rPr>
                <w:noProof/>
                <w:webHidden/>
              </w:rPr>
              <w:fldChar w:fldCharType="separate"/>
            </w:r>
            <w:r w:rsidR="00405013">
              <w:rPr>
                <w:noProof/>
                <w:webHidden/>
              </w:rPr>
              <w:t>7</w:t>
            </w:r>
            <w:r w:rsidR="00405013">
              <w:rPr>
                <w:noProof/>
                <w:webHidden/>
              </w:rPr>
              <w:fldChar w:fldCharType="end"/>
            </w:r>
          </w:hyperlink>
        </w:p>
        <w:p w:rsidR="00405013" w:rsidRDefault="00866140">
          <w:pPr>
            <w:pStyle w:val="TOC3"/>
            <w:rPr>
              <w:rFonts w:asciiTheme="minorHAnsi" w:eastAsiaTheme="minorEastAsia" w:hAnsiTheme="minorHAnsi" w:cstheme="minorBidi"/>
              <w:noProof/>
              <w:lang w:eastAsia="en-AU"/>
            </w:rPr>
          </w:pPr>
          <w:hyperlink w:anchor="_Toc426984850" w:history="1">
            <w:r w:rsidR="00405013" w:rsidRPr="009E748A">
              <w:rPr>
                <w:rStyle w:val="Hyperlink"/>
                <w:noProof/>
              </w:rPr>
              <w:t>Product information</w:t>
            </w:r>
            <w:r w:rsidR="00405013">
              <w:rPr>
                <w:noProof/>
                <w:webHidden/>
              </w:rPr>
              <w:tab/>
            </w:r>
            <w:r w:rsidR="00405013">
              <w:rPr>
                <w:noProof/>
                <w:webHidden/>
              </w:rPr>
              <w:fldChar w:fldCharType="begin"/>
            </w:r>
            <w:r w:rsidR="00405013">
              <w:rPr>
                <w:noProof/>
                <w:webHidden/>
              </w:rPr>
              <w:instrText xml:space="preserve"> PAGEREF _Toc426984850 \h </w:instrText>
            </w:r>
            <w:r w:rsidR="00405013">
              <w:rPr>
                <w:noProof/>
                <w:webHidden/>
              </w:rPr>
            </w:r>
            <w:r w:rsidR="00405013">
              <w:rPr>
                <w:noProof/>
                <w:webHidden/>
              </w:rPr>
              <w:fldChar w:fldCharType="separate"/>
            </w:r>
            <w:r w:rsidR="00405013">
              <w:rPr>
                <w:noProof/>
                <w:webHidden/>
              </w:rPr>
              <w:t>8</w:t>
            </w:r>
            <w:r w:rsidR="00405013">
              <w:rPr>
                <w:noProof/>
                <w:webHidden/>
              </w:rPr>
              <w:fldChar w:fldCharType="end"/>
            </w:r>
          </w:hyperlink>
        </w:p>
        <w:p w:rsidR="00405013" w:rsidRDefault="00866140">
          <w:pPr>
            <w:pStyle w:val="TOC2"/>
            <w:rPr>
              <w:rFonts w:asciiTheme="minorHAnsi" w:eastAsiaTheme="minorEastAsia" w:hAnsiTheme="minorHAnsi" w:cstheme="minorBidi"/>
              <w:b w:val="0"/>
              <w:noProof/>
              <w:sz w:val="22"/>
              <w:lang w:eastAsia="en-AU"/>
            </w:rPr>
          </w:pPr>
          <w:hyperlink w:anchor="_Toc426984851" w:history="1">
            <w:r w:rsidR="00405013" w:rsidRPr="009E748A">
              <w:rPr>
                <w:rStyle w:val="Hyperlink"/>
                <w:noProof/>
              </w:rPr>
              <w:t>II. Quality findings</w:t>
            </w:r>
            <w:r w:rsidR="00405013">
              <w:rPr>
                <w:noProof/>
                <w:webHidden/>
              </w:rPr>
              <w:tab/>
            </w:r>
            <w:r w:rsidR="00405013">
              <w:rPr>
                <w:noProof/>
                <w:webHidden/>
              </w:rPr>
              <w:fldChar w:fldCharType="begin"/>
            </w:r>
            <w:r w:rsidR="00405013">
              <w:rPr>
                <w:noProof/>
                <w:webHidden/>
              </w:rPr>
              <w:instrText xml:space="preserve"> PAGEREF _Toc426984851 \h </w:instrText>
            </w:r>
            <w:r w:rsidR="00405013">
              <w:rPr>
                <w:noProof/>
                <w:webHidden/>
              </w:rPr>
            </w:r>
            <w:r w:rsidR="00405013">
              <w:rPr>
                <w:noProof/>
                <w:webHidden/>
              </w:rPr>
              <w:fldChar w:fldCharType="separate"/>
            </w:r>
            <w:r w:rsidR="00405013">
              <w:rPr>
                <w:noProof/>
                <w:webHidden/>
              </w:rPr>
              <w:t>8</w:t>
            </w:r>
            <w:r w:rsidR="00405013">
              <w:rPr>
                <w:noProof/>
                <w:webHidden/>
              </w:rPr>
              <w:fldChar w:fldCharType="end"/>
            </w:r>
          </w:hyperlink>
        </w:p>
        <w:p w:rsidR="00405013" w:rsidRDefault="00866140">
          <w:pPr>
            <w:pStyle w:val="TOC2"/>
            <w:rPr>
              <w:rFonts w:asciiTheme="minorHAnsi" w:eastAsiaTheme="minorEastAsia" w:hAnsiTheme="minorHAnsi" w:cstheme="minorBidi"/>
              <w:b w:val="0"/>
              <w:noProof/>
              <w:sz w:val="22"/>
              <w:lang w:eastAsia="en-AU"/>
            </w:rPr>
          </w:pPr>
          <w:hyperlink w:anchor="_Toc426984852" w:history="1">
            <w:r w:rsidR="00405013" w:rsidRPr="009E748A">
              <w:rPr>
                <w:rStyle w:val="Hyperlink"/>
                <w:noProof/>
              </w:rPr>
              <w:t>III. Nonclinical findings</w:t>
            </w:r>
            <w:r w:rsidR="00405013">
              <w:rPr>
                <w:noProof/>
                <w:webHidden/>
              </w:rPr>
              <w:tab/>
            </w:r>
            <w:r w:rsidR="00405013">
              <w:rPr>
                <w:noProof/>
                <w:webHidden/>
              </w:rPr>
              <w:fldChar w:fldCharType="begin"/>
            </w:r>
            <w:r w:rsidR="00405013">
              <w:rPr>
                <w:noProof/>
                <w:webHidden/>
              </w:rPr>
              <w:instrText xml:space="preserve"> PAGEREF _Toc426984852 \h </w:instrText>
            </w:r>
            <w:r w:rsidR="00405013">
              <w:rPr>
                <w:noProof/>
                <w:webHidden/>
              </w:rPr>
            </w:r>
            <w:r w:rsidR="00405013">
              <w:rPr>
                <w:noProof/>
                <w:webHidden/>
              </w:rPr>
              <w:fldChar w:fldCharType="separate"/>
            </w:r>
            <w:r w:rsidR="00405013">
              <w:rPr>
                <w:noProof/>
                <w:webHidden/>
              </w:rPr>
              <w:t>8</w:t>
            </w:r>
            <w:r w:rsidR="00405013">
              <w:rPr>
                <w:noProof/>
                <w:webHidden/>
              </w:rPr>
              <w:fldChar w:fldCharType="end"/>
            </w:r>
          </w:hyperlink>
        </w:p>
        <w:p w:rsidR="00405013" w:rsidRDefault="00866140">
          <w:pPr>
            <w:pStyle w:val="TOC2"/>
            <w:rPr>
              <w:rFonts w:asciiTheme="minorHAnsi" w:eastAsiaTheme="minorEastAsia" w:hAnsiTheme="minorHAnsi" w:cstheme="minorBidi"/>
              <w:b w:val="0"/>
              <w:noProof/>
              <w:sz w:val="22"/>
              <w:lang w:eastAsia="en-AU"/>
            </w:rPr>
          </w:pPr>
          <w:hyperlink w:anchor="_Toc426984853" w:history="1">
            <w:r w:rsidR="00405013" w:rsidRPr="009E748A">
              <w:rPr>
                <w:rStyle w:val="Hyperlink"/>
                <w:noProof/>
              </w:rPr>
              <w:t>IV. Clinical findings</w:t>
            </w:r>
            <w:r w:rsidR="00405013">
              <w:rPr>
                <w:noProof/>
                <w:webHidden/>
              </w:rPr>
              <w:tab/>
            </w:r>
            <w:r w:rsidR="00405013">
              <w:rPr>
                <w:noProof/>
                <w:webHidden/>
              </w:rPr>
              <w:fldChar w:fldCharType="begin"/>
            </w:r>
            <w:r w:rsidR="00405013">
              <w:rPr>
                <w:noProof/>
                <w:webHidden/>
              </w:rPr>
              <w:instrText xml:space="preserve"> PAGEREF _Toc426984853 \h </w:instrText>
            </w:r>
            <w:r w:rsidR="00405013">
              <w:rPr>
                <w:noProof/>
                <w:webHidden/>
              </w:rPr>
            </w:r>
            <w:r w:rsidR="00405013">
              <w:rPr>
                <w:noProof/>
                <w:webHidden/>
              </w:rPr>
              <w:fldChar w:fldCharType="separate"/>
            </w:r>
            <w:r w:rsidR="00405013">
              <w:rPr>
                <w:noProof/>
                <w:webHidden/>
              </w:rPr>
              <w:t>9</w:t>
            </w:r>
            <w:r w:rsidR="00405013">
              <w:rPr>
                <w:noProof/>
                <w:webHidden/>
              </w:rPr>
              <w:fldChar w:fldCharType="end"/>
            </w:r>
          </w:hyperlink>
        </w:p>
        <w:p w:rsidR="00405013" w:rsidRDefault="00866140">
          <w:pPr>
            <w:pStyle w:val="TOC3"/>
            <w:rPr>
              <w:rFonts w:asciiTheme="minorHAnsi" w:eastAsiaTheme="minorEastAsia" w:hAnsiTheme="minorHAnsi" w:cstheme="minorBidi"/>
              <w:noProof/>
              <w:lang w:eastAsia="en-AU"/>
            </w:rPr>
          </w:pPr>
          <w:hyperlink w:anchor="_Toc426984854" w:history="1">
            <w:r w:rsidR="00405013" w:rsidRPr="009E748A">
              <w:rPr>
                <w:rStyle w:val="Hyperlink"/>
                <w:noProof/>
              </w:rPr>
              <w:t>Introduction</w:t>
            </w:r>
            <w:r w:rsidR="00405013">
              <w:rPr>
                <w:noProof/>
                <w:webHidden/>
              </w:rPr>
              <w:tab/>
            </w:r>
            <w:r w:rsidR="00405013">
              <w:rPr>
                <w:noProof/>
                <w:webHidden/>
              </w:rPr>
              <w:fldChar w:fldCharType="begin"/>
            </w:r>
            <w:r w:rsidR="00405013">
              <w:rPr>
                <w:noProof/>
                <w:webHidden/>
              </w:rPr>
              <w:instrText xml:space="preserve"> PAGEREF _Toc426984854 \h </w:instrText>
            </w:r>
            <w:r w:rsidR="00405013">
              <w:rPr>
                <w:noProof/>
                <w:webHidden/>
              </w:rPr>
            </w:r>
            <w:r w:rsidR="00405013">
              <w:rPr>
                <w:noProof/>
                <w:webHidden/>
              </w:rPr>
              <w:fldChar w:fldCharType="separate"/>
            </w:r>
            <w:r w:rsidR="00405013">
              <w:rPr>
                <w:noProof/>
                <w:webHidden/>
              </w:rPr>
              <w:t>9</w:t>
            </w:r>
            <w:r w:rsidR="00405013">
              <w:rPr>
                <w:noProof/>
                <w:webHidden/>
              </w:rPr>
              <w:fldChar w:fldCharType="end"/>
            </w:r>
          </w:hyperlink>
        </w:p>
        <w:p w:rsidR="00405013" w:rsidRDefault="00866140">
          <w:pPr>
            <w:pStyle w:val="TOC3"/>
            <w:rPr>
              <w:rFonts w:asciiTheme="minorHAnsi" w:eastAsiaTheme="minorEastAsia" w:hAnsiTheme="minorHAnsi" w:cstheme="minorBidi"/>
              <w:noProof/>
              <w:lang w:eastAsia="en-AU"/>
            </w:rPr>
          </w:pPr>
          <w:hyperlink w:anchor="_Toc426984855" w:history="1">
            <w:r w:rsidR="00405013" w:rsidRPr="009E748A">
              <w:rPr>
                <w:rStyle w:val="Hyperlink"/>
                <w:noProof/>
              </w:rPr>
              <w:t>Pharmacokinetics</w:t>
            </w:r>
            <w:r w:rsidR="00405013">
              <w:rPr>
                <w:noProof/>
                <w:webHidden/>
              </w:rPr>
              <w:tab/>
            </w:r>
            <w:r w:rsidR="00405013">
              <w:rPr>
                <w:noProof/>
                <w:webHidden/>
              </w:rPr>
              <w:fldChar w:fldCharType="begin"/>
            </w:r>
            <w:r w:rsidR="00405013">
              <w:rPr>
                <w:noProof/>
                <w:webHidden/>
              </w:rPr>
              <w:instrText xml:space="preserve"> PAGEREF _Toc426984855 \h </w:instrText>
            </w:r>
            <w:r w:rsidR="00405013">
              <w:rPr>
                <w:noProof/>
                <w:webHidden/>
              </w:rPr>
            </w:r>
            <w:r w:rsidR="00405013">
              <w:rPr>
                <w:noProof/>
                <w:webHidden/>
              </w:rPr>
              <w:fldChar w:fldCharType="separate"/>
            </w:r>
            <w:r w:rsidR="00405013">
              <w:rPr>
                <w:noProof/>
                <w:webHidden/>
              </w:rPr>
              <w:t>10</w:t>
            </w:r>
            <w:r w:rsidR="00405013">
              <w:rPr>
                <w:noProof/>
                <w:webHidden/>
              </w:rPr>
              <w:fldChar w:fldCharType="end"/>
            </w:r>
          </w:hyperlink>
        </w:p>
        <w:p w:rsidR="00405013" w:rsidRDefault="00866140">
          <w:pPr>
            <w:pStyle w:val="TOC3"/>
            <w:rPr>
              <w:rFonts w:asciiTheme="minorHAnsi" w:eastAsiaTheme="minorEastAsia" w:hAnsiTheme="minorHAnsi" w:cstheme="minorBidi"/>
              <w:noProof/>
              <w:lang w:eastAsia="en-AU"/>
            </w:rPr>
          </w:pPr>
          <w:hyperlink w:anchor="_Toc426984856" w:history="1">
            <w:r w:rsidR="00405013" w:rsidRPr="009E748A">
              <w:rPr>
                <w:rStyle w:val="Hyperlink"/>
                <w:noProof/>
              </w:rPr>
              <w:t>Pharmacodynamics</w:t>
            </w:r>
            <w:r w:rsidR="00405013">
              <w:rPr>
                <w:noProof/>
                <w:webHidden/>
              </w:rPr>
              <w:tab/>
            </w:r>
            <w:r w:rsidR="00405013">
              <w:rPr>
                <w:noProof/>
                <w:webHidden/>
              </w:rPr>
              <w:fldChar w:fldCharType="begin"/>
            </w:r>
            <w:r w:rsidR="00405013">
              <w:rPr>
                <w:noProof/>
                <w:webHidden/>
              </w:rPr>
              <w:instrText xml:space="preserve"> PAGEREF _Toc426984856 \h </w:instrText>
            </w:r>
            <w:r w:rsidR="00405013">
              <w:rPr>
                <w:noProof/>
                <w:webHidden/>
              </w:rPr>
            </w:r>
            <w:r w:rsidR="00405013">
              <w:rPr>
                <w:noProof/>
                <w:webHidden/>
              </w:rPr>
              <w:fldChar w:fldCharType="separate"/>
            </w:r>
            <w:r w:rsidR="00405013">
              <w:rPr>
                <w:noProof/>
                <w:webHidden/>
              </w:rPr>
              <w:t>12</w:t>
            </w:r>
            <w:r w:rsidR="00405013">
              <w:rPr>
                <w:noProof/>
                <w:webHidden/>
              </w:rPr>
              <w:fldChar w:fldCharType="end"/>
            </w:r>
          </w:hyperlink>
        </w:p>
        <w:p w:rsidR="00405013" w:rsidRDefault="00866140">
          <w:pPr>
            <w:pStyle w:val="TOC3"/>
            <w:rPr>
              <w:rFonts w:asciiTheme="minorHAnsi" w:eastAsiaTheme="minorEastAsia" w:hAnsiTheme="minorHAnsi" w:cstheme="minorBidi"/>
              <w:noProof/>
              <w:lang w:eastAsia="en-AU"/>
            </w:rPr>
          </w:pPr>
          <w:hyperlink w:anchor="_Toc426984857" w:history="1">
            <w:r w:rsidR="00405013" w:rsidRPr="009E748A">
              <w:rPr>
                <w:rStyle w:val="Hyperlink"/>
                <w:noProof/>
              </w:rPr>
              <w:t>Dosage selection for the pivotal studies</w:t>
            </w:r>
            <w:r w:rsidR="00405013">
              <w:rPr>
                <w:noProof/>
                <w:webHidden/>
              </w:rPr>
              <w:tab/>
            </w:r>
            <w:r w:rsidR="00405013">
              <w:rPr>
                <w:noProof/>
                <w:webHidden/>
              </w:rPr>
              <w:fldChar w:fldCharType="begin"/>
            </w:r>
            <w:r w:rsidR="00405013">
              <w:rPr>
                <w:noProof/>
                <w:webHidden/>
              </w:rPr>
              <w:instrText xml:space="preserve"> PAGEREF _Toc426984857 \h </w:instrText>
            </w:r>
            <w:r w:rsidR="00405013">
              <w:rPr>
                <w:noProof/>
                <w:webHidden/>
              </w:rPr>
            </w:r>
            <w:r w:rsidR="00405013">
              <w:rPr>
                <w:noProof/>
                <w:webHidden/>
              </w:rPr>
              <w:fldChar w:fldCharType="separate"/>
            </w:r>
            <w:r w:rsidR="00405013">
              <w:rPr>
                <w:noProof/>
                <w:webHidden/>
              </w:rPr>
              <w:t>13</w:t>
            </w:r>
            <w:r w:rsidR="00405013">
              <w:rPr>
                <w:noProof/>
                <w:webHidden/>
              </w:rPr>
              <w:fldChar w:fldCharType="end"/>
            </w:r>
          </w:hyperlink>
        </w:p>
        <w:p w:rsidR="00405013" w:rsidRDefault="00866140">
          <w:pPr>
            <w:pStyle w:val="TOC3"/>
            <w:rPr>
              <w:rFonts w:asciiTheme="minorHAnsi" w:eastAsiaTheme="minorEastAsia" w:hAnsiTheme="minorHAnsi" w:cstheme="minorBidi"/>
              <w:noProof/>
              <w:lang w:eastAsia="en-AU"/>
            </w:rPr>
          </w:pPr>
          <w:hyperlink w:anchor="_Toc426984858" w:history="1">
            <w:r w:rsidR="00405013" w:rsidRPr="009E748A">
              <w:rPr>
                <w:rStyle w:val="Hyperlink"/>
                <w:noProof/>
              </w:rPr>
              <w:t>Efficacy</w:t>
            </w:r>
            <w:r w:rsidR="00405013">
              <w:rPr>
                <w:noProof/>
                <w:webHidden/>
              </w:rPr>
              <w:tab/>
            </w:r>
            <w:r w:rsidR="00405013">
              <w:rPr>
                <w:noProof/>
                <w:webHidden/>
              </w:rPr>
              <w:fldChar w:fldCharType="begin"/>
            </w:r>
            <w:r w:rsidR="00405013">
              <w:rPr>
                <w:noProof/>
                <w:webHidden/>
              </w:rPr>
              <w:instrText xml:space="preserve"> PAGEREF _Toc426984858 \h </w:instrText>
            </w:r>
            <w:r w:rsidR="00405013">
              <w:rPr>
                <w:noProof/>
                <w:webHidden/>
              </w:rPr>
            </w:r>
            <w:r w:rsidR="00405013">
              <w:rPr>
                <w:noProof/>
                <w:webHidden/>
              </w:rPr>
              <w:fldChar w:fldCharType="separate"/>
            </w:r>
            <w:r w:rsidR="00405013">
              <w:rPr>
                <w:noProof/>
                <w:webHidden/>
              </w:rPr>
              <w:t>13</w:t>
            </w:r>
            <w:r w:rsidR="00405013">
              <w:rPr>
                <w:noProof/>
                <w:webHidden/>
              </w:rPr>
              <w:fldChar w:fldCharType="end"/>
            </w:r>
          </w:hyperlink>
        </w:p>
        <w:p w:rsidR="00405013" w:rsidRDefault="00866140">
          <w:pPr>
            <w:pStyle w:val="TOC3"/>
            <w:rPr>
              <w:rFonts w:asciiTheme="minorHAnsi" w:eastAsiaTheme="minorEastAsia" w:hAnsiTheme="minorHAnsi" w:cstheme="minorBidi"/>
              <w:noProof/>
              <w:lang w:eastAsia="en-AU"/>
            </w:rPr>
          </w:pPr>
          <w:hyperlink w:anchor="_Toc426984859" w:history="1">
            <w:r w:rsidR="00405013" w:rsidRPr="009E748A">
              <w:rPr>
                <w:rStyle w:val="Hyperlink"/>
                <w:noProof/>
              </w:rPr>
              <w:t>Safety</w:t>
            </w:r>
            <w:r w:rsidR="00405013">
              <w:rPr>
                <w:noProof/>
                <w:webHidden/>
              </w:rPr>
              <w:tab/>
            </w:r>
            <w:r w:rsidR="00405013">
              <w:rPr>
                <w:noProof/>
                <w:webHidden/>
              </w:rPr>
              <w:fldChar w:fldCharType="begin"/>
            </w:r>
            <w:r w:rsidR="00405013">
              <w:rPr>
                <w:noProof/>
                <w:webHidden/>
              </w:rPr>
              <w:instrText xml:space="preserve"> PAGEREF _Toc426984859 \h </w:instrText>
            </w:r>
            <w:r w:rsidR="00405013">
              <w:rPr>
                <w:noProof/>
                <w:webHidden/>
              </w:rPr>
            </w:r>
            <w:r w:rsidR="00405013">
              <w:rPr>
                <w:noProof/>
                <w:webHidden/>
              </w:rPr>
              <w:fldChar w:fldCharType="separate"/>
            </w:r>
            <w:r w:rsidR="00405013">
              <w:rPr>
                <w:noProof/>
                <w:webHidden/>
              </w:rPr>
              <w:t>17</w:t>
            </w:r>
            <w:r w:rsidR="00405013">
              <w:rPr>
                <w:noProof/>
                <w:webHidden/>
              </w:rPr>
              <w:fldChar w:fldCharType="end"/>
            </w:r>
          </w:hyperlink>
        </w:p>
        <w:p w:rsidR="00405013" w:rsidRDefault="00866140">
          <w:pPr>
            <w:pStyle w:val="TOC3"/>
            <w:rPr>
              <w:rFonts w:asciiTheme="minorHAnsi" w:eastAsiaTheme="minorEastAsia" w:hAnsiTheme="minorHAnsi" w:cstheme="minorBidi"/>
              <w:noProof/>
              <w:lang w:eastAsia="en-AU"/>
            </w:rPr>
          </w:pPr>
          <w:hyperlink w:anchor="_Toc426984860" w:history="1">
            <w:r w:rsidR="00405013" w:rsidRPr="009E748A">
              <w:rPr>
                <w:rStyle w:val="Hyperlink"/>
                <w:noProof/>
              </w:rPr>
              <w:t>First round benefit-risk assessment</w:t>
            </w:r>
            <w:r w:rsidR="00405013">
              <w:rPr>
                <w:noProof/>
                <w:webHidden/>
              </w:rPr>
              <w:tab/>
            </w:r>
            <w:r w:rsidR="00405013">
              <w:rPr>
                <w:noProof/>
                <w:webHidden/>
              </w:rPr>
              <w:fldChar w:fldCharType="begin"/>
            </w:r>
            <w:r w:rsidR="00405013">
              <w:rPr>
                <w:noProof/>
                <w:webHidden/>
              </w:rPr>
              <w:instrText xml:space="preserve"> PAGEREF _Toc426984860 \h </w:instrText>
            </w:r>
            <w:r w:rsidR="00405013">
              <w:rPr>
                <w:noProof/>
                <w:webHidden/>
              </w:rPr>
            </w:r>
            <w:r w:rsidR="00405013">
              <w:rPr>
                <w:noProof/>
                <w:webHidden/>
              </w:rPr>
              <w:fldChar w:fldCharType="separate"/>
            </w:r>
            <w:r w:rsidR="00405013">
              <w:rPr>
                <w:noProof/>
                <w:webHidden/>
              </w:rPr>
              <w:t>19</w:t>
            </w:r>
            <w:r w:rsidR="00405013">
              <w:rPr>
                <w:noProof/>
                <w:webHidden/>
              </w:rPr>
              <w:fldChar w:fldCharType="end"/>
            </w:r>
          </w:hyperlink>
        </w:p>
        <w:p w:rsidR="00405013" w:rsidRDefault="00866140">
          <w:pPr>
            <w:pStyle w:val="TOC3"/>
            <w:rPr>
              <w:rFonts w:asciiTheme="minorHAnsi" w:eastAsiaTheme="minorEastAsia" w:hAnsiTheme="minorHAnsi" w:cstheme="minorBidi"/>
              <w:noProof/>
              <w:lang w:eastAsia="en-AU"/>
            </w:rPr>
          </w:pPr>
          <w:hyperlink w:anchor="_Toc426984861" w:history="1">
            <w:r w:rsidR="00405013" w:rsidRPr="009E748A">
              <w:rPr>
                <w:rStyle w:val="Hyperlink"/>
                <w:noProof/>
              </w:rPr>
              <w:t>First round recommendation regarding authorisation</w:t>
            </w:r>
            <w:r w:rsidR="00405013">
              <w:rPr>
                <w:noProof/>
                <w:webHidden/>
              </w:rPr>
              <w:tab/>
            </w:r>
            <w:r w:rsidR="00405013">
              <w:rPr>
                <w:noProof/>
                <w:webHidden/>
              </w:rPr>
              <w:fldChar w:fldCharType="begin"/>
            </w:r>
            <w:r w:rsidR="00405013">
              <w:rPr>
                <w:noProof/>
                <w:webHidden/>
              </w:rPr>
              <w:instrText xml:space="preserve"> PAGEREF _Toc426984861 \h </w:instrText>
            </w:r>
            <w:r w:rsidR="00405013">
              <w:rPr>
                <w:noProof/>
                <w:webHidden/>
              </w:rPr>
            </w:r>
            <w:r w:rsidR="00405013">
              <w:rPr>
                <w:noProof/>
                <w:webHidden/>
              </w:rPr>
              <w:fldChar w:fldCharType="separate"/>
            </w:r>
            <w:r w:rsidR="00405013">
              <w:rPr>
                <w:noProof/>
                <w:webHidden/>
              </w:rPr>
              <w:t>19</w:t>
            </w:r>
            <w:r w:rsidR="00405013">
              <w:rPr>
                <w:noProof/>
                <w:webHidden/>
              </w:rPr>
              <w:fldChar w:fldCharType="end"/>
            </w:r>
          </w:hyperlink>
        </w:p>
        <w:p w:rsidR="00405013" w:rsidRDefault="00866140">
          <w:pPr>
            <w:pStyle w:val="TOC3"/>
            <w:rPr>
              <w:rFonts w:asciiTheme="minorHAnsi" w:eastAsiaTheme="minorEastAsia" w:hAnsiTheme="minorHAnsi" w:cstheme="minorBidi"/>
              <w:noProof/>
              <w:lang w:eastAsia="en-AU"/>
            </w:rPr>
          </w:pPr>
          <w:hyperlink w:anchor="_Toc426984862" w:history="1">
            <w:r w:rsidR="00405013" w:rsidRPr="009E748A">
              <w:rPr>
                <w:rStyle w:val="Hyperlink"/>
                <w:noProof/>
              </w:rPr>
              <w:t>Clinical questions</w:t>
            </w:r>
            <w:r w:rsidR="00405013">
              <w:rPr>
                <w:noProof/>
                <w:webHidden/>
              </w:rPr>
              <w:tab/>
            </w:r>
            <w:r w:rsidR="00405013">
              <w:rPr>
                <w:noProof/>
                <w:webHidden/>
              </w:rPr>
              <w:fldChar w:fldCharType="begin"/>
            </w:r>
            <w:r w:rsidR="00405013">
              <w:rPr>
                <w:noProof/>
                <w:webHidden/>
              </w:rPr>
              <w:instrText xml:space="preserve"> PAGEREF _Toc426984862 \h </w:instrText>
            </w:r>
            <w:r w:rsidR="00405013">
              <w:rPr>
                <w:noProof/>
                <w:webHidden/>
              </w:rPr>
            </w:r>
            <w:r w:rsidR="00405013">
              <w:rPr>
                <w:noProof/>
                <w:webHidden/>
              </w:rPr>
              <w:fldChar w:fldCharType="separate"/>
            </w:r>
            <w:r w:rsidR="00405013">
              <w:rPr>
                <w:noProof/>
                <w:webHidden/>
              </w:rPr>
              <w:t>19</w:t>
            </w:r>
            <w:r w:rsidR="00405013">
              <w:rPr>
                <w:noProof/>
                <w:webHidden/>
              </w:rPr>
              <w:fldChar w:fldCharType="end"/>
            </w:r>
          </w:hyperlink>
        </w:p>
        <w:p w:rsidR="00405013" w:rsidRDefault="00866140">
          <w:pPr>
            <w:pStyle w:val="TOC3"/>
            <w:rPr>
              <w:rFonts w:asciiTheme="minorHAnsi" w:eastAsiaTheme="minorEastAsia" w:hAnsiTheme="minorHAnsi" w:cstheme="minorBidi"/>
              <w:noProof/>
              <w:lang w:eastAsia="en-AU"/>
            </w:rPr>
          </w:pPr>
          <w:hyperlink w:anchor="_Toc426984863" w:history="1">
            <w:r w:rsidR="00405013" w:rsidRPr="009E748A">
              <w:rPr>
                <w:rStyle w:val="Hyperlink"/>
                <w:noProof/>
              </w:rPr>
              <w:t>Second round evaluation of clinical data submitted in response to questions</w:t>
            </w:r>
            <w:r w:rsidR="00405013">
              <w:rPr>
                <w:noProof/>
                <w:webHidden/>
              </w:rPr>
              <w:tab/>
            </w:r>
            <w:r w:rsidR="00405013">
              <w:rPr>
                <w:noProof/>
                <w:webHidden/>
              </w:rPr>
              <w:fldChar w:fldCharType="begin"/>
            </w:r>
            <w:r w:rsidR="00405013">
              <w:rPr>
                <w:noProof/>
                <w:webHidden/>
              </w:rPr>
              <w:instrText xml:space="preserve"> PAGEREF _Toc426984863 \h </w:instrText>
            </w:r>
            <w:r w:rsidR="00405013">
              <w:rPr>
                <w:noProof/>
                <w:webHidden/>
              </w:rPr>
            </w:r>
            <w:r w:rsidR="00405013">
              <w:rPr>
                <w:noProof/>
                <w:webHidden/>
              </w:rPr>
              <w:fldChar w:fldCharType="separate"/>
            </w:r>
            <w:r w:rsidR="00405013">
              <w:rPr>
                <w:noProof/>
                <w:webHidden/>
              </w:rPr>
              <w:t>20</w:t>
            </w:r>
            <w:r w:rsidR="00405013">
              <w:rPr>
                <w:noProof/>
                <w:webHidden/>
              </w:rPr>
              <w:fldChar w:fldCharType="end"/>
            </w:r>
          </w:hyperlink>
        </w:p>
        <w:p w:rsidR="00405013" w:rsidRDefault="00866140">
          <w:pPr>
            <w:pStyle w:val="TOC2"/>
            <w:rPr>
              <w:rFonts w:asciiTheme="minorHAnsi" w:eastAsiaTheme="minorEastAsia" w:hAnsiTheme="minorHAnsi" w:cstheme="minorBidi"/>
              <w:b w:val="0"/>
              <w:noProof/>
              <w:sz w:val="22"/>
              <w:lang w:eastAsia="en-AU"/>
            </w:rPr>
          </w:pPr>
          <w:hyperlink w:anchor="_Toc426984864" w:history="1">
            <w:r w:rsidR="00405013" w:rsidRPr="009E748A">
              <w:rPr>
                <w:rStyle w:val="Hyperlink"/>
                <w:noProof/>
              </w:rPr>
              <w:t>V. Pharmacovigilance findings</w:t>
            </w:r>
            <w:r w:rsidR="00405013">
              <w:rPr>
                <w:noProof/>
                <w:webHidden/>
              </w:rPr>
              <w:tab/>
            </w:r>
            <w:r w:rsidR="00405013">
              <w:rPr>
                <w:noProof/>
                <w:webHidden/>
              </w:rPr>
              <w:fldChar w:fldCharType="begin"/>
            </w:r>
            <w:r w:rsidR="00405013">
              <w:rPr>
                <w:noProof/>
                <w:webHidden/>
              </w:rPr>
              <w:instrText xml:space="preserve"> PAGEREF _Toc426984864 \h </w:instrText>
            </w:r>
            <w:r w:rsidR="00405013">
              <w:rPr>
                <w:noProof/>
                <w:webHidden/>
              </w:rPr>
            </w:r>
            <w:r w:rsidR="00405013">
              <w:rPr>
                <w:noProof/>
                <w:webHidden/>
              </w:rPr>
              <w:fldChar w:fldCharType="separate"/>
            </w:r>
            <w:r w:rsidR="00405013">
              <w:rPr>
                <w:noProof/>
                <w:webHidden/>
              </w:rPr>
              <w:t>20</w:t>
            </w:r>
            <w:r w:rsidR="00405013">
              <w:rPr>
                <w:noProof/>
                <w:webHidden/>
              </w:rPr>
              <w:fldChar w:fldCharType="end"/>
            </w:r>
          </w:hyperlink>
        </w:p>
        <w:p w:rsidR="00405013" w:rsidRDefault="00866140">
          <w:pPr>
            <w:pStyle w:val="TOC3"/>
            <w:rPr>
              <w:rFonts w:asciiTheme="minorHAnsi" w:eastAsiaTheme="minorEastAsia" w:hAnsiTheme="minorHAnsi" w:cstheme="minorBidi"/>
              <w:noProof/>
              <w:lang w:eastAsia="en-AU"/>
            </w:rPr>
          </w:pPr>
          <w:hyperlink w:anchor="_Toc426984865" w:history="1">
            <w:r w:rsidR="00405013" w:rsidRPr="009E748A">
              <w:rPr>
                <w:rStyle w:val="Hyperlink"/>
                <w:noProof/>
              </w:rPr>
              <w:t>Risk management plan</w:t>
            </w:r>
            <w:r w:rsidR="00405013">
              <w:rPr>
                <w:noProof/>
                <w:webHidden/>
              </w:rPr>
              <w:tab/>
            </w:r>
            <w:r w:rsidR="00405013">
              <w:rPr>
                <w:noProof/>
                <w:webHidden/>
              </w:rPr>
              <w:fldChar w:fldCharType="begin"/>
            </w:r>
            <w:r w:rsidR="00405013">
              <w:rPr>
                <w:noProof/>
                <w:webHidden/>
              </w:rPr>
              <w:instrText xml:space="preserve"> PAGEREF _Toc426984865 \h </w:instrText>
            </w:r>
            <w:r w:rsidR="00405013">
              <w:rPr>
                <w:noProof/>
                <w:webHidden/>
              </w:rPr>
            </w:r>
            <w:r w:rsidR="00405013">
              <w:rPr>
                <w:noProof/>
                <w:webHidden/>
              </w:rPr>
              <w:fldChar w:fldCharType="separate"/>
            </w:r>
            <w:r w:rsidR="00405013">
              <w:rPr>
                <w:noProof/>
                <w:webHidden/>
              </w:rPr>
              <w:t>20</w:t>
            </w:r>
            <w:r w:rsidR="00405013">
              <w:rPr>
                <w:noProof/>
                <w:webHidden/>
              </w:rPr>
              <w:fldChar w:fldCharType="end"/>
            </w:r>
          </w:hyperlink>
        </w:p>
        <w:p w:rsidR="00405013" w:rsidRDefault="00866140">
          <w:pPr>
            <w:pStyle w:val="TOC2"/>
            <w:rPr>
              <w:rFonts w:asciiTheme="minorHAnsi" w:eastAsiaTheme="minorEastAsia" w:hAnsiTheme="minorHAnsi" w:cstheme="minorBidi"/>
              <w:b w:val="0"/>
              <w:noProof/>
              <w:sz w:val="22"/>
              <w:lang w:eastAsia="en-AU"/>
            </w:rPr>
          </w:pPr>
          <w:hyperlink w:anchor="_Toc426984866" w:history="1">
            <w:r w:rsidR="00405013" w:rsidRPr="009E748A">
              <w:rPr>
                <w:rStyle w:val="Hyperlink"/>
                <w:noProof/>
              </w:rPr>
              <w:t>VI. Overall conclusion and risk/benefit assessment</w:t>
            </w:r>
            <w:r w:rsidR="00405013">
              <w:rPr>
                <w:noProof/>
                <w:webHidden/>
              </w:rPr>
              <w:tab/>
            </w:r>
            <w:r w:rsidR="00405013">
              <w:rPr>
                <w:noProof/>
                <w:webHidden/>
              </w:rPr>
              <w:fldChar w:fldCharType="begin"/>
            </w:r>
            <w:r w:rsidR="00405013">
              <w:rPr>
                <w:noProof/>
                <w:webHidden/>
              </w:rPr>
              <w:instrText xml:space="preserve"> PAGEREF _Toc426984866 \h </w:instrText>
            </w:r>
            <w:r w:rsidR="00405013">
              <w:rPr>
                <w:noProof/>
                <w:webHidden/>
              </w:rPr>
            </w:r>
            <w:r w:rsidR="00405013">
              <w:rPr>
                <w:noProof/>
                <w:webHidden/>
              </w:rPr>
              <w:fldChar w:fldCharType="separate"/>
            </w:r>
            <w:r w:rsidR="00405013">
              <w:rPr>
                <w:noProof/>
                <w:webHidden/>
              </w:rPr>
              <w:t>25</w:t>
            </w:r>
            <w:r w:rsidR="00405013">
              <w:rPr>
                <w:noProof/>
                <w:webHidden/>
              </w:rPr>
              <w:fldChar w:fldCharType="end"/>
            </w:r>
          </w:hyperlink>
        </w:p>
        <w:p w:rsidR="00405013" w:rsidRDefault="00866140">
          <w:pPr>
            <w:pStyle w:val="TOC3"/>
            <w:rPr>
              <w:rFonts w:asciiTheme="minorHAnsi" w:eastAsiaTheme="minorEastAsia" w:hAnsiTheme="minorHAnsi" w:cstheme="minorBidi"/>
              <w:noProof/>
              <w:lang w:eastAsia="en-AU"/>
            </w:rPr>
          </w:pPr>
          <w:hyperlink w:anchor="_Toc426984867" w:history="1">
            <w:r w:rsidR="00405013" w:rsidRPr="009E748A">
              <w:rPr>
                <w:rStyle w:val="Hyperlink"/>
                <w:noProof/>
              </w:rPr>
              <w:t>Quality</w:t>
            </w:r>
            <w:r w:rsidR="00405013">
              <w:rPr>
                <w:noProof/>
                <w:webHidden/>
              </w:rPr>
              <w:tab/>
            </w:r>
            <w:r w:rsidR="00405013">
              <w:rPr>
                <w:noProof/>
                <w:webHidden/>
              </w:rPr>
              <w:fldChar w:fldCharType="begin"/>
            </w:r>
            <w:r w:rsidR="00405013">
              <w:rPr>
                <w:noProof/>
                <w:webHidden/>
              </w:rPr>
              <w:instrText xml:space="preserve"> PAGEREF _Toc426984867 \h </w:instrText>
            </w:r>
            <w:r w:rsidR="00405013">
              <w:rPr>
                <w:noProof/>
                <w:webHidden/>
              </w:rPr>
            </w:r>
            <w:r w:rsidR="00405013">
              <w:rPr>
                <w:noProof/>
                <w:webHidden/>
              </w:rPr>
              <w:fldChar w:fldCharType="separate"/>
            </w:r>
            <w:r w:rsidR="00405013">
              <w:rPr>
                <w:noProof/>
                <w:webHidden/>
              </w:rPr>
              <w:t>25</w:t>
            </w:r>
            <w:r w:rsidR="00405013">
              <w:rPr>
                <w:noProof/>
                <w:webHidden/>
              </w:rPr>
              <w:fldChar w:fldCharType="end"/>
            </w:r>
          </w:hyperlink>
        </w:p>
        <w:p w:rsidR="00405013" w:rsidRDefault="00866140">
          <w:pPr>
            <w:pStyle w:val="TOC3"/>
            <w:rPr>
              <w:rFonts w:asciiTheme="minorHAnsi" w:eastAsiaTheme="minorEastAsia" w:hAnsiTheme="minorHAnsi" w:cstheme="minorBidi"/>
              <w:noProof/>
              <w:lang w:eastAsia="en-AU"/>
            </w:rPr>
          </w:pPr>
          <w:hyperlink w:anchor="_Toc426984868" w:history="1">
            <w:r w:rsidR="00405013" w:rsidRPr="009E748A">
              <w:rPr>
                <w:rStyle w:val="Hyperlink"/>
                <w:noProof/>
              </w:rPr>
              <w:t>Nonclinical</w:t>
            </w:r>
            <w:r w:rsidR="00405013">
              <w:rPr>
                <w:noProof/>
                <w:webHidden/>
              </w:rPr>
              <w:tab/>
            </w:r>
            <w:r w:rsidR="00405013">
              <w:rPr>
                <w:noProof/>
                <w:webHidden/>
              </w:rPr>
              <w:fldChar w:fldCharType="begin"/>
            </w:r>
            <w:r w:rsidR="00405013">
              <w:rPr>
                <w:noProof/>
                <w:webHidden/>
              </w:rPr>
              <w:instrText xml:space="preserve"> PAGEREF _Toc426984868 \h </w:instrText>
            </w:r>
            <w:r w:rsidR="00405013">
              <w:rPr>
                <w:noProof/>
                <w:webHidden/>
              </w:rPr>
            </w:r>
            <w:r w:rsidR="00405013">
              <w:rPr>
                <w:noProof/>
                <w:webHidden/>
              </w:rPr>
              <w:fldChar w:fldCharType="separate"/>
            </w:r>
            <w:r w:rsidR="00405013">
              <w:rPr>
                <w:noProof/>
                <w:webHidden/>
              </w:rPr>
              <w:t>25</w:t>
            </w:r>
            <w:r w:rsidR="00405013">
              <w:rPr>
                <w:noProof/>
                <w:webHidden/>
              </w:rPr>
              <w:fldChar w:fldCharType="end"/>
            </w:r>
          </w:hyperlink>
        </w:p>
        <w:p w:rsidR="00405013" w:rsidRDefault="00866140">
          <w:pPr>
            <w:pStyle w:val="TOC3"/>
            <w:rPr>
              <w:rFonts w:asciiTheme="minorHAnsi" w:eastAsiaTheme="minorEastAsia" w:hAnsiTheme="minorHAnsi" w:cstheme="minorBidi"/>
              <w:noProof/>
              <w:lang w:eastAsia="en-AU"/>
            </w:rPr>
          </w:pPr>
          <w:hyperlink w:anchor="_Toc426984869" w:history="1">
            <w:r w:rsidR="00405013" w:rsidRPr="009E748A">
              <w:rPr>
                <w:rStyle w:val="Hyperlink"/>
                <w:noProof/>
              </w:rPr>
              <w:t>Clinical</w:t>
            </w:r>
            <w:r w:rsidR="00405013">
              <w:rPr>
                <w:noProof/>
                <w:webHidden/>
              </w:rPr>
              <w:tab/>
            </w:r>
            <w:r w:rsidR="00405013">
              <w:rPr>
                <w:noProof/>
                <w:webHidden/>
              </w:rPr>
              <w:fldChar w:fldCharType="begin"/>
            </w:r>
            <w:r w:rsidR="00405013">
              <w:rPr>
                <w:noProof/>
                <w:webHidden/>
              </w:rPr>
              <w:instrText xml:space="preserve"> PAGEREF _Toc426984869 \h </w:instrText>
            </w:r>
            <w:r w:rsidR="00405013">
              <w:rPr>
                <w:noProof/>
                <w:webHidden/>
              </w:rPr>
            </w:r>
            <w:r w:rsidR="00405013">
              <w:rPr>
                <w:noProof/>
                <w:webHidden/>
              </w:rPr>
              <w:fldChar w:fldCharType="separate"/>
            </w:r>
            <w:r w:rsidR="00405013">
              <w:rPr>
                <w:noProof/>
                <w:webHidden/>
              </w:rPr>
              <w:t>26</w:t>
            </w:r>
            <w:r w:rsidR="00405013">
              <w:rPr>
                <w:noProof/>
                <w:webHidden/>
              </w:rPr>
              <w:fldChar w:fldCharType="end"/>
            </w:r>
          </w:hyperlink>
        </w:p>
        <w:p w:rsidR="00405013" w:rsidRDefault="00866140">
          <w:pPr>
            <w:pStyle w:val="TOC3"/>
            <w:rPr>
              <w:rFonts w:asciiTheme="minorHAnsi" w:eastAsiaTheme="minorEastAsia" w:hAnsiTheme="minorHAnsi" w:cstheme="minorBidi"/>
              <w:noProof/>
              <w:lang w:eastAsia="en-AU"/>
            </w:rPr>
          </w:pPr>
          <w:hyperlink w:anchor="_Toc426984870" w:history="1">
            <w:r w:rsidR="00405013" w:rsidRPr="009E748A">
              <w:rPr>
                <w:rStyle w:val="Hyperlink"/>
                <w:noProof/>
              </w:rPr>
              <w:t>Risk management plan</w:t>
            </w:r>
            <w:r w:rsidR="00405013">
              <w:rPr>
                <w:noProof/>
                <w:webHidden/>
              </w:rPr>
              <w:tab/>
            </w:r>
            <w:r w:rsidR="00405013">
              <w:rPr>
                <w:noProof/>
                <w:webHidden/>
              </w:rPr>
              <w:fldChar w:fldCharType="begin"/>
            </w:r>
            <w:r w:rsidR="00405013">
              <w:rPr>
                <w:noProof/>
                <w:webHidden/>
              </w:rPr>
              <w:instrText xml:space="preserve"> PAGEREF _Toc426984870 \h </w:instrText>
            </w:r>
            <w:r w:rsidR="00405013">
              <w:rPr>
                <w:noProof/>
                <w:webHidden/>
              </w:rPr>
            </w:r>
            <w:r w:rsidR="00405013">
              <w:rPr>
                <w:noProof/>
                <w:webHidden/>
              </w:rPr>
              <w:fldChar w:fldCharType="separate"/>
            </w:r>
            <w:r w:rsidR="00405013">
              <w:rPr>
                <w:noProof/>
                <w:webHidden/>
              </w:rPr>
              <w:t>33</w:t>
            </w:r>
            <w:r w:rsidR="00405013">
              <w:rPr>
                <w:noProof/>
                <w:webHidden/>
              </w:rPr>
              <w:fldChar w:fldCharType="end"/>
            </w:r>
          </w:hyperlink>
        </w:p>
        <w:p w:rsidR="00405013" w:rsidRDefault="00866140">
          <w:pPr>
            <w:pStyle w:val="TOC3"/>
            <w:rPr>
              <w:rFonts w:asciiTheme="minorHAnsi" w:eastAsiaTheme="minorEastAsia" w:hAnsiTheme="minorHAnsi" w:cstheme="minorBidi"/>
              <w:noProof/>
              <w:lang w:eastAsia="en-AU"/>
            </w:rPr>
          </w:pPr>
          <w:hyperlink w:anchor="_Toc426984871" w:history="1">
            <w:r w:rsidR="00405013" w:rsidRPr="009E748A">
              <w:rPr>
                <w:rStyle w:val="Hyperlink"/>
                <w:noProof/>
              </w:rPr>
              <w:t>Delegate’s considerations</w:t>
            </w:r>
            <w:r w:rsidR="00405013">
              <w:rPr>
                <w:noProof/>
                <w:webHidden/>
              </w:rPr>
              <w:tab/>
            </w:r>
            <w:r w:rsidR="00405013">
              <w:rPr>
                <w:noProof/>
                <w:webHidden/>
              </w:rPr>
              <w:fldChar w:fldCharType="begin"/>
            </w:r>
            <w:r w:rsidR="00405013">
              <w:rPr>
                <w:noProof/>
                <w:webHidden/>
              </w:rPr>
              <w:instrText xml:space="preserve"> PAGEREF _Toc426984871 \h </w:instrText>
            </w:r>
            <w:r w:rsidR="00405013">
              <w:rPr>
                <w:noProof/>
                <w:webHidden/>
              </w:rPr>
            </w:r>
            <w:r w:rsidR="00405013">
              <w:rPr>
                <w:noProof/>
                <w:webHidden/>
              </w:rPr>
              <w:fldChar w:fldCharType="separate"/>
            </w:r>
            <w:r w:rsidR="00405013">
              <w:rPr>
                <w:noProof/>
                <w:webHidden/>
              </w:rPr>
              <w:t>33</w:t>
            </w:r>
            <w:r w:rsidR="00405013">
              <w:rPr>
                <w:noProof/>
                <w:webHidden/>
              </w:rPr>
              <w:fldChar w:fldCharType="end"/>
            </w:r>
          </w:hyperlink>
        </w:p>
        <w:p w:rsidR="00405013" w:rsidRDefault="00866140">
          <w:pPr>
            <w:pStyle w:val="TOC3"/>
            <w:rPr>
              <w:rFonts w:asciiTheme="minorHAnsi" w:eastAsiaTheme="minorEastAsia" w:hAnsiTheme="minorHAnsi" w:cstheme="minorBidi"/>
              <w:noProof/>
              <w:lang w:eastAsia="en-AU"/>
            </w:rPr>
          </w:pPr>
          <w:hyperlink w:anchor="_Toc426984872" w:history="1">
            <w:r w:rsidR="00405013" w:rsidRPr="009E748A">
              <w:rPr>
                <w:rStyle w:val="Hyperlink"/>
                <w:noProof/>
              </w:rPr>
              <w:t>Outcome</w:t>
            </w:r>
            <w:r w:rsidR="00405013">
              <w:rPr>
                <w:noProof/>
                <w:webHidden/>
              </w:rPr>
              <w:tab/>
            </w:r>
            <w:r w:rsidR="00405013">
              <w:rPr>
                <w:noProof/>
                <w:webHidden/>
              </w:rPr>
              <w:fldChar w:fldCharType="begin"/>
            </w:r>
            <w:r w:rsidR="00405013">
              <w:rPr>
                <w:noProof/>
                <w:webHidden/>
              </w:rPr>
              <w:instrText xml:space="preserve"> PAGEREF _Toc426984872 \h </w:instrText>
            </w:r>
            <w:r w:rsidR="00405013">
              <w:rPr>
                <w:noProof/>
                <w:webHidden/>
              </w:rPr>
            </w:r>
            <w:r w:rsidR="00405013">
              <w:rPr>
                <w:noProof/>
                <w:webHidden/>
              </w:rPr>
              <w:fldChar w:fldCharType="separate"/>
            </w:r>
            <w:r w:rsidR="00405013">
              <w:rPr>
                <w:noProof/>
                <w:webHidden/>
              </w:rPr>
              <w:t>42</w:t>
            </w:r>
            <w:r w:rsidR="00405013">
              <w:rPr>
                <w:noProof/>
                <w:webHidden/>
              </w:rPr>
              <w:fldChar w:fldCharType="end"/>
            </w:r>
          </w:hyperlink>
        </w:p>
        <w:p w:rsidR="00405013" w:rsidRDefault="00866140">
          <w:pPr>
            <w:pStyle w:val="TOC2"/>
            <w:rPr>
              <w:rFonts w:asciiTheme="minorHAnsi" w:eastAsiaTheme="minorEastAsia" w:hAnsiTheme="minorHAnsi" w:cstheme="minorBidi"/>
              <w:b w:val="0"/>
              <w:noProof/>
              <w:sz w:val="22"/>
              <w:lang w:eastAsia="en-AU"/>
            </w:rPr>
          </w:pPr>
          <w:hyperlink w:anchor="_Toc426984873" w:history="1">
            <w:r w:rsidR="00405013" w:rsidRPr="009E748A">
              <w:rPr>
                <w:rStyle w:val="Hyperlink"/>
                <w:noProof/>
              </w:rPr>
              <w:t>Attachment 1. Product Information</w:t>
            </w:r>
            <w:r w:rsidR="00405013">
              <w:rPr>
                <w:noProof/>
                <w:webHidden/>
              </w:rPr>
              <w:tab/>
            </w:r>
            <w:r w:rsidR="00405013">
              <w:rPr>
                <w:noProof/>
                <w:webHidden/>
              </w:rPr>
              <w:fldChar w:fldCharType="begin"/>
            </w:r>
            <w:r w:rsidR="00405013">
              <w:rPr>
                <w:noProof/>
                <w:webHidden/>
              </w:rPr>
              <w:instrText xml:space="preserve"> PAGEREF _Toc426984873 \h </w:instrText>
            </w:r>
            <w:r w:rsidR="00405013">
              <w:rPr>
                <w:noProof/>
                <w:webHidden/>
              </w:rPr>
            </w:r>
            <w:r w:rsidR="00405013">
              <w:rPr>
                <w:noProof/>
                <w:webHidden/>
              </w:rPr>
              <w:fldChar w:fldCharType="separate"/>
            </w:r>
            <w:r w:rsidR="00405013">
              <w:rPr>
                <w:noProof/>
                <w:webHidden/>
              </w:rPr>
              <w:t>42</w:t>
            </w:r>
            <w:r w:rsidR="00405013">
              <w:rPr>
                <w:noProof/>
                <w:webHidden/>
              </w:rPr>
              <w:fldChar w:fldCharType="end"/>
            </w:r>
          </w:hyperlink>
        </w:p>
        <w:p w:rsidR="00405013" w:rsidRDefault="00866140">
          <w:pPr>
            <w:pStyle w:val="TOC2"/>
            <w:rPr>
              <w:rFonts w:asciiTheme="minorHAnsi" w:eastAsiaTheme="minorEastAsia" w:hAnsiTheme="minorHAnsi" w:cstheme="minorBidi"/>
              <w:b w:val="0"/>
              <w:noProof/>
              <w:sz w:val="22"/>
              <w:lang w:eastAsia="en-AU"/>
            </w:rPr>
          </w:pPr>
          <w:hyperlink w:anchor="_Toc426984874" w:history="1">
            <w:r w:rsidR="00405013" w:rsidRPr="009E748A">
              <w:rPr>
                <w:rStyle w:val="Hyperlink"/>
                <w:noProof/>
              </w:rPr>
              <w:t>Attachment 2. Extract from the Clinical Evaluation Report</w:t>
            </w:r>
            <w:r w:rsidR="00405013">
              <w:rPr>
                <w:noProof/>
                <w:webHidden/>
              </w:rPr>
              <w:tab/>
            </w:r>
            <w:r w:rsidR="00405013">
              <w:rPr>
                <w:noProof/>
                <w:webHidden/>
              </w:rPr>
              <w:fldChar w:fldCharType="begin"/>
            </w:r>
            <w:r w:rsidR="00405013">
              <w:rPr>
                <w:noProof/>
                <w:webHidden/>
              </w:rPr>
              <w:instrText xml:space="preserve"> PAGEREF _Toc426984874 \h </w:instrText>
            </w:r>
            <w:r w:rsidR="00405013">
              <w:rPr>
                <w:noProof/>
                <w:webHidden/>
              </w:rPr>
            </w:r>
            <w:r w:rsidR="00405013">
              <w:rPr>
                <w:noProof/>
                <w:webHidden/>
              </w:rPr>
              <w:fldChar w:fldCharType="separate"/>
            </w:r>
            <w:r w:rsidR="00405013">
              <w:rPr>
                <w:noProof/>
                <w:webHidden/>
              </w:rPr>
              <w:t>42</w:t>
            </w:r>
            <w:r w:rsidR="00405013">
              <w:rPr>
                <w:noProof/>
                <w:webHidden/>
              </w:rPr>
              <w:fldChar w:fldCharType="end"/>
            </w:r>
          </w:hyperlink>
        </w:p>
        <w:p w:rsidR="003A7F6C" w:rsidRPr="00B811C6" w:rsidRDefault="00DB6124" w:rsidP="00B811C6">
          <w:pPr>
            <w:pStyle w:val="TOC2"/>
          </w:pPr>
          <w:r>
            <w:fldChar w:fldCharType="end"/>
          </w:r>
        </w:p>
      </w:sdtContent>
    </w:sdt>
    <w:bookmarkStart w:id="2" w:name="_Toc314842482" w:displacedByCustomXml="prev"/>
    <w:p w:rsidR="00FD119B" w:rsidRDefault="00FD119B">
      <w:pPr>
        <w:spacing w:before="0" w:after="200" w:line="0" w:lineRule="auto"/>
      </w:pPr>
      <w:r>
        <w:br w:type="page"/>
      </w:r>
    </w:p>
    <w:p w:rsidR="00FD119B" w:rsidRPr="00760F91" w:rsidRDefault="00FD119B" w:rsidP="00760F91">
      <w:pPr>
        <w:pStyle w:val="Heading2"/>
      </w:pPr>
      <w:bookmarkStart w:id="3" w:name="_Toc351716269"/>
      <w:bookmarkStart w:id="4" w:name="_Toc351718881"/>
      <w:bookmarkStart w:id="5" w:name="_Toc355338616"/>
      <w:bookmarkStart w:id="6" w:name="_Toc356306144"/>
      <w:bookmarkStart w:id="7" w:name="_Toc426984845"/>
      <w:r w:rsidRPr="00760F91">
        <w:lastRenderedPageBreak/>
        <w:t>List of the most common abbreviations</w:t>
      </w:r>
      <w:bookmarkEnd w:id="3"/>
      <w:bookmarkEnd w:id="4"/>
      <w:bookmarkEnd w:id="5"/>
      <w:bookmarkEnd w:id="6"/>
      <w:r w:rsidRPr="00760F91">
        <w:t xml:space="preserve"> used in this </w:t>
      </w:r>
      <w:proofErr w:type="spellStart"/>
      <w:r w:rsidRPr="00760F91">
        <w:t>AusPAR</w:t>
      </w:r>
      <w:bookmarkEnd w:id="7"/>
      <w:proofErr w:type="spellEnd"/>
    </w:p>
    <w:tbl>
      <w:tblPr>
        <w:tblStyle w:val="TableTGAblue"/>
        <w:tblW w:w="0" w:type="auto"/>
        <w:tblLook w:val="04A0" w:firstRow="1" w:lastRow="0" w:firstColumn="1" w:lastColumn="0" w:noHBand="0" w:noVBand="1"/>
      </w:tblPr>
      <w:tblGrid>
        <w:gridCol w:w="1890"/>
        <w:gridCol w:w="6830"/>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760F91">
            <w:pPr>
              <w:rPr>
                <w:lang w:eastAsia="en-US"/>
              </w:rPr>
            </w:pPr>
            <w:r w:rsidRPr="00FD119B">
              <w:rPr>
                <w:lang w:eastAsia="en-US"/>
              </w:rPr>
              <w:t>Abbreviation</w:t>
            </w:r>
          </w:p>
        </w:tc>
        <w:tc>
          <w:tcPr>
            <w:tcW w:w="6911" w:type="dxa"/>
          </w:tcPr>
          <w:p w:rsidR="00FD119B" w:rsidRPr="00FD119B" w:rsidRDefault="00FD119B" w:rsidP="00760F91">
            <w:pPr>
              <w:rPr>
                <w:lang w:eastAsia="en-US"/>
              </w:rPr>
            </w:pPr>
            <w:r w:rsidRPr="00FD119B">
              <w:rPr>
                <w:lang w:eastAsia="en-US"/>
              </w:rPr>
              <w:t>Meaning</w:t>
            </w:r>
          </w:p>
        </w:tc>
      </w:tr>
      <w:tr w:rsidR="00CF26D7" w:rsidTr="00A1220B">
        <w:tc>
          <w:tcPr>
            <w:tcW w:w="1809" w:type="dxa"/>
          </w:tcPr>
          <w:p w:rsidR="00CF26D7" w:rsidRDefault="00CF26D7" w:rsidP="00760F91">
            <w:r>
              <w:t>ACPM</w:t>
            </w:r>
          </w:p>
        </w:tc>
        <w:tc>
          <w:tcPr>
            <w:tcW w:w="6911" w:type="dxa"/>
          </w:tcPr>
          <w:p w:rsidR="00CF26D7" w:rsidRDefault="00CF26D7" w:rsidP="00760F91">
            <w:r>
              <w:t>Advisory Committee for Prescription Medicines</w:t>
            </w:r>
          </w:p>
        </w:tc>
      </w:tr>
      <w:tr w:rsidR="00A1220B" w:rsidTr="00A1220B">
        <w:tc>
          <w:tcPr>
            <w:tcW w:w="1809" w:type="dxa"/>
          </w:tcPr>
          <w:p w:rsidR="00A1220B" w:rsidRDefault="00A1220B" w:rsidP="00760F91">
            <w:r>
              <w:t>AE</w:t>
            </w:r>
          </w:p>
        </w:tc>
        <w:tc>
          <w:tcPr>
            <w:tcW w:w="6911" w:type="dxa"/>
          </w:tcPr>
          <w:p w:rsidR="00A1220B" w:rsidRDefault="00A1220B" w:rsidP="00760F91">
            <w:r>
              <w:t>Adverse Event</w:t>
            </w:r>
          </w:p>
        </w:tc>
      </w:tr>
      <w:tr w:rsidR="00A1220B" w:rsidTr="00A1220B">
        <w:tc>
          <w:tcPr>
            <w:tcW w:w="1809" w:type="dxa"/>
          </w:tcPr>
          <w:p w:rsidR="00A1220B" w:rsidRDefault="00A1220B" w:rsidP="00760F91">
            <w:r>
              <w:t>ARTG</w:t>
            </w:r>
          </w:p>
        </w:tc>
        <w:tc>
          <w:tcPr>
            <w:tcW w:w="6911" w:type="dxa"/>
          </w:tcPr>
          <w:p w:rsidR="00A1220B" w:rsidRDefault="00A1220B" w:rsidP="00760F91">
            <w:r>
              <w:t>Australian Register of Therapeutic Goods</w:t>
            </w:r>
          </w:p>
        </w:tc>
      </w:tr>
      <w:tr w:rsidR="00A1220B" w:rsidTr="00A1220B">
        <w:tc>
          <w:tcPr>
            <w:tcW w:w="1809" w:type="dxa"/>
          </w:tcPr>
          <w:p w:rsidR="00A1220B" w:rsidRDefault="00A1220B" w:rsidP="00760F91">
            <w:r>
              <w:t>AUC</w:t>
            </w:r>
          </w:p>
        </w:tc>
        <w:tc>
          <w:tcPr>
            <w:tcW w:w="6911" w:type="dxa"/>
          </w:tcPr>
          <w:p w:rsidR="00A1220B" w:rsidRDefault="00A1220B" w:rsidP="00760F91">
            <w:r>
              <w:t>Area under the curve</w:t>
            </w:r>
          </w:p>
        </w:tc>
      </w:tr>
      <w:tr w:rsidR="00A1220B" w:rsidTr="00A1220B">
        <w:tc>
          <w:tcPr>
            <w:tcW w:w="1809" w:type="dxa"/>
          </w:tcPr>
          <w:p w:rsidR="00A1220B" w:rsidRDefault="00A1220B" w:rsidP="00760F91">
            <w:r>
              <w:t>BMI</w:t>
            </w:r>
          </w:p>
        </w:tc>
        <w:tc>
          <w:tcPr>
            <w:tcW w:w="6911" w:type="dxa"/>
          </w:tcPr>
          <w:p w:rsidR="00A1220B" w:rsidRDefault="00A1220B" w:rsidP="00760F91">
            <w:r>
              <w:t>Body Mass Index</w:t>
            </w:r>
          </w:p>
        </w:tc>
      </w:tr>
      <w:tr w:rsidR="00A1220B" w:rsidTr="00A1220B">
        <w:tc>
          <w:tcPr>
            <w:tcW w:w="1809" w:type="dxa"/>
          </w:tcPr>
          <w:p w:rsidR="00A1220B" w:rsidRDefault="00A1220B" w:rsidP="00760F91">
            <w:r>
              <w:t>CIU</w:t>
            </w:r>
          </w:p>
        </w:tc>
        <w:tc>
          <w:tcPr>
            <w:tcW w:w="6911" w:type="dxa"/>
          </w:tcPr>
          <w:p w:rsidR="00A1220B" w:rsidRDefault="00A1220B" w:rsidP="00760F91">
            <w:r>
              <w:t xml:space="preserve">Chronic idiopathic </w:t>
            </w:r>
            <w:proofErr w:type="spellStart"/>
            <w:r>
              <w:t>urticaria</w:t>
            </w:r>
            <w:proofErr w:type="spellEnd"/>
          </w:p>
        </w:tc>
      </w:tr>
      <w:tr w:rsidR="00A1220B" w:rsidTr="00A1220B">
        <w:tc>
          <w:tcPr>
            <w:tcW w:w="1809" w:type="dxa"/>
          </w:tcPr>
          <w:p w:rsidR="00A1220B" w:rsidRDefault="008633BC" w:rsidP="00760F91">
            <w:proofErr w:type="spellStart"/>
            <w:r w:rsidRPr="00F02687">
              <w:t>C</w:t>
            </w:r>
            <w:r w:rsidRPr="008633BC">
              <w:rPr>
                <w:vertAlign w:val="subscript"/>
              </w:rPr>
              <w:t>max</w:t>
            </w:r>
            <w:proofErr w:type="spellEnd"/>
          </w:p>
        </w:tc>
        <w:tc>
          <w:tcPr>
            <w:tcW w:w="6911" w:type="dxa"/>
          </w:tcPr>
          <w:p w:rsidR="00A1220B" w:rsidRDefault="00A1220B" w:rsidP="00760F91">
            <w:r>
              <w:t>Maximum concentration</w:t>
            </w:r>
          </w:p>
        </w:tc>
      </w:tr>
      <w:tr w:rsidR="00A1220B" w:rsidTr="00A1220B">
        <w:tc>
          <w:tcPr>
            <w:tcW w:w="1809" w:type="dxa"/>
          </w:tcPr>
          <w:p w:rsidR="00A1220B" w:rsidRDefault="00A1220B" w:rsidP="00760F91">
            <w:r>
              <w:t>DLQI</w:t>
            </w:r>
          </w:p>
        </w:tc>
        <w:tc>
          <w:tcPr>
            <w:tcW w:w="6911" w:type="dxa"/>
          </w:tcPr>
          <w:p w:rsidR="00A1220B" w:rsidRDefault="00A1220B" w:rsidP="00760F91">
            <w:r>
              <w:t>Dermatology Life Quality Index</w:t>
            </w:r>
          </w:p>
        </w:tc>
      </w:tr>
      <w:tr w:rsidR="00A1220B" w:rsidTr="00A1220B">
        <w:tc>
          <w:tcPr>
            <w:tcW w:w="1809" w:type="dxa"/>
          </w:tcPr>
          <w:p w:rsidR="00A1220B" w:rsidRDefault="00A1220B" w:rsidP="00760F91">
            <w:r>
              <w:t>DNA</w:t>
            </w:r>
          </w:p>
        </w:tc>
        <w:tc>
          <w:tcPr>
            <w:tcW w:w="6911" w:type="dxa"/>
          </w:tcPr>
          <w:p w:rsidR="00A1220B" w:rsidRDefault="00A1220B" w:rsidP="00760F91">
            <w:r>
              <w:t>Deoxyribonucleic acid</w:t>
            </w:r>
          </w:p>
        </w:tc>
      </w:tr>
      <w:tr w:rsidR="00A1220B" w:rsidTr="00A1220B">
        <w:tc>
          <w:tcPr>
            <w:tcW w:w="1809" w:type="dxa"/>
          </w:tcPr>
          <w:p w:rsidR="00A1220B" w:rsidRDefault="00A1220B" w:rsidP="00760F91">
            <w:r>
              <w:t>EMA</w:t>
            </w:r>
          </w:p>
        </w:tc>
        <w:tc>
          <w:tcPr>
            <w:tcW w:w="6911" w:type="dxa"/>
          </w:tcPr>
          <w:p w:rsidR="00A1220B" w:rsidRDefault="00A1220B" w:rsidP="00760F91">
            <w:r>
              <w:t>European Medicines Agency</w:t>
            </w:r>
          </w:p>
        </w:tc>
      </w:tr>
      <w:tr w:rsidR="00A1220B" w:rsidTr="00A1220B">
        <w:tc>
          <w:tcPr>
            <w:tcW w:w="1809" w:type="dxa"/>
          </w:tcPr>
          <w:p w:rsidR="00A1220B" w:rsidRDefault="00A1220B" w:rsidP="00760F91">
            <w:proofErr w:type="spellStart"/>
            <w:r>
              <w:t>FcεRI</w:t>
            </w:r>
            <w:proofErr w:type="spellEnd"/>
          </w:p>
        </w:tc>
        <w:tc>
          <w:tcPr>
            <w:tcW w:w="6911" w:type="dxa"/>
          </w:tcPr>
          <w:p w:rsidR="00A1220B" w:rsidRDefault="00A1220B" w:rsidP="00760F91">
            <w:r>
              <w:t xml:space="preserve">The high affinity </w:t>
            </w:r>
            <w:proofErr w:type="spellStart"/>
            <w:r>
              <w:t>IgE</w:t>
            </w:r>
            <w:proofErr w:type="spellEnd"/>
            <w:r>
              <w:t xml:space="preserve"> receptor located on mast cell/basophil cell membranes</w:t>
            </w:r>
          </w:p>
        </w:tc>
      </w:tr>
      <w:tr w:rsidR="00A1220B" w:rsidTr="00A1220B">
        <w:tc>
          <w:tcPr>
            <w:tcW w:w="1809" w:type="dxa"/>
          </w:tcPr>
          <w:p w:rsidR="00A1220B" w:rsidRDefault="00A1220B" w:rsidP="00760F91">
            <w:r>
              <w:t>FDA</w:t>
            </w:r>
          </w:p>
        </w:tc>
        <w:tc>
          <w:tcPr>
            <w:tcW w:w="6911" w:type="dxa"/>
          </w:tcPr>
          <w:p w:rsidR="00A1220B" w:rsidRDefault="00A1220B" w:rsidP="00760F91">
            <w:r>
              <w:t>Food and Drug Administration</w:t>
            </w:r>
          </w:p>
        </w:tc>
      </w:tr>
      <w:tr w:rsidR="00A1220B" w:rsidTr="00A1220B">
        <w:tc>
          <w:tcPr>
            <w:tcW w:w="1809" w:type="dxa"/>
          </w:tcPr>
          <w:p w:rsidR="00A1220B" w:rsidRDefault="00A1220B" w:rsidP="00760F91">
            <w:r>
              <w:t>GCP</w:t>
            </w:r>
          </w:p>
        </w:tc>
        <w:tc>
          <w:tcPr>
            <w:tcW w:w="6911" w:type="dxa"/>
          </w:tcPr>
          <w:p w:rsidR="00A1220B" w:rsidRDefault="00A1220B" w:rsidP="00760F91">
            <w:r>
              <w:t>Good Clinical Practice</w:t>
            </w:r>
          </w:p>
        </w:tc>
      </w:tr>
      <w:tr w:rsidR="00A1220B" w:rsidTr="00A1220B">
        <w:tc>
          <w:tcPr>
            <w:tcW w:w="1809" w:type="dxa"/>
          </w:tcPr>
          <w:p w:rsidR="00A1220B" w:rsidRDefault="00A1220B" w:rsidP="00760F91">
            <w:r>
              <w:t>H1</w:t>
            </w:r>
          </w:p>
        </w:tc>
        <w:tc>
          <w:tcPr>
            <w:tcW w:w="6911" w:type="dxa"/>
          </w:tcPr>
          <w:p w:rsidR="00A1220B" w:rsidRDefault="00A1220B" w:rsidP="00760F91">
            <w:r>
              <w:t>H1 histamine receptor</w:t>
            </w:r>
          </w:p>
        </w:tc>
      </w:tr>
      <w:tr w:rsidR="00A1220B" w:rsidTr="00A1220B">
        <w:tc>
          <w:tcPr>
            <w:tcW w:w="1809" w:type="dxa"/>
          </w:tcPr>
          <w:p w:rsidR="00A1220B" w:rsidRDefault="00A1220B" w:rsidP="00760F91">
            <w:r>
              <w:t>H2</w:t>
            </w:r>
          </w:p>
        </w:tc>
        <w:tc>
          <w:tcPr>
            <w:tcW w:w="6911" w:type="dxa"/>
          </w:tcPr>
          <w:p w:rsidR="00A1220B" w:rsidRDefault="00A1220B" w:rsidP="00760F91">
            <w:r>
              <w:t>H2 histamine receptor</w:t>
            </w:r>
          </w:p>
        </w:tc>
      </w:tr>
      <w:tr w:rsidR="00A1220B" w:rsidTr="00A1220B">
        <w:tc>
          <w:tcPr>
            <w:tcW w:w="1809" w:type="dxa"/>
          </w:tcPr>
          <w:p w:rsidR="00A1220B" w:rsidRDefault="00A1220B" w:rsidP="00760F91">
            <w:proofErr w:type="spellStart"/>
            <w:r>
              <w:t>HRQoL</w:t>
            </w:r>
            <w:proofErr w:type="spellEnd"/>
          </w:p>
        </w:tc>
        <w:tc>
          <w:tcPr>
            <w:tcW w:w="6911" w:type="dxa"/>
          </w:tcPr>
          <w:p w:rsidR="00A1220B" w:rsidRDefault="00A1220B" w:rsidP="00760F91">
            <w:r>
              <w:t>Health Related Quality of Life</w:t>
            </w:r>
          </w:p>
        </w:tc>
      </w:tr>
      <w:tr w:rsidR="00A1220B" w:rsidTr="00A1220B">
        <w:tc>
          <w:tcPr>
            <w:tcW w:w="1809" w:type="dxa"/>
          </w:tcPr>
          <w:p w:rsidR="00A1220B" w:rsidRDefault="00A1220B" w:rsidP="00760F91">
            <w:r>
              <w:t>ICH</w:t>
            </w:r>
          </w:p>
        </w:tc>
        <w:tc>
          <w:tcPr>
            <w:tcW w:w="6911" w:type="dxa"/>
          </w:tcPr>
          <w:p w:rsidR="00A1220B" w:rsidRDefault="00A1220B" w:rsidP="00760F91">
            <w:r>
              <w:t>International Conference on Harmonisation</w:t>
            </w:r>
          </w:p>
        </w:tc>
      </w:tr>
      <w:tr w:rsidR="00A1220B" w:rsidTr="00A1220B">
        <w:tc>
          <w:tcPr>
            <w:tcW w:w="1809" w:type="dxa"/>
          </w:tcPr>
          <w:p w:rsidR="00A1220B" w:rsidRDefault="00A1220B" w:rsidP="00760F91">
            <w:proofErr w:type="spellStart"/>
            <w:r>
              <w:t>IgE</w:t>
            </w:r>
            <w:proofErr w:type="spellEnd"/>
          </w:p>
        </w:tc>
        <w:tc>
          <w:tcPr>
            <w:tcW w:w="6911" w:type="dxa"/>
          </w:tcPr>
          <w:p w:rsidR="00A1220B" w:rsidRDefault="00A1220B" w:rsidP="00760F91">
            <w:r>
              <w:t>Immunoglobulin E</w:t>
            </w:r>
          </w:p>
        </w:tc>
      </w:tr>
      <w:tr w:rsidR="00A1220B" w:rsidTr="00A1220B">
        <w:tc>
          <w:tcPr>
            <w:tcW w:w="1809" w:type="dxa"/>
          </w:tcPr>
          <w:p w:rsidR="00A1220B" w:rsidRDefault="00A1220B" w:rsidP="00760F91">
            <w:proofErr w:type="spellStart"/>
            <w:r>
              <w:t>LoQ</w:t>
            </w:r>
            <w:proofErr w:type="spellEnd"/>
          </w:p>
        </w:tc>
        <w:tc>
          <w:tcPr>
            <w:tcW w:w="6911" w:type="dxa"/>
          </w:tcPr>
          <w:p w:rsidR="00A1220B" w:rsidRDefault="00A1220B" w:rsidP="00760F91">
            <w:r>
              <w:t>Limit of quantification</w:t>
            </w:r>
          </w:p>
        </w:tc>
      </w:tr>
      <w:tr w:rsidR="00A1220B" w:rsidTr="00A1220B">
        <w:tc>
          <w:tcPr>
            <w:tcW w:w="1809" w:type="dxa"/>
          </w:tcPr>
          <w:p w:rsidR="00A1220B" w:rsidRDefault="00A1220B" w:rsidP="00760F91">
            <w:r>
              <w:t>LTRA</w:t>
            </w:r>
          </w:p>
        </w:tc>
        <w:tc>
          <w:tcPr>
            <w:tcW w:w="6911" w:type="dxa"/>
          </w:tcPr>
          <w:p w:rsidR="00A1220B" w:rsidRDefault="00A1220B" w:rsidP="00760F91">
            <w:r>
              <w:t>Leukotriene Receptor Antagonist</w:t>
            </w:r>
          </w:p>
        </w:tc>
      </w:tr>
      <w:tr w:rsidR="00A1220B" w:rsidTr="00A1220B">
        <w:tc>
          <w:tcPr>
            <w:tcW w:w="1809" w:type="dxa"/>
          </w:tcPr>
          <w:p w:rsidR="00A1220B" w:rsidRDefault="00A1220B" w:rsidP="00760F91">
            <w:r>
              <w:t>MID</w:t>
            </w:r>
          </w:p>
        </w:tc>
        <w:tc>
          <w:tcPr>
            <w:tcW w:w="6911" w:type="dxa"/>
          </w:tcPr>
          <w:p w:rsidR="00A1220B" w:rsidRDefault="00A1220B" w:rsidP="00760F91">
            <w:r>
              <w:t>Minimally Important Difference</w:t>
            </w:r>
          </w:p>
        </w:tc>
      </w:tr>
      <w:tr w:rsidR="00A1220B" w:rsidTr="00A1220B">
        <w:tc>
          <w:tcPr>
            <w:tcW w:w="1809" w:type="dxa"/>
          </w:tcPr>
          <w:p w:rsidR="00A1220B" w:rsidRDefault="00A1220B" w:rsidP="00760F91">
            <w:proofErr w:type="spellStart"/>
            <w:r>
              <w:t>mITT</w:t>
            </w:r>
            <w:proofErr w:type="spellEnd"/>
          </w:p>
        </w:tc>
        <w:tc>
          <w:tcPr>
            <w:tcW w:w="6911" w:type="dxa"/>
          </w:tcPr>
          <w:p w:rsidR="00A1220B" w:rsidRDefault="00A1220B" w:rsidP="00760F91">
            <w:r>
              <w:t>Modified Intention to Treat</w:t>
            </w:r>
          </w:p>
        </w:tc>
      </w:tr>
      <w:tr w:rsidR="00A1220B" w:rsidTr="00A1220B">
        <w:tc>
          <w:tcPr>
            <w:tcW w:w="1809" w:type="dxa"/>
          </w:tcPr>
          <w:p w:rsidR="00A1220B" w:rsidRDefault="00A1220B" w:rsidP="00760F91">
            <w:r>
              <w:t>PD</w:t>
            </w:r>
          </w:p>
        </w:tc>
        <w:tc>
          <w:tcPr>
            <w:tcW w:w="6911" w:type="dxa"/>
          </w:tcPr>
          <w:p w:rsidR="00A1220B" w:rsidRDefault="00A1220B" w:rsidP="00760F91">
            <w:r>
              <w:t>Pharmacodynamics</w:t>
            </w:r>
          </w:p>
        </w:tc>
      </w:tr>
      <w:tr w:rsidR="00A1220B" w:rsidTr="00A1220B">
        <w:tc>
          <w:tcPr>
            <w:tcW w:w="1809" w:type="dxa"/>
          </w:tcPr>
          <w:p w:rsidR="00A1220B" w:rsidRDefault="00A1220B" w:rsidP="00760F91">
            <w:r>
              <w:t>PI</w:t>
            </w:r>
          </w:p>
        </w:tc>
        <w:tc>
          <w:tcPr>
            <w:tcW w:w="6911" w:type="dxa"/>
          </w:tcPr>
          <w:p w:rsidR="00A1220B" w:rsidRDefault="00A1220B" w:rsidP="00760F91">
            <w:r>
              <w:t>Product Information</w:t>
            </w:r>
          </w:p>
        </w:tc>
      </w:tr>
      <w:tr w:rsidR="00A1220B" w:rsidTr="00A1220B">
        <w:tc>
          <w:tcPr>
            <w:tcW w:w="1809" w:type="dxa"/>
          </w:tcPr>
          <w:p w:rsidR="00A1220B" w:rsidRDefault="00A1220B" w:rsidP="00760F91">
            <w:r>
              <w:lastRenderedPageBreak/>
              <w:t>PK</w:t>
            </w:r>
          </w:p>
        </w:tc>
        <w:tc>
          <w:tcPr>
            <w:tcW w:w="6911" w:type="dxa"/>
          </w:tcPr>
          <w:p w:rsidR="00A1220B" w:rsidRDefault="00A1220B" w:rsidP="00760F91">
            <w:r>
              <w:t>Pharmacokinetics</w:t>
            </w:r>
          </w:p>
        </w:tc>
      </w:tr>
      <w:tr w:rsidR="00DC5E23" w:rsidTr="00A1220B">
        <w:tc>
          <w:tcPr>
            <w:tcW w:w="1809" w:type="dxa"/>
          </w:tcPr>
          <w:p w:rsidR="00DC5E23" w:rsidRDefault="00DC5E23" w:rsidP="00760F91">
            <w:r>
              <w:t>PSUR</w:t>
            </w:r>
          </w:p>
        </w:tc>
        <w:tc>
          <w:tcPr>
            <w:tcW w:w="6911" w:type="dxa"/>
          </w:tcPr>
          <w:p w:rsidR="00DC5E23" w:rsidRDefault="00DC5E23" w:rsidP="00760F91">
            <w:r>
              <w:t>Product Safety Update Report</w:t>
            </w:r>
          </w:p>
        </w:tc>
      </w:tr>
      <w:tr w:rsidR="00A1220B" w:rsidTr="00A1220B">
        <w:tc>
          <w:tcPr>
            <w:tcW w:w="1809" w:type="dxa"/>
          </w:tcPr>
          <w:p w:rsidR="00A1220B" w:rsidRDefault="00A1220B" w:rsidP="00760F91">
            <w:r>
              <w:t>SAE</w:t>
            </w:r>
          </w:p>
        </w:tc>
        <w:tc>
          <w:tcPr>
            <w:tcW w:w="6911" w:type="dxa"/>
          </w:tcPr>
          <w:p w:rsidR="00A1220B" w:rsidRDefault="00A1220B" w:rsidP="00760F91">
            <w:r>
              <w:t>Serious Adverse Event</w:t>
            </w:r>
          </w:p>
        </w:tc>
      </w:tr>
      <w:tr w:rsidR="00A1220B" w:rsidTr="00A1220B">
        <w:tc>
          <w:tcPr>
            <w:tcW w:w="1809" w:type="dxa"/>
          </w:tcPr>
          <w:p w:rsidR="00A1220B" w:rsidRDefault="00A1220B" w:rsidP="00760F91">
            <w:r>
              <w:t>SC</w:t>
            </w:r>
          </w:p>
        </w:tc>
        <w:tc>
          <w:tcPr>
            <w:tcW w:w="6911" w:type="dxa"/>
          </w:tcPr>
          <w:p w:rsidR="00A1220B" w:rsidRDefault="00A1220B" w:rsidP="00760F91">
            <w:r>
              <w:t>Subcutaneous</w:t>
            </w:r>
          </w:p>
        </w:tc>
      </w:tr>
      <w:tr w:rsidR="00A1220B" w:rsidTr="00A1220B">
        <w:tc>
          <w:tcPr>
            <w:tcW w:w="1809" w:type="dxa"/>
          </w:tcPr>
          <w:p w:rsidR="00A1220B" w:rsidRDefault="00A1220B" w:rsidP="00760F91">
            <w:r>
              <w:t>SD</w:t>
            </w:r>
          </w:p>
        </w:tc>
        <w:tc>
          <w:tcPr>
            <w:tcW w:w="6911" w:type="dxa"/>
          </w:tcPr>
          <w:p w:rsidR="00A1220B" w:rsidRDefault="00A1220B" w:rsidP="00760F91">
            <w:r>
              <w:t>Standard Deviation</w:t>
            </w:r>
          </w:p>
        </w:tc>
      </w:tr>
      <w:tr w:rsidR="00A1220B" w:rsidTr="00A1220B">
        <w:tc>
          <w:tcPr>
            <w:tcW w:w="1809" w:type="dxa"/>
          </w:tcPr>
          <w:p w:rsidR="00A1220B" w:rsidRDefault="00A1220B" w:rsidP="00760F91">
            <w:r>
              <w:t>TGA</w:t>
            </w:r>
          </w:p>
        </w:tc>
        <w:tc>
          <w:tcPr>
            <w:tcW w:w="6911" w:type="dxa"/>
          </w:tcPr>
          <w:p w:rsidR="00A1220B" w:rsidRDefault="00A1220B" w:rsidP="00760F91">
            <w:r>
              <w:t>Therapeutic Goods Administration</w:t>
            </w:r>
          </w:p>
        </w:tc>
      </w:tr>
      <w:tr w:rsidR="00A1220B" w:rsidTr="00A1220B">
        <w:tc>
          <w:tcPr>
            <w:tcW w:w="1809" w:type="dxa"/>
          </w:tcPr>
          <w:p w:rsidR="00A1220B" w:rsidRDefault="00A1220B" w:rsidP="00760F91">
            <w:proofErr w:type="spellStart"/>
            <w:r>
              <w:t>T</w:t>
            </w:r>
            <w:r w:rsidRPr="008633BC">
              <w:rPr>
                <w:vertAlign w:val="subscript"/>
              </w:rPr>
              <w:t>max</w:t>
            </w:r>
            <w:proofErr w:type="spellEnd"/>
          </w:p>
        </w:tc>
        <w:tc>
          <w:tcPr>
            <w:tcW w:w="6911" w:type="dxa"/>
          </w:tcPr>
          <w:p w:rsidR="00A1220B" w:rsidRDefault="0072012D" w:rsidP="00760F91">
            <w:r>
              <w:t>The t</w:t>
            </w:r>
            <w:r w:rsidR="00A1220B">
              <w:t xml:space="preserve">ime </w:t>
            </w:r>
            <w:r>
              <w:t>after administration of a drug when the</w:t>
            </w:r>
            <w:r w:rsidR="00A1220B">
              <w:t xml:space="preserve"> maximum </w:t>
            </w:r>
            <w:r>
              <w:t xml:space="preserve">plasma </w:t>
            </w:r>
            <w:r w:rsidR="00A1220B">
              <w:t>concentration</w:t>
            </w:r>
            <w:r>
              <w:t xml:space="preserve"> is reached</w:t>
            </w:r>
          </w:p>
        </w:tc>
      </w:tr>
      <w:tr w:rsidR="00A1220B" w:rsidTr="00A1220B">
        <w:tc>
          <w:tcPr>
            <w:tcW w:w="1809" w:type="dxa"/>
          </w:tcPr>
          <w:p w:rsidR="00A1220B" w:rsidRDefault="00A1220B" w:rsidP="00760F91">
            <w:r>
              <w:t>UAS</w:t>
            </w:r>
          </w:p>
        </w:tc>
        <w:tc>
          <w:tcPr>
            <w:tcW w:w="6911" w:type="dxa"/>
          </w:tcPr>
          <w:p w:rsidR="00A1220B" w:rsidRDefault="00A1220B" w:rsidP="00760F91">
            <w:proofErr w:type="spellStart"/>
            <w:r>
              <w:t>Urticaria</w:t>
            </w:r>
            <w:proofErr w:type="spellEnd"/>
            <w:r>
              <w:t xml:space="preserve"> Activity Score</w:t>
            </w:r>
          </w:p>
        </w:tc>
      </w:tr>
      <w:tr w:rsidR="00C109C5" w:rsidTr="00A1220B">
        <w:tc>
          <w:tcPr>
            <w:tcW w:w="1809" w:type="dxa"/>
          </w:tcPr>
          <w:p w:rsidR="00C109C5" w:rsidRDefault="00C109C5" w:rsidP="00760F91">
            <w:r>
              <w:t>UAS7</w:t>
            </w:r>
          </w:p>
        </w:tc>
        <w:tc>
          <w:tcPr>
            <w:tcW w:w="6911" w:type="dxa"/>
          </w:tcPr>
          <w:p w:rsidR="00C109C5" w:rsidRDefault="00C109C5" w:rsidP="00760F91">
            <w:r>
              <w:t xml:space="preserve">Weekly </w:t>
            </w:r>
            <w:proofErr w:type="spellStart"/>
            <w:r>
              <w:t>Urticaria</w:t>
            </w:r>
            <w:proofErr w:type="spellEnd"/>
            <w:r>
              <w:t xml:space="preserve"> Activity Score</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Pr="009E38B5" w:rsidRDefault="00F53C07" w:rsidP="009E38B5">
      <w:pPr>
        <w:pStyle w:val="Heading2"/>
      </w:pPr>
      <w:bookmarkStart w:id="8" w:name="_Toc426984846"/>
      <w:r w:rsidRPr="009E38B5">
        <w:lastRenderedPageBreak/>
        <w:t>I.</w:t>
      </w:r>
      <w:r w:rsidR="008E7846" w:rsidRPr="009E38B5">
        <w:t xml:space="preserve"> Introduction to product submission</w:t>
      </w:r>
      <w:bookmarkEnd w:id="8"/>
      <w:bookmarkEnd w:id="0"/>
      <w:bookmarkEnd w:id="2"/>
    </w:p>
    <w:p w:rsidR="008E7846" w:rsidRPr="009E38B5" w:rsidRDefault="008E7846" w:rsidP="009E38B5">
      <w:pPr>
        <w:pStyle w:val="Heading3"/>
      </w:pPr>
      <w:bookmarkStart w:id="9" w:name="_Toc247691502"/>
      <w:bookmarkStart w:id="10" w:name="_Toc314842483"/>
      <w:bookmarkStart w:id="11" w:name="_Toc426984847"/>
      <w:r w:rsidRPr="009E38B5">
        <w:t>Submission details</w:t>
      </w:r>
      <w:bookmarkEnd w:id="9"/>
      <w:bookmarkEnd w:id="10"/>
      <w:bookmarkEnd w:id="11"/>
    </w:p>
    <w:tbl>
      <w:tblPr>
        <w:tblW w:w="9497" w:type="dxa"/>
        <w:tblInd w:w="108" w:type="dxa"/>
        <w:tblLook w:val="01E0" w:firstRow="1" w:lastRow="1" w:firstColumn="1" w:lastColumn="1" w:noHBand="0" w:noVBand="0"/>
      </w:tblPr>
      <w:tblGrid>
        <w:gridCol w:w="2907"/>
        <w:gridCol w:w="6307"/>
        <w:gridCol w:w="283"/>
      </w:tblGrid>
      <w:tr w:rsidR="008E7846" w:rsidRPr="003D1E62" w:rsidTr="00760F91">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763586" w:rsidP="00763586">
            <w:r>
              <w:t>M</w:t>
            </w:r>
            <w:r w:rsidR="008E7846" w:rsidRPr="003D1E62">
              <w:t xml:space="preserve">ajor </w:t>
            </w:r>
            <w:r w:rsidR="001B5C90">
              <w:t>v</w:t>
            </w:r>
            <w:r w:rsidR="008E7846" w:rsidRPr="003D1E62">
              <w:t>ariation (</w:t>
            </w:r>
            <w:r w:rsidR="00A1220B">
              <w:t>extension of indication</w:t>
            </w:r>
            <w:r w:rsidR="008E7846" w:rsidRPr="003D1E62">
              <w:t>)</w:t>
            </w:r>
          </w:p>
        </w:tc>
      </w:tr>
      <w:tr w:rsidR="008E7846" w:rsidRPr="003D1E62" w:rsidTr="00760F91">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763586" w:rsidP="001B5C90">
            <w:r>
              <w:t>Approved</w:t>
            </w:r>
          </w:p>
        </w:tc>
      </w:tr>
      <w:tr w:rsidR="008E7846" w:rsidRPr="003D1E62" w:rsidTr="00760F91">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763586" w:rsidP="001B5C90">
            <w:r>
              <w:t>6 November 2014</w:t>
            </w:r>
          </w:p>
        </w:tc>
      </w:tr>
      <w:tr w:rsidR="008E7846" w:rsidRPr="00487162" w:rsidTr="00760F91">
        <w:trPr>
          <w:gridAfter w:val="1"/>
          <w:wAfter w:w="283" w:type="dxa"/>
        </w:trPr>
        <w:tc>
          <w:tcPr>
            <w:tcW w:w="2907" w:type="dxa"/>
          </w:tcPr>
          <w:p w:rsidR="008E7846" w:rsidRPr="00487162" w:rsidRDefault="00763586" w:rsidP="00E45619">
            <w:pPr>
              <w:rPr>
                <w:i/>
              </w:rPr>
            </w:pPr>
            <w:r>
              <w:rPr>
                <w:i/>
              </w:rPr>
              <w:t>Active ingredient</w:t>
            </w:r>
            <w:r w:rsidR="001B5C90">
              <w:rPr>
                <w:i/>
              </w:rPr>
              <w:t>:</w:t>
            </w:r>
          </w:p>
        </w:tc>
        <w:tc>
          <w:tcPr>
            <w:tcW w:w="6307" w:type="dxa"/>
          </w:tcPr>
          <w:p w:rsidR="008E7846" w:rsidRPr="00487162" w:rsidRDefault="00763586" w:rsidP="00E45619">
            <w:proofErr w:type="spellStart"/>
            <w:r>
              <w:t>Omalizumab</w:t>
            </w:r>
            <w:proofErr w:type="spellEnd"/>
            <w:r>
              <w:t xml:space="preserve"> (</w:t>
            </w:r>
            <w:proofErr w:type="spellStart"/>
            <w:r>
              <w:t>rch</w:t>
            </w:r>
            <w:proofErr w:type="spellEnd"/>
            <w:r>
              <w:t>)</w:t>
            </w:r>
          </w:p>
        </w:tc>
      </w:tr>
      <w:tr w:rsidR="008E7846" w:rsidRPr="00487162" w:rsidTr="00760F91">
        <w:trPr>
          <w:gridAfter w:val="1"/>
          <w:wAfter w:w="283" w:type="dxa"/>
        </w:trPr>
        <w:tc>
          <w:tcPr>
            <w:tcW w:w="2907" w:type="dxa"/>
          </w:tcPr>
          <w:p w:rsidR="008E7846" w:rsidRPr="00487162" w:rsidRDefault="008E7846" w:rsidP="001B5C90">
            <w:pPr>
              <w:rPr>
                <w:i/>
              </w:rPr>
            </w:pPr>
            <w:r w:rsidRPr="00487162">
              <w:rPr>
                <w:i/>
              </w:rPr>
              <w:t>Product</w:t>
            </w:r>
            <w:r w:rsidR="00763586">
              <w:rPr>
                <w:i/>
              </w:rPr>
              <w:t xml:space="preserve"> name</w:t>
            </w:r>
            <w:r w:rsidR="001B5C90">
              <w:rPr>
                <w:i/>
              </w:rPr>
              <w:t>:</w:t>
            </w:r>
          </w:p>
        </w:tc>
        <w:tc>
          <w:tcPr>
            <w:tcW w:w="6307" w:type="dxa"/>
          </w:tcPr>
          <w:p w:rsidR="008E7846" w:rsidRPr="00487162" w:rsidRDefault="00763586" w:rsidP="00E45619">
            <w:proofErr w:type="spellStart"/>
            <w:r>
              <w:t>Xolair</w:t>
            </w:r>
            <w:proofErr w:type="spellEnd"/>
          </w:p>
        </w:tc>
      </w:tr>
      <w:tr w:rsidR="008E7846" w:rsidRPr="00487162" w:rsidTr="00760F91">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763586" w:rsidRPr="00487162" w:rsidRDefault="00763586" w:rsidP="00760F91">
            <w:r>
              <w:t>Novartis Pharmaceuticals Australia Pty Ltd</w:t>
            </w:r>
            <w:r w:rsidR="00760F91">
              <w:br/>
            </w:r>
            <w:r>
              <w:t>PO Box 101</w:t>
            </w:r>
            <w:r w:rsidR="00760F91">
              <w:br/>
            </w:r>
            <w:r>
              <w:t>N</w:t>
            </w:r>
            <w:r w:rsidR="0072503E">
              <w:t>orth</w:t>
            </w:r>
            <w:r>
              <w:t xml:space="preserve"> R</w:t>
            </w:r>
            <w:r w:rsidR="0072503E">
              <w:t>yde</w:t>
            </w:r>
            <w:r w:rsidR="00760F91">
              <w:t xml:space="preserve"> </w:t>
            </w:r>
            <w:r>
              <w:t xml:space="preserve"> NSW </w:t>
            </w:r>
            <w:r w:rsidR="00760F91">
              <w:t xml:space="preserve"> </w:t>
            </w:r>
            <w:r>
              <w:t>1670</w:t>
            </w:r>
          </w:p>
        </w:tc>
      </w:tr>
      <w:tr w:rsidR="008E7846" w:rsidRPr="00487162" w:rsidTr="00760F91">
        <w:trPr>
          <w:gridAfter w:val="1"/>
          <w:wAfter w:w="283" w:type="dxa"/>
        </w:trPr>
        <w:tc>
          <w:tcPr>
            <w:tcW w:w="2907" w:type="dxa"/>
          </w:tcPr>
          <w:p w:rsidR="008E7846" w:rsidRPr="00487162" w:rsidRDefault="001B5C90" w:rsidP="00760F91">
            <w:pPr>
              <w:rPr>
                <w:i/>
              </w:rPr>
            </w:pPr>
            <w:r>
              <w:rPr>
                <w:i/>
              </w:rPr>
              <w:t>Dose form</w:t>
            </w:r>
            <w:r w:rsidR="00760F91">
              <w:rPr>
                <w:i/>
              </w:rPr>
              <w:t>s</w:t>
            </w:r>
            <w:r>
              <w:rPr>
                <w:i/>
              </w:rPr>
              <w:t>:</w:t>
            </w:r>
          </w:p>
        </w:tc>
        <w:tc>
          <w:tcPr>
            <w:tcW w:w="6307" w:type="dxa"/>
          </w:tcPr>
          <w:p w:rsidR="008E7846" w:rsidRDefault="00763586" w:rsidP="00E45619">
            <w:r>
              <w:t>Powder for injection with diluent</w:t>
            </w:r>
            <w:r w:rsidR="00B95F01">
              <w:t>;</w:t>
            </w:r>
          </w:p>
          <w:p w:rsidR="00763586" w:rsidRPr="00487162" w:rsidRDefault="00763586" w:rsidP="00E45619">
            <w:r>
              <w:t>Solution for injection</w:t>
            </w:r>
          </w:p>
        </w:tc>
      </w:tr>
      <w:tr w:rsidR="008E7846" w:rsidRPr="00487162" w:rsidTr="00760F91">
        <w:trPr>
          <w:gridAfter w:val="1"/>
          <w:wAfter w:w="283" w:type="dxa"/>
        </w:trPr>
        <w:tc>
          <w:tcPr>
            <w:tcW w:w="2907" w:type="dxa"/>
          </w:tcPr>
          <w:p w:rsidR="008E7846" w:rsidRPr="00487162" w:rsidRDefault="008E7846" w:rsidP="00760F91">
            <w:pPr>
              <w:rPr>
                <w:i/>
              </w:rPr>
            </w:pPr>
            <w:r w:rsidRPr="00487162">
              <w:rPr>
                <w:i/>
              </w:rPr>
              <w:t>Strength</w:t>
            </w:r>
            <w:r w:rsidR="00760F91">
              <w:rPr>
                <w:i/>
              </w:rPr>
              <w:t>s</w:t>
            </w:r>
            <w:r w:rsidRPr="00487162">
              <w:rPr>
                <w:i/>
              </w:rPr>
              <w:t xml:space="preserve">: </w:t>
            </w:r>
          </w:p>
        </w:tc>
        <w:tc>
          <w:tcPr>
            <w:tcW w:w="6307" w:type="dxa"/>
          </w:tcPr>
          <w:p w:rsidR="008E7846" w:rsidRPr="00487162" w:rsidRDefault="00B95F01" w:rsidP="00B95F01">
            <w:r>
              <w:t>75 mg and 150 mg</w:t>
            </w:r>
          </w:p>
        </w:tc>
      </w:tr>
      <w:tr w:rsidR="008E7846" w:rsidRPr="00487162" w:rsidTr="00760F91">
        <w:trPr>
          <w:gridAfter w:val="1"/>
          <w:wAfter w:w="283" w:type="dxa"/>
        </w:trPr>
        <w:tc>
          <w:tcPr>
            <w:tcW w:w="2907" w:type="dxa"/>
          </w:tcPr>
          <w:p w:rsidR="008E7846" w:rsidRPr="00487162" w:rsidRDefault="008E7846" w:rsidP="00760F91">
            <w:pPr>
              <w:rPr>
                <w:i/>
              </w:rPr>
            </w:pPr>
            <w:r w:rsidRPr="00487162">
              <w:rPr>
                <w:i/>
              </w:rPr>
              <w:t>Contain</w:t>
            </w:r>
            <w:r w:rsidR="00760F91">
              <w:rPr>
                <w:i/>
              </w:rPr>
              <w:t>er</w:t>
            </w:r>
            <w:r w:rsidRPr="00487162">
              <w:rPr>
                <w:i/>
              </w:rPr>
              <w:t>s:</w:t>
            </w:r>
          </w:p>
        </w:tc>
        <w:tc>
          <w:tcPr>
            <w:tcW w:w="6307" w:type="dxa"/>
          </w:tcPr>
          <w:p w:rsidR="008E7846" w:rsidRDefault="0072503E" w:rsidP="00E45619">
            <w:r>
              <w:t>V</w:t>
            </w:r>
            <w:r w:rsidR="00B95F01">
              <w:t>ial (with diluent ampoule);</w:t>
            </w:r>
          </w:p>
          <w:p w:rsidR="00B95F01" w:rsidRPr="00487162" w:rsidRDefault="0072503E" w:rsidP="00E45619">
            <w:r>
              <w:t>P</w:t>
            </w:r>
            <w:r w:rsidR="004A7BFB">
              <w:t xml:space="preserve">refilled </w:t>
            </w:r>
            <w:r w:rsidR="00B95F01">
              <w:t>syringe</w:t>
            </w:r>
          </w:p>
        </w:tc>
      </w:tr>
      <w:tr w:rsidR="008E7846" w:rsidRPr="00487162" w:rsidTr="00760F91">
        <w:trPr>
          <w:gridAfter w:val="1"/>
          <w:wAfter w:w="283" w:type="dxa"/>
        </w:trPr>
        <w:tc>
          <w:tcPr>
            <w:tcW w:w="2907" w:type="dxa"/>
          </w:tcPr>
          <w:p w:rsidR="008E7846" w:rsidRPr="00487162" w:rsidRDefault="00760F91" w:rsidP="00760F91">
            <w:pPr>
              <w:rPr>
                <w:i/>
              </w:rPr>
            </w:pPr>
            <w:r>
              <w:rPr>
                <w:i/>
              </w:rPr>
              <w:t>Pack size</w:t>
            </w:r>
            <w:r w:rsidR="008E7846" w:rsidRPr="00487162">
              <w:rPr>
                <w:i/>
              </w:rPr>
              <w:t>s:</w:t>
            </w:r>
          </w:p>
        </w:tc>
        <w:tc>
          <w:tcPr>
            <w:tcW w:w="6307" w:type="dxa"/>
          </w:tcPr>
          <w:p w:rsidR="008E7846" w:rsidRPr="00487162" w:rsidRDefault="00B95F01" w:rsidP="00B95F01">
            <w:r>
              <w:t xml:space="preserve">1 active vial with 1 diluent ampoule; 1 </w:t>
            </w:r>
            <w:r w:rsidR="0083510F">
              <w:t xml:space="preserve">prefilled </w:t>
            </w:r>
            <w:r>
              <w:t xml:space="preserve">syringe, 4 </w:t>
            </w:r>
            <w:r w:rsidR="0083510F">
              <w:t xml:space="preserve">prefilled </w:t>
            </w:r>
            <w:r>
              <w:t xml:space="preserve">syringes, </w:t>
            </w:r>
            <w:proofErr w:type="gramStart"/>
            <w:r>
              <w:t>10</w:t>
            </w:r>
            <w:proofErr w:type="gramEnd"/>
            <w:r>
              <w:t xml:space="preserve"> </w:t>
            </w:r>
            <w:r w:rsidR="0083510F">
              <w:t xml:space="preserve">prefilled </w:t>
            </w:r>
            <w:r>
              <w:t>syringes.</w:t>
            </w:r>
          </w:p>
        </w:tc>
      </w:tr>
      <w:tr w:rsidR="008E7846" w:rsidRPr="00487162" w:rsidTr="00760F91">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CD0041" w:rsidRDefault="00CD0041" w:rsidP="00E45619">
            <w:pPr>
              <w:rPr>
                <w:rFonts w:eastAsia="MS Mincho"/>
                <w:i/>
                <w:lang w:eastAsia="ja-JP"/>
              </w:rPr>
            </w:pPr>
            <w:proofErr w:type="spellStart"/>
            <w:r w:rsidRPr="00CD0041">
              <w:rPr>
                <w:i/>
              </w:rPr>
              <w:t>Xolair</w:t>
            </w:r>
            <w:proofErr w:type="spellEnd"/>
            <w:r w:rsidRPr="00CD0041">
              <w:rPr>
                <w:i/>
              </w:rPr>
              <w:t xml:space="preserve"> (</w:t>
            </w:r>
            <w:proofErr w:type="spellStart"/>
            <w:r w:rsidRPr="00CD0041">
              <w:rPr>
                <w:i/>
              </w:rPr>
              <w:t>Omalizumab</w:t>
            </w:r>
            <w:proofErr w:type="spellEnd"/>
            <w:r w:rsidRPr="00CD0041">
              <w:rPr>
                <w:i/>
              </w:rPr>
              <w:t xml:space="preserve">) </w:t>
            </w:r>
            <w:r>
              <w:rPr>
                <w:i/>
              </w:rPr>
              <w:t xml:space="preserve">is indicated </w:t>
            </w:r>
            <w:r w:rsidRPr="00CD0041">
              <w:rPr>
                <w:i/>
              </w:rPr>
              <w:t xml:space="preserve">for adults and adolescents (12 years of age and above) with chromic idiopathic urticarial who remain symptomatic despite H1 antihistamine treatment. </w:t>
            </w:r>
          </w:p>
        </w:tc>
      </w:tr>
      <w:tr w:rsidR="008E7846" w:rsidRPr="00487162" w:rsidTr="00760F91">
        <w:trPr>
          <w:gridAfter w:val="1"/>
          <w:wAfter w:w="283" w:type="dxa"/>
        </w:trPr>
        <w:tc>
          <w:tcPr>
            <w:tcW w:w="2907" w:type="dxa"/>
          </w:tcPr>
          <w:p w:rsidR="008E7846" w:rsidRPr="00487162" w:rsidRDefault="00B95F01" w:rsidP="00E45619">
            <w:pPr>
              <w:rPr>
                <w:i/>
              </w:rPr>
            </w:pPr>
            <w:r>
              <w:rPr>
                <w:i/>
              </w:rPr>
              <w:t>Route</w:t>
            </w:r>
            <w:r w:rsidR="008E7846" w:rsidRPr="00487162">
              <w:rPr>
                <w:i/>
              </w:rPr>
              <w:t xml:space="preserve"> of administration:</w:t>
            </w:r>
          </w:p>
        </w:tc>
        <w:tc>
          <w:tcPr>
            <w:tcW w:w="6307" w:type="dxa"/>
          </w:tcPr>
          <w:p w:rsidR="008E7846" w:rsidRPr="00487162" w:rsidRDefault="0072503E" w:rsidP="00E45619">
            <w:r>
              <w:t>S</w:t>
            </w:r>
            <w:r w:rsidR="00B95F01">
              <w:t>ubcutaneous</w:t>
            </w:r>
            <w:r>
              <w:t xml:space="preserve"> (SC)</w:t>
            </w:r>
          </w:p>
        </w:tc>
      </w:tr>
      <w:tr w:rsidR="008E7846" w:rsidRPr="00487162" w:rsidTr="00760F91">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A1220B" w:rsidRDefault="00A1220B" w:rsidP="00E45619">
            <w:r w:rsidRPr="00A1220B">
              <w:t xml:space="preserve">For the chronic idiopathic </w:t>
            </w:r>
            <w:proofErr w:type="spellStart"/>
            <w:r w:rsidRPr="00A1220B">
              <w:t>urticaria</w:t>
            </w:r>
            <w:proofErr w:type="spellEnd"/>
            <w:r w:rsidRPr="00A1220B">
              <w:t xml:space="preserve"> indication, the proposed </w:t>
            </w:r>
            <w:r w:rsidR="00C109C5" w:rsidRPr="00C109C5">
              <w:t xml:space="preserve">Product Information </w:t>
            </w:r>
            <w:r w:rsidR="00C109C5">
              <w:t>(</w:t>
            </w:r>
            <w:r w:rsidRPr="00A1220B">
              <w:t>PI</w:t>
            </w:r>
            <w:r w:rsidR="00C109C5">
              <w:t>)</w:t>
            </w:r>
            <w:r w:rsidRPr="00A1220B">
              <w:t xml:space="preserve"> states: ‘</w:t>
            </w:r>
            <w:r w:rsidRPr="0072503E">
              <w:rPr>
                <w:i/>
              </w:rPr>
              <w:t>the recommended dose is 300 mg by subcutaneous injection every four weeks</w:t>
            </w:r>
            <w:r w:rsidR="0054046F" w:rsidRPr="0072503E">
              <w:rPr>
                <w:i/>
              </w:rPr>
              <w:t xml:space="preserve">. </w:t>
            </w:r>
            <w:r w:rsidRPr="0072503E">
              <w:rPr>
                <w:i/>
              </w:rPr>
              <w:t>Some patients may achieve control of their symptoms with a dose of 150 mg every four weeks</w:t>
            </w:r>
            <w:r w:rsidRPr="00A1220B">
              <w:t xml:space="preserve">.’ The PI states regarding duration of use that prescribers are advised to periodically reassess the need for continued therapy. Please see </w:t>
            </w:r>
            <w:r w:rsidR="000F01F0" w:rsidRPr="00A1220B">
              <w:t xml:space="preserve">Product Information for full </w:t>
            </w:r>
            <w:r w:rsidR="000F01F0" w:rsidRPr="00A1220B">
              <w:rPr>
                <w:i/>
              </w:rPr>
              <w:t>Dosage and Administration</w:t>
            </w:r>
          </w:p>
        </w:tc>
      </w:tr>
      <w:tr w:rsidR="008E7846" w:rsidRPr="00487162" w:rsidTr="00760F91">
        <w:trPr>
          <w:gridAfter w:val="1"/>
          <w:wAfter w:w="283" w:type="dxa"/>
        </w:trPr>
        <w:tc>
          <w:tcPr>
            <w:tcW w:w="2907" w:type="dxa"/>
          </w:tcPr>
          <w:p w:rsidR="008E7846" w:rsidRPr="00487162" w:rsidRDefault="008E7846" w:rsidP="00760F91">
            <w:pPr>
              <w:rPr>
                <w:i/>
              </w:rPr>
            </w:pPr>
            <w:r w:rsidRPr="00487162">
              <w:rPr>
                <w:i/>
              </w:rPr>
              <w:t xml:space="preserve">ARTG </w:t>
            </w:r>
            <w:r w:rsidR="001B5C90">
              <w:rPr>
                <w:i/>
              </w:rPr>
              <w:t>n</w:t>
            </w:r>
            <w:r w:rsidR="00760F91">
              <w:rPr>
                <w:i/>
              </w:rPr>
              <w:t>umber</w:t>
            </w:r>
            <w:r w:rsidRPr="00487162">
              <w:rPr>
                <w:i/>
              </w:rPr>
              <w:t>s</w:t>
            </w:r>
            <w:r w:rsidR="001B5C90">
              <w:rPr>
                <w:i/>
              </w:rPr>
              <w:t>:</w:t>
            </w:r>
          </w:p>
        </w:tc>
        <w:tc>
          <w:tcPr>
            <w:tcW w:w="6307" w:type="dxa"/>
          </w:tcPr>
          <w:p w:rsidR="008E7846" w:rsidRPr="00487162" w:rsidRDefault="00B95F01" w:rsidP="00E45619">
            <w:r>
              <w:t>82744, 115399, 201126 and 201124</w:t>
            </w:r>
          </w:p>
        </w:tc>
      </w:tr>
    </w:tbl>
    <w:p w:rsidR="008E7846" w:rsidRPr="009E38B5" w:rsidRDefault="008E7846" w:rsidP="009E38B5">
      <w:pPr>
        <w:pStyle w:val="Heading3"/>
      </w:pPr>
      <w:bookmarkStart w:id="12" w:name="_Toc247691503"/>
      <w:bookmarkStart w:id="13" w:name="_Toc314842484"/>
      <w:bookmarkStart w:id="14" w:name="_Toc426984848"/>
      <w:r w:rsidRPr="009E38B5">
        <w:t>Product background</w:t>
      </w:r>
      <w:bookmarkEnd w:id="12"/>
      <w:bookmarkEnd w:id="13"/>
      <w:bookmarkEnd w:id="14"/>
    </w:p>
    <w:p w:rsidR="005F03A7" w:rsidRDefault="00D52FDB" w:rsidP="00940A89">
      <w:r>
        <w:t>‘</w:t>
      </w:r>
      <w:r w:rsidR="00940A89" w:rsidRPr="00940A89">
        <w:t xml:space="preserve">This </w:t>
      </w:r>
      <w:proofErr w:type="spellStart"/>
      <w:r w:rsidR="00940A89" w:rsidRPr="00940A89">
        <w:t>AusPAR</w:t>
      </w:r>
      <w:proofErr w:type="spellEnd"/>
      <w:r w:rsidR="00940A89" w:rsidRPr="00940A89">
        <w:t xml:space="preserve"> describes the application by </w:t>
      </w:r>
      <w:r w:rsidR="005F03A7" w:rsidRPr="005F03A7">
        <w:t xml:space="preserve">Novartis Pharmaceuticals Australia Pty Ltd </w:t>
      </w:r>
      <w:r w:rsidR="00940A89" w:rsidRPr="00940A89">
        <w:t xml:space="preserve">to </w:t>
      </w:r>
      <w:r w:rsidR="0072503E">
        <w:t>extend the indications for</w:t>
      </w:r>
      <w:r w:rsidR="00940A89" w:rsidRPr="00940A89">
        <w:t xml:space="preserve"> </w:t>
      </w:r>
      <w:proofErr w:type="spellStart"/>
      <w:r w:rsidR="005F03A7" w:rsidRPr="005F03A7">
        <w:t>Xolair</w:t>
      </w:r>
      <w:proofErr w:type="spellEnd"/>
      <w:r w:rsidR="005F03A7">
        <w:t xml:space="preserve"> </w:t>
      </w:r>
      <w:r w:rsidR="005F03A7" w:rsidRPr="005F03A7">
        <w:t>(</w:t>
      </w:r>
      <w:proofErr w:type="spellStart"/>
      <w:r w:rsidR="005F03A7" w:rsidRPr="005F03A7">
        <w:t>Omalizumab</w:t>
      </w:r>
      <w:proofErr w:type="spellEnd"/>
      <w:r w:rsidR="005F03A7" w:rsidRPr="005F03A7">
        <w:t xml:space="preserve">) </w:t>
      </w:r>
      <w:r w:rsidR="0072503E">
        <w:t>as follows</w:t>
      </w:r>
      <w:r w:rsidR="005F03A7">
        <w:t>;</w:t>
      </w:r>
    </w:p>
    <w:p w:rsidR="004A7BFB" w:rsidRDefault="005F03A7" w:rsidP="004A7BFB">
      <w:pPr>
        <w:ind w:left="720"/>
      </w:pPr>
      <w:proofErr w:type="spellStart"/>
      <w:r w:rsidRPr="005F03A7">
        <w:rPr>
          <w:i/>
        </w:rPr>
        <w:t>Xolair</w:t>
      </w:r>
      <w:proofErr w:type="spellEnd"/>
      <w:r w:rsidRPr="005F03A7">
        <w:rPr>
          <w:i/>
        </w:rPr>
        <w:t xml:space="preserve"> (</w:t>
      </w:r>
      <w:proofErr w:type="spellStart"/>
      <w:r w:rsidRPr="005F03A7">
        <w:rPr>
          <w:i/>
        </w:rPr>
        <w:t>Omalizumab</w:t>
      </w:r>
      <w:proofErr w:type="spellEnd"/>
      <w:r w:rsidRPr="005F03A7">
        <w:rPr>
          <w:i/>
        </w:rPr>
        <w:t>) is indicated for adults and adolescents (12 years of age and above) with chromic idiopathic urticarial who remain symptomatic despite H1 antihistamine treatment.</w:t>
      </w:r>
      <w:r w:rsidR="00940A89" w:rsidRPr="00940A89">
        <w:t>’</w:t>
      </w:r>
    </w:p>
    <w:p w:rsidR="004A7BFB" w:rsidRDefault="004A7BFB" w:rsidP="004A7BFB">
      <w:r>
        <w:lastRenderedPageBreak/>
        <w:t xml:space="preserve">At the time of this submission </w:t>
      </w:r>
      <w:proofErr w:type="spellStart"/>
      <w:r>
        <w:t>X</w:t>
      </w:r>
      <w:r w:rsidR="00F13C89">
        <w:t>olai</w:t>
      </w:r>
      <w:r>
        <w:t>r</w:t>
      </w:r>
      <w:proofErr w:type="spellEnd"/>
      <w:r>
        <w:t xml:space="preserve"> was currently approved for the indication:</w:t>
      </w:r>
    </w:p>
    <w:p w:rsidR="004A7BFB" w:rsidRPr="00760F91" w:rsidRDefault="004A7BFB" w:rsidP="00760F91">
      <w:pPr>
        <w:ind w:left="720"/>
        <w:rPr>
          <w:i/>
        </w:rPr>
      </w:pPr>
      <w:proofErr w:type="spellStart"/>
      <w:r w:rsidRPr="00760F91">
        <w:rPr>
          <w:i/>
        </w:rPr>
        <w:t>Xolair</w:t>
      </w:r>
      <w:proofErr w:type="spellEnd"/>
      <w:r w:rsidRPr="00760F91">
        <w:rPr>
          <w:i/>
        </w:rPr>
        <w:t xml:space="preserve"> is indicated for the management of adult and adolescent patients with moderate to severe allergic asthma, who are already being treated with inhaled steroids, and who have serum immunoglobulin E levels corresponding to the recommended dose range (see table 9 under ‘Dosage and Administration’).</w:t>
      </w:r>
    </w:p>
    <w:p w:rsidR="00BD2407" w:rsidRDefault="00A24217" w:rsidP="005B1F12">
      <w:proofErr w:type="spellStart"/>
      <w:r w:rsidRPr="00A24217">
        <w:t>Urticaria</w:t>
      </w:r>
      <w:proofErr w:type="spellEnd"/>
      <w:r w:rsidRPr="00A24217">
        <w:t xml:space="preserve"> is a disorder of the skin character</w:t>
      </w:r>
      <w:r w:rsidR="005B1F12">
        <w:t>ise</w:t>
      </w:r>
      <w:r w:rsidRPr="00A24217">
        <w:t xml:space="preserve">d by oedema of the dermis. It appears as raised, well demarcated, papules or wheals that are either erythematous or pale with an erythematous border. Individual lesions appear and disappear rapidly, vary in size and are intensely itchy. </w:t>
      </w:r>
      <w:proofErr w:type="spellStart"/>
      <w:r w:rsidRPr="00A24217">
        <w:t>Urticaria</w:t>
      </w:r>
      <w:proofErr w:type="spellEnd"/>
      <w:r w:rsidRPr="00A24217">
        <w:t xml:space="preserve"> is often associated with angioedema, which is due to oedema in subcutaneous tissues.</w:t>
      </w:r>
      <w:r w:rsidR="00BD2407">
        <w:t xml:space="preserve"> </w:t>
      </w:r>
      <w:proofErr w:type="spellStart"/>
      <w:r w:rsidR="005B1F12" w:rsidRPr="005B1F12">
        <w:t>Urticaria</w:t>
      </w:r>
      <w:proofErr w:type="spellEnd"/>
      <w:r w:rsidR="005B1F12" w:rsidRPr="005B1F12">
        <w:t xml:space="preserve"> is caused by the release of vasoactive mediators, principally histamine, from mast cells and basophils which cause an increase in vascular permeability, vasodilation and itch.</w:t>
      </w:r>
    </w:p>
    <w:p w:rsidR="00A24217" w:rsidRPr="00A24217" w:rsidRDefault="008B206C" w:rsidP="00A24217">
      <w:r w:rsidRPr="008B206C">
        <w:t xml:space="preserve">Chronic </w:t>
      </w:r>
      <w:proofErr w:type="spellStart"/>
      <w:r w:rsidRPr="008B206C">
        <w:t>urticaria</w:t>
      </w:r>
      <w:proofErr w:type="spellEnd"/>
      <w:r w:rsidRPr="008B206C">
        <w:t xml:space="preserve"> is arbitrarily defined as </w:t>
      </w:r>
      <w:proofErr w:type="spellStart"/>
      <w:r w:rsidRPr="008B206C">
        <w:t>urticaria</w:t>
      </w:r>
      <w:proofErr w:type="spellEnd"/>
      <w:r w:rsidRPr="008B206C">
        <w:t xml:space="preserve"> lasting longer than six weeks. Physical stimuli may be a cause in some subjects. However, unlike acute </w:t>
      </w:r>
      <w:proofErr w:type="spellStart"/>
      <w:r w:rsidRPr="008B206C">
        <w:t>urticaria</w:t>
      </w:r>
      <w:proofErr w:type="spellEnd"/>
      <w:r w:rsidRPr="008B206C">
        <w:t xml:space="preserve">, an </w:t>
      </w:r>
      <w:r w:rsidR="0083510F">
        <w:t>i</w:t>
      </w:r>
      <w:r w:rsidR="001C7DCA" w:rsidRPr="001C7DCA">
        <w:t xml:space="preserve">mmunoglobulin E </w:t>
      </w:r>
      <w:r w:rsidR="001C7DCA">
        <w:t>(</w:t>
      </w:r>
      <w:proofErr w:type="spellStart"/>
      <w:r w:rsidRPr="008B206C">
        <w:t>IgE</w:t>
      </w:r>
      <w:proofErr w:type="spellEnd"/>
      <w:r w:rsidR="001C7DCA">
        <w:t xml:space="preserve">) </w:t>
      </w:r>
      <w:r w:rsidRPr="008B206C">
        <w:t xml:space="preserve">mediated response to a foreign antigen is not thought to be a causative </w:t>
      </w:r>
      <w:bookmarkStart w:id="15" w:name="_Ref420502241"/>
      <w:r w:rsidR="0072503E">
        <w:t xml:space="preserve">mechanism for chronic </w:t>
      </w:r>
      <w:proofErr w:type="spellStart"/>
      <w:r w:rsidR="0072503E">
        <w:t>urticaria</w:t>
      </w:r>
      <w:proofErr w:type="spellEnd"/>
      <w:r w:rsidR="0072503E">
        <w:t>.</w:t>
      </w:r>
      <w:r w:rsidR="00841A9C">
        <w:rPr>
          <w:rStyle w:val="FootnoteReference"/>
        </w:rPr>
        <w:footnoteReference w:id="1"/>
      </w:r>
      <w:bookmarkEnd w:id="15"/>
      <w:r w:rsidRPr="008B206C">
        <w:t xml:space="preserve"> In a significant proportion of patients, chronic </w:t>
      </w:r>
      <w:proofErr w:type="spellStart"/>
      <w:r w:rsidRPr="008B206C">
        <w:t>urticaria</w:t>
      </w:r>
      <w:proofErr w:type="spellEnd"/>
      <w:r w:rsidRPr="008B206C">
        <w:t xml:space="preserve"> is thought to be due to auto-immunity, with autoantibodies directed against the </w:t>
      </w:r>
      <w:r w:rsidR="001C7DCA" w:rsidRPr="001C7DCA">
        <w:t xml:space="preserve">high affinity </w:t>
      </w:r>
      <w:proofErr w:type="spellStart"/>
      <w:r w:rsidR="001C7DCA" w:rsidRPr="001C7DCA">
        <w:t>IgE</w:t>
      </w:r>
      <w:proofErr w:type="spellEnd"/>
      <w:r w:rsidR="001C7DCA" w:rsidRPr="001C7DCA">
        <w:t xml:space="preserve"> receptor located on mast cell/basophil cell membranes </w:t>
      </w:r>
      <w:r w:rsidR="001C7DCA">
        <w:t>(</w:t>
      </w:r>
      <w:r w:rsidRPr="008B206C">
        <w:t xml:space="preserve">FcεR1 </w:t>
      </w:r>
      <w:r w:rsidR="001C7DCA">
        <w:t>(</w:t>
      </w:r>
      <w:r w:rsidRPr="008B206C">
        <w:t>receptor</w:t>
      </w:r>
      <w:r w:rsidR="001C7DCA">
        <w:t>))</w:t>
      </w:r>
      <w:r w:rsidRPr="008B206C">
        <w:t xml:space="preserve"> or </w:t>
      </w:r>
      <w:proofErr w:type="spellStart"/>
      <w:r w:rsidRPr="008B206C">
        <w:t>IgE</w:t>
      </w:r>
      <w:proofErr w:type="spellEnd"/>
      <w:r w:rsidRPr="008B206C">
        <w:t xml:space="preserve"> on the mast cell/basophil cell membrane, resulting in the re</w:t>
      </w:r>
      <w:r w:rsidR="00841A9C">
        <w:t>lease of vasoactive mediators</w:t>
      </w:r>
      <w:r w:rsidR="0072503E">
        <w:t>.</w:t>
      </w:r>
      <w:r w:rsidR="00841A9C" w:rsidRPr="00841A9C">
        <w:rPr>
          <w:vertAlign w:val="superscript"/>
        </w:rPr>
        <w:fldChar w:fldCharType="begin"/>
      </w:r>
      <w:r w:rsidR="00841A9C" w:rsidRPr="00841A9C">
        <w:rPr>
          <w:vertAlign w:val="superscript"/>
        </w:rPr>
        <w:instrText xml:space="preserve"> NOTEREF _Ref420502241 \h </w:instrText>
      </w:r>
      <w:r w:rsidR="00841A9C">
        <w:rPr>
          <w:vertAlign w:val="superscript"/>
        </w:rPr>
        <w:instrText xml:space="preserve"> \* MERGEFORMAT </w:instrText>
      </w:r>
      <w:r w:rsidR="00841A9C" w:rsidRPr="00841A9C">
        <w:rPr>
          <w:vertAlign w:val="superscript"/>
        </w:rPr>
      </w:r>
      <w:r w:rsidR="00841A9C" w:rsidRPr="00841A9C">
        <w:rPr>
          <w:vertAlign w:val="superscript"/>
        </w:rPr>
        <w:fldChar w:fldCharType="separate"/>
      </w:r>
      <w:r w:rsidR="00A873FA">
        <w:rPr>
          <w:vertAlign w:val="superscript"/>
        </w:rPr>
        <w:t>1</w:t>
      </w:r>
      <w:r w:rsidR="00841A9C" w:rsidRPr="00841A9C">
        <w:rPr>
          <w:vertAlign w:val="superscript"/>
        </w:rPr>
        <w:fldChar w:fldCharType="end"/>
      </w:r>
      <w:r w:rsidR="00841A9C">
        <w:rPr>
          <w:rStyle w:val="FootnoteReference"/>
        </w:rPr>
        <w:t>,</w:t>
      </w:r>
      <w:r w:rsidR="00841A9C">
        <w:rPr>
          <w:rStyle w:val="FootnoteReference"/>
        </w:rPr>
        <w:footnoteReference w:id="2"/>
      </w:r>
      <w:r w:rsidRPr="008B206C">
        <w:t xml:space="preserve"> In another significant proportion no cause can be identified.</w:t>
      </w:r>
    </w:p>
    <w:p w:rsidR="004065FC" w:rsidRDefault="006E484F" w:rsidP="006E484F">
      <w:proofErr w:type="spellStart"/>
      <w:r>
        <w:t>Omolizumab</w:t>
      </w:r>
      <w:proofErr w:type="spellEnd"/>
      <w:r>
        <w:t xml:space="preserve"> (</w:t>
      </w:r>
      <w:proofErr w:type="spellStart"/>
      <w:r>
        <w:t>rch</w:t>
      </w:r>
      <w:proofErr w:type="spellEnd"/>
      <w:r>
        <w:t xml:space="preserve">) is a recombinant </w:t>
      </w:r>
      <w:r w:rsidR="0089197F">
        <w:t>d</w:t>
      </w:r>
      <w:r w:rsidR="0089197F" w:rsidRPr="0089197F">
        <w:t>eoxyribonucleic acid</w:t>
      </w:r>
      <w:r w:rsidR="0089197F">
        <w:t xml:space="preserve"> (DNA)</w:t>
      </w:r>
      <w:r w:rsidR="005B321B">
        <w:t xml:space="preserve"> </w:t>
      </w:r>
      <w:r>
        <w:t>derived human</w:t>
      </w:r>
      <w:r w:rsidR="005B1F12">
        <w:t>ise</w:t>
      </w:r>
      <w:r>
        <w:t xml:space="preserve">d monoclonal antibody </w:t>
      </w:r>
      <w:r w:rsidR="004A7BFB">
        <w:t>produced</w:t>
      </w:r>
      <w:r>
        <w:t xml:space="preserve"> in Chinese hamster ovary cells that selectively binds to </w:t>
      </w:r>
      <w:proofErr w:type="spellStart"/>
      <w:r w:rsidR="001C7DCA">
        <w:t>IgE</w:t>
      </w:r>
      <w:proofErr w:type="spellEnd"/>
      <w:r>
        <w:t xml:space="preserve">. </w:t>
      </w:r>
      <w:r w:rsidR="009467A7">
        <w:t>It</w:t>
      </w:r>
      <w:r w:rsidR="00EB0B1A">
        <w:t xml:space="preserve"> binds to </w:t>
      </w:r>
      <w:proofErr w:type="spellStart"/>
      <w:r w:rsidR="00EB0B1A">
        <w:t>IgE</w:t>
      </w:r>
      <w:proofErr w:type="spellEnd"/>
      <w:r w:rsidR="00EB0B1A">
        <w:t xml:space="preserve"> at the same site as the high affinity </w:t>
      </w:r>
      <w:r w:rsidR="00EB0B1A" w:rsidRPr="00EB0B1A">
        <w:t>FcεR1</w:t>
      </w:r>
      <w:r w:rsidR="00EB0B1A">
        <w:t xml:space="preserve"> receptor, thereby reducing the</w:t>
      </w:r>
      <w:r w:rsidR="004A7BFB">
        <w:t xml:space="preserve"> </w:t>
      </w:r>
      <w:r w:rsidR="00EB0B1A">
        <w:t xml:space="preserve">amount of free </w:t>
      </w:r>
      <w:proofErr w:type="spellStart"/>
      <w:r w:rsidR="00EB0B1A">
        <w:t>IgE</w:t>
      </w:r>
      <w:proofErr w:type="spellEnd"/>
      <w:r w:rsidR="00EB0B1A">
        <w:t xml:space="preserve"> that is available to bind that receptor</w:t>
      </w:r>
      <w:r w:rsidR="0083510F">
        <w:t>.</w:t>
      </w:r>
    </w:p>
    <w:p w:rsidR="009467A7" w:rsidRDefault="005B321B" w:rsidP="005F03A7">
      <w:r>
        <w:t>P</w:t>
      </w:r>
      <w:r w:rsidR="006E484F">
        <w:t>ossi</w:t>
      </w:r>
      <w:r w:rsidR="004A7BFB">
        <w:t xml:space="preserve">ble mechanisms </w:t>
      </w:r>
      <w:r>
        <w:t xml:space="preserve">of action for </w:t>
      </w:r>
      <w:proofErr w:type="spellStart"/>
      <w:r>
        <w:t>omalizumab</w:t>
      </w:r>
      <w:proofErr w:type="spellEnd"/>
      <w:r>
        <w:t xml:space="preserve"> </w:t>
      </w:r>
      <w:r w:rsidR="004A7BFB">
        <w:t xml:space="preserve">in </w:t>
      </w:r>
      <w:r w:rsidR="0089197F">
        <w:t>c</w:t>
      </w:r>
      <w:r w:rsidR="0089197F" w:rsidRPr="0089197F">
        <w:t xml:space="preserve">hronic idiopathic </w:t>
      </w:r>
      <w:proofErr w:type="spellStart"/>
      <w:r w:rsidR="0089197F" w:rsidRPr="0089197F">
        <w:t>urticaria</w:t>
      </w:r>
      <w:proofErr w:type="spellEnd"/>
      <w:r w:rsidR="0089197F" w:rsidRPr="0089197F">
        <w:t xml:space="preserve"> </w:t>
      </w:r>
      <w:r w:rsidR="0089197F">
        <w:t>(</w:t>
      </w:r>
      <w:r w:rsidR="004A7BFB">
        <w:t>CIU</w:t>
      </w:r>
      <w:r w:rsidR="0089197F">
        <w:t>)</w:t>
      </w:r>
      <w:r>
        <w:t xml:space="preserve"> </w:t>
      </w:r>
      <w:r w:rsidR="009467A7">
        <w:t>are</w:t>
      </w:r>
    </w:p>
    <w:p w:rsidR="009467A7" w:rsidRDefault="006E484F" w:rsidP="009467A7">
      <w:pPr>
        <w:pStyle w:val="ListBullet"/>
      </w:pPr>
      <w:r>
        <w:t xml:space="preserve">the drug lowers systemic </w:t>
      </w:r>
      <w:proofErr w:type="spellStart"/>
      <w:r>
        <w:t>IgE</w:t>
      </w:r>
      <w:proofErr w:type="spellEnd"/>
      <w:r>
        <w:t xml:space="preserve"> levels, resulting in </w:t>
      </w:r>
      <w:r w:rsidR="00022DF8">
        <w:t xml:space="preserve">down </w:t>
      </w:r>
      <w:r w:rsidRPr="006E484F">
        <w:t>regulation of a large percentage of surface FcεR1, thereby decreasing downstream signalling</w:t>
      </w:r>
    </w:p>
    <w:p w:rsidR="006E484F" w:rsidRDefault="009467A7" w:rsidP="009467A7">
      <w:pPr>
        <w:pStyle w:val="ListBullet"/>
      </w:pPr>
      <w:proofErr w:type="gramStart"/>
      <w:r>
        <w:t>the</w:t>
      </w:r>
      <w:proofErr w:type="gramEnd"/>
      <w:r>
        <w:t xml:space="preserve"> </w:t>
      </w:r>
      <w:r w:rsidR="006E484F">
        <w:t>l</w:t>
      </w:r>
      <w:r w:rsidR="006E484F" w:rsidRPr="006E484F">
        <w:t xml:space="preserve">owering of circulating </w:t>
      </w:r>
      <w:proofErr w:type="spellStart"/>
      <w:r w:rsidR="006E484F" w:rsidRPr="006E484F">
        <w:t>IgE</w:t>
      </w:r>
      <w:proofErr w:type="spellEnd"/>
      <w:r w:rsidR="006E484F" w:rsidRPr="006E484F">
        <w:t xml:space="preserve"> leads to non-specific desensit</w:t>
      </w:r>
      <w:r w:rsidR="005B321B">
        <w:t>isation of cutaneous mast cells</w:t>
      </w:r>
      <w:r>
        <w:t>.</w:t>
      </w:r>
    </w:p>
    <w:p w:rsidR="008B206C" w:rsidRPr="008C4485" w:rsidRDefault="008B206C" w:rsidP="00940A89">
      <w:r w:rsidRPr="008B206C">
        <w:t>The indication sought by the sponsor in this submission is for ‘</w:t>
      </w:r>
      <w:r w:rsidRPr="007B340D">
        <w:rPr>
          <w:i/>
        </w:rPr>
        <w:t xml:space="preserve">chronic idiopathic </w:t>
      </w:r>
      <w:proofErr w:type="spellStart"/>
      <w:r w:rsidRPr="007B340D">
        <w:rPr>
          <w:i/>
        </w:rPr>
        <w:t>urticaria</w:t>
      </w:r>
      <w:proofErr w:type="spellEnd"/>
      <w:r w:rsidRPr="008B206C">
        <w:t>’ (CIU). The sponsor indicates that this term includes not only patients with truly idiopathic disease, but also those who have the autoimmune form. In Europe the sponsor has used the term ‘</w:t>
      </w:r>
      <w:r w:rsidRPr="007B340D">
        <w:rPr>
          <w:i/>
        </w:rPr>
        <w:t xml:space="preserve">chronic spontaneous </w:t>
      </w:r>
      <w:proofErr w:type="spellStart"/>
      <w:r w:rsidRPr="007B340D">
        <w:rPr>
          <w:i/>
        </w:rPr>
        <w:t>urticaria</w:t>
      </w:r>
      <w:proofErr w:type="spellEnd"/>
      <w:r w:rsidRPr="008B206C">
        <w:t>’ to cover these two patient groups, which is consistent with a current European clinical practice guideline</w:t>
      </w:r>
      <w:proofErr w:type="gramStart"/>
      <w:r w:rsidR="00022DF8">
        <w:t>.</w:t>
      </w:r>
      <w:bookmarkStart w:id="16" w:name="_Ref420507470"/>
      <w:r w:rsidR="00B07DAB">
        <w:rPr>
          <w:rStyle w:val="FootnoteReference"/>
        </w:rPr>
        <w:footnoteReference w:id="3"/>
      </w:r>
      <w:bookmarkStart w:id="17" w:name="_Ref420507326"/>
      <w:bookmarkEnd w:id="16"/>
      <w:r w:rsidR="0072503E" w:rsidRPr="0072503E">
        <w:rPr>
          <w:vertAlign w:val="superscript"/>
        </w:rPr>
        <w:t>,</w:t>
      </w:r>
      <w:proofErr w:type="gramEnd"/>
      <w:r w:rsidR="00B07DAB">
        <w:rPr>
          <w:rStyle w:val="FootnoteReference"/>
        </w:rPr>
        <w:footnoteReference w:id="4"/>
      </w:r>
      <w:bookmarkEnd w:id="17"/>
    </w:p>
    <w:p w:rsidR="008E7846" w:rsidRPr="009E38B5" w:rsidRDefault="00386150" w:rsidP="009E38B5">
      <w:pPr>
        <w:pStyle w:val="Heading3"/>
      </w:pPr>
      <w:bookmarkStart w:id="18" w:name="_Toc314842485"/>
      <w:bookmarkStart w:id="19" w:name="_Toc247691504"/>
      <w:bookmarkStart w:id="20" w:name="_Toc426984849"/>
      <w:r w:rsidRPr="009E38B5">
        <w:t>Regulatory s</w:t>
      </w:r>
      <w:r w:rsidR="008E7846" w:rsidRPr="009E38B5">
        <w:t>tatus</w:t>
      </w:r>
      <w:bookmarkEnd w:id="18"/>
      <w:bookmarkEnd w:id="19"/>
      <w:bookmarkEnd w:id="20"/>
    </w:p>
    <w:p w:rsidR="00940A89" w:rsidRPr="0072503E" w:rsidRDefault="00940A89" w:rsidP="00E34A88">
      <w:pPr>
        <w:spacing w:before="0" w:line="240" w:lineRule="auto"/>
        <w:rPr>
          <w:rFonts w:asciiTheme="minorHAnsi" w:hAnsiTheme="minorHAnsi"/>
        </w:rPr>
      </w:pPr>
      <w:bookmarkStart w:id="21" w:name="_Toc247691505"/>
      <w:bookmarkStart w:id="22" w:name="_Toc314842486"/>
      <w:r w:rsidRPr="0072503E">
        <w:t>The product received initial registration on the Australian Registe</w:t>
      </w:r>
      <w:r w:rsidR="00E34A88" w:rsidRPr="0072503E">
        <w:t>r of Therapeutic Goods (ARTG)</w:t>
      </w:r>
      <w:r w:rsidR="005F03A7" w:rsidRPr="0072503E">
        <w:rPr>
          <w:rFonts w:asciiTheme="minorHAnsi" w:hAnsiTheme="minorHAnsi"/>
        </w:rPr>
        <w:t xml:space="preserve"> in </w:t>
      </w:r>
      <w:r w:rsidR="00E34A88" w:rsidRPr="0072503E">
        <w:rPr>
          <w:rFonts w:asciiTheme="minorHAnsi" w:hAnsiTheme="minorHAnsi"/>
        </w:rPr>
        <w:t>June</w:t>
      </w:r>
      <w:r w:rsidR="005F03A7" w:rsidRPr="0072503E">
        <w:rPr>
          <w:rFonts w:asciiTheme="minorHAnsi" w:hAnsiTheme="minorHAnsi"/>
        </w:rPr>
        <w:t>2002</w:t>
      </w:r>
      <w:r w:rsidR="0072503E" w:rsidRPr="0072503E">
        <w:t xml:space="preserve"> </w:t>
      </w:r>
      <w:r w:rsidR="0072503E" w:rsidRPr="0072503E">
        <w:rPr>
          <w:rFonts w:asciiTheme="minorHAnsi" w:hAnsiTheme="minorHAnsi"/>
        </w:rPr>
        <w:t>for use in moderate allergic asthma</w:t>
      </w:r>
      <w:r w:rsidR="0072503E">
        <w:rPr>
          <w:rFonts w:asciiTheme="minorHAnsi" w:hAnsiTheme="minorHAnsi"/>
        </w:rPr>
        <w:t>.</w:t>
      </w:r>
      <w:r w:rsidR="005F03A7" w:rsidRPr="0072503E">
        <w:rPr>
          <w:rFonts w:asciiTheme="minorHAnsi" w:hAnsiTheme="minorHAnsi"/>
        </w:rPr>
        <w:t xml:space="preserve"> </w:t>
      </w:r>
      <w:r w:rsidR="0072503E" w:rsidRPr="0072503E">
        <w:rPr>
          <w:rFonts w:asciiTheme="minorHAnsi" w:hAnsiTheme="minorHAnsi"/>
        </w:rPr>
        <w:t xml:space="preserve">It was registered for use in severe allergic asthma in 2005. A new strength was registered in </w:t>
      </w:r>
      <w:r w:rsidR="0072503E">
        <w:rPr>
          <w:rFonts w:asciiTheme="minorHAnsi" w:hAnsiTheme="minorHAnsi"/>
        </w:rPr>
        <w:t>January 2006</w:t>
      </w:r>
      <w:r w:rsidR="00E34A88" w:rsidRPr="0072503E">
        <w:rPr>
          <w:rFonts w:asciiTheme="minorHAnsi" w:hAnsiTheme="minorHAnsi"/>
        </w:rPr>
        <w:t xml:space="preserve"> </w:t>
      </w:r>
      <w:r w:rsidR="005F03A7" w:rsidRPr="0072503E">
        <w:rPr>
          <w:rFonts w:asciiTheme="minorHAnsi" w:hAnsiTheme="minorHAnsi"/>
        </w:rPr>
        <w:t xml:space="preserve">and </w:t>
      </w:r>
      <w:r w:rsidR="0072503E">
        <w:rPr>
          <w:rFonts w:asciiTheme="minorHAnsi" w:hAnsiTheme="minorHAnsi"/>
        </w:rPr>
        <w:t>a new presentation was included i</w:t>
      </w:r>
      <w:r w:rsidR="00E34A88" w:rsidRPr="0072503E">
        <w:rPr>
          <w:rFonts w:asciiTheme="minorHAnsi" w:hAnsiTheme="minorHAnsi"/>
        </w:rPr>
        <w:t>n August 2013</w:t>
      </w:r>
      <w:r w:rsidR="005F03A7" w:rsidRPr="0072503E">
        <w:rPr>
          <w:rFonts w:asciiTheme="minorHAnsi" w:hAnsiTheme="minorHAnsi"/>
        </w:rPr>
        <w:t>.</w:t>
      </w:r>
    </w:p>
    <w:p w:rsidR="009034B5" w:rsidRDefault="009034B5" w:rsidP="009034B5">
      <w:r w:rsidRPr="00940A89">
        <w:t>At the time the TGA considered this application, a similar applica</w:t>
      </w:r>
      <w:r>
        <w:t>tion had been approved</w:t>
      </w:r>
      <w:r w:rsidRPr="00940A89">
        <w:t xml:space="preserve"> in </w:t>
      </w:r>
      <w:r>
        <w:t>EU (28 February 2014), USA (21 March 2014), Canada (26 August 2014) and Switzerland (14 August 2014)</w:t>
      </w:r>
      <w:r w:rsidRPr="00940A89">
        <w:t xml:space="preserve"> </w:t>
      </w:r>
      <w:r>
        <w:t xml:space="preserve">and </w:t>
      </w:r>
      <w:r w:rsidRPr="00940A89">
        <w:t>was under co</w:t>
      </w:r>
      <w:r>
        <w:t>nsideration in Singapore.</w:t>
      </w:r>
    </w:p>
    <w:p w:rsidR="00914A38" w:rsidRPr="009E38B5" w:rsidRDefault="00914A38" w:rsidP="009E38B5">
      <w:pPr>
        <w:pStyle w:val="Heading4"/>
      </w:pPr>
      <w:r w:rsidRPr="009E38B5">
        <w:lastRenderedPageBreak/>
        <w:t>Overseas status</w:t>
      </w:r>
    </w:p>
    <w:p w:rsidR="00914A38" w:rsidRPr="00914A38" w:rsidRDefault="00914A38" w:rsidP="00914A38">
      <w:r w:rsidRPr="00914A38">
        <w:t xml:space="preserve">The FDA has approved use of </w:t>
      </w:r>
      <w:proofErr w:type="spellStart"/>
      <w:r w:rsidRPr="00914A38">
        <w:t>omalizumab</w:t>
      </w:r>
      <w:proofErr w:type="spellEnd"/>
      <w:r w:rsidRPr="00914A38">
        <w:t xml:space="preserve"> as follows (</w:t>
      </w:r>
      <w:r w:rsidR="009034B5">
        <w:t xml:space="preserve">as of </w:t>
      </w:r>
      <w:r w:rsidRPr="00914A38">
        <w:t>24.6.2014):</w:t>
      </w:r>
    </w:p>
    <w:p w:rsidR="00914A38" w:rsidRPr="00914A38" w:rsidRDefault="00914A38" w:rsidP="00914A38">
      <w:pPr>
        <w:rPr>
          <w:i/>
        </w:rPr>
      </w:pPr>
      <w:proofErr w:type="spellStart"/>
      <w:r w:rsidRPr="00914A38">
        <w:rPr>
          <w:i/>
        </w:rPr>
        <w:t>Xolair</w:t>
      </w:r>
      <w:proofErr w:type="spellEnd"/>
      <w:r w:rsidRPr="00914A38">
        <w:rPr>
          <w:i/>
        </w:rPr>
        <w:t xml:space="preserve"> is an a</w:t>
      </w:r>
      <w:r w:rsidR="001C7DCA">
        <w:rPr>
          <w:i/>
        </w:rPr>
        <w:t>nti-</w:t>
      </w:r>
      <w:proofErr w:type="spellStart"/>
      <w:r w:rsidR="001C7DCA">
        <w:rPr>
          <w:i/>
        </w:rPr>
        <w:t>IgE</w:t>
      </w:r>
      <w:proofErr w:type="spellEnd"/>
      <w:r w:rsidR="001C7DCA">
        <w:rPr>
          <w:i/>
        </w:rPr>
        <w:t xml:space="preserve"> antibody indicated for:</w:t>
      </w:r>
    </w:p>
    <w:p w:rsidR="00914A38" w:rsidRPr="00760F91" w:rsidRDefault="00914A38" w:rsidP="00760F91">
      <w:pPr>
        <w:pStyle w:val="ListBullet2"/>
        <w:rPr>
          <w:i/>
        </w:rPr>
      </w:pPr>
      <w:r w:rsidRPr="00760F91">
        <w:rPr>
          <w:i/>
        </w:rPr>
        <w:t>Moderate to severe persistent asthma in patients with a positive skin test or in vitro reactivity to a perennial aeroallergen and symptoms that are inadequately controlled with inhaled corticosteroids</w:t>
      </w:r>
    </w:p>
    <w:p w:rsidR="00914A38" w:rsidRPr="00760F91" w:rsidRDefault="00914A38" w:rsidP="00760F91">
      <w:pPr>
        <w:pStyle w:val="ListBullet2"/>
        <w:rPr>
          <w:i/>
        </w:rPr>
      </w:pPr>
      <w:r w:rsidRPr="00760F91">
        <w:rPr>
          <w:i/>
        </w:rPr>
        <w:t xml:space="preserve">Chronic idiopathic </w:t>
      </w:r>
      <w:proofErr w:type="spellStart"/>
      <w:r w:rsidRPr="00760F91">
        <w:rPr>
          <w:i/>
        </w:rPr>
        <w:t>urticaria</w:t>
      </w:r>
      <w:proofErr w:type="spellEnd"/>
      <w:r w:rsidRPr="00760F91">
        <w:rPr>
          <w:i/>
        </w:rPr>
        <w:t xml:space="preserve"> in adults and adolescents (12 years of age and above) who remain symptomatic despite H1 antihistamine treatment</w:t>
      </w:r>
    </w:p>
    <w:p w:rsidR="00914A38" w:rsidRPr="00914A38" w:rsidRDefault="00914A38" w:rsidP="00914A38">
      <w:pPr>
        <w:rPr>
          <w:i/>
        </w:rPr>
      </w:pPr>
      <w:r w:rsidRPr="00914A38">
        <w:rPr>
          <w:i/>
        </w:rPr>
        <w:t xml:space="preserve">Important Limitations of use: </w:t>
      </w:r>
    </w:p>
    <w:p w:rsidR="00914A38" w:rsidRPr="00760F91" w:rsidRDefault="00914A38" w:rsidP="00760F91">
      <w:pPr>
        <w:pStyle w:val="ListBullet2"/>
        <w:rPr>
          <w:i/>
        </w:rPr>
      </w:pPr>
      <w:r w:rsidRPr="00760F91">
        <w:rPr>
          <w:i/>
        </w:rPr>
        <w:t xml:space="preserve">Not indicated for other allergic conditions or other forms of </w:t>
      </w:r>
      <w:proofErr w:type="spellStart"/>
      <w:r w:rsidRPr="00760F91">
        <w:rPr>
          <w:i/>
        </w:rPr>
        <w:t>urticaria</w:t>
      </w:r>
      <w:proofErr w:type="spellEnd"/>
      <w:r w:rsidRPr="00760F91">
        <w:rPr>
          <w:i/>
        </w:rPr>
        <w:t>.</w:t>
      </w:r>
    </w:p>
    <w:p w:rsidR="00914A38" w:rsidRPr="00760F91" w:rsidRDefault="00914A38" w:rsidP="00760F91">
      <w:pPr>
        <w:pStyle w:val="ListBullet2"/>
        <w:rPr>
          <w:i/>
        </w:rPr>
      </w:pPr>
      <w:r w:rsidRPr="00760F91">
        <w:rPr>
          <w:i/>
        </w:rPr>
        <w:t xml:space="preserve">Not indicated for acute bronchospasm or status </w:t>
      </w:r>
      <w:proofErr w:type="spellStart"/>
      <w:r w:rsidRPr="00760F91">
        <w:rPr>
          <w:i/>
        </w:rPr>
        <w:t>asthmaticus</w:t>
      </w:r>
      <w:proofErr w:type="spellEnd"/>
      <w:r w:rsidRPr="00760F91">
        <w:rPr>
          <w:i/>
        </w:rPr>
        <w:t>.</w:t>
      </w:r>
    </w:p>
    <w:p w:rsidR="00914A38" w:rsidRPr="00760F91" w:rsidRDefault="00914A38" w:rsidP="00760F91">
      <w:pPr>
        <w:pStyle w:val="ListBullet2"/>
        <w:rPr>
          <w:i/>
        </w:rPr>
      </w:pPr>
      <w:r w:rsidRPr="00760F91">
        <w:rPr>
          <w:i/>
        </w:rPr>
        <w:t xml:space="preserve">Not indicated for </w:t>
      </w:r>
      <w:proofErr w:type="spellStart"/>
      <w:r w:rsidRPr="00760F91">
        <w:rPr>
          <w:i/>
        </w:rPr>
        <w:t>pediatric</w:t>
      </w:r>
      <w:proofErr w:type="spellEnd"/>
      <w:r w:rsidRPr="00760F91">
        <w:rPr>
          <w:i/>
        </w:rPr>
        <w:t xml:space="preserve"> patients less than 12 years of age.</w:t>
      </w:r>
    </w:p>
    <w:p w:rsidR="00914A38" w:rsidRPr="00914A38" w:rsidRDefault="00914A38" w:rsidP="00914A38">
      <w:r w:rsidRPr="00914A38">
        <w:t>Dosing in the US is as follows:</w:t>
      </w:r>
    </w:p>
    <w:p w:rsidR="00914A38" w:rsidRPr="00914A38" w:rsidRDefault="00914A38" w:rsidP="00914A38">
      <w:r w:rsidRPr="00914A38">
        <w:t xml:space="preserve">Chronic Idiopathic </w:t>
      </w:r>
      <w:proofErr w:type="spellStart"/>
      <w:r w:rsidRPr="00914A38">
        <w:t>Urticaria</w:t>
      </w:r>
      <w:proofErr w:type="spellEnd"/>
      <w:r w:rsidRPr="00914A38">
        <w:t xml:space="preserve">: </w:t>
      </w:r>
      <w:proofErr w:type="spellStart"/>
      <w:r w:rsidRPr="00914A38">
        <w:t>Xolair</w:t>
      </w:r>
      <w:proofErr w:type="spellEnd"/>
      <w:r w:rsidRPr="00914A38">
        <w:t xml:space="preserve"> 150 or 300 mg </w:t>
      </w:r>
      <w:r w:rsidR="00C109C5">
        <w:t>s</w:t>
      </w:r>
      <w:r w:rsidR="00C109C5" w:rsidRPr="00C109C5">
        <w:t>ubcutaneous</w:t>
      </w:r>
      <w:r w:rsidR="00C109C5">
        <w:t xml:space="preserve"> (</w:t>
      </w:r>
      <w:r w:rsidRPr="00914A38">
        <w:t>SC</w:t>
      </w:r>
      <w:r w:rsidR="00C109C5">
        <w:t>)</w:t>
      </w:r>
      <w:r w:rsidRPr="00914A38">
        <w:t xml:space="preserve"> every 4 weeks. Dosing in CIU is not dependent on serum </w:t>
      </w:r>
      <w:proofErr w:type="spellStart"/>
      <w:r w:rsidRPr="00914A38">
        <w:t>IgE</w:t>
      </w:r>
      <w:proofErr w:type="spellEnd"/>
      <w:r w:rsidRPr="00914A38">
        <w:t xml:space="preserve"> level or body weight. The appropriate duration of therapy for CIU has not been evaluated. Periodically reassess </w:t>
      </w:r>
      <w:r w:rsidR="009467A7">
        <w:t>the need for continued therapy.</w:t>
      </w:r>
    </w:p>
    <w:p w:rsidR="00914A38" w:rsidRPr="00914A38" w:rsidRDefault="00914A38" w:rsidP="00914A38">
      <w:proofErr w:type="spellStart"/>
      <w:r w:rsidRPr="00914A38">
        <w:t>Xolair</w:t>
      </w:r>
      <w:proofErr w:type="spellEnd"/>
      <w:r w:rsidRPr="00914A38">
        <w:t xml:space="preserve"> is approved </w:t>
      </w:r>
      <w:r w:rsidR="009034B5">
        <w:t xml:space="preserve">in the EU </w:t>
      </w:r>
      <w:r w:rsidRPr="00914A38">
        <w:t>as follows (</w:t>
      </w:r>
      <w:r w:rsidR="009034B5">
        <w:t>as of</w:t>
      </w:r>
      <w:r w:rsidRPr="00914A38">
        <w:t xml:space="preserve"> 30.6.2014):</w:t>
      </w:r>
    </w:p>
    <w:p w:rsidR="00914A38" w:rsidRPr="00914A38" w:rsidRDefault="00914A38" w:rsidP="007B340D">
      <w:pPr>
        <w:ind w:left="720"/>
      </w:pPr>
      <w:r w:rsidRPr="00914A38">
        <w:rPr>
          <w:i/>
        </w:rPr>
        <w:t>Allergic asthma</w:t>
      </w:r>
      <w:r w:rsidR="00235B94">
        <w:t xml:space="preserve"> (</w:t>
      </w:r>
      <w:r w:rsidRPr="00914A38">
        <w:t>details not copied here; use is indicated in adults and children ≥6 y</w:t>
      </w:r>
      <w:r w:rsidR="00065416">
        <w:t>ea</w:t>
      </w:r>
      <w:r w:rsidR="00235B94">
        <w:t>rs)</w:t>
      </w:r>
    </w:p>
    <w:p w:rsidR="00914A38" w:rsidRPr="00914A38" w:rsidRDefault="00914A38" w:rsidP="007B340D">
      <w:pPr>
        <w:ind w:left="720"/>
      </w:pPr>
      <w:r w:rsidRPr="00914A38">
        <w:rPr>
          <w:i/>
        </w:rPr>
        <w:t xml:space="preserve">Chronic spontaneous </w:t>
      </w:r>
      <w:proofErr w:type="spellStart"/>
      <w:r w:rsidRPr="00914A38">
        <w:rPr>
          <w:i/>
        </w:rPr>
        <w:t>urticaria</w:t>
      </w:r>
      <w:proofErr w:type="spellEnd"/>
      <w:r w:rsidRPr="00914A38">
        <w:rPr>
          <w:i/>
        </w:rPr>
        <w:t xml:space="preserve"> (CSU)</w:t>
      </w:r>
      <w:r w:rsidR="00235B94">
        <w:t xml:space="preserve"> (approved 28.2.2014)</w:t>
      </w:r>
    </w:p>
    <w:p w:rsidR="00914A38" w:rsidRPr="00914A38" w:rsidRDefault="00914A38" w:rsidP="007B340D">
      <w:pPr>
        <w:ind w:left="720"/>
        <w:rPr>
          <w:i/>
        </w:rPr>
      </w:pPr>
      <w:proofErr w:type="spellStart"/>
      <w:r w:rsidRPr="00914A38">
        <w:rPr>
          <w:i/>
        </w:rPr>
        <w:t>Xolair</w:t>
      </w:r>
      <w:proofErr w:type="spellEnd"/>
      <w:r w:rsidRPr="00914A38">
        <w:rPr>
          <w:i/>
        </w:rPr>
        <w:t xml:space="preserve"> is indicated as add-on therapy for the treatment of chronic spontaneous </w:t>
      </w:r>
      <w:proofErr w:type="spellStart"/>
      <w:r w:rsidRPr="00914A38">
        <w:rPr>
          <w:i/>
        </w:rPr>
        <w:t>urticaria</w:t>
      </w:r>
      <w:proofErr w:type="spellEnd"/>
      <w:r w:rsidRPr="00914A38">
        <w:rPr>
          <w:i/>
        </w:rPr>
        <w:t xml:space="preserve"> in adult and adolescent (12 years and above) patients with inadequate response to H1 antihistamine treatment.</w:t>
      </w:r>
    </w:p>
    <w:p w:rsidR="00914A38" w:rsidRDefault="00914A38" w:rsidP="00940A89">
      <w:r w:rsidRPr="00914A38">
        <w:t xml:space="preserve">The recommended dose in Europe is: 300 mg by subcutaneous injection every 4 weeks (with advice for prescribers to periodically reassess the need for therapy and a caveat that clinical trial experience beyond 6 months </w:t>
      </w:r>
      <w:r w:rsidR="009467A7">
        <w:t>in this indication is limited).</w:t>
      </w:r>
    </w:p>
    <w:p w:rsidR="00D6181E" w:rsidRDefault="00D6181E" w:rsidP="00940A89">
      <w:proofErr w:type="spellStart"/>
      <w:r w:rsidRPr="00D6181E">
        <w:t>Omalizumab</w:t>
      </w:r>
      <w:proofErr w:type="spellEnd"/>
      <w:r w:rsidRPr="00D6181E">
        <w:t xml:space="preserve"> has not been designated by the TGA as an orphan drug.</w:t>
      </w:r>
    </w:p>
    <w:p w:rsidR="008E7846" w:rsidRPr="009E38B5" w:rsidRDefault="008E7846" w:rsidP="009E38B5">
      <w:pPr>
        <w:pStyle w:val="Heading3"/>
      </w:pPr>
      <w:bookmarkStart w:id="23" w:name="_Toc426984850"/>
      <w:r w:rsidRPr="009E38B5">
        <w:t xml:space="preserve">Product </w:t>
      </w:r>
      <w:r w:rsidR="00A131CC" w:rsidRPr="009E38B5">
        <w:t>i</w:t>
      </w:r>
      <w:r w:rsidRPr="009E38B5">
        <w:t>nformation</w:t>
      </w:r>
      <w:bookmarkEnd w:id="21"/>
      <w:bookmarkEnd w:id="22"/>
      <w:bookmarkEnd w:id="23"/>
    </w:p>
    <w:p w:rsidR="00940A89" w:rsidRDefault="00940A89" w:rsidP="00940A89">
      <w:pPr>
        <w:rPr>
          <w:b/>
          <w:bCs/>
        </w:rPr>
      </w:pPr>
      <w:bookmarkStart w:id="24" w:name="_Toc247691506"/>
      <w:bookmarkStart w:id="25" w:name="_Toc314842487"/>
      <w:r w:rsidRPr="00940A89">
        <w:t xml:space="preserve">The approved Product Information (PI) current at the time this </w:t>
      </w:r>
      <w:proofErr w:type="spellStart"/>
      <w:r w:rsidRPr="00940A89">
        <w:t>AusPAR</w:t>
      </w:r>
      <w:proofErr w:type="spellEnd"/>
      <w:r w:rsidRPr="00940A89">
        <w:t xml:space="preserve"> was prepared can be found as Attachment 1. For the most recent Product Information please refer to the TGA website at &lt;</w:t>
      </w:r>
      <w:hyperlink r:id="rId14" w:history="1">
        <w:r w:rsidR="00383221">
          <w:rPr>
            <w:rStyle w:val="Hyperlink"/>
          </w:rPr>
          <w:t>https://www.tga.gov.au/product-information-pi</w:t>
        </w:r>
      </w:hyperlink>
      <w:r w:rsidRPr="00940A89">
        <w:t>&gt;.</w:t>
      </w:r>
    </w:p>
    <w:p w:rsidR="008E7846" w:rsidRPr="009E38B5" w:rsidRDefault="008E7846" w:rsidP="009E38B5">
      <w:pPr>
        <w:pStyle w:val="Heading2"/>
      </w:pPr>
      <w:bookmarkStart w:id="26" w:name="_Toc426984851"/>
      <w:r w:rsidRPr="009E38B5">
        <w:t>II. Quality</w:t>
      </w:r>
      <w:bookmarkEnd w:id="1"/>
      <w:r w:rsidRPr="009E38B5">
        <w:t xml:space="preserve"> findings</w:t>
      </w:r>
      <w:bookmarkEnd w:id="24"/>
      <w:bookmarkEnd w:id="25"/>
      <w:bookmarkEnd w:id="26"/>
    </w:p>
    <w:p w:rsidR="008E7846" w:rsidRDefault="00940A89" w:rsidP="008E7846">
      <w:bookmarkStart w:id="27" w:name="_Toc247691507"/>
      <w:bookmarkStart w:id="28" w:name="_Toc314842488"/>
      <w:r w:rsidRPr="00940A89">
        <w:t>There was no requirement for a quality evaluation in a submission of this type.</w:t>
      </w:r>
      <w:bookmarkEnd w:id="27"/>
      <w:bookmarkEnd w:id="28"/>
    </w:p>
    <w:p w:rsidR="008E7846" w:rsidRPr="009E38B5" w:rsidRDefault="008E7846" w:rsidP="009E38B5">
      <w:pPr>
        <w:pStyle w:val="Heading2"/>
      </w:pPr>
      <w:bookmarkStart w:id="29" w:name="_Toc196046439"/>
      <w:bookmarkStart w:id="30" w:name="_Toc247691510"/>
      <w:bookmarkStart w:id="31" w:name="_Toc314842494"/>
      <w:bookmarkStart w:id="32" w:name="_Toc426984852"/>
      <w:r w:rsidRPr="009E38B5">
        <w:t>III. Nonclinical</w:t>
      </w:r>
      <w:bookmarkEnd w:id="29"/>
      <w:r w:rsidRPr="009E38B5">
        <w:t xml:space="preserve"> findings</w:t>
      </w:r>
      <w:bookmarkEnd w:id="30"/>
      <w:bookmarkEnd w:id="31"/>
      <w:bookmarkEnd w:id="32"/>
    </w:p>
    <w:p w:rsidR="00940A89" w:rsidRDefault="00940A89" w:rsidP="000E6196">
      <w:bookmarkStart w:id="33" w:name="_Toc247691511"/>
      <w:bookmarkStart w:id="34" w:name="_Toc314842495"/>
      <w:r>
        <w:t>There was no requirement for a nonclinical evaluation in a submission of this type.</w:t>
      </w:r>
    </w:p>
    <w:p w:rsidR="008E7846" w:rsidRPr="009E38B5" w:rsidRDefault="008E7846" w:rsidP="009E38B5">
      <w:pPr>
        <w:pStyle w:val="Heading2"/>
      </w:pPr>
      <w:bookmarkStart w:id="35" w:name="_Toc196046462"/>
      <w:bookmarkStart w:id="36" w:name="_Toc247691516"/>
      <w:bookmarkStart w:id="37" w:name="_Toc314842500"/>
      <w:bookmarkStart w:id="38" w:name="_Toc426984853"/>
      <w:bookmarkStart w:id="39" w:name="_Toc163441353"/>
      <w:bookmarkStart w:id="40" w:name="_Toc163441348"/>
      <w:bookmarkEnd w:id="33"/>
      <w:bookmarkEnd w:id="34"/>
      <w:r w:rsidRPr="009E38B5">
        <w:lastRenderedPageBreak/>
        <w:t>IV. Clinical</w:t>
      </w:r>
      <w:bookmarkEnd w:id="35"/>
      <w:r w:rsidRPr="009E38B5">
        <w:t xml:space="preserve"> </w:t>
      </w:r>
      <w:r w:rsidR="003A7F6C" w:rsidRPr="009E38B5">
        <w:t>f</w:t>
      </w:r>
      <w:r w:rsidRPr="009E38B5">
        <w:t>indings</w:t>
      </w:r>
      <w:bookmarkEnd w:id="36"/>
      <w:bookmarkEnd w:id="37"/>
      <w:bookmarkEnd w:id="38"/>
    </w:p>
    <w:p w:rsidR="00C80137" w:rsidRDefault="00C80137" w:rsidP="00D425BB">
      <w:bookmarkStart w:id="41"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Pr="009E38B5" w:rsidRDefault="008E7846" w:rsidP="009E38B5">
      <w:pPr>
        <w:pStyle w:val="Heading3"/>
      </w:pPr>
      <w:bookmarkStart w:id="42" w:name="_Toc247691517"/>
      <w:bookmarkStart w:id="43" w:name="_Toc314842501"/>
      <w:bookmarkStart w:id="44" w:name="_Toc426984854"/>
      <w:r w:rsidRPr="009E38B5">
        <w:t>Introduction</w:t>
      </w:r>
      <w:bookmarkEnd w:id="41"/>
      <w:bookmarkEnd w:id="42"/>
      <w:bookmarkEnd w:id="43"/>
      <w:bookmarkEnd w:id="44"/>
    </w:p>
    <w:p w:rsidR="00B52CBA" w:rsidRPr="00B52CBA" w:rsidRDefault="00B52CBA" w:rsidP="00B52CBA">
      <w:r w:rsidRPr="00B52CBA">
        <w:t xml:space="preserve">This is an abbreviated submission to extend the approved indications of </w:t>
      </w:r>
      <w:proofErr w:type="spellStart"/>
      <w:r w:rsidRPr="00B52CBA">
        <w:t>omalizumab</w:t>
      </w:r>
      <w:proofErr w:type="spellEnd"/>
      <w:r w:rsidRPr="00B52CBA">
        <w:t xml:space="preserve"> to include the treatment of chronic idiopathic </w:t>
      </w:r>
      <w:proofErr w:type="spellStart"/>
      <w:r w:rsidRPr="00B52CBA">
        <w:t>urticaria</w:t>
      </w:r>
      <w:proofErr w:type="spellEnd"/>
      <w:r w:rsidRPr="00B52CBA">
        <w:t>.</w:t>
      </w:r>
    </w:p>
    <w:p w:rsidR="00B52CBA" w:rsidRPr="00D6181E" w:rsidRDefault="00B52CBA" w:rsidP="00D6181E">
      <w:bookmarkStart w:id="45" w:name="_Toc196046464"/>
      <w:bookmarkStart w:id="46" w:name="_Toc247691518"/>
      <w:bookmarkStart w:id="47" w:name="_Toc314842502"/>
      <w:r w:rsidRPr="00D6181E">
        <w:t>The following dosage forms and stre</w:t>
      </w:r>
      <w:r w:rsidR="00873080">
        <w:t>ngths are currently registered:</w:t>
      </w:r>
    </w:p>
    <w:p w:rsidR="00B52CBA" w:rsidRPr="00D6181E" w:rsidRDefault="00B52CBA" w:rsidP="00D6181E">
      <w:pPr>
        <w:pStyle w:val="ListBullet"/>
      </w:pPr>
      <w:r w:rsidRPr="00D6181E">
        <w:t>Lyophilised powder for injection (single use vial), together with an ampoule of water for inje</w:t>
      </w:r>
      <w:r w:rsidR="008C4485">
        <w:t xml:space="preserve">ction to be used as a diluent; </w:t>
      </w:r>
      <w:r w:rsidRPr="00D6181E">
        <w:t>75 mg and 150 mg vials; and</w:t>
      </w:r>
    </w:p>
    <w:p w:rsidR="00B52CBA" w:rsidRPr="00D6181E" w:rsidRDefault="00B52CBA" w:rsidP="00D6181E">
      <w:pPr>
        <w:pStyle w:val="ListBullet"/>
      </w:pPr>
      <w:r w:rsidRPr="00D6181E">
        <w:t>Solution for injection in a pre-f</w:t>
      </w:r>
      <w:r w:rsidR="008C4485">
        <w:t xml:space="preserve">illed syringe; </w:t>
      </w:r>
      <w:r w:rsidR="00D6181E">
        <w:t>75 mg in 0.5 mL</w:t>
      </w:r>
      <w:r w:rsidR="008C4485">
        <w:t xml:space="preserve"> and 150 mg in 1.0mL</w:t>
      </w:r>
      <w:r w:rsidRPr="00D6181E">
        <w:t>.</w:t>
      </w:r>
    </w:p>
    <w:p w:rsidR="00B52CBA" w:rsidRPr="00D6181E" w:rsidRDefault="00B52CBA" w:rsidP="00D6181E">
      <w:r w:rsidRPr="00D6181E">
        <w:t>Only the 150 mg powder for injection presentation is curre</w:t>
      </w:r>
      <w:r w:rsidR="008C4485">
        <w:t xml:space="preserve">ntly marketed in Australia. </w:t>
      </w:r>
      <w:r w:rsidRPr="00D6181E">
        <w:t>No new dosage forms or strengths are proposed in the current submission.</w:t>
      </w:r>
    </w:p>
    <w:p w:rsidR="00B52CBA" w:rsidRPr="00D6181E" w:rsidRDefault="00B52CBA" w:rsidP="00D6181E">
      <w:r w:rsidRPr="00D6181E">
        <w:t>The proposed dosage for the new indication, as stated in the draft product information, is:</w:t>
      </w:r>
    </w:p>
    <w:p w:rsidR="00B52CBA" w:rsidRPr="00B52CBA" w:rsidRDefault="00D52FDB" w:rsidP="009467A7">
      <w:pPr>
        <w:ind w:left="720"/>
      </w:pPr>
      <w:r>
        <w:t>‘</w:t>
      </w:r>
      <w:r w:rsidR="00B52CBA" w:rsidRPr="00D6181E">
        <w:rPr>
          <w:i/>
        </w:rPr>
        <w:t>The recommended dose is 300 mg by subcutaneous injection every four weeks. Some patients may achieve control of their symptoms with a dose of 150 mg every four weeks.</w:t>
      </w:r>
      <w:r>
        <w:t>’</w:t>
      </w:r>
    </w:p>
    <w:p w:rsidR="00B52CBA" w:rsidRDefault="00D6181E" w:rsidP="00D6181E">
      <w:pPr>
        <w:ind w:left="1021" w:hanging="1021"/>
      </w:pPr>
      <w:r>
        <w:t xml:space="preserve">Comment: </w:t>
      </w:r>
      <w:r w:rsidR="00B52CBA" w:rsidRPr="00D6181E">
        <w:t xml:space="preserve">The proposed dosage regimen differs from that currently approved for allergic asthma, in which dosage is individualised according to the patient’s body weight and serum </w:t>
      </w:r>
      <w:proofErr w:type="spellStart"/>
      <w:r w:rsidR="00B52CBA" w:rsidRPr="00D6181E">
        <w:t>IgE</w:t>
      </w:r>
      <w:proofErr w:type="spellEnd"/>
      <w:r w:rsidR="00B52CBA" w:rsidRPr="00D6181E">
        <w:t xml:space="preserve"> level. </w:t>
      </w:r>
      <w:r w:rsidR="009034B5">
        <w:t xml:space="preserve">In allergic asthma, dose in a 4 </w:t>
      </w:r>
      <w:r w:rsidR="00B52CBA" w:rsidRPr="00D6181E">
        <w:t>week interval may vary between 150 and 750 mg.</w:t>
      </w:r>
    </w:p>
    <w:p w:rsidR="00605AD4" w:rsidRPr="009E38B5" w:rsidRDefault="00605AD4" w:rsidP="009E38B5">
      <w:pPr>
        <w:pStyle w:val="Heading4"/>
      </w:pPr>
      <w:r w:rsidRPr="009E38B5">
        <w:t xml:space="preserve">Clinical </w:t>
      </w:r>
      <w:r w:rsidR="00A131CC" w:rsidRPr="009E38B5">
        <w:t>r</w:t>
      </w:r>
      <w:r w:rsidRPr="009E38B5">
        <w:t>ationale</w:t>
      </w:r>
    </w:p>
    <w:p w:rsidR="0072012D" w:rsidRDefault="00B52CBA" w:rsidP="0072012D">
      <w:r w:rsidRPr="00B52CBA">
        <w:t>Prior to the sponsor’s clinical develop</w:t>
      </w:r>
      <w:r w:rsidR="00D6181E">
        <w:t xml:space="preserve">ment program, some investigator </w:t>
      </w:r>
      <w:r w:rsidRPr="00B52CBA">
        <w:t xml:space="preserve">initiated studies had shown benefit for </w:t>
      </w:r>
      <w:proofErr w:type="spellStart"/>
      <w:r w:rsidRPr="00B52CBA">
        <w:t>omalizumab</w:t>
      </w:r>
      <w:proofErr w:type="spellEnd"/>
      <w:r w:rsidRPr="00B52CBA">
        <w:t xml:space="preserve"> </w:t>
      </w:r>
      <w:r w:rsidR="0072012D" w:rsidRPr="00B52CBA">
        <w:t xml:space="preserve">in </w:t>
      </w:r>
      <w:proofErr w:type="gramStart"/>
      <w:r w:rsidR="0072012D" w:rsidRPr="00B52CBA">
        <w:t>CIU</w:t>
      </w:r>
      <w:r w:rsidR="0072012D">
        <w:t>.</w:t>
      </w:r>
      <w:r w:rsidR="0072012D">
        <w:rPr>
          <w:rStyle w:val="FootnoteReference"/>
        </w:rPr>
        <w:footnoteReference w:id="5"/>
      </w:r>
      <w:r w:rsidR="0072012D" w:rsidRPr="00600BF8">
        <w:rPr>
          <w:vertAlign w:val="superscript"/>
        </w:rPr>
        <w:t>,</w:t>
      </w:r>
      <w:r w:rsidR="0072012D" w:rsidRPr="00722A9F">
        <w:rPr>
          <w:rStyle w:val="FootnoteReference"/>
        </w:rPr>
        <w:footnoteReference w:id="6"/>
      </w:r>
      <w:r w:rsidR="0072012D" w:rsidRPr="00600BF8">
        <w:rPr>
          <w:vertAlign w:val="superscript"/>
        </w:rPr>
        <w:t>,</w:t>
      </w:r>
      <w:proofErr w:type="gramEnd"/>
      <w:r w:rsidR="0072012D">
        <w:rPr>
          <w:rStyle w:val="FootnoteReference"/>
        </w:rPr>
        <w:footnoteReference w:id="7"/>
      </w:r>
    </w:p>
    <w:p w:rsidR="00B07DAB" w:rsidRPr="00B52CBA" w:rsidRDefault="00B07DAB" w:rsidP="00B52CBA">
      <w:r w:rsidRPr="00B07DAB">
        <w:t xml:space="preserve">There is a consensus clinical practice guideline </w:t>
      </w:r>
      <w:r w:rsidR="0072012D">
        <w:t xml:space="preserve">on </w:t>
      </w:r>
      <w:proofErr w:type="spellStart"/>
      <w:r w:rsidR="0072012D">
        <w:t>urticaria</w:t>
      </w:r>
      <w:proofErr w:type="spellEnd"/>
      <w:r w:rsidR="0072012D">
        <w:t xml:space="preserve"> published in 2009</w:t>
      </w:r>
      <w:r w:rsidRPr="00B07DAB">
        <w:t xml:space="preserve"> and used by Australian clinical immunologists</w:t>
      </w:r>
      <w:r w:rsidR="0072012D">
        <w:t>.</w:t>
      </w:r>
      <w:r w:rsidR="006131ED" w:rsidRPr="006131ED">
        <w:rPr>
          <w:vertAlign w:val="superscript"/>
        </w:rPr>
        <w:fldChar w:fldCharType="begin"/>
      </w:r>
      <w:r w:rsidR="006131ED" w:rsidRPr="006131ED">
        <w:rPr>
          <w:vertAlign w:val="superscript"/>
        </w:rPr>
        <w:instrText xml:space="preserve"> NOTEREF _Ref420507326 \h </w:instrText>
      </w:r>
      <w:r w:rsidR="006131ED">
        <w:rPr>
          <w:vertAlign w:val="superscript"/>
        </w:rPr>
        <w:instrText xml:space="preserve"> \* MERGEFORMAT </w:instrText>
      </w:r>
      <w:r w:rsidR="006131ED" w:rsidRPr="006131ED">
        <w:rPr>
          <w:vertAlign w:val="superscript"/>
        </w:rPr>
      </w:r>
      <w:r w:rsidR="006131ED" w:rsidRPr="006131ED">
        <w:rPr>
          <w:vertAlign w:val="superscript"/>
        </w:rPr>
        <w:fldChar w:fldCharType="separate"/>
      </w:r>
      <w:r w:rsidR="00A873FA">
        <w:rPr>
          <w:vertAlign w:val="superscript"/>
        </w:rPr>
        <w:t>4</w:t>
      </w:r>
      <w:r w:rsidR="006131ED" w:rsidRPr="006131ED">
        <w:rPr>
          <w:vertAlign w:val="superscript"/>
        </w:rPr>
        <w:fldChar w:fldCharType="end"/>
      </w:r>
      <w:r w:rsidRPr="00B07DAB">
        <w:t xml:space="preserve"> The document ‘Support for TGA Submission for use of </w:t>
      </w:r>
      <w:proofErr w:type="spellStart"/>
      <w:r w:rsidRPr="00B07DAB">
        <w:t>Omalizumab</w:t>
      </w:r>
      <w:proofErr w:type="spellEnd"/>
      <w:r w:rsidRPr="00B07DAB">
        <w:t xml:space="preserve"> for</w:t>
      </w:r>
      <w:r w:rsidR="0072012D">
        <w:t xml:space="preserve"> Chronic Idiopathic </w:t>
      </w:r>
      <w:proofErr w:type="spellStart"/>
      <w:r w:rsidR="0072012D">
        <w:t>Urticaria</w:t>
      </w:r>
      <w:proofErr w:type="spellEnd"/>
      <w:r w:rsidR="0072012D">
        <w:t>/</w:t>
      </w:r>
      <w:r w:rsidRPr="00B07DAB">
        <w:t xml:space="preserve">Angioedema’ by </w:t>
      </w:r>
      <w:proofErr w:type="spellStart"/>
      <w:r w:rsidRPr="00B07DAB">
        <w:t>Katelaris</w:t>
      </w:r>
      <w:proofErr w:type="spellEnd"/>
      <w:r w:rsidRPr="00B07DAB">
        <w:t xml:space="preserve"> et al (an attachment to the sponsor’s application cover letter</w:t>
      </w:r>
      <w:bookmarkStart w:id="48" w:name="_Ref420674657"/>
      <w:r w:rsidRPr="007B340D">
        <w:rPr>
          <w:vertAlign w:val="superscript"/>
        </w:rPr>
        <w:footnoteReference w:id="8"/>
      </w:r>
      <w:bookmarkEnd w:id="48"/>
      <w:r w:rsidRPr="00B07DAB">
        <w:t>) provides some Australian context for treatment of CIU.</w:t>
      </w:r>
    </w:p>
    <w:p w:rsidR="00317703" w:rsidRPr="00317703" w:rsidRDefault="00317703" w:rsidP="00317703">
      <w:r w:rsidRPr="00317703">
        <w:t xml:space="preserve">The clinical studies contained in this submission were conducted with the approved lyophilized powder formulation of </w:t>
      </w:r>
      <w:proofErr w:type="spellStart"/>
      <w:r w:rsidRPr="00317703">
        <w:t>omalizumab</w:t>
      </w:r>
      <w:proofErr w:type="spellEnd"/>
      <w:r w:rsidRPr="00317703">
        <w:t>.</w:t>
      </w:r>
    </w:p>
    <w:p w:rsidR="00605AD4" w:rsidRPr="009E38B5" w:rsidRDefault="00605AD4" w:rsidP="009E38B5">
      <w:pPr>
        <w:pStyle w:val="Heading5"/>
      </w:pPr>
      <w:r w:rsidRPr="009E38B5">
        <w:t>Guidance</w:t>
      </w:r>
    </w:p>
    <w:p w:rsidR="00317703" w:rsidRPr="00317703" w:rsidRDefault="00317703" w:rsidP="00317703">
      <w:r w:rsidRPr="00317703">
        <w:t xml:space="preserve">There are currently no specific regulatory guidelines adopted by the TGA for drugs proposed for the treatment of </w:t>
      </w:r>
      <w:proofErr w:type="spellStart"/>
      <w:r w:rsidRPr="00317703">
        <w:t>urticaria</w:t>
      </w:r>
      <w:proofErr w:type="spellEnd"/>
      <w:r w:rsidRPr="00317703">
        <w:t>.</w:t>
      </w:r>
    </w:p>
    <w:p w:rsidR="00317703" w:rsidRPr="00317703" w:rsidRDefault="00317703" w:rsidP="00317703">
      <w:r w:rsidRPr="00317703">
        <w:t xml:space="preserve">The sponsor’s submission cited a consensus clinical practice guideline on </w:t>
      </w:r>
      <w:proofErr w:type="spellStart"/>
      <w:r w:rsidRPr="00317703">
        <w:t>urticaria</w:t>
      </w:r>
      <w:proofErr w:type="spellEnd"/>
      <w:r w:rsidRPr="00317703">
        <w:t>, which was published in 2009</w:t>
      </w:r>
      <w:r w:rsidR="006131ED" w:rsidRPr="006131ED">
        <w:rPr>
          <w:vertAlign w:val="superscript"/>
        </w:rPr>
        <w:fldChar w:fldCharType="begin"/>
      </w:r>
      <w:r w:rsidR="006131ED" w:rsidRPr="006131ED">
        <w:rPr>
          <w:vertAlign w:val="superscript"/>
        </w:rPr>
        <w:instrText xml:space="preserve"> NOTEREF _Ref420507470 \h  \* MERGEFORMAT </w:instrText>
      </w:r>
      <w:r w:rsidR="006131ED" w:rsidRPr="006131ED">
        <w:rPr>
          <w:vertAlign w:val="superscript"/>
        </w:rPr>
      </w:r>
      <w:r w:rsidR="006131ED" w:rsidRPr="006131ED">
        <w:rPr>
          <w:vertAlign w:val="superscript"/>
        </w:rPr>
        <w:fldChar w:fldCharType="separate"/>
      </w:r>
      <w:r w:rsidR="00A873FA">
        <w:rPr>
          <w:vertAlign w:val="superscript"/>
        </w:rPr>
        <w:t>3</w:t>
      </w:r>
      <w:r w:rsidR="006131ED" w:rsidRPr="006131ED">
        <w:rPr>
          <w:vertAlign w:val="superscript"/>
        </w:rPr>
        <w:fldChar w:fldCharType="end"/>
      </w:r>
      <w:r w:rsidR="00873080">
        <w:rPr>
          <w:vertAlign w:val="superscript"/>
        </w:rPr>
        <w:t xml:space="preserve">, </w:t>
      </w:r>
      <w:r w:rsidR="006131ED">
        <w:rPr>
          <w:vertAlign w:val="superscript"/>
        </w:rPr>
        <w:fldChar w:fldCharType="begin"/>
      </w:r>
      <w:r w:rsidR="006131ED">
        <w:rPr>
          <w:vertAlign w:val="superscript"/>
        </w:rPr>
        <w:instrText xml:space="preserve"> NOTEREF _Ref420507326 \h </w:instrText>
      </w:r>
      <w:r w:rsidR="006131ED">
        <w:rPr>
          <w:vertAlign w:val="superscript"/>
        </w:rPr>
      </w:r>
      <w:r w:rsidR="006131ED">
        <w:rPr>
          <w:vertAlign w:val="superscript"/>
        </w:rPr>
        <w:fldChar w:fldCharType="separate"/>
      </w:r>
      <w:r w:rsidR="00A873FA">
        <w:rPr>
          <w:vertAlign w:val="superscript"/>
        </w:rPr>
        <w:t>4</w:t>
      </w:r>
      <w:r w:rsidR="006131ED">
        <w:rPr>
          <w:vertAlign w:val="superscript"/>
        </w:rPr>
        <w:fldChar w:fldCharType="end"/>
      </w:r>
      <w:r w:rsidRPr="00317703">
        <w:t xml:space="preserve">. It was produced by the European Academy of </w:t>
      </w:r>
      <w:proofErr w:type="spellStart"/>
      <w:r w:rsidRPr="00317703">
        <w:t>Allergology</w:t>
      </w:r>
      <w:proofErr w:type="spellEnd"/>
      <w:r w:rsidRPr="00317703">
        <w:t xml:space="preserve"> and </w:t>
      </w:r>
      <w:r w:rsidRPr="00317703">
        <w:lastRenderedPageBreak/>
        <w:t>Clinical Immunology (EAACI), the Global Allergy and Asthma European Network (GA</w:t>
      </w:r>
      <w:r w:rsidRPr="00317703">
        <w:rPr>
          <w:vertAlign w:val="superscript"/>
        </w:rPr>
        <w:t>2</w:t>
      </w:r>
      <w:r w:rsidRPr="00317703">
        <w:t xml:space="preserve">LEN), the European Dermatology Forum (EDF) and the World Allergy Organisation (WAO). In this </w:t>
      </w:r>
      <w:proofErr w:type="spellStart"/>
      <w:r w:rsidR="0072012D">
        <w:t>AusPAR</w:t>
      </w:r>
      <w:proofErr w:type="spellEnd"/>
      <w:r w:rsidR="0072012D">
        <w:t xml:space="preserve"> this document</w:t>
      </w:r>
      <w:r w:rsidRPr="00317703">
        <w:t xml:space="preserve"> will be referred to a</w:t>
      </w:r>
      <w:r w:rsidR="00873080">
        <w:t>s the 2009 consensus guideline.</w:t>
      </w:r>
    </w:p>
    <w:p w:rsidR="00317703" w:rsidRPr="00317703" w:rsidRDefault="00317703" w:rsidP="00317703">
      <w:r w:rsidRPr="00317703">
        <w:t xml:space="preserve">As part of its covering letter for this submission, the sponsor has included a statement written by an advisory board made up of Australian clinical immunologists. The statement endorses the 2009 consensus guideline as the predominant current guideline for the management of </w:t>
      </w:r>
      <w:proofErr w:type="spellStart"/>
      <w:r w:rsidRPr="00317703">
        <w:t>urticaria</w:t>
      </w:r>
      <w:proofErr w:type="spellEnd"/>
      <w:r w:rsidRPr="00317703">
        <w:t>.</w:t>
      </w:r>
    </w:p>
    <w:p w:rsidR="00605AD4" w:rsidRPr="009E38B5" w:rsidRDefault="00605AD4" w:rsidP="009E38B5">
      <w:pPr>
        <w:pStyle w:val="Heading4"/>
      </w:pPr>
      <w:r w:rsidRPr="009E38B5">
        <w:t>Contents of the clinical dossier</w:t>
      </w:r>
    </w:p>
    <w:p w:rsidR="00317703" w:rsidRPr="00317703" w:rsidRDefault="00317703" w:rsidP="00317703">
      <w:r w:rsidRPr="00317703">
        <w:t>The submission contained the following clinical information:</w:t>
      </w:r>
    </w:p>
    <w:p w:rsidR="00317703" w:rsidRPr="00317703" w:rsidRDefault="00317703" w:rsidP="006131ED">
      <w:pPr>
        <w:pStyle w:val="ListBullet"/>
      </w:pPr>
      <w:r w:rsidRPr="00317703">
        <w:t xml:space="preserve">1 initial small </w:t>
      </w:r>
      <w:r w:rsidR="00F978F0">
        <w:t>Phase</w:t>
      </w:r>
      <w:r w:rsidRPr="00317703">
        <w:t xml:space="preserve"> </w:t>
      </w:r>
      <w:proofErr w:type="spellStart"/>
      <w:r w:rsidRPr="00317703">
        <w:t>IIIb</w:t>
      </w:r>
      <w:proofErr w:type="spellEnd"/>
      <w:r w:rsidRPr="00317703">
        <w:t xml:space="preserve"> ‘proof of concept’ study (ADE05) conducted in </w:t>
      </w:r>
      <w:r w:rsidR="00405013">
        <w:t xml:space="preserve">subjects with chronic </w:t>
      </w:r>
      <w:proofErr w:type="spellStart"/>
      <w:r w:rsidR="00405013">
        <w:t>urticaria</w:t>
      </w:r>
      <w:proofErr w:type="spellEnd"/>
    </w:p>
    <w:p w:rsidR="00317703" w:rsidRPr="00317703" w:rsidRDefault="00317703" w:rsidP="006131ED">
      <w:pPr>
        <w:pStyle w:val="ListBullet"/>
      </w:pPr>
      <w:r w:rsidRPr="00317703">
        <w:t xml:space="preserve">1 </w:t>
      </w:r>
      <w:r w:rsidR="00F978F0">
        <w:t>Phase</w:t>
      </w:r>
      <w:r w:rsidRPr="00317703">
        <w:t xml:space="preserve"> II single-dose, dose-ranging stu</w:t>
      </w:r>
      <w:r w:rsidR="00405013">
        <w:t>dy (4577g) in subjects with CIU</w:t>
      </w:r>
    </w:p>
    <w:p w:rsidR="00317703" w:rsidRPr="00317703" w:rsidRDefault="00317703" w:rsidP="006131ED">
      <w:pPr>
        <w:pStyle w:val="ListBullet"/>
      </w:pPr>
      <w:r w:rsidRPr="00317703">
        <w:t xml:space="preserve">2 pivotal </w:t>
      </w:r>
      <w:r w:rsidR="00F978F0">
        <w:t>Phase</w:t>
      </w:r>
      <w:r w:rsidRPr="00317703">
        <w:t xml:space="preserve"> III efficacy/safety studies (4881g and 4882g) in subjects with CIU</w:t>
      </w:r>
    </w:p>
    <w:p w:rsidR="00317703" w:rsidRPr="00317703" w:rsidRDefault="00317703" w:rsidP="006131ED">
      <w:pPr>
        <w:pStyle w:val="ListBullet"/>
      </w:pPr>
      <w:r w:rsidRPr="00317703">
        <w:t xml:space="preserve">1 supportive </w:t>
      </w:r>
      <w:r w:rsidR="00F978F0">
        <w:t>Phase</w:t>
      </w:r>
      <w:r w:rsidRPr="00317703">
        <w:t xml:space="preserve"> III efficacy/safety stu</w:t>
      </w:r>
      <w:r w:rsidR="00405013">
        <w:t>dy (4883g) in subjects with CIU</w:t>
      </w:r>
    </w:p>
    <w:p w:rsidR="00317703" w:rsidRPr="00317703" w:rsidRDefault="00317703" w:rsidP="006131ED">
      <w:pPr>
        <w:pStyle w:val="ListBullet"/>
      </w:pPr>
      <w:r w:rsidRPr="00317703">
        <w:t xml:space="preserve">1 population </w:t>
      </w:r>
      <w:r w:rsidR="00C109C5">
        <w:t>pharmacokinetics (</w:t>
      </w:r>
      <w:r w:rsidRPr="00317703">
        <w:t>PK</w:t>
      </w:r>
      <w:r w:rsidR="00C109C5">
        <w:t>)</w:t>
      </w:r>
      <w:r w:rsidRPr="00317703">
        <w:t xml:space="preserve"> analysis and 2 population PK/efficacy analyses</w:t>
      </w:r>
    </w:p>
    <w:p w:rsidR="00317703" w:rsidRPr="00317703" w:rsidRDefault="00317703" w:rsidP="006131ED">
      <w:pPr>
        <w:pStyle w:val="ListBullet"/>
      </w:pPr>
      <w:r w:rsidRPr="00317703">
        <w:t>Literature references.</w:t>
      </w:r>
    </w:p>
    <w:p w:rsidR="00605AD4" w:rsidRPr="009E38B5" w:rsidRDefault="00605AD4" w:rsidP="009E38B5">
      <w:pPr>
        <w:pStyle w:val="Heading4"/>
      </w:pPr>
      <w:r w:rsidRPr="009E38B5">
        <w:t>Paediatric data</w:t>
      </w:r>
    </w:p>
    <w:p w:rsidR="00317703" w:rsidRPr="00317703" w:rsidRDefault="00317703" w:rsidP="00317703">
      <w:r w:rsidRPr="00317703">
        <w:t xml:space="preserve">The submission included paediatric efficacy and safety data on subjects aged 12 years and older only. The sponsor has received a waiver for paediatric data from the EMA on the grounds that </w:t>
      </w:r>
      <w:r w:rsidR="00D52FDB">
        <w:t>‘</w:t>
      </w:r>
      <w:r w:rsidRPr="00317703">
        <w:rPr>
          <w:i/>
        </w:rPr>
        <w:t>the specific medicinal product does not represent a significant therapeutic benefit as clinical studies(s) are not feasible</w:t>
      </w:r>
      <w:r w:rsidR="00D52FDB">
        <w:t>’</w:t>
      </w:r>
      <w:r w:rsidRPr="00317703">
        <w:t>. The reasoning behind this waiver was not provided.</w:t>
      </w:r>
    </w:p>
    <w:p w:rsidR="00605AD4" w:rsidRPr="009E38B5" w:rsidRDefault="00605AD4" w:rsidP="009E38B5">
      <w:pPr>
        <w:pStyle w:val="Heading4"/>
      </w:pPr>
      <w:r w:rsidRPr="009E38B5">
        <w:t>Good clinical practice</w:t>
      </w:r>
    </w:p>
    <w:p w:rsidR="00317703" w:rsidRPr="00317703" w:rsidRDefault="00317703" w:rsidP="00317703">
      <w:bookmarkStart w:id="49" w:name="_Toc241374282"/>
      <w:r w:rsidRPr="00317703">
        <w:t xml:space="preserve">The study reports for all the submitted clinical trials included assurances that the studies were conducted in accordance </w:t>
      </w:r>
      <w:bookmarkEnd w:id="49"/>
      <w:r w:rsidRPr="00317703">
        <w:t xml:space="preserve">with the </w:t>
      </w:r>
      <w:r w:rsidR="001C7DCA" w:rsidRPr="001C7DCA">
        <w:t xml:space="preserve">International Conference on Harmonisation </w:t>
      </w:r>
      <w:r w:rsidR="001C7DCA">
        <w:t>(</w:t>
      </w:r>
      <w:r w:rsidRPr="00317703">
        <w:t>ICH</w:t>
      </w:r>
      <w:r w:rsidR="001C7DCA">
        <w:t>)</w:t>
      </w:r>
      <w:r w:rsidRPr="00317703">
        <w:t xml:space="preserve"> Guidelines for Good Clinical Practice</w:t>
      </w:r>
      <w:r w:rsidR="001C7DCA">
        <w:t xml:space="preserve"> (GCP)</w:t>
      </w:r>
      <w:r w:rsidRPr="00317703">
        <w:t>, with applicable local regulations, and with the ethical principles laid down in the Declaration of Helsinki.</w:t>
      </w:r>
    </w:p>
    <w:p w:rsidR="008E7846" w:rsidRPr="009E38B5" w:rsidRDefault="008E7846" w:rsidP="009E38B5">
      <w:pPr>
        <w:pStyle w:val="Heading3"/>
      </w:pPr>
      <w:bookmarkStart w:id="50" w:name="_Toc426984855"/>
      <w:r w:rsidRPr="009E38B5">
        <w:t>Pharmacokinetics</w:t>
      </w:r>
      <w:bookmarkEnd w:id="39"/>
      <w:bookmarkEnd w:id="45"/>
      <w:bookmarkEnd w:id="46"/>
      <w:bookmarkEnd w:id="47"/>
      <w:bookmarkEnd w:id="50"/>
    </w:p>
    <w:p w:rsidR="00BC4019" w:rsidRDefault="00317703" w:rsidP="00BC4019">
      <w:r w:rsidRPr="00F978F0">
        <w:t>There were no studies in the current submission designed primarily to examine pharmacokinetic</w:t>
      </w:r>
      <w:r w:rsidR="0072012D">
        <w:t xml:space="preserve"> (PK)</w:t>
      </w:r>
      <w:r w:rsidRPr="00F978F0">
        <w:t xml:space="preserve"> parameters. Intensive sampling PK data were</w:t>
      </w:r>
      <w:r w:rsidR="00F978F0">
        <w:t xml:space="preserve"> collected in the dose-ranging Phase</w:t>
      </w:r>
      <w:r w:rsidRPr="00F978F0">
        <w:t xml:space="preserve"> II study (4577g). In this study only a single dose of </w:t>
      </w:r>
      <w:proofErr w:type="spellStart"/>
      <w:r w:rsidRPr="00F978F0">
        <w:t>omalizumab</w:t>
      </w:r>
      <w:proofErr w:type="spellEnd"/>
      <w:r w:rsidRPr="00F978F0">
        <w:t xml:space="preserve"> or placebo was administered</w:t>
      </w:r>
      <w:r w:rsidR="0054046F" w:rsidRPr="00F978F0">
        <w:t xml:space="preserve">. </w:t>
      </w:r>
      <w:r w:rsidR="00C109C5">
        <w:t>Pharmacokinetic</w:t>
      </w:r>
      <w:r w:rsidRPr="00F978F0">
        <w:t xml:space="preserve"> sampling was also conducted in the three </w:t>
      </w:r>
      <w:r w:rsidR="00F978F0">
        <w:t>Phase</w:t>
      </w:r>
      <w:r w:rsidRPr="00F978F0">
        <w:t xml:space="preserve"> III studies but only </w:t>
      </w:r>
      <w:proofErr w:type="spellStart"/>
      <w:r w:rsidRPr="00F978F0">
        <w:t>at</w:t>
      </w:r>
      <w:proofErr w:type="spellEnd"/>
      <w:r w:rsidRPr="00F978F0">
        <w:t xml:space="preserve"> limited time points. The PK data from these 4 studies were analysed in a population PK analysis. Two population PK/efficacy analyses were also included in the submission.</w:t>
      </w:r>
      <w:r w:rsidR="00F978F0">
        <w:t xml:space="preserve"> </w:t>
      </w:r>
      <w:r w:rsidR="00BC4019">
        <w:t xml:space="preserve">Table 1 shows the </w:t>
      </w:r>
      <w:r w:rsidR="00F978F0">
        <w:t xml:space="preserve">studies submitted for </w:t>
      </w:r>
      <w:r w:rsidR="00BC4019">
        <w:t>each pharmacokinetic topic.</w:t>
      </w:r>
    </w:p>
    <w:p w:rsidR="00BC4019" w:rsidRPr="009E38B5" w:rsidRDefault="00BC4019" w:rsidP="009E38B5">
      <w:pPr>
        <w:pStyle w:val="TableTitle"/>
      </w:pPr>
      <w:bookmarkStart w:id="51" w:name="_Ref272426277"/>
      <w:bookmarkStart w:id="52" w:name="_Toc255546170"/>
      <w:proofErr w:type="gramStart"/>
      <w:r w:rsidRPr="009E38B5">
        <w:t xml:space="preserve">Table </w:t>
      </w:r>
      <w:bookmarkEnd w:id="51"/>
      <w:r w:rsidRPr="009E38B5">
        <w:t>1.</w:t>
      </w:r>
      <w:proofErr w:type="gramEnd"/>
      <w:r w:rsidRPr="009E38B5">
        <w:t xml:space="preserve"> </w:t>
      </w:r>
      <w:proofErr w:type="gramStart"/>
      <w:r w:rsidRPr="009E38B5">
        <w:t>Submitted pharmacokinetic studies.</w:t>
      </w:r>
      <w:bookmarkEnd w:id="52"/>
      <w:proofErr w:type="gramEnd"/>
    </w:p>
    <w:tbl>
      <w:tblPr>
        <w:tblStyle w:val="TableTGAblue"/>
        <w:tblW w:w="8188" w:type="dxa"/>
        <w:tblLayout w:type="fixed"/>
        <w:tblLook w:val="04A0" w:firstRow="1" w:lastRow="0" w:firstColumn="1" w:lastColumn="0" w:noHBand="0" w:noVBand="1"/>
      </w:tblPr>
      <w:tblGrid>
        <w:gridCol w:w="2235"/>
        <w:gridCol w:w="3402"/>
        <w:gridCol w:w="2551"/>
      </w:tblGrid>
      <w:tr w:rsidR="00BC4019" w:rsidTr="00BC4019">
        <w:trPr>
          <w:cnfStyle w:val="100000000000" w:firstRow="1" w:lastRow="0" w:firstColumn="0" w:lastColumn="0" w:oddVBand="0" w:evenVBand="0" w:oddHBand="0" w:evenHBand="0" w:firstRowFirstColumn="0" w:firstRowLastColumn="0" w:lastRowFirstColumn="0" w:lastRowLastColumn="0"/>
        </w:trPr>
        <w:tc>
          <w:tcPr>
            <w:tcW w:w="2235" w:type="dxa"/>
          </w:tcPr>
          <w:p w:rsidR="00BC4019" w:rsidRPr="008625DD" w:rsidRDefault="00BC4019" w:rsidP="00FB338C">
            <w:pPr>
              <w:rPr>
                <w:b w:val="0"/>
              </w:rPr>
            </w:pPr>
            <w:r w:rsidRPr="008625DD">
              <w:t>PK topic</w:t>
            </w:r>
          </w:p>
        </w:tc>
        <w:tc>
          <w:tcPr>
            <w:tcW w:w="3402" w:type="dxa"/>
          </w:tcPr>
          <w:p w:rsidR="00BC4019" w:rsidRPr="008625DD" w:rsidRDefault="00BC4019" w:rsidP="00FB338C">
            <w:pPr>
              <w:rPr>
                <w:b w:val="0"/>
              </w:rPr>
            </w:pPr>
            <w:r w:rsidRPr="008625DD">
              <w:t>Subtopic</w:t>
            </w:r>
          </w:p>
        </w:tc>
        <w:tc>
          <w:tcPr>
            <w:tcW w:w="2551" w:type="dxa"/>
          </w:tcPr>
          <w:p w:rsidR="00BC4019" w:rsidRPr="008625DD" w:rsidRDefault="00BC4019" w:rsidP="00FB338C">
            <w:pPr>
              <w:rPr>
                <w:b w:val="0"/>
              </w:rPr>
            </w:pPr>
            <w:r w:rsidRPr="008625DD">
              <w:t>Study ID</w:t>
            </w:r>
          </w:p>
        </w:tc>
      </w:tr>
      <w:tr w:rsidR="00BC4019" w:rsidTr="00BC4019">
        <w:trPr>
          <w:trHeight w:val="322"/>
        </w:trPr>
        <w:tc>
          <w:tcPr>
            <w:tcW w:w="2235" w:type="dxa"/>
          </w:tcPr>
          <w:p w:rsidR="00BC4019" w:rsidRPr="00760F91" w:rsidRDefault="00BC4019" w:rsidP="00FB338C">
            <w:r w:rsidRPr="00760F91">
              <w:t>PK in CIU subjects</w:t>
            </w:r>
          </w:p>
        </w:tc>
        <w:tc>
          <w:tcPr>
            <w:tcW w:w="3402" w:type="dxa"/>
          </w:tcPr>
          <w:p w:rsidR="00BC4019" w:rsidRPr="000800CC" w:rsidRDefault="00F978F0" w:rsidP="00FB338C">
            <w:r>
              <w:t xml:space="preserve">General PK - </w:t>
            </w:r>
            <w:r w:rsidR="00BC4019" w:rsidRPr="000800CC">
              <w:t>Single dose</w:t>
            </w:r>
          </w:p>
        </w:tc>
        <w:tc>
          <w:tcPr>
            <w:tcW w:w="2551" w:type="dxa"/>
          </w:tcPr>
          <w:p w:rsidR="00BC4019" w:rsidRPr="000800CC" w:rsidRDefault="00BC4019" w:rsidP="00FB338C">
            <w:r>
              <w:t>4577g</w:t>
            </w:r>
          </w:p>
        </w:tc>
      </w:tr>
      <w:tr w:rsidR="00BC4019" w:rsidTr="00BC4019">
        <w:tc>
          <w:tcPr>
            <w:tcW w:w="2235" w:type="dxa"/>
            <w:vMerge w:val="restart"/>
          </w:tcPr>
          <w:p w:rsidR="00BC4019" w:rsidRPr="00760F91" w:rsidRDefault="00BC4019" w:rsidP="00FB338C">
            <w:r w:rsidRPr="00760F91">
              <w:lastRenderedPageBreak/>
              <w:t>Population PK and PK/efficacy analyses</w:t>
            </w:r>
          </w:p>
        </w:tc>
        <w:tc>
          <w:tcPr>
            <w:tcW w:w="3402" w:type="dxa"/>
          </w:tcPr>
          <w:p w:rsidR="00BC4019" w:rsidRPr="000800CC" w:rsidRDefault="00BC4019" w:rsidP="00FB338C">
            <w:r>
              <w:t>Population PK</w:t>
            </w:r>
          </w:p>
        </w:tc>
        <w:tc>
          <w:tcPr>
            <w:tcW w:w="2551" w:type="dxa"/>
          </w:tcPr>
          <w:p w:rsidR="00BC4019" w:rsidRPr="000800CC" w:rsidRDefault="00BC4019" w:rsidP="00FB338C">
            <w:r>
              <w:t>Report 13-6027</w:t>
            </w:r>
          </w:p>
        </w:tc>
      </w:tr>
      <w:tr w:rsidR="00BC4019" w:rsidTr="00BC4019">
        <w:tc>
          <w:tcPr>
            <w:tcW w:w="2235" w:type="dxa"/>
            <w:vMerge/>
          </w:tcPr>
          <w:p w:rsidR="00BC4019" w:rsidRPr="000800CC" w:rsidRDefault="00BC4019" w:rsidP="00FB338C"/>
        </w:tc>
        <w:tc>
          <w:tcPr>
            <w:tcW w:w="3402" w:type="dxa"/>
          </w:tcPr>
          <w:p w:rsidR="00BC4019" w:rsidRPr="000800CC" w:rsidRDefault="00BC4019" w:rsidP="00FB338C">
            <w:r>
              <w:t>Population PK/efficacy &amp; safety</w:t>
            </w:r>
          </w:p>
        </w:tc>
        <w:tc>
          <w:tcPr>
            <w:tcW w:w="2551" w:type="dxa"/>
          </w:tcPr>
          <w:p w:rsidR="00BC4019" w:rsidRPr="000800CC" w:rsidRDefault="00BC4019" w:rsidP="00FB338C">
            <w:r>
              <w:t>Report 13-6028</w:t>
            </w:r>
          </w:p>
        </w:tc>
      </w:tr>
      <w:tr w:rsidR="00BC4019" w:rsidTr="00BC4019">
        <w:tc>
          <w:tcPr>
            <w:tcW w:w="2235" w:type="dxa"/>
            <w:vMerge/>
          </w:tcPr>
          <w:p w:rsidR="00BC4019" w:rsidRPr="000800CC" w:rsidRDefault="00BC4019" w:rsidP="00FB338C"/>
        </w:tc>
        <w:tc>
          <w:tcPr>
            <w:tcW w:w="3402" w:type="dxa"/>
          </w:tcPr>
          <w:p w:rsidR="00BC4019" w:rsidRPr="000800CC" w:rsidRDefault="00BC4019" w:rsidP="00FB338C">
            <w:r>
              <w:t>Population PK/efficacy time course</w:t>
            </w:r>
          </w:p>
        </w:tc>
        <w:tc>
          <w:tcPr>
            <w:tcW w:w="2551" w:type="dxa"/>
          </w:tcPr>
          <w:p w:rsidR="00BC4019" w:rsidRPr="000800CC" w:rsidRDefault="00760F91" w:rsidP="00FB338C">
            <w:r>
              <w:t>-</w:t>
            </w:r>
          </w:p>
        </w:tc>
      </w:tr>
    </w:tbl>
    <w:p w:rsidR="00BC4019" w:rsidRPr="00F978F0" w:rsidRDefault="00BC4019" w:rsidP="00F978F0">
      <w:r w:rsidRPr="00F978F0">
        <w:t>None of these pharmacokinetic studies had deficiencies that excluded their results from evaluation.</w:t>
      </w:r>
    </w:p>
    <w:p w:rsidR="00F02687" w:rsidRPr="009E38B5" w:rsidRDefault="00F02687" w:rsidP="009E38B5">
      <w:pPr>
        <w:pStyle w:val="Heading4"/>
      </w:pPr>
      <w:bookmarkStart w:id="53" w:name="_Toc255546033"/>
      <w:r w:rsidRPr="009E38B5">
        <w:t>Summary of pharmacokinetics in CIU patients</w:t>
      </w:r>
      <w:bookmarkEnd w:id="53"/>
    </w:p>
    <w:p w:rsidR="00F02687" w:rsidRPr="00F02687" w:rsidRDefault="00F02687" w:rsidP="00F02687">
      <w:r w:rsidRPr="00F02687">
        <w:t>The information in the following summary is derived from conventional pharmacokinetic studies unless otherwise stated.</w:t>
      </w:r>
    </w:p>
    <w:p w:rsidR="00F02687" w:rsidRPr="009E38B5" w:rsidRDefault="00F02687" w:rsidP="009E38B5">
      <w:pPr>
        <w:pStyle w:val="Heading5"/>
      </w:pPr>
      <w:bookmarkStart w:id="54" w:name="_Toc272414619"/>
      <w:bookmarkStart w:id="55" w:name="_Toc290846242"/>
      <w:bookmarkStart w:id="56" w:name="_Toc255546034"/>
      <w:r w:rsidRPr="009E38B5">
        <w:t>Absorption</w:t>
      </w:r>
      <w:bookmarkEnd w:id="54"/>
      <w:bookmarkEnd w:id="55"/>
      <w:bookmarkEnd w:id="56"/>
    </w:p>
    <w:p w:rsidR="00F02687" w:rsidRPr="00F02687" w:rsidRDefault="00F02687" w:rsidP="00F02687">
      <w:pPr>
        <w:pStyle w:val="Heading6"/>
      </w:pPr>
      <w:bookmarkStart w:id="57" w:name="_Toc255546035"/>
      <w:r w:rsidRPr="00F02687">
        <w:t>Time of maximum concentration (</w:t>
      </w:r>
      <w:proofErr w:type="spellStart"/>
      <w:r w:rsidRPr="00F02687">
        <w:t>T</w:t>
      </w:r>
      <w:r w:rsidRPr="008633BC">
        <w:rPr>
          <w:vertAlign w:val="subscript"/>
        </w:rPr>
        <w:t>max</w:t>
      </w:r>
      <w:proofErr w:type="spellEnd"/>
      <w:r w:rsidRPr="00F02687">
        <w:t>)</w:t>
      </w:r>
      <w:bookmarkEnd w:id="57"/>
    </w:p>
    <w:p w:rsidR="00F02687" w:rsidRPr="00F02687" w:rsidRDefault="00F02687" w:rsidP="00F02687">
      <w:r w:rsidRPr="00F02687">
        <w:t>Following single SC doses in CIU</w:t>
      </w:r>
      <w:r w:rsidR="008633BC">
        <w:t xml:space="preserve"> patients over the range of 75 to</w:t>
      </w:r>
      <w:r w:rsidRPr="00F02687">
        <w:t xml:space="preserve"> 60</w:t>
      </w:r>
      <w:r w:rsidR="00F978F0">
        <w:t>0 mg</w:t>
      </w:r>
      <w:r w:rsidRPr="00F02687">
        <w:t>, mean</w:t>
      </w:r>
      <w:r w:rsidR="008633BC">
        <w:t xml:space="preserve"> </w:t>
      </w:r>
      <w:r w:rsidR="0072012D" w:rsidRPr="0072012D">
        <w:t xml:space="preserve">time after administration of a drug when the maximum plasma concentration is reached </w:t>
      </w:r>
      <w:r w:rsidR="0072012D">
        <w:t>(</w:t>
      </w:r>
      <w:proofErr w:type="spellStart"/>
      <w:r w:rsidR="008633BC">
        <w:t>T</w:t>
      </w:r>
      <w:r w:rsidR="008633BC" w:rsidRPr="008633BC">
        <w:rPr>
          <w:vertAlign w:val="subscript"/>
        </w:rPr>
        <w:t>max</w:t>
      </w:r>
      <w:proofErr w:type="spellEnd"/>
      <w:r w:rsidR="0072012D">
        <w:t>)</w:t>
      </w:r>
      <w:r w:rsidR="008633BC">
        <w:t xml:space="preserve"> was in the range of 6.24 to</w:t>
      </w:r>
      <w:r w:rsidRPr="00F02687">
        <w:t xml:space="preserve"> 8.01 days. The currently approved PI states that in asthma patients, pea</w:t>
      </w:r>
      <w:r w:rsidR="005B1F12">
        <w:t>k concentrations occur after 6 to</w:t>
      </w:r>
      <w:r w:rsidRPr="00F02687">
        <w:t xml:space="preserve"> 10 days.</w:t>
      </w:r>
    </w:p>
    <w:p w:rsidR="00F02687" w:rsidRPr="009E38B5" w:rsidRDefault="00F02687" w:rsidP="009E38B5">
      <w:pPr>
        <w:pStyle w:val="Heading6"/>
      </w:pPr>
      <w:bookmarkStart w:id="58" w:name="_Toc255546036"/>
      <w:r w:rsidRPr="009E38B5">
        <w:t>Dose proportionality</w:t>
      </w:r>
      <w:bookmarkEnd w:id="58"/>
    </w:p>
    <w:p w:rsidR="00F02687" w:rsidRPr="00F02687" w:rsidRDefault="00F02687" w:rsidP="00F02687">
      <w:r w:rsidRPr="00F02687">
        <w:t>Following single SC doses in CIU</w:t>
      </w:r>
      <w:r w:rsidR="008633BC">
        <w:t xml:space="preserve"> patients over the range of 75 to</w:t>
      </w:r>
      <w:r w:rsidRPr="00F02687">
        <w:t xml:space="preserve"> 60</w:t>
      </w:r>
      <w:r w:rsidR="00F978F0">
        <w:t>0 mg</w:t>
      </w:r>
      <w:r w:rsidRPr="00F02687">
        <w:t xml:space="preserve">, </w:t>
      </w:r>
      <w:r w:rsidR="0089197F">
        <w:t>m</w:t>
      </w:r>
      <w:r w:rsidR="0089197F" w:rsidRPr="0089197F">
        <w:t xml:space="preserve">aximum concentration </w:t>
      </w:r>
      <w:r w:rsidR="0089197F">
        <w:t>(</w:t>
      </w:r>
      <w:proofErr w:type="spellStart"/>
      <w:r w:rsidR="008633BC" w:rsidRPr="00F02687">
        <w:t>C</w:t>
      </w:r>
      <w:r w:rsidR="008633BC" w:rsidRPr="008633BC">
        <w:rPr>
          <w:vertAlign w:val="subscript"/>
        </w:rPr>
        <w:t>max</w:t>
      </w:r>
      <w:proofErr w:type="spellEnd"/>
      <w:r w:rsidR="0089197F">
        <w:t>)</w:t>
      </w:r>
      <w:r w:rsidRPr="00F02687">
        <w:t xml:space="preserve"> and </w:t>
      </w:r>
      <w:r w:rsidR="00873080">
        <w:t>a</w:t>
      </w:r>
      <w:r w:rsidR="0089197F" w:rsidRPr="0089197F">
        <w:t xml:space="preserve">rea under the </w:t>
      </w:r>
      <w:r w:rsidR="0050010A">
        <w:t xml:space="preserve">plasma concentration versus time </w:t>
      </w:r>
      <w:r w:rsidR="0089197F" w:rsidRPr="0089197F">
        <w:t xml:space="preserve">curve </w:t>
      </w:r>
      <w:r w:rsidR="0089197F">
        <w:t>(</w:t>
      </w:r>
      <w:r w:rsidRPr="00F02687">
        <w:t>AUC</w:t>
      </w:r>
      <w:r w:rsidR="0089197F">
        <w:t>)</w:t>
      </w:r>
      <w:r w:rsidRPr="00F02687">
        <w:t xml:space="preserve"> inc</w:t>
      </w:r>
      <w:r w:rsidR="005B1F12">
        <w:t xml:space="preserve">reased in an approximately dose </w:t>
      </w:r>
      <w:r w:rsidRPr="00F02687">
        <w:t>proportional manner.</w:t>
      </w:r>
    </w:p>
    <w:p w:rsidR="00F02687" w:rsidRPr="009E38B5" w:rsidRDefault="00F02687" w:rsidP="009E38B5">
      <w:pPr>
        <w:pStyle w:val="Heading5"/>
      </w:pPr>
      <w:bookmarkStart w:id="59" w:name="_Toc241374288"/>
      <w:bookmarkStart w:id="60" w:name="_Toc272414621"/>
      <w:bookmarkStart w:id="61" w:name="_Toc290846244"/>
      <w:bookmarkStart w:id="62" w:name="_Toc255546037"/>
      <w:r w:rsidRPr="009E38B5">
        <w:t>Distribution</w:t>
      </w:r>
      <w:bookmarkEnd w:id="59"/>
      <w:bookmarkEnd w:id="60"/>
      <w:bookmarkEnd w:id="61"/>
      <w:bookmarkEnd w:id="62"/>
    </w:p>
    <w:p w:rsidR="00F02687" w:rsidRPr="009E38B5" w:rsidRDefault="00F02687" w:rsidP="009E38B5">
      <w:pPr>
        <w:pStyle w:val="Heading6"/>
      </w:pPr>
      <w:bookmarkStart w:id="63" w:name="_Toc255546038"/>
      <w:r w:rsidRPr="009E38B5">
        <w:t>Volume of distribution</w:t>
      </w:r>
      <w:bookmarkEnd w:id="63"/>
    </w:p>
    <w:p w:rsidR="00F02687" w:rsidRPr="00F02687" w:rsidRDefault="00F02687" w:rsidP="00F02687">
      <w:r w:rsidRPr="00F02687">
        <w:t>In the population PK analysis, the apparent volume of distribution was estimated to be 8.92 L for a typical CIU</w:t>
      </w:r>
      <w:r w:rsidR="00F978F0">
        <w:t xml:space="preserve"> patient weighing 80 kg (112 mL</w:t>
      </w:r>
      <w:r w:rsidRPr="00F02687">
        <w:t>/kg). The currently approved PI states that in asthma patients, distri</w:t>
      </w:r>
      <w:r w:rsidR="00F978F0">
        <w:t>bution volumes were 110 ± 14 mL</w:t>
      </w:r>
      <w:r w:rsidRPr="00F02687">
        <w:t>/kg.</w:t>
      </w:r>
    </w:p>
    <w:p w:rsidR="00F02687" w:rsidRPr="009E38B5" w:rsidRDefault="00F02687" w:rsidP="009E38B5">
      <w:pPr>
        <w:pStyle w:val="Heading5"/>
      </w:pPr>
      <w:bookmarkStart w:id="64" w:name="_Toc272414622"/>
      <w:bookmarkStart w:id="65" w:name="_Toc290846245"/>
      <w:bookmarkStart w:id="66" w:name="_Toc255546039"/>
      <w:r w:rsidRPr="009E38B5">
        <w:t>Metabolism</w:t>
      </w:r>
      <w:bookmarkEnd w:id="64"/>
      <w:bookmarkEnd w:id="65"/>
      <w:bookmarkEnd w:id="66"/>
    </w:p>
    <w:p w:rsidR="00F02687" w:rsidRPr="009E38B5" w:rsidRDefault="00F02687" w:rsidP="009E38B5">
      <w:pPr>
        <w:pStyle w:val="Heading6"/>
      </w:pPr>
      <w:bookmarkStart w:id="67" w:name="_Toc255546040"/>
      <w:r w:rsidRPr="009E38B5">
        <w:t>Clearance</w:t>
      </w:r>
      <w:bookmarkEnd w:id="67"/>
    </w:p>
    <w:p w:rsidR="00F02687" w:rsidRPr="00F02687" w:rsidRDefault="00F02687" w:rsidP="00F02687">
      <w:r w:rsidRPr="00F02687">
        <w:t xml:space="preserve">In the population PK analysis, the apparent clearance was estimated to be 0.259 L/day for a typical 80 kg patient (3.2 mL/kg/day). Clearance at steady state, predicted by simulations with the population PK model developed for CIU patients, was estimated to be 0.244 L/day (3.0 mL/kg/day). The currently approved PI states that in asthma patients, clearance is expected to be 2.27 </w:t>
      </w:r>
      <w:r w:rsidR="00F978F0">
        <w:t>to</w:t>
      </w:r>
      <w:r w:rsidRPr="00F02687">
        <w:t xml:space="preserve"> 4.12 mL/kg/day.</w:t>
      </w:r>
    </w:p>
    <w:p w:rsidR="00F02687" w:rsidRPr="009E38B5" w:rsidRDefault="00F02687" w:rsidP="009E38B5">
      <w:pPr>
        <w:pStyle w:val="Heading6"/>
      </w:pPr>
      <w:bookmarkStart w:id="68" w:name="_Toc255546041"/>
      <w:r w:rsidRPr="009E38B5">
        <w:t>Half-life</w:t>
      </w:r>
      <w:bookmarkEnd w:id="68"/>
    </w:p>
    <w:p w:rsidR="00F02687" w:rsidRPr="00F02687" w:rsidRDefault="00F02687" w:rsidP="00F02687">
      <w:r w:rsidRPr="00F02687">
        <w:t>Following single SC doses in CIU patients ov</w:t>
      </w:r>
      <w:r w:rsidR="00F978F0">
        <w:t>er the range of 75 to</w:t>
      </w:r>
      <w:r w:rsidRPr="00F02687">
        <w:t xml:space="preserve"> 60</w:t>
      </w:r>
      <w:r w:rsidR="00F978F0">
        <w:t>0 mg</w:t>
      </w:r>
      <w:r w:rsidRPr="00F02687">
        <w:t xml:space="preserve">, the half-life for </w:t>
      </w:r>
      <w:proofErr w:type="spellStart"/>
      <w:r w:rsidRPr="00F02687">
        <w:t>omali</w:t>
      </w:r>
      <w:r w:rsidR="00F978F0">
        <w:t>zumab</w:t>
      </w:r>
      <w:proofErr w:type="spellEnd"/>
      <w:r w:rsidR="00F978F0">
        <w:t xml:space="preserve"> was in the range of 18.2 to</w:t>
      </w:r>
      <w:r w:rsidRPr="00F02687">
        <w:t xml:space="preserve"> 22.5 days. Half-life at steady state, predicted by simulations with the population PK model developed for CIU patients, was estimated to be 24.3 days. The currently approved PI states that in asthma p</w:t>
      </w:r>
      <w:r w:rsidR="00873080">
        <w:t>atients, mean half-life is 22 ± </w:t>
      </w:r>
      <w:r w:rsidRPr="00F02687">
        <w:t>8.2 days.</w:t>
      </w:r>
    </w:p>
    <w:p w:rsidR="00F02687" w:rsidRPr="009E38B5" w:rsidRDefault="00F02687" w:rsidP="009E38B5">
      <w:pPr>
        <w:pStyle w:val="Heading5"/>
      </w:pPr>
      <w:bookmarkStart w:id="69" w:name="_Toc241374293"/>
      <w:bookmarkStart w:id="70" w:name="_Toc272414626"/>
      <w:bookmarkStart w:id="71" w:name="_Toc290846249"/>
      <w:bookmarkStart w:id="72" w:name="_Toc255546042"/>
      <w:r w:rsidRPr="009E38B5">
        <w:lastRenderedPageBreak/>
        <w:t>Pharmacokinetics in special populations</w:t>
      </w:r>
      <w:bookmarkEnd w:id="69"/>
      <w:bookmarkEnd w:id="70"/>
      <w:bookmarkEnd w:id="71"/>
      <w:bookmarkEnd w:id="72"/>
    </w:p>
    <w:p w:rsidR="00F02687" w:rsidRPr="00F02687" w:rsidRDefault="00F02687" w:rsidP="00F02687">
      <w:r w:rsidRPr="00F02687">
        <w:t xml:space="preserve">In the population PK analysis, both body weight and body mass index (BMI) were found to significantly affect </w:t>
      </w:r>
      <w:proofErr w:type="spellStart"/>
      <w:r w:rsidRPr="00F02687">
        <w:t>omalizumab</w:t>
      </w:r>
      <w:proofErr w:type="spellEnd"/>
      <w:r w:rsidRPr="00F02687">
        <w:t xml:space="preserve"> clearance. Body weight was also found to affect </w:t>
      </w:r>
      <w:proofErr w:type="spellStart"/>
      <w:r w:rsidRPr="00F02687">
        <w:t>omalizumab</w:t>
      </w:r>
      <w:proofErr w:type="spellEnd"/>
      <w:r w:rsidRPr="00F02687">
        <w:t xml:space="preserve"> volume of distribution. However, in a population PK/efficacy analysis, adjusting dosage according to weight did not improve efficacy in a clinically significant manner compared to a flat dosing regimen. The effects of other covariates (age, race, sex, presence of anti-FcεR1 antibodies, </w:t>
      </w:r>
      <w:proofErr w:type="gramStart"/>
      <w:r w:rsidRPr="00F02687">
        <w:t>use</w:t>
      </w:r>
      <w:proofErr w:type="gramEnd"/>
      <w:r w:rsidRPr="00F02687">
        <w:t xml:space="preserve"> of </w:t>
      </w:r>
      <w:r w:rsidR="001C7DCA" w:rsidRPr="001C7DCA">
        <w:t xml:space="preserve">H2 histamine receptor </w:t>
      </w:r>
      <w:r w:rsidR="001C7DCA">
        <w:t>(</w:t>
      </w:r>
      <w:r w:rsidRPr="00F02687">
        <w:t>H2</w:t>
      </w:r>
      <w:r w:rsidR="001C7DCA">
        <w:t>)</w:t>
      </w:r>
      <w:r w:rsidRPr="00F02687">
        <w:t xml:space="preserve"> antihistamines) were not clinically significant.</w:t>
      </w:r>
    </w:p>
    <w:p w:rsidR="00F02687" w:rsidRPr="009E38B5" w:rsidRDefault="00F02687" w:rsidP="009E38B5">
      <w:pPr>
        <w:pStyle w:val="Heading4"/>
      </w:pPr>
      <w:bookmarkStart w:id="73" w:name="_Toc241374296"/>
      <w:bookmarkStart w:id="74" w:name="_Ref269982040"/>
      <w:bookmarkStart w:id="75" w:name="_Ref271018704"/>
      <w:bookmarkStart w:id="76" w:name="_Ref271018755"/>
      <w:bookmarkStart w:id="77" w:name="_Toc272414635"/>
      <w:bookmarkStart w:id="78" w:name="_Toc290846258"/>
      <w:bookmarkStart w:id="79" w:name="_Toc255546043"/>
      <w:r w:rsidRPr="009E38B5">
        <w:t>Evaluator’s overall conclusions on pharmacokinetics</w:t>
      </w:r>
      <w:bookmarkEnd w:id="73"/>
      <w:bookmarkEnd w:id="74"/>
      <w:bookmarkEnd w:id="75"/>
      <w:bookmarkEnd w:id="76"/>
      <w:bookmarkEnd w:id="77"/>
      <w:bookmarkEnd w:id="78"/>
      <w:bookmarkEnd w:id="79"/>
    </w:p>
    <w:p w:rsidR="00317703" w:rsidRPr="00BC4019" w:rsidRDefault="00F02687" w:rsidP="00BC4019">
      <w:r w:rsidRPr="00F02687">
        <w:t xml:space="preserve">The PK of </w:t>
      </w:r>
      <w:proofErr w:type="spellStart"/>
      <w:r w:rsidRPr="00F02687">
        <w:t>omalizumab</w:t>
      </w:r>
      <w:proofErr w:type="spellEnd"/>
      <w:r w:rsidRPr="00F02687">
        <w:t xml:space="preserve"> in CIU patients is similar to that in allergic asthma patients.</w:t>
      </w:r>
    </w:p>
    <w:p w:rsidR="008E7846" w:rsidRPr="009E38B5" w:rsidRDefault="008E7846" w:rsidP="009E38B5">
      <w:pPr>
        <w:pStyle w:val="Heading3"/>
      </w:pPr>
      <w:bookmarkStart w:id="80" w:name="_Toc196046481"/>
      <w:bookmarkStart w:id="81" w:name="_Toc247691520"/>
      <w:bookmarkStart w:id="82" w:name="_Toc314842503"/>
      <w:bookmarkStart w:id="83" w:name="_Toc426984856"/>
      <w:r w:rsidRPr="009E38B5">
        <w:t>Pharmacodynamics</w:t>
      </w:r>
      <w:bookmarkEnd w:id="40"/>
      <w:bookmarkEnd w:id="80"/>
      <w:bookmarkEnd w:id="81"/>
      <w:bookmarkEnd w:id="82"/>
      <w:bookmarkEnd w:id="83"/>
    </w:p>
    <w:p w:rsidR="00F02687" w:rsidRPr="00F02687" w:rsidRDefault="00F02687" w:rsidP="00F02687">
      <w:r w:rsidRPr="00F02687">
        <w:t xml:space="preserve">There were no studies in the current submission designed primarily to examine </w:t>
      </w:r>
      <w:proofErr w:type="spellStart"/>
      <w:r w:rsidRPr="00F02687">
        <w:t>pharmacodynamic</w:t>
      </w:r>
      <w:proofErr w:type="spellEnd"/>
      <w:r w:rsidRPr="00F02687">
        <w:t xml:space="preserve"> parameters. The three </w:t>
      </w:r>
      <w:r w:rsidR="00F978F0">
        <w:t>Phase</w:t>
      </w:r>
      <w:r w:rsidRPr="00F02687">
        <w:t xml:space="preserve"> III studies measured levels of free </w:t>
      </w:r>
      <w:proofErr w:type="spellStart"/>
      <w:r w:rsidRPr="00F02687">
        <w:t>IgE</w:t>
      </w:r>
      <w:proofErr w:type="spellEnd"/>
      <w:r w:rsidRPr="00F02687">
        <w:t xml:space="preserve"> and total </w:t>
      </w:r>
      <w:proofErr w:type="spellStart"/>
      <w:r w:rsidRPr="00F02687">
        <w:t>IgE</w:t>
      </w:r>
      <w:proofErr w:type="spellEnd"/>
      <w:r w:rsidRPr="00F02687">
        <w:t xml:space="preserve"> (free </w:t>
      </w:r>
      <w:proofErr w:type="spellStart"/>
      <w:r w:rsidRPr="00F02687">
        <w:t>I</w:t>
      </w:r>
      <w:r w:rsidR="00F978F0">
        <w:t>gE</w:t>
      </w:r>
      <w:proofErr w:type="spellEnd"/>
      <w:r w:rsidR="00F978F0">
        <w:t xml:space="preserve">, plus </w:t>
      </w:r>
      <w:proofErr w:type="spellStart"/>
      <w:r w:rsidR="00F978F0">
        <w:t>omalizumab</w:t>
      </w:r>
      <w:proofErr w:type="spellEnd"/>
      <w:r w:rsidR="00F978F0">
        <w:t xml:space="preserve"> </w:t>
      </w:r>
      <w:r w:rsidRPr="00F02687">
        <w:t xml:space="preserve">bound </w:t>
      </w:r>
      <w:proofErr w:type="spellStart"/>
      <w:r w:rsidRPr="00F02687">
        <w:t>IgE</w:t>
      </w:r>
      <w:proofErr w:type="spellEnd"/>
      <w:r w:rsidRPr="00F02687">
        <w:t>) at limited time points.</w:t>
      </w:r>
    </w:p>
    <w:p w:rsidR="00F02687" w:rsidRPr="009E38B5" w:rsidRDefault="00F02687" w:rsidP="009E38B5">
      <w:pPr>
        <w:pStyle w:val="Heading4"/>
      </w:pPr>
      <w:bookmarkStart w:id="84" w:name="_Toc255546046"/>
      <w:r w:rsidRPr="009E38B5">
        <w:t xml:space="preserve">Effects on serum free </w:t>
      </w:r>
      <w:proofErr w:type="spellStart"/>
      <w:r w:rsidRPr="009E38B5">
        <w:t>IgE</w:t>
      </w:r>
      <w:proofErr w:type="spellEnd"/>
      <w:r w:rsidRPr="009E38B5">
        <w:t xml:space="preserve"> and total </w:t>
      </w:r>
      <w:proofErr w:type="spellStart"/>
      <w:r w:rsidRPr="009E38B5">
        <w:t>IgE</w:t>
      </w:r>
      <w:bookmarkEnd w:id="84"/>
      <w:proofErr w:type="spellEnd"/>
    </w:p>
    <w:p w:rsidR="00F02687" w:rsidRPr="009E38B5" w:rsidRDefault="00F02687" w:rsidP="009E38B5">
      <w:pPr>
        <w:pStyle w:val="Heading5"/>
      </w:pPr>
      <w:bookmarkStart w:id="85" w:name="_Toc255546047"/>
      <w:r w:rsidRPr="009E38B5">
        <w:t>Study 4881g</w:t>
      </w:r>
      <w:bookmarkEnd w:id="85"/>
    </w:p>
    <w:p w:rsidR="00F02687" w:rsidRPr="00F02687" w:rsidRDefault="00F02687" w:rsidP="00F02687">
      <w:r w:rsidRPr="00F02687">
        <w:t xml:space="preserve">The results for </w:t>
      </w:r>
      <w:r w:rsidR="00400187">
        <w:t>Study</w:t>
      </w:r>
      <w:r w:rsidRPr="00F02687">
        <w:t xml:space="preserve"> </w:t>
      </w:r>
      <w:r w:rsidRPr="004C34C4">
        <w:t>4881g are shown in</w:t>
      </w:r>
      <w:r w:rsidR="006131ED" w:rsidRPr="004C34C4">
        <w:t xml:space="preserve"> Table </w:t>
      </w:r>
      <w:r w:rsidR="004C34C4" w:rsidRPr="004C34C4">
        <w:t>2</w:t>
      </w:r>
      <w:r w:rsidRPr="004C34C4">
        <w:t xml:space="preserve">. Total </w:t>
      </w:r>
      <w:proofErr w:type="spellStart"/>
      <w:r w:rsidRPr="00F02687">
        <w:t>IgE</w:t>
      </w:r>
      <w:proofErr w:type="spellEnd"/>
      <w:r w:rsidRPr="00F02687">
        <w:t xml:space="preserve"> levels at baseline can be considered to be the same as for those for free </w:t>
      </w:r>
      <w:proofErr w:type="spellStart"/>
      <w:r w:rsidRPr="00F02687">
        <w:t>Ig</w:t>
      </w:r>
      <w:r w:rsidR="001C7DCA">
        <w:t>E</w:t>
      </w:r>
      <w:proofErr w:type="spellEnd"/>
      <w:r w:rsidR="001C7DCA">
        <w:t xml:space="preserve"> at baseline, since </w:t>
      </w:r>
      <w:proofErr w:type="spellStart"/>
      <w:r w:rsidR="001C7DCA">
        <w:t>omalizumab</w:t>
      </w:r>
      <w:proofErr w:type="spellEnd"/>
      <w:r w:rsidR="001C7DCA">
        <w:t xml:space="preserve"> </w:t>
      </w:r>
      <w:proofErr w:type="spellStart"/>
      <w:r w:rsidRPr="00F02687">
        <w:t>IgE</w:t>
      </w:r>
      <w:proofErr w:type="spellEnd"/>
      <w:r w:rsidRPr="00F02687">
        <w:t xml:space="preserve"> complexes would not have formed prio</w:t>
      </w:r>
      <w:r w:rsidR="00873080">
        <w:t>r to study drug administration.</w:t>
      </w:r>
    </w:p>
    <w:p w:rsidR="00F02687" w:rsidRDefault="00F02687" w:rsidP="00F02687">
      <w:r w:rsidRPr="00F02687">
        <w:t xml:space="preserve">Free </w:t>
      </w:r>
      <w:proofErr w:type="spellStart"/>
      <w:r w:rsidRPr="00F02687">
        <w:t>IgE</w:t>
      </w:r>
      <w:proofErr w:type="spellEnd"/>
      <w:r w:rsidRPr="00F02687">
        <w:t xml:space="preserve"> levels fell in all </w:t>
      </w:r>
      <w:proofErr w:type="spellStart"/>
      <w:r w:rsidRPr="00F02687">
        <w:t>omalizumab</w:t>
      </w:r>
      <w:proofErr w:type="spellEnd"/>
      <w:r w:rsidRPr="00F02687">
        <w:t xml:space="preserve"> treatment groups. In the 300 mg group mean free </w:t>
      </w:r>
      <w:proofErr w:type="spellStart"/>
      <w:r w:rsidRPr="00F02687">
        <w:t>IgE</w:t>
      </w:r>
      <w:proofErr w:type="spellEnd"/>
      <w:r w:rsidRPr="00F02687">
        <w:t xml:space="preserve"> fell from 153 IU/mL at baseline to 9.01 IU/m</w:t>
      </w:r>
      <w:r w:rsidR="0050010A">
        <w:t>L at week 12 and 8.11 IU/mL at W</w:t>
      </w:r>
      <w:r w:rsidRPr="00F02687">
        <w:t>ee</w:t>
      </w:r>
      <w:r w:rsidR="00F978F0">
        <w:t xml:space="preserve">k 24. There appeared to be dose </w:t>
      </w:r>
      <w:r w:rsidRPr="00F02687">
        <w:t>response effect with the 300 mg dose producing</w:t>
      </w:r>
      <w:r w:rsidR="0050010A">
        <w:t xml:space="preserve"> the lowest free </w:t>
      </w:r>
      <w:proofErr w:type="spellStart"/>
      <w:r w:rsidR="0050010A">
        <w:t>IgE</w:t>
      </w:r>
      <w:proofErr w:type="spellEnd"/>
      <w:r w:rsidR="0050010A">
        <w:t xml:space="preserve"> levels at W</w:t>
      </w:r>
      <w:r w:rsidRPr="00F02687">
        <w:t>eeks 12 and 24</w:t>
      </w:r>
      <w:r w:rsidR="0054046F">
        <w:t xml:space="preserve">. </w:t>
      </w:r>
      <w:r w:rsidRPr="00F02687">
        <w:t xml:space="preserve">Total </w:t>
      </w:r>
      <w:proofErr w:type="spellStart"/>
      <w:r w:rsidRPr="00F02687">
        <w:t>IgE</w:t>
      </w:r>
      <w:proofErr w:type="spellEnd"/>
      <w:r w:rsidRPr="00F02687">
        <w:t xml:space="preserve"> levels increased with </w:t>
      </w:r>
      <w:proofErr w:type="spellStart"/>
      <w:r w:rsidRPr="00F02687">
        <w:t>omalizumab</w:t>
      </w:r>
      <w:proofErr w:type="spellEnd"/>
      <w:r w:rsidRPr="00F02687">
        <w:t xml:space="preserve"> treatment, reflecting the formation of complexes of </w:t>
      </w:r>
      <w:proofErr w:type="spellStart"/>
      <w:r w:rsidRPr="00F02687">
        <w:t>IgE</w:t>
      </w:r>
      <w:proofErr w:type="spellEnd"/>
      <w:r w:rsidRPr="00F02687">
        <w:t xml:space="preserve"> and </w:t>
      </w:r>
      <w:proofErr w:type="spellStart"/>
      <w:r w:rsidRPr="00F02687">
        <w:t>omalizumab</w:t>
      </w:r>
      <w:proofErr w:type="spellEnd"/>
      <w:r w:rsidRPr="00F02687">
        <w:t xml:space="preserve">. Levels </w:t>
      </w:r>
      <w:r w:rsidR="0050010A">
        <w:t>returned to baseline values by W</w:t>
      </w:r>
      <w:r w:rsidRPr="00F02687">
        <w:t>eek 40 (20 weeks after last dose).</w:t>
      </w:r>
    </w:p>
    <w:p w:rsidR="006131ED" w:rsidRPr="009E38B5" w:rsidRDefault="004C34C4" w:rsidP="009E38B5">
      <w:pPr>
        <w:pStyle w:val="TableTitle"/>
      </w:pPr>
      <w:proofErr w:type="gramStart"/>
      <w:r w:rsidRPr="009E38B5">
        <w:t>Table 2</w:t>
      </w:r>
      <w:r w:rsidR="006131ED" w:rsidRPr="009E38B5">
        <w:t>.</w:t>
      </w:r>
      <w:proofErr w:type="gramEnd"/>
      <w:r w:rsidR="006131ED" w:rsidRPr="009E38B5">
        <w:t xml:space="preserve"> Study 4881g – Effects on </w:t>
      </w:r>
      <w:proofErr w:type="spellStart"/>
      <w:r w:rsidR="006131ED" w:rsidRPr="009E38B5">
        <w:t>IgE</w:t>
      </w:r>
      <w:proofErr w:type="spellEnd"/>
      <w:r w:rsidR="006131ED" w:rsidRPr="009E38B5">
        <w:t xml:space="preserve"> – </w:t>
      </w:r>
      <w:proofErr w:type="gramStart"/>
      <w:r w:rsidR="006131ED" w:rsidRPr="009E38B5">
        <w:t>mean</w:t>
      </w:r>
      <w:proofErr w:type="gramEnd"/>
      <w:r w:rsidR="006131ED" w:rsidRPr="009E38B5">
        <w:t xml:space="preserve"> (</w:t>
      </w:r>
      <w:r w:rsidR="00C109C5" w:rsidRPr="009E38B5">
        <w:t>standard deviation (</w:t>
      </w:r>
      <w:r w:rsidR="006131ED" w:rsidRPr="009E38B5">
        <w:t>SD</w:t>
      </w:r>
      <w:r w:rsidR="00C109C5" w:rsidRPr="009E38B5">
        <w:t>)</w:t>
      </w:r>
      <w:r w:rsidR="006131ED" w:rsidRPr="009E38B5">
        <w:t>)</w:t>
      </w:r>
      <w:r w:rsidR="0083510F" w:rsidRPr="009E38B5">
        <w:t>.</w:t>
      </w:r>
    </w:p>
    <w:p w:rsidR="006131ED" w:rsidRPr="00F02687" w:rsidRDefault="006131ED" w:rsidP="00B46B95">
      <w:r>
        <w:rPr>
          <w:noProof/>
          <w:lang w:eastAsia="en-AU"/>
        </w:rPr>
        <w:drawing>
          <wp:inline distT="0" distB="0" distL="0" distR="0" wp14:anchorId="712ABE25" wp14:editId="0FCD7D0B">
            <wp:extent cx="4798771" cy="3100745"/>
            <wp:effectExtent l="0" t="0" r="1905" b="4445"/>
            <wp:docPr id="4" name="Picture 4" descr="Table 2. Study 4881g – Effects on IgE – mean (standard deviation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00036" cy="3101562"/>
                    </a:xfrm>
                    <a:prstGeom prst="rect">
                      <a:avLst/>
                    </a:prstGeom>
                  </pic:spPr>
                </pic:pic>
              </a:graphicData>
            </a:graphic>
          </wp:inline>
        </w:drawing>
      </w:r>
    </w:p>
    <w:p w:rsidR="00F02687" w:rsidRPr="009E38B5" w:rsidRDefault="00F02687" w:rsidP="009E38B5">
      <w:pPr>
        <w:pStyle w:val="Heading5"/>
      </w:pPr>
      <w:bookmarkStart w:id="86" w:name="_Toc255546048"/>
      <w:r w:rsidRPr="009E38B5">
        <w:lastRenderedPageBreak/>
        <w:t>Study 4882g</w:t>
      </w:r>
      <w:bookmarkEnd w:id="86"/>
    </w:p>
    <w:p w:rsidR="00F02687" w:rsidRPr="00F02687" w:rsidRDefault="00F02687" w:rsidP="00F02687">
      <w:r w:rsidRPr="00F02687">
        <w:t xml:space="preserve">The results for </w:t>
      </w:r>
      <w:r w:rsidR="00400187" w:rsidRPr="004C34C4">
        <w:t>Study</w:t>
      </w:r>
      <w:r w:rsidRPr="004C34C4">
        <w:t xml:space="preserve"> </w:t>
      </w:r>
      <w:r w:rsidR="004C34C4" w:rsidRPr="004C34C4">
        <w:t>4882</w:t>
      </w:r>
      <w:r w:rsidRPr="004C34C4">
        <w:t xml:space="preserve">g </w:t>
      </w:r>
      <w:r w:rsidR="004C34C4" w:rsidRPr="004C34C4">
        <w:t>were provided</w:t>
      </w:r>
      <w:r w:rsidRPr="004C34C4">
        <w:t xml:space="preserve">. A similar </w:t>
      </w:r>
      <w:r w:rsidRPr="00F02687">
        <w:t xml:space="preserve">pattern was observed with decreases in free </w:t>
      </w:r>
      <w:proofErr w:type="spellStart"/>
      <w:r w:rsidRPr="00F02687">
        <w:t>IgE</w:t>
      </w:r>
      <w:proofErr w:type="spellEnd"/>
      <w:r w:rsidRPr="00F02687">
        <w:t xml:space="preserve"> and increases in total </w:t>
      </w:r>
      <w:proofErr w:type="spellStart"/>
      <w:r w:rsidRPr="00F02687">
        <w:t>IgE</w:t>
      </w:r>
      <w:proofErr w:type="spellEnd"/>
      <w:r w:rsidRPr="00F02687">
        <w:t xml:space="preserve"> after 12 weeks of treatment. Levels returned to baseline values by </w:t>
      </w:r>
      <w:r w:rsidR="008C4485">
        <w:t>Week</w:t>
      </w:r>
      <w:r w:rsidR="0083510F">
        <w:t xml:space="preserve"> 28 (20 weeks after last dose).</w:t>
      </w:r>
    </w:p>
    <w:p w:rsidR="00F02687" w:rsidRPr="009E38B5" w:rsidRDefault="00F02687" w:rsidP="009E38B5">
      <w:pPr>
        <w:pStyle w:val="Heading5"/>
      </w:pPr>
      <w:bookmarkStart w:id="87" w:name="_Toc255546049"/>
      <w:r w:rsidRPr="009E38B5">
        <w:t>Study 4883g</w:t>
      </w:r>
      <w:bookmarkEnd w:id="87"/>
    </w:p>
    <w:p w:rsidR="00F02687" w:rsidRPr="00F02687" w:rsidRDefault="00F02687" w:rsidP="00F02687">
      <w:r w:rsidRPr="00F02687">
        <w:t xml:space="preserve">Results for </w:t>
      </w:r>
      <w:r w:rsidR="00400187" w:rsidRPr="004C34C4">
        <w:t>Study</w:t>
      </w:r>
      <w:r w:rsidRPr="004C34C4">
        <w:t xml:space="preserve"> 4883g </w:t>
      </w:r>
      <w:r w:rsidR="004C34C4" w:rsidRPr="004C34C4">
        <w:t>were provided</w:t>
      </w:r>
      <w:r w:rsidRPr="004C34C4">
        <w:t xml:space="preserve">. The findings were similar to those </w:t>
      </w:r>
      <w:r w:rsidRPr="00F02687">
        <w:t>in 4881g and 4882g.</w:t>
      </w:r>
    </w:p>
    <w:p w:rsidR="00F02687" w:rsidRPr="009E38B5" w:rsidRDefault="00F02687" w:rsidP="009E38B5">
      <w:pPr>
        <w:pStyle w:val="Heading5"/>
      </w:pPr>
      <w:bookmarkStart w:id="88" w:name="_Toc255546050"/>
      <w:r w:rsidRPr="009E38B5">
        <w:t>Study 4577g</w:t>
      </w:r>
      <w:bookmarkEnd w:id="88"/>
    </w:p>
    <w:p w:rsidR="00F02687" w:rsidRPr="00F02687" w:rsidRDefault="00F02687" w:rsidP="00F02687">
      <w:r w:rsidRPr="00F02687">
        <w:t xml:space="preserve">This was a </w:t>
      </w:r>
      <w:r w:rsidR="00F978F0">
        <w:t>Phase</w:t>
      </w:r>
      <w:r w:rsidRPr="00F02687">
        <w:t xml:space="preserve"> </w:t>
      </w:r>
      <w:r w:rsidR="008633BC">
        <w:t xml:space="preserve">II dose </w:t>
      </w:r>
      <w:r w:rsidRPr="00F02687">
        <w:t xml:space="preserve">ranging study in which patients received single doses of </w:t>
      </w:r>
      <w:proofErr w:type="spellStart"/>
      <w:r w:rsidRPr="00F02687">
        <w:t>omalizumab</w:t>
      </w:r>
      <w:proofErr w:type="spellEnd"/>
      <w:r w:rsidRPr="00F02687">
        <w:t xml:space="preserve"> or placebo. As in the </w:t>
      </w:r>
      <w:r w:rsidR="00F978F0">
        <w:t>Phase</w:t>
      </w:r>
      <w:r w:rsidRPr="00F02687">
        <w:t xml:space="preserve"> III studies, </w:t>
      </w:r>
      <w:proofErr w:type="spellStart"/>
      <w:r w:rsidRPr="00F02687">
        <w:t>omalizumab</w:t>
      </w:r>
      <w:proofErr w:type="spellEnd"/>
      <w:r w:rsidRPr="00F02687">
        <w:t xml:space="preserve"> administration resulted in a reduction in free </w:t>
      </w:r>
      <w:proofErr w:type="spellStart"/>
      <w:r w:rsidRPr="00F02687">
        <w:t>IgE</w:t>
      </w:r>
      <w:proofErr w:type="spellEnd"/>
      <w:r w:rsidRPr="00F02687">
        <w:t xml:space="preserve"> and an increase in total </w:t>
      </w:r>
      <w:proofErr w:type="spellStart"/>
      <w:r w:rsidRPr="00F02687">
        <w:t>IgE</w:t>
      </w:r>
      <w:proofErr w:type="spellEnd"/>
      <w:r w:rsidRPr="00F02687">
        <w:t>.</w:t>
      </w:r>
    </w:p>
    <w:p w:rsidR="00F02687" w:rsidRPr="009E38B5" w:rsidRDefault="00F02687" w:rsidP="009E38B5">
      <w:pPr>
        <w:pStyle w:val="Heading4"/>
      </w:pPr>
      <w:bookmarkStart w:id="89" w:name="_Ref269983272"/>
      <w:bookmarkStart w:id="90" w:name="_Toc272414648"/>
      <w:bookmarkStart w:id="91" w:name="_Toc290846270"/>
      <w:bookmarkStart w:id="92" w:name="_Toc255546051"/>
      <w:r w:rsidRPr="009E38B5">
        <w:t>Evaluator’s overall conclusions on pharmacodynamics</w:t>
      </w:r>
      <w:bookmarkEnd w:id="89"/>
      <w:bookmarkEnd w:id="90"/>
      <w:bookmarkEnd w:id="91"/>
      <w:bookmarkEnd w:id="92"/>
    </w:p>
    <w:p w:rsidR="00F02687" w:rsidRPr="00F02687" w:rsidRDefault="00F02687" w:rsidP="00F02687">
      <w:proofErr w:type="spellStart"/>
      <w:r w:rsidRPr="00F02687">
        <w:t>Omalizumab</w:t>
      </w:r>
      <w:proofErr w:type="spellEnd"/>
      <w:r w:rsidRPr="00F02687">
        <w:t xml:space="preserve"> administration in patients with CIU resulted in deceases in free </w:t>
      </w:r>
      <w:proofErr w:type="spellStart"/>
      <w:r w:rsidRPr="00F02687">
        <w:t>IgE</w:t>
      </w:r>
      <w:proofErr w:type="spellEnd"/>
      <w:r w:rsidRPr="00F02687">
        <w:t xml:space="preserve"> and increases in total </w:t>
      </w:r>
      <w:proofErr w:type="spellStart"/>
      <w:r w:rsidRPr="00F02687">
        <w:t>IgE</w:t>
      </w:r>
      <w:proofErr w:type="spellEnd"/>
      <w:r w:rsidRPr="00F02687">
        <w:t xml:space="preserve"> (complexes of </w:t>
      </w:r>
      <w:proofErr w:type="spellStart"/>
      <w:r w:rsidRPr="00F02687">
        <w:t>omalizumab</w:t>
      </w:r>
      <w:proofErr w:type="spellEnd"/>
      <w:r w:rsidRPr="00F02687">
        <w:t xml:space="preserve"> and </w:t>
      </w:r>
      <w:proofErr w:type="spellStart"/>
      <w:r w:rsidRPr="00F02687">
        <w:t>IgE</w:t>
      </w:r>
      <w:proofErr w:type="spellEnd"/>
      <w:r w:rsidRPr="00F02687">
        <w:t xml:space="preserve">). These findings are consistent with the known mechanism of action of </w:t>
      </w:r>
      <w:proofErr w:type="spellStart"/>
      <w:r w:rsidRPr="00F02687">
        <w:t>omalizumab</w:t>
      </w:r>
      <w:proofErr w:type="spellEnd"/>
      <w:r w:rsidRPr="00F02687">
        <w:t>.</w:t>
      </w:r>
    </w:p>
    <w:p w:rsidR="008E7846" w:rsidRPr="009E38B5" w:rsidRDefault="00605AD4" w:rsidP="009E38B5">
      <w:pPr>
        <w:pStyle w:val="Heading3"/>
      </w:pPr>
      <w:bookmarkStart w:id="93" w:name="_Toc426984857"/>
      <w:r w:rsidRPr="009E38B5">
        <w:t>Dosage selection for the pivotal studies</w:t>
      </w:r>
      <w:bookmarkEnd w:id="93"/>
    </w:p>
    <w:p w:rsidR="00F02687" w:rsidRPr="00F02687" w:rsidRDefault="00F02687" w:rsidP="00F02687">
      <w:r w:rsidRPr="00F02687">
        <w:t xml:space="preserve">The sponsor elected to study flat dosage regimens for the CIU trials (as opposed to the regimen based on weight and </w:t>
      </w:r>
      <w:proofErr w:type="spellStart"/>
      <w:r w:rsidRPr="00F02687">
        <w:t>IgE</w:t>
      </w:r>
      <w:proofErr w:type="spellEnd"/>
      <w:r w:rsidRPr="00F02687">
        <w:t xml:space="preserve"> levels used in allergic asthma)</w:t>
      </w:r>
      <w:r w:rsidR="0054046F">
        <w:t xml:space="preserve">. </w:t>
      </w:r>
      <w:r w:rsidRPr="00F02687">
        <w:t xml:space="preserve">The rationale for this approach was that that there was little information supporting a relationship between serum </w:t>
      </w:r>
      <w:proofErr w:type="spellStart"/>
      <w:r w:rsidRPr="00F02687">
        <w:t>IgE</w:t>
      </w:r>
      <w:proofErr w:type="spellEnd"/>
      <w:r w:rsidRPr="00F02687">
        <w:t xml:space="preserve"> levels and CIU, and serum </w:t>
      </w:r>
      <w:proofErr w:type="spellStart"/>
      <w:r w:rsidRPr="00F02687">
        <w:t>IgE</w:t>
      </w:r>
      <w:proofErr w:type="spellEnd"/>
      <w:r w:rsidRPr="00F02687">
        <w:t xml:space="preserve"> levels in the CIU population are low compared with the allergic asthma population.</w:t>
      </w:r>
    </w:p>
    <w:p w:rsidR="00F02687" w:rsidRPr="00F02687" w:rsidRDefault="008633BC" w:rsidP="00F02687">
      <w:r>
        <w:t xml:space="preserve">An initial single dose, dose </w:t>
      </w:r>
      <w:r w:rsidR="00F02687" w:rsidRPr="00F02687">
        <w:t>ranging study was</w:t>
      </w:r>
      <w:r>
        <w:t xml:space="preserve"> conducted (S</w:t>
      </w:r>
      <w:r w:rsidR="00F02687" w:rsidRPr="00F02687">
        <w:t>tudy 4577g). This study evaluated doses of 75, 300 and 600 mg given SC every 4 weeks. It found that the 600 mg dose was no more efficacious than the 300 mg dose, and therefore 300 mg every 4 weeks was chosen as the maximum dose to be examined in the pivotal studies. The pivotal studies themselves also exami</w:t>
      </w:r>
      <w:r>
        <w:t>ned the use of two lower doses,</w:t>
      </w:r>
      <w:r w:rsidR="00F02687" w:rsidRPr="00F02687">
        <w:t xml:space="preserve"> 75 </w:t>
      </w:r>
      <w:r>
        <w:t xml:space="preserve">and 150 mg every 4 weeks. The 4 </w:t>
      </w:r>
      <w:r w:rsidR="00F02687" w:rsidRPr="00F02687">
        <w:t xml:space="preserve">week dosage interval was chosen for </w:t>
      </w:r>
      <w:r w:rsidR="00400187">
        <w:t>Study</w:t>
      </w:r>
      <w:r w:rsidR="00F02687" w:rsidRPr="00F02687">
        <w:t xml:space="preserve"> 4577g on </w:t>
      </w:r>
      <w:r>
        <w:t xml:space="preserve">the basis of early investigator </w:t>
      </w:r>
      <w:r w:rsidR="00F02687" w:rsidRPr="00F02687">
        <w:t>initiated studies that showed duration of effect lasting several weeks.</w:t>
      </w:r>
    </w:p>
    <w:p w:rsidR="00F02687" w:rsidRPr="004C34C4" w:rsidRDefault="00F02687" w:rsidP="00F02687">
      <w:r w:rsidRPr="00F02687">
        <w:t xml:space="preserve">After completion of the pivotal studies, the sponsor conducted various analyses to further justify the use of a flat dose regimen in preference to a regimen based on weight and </w:t>
      </w:r>
      <w:r w:rsidRPr="004C34C4">
        <w:t xml:space="preserve">serum </w:t>
      </w:r>
      <w:proofErr w:type="spellStart"/>
      <w:r w:rsidRPr="004C34C4">
        <w:t>IgE</w:t>
      </w:r>
      <w:proofErr w:type="spellEnd"/>
      <w:r w:rsidRPr="004C34C4">
        <w:t xml:space="preserve"> levels.</w:t>
      </w:r>
    </w:p>
    <w:p w:rsidR="008E7846" w:rsidRPr="009E38B5" w:rsidRDefault="008E7846" w:rsidP="009E38B5">
      <w:pPr>
        <w:pStyle w:val="Heading3"/>
      </w:pPr>
      <w:bookmarkStart w:id="94" w:name="_Toc163441372"/>
      <w:bookmarkStart w:id="95" w:name="_Toc196046485"/>
      <w:bookmarkStart w:id="96" w:name="_Toc247691521"/>
      <w:bookmarkStart w:id="97" w:name="_Toc314842504"/>
      <w:bookmarkStart w:id="98" w:name="_Toc426984858"/>
      <w:r w:rsidRPr="009E38B5">
        <w:t>Efficacy</w:t>
      </w:r>
      <w:bookmarkEnd w:id="94"/>
      <w:bookmarkEnd w:id="95"/>
      <w:bookmarkEnd w:id="96"/>
      <w:bookmarkEnd w:id="97"/>
      <w:bookmarkEnd w:id="98"/>
    </w:p>
    <w:p w:rsidR="00605AD4" w:rsidRPr="009E38B5" w:rsidRDefault="00605AD4" w:rsidP="009E38B5">
      <w:pPr>
        <w:pStyle w:val="Heading4"/>
      </w:pPr>
      <w:bookmarkStart w:id="99" w:name="_Toc184439992"/>
      <w:bookmarkStart w:id="100" w:name="_Toc184440279"/>
      <w:bookmarkStart w:id="101" w:name="_Toc184444657"/>
      <w:bookmarkStart w:id="102" w:name="_Toc196046487"/>
      <w:r w:rsidRPr="009E38B5">
        <w:t>Studies providing efficacy data</w:t>
      </w:r>
    </w:p>
    <w:p w:rsidR="00F02687" w:rsidRPr="009E38B5" w:rsidRDefault="00F02687" w:rsidP="009E38B5">
      <w:pPr>
        <w:pStyle w:val="Heading5"/>
      </w:pPr>
      <w:bookmarkStart w:id="103" w:name="_Ref271037274"/>
      <w:bookmarkStart w:id="104" w:name="_Toc272414652"/>
      <w:bookmarkStart w:id="105" w:name="_Toc290846274"/>
      <w:bookmarkStart w:id="106" w:name="_Toc255546054"/>
      <w:r w:rsidRPr="009E38B5">
        <w:t>Pivotal efficacy studies</w:t>
      </w:r>
      <w:bookmarkEnd w:id="103"/>
      <w:bookmarkEnd w:id="104"/>
      <w:bookmarkEnd w:id="105"/>
      <w:bookmarkEnd w:id="106"/>
    </w:p>
    <w:p w:rsidR="00135A8C" w:rsidRPr="00135A8C" w:rsidRDefault="00F02687" w:rsidP="00135A8C">
      <w:pPr>
        <w:pStyle w:val="ListBullet"/>
      </w:pPr>
      <w:bookmarkStart w:id="107" w:name="_Ref243301615"/>
      <w:bookmarkStart w:id="108" w:name="_Ref271040927"/>
      <w:bookmarkStart w:id="109" w:name="_Ref271040932"/>
      <w:bookmarkStart w:id="110" w:name="_Toc272414653"/>
      <w:bookmarkStart w:id="111" w:name="_Toc290846275"/>
      <w:bookmarkStart w:id="112" w:name="_Toc255546055"/>
      <w:r w:rsidRPr="00135A8C">
        <w:t xml:space="preserve">Study </w:t>
      </w:r>
      <w:bookmarkEnd w:id="107"/>
      <w:bookmarkEnd w:id="108"/>
      <w:bookmarkEnd w:id="109"/>
      <w:bookmarkEnd w:id="110"/>
      <w:bookmarkEnd w:id="111"/>
      <w:r w:rsidRPr="00135A8C">
        <w:t>4881g (</w:t>
      </w:r>
      <w:r w:rsidR="00065416">
        <w:t>also called ASTERIA I</w:t>
      </w:r>
      <w:r w:rsidRPr="00135A8C">
        <w:t>)</w:t>
      </w:r>
      <w:bookmarkEnd w:id="112"/>
    </w:p>
    <w:p w:rsidR="00F02687" w:rsidRPr="00F02687" w:rsidRDefault="00065416" w:rsidP="00135A8C">
      <w:pPr>
        <w:pStyle w:val="ListBullet"/>
      </w:pPr>
      <w:bookmarkStart w:id="113" w:name="_Toc255546071"/>
      <w:r>
        <w:t>Study 4882g (</w:t>
      </w:r>
      <w:r w:rsidRPr="00065416">
        <w:t xml:space="preserve">also called </w:t>
      </w:r>
      <w:r>
        <w:t>ASTERIA II</w:t>
      </w:r>
      <w:r w:rsidR="00F02687" w:rsidRPr="00F02687">
        <w:t>)</w:t>
      </w:r>
      <w:bookmarkEnd w:id="113"/>
    </w:p>
    <w:p w:rsidR="00F02687" w:rsidRPr="009E38B5" w:rsidRDefault="00F02687" w:rsidP="009E38B5">
      <w:pPr>
        <w:pStyle w:val="Heading5"/>
      </w:pPr>
      <w:bookmarkStart w:id="114" w:name="_Ref271037188"/>
      <w:bookmarkStart w:id="115" w:name="_Ref271037210"/>
      <w:bookmarkStart w:id="116" w:name="_Toc272414655"/>
      <w:bookmarkStart w:id="117" w:name="_Toc290846277"/>
      <w:bookmarkStart w:id="118" w:name="_Toc255546087"/>
      <w:r w:rsidRPr="009E38B5">
        <w:t>Other efficacy studies</w:t>
      </w:r>
      <w:bookmarkEnd w:id="114"/>
      <w:bookmarkEnd w:id="115"/>
      <w:bookmarkEnd w:id="116"/>
      <w:bookmarkEnd w:id="117"/>
      <w:bookmarkEnd w:id="118"/>
    </w:p>
    <w:p w:rsidR="00F02687" w:rsidRPr="00F02687" w:rsidRDefault="00065416" w:rsidP="00135A8C">
      <w:pPr>
        <w:pStyle w:val="ListBullet"/>
      </w:pPr>
      <w:bookmarkStart w:id="119" w:name="_Toc255546088"/>
      <w:r>
        <w:t>Study 4883g (</w:t>
      </w:r>
      <w:r w:rsidRPr="00065416">
        <w:t xml:space="preserve">also called </w:t>
      </w:r>
      <w:r>
        <w:t>GLACIAL</w:t>
      </w:r>
      <w:r w:rsidR="00F02687" w:rsidRPr="00F02687">
        <w:t>)</w:t>
      </w:r>
      <w:bookmarkEnd w:id="119"/>
    </w:p>
    <w:p w:rsidR="00F02687" w:rsidRPr="00F02687" w:rsidRDefault="00F02687" w:rsidP="00135A8C">
      <w:pPr>
        <w:pStyle w:val="ListBullet"/>
      </w:pPr>
      <w:bookmarkStart w:id="120" w:name="_Toc290846278"/>
      <w:bookmarkStart w:id="121" w:name="_Toc255546102"/>
      <w:r w:rsidRPr="00F02687">
        <w:t xml:space="preserve">Study </w:t>
      </w:r>
      <w:bookmarkEnd w:id="120"/>
      <w:r w:rsidR="00065416">
        <w:t>ADE05 (</w:t>
      </w:r>
      <w:r w:rsidR="00065416" w:rsidRPr="00065416">
        <w:t xml:space="preserve">also called </w:t>
      </w:r>
      <w:r w:rsidR="00065416">
        <w:t>X-QUISITE</w:t>
      </w:r>
      <w:r w:rsidRPr="00F02687">
        <w:t>)</w:t>
      </w:r>
      <w:bookmarkEnd w:id="121"/>
    </w:p>
    <w:p w:rsidR="00F02687" w:rsidRPr="00F02687" w:rsidRDefault="00F02687" w:rsidP="00135A8C">
      <w:pPr>
        <w:pStyle w:val="ListBullet"/>
      </w:pPr>
      <w:bookmarkStart w:id="122" w:name="_Toc290846279"/>
      <w:bookmarkStart w:id="123" w:name="_Ref255034678"/>
      <w:bookmarkStart w:id="124" w:name="_Toc255546103"/>
      <w:r w:rsidRPr="00F02687">
        <w:t xml:space="preserve">Study </w:t>
      </w:r>
      <w:bookmarkEnd w:id="122"/>
      <w:r w:rsidRPr="00F02687">
        <w:t>4577g (‘</w:t>
      </w:r>
      <w:r w:rsidR="00065416" w:rsidRPr="00065416">
        <w:t xml:space="preserve">also called </w:t>
      </w:r>
      <w:r w:rsidR="00065416">
        <w:t>MYSTIQUE</w:t>
      </w:r>
      <w:r w:rsidRPr="00F02687">
        <w:t>)</w:t>
      </w:r>
      <w:bookmarkEnd w:id="123"/>
      <w:bookmarkEnd w:id="124"/>
    </w:p>
    <w:p w:rsidR="00F02687" w:rsidRDefault="00135A8C" w:rsidP="00F02687">
      <w:r>
        <w:lastRenderedPageBreak/>
        <w:t>Detailed description of these studies and their results can be found in the CER extract (Attachment 2).</w:t>
      </w:r>
    </w:p>
    <w:p w:rsidR="00135A8C" w:rsidRPr="009E38B5" w:rsidRDefault="006C4777" w:rsidP="009E38B5">
      <w:pPr>
        <w:pStyle w:val="Heading5"/>
      </w:pPr>
      <w:r w:rsidRPr="009E38B5">
        <w:t>Efficacy variables</w:t>
      </w:r>
    </w:p>
    <w:p w:rsidR="00135A8C" w:rsidRDefault="00135A8C" w:rsidP="00F02687">
      <w:r>
        <w:t>The main efficacy variables were:</w:t>
      </w:r>
    </w:p>
    <w:p w:rsidR="00135A8C" w:rsidRPr="009E38B5" w:rsidRDefault="00873080" w:rsidP="009E38B5">
      <w:pPr>
        <w:pStyle w:val="Heading6"/>
      </w:pPr>
      <w:r w:rsidRPr="009E38B5">
        <w:t>Itch severity score</w:t>
      </w:r>
    </w:p>
    <w:p w:rsidR="00135A8C" w:rsidRPr="00135A8C" w:rsidRDefault="00135A8C" w:rsidP="00135A8C">
      <w:r w:rsidRPr="00135A8C">
        <w:t xml:space="preserve">Itch severity is recorded twice daily (morning and evening) in the patients’ </w:t>
      </w:r>
      <w:proofErr w:type="spellStart"/>
      <w:r w:rsidRPr="00135A8C">
        <w:t>eDiaries</w:t>
      </w:r>
      <w:proofErr w:type="spellEnd"/>
      <w:r w:rsidRPr="00135A8C">
        <w:t>, on a scale of 0 (none) to 3 (severe). A daily itch severity score is calculated as the average of the morning and evening scores. A weekly itch severity score is calculated as the sum of the seven daily itch severity scores. Possible scores range between 0 and 21.</w:t>
      </w:r>
    </w:p>
    <w:p w:rsidR="00135A8C" w:rsidRPr="00135A8C" w:rsidRDefault="00135A8C" w:rsidP="00135A8C">
      <w:r w:rsidRPr="00135A8C">
        <w:t xml:space="preserve">A </w:t>
      </w:r>
      <w:r w:rsidR="00873080">
        <w:t>‘</w:t>
      </w:r>
      <w:r w:rsidRPr="00135A8C">
        <w:t>minimally important difference (MID) response</w:t>
      </w:r>
      <w:r w:rsidR="00873080">
        <w:t>’</w:t>
      </w:r>
      <w:r w:rsidRPr="00135A8C">
        <w:t xml:space="preserve"> was defined as reduction from baseline in weekly itch score of a least 5 points.</w:t>
      </w:r>
    </w:p>
    <w:p w:rsidR="00156C11" w:rsidRPr="009E38B5" w:rsidRDefault="00873080" w:rsidP="009E38B5">
      <w:pPr>
        <w:pStyle w:val="Heading6"/>
      </w:pPr>
      <w:r w:rsidRPr="009E38B5">
        <w:t>Hives score</w:t>
      </w:r>
    </w:p>
    <w:p w:rsidR="00135A8C" w:rsidRPr="00156C11" w:rsidRDefault="00135A8C" w:rsidP="00156C11">
      <w:r w:rsidRPr="00156C11">
        <w:t>The number of wheals (hives) is measured twice daily (morning and evening), on a scale of 0 (none) to 3 (&gt; 12 hives). The daily hives score is the average of the morning and evening scores, and the weekly hives score is the sum of the daily hives scores over 7 days. Possible scores range between 0 and 21.</w:t>
      </w:r>
    </w:p>
    <w:p w:rsidR="00156C11" w:rsidRPr="009E38B5" w:rsidRDefault="00135A8C" w:rsidP="009E38B5">
      <w:pPr>
        <w:pStyle w:val="Heading6"/>
      </w:pPr>
      <w:proofErr w:type="spellStart"/>
      <w:r w:rsidRPr="009E38B5">
        <w:t>Urtic</w:t>
      </w:r>
      <w:r w:rsidR="00873080" w:rsidRPr="009E38B5">
        <w:t>aria</w:t>
      </w:r>
      <w:proofErr w:type="spellEnd"/>
      <w:r w:rsidR="00873080" w:rsidRPr="009E38B5">
        <w:t xml:space="preserve"> Activity Score (UAS)</w:t>
      </w:r>
    </w:p>
    <w:p w:rsidR="00135A8C" w:rsidRDefault="00135A8C" w:rsidP="00156C11">
      <w:r w:rsidRPr="00156C11">
        <w:t>The UAS is a composite score combining the above scores for a) itch and b) number of wheals (hives) as per the following table</w:t>
      </w:r>
      <w:r w:rsidR="00156C11">
        <w:t xml:space="preserve"> (Table 3)</w:t>
      </w:r>
      <w:r w:rsidR="00873080">
        <w:t>.</w:t>
      </w:r>
    </w:p>
    <w:p w:rsidR="00156C11" w:rsidRPr="009E38B5" w:rsidRDefault="00156C11" w:rsidP="009E38B5">
      <w:pPr>
        <w:pStyle w:val="TableTitle"/>
      </w:pPr>
      <w:r w:rsidRPr="009E38B5">
        <w:t xml:space="preserve">Table 3 </w:t>
      </w:r>
      <w:proofErr w:type="spellStart"/>
      <w:r w:rsidRPr="009E38B5">
        <w:t>Urticaria</w:t>
      </w:r>
      <w:proofErr w:type="spellEnd"/>
      <w:r w:rsidRPr="009E38B5">
        <w:t xml:space="preserve"> Activity Score.</w:t>
      </w:r>
    </w:p>
    <w:p w:rsidR="00135A8C" w:rsidRDefault="00135A8C" w:rsidP="00F02687">
      <w:r>
        <w:rPr>
          <w:noProof/>
          <w:lang w:eastAsia="en-AU"/>
        </w:rPr>
        <w:drawing>
          <wp:inline distT="0" distB="0" distL="0" distR="0" wp14:anchorId="7DC09CFC" wp14:editId="615358D2">
            <wp:extent cx="4759569" cy="1289050"/>
            <wp:effectExtent l="0" t="0" r="3175" b="6350"/>
            <wp:docPr id="5" name="Picture 5" descr="Table 3 Urticaria Activity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66123" cy="1290825"/>
                    </a:xfrm>
                    <a:prstGeom prst="rect">
                      <a:avLst/>
                    </a:prstGeom>
                  </pic:spPr>
                </pic:pic>
              </a:graphicData>
            </a:graphic>
          </wp:inline>
        </w:drawing>
      </w:r>
    </w:p>
    <w:p w:rsidR="00135A8C" w:rsidRPr="00156C11" w:rsidRDefault="00135A8C" w:rsidP="00156C11">
      <w:r w:rsidRPr="00156C11">
        <w:t xml:space="preserve">The scores for each are measured twice daily and daily UAS is the average of the morning and evening scores and has a possible range of 0 to 6. The </w:t>
      </w:r>
      <w:r w:rsidR="00D0347A">
        <w:t xml:space="preserve">weekly </w:t>
      </w:r>
      <w:proofErr w:type="spellStart"/>
      <w:r w:rsidR="00D0347A">
        <w:t>urticaria</w:t>
      </w:r>
      <w:proofErr w:type="spellEnd"/>
      <w:r w:rsidR="00D0347A">
        <w:t xml:space="preserve"> activity s</w:t>
      </w:r>
      <w:r w:rsidR="00D0347A" w:rsidRPr="00D0347A">
        <w:t xml:space="preserve">core </w:t>
      </w:r>
      <w:r w:rsidRPr="00156C11">
        <w:t>(UAS7) is the sum of the seven daily UAS scores with a possible range of 0 to 42.</w:t>
      </w:r>
    </w:p>
    <w:p w:rsidR="00156C11" w:rsidRPr="009E38B5" w:rsidRDefault="00873080" w:rsidP="009E38B5">
      <w:pPr>
        <w:pStyle w:val="Heading6"/>
      </w:pPr>
      <w:r w:rsidRPr="009E38B5">
        <w:t>The largest hive score</w:t>
      </w:r>
    </w:p>
    <w:p w:rsidR="00135A8C" w:rsidRPr="00156C11" w:rsidRDefault="00135A8C" w:rsidP="00156C11">
      <w:r w:rsidRPr="00156C11">
        <w:t>The largest hive score is measured twice daily, on a scale of 0 (none) to 3 (&gt; 2.5 cm). The daily largest hive score is the average of the morning and evening scores, and the weekly largest hive score is the sum of the daily scores over 7 days. Possible scores range between 0 and 21.</w:t>
      </w:r>
    </w:p>
    <w:p w:rsidR="00156C11" w:rsidRDefault="00135A8C" w:rsidP="009E38B5">
      <w:pPr>
        <w:pStyle w:val="Heading6"/>
      </w:pPr>
      <w:r w:rsidRPr="00156C11">
        <w:t xml:space="preserve">The </w:t>
      </w:r>
      <w:r w:rsidR="00405013">
        <w:t>d</w:t>
      </w:r>
      <w:r w:rsidRPr="00156C11">
        <w:t>ermat</w:t>
      </w:r>
      <w:r w:rsidR="00873080">
        <w:t xml:space="preserve">ology </w:t>
      </w:r>
      <w:r w:rsidR="00405013">
        <w:t>l</w:t>
      </w:r>
      <w:r w:rsidR="00873080">
        <w:t xml:space="preserve">ife </w:t>
      </w:r>
      <w:r w:rsidR="00405013">
        <w:t>q</w:t>
      </w:r>
      <w:r w:rsidR="00873080">
        <w:t xml:space="preserve">uality </w:t>
      </w:r>
      <w:r w:rsidR="00405013">
        <w:t>i</w:t>
      </w:r>
      <w:r w:rsidR="00873080">
        <w:t>ndex (DLQI)</w:t>
      </w:r>
    </w:p>
    <w:p w:rsidR="00135A8C" w:rsidRDefault="00135A8C" w:rsidP="00F02687">
      <w:r w:rsidRPr="00156C11">
        <w:t>The DLQI is a va</w:t>
      </w:r>
      <w:r w:rsidR="00873080">
        <w:t xml:space="preserve">lidated and widely used quality of </w:t>
      </w:r>
      <w:r w:rsidRPr="00156C11">
        <w:t>life instrument specific to dermatological disorders. In consists of 10 items covering six domains (symptoms and feelings, daily activities, leisure activities, work or school, personal relationships and treatment). Subjects are asked to rate the degree to which the skin condition has affected each item over the preceding week, from ‘not at all’ (0) to ‘very much’ (3). The range of possible scores is 0 to 30, with higher scores indicating a poorer quality of life. The minimally important difference (MID) in patients with CIU has been estimated to be in the range of 2.24 to 3.10 points (9). The DLQI was administered at clinic visits at weeks 0, 4, 12, 24 and 40.</w:t>
      </w:r>
    </w:p>
    <w:p w:rsidR="00156C11" w:rsidRPr="009E38B5" w:rsidRDefault="00156C11" w:rsidP="009E38B5">
      <w:pPr>
        <w:pStyle w:val="Heading5"/>
      </w:pPr>
      <w:bookmarkStart w:id="125" w:name="_Toc241374312"/>
      <w:bookmarkStart w:id="126" w:name="_Toc272414656"/>
      <w:bookmarkStart w:id="127" w:name="_Toc290846281"/>
      <w:bookmarkStart w:id="128" w:name="_Toc255546104"/>
      <w:r w:rsidRPr="009E38B5">
        <w:lastRenderedPageBreak/>
        <w:t>Analyses performed across trials (pooled analyses and meta-analyses)</w:t>
      </w:r>
      <w:bookmarkEnd w:id="125"/>
      <w:bookmarkEnd w:id="126"/>
      <w:bookmarkEnd w:id="127"/>
      <w:bookmarkEnd w:id="128"/>
    </w:p>
    <w:p w:rsidR="00156C11" w:rsidRDefault="00156C11" w:rsidP="00F02687">
      <w:r w:rsidRPr="00156C11">
        <w:t>In the Summary of Clinical Efficacy, the sponsor presented analyses of pooled effi</w:t>
      </w:r>
      <w:r w:rsidR="0050010A">
        <w:t>cacy data from the two pivotal S</w:t>
      </w:r>
      <w:r w:rsidRPr="00156C11">
        <w:t>tudies 4881g and 4882g. The results for the primary endpoint of change in</w:t>
      </w:r>
      <w:r w:rsidR="0050010A">
        <w:t xml:space="preserve"> weekly itch severity score at W</w:t>
      </w:r>
      <w:r w:rsidRPr="00156C11">
        <w:t xml:space="preserve">eek 12 are shown in </w:t>
      </w:r>
      <w:r>
        <w:t xml:space="preserve">Table </w:t>
      </w:r>
      <w:r w:rsidR="00355C78">
        <w:t>4</w:t>
      </w:r>
      <w:r>
        <w:t>.</w:t>
      </w:r>
    </w:p>
    <w:p w:rsidR="00156C11" w:rsidRPr="009E38B5" w:rsidRDefault="00355C78" w:rsidP="009E38B5">
      <w:pPr>
        <w:pStyle w:val="TableTitle"/>
      </w:pPr>
      <w:proofErr w:type="gramStart"/>
      <w:r w:rsidRPr="009E38B5">
        <w:t>Table 4</w:t>
      </w:r>
      <w:r w:rsidR="00156C11" w:rsidRPr="009E38B5">
        <w:t>.</w:t>
      </w:r>
      <w:proofErr w:type="gramEnd"/>
      <w:r w:rsidR="00156C11" w:rsidRPr="009E38B5">
        <w:t xml:space="preserve"> Pooled efficacy d</w:t>
      </w:r>
      <w:r w:rsidR="003E0079" w:rsidRPr="009E38B5">
        <w:t xml:space="preserve">ata (studies 4881g and 4882g). </w:t>
      </w:r>
      <w:r w:rsidR="00156C11" w:rsidRPr="009E38B5">
        <w:t>Change in weekly itch severity score at week 12</w:t>
      </w:r>
      <w:r w:rsidR="003E0079" w:rsidRPr="009E38B5">
        <w:t>.</w:t>
      </w:r>
    </w:p>
    <w:p w:rsidR="00156C11" w:rsidRPr="00F02687" w:rsidRDefault="00156C11" w:rsidP="00F02687">
      <w:r>
        <w:rPr>
          <w:noProof/>
          <w:lang w:eastAsia="en-AU"/>
        </w:rPr>
        <w:drawing>
          <wp:inline distT="0" distB="0" distL="0" distR="0" wp14:anchorId="55835212" wp14:editId="29F057F4">
            <wp:extent cx="5400040" cy="1710013"/>
            <wp:effectExtent l="0" t="0" r="0" b="5080"/>
            <wp:docPr id="6" name="Picture 6" descr="Table 4. Pooled efficacy data (studies 4881g and 4882g). Change in weekly itch severity score at we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1710013"/>
                    </a:xfrm>
                    <a:prstGeom prst="rect">
                      <a:avLst/>
                    </a:prstGeom>
                  </pic:spPr>
                </pic:pic>
              </a:graphicData>
            </a:graphic>
          </wp:inline>
        </w:drawing>
      </w:r>
    </w:p>
    <w:p w:rsidR="008E7846" w:rsidRPr="009E38B5" w:rsidRDefault="00605AD4" w:rsidP="009E38B5">
      <w:pPr>
        <w:pStyle w:val="Heading4"/>
      </w:pPr>
      <w:r w:rsidRPr="009E38B5">
        <w:t>Evaluator’s conclusions on efficacy</w:t>
      </w:r>
    </w:p>
    <w:p w:rsidR="00F02687" w:rsidRPr="00F02687" w:rsidRDefault="00F02687" w:rsidP="00F02687">
      <w:r w:rsidRPr="00F02687">
        <w:t xml:space="preserve">The two pivotal studies have demonstrated that </w:t>
      </w:r>
      <w:proofErr w:type="spellStart"/>
      <w:r w:rsidRPr="00F02687">
        <w:t>omalizumab</w:t>
      </w:r>
      <w:proofErr w:type="spellEnd"/>
      <w:r w:rsidRPr="00F02687">
        <w:t xml:space="preserve"> treatment produces improvements in disease activity that </w:t>
      </w:r>
      <w:r w:rsidR="0035787E">
        <w:t>is</w:t>
      </w:r>
      <w:r w:rsidR="0035787E" w:rsidRPr="00F02687">
        <w:t xml:space="preserve"> </w:t>
      </w:r>
      <w:r w:rsidRPr="00F02687">
        <w:t>statistically significantly greater than those produced with placebo. Superior efficacy compared to placebo was also demonstrat</w:t>
      </w:r>
      <w:r w:rsidR="008633BC">
        <w:t>ed in three supportive studies.</w:t>
      </w:r>
    </w:p>
    <w:p w:rsidR="00F02687" w:rsidRPr="00F02687" w:rsidRDefault="00F02687" w:rsidP="00F02687">
      <w:r w:rsidRPr="00F02687">
        <w:t>The demonstrated efficacy benefits are con</w:t>
      </w:r>
      <w:r w:rsidR="008633BC">
        <w:t>sidered clinically significant.</w:t>
      </w:r>
    </w:p>
    <w:p w:rsidR="00F02687" w:rsidRPr="0088484C" w:rsidRDefault="008633BC" w:rsidP="00F02687">
      <w:r>
        <w:t>Based on S</w:t>
      </w:r>
      <w:r w:rsidR="00F02687" w:rsidRPr="00F02687">
        <w:t xml:space="preserve">tudy 4577g, the </w:t>
      </w:r>
      <w:r w:rsidR="00C109C5">
        <w:t>MID</w:t>
      </w:r>
      <w:r w:rsidR="00F02687" w:rsidRPr="00F02687">
        <w:t xml:space="preserve"> in weekly itch improvement score was estimated to be in the range of 4</w:t>
      </w:r>
      <w:r>
        <w:t>.5 to</w:t>
      </w:r>
      <w:r w:rsidR="00F02687" w:rsidRPr="00F02687">
        <w:t xml:space="preserve"> 5.0 points</w:t>
      </w:r>
      <w:bookmarkStart w:id="129" w:name="_Ref420509937"/>
      <w:r w:rsidR="00355C78">
        <w:rPr>
          <w:rStyle w:val="FootnoteReference"/>
        </w:rPr>
        <w:footnoteReference w:id="9"/>
      </w:r>
      <w:bookmarkEnd w:id="129"/>
      <w:r>
        <w:t>. For the 300 mg dose, the (placebo corrected) improvements in S</w:t>
      </w:r>
      <w:r w:rsidR="00F02687" w:rsidRPr="00F02687">
        <w:t xml:space="preserve">tudies 4881g and 4882g were 5.8 and 4.8 </w:t>
      </w:r>
      <w:r w:rsidR="00F02687" w:rsidRPr="0088484C">
        <w:t xml:space="preserve">points respectively (see </w:t>
      </w:r>
      <w:r w:rsidR="0050010A">
        <w:t>T</w:t>
      </w:r>
      <w:r w:rsidR="00355C78" w:rsidRPr="0088484C">
        <w:t xml:space="preserve">able </w:t>
      </w:r>
      <w:r w:rsidR="0088484C" w:rsidRPr="0088484C">
        <w:t>5</w:t>
      </w:r>
      <w:r w:rsidR="00355C78" w:rsidRPr="0088484C">
        <w:t xml:space="preserve"> </w:t>
      </w:r>
      <w:r w:rsidR="00F02687" w:rsidRPr="0088484C">
        <w:t>and</w:t>
      </w:r>
      <w:r w:rsidR="0050010A">
        <w:t xml:space="preserve"> T</w:t>
      </w:r>
      <w:r w:rsidR="00355C78" w:rsidRPr="0088484C">
        <w:t xml:space="preserve">able </w:t>
      </w:r>
      <w:r w:rsidR="0088484C" w:rsidRPr="0088484C">
        <w:t>6</w:t>
      </w:r>
      <w:r w:rsidR="00355C78" w:rsidRPr="0088484C">
        <w:t>).</w:t>
      </w:r>
    </w:p>
    <w:p w:rsidR="00355C78" w:rsidRPr="009E38B5" w:rsidRDefault="0088484C" w:rsidP="009E38B5">
      <w:pPr>
        <w:pStyle w:val="TableTitle"/>
      </w:pPr>
      <w:proofErr w:type="gramStart"/>
      <w:r w:rsidRPr="009E38B5">
        <w:lastRenderedPageBreak/>
        <w:t>Table</w:t>
      </w:r>
      <w:r w:rsidR="00355C78" w:rsidRPr="009E38B5">
        <w:t xml:space="preserve"> </w:t>
      </w:r>
      <w:r w:rsidRPr="009E38B5">
        <w:t>5.</w:t>
      </w:r>
      <w:proofErr w:type="gramEnd"/>
      <w:r w:rsidR="00355C78" w:rsidRPr="009E38B5">
        <w:t xml:space="preserve"> Study 4881g </w:t>
      </w:r>
      <w:r w:rsidRPr="009E38B5">
        <w:t>Change in weekly itch severity score at week 12 (Primary endpoint)</w:t>
      </w:r>
      <w:r w:rsidR="003E0079" w:rsidRPr="009E38B5">
        <w:t>.</w:t>
      </w:r>
    </w:p>
    <w:p w:rsidR="00355C78" w:rsidRPr="0088484C" w:rsidRDefault="0088484C" w:rsidP="00F02687">
      <w:r>
        <w:rPr>
          <w:noProof/>
          <w:lang w:eastAsia="en-AU"/>
        </w:rPr>
        <w:drawing>
          <wp:inline distT="0" distB="0" distL="0" distR="0" wp14:anchorId="046AF633" wp14:editId="1673ABBE">
            <wp:extent cx="4197350" cy="3353318"/>
            <wp:effectExtent l="0" t="0" r="0" b="0"/>
            <wp:docPr id="9" name="Picture 9" descr="Table 5. Study 4881g Change in weekly itch severity score at week 12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00525" cy="3355855"/>
                    </a:xfrm>
                    <a:prstGeom prst="rect">
                      <a:avLst/>
                    </a:prstGeom>
                  </pic:spPr>
                </pic:pic>
              </a:graphicData>
            </a:graphic>
          </wp:inline>
        </w:drawing>
      </w:r>
    </w:p>
    <w:p w:rsidR="0088484C" w:rsidRPr="009E38B5" w:rsidRDefault="00355C78" w:rsidP="009E38B5">
      <w:pPr>
        <w:pStyle w:val="TableTitle"/>
      </w:pPr>
      <w:proofErr w:type="gramStart"/>
      <w:r w:rsidRPr="009E38B5">
        <w:t xml:space="preserve">Table </w:t>
      </w:r>
      <w:r w:rsidR="0088484C" w:rsidRPr="009E38B5">
        <w:t>6.</w:t>
      </w:r>
      <w:proofErr w:type="gramEnd"/>
      <w:r w:rsidR="003E0079" w:rsidRPr="009E38B5">
        <w:t xml:space="preserve"> Study 4882g. </w:t>
      </w:r>
      <w:proofErr w:type="gramStart"/>
      <w:r w:rsidR="0088484C" w:rsidRPr="009E38B5">
        <w:t>Change in weekly itch severity score at week 12 (Primary endpoint).</w:t>
      </w:r>
      <w:proofErr w:type="gramEnd"/>
    </w:p>
    <w:p w:rsidR="00355C78" w:rsidRPr="0088484C" w:rsidRDefault="0088484C" w:rsidP="00F02687">
      <w:r>
        <w:rPr>
          <w:noProof/>
          <w:lang w:eastAsia="en-AU"/>
        </w:rPr>
        <w:drawing>
          <wp:inline distT="0" distB="0" distL="0" distR="0" wp14:anchorId="6E9047C0" wp14:editId="301D85A4">
            <wp:extent cx="4368800" cy="3440713"/>
            <wp:effectExtent l="0" t="0" r="0" b="7620"/>
            <wp:docPr id="10" name="Picture 10" descr="Table 6. Study 4882g. Change in weekly itch severity score at week 12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70856" cy="3442332"/>
                    </a:xfrm>
                    <a:prstGeom prst="rect">
                      <a:avLst/>
                    </a:prstGeom>
                  </pic:spPr>
                </pic:pic>
              </a:graphicData>
            </a:graphic>
          </wp:inline>
        </w:drawing>
      </w:r>
    </w:p>
    <w:p w:rsidR="00F02687" w:rsidRPr="00F02687" w:rsidRDefault="00F02687" w:rsidP="00F02687">
      <w:r w:rsidRPr="00F02687">
        <w:t xml:space="preserve">For </w:t>
      </w:r>
      <w:r w:rsidRPr="00400187">
        <w:t xml:space="preserve">UAS7, </w:t>
      </w:r>
      <w:r w:rsidRPr="00F02687">
        <w:t>the MID was estimated to be in the range of 9.5 to 10.</w:t>
      </w:r>
      <w:r w:rsidRPr="00355C78">
        <w:t>5 points</w:t>
      </w:r>
      <w:r w:rsidR="00355C78">
        <w:t>.</w:t>
      </w:r>
      <w:r w:rsidR="00355C78" w:rsidRPr="00355C78">
        <w:rPr>
          <w:vertAlign w:val="superscript"/>
        </w:rPr>
        <w:fldChar w:fldCharType="begin"/>
      </w:r>
      <w:r w:rsidR="00355C78" w:rsidRPr="00355C78">
        <w:rPr>
          <w:vertAlign w:val="superscript"/>
        </w:rPr>
        <w:instrText xml:space="preserve"> NOTEREF _Ref420509937 \h  \* MERGEFORMAT </w:instrText>
      </w:r>
      <w:r w:rsidR="00355C78" w:rsidRPr="00355C78">
        <w:rPr>
          <w:vertAlign w:val="superscript"/>
        </w:rPr>
      </w:r>
      <w:r w:rsidR="00355C78" w:rsidRPr="00355C78">
        <w:rPr>
          <w:vertAlign w:val="superscript"/>
        </w:rPr>
        <w:fldChar w:fldCharType="separate"/>
      </w:r>
      <w:r w:rsidR="00A873FA">
        <w:rPr>
          <w:vertAlign w:val="superscript"/>
        </w:rPr>
        <w:t>9</w:t>
      </w:r>
      <w:r w:rsidR="00355C78" w:rsidRPr="00355C78">
        <w:rPr>
          <w:vertAlign w:val="superscript"/>
        </w:rPr>
        <w:fldChar w:fldCharType="end"/>
      </w:r>
      <w:r w:rsidRPr="00355C78">
        <w:t xml:space="preserve"> </w:t>
      </w:r>
      <w:r w:rsidR="008633BC">
        <w:t xml:space="preserve">For the 300 mg dose, the (placebo </w:t>
      </w:r>
      <w:r w:rsidRPr="00F02687">
        <w:t>corr</w:t>
      </w:r>
      <w:r w:rsidR="00400187">
        <w:t>ected) improvements in UAS7 in S</w:t>
      </w:r>
      <w:r w:rsidRPr="00F02687">
        <w:t>tudies 4881g and 4882g were 12.</w:t>
      </w:r>
      <w:r w:rsidR="003E0079">
        <w:t xml:space="preserve">8 and 12.4 points respectively. </w:t>
      </w:r>
      <w:r w:rsidR="00400187">
        <w:t xml:space="preserve">Similarly, the placebo </w:t>
      </w:r>
      <w:r w:rsidRPr="00F02687">
        <w:t>corrected improvement in</w:t>
      </w:r>
      <w:r w:rsidR="00400187">
        <w:t xml:space="preserve"> </w:t>
      </w:r>
      <w:r w:rsidRPr="00F02687">
        <w:t xml:space="preserve">DLQI exceeded the MID of 2.24 to 3.10 points in </w:t>
      </w:r>
      <w:r w:rsidR="00400187">
        <w:t>Study</w:t>
      </w:r>
      <w:r w:rsidRPr="00F02687">
        <w:t xml:space="preserve"> 4881g (see section </w:t>
      </w:r>
      <w:r w:rsidR="008D63AD">
        <w:t>7.1.1.14 in Attachment 2</w:t>
      </w:r>
      <w:r w:rsidRPr="00F02687">
        <w:t xml:space="preserve">) and was within this range in </w:t>
      </w:r>
      <w:r w:rsidR="00400187">
        <w:t>Study</w:t>
      </w:r>
      <w:r w:rsidRPr="00F02687">
        <w:t xml:space="preserve"> 4882g.</w:t>
      </w:r>
    </w:p>
    <w:p w:rsidR="00F02687" w:rsidRPr="00F02687" w:rsidRDefault="00F02687" w:rsidP="00F02687">
      <w:r w:rsidRPr="00F02687">
        <w:lastRenderedPageBreak/>
        <w:t xml:space="preserve">In </w:t>
      </w:r>
      <w:r w:rsidR="00400187">
        <w:t>Study</w:t>
      </w:r>
      <w:r w:rsidRPr="00F02687">
        <w:t xml:space="preserve"> 48</w:t>
      </w:r>
      <w:r w:rsidR="00400187">
        <w:t xml:space="preserve">81g the (placebo </w:t>
      </w:r>
      <w:r w:rsidRPr="00F02687">
        <w:t>corrected) proportion of patients who achieved complete resolution of itch and hives (</w:t>
      </w:r>
      <w:r w:rsidR="00400187">
        <w:t>that is,</w:t>
      </w:r>
      <w:r w:rsidRPr="00F02687">
        <w:t xml:space="preserve"> UAS7</w:t>
      </w:r>
      <w:r w:rsidR="00400187">
        <w:t xml:space="preserve"> </w:t>
      </w:r>
      <w:r w:rsidRPr="00F02687">
        <w:t>=</w:t>
      </w:r>
      <w:r w:rsidR="00400187">
        <w:t xml:space="preserve"> </w:t>
      </w:r>
      <w:r w:rsidRPr="00F02687">
        <w:t xml:space="preserve">0) at </w:t>
      </w:r>
      <w:r w:rsidR="008C4485">
        <w:t>Week</w:t>
      </w:r>
      <w:r w:rsidRPr="00F02687">
        <w:t xml:space="preserve"> 12 was 27%. This figure rose to 35.6% at </w:t>
      </w:r>
      <w:r w:rsidR="008C4485">
        <w:t>Week</w:t>
      </w:r>
      <w:r w:rsidRPr="00F02687">
        <w:t xml:space="preserve"> 24. In the supportive </w:t>
      </w:r>
      <w:r w:rsidR="00400187">
        <w:t>Study</w:t>
      </w:r>
      <w:r w:rsidRPr="00F02687">
        <w:t xml:space="preserve"> 4883g, the proportion was 28.9% at </w:t>
      </w:r>
      <w:r w:rsidR="008C4485">
        <w:t>Week</w:t>
      </w:r>
      <w:r w:rsidRPr="00F02687">
        <w:t xml:space="preserve"> 12 and 38.9% at </w:t>
      </w:r>
      <w:r w:rsidR="008C4485">
        <w:t>Week</w:t>
      </w:r>
      <w:r w:rsidRPr="00F02687">
        <w:t xml:space="preserve"> 24. Complete resolution of itch and hives is a clinically significant outcome, and these data suggest that it can be achieved in a subs</w:t>
      </w:r>
      <w:r w:rsidR="00400187">
        <w:t>tantial proportion of patients.</w:t>
      </w:r>
    </w:p>
    <w:p w:rsidR="00F02687" w:rsidRPr="00F02687" w:rsidRDefault="00F02687" w:rsidP="00F02687">
      <w:r w:rsidRPr="00F02687">
        <w:t xml:space="preserve">The recommended dose of 300 mg every 4 weeks is adequately supported by the submitted data. Results obtained with the 300 mg dose were consistently numerically superior to those obtained with the 150 mg dose. Onset of benefit was more rapid with the 300 mg dose and a statistically significant benefit was maintained out to 24 weeks with the 300 mg dose, but not with the 150 </w:t>
      </w:r>
      <w:r w:rsidRPr="00653CDB">
        <w:t>mg dose</w:t>
      </w:r>
      <w:r w:rsidR="00653CDB" w:rsidRPr="00653CDB">
        <w:t xml:space="preserve"> (as shown in Table 12 of Attachment 2)</w:t>
      </w:r>
      <w:r w:rsidRPr="00653CDB">
        <w:t xml:space="preserve">. It </w:t>
      </w:r>
      <w:r w:rsidRPr="00F02687">
        <w:t>is noted that the draft PI indicates that the 150 mg dose may be effective in some patients. Results with the 75 mg dose were inconsistent and generally not</w:t>
      </w:r>
      <w:r w:rsidR="003E0079">
        <w:t xml:space="preserve"> clinically significant.</w:t>
      </w:r>
    </w:p>
    <w:p w:rsidR="00F02687" w:rsidRPr="00F02687" w:rsidRDefault="00F02687" w:rsidP="00F02687">
      <w:r w:rsidRPr="00F02687">
        <w:t xml:space="preserve">Retrospective analysis suggested that a dosing regimen based on baseline </w:t>
      </w:r>
      <w:proofErr w:type="spellStart"/>
      <w:r w:rsidRPr="00F02687">
        <w:t>IgE</w:t>
      </w:r>
      <w:proofErr w:type="spellEnd"/>
      <w:r w:rsidRPr="00F02687">
        <w:t xml:space="preserve"> levels and weight (as per the currently approved asthma regimen) would result in greater variability in efficacy than the proposed flat-</w:t>
      </w:r>
      <w:r w:rsidRPr="00691D9F">
        <w:t>dose regimen (</w:t>
      </w:r>
      <w:r w:rsidR="00691D9F" w:rsidRPr="00691D9F">
        <w:t>see Figures 12 and13 in Attachment 2</w:t>
      </w:r>
      <w:r w:rsidRPr="00691D9F">
        <w:t>). Although</w:t>
      </w:r>
      <w:r w:rsidRPr="00F02687">
        <w:t xml:space="preserve"> a weight-based regimen would result in some decrease in variability in efficacy, the difference was not considered clinical significant. Another retrospective </w:t>
      </w:r>
      <w:r w:rsidRPr="00691D9F">
        <w:t>analysis (</w:t>
      </w:r>
      <w:r w:rsidR="00691D9F" w:rsidRPr="00691D9F">
        <w:t>see Figure 14 in Attachment 2</w:t>
      </w:r>
      <w:r w:rsidRPr="00691D9F">
        <w:t xml:space="preserve">) suggested that </w:t>
      </w:r>
      <w:r w:rsidRPr="00F02687">
        <w:t>extending the dosage interval to 5 or 6 weeks would be associated with a greater proportion of p</w:t>
      </w:r>
      <w:r w:rsidR="00911DBD">
        <w:t>atients losing disease control.</w:t>
      </w:r>
    </w:p>
    <w:p w:rsidR="00F02687" w:rsidRPr="00F02687" w:rsidRDefault="00F02687" w:rsidP="00F02687">
      <w:r w:rsidRPr="00F02687">
        <w:t xml:space="preserve">Overall the evidence submitted to support the efficacy of </w:t>
      </w:r>
      <w:proofErr w:type="spellStart"/>
      <w:r w:rsidRPr="00F02687">
        <w:t>omalizumab</w:t>
      </w:r>
      <w:proofErr w:type="spellEnd"/>
      <w:r w:rsidRPr="00F02687">
        <w:t xml:space="preserve"> in CIU is considered</w:t>
      </w:r>
      <w:r w:rsidR="00911DBD">
        <w:t xml:space="preserve"> adequate.</w:t>
      </w:r>
    </w:p>
    <w:p w:rsidR="008E7846" w:rsidRPr="009E38B5" w:rsidRDefault="008E7846" w:rsidP="009E38B5">
      <w:pPr>
        <w:pStyle w:val="Heading3"/>
      </w:pPr>
      <w:bookmarkStart w:id="130" w:name="_Toc163441378"/>
      <w:bookmarkStart w:id="131" w:name="_Toc196046495"/>
      <w:bookmarkStart w:id="132" w:name="_Toc247691522"/>
      <w:bookmarkStart w:id="133" w:name="_Toc314842505"/>
      <w:bookmarkStart w:id="134" w:name="_Toc426984859"/>
      <w:bookmarkEnd w:id="99"/>
      <w:bookmarkEnd w:id="100"/>
      <w:bookmarkEnd w:id="101"/>
      <w:bookmarkEnd w:id="102"/>
      <w:r w:rsidRPr="009E38B5">
        <w:t>Safety</w:t>
      </w:r>
      <w:bookmarkEnd w:id="130"/>
      <w:bookmarkEnd w:id="131"/>
      <w:bookmarkEnd w:id="132"/>
      <w:bookmarkEnd w:id="133"/>
      <w:bookmarkEnd w:id="134"/>
    </w:p>
    <w:p w:rsidR="00F02687" w:rsidRPr="00F02687" w:rsidRDefault="00F02687" w:rsidP="00F02687">
      <w:proofErr w:type="spellStart"/>
      <w:r w:rsidRPr="00F02687">
        <w:t>Omalizumab</w:t>
      </w:r>
      <w:proofErr w:type="spellEnd"/>
      <w:r w:rsidRPr="00F02687">
        <w:t xml:space="preserve"> has previously been associated with hypersensitivity reactions, including anaphylaxis and serum sickness, and precautionary statements on these issues are included in the current PI.</w:t>
      </w:r>
    </w:p>
    <w:p w:rsidR="00F02687" w:rsidRPr="00F02687" w:rsidRDefault="00F02687" w:rsidP="00F02687">
      <w:r w:rsidRPr="00F02687">
        <w:t xml:space="preserve">The drug has also been associated with </w:t>
      </w:r>
      <w:proofErr w:type="spellStart"/>
      <w:r w:rsidRPr="00F02687">
        <w:t>thro</w:t>
      </w:r>
      <w:r w:rsidR="0050010A">
        <w:t>mbocytopaenia</w:t>
      </w:r>
      <w:proofErr w:type="spellEnd"/>
      <w:r w:rsidR="0050010A">
        <w:t xml:space="preserve"> in animal studies</w:t>
      </w:r>
      <w:r w:rsidRPr="00F02687">
        <w:t xml:space="preserve"> but not in human clinical trials. However, the current PI lists ‘idiopathic severe </w:t>
      </w:r>
      <w:proofErr w:type="spellStart"/>
      <w:r w:rsidRPr="00F02687">
        <w:t>thrombocytopaenia</w:t>
      </w:r>
      <w:proofErr w:type="spellEnd"/>
      <w:r w:rsidRPr="00F02687">
        <w:t>’ as an adverse reaction iden</w:t>
      </w:r>
      <w:r w:rsidR="00626C24">
        <w:t xml:space="preserve">tified through spontaneous post </w:t>
      </w:r>
      <w:r w:rsidRPr="00F02687">
        <w:t>market reporting.</w:t>
      </w:r>
    </w:p>
    <w:p w:rsidR="00F02687" w:rsidRPr="00F02687" w:rsidRDefault="00F02687" w:rsidP="00F02687">
      <w:r w:rsidRPr="00F02687">
        <w:t xml:space="preserve">In the clinical trials submitted to support registration in asthma, there were an excess number of cases of malignancy with </w:t>
      </w:r>
      <w:proofErr w:type="spellStart"/>
      <w:r w:rsidRPr="00F02687">
        <w:t>omalizumab</w:t>
      </w:r>
      <w:proofErr w:type="spellEnd"/>
      <w:r w:rsidRPr="00F02687">
        <w:t xml:space="preserve"> compared to placebo (0.5% </w:t>
      </w:r>
      <w:r w:rsidR="00911DBD">
        <w:t>versus</w:t>
      </w:r>
      <w:r w:rsidRPr="00F02687">
        <w:t xml:space="preserve"> 0.2%). A precautionary statement on this issue is included in the current PI. A subsequent published analysis of a larg</w:t>
      </w:r>
      <w:r w:rsidR="003E0079">
        <w:t xml:space="preserve">er number of randomised placebo </w:t>
      </w:r>
      <w:r w:rsidRPr="00F02687">
        <w:t xml:space="preserve">controlled trials found no significant increase in the risk of </w:t>
      </w:r>
      <w:r w:rsidRPr="00691D9F">
        <w:t>malignancy</w:t>
      </w:r>
      <w:r w:rsidR="0050010A">
        <w:t>.</w:t>
      </w:r>
      <w:r w:rsidR="00691D9F" w:rsidRPr="00691D9F">
        <w:rPr>
          <w:rStyle w:val="FootnoteReference"/>
        </w:rPr>
        <w:footnoteReference w:id="10"/>
      </w:r>
    </w:p>
    <w:p w:rsidR="00F02687" w:rsidRPr="00F02687" w:rsidRDefault="00F02687" w:rsidP="00F02687">
      <w:r w:rsidRPr="00F02687">
        <w:t xml:space="preserve">In 2009 the FDA announced that it was conducting a safety review of </w:t>
      </w:r>
      <w:proofErr w:type="spellStart"/>
      <w:r w:rsidRPr="00691D9F">
        <w:t>omalizumab</w:t>
      </w:r>
      <w:proofErr w:type="spellEnd"/>
      <w:r w:rsidR="0050010A">
        <w:t>.</w:t>
      </w:r>
      <w:r w:rsidR="00691D9F" w:rsidRPr="00691D9F">
        <w:rPr>
          <w:rStyle w:val="FootnoteReference"/>
        </w:rPr>
        <w:footnoteReference w:id="11"/>
      </w:r>
      <w:r w:rsidRPr="00691D9F">
        <w:t xml:space="preserve"> An </w:t>
      </w:r>
      <w:r w:rsidRPr="00F02687">
        <w:t xml:space="preserve">interim </w:t>
      </w:r>
      <w:r w:rsidR="003E0079">
        <w:t xml:space="preserve">analysis of a large ongoing non </w:t>
      </w:r>
      <w:r w:rsidRPr="00F02687">
        <w:t>randomised study in asthma patients (the EXCELS study) had suggested an increased incidence of serious cardiovascular adverse events. However, no action appears to have been taken by the FDA on this issue since that time.</w:t>
      </w:r>
    </w:p>
    <w:p w:rsidR="00605AD4" w:rsidRPr="009E38B5" w:rsidRDefault="00605AD4" w:rsidP="009E38B5">
      <w:pPr>
        <w:pStyle w:val="Heading4"/>
      </w:pPr>
      <w:bookmarkStart w:id="135" w:name="_Toc247691524"/>
      <w:bookmarkStart w:id="136" w:name="_Toc314842508"/>
      <w:bookmarkStart w:id="137" w:name="_Toc196046504"/>
      <w:bookmarkStart w:id="138" w:name="_Toc163441390"/>
      <w:r w:rsidRPr="009E38B5">
        <w:t>Studies providing safety data</w:t>
      </w:r>
    </w:p>
    <w:p w:rsidR="00F02687" w:rsidRPr="00F02687" w:rsidRDefault="00F02687" w:rsidP="00F02687">
      <w:bookmarkStart w:id="139" w:name="_Ref268776745"/>
      <w:r w:rsidRPr="00F02687">
        <w:t>The following studies provided evaluable safety data:</w:t>
      </w:r>
    </w:p>
    <w:p w:rsidR="00F02687" w:rsidRPr="009E38B5" w:rsidRDefault="00F978F0" w:rsidP="009E38B5">
      <w:pPr>
        <w:pStyle w:val="Heading5"/>
      </w:pPr>
      <w:r w:rsidRPr="009E38B5">
        <w:lastRenderedPageBreak/>
        <w:t>Phase</w:t>
      </w:r>
      <w:r w:rsidR="00F02687" w:rsidRPr="009E38B5">
        <w:t xml:space="preserve"> III studies</w:t>
      </w:r>
      <w:bookmarkEnd w:id="139"/>
      <w:r w:rsidR="00F02687" w:rsidRPr="009E38B5">
        <w:t xml:space="preserve"> (4881g, 4882g and 4883g)</w:t>
      </w:r>
    </w:p>
    <w:p w:rsidR="00F02687" w:rsidRPr="00F02687" w:rsidRDefault="00F02687" w:rsidP="00F02687">
      <w:r w:rsidRPr="00F02687">
        <w:t xml:space="preserve">In the three </w:t>
      </w:r>
      <w:r w:rsidR="00F978F0">
        <w:t>Phase</w:t>
      </w:r>
      <w:r w:rsidRPr="00F02687">
        <w:t xml:space="preserve"> III studies, the follow</w:t>
      </w:r>
      <w:r>
        <w:t>ing safety data were collected:</w:t>
      </w:r>
    </w:p>
    <w:p w:rsidR="00F02687" w:rsidRPr="009E38B5" w:rsidRDefault="00F02687" w:rsidP="009E38B5">
      <w:pPr>
        <w:pStyle w:val="Heading5"/>
      </w:pPr>
      <w:r w:rsidRPr="009E38B5">
        <w:t>Pivotal studies that assessed safety as a primary outcome</w:t>
      </w:r>
    </w:p>
    <w:p w:rsidR="00F02687" w:rsidRPr="00911DBD" w:rsidRDefault="00F02687" w:rsidP="00911DBD">
      <w:r w:rsidRPr="00911DBD">
        <w:t xml:space="preserve">The primary objective of </w:t>
      </w:r>
      <w:r w:rsidR="00400187" w:rsidRPr="00911DBD">
        <w:t>Study</w:t>
      </w:r>
      <w:r w:rsidRPr="00911DBD">
        <w:t xml:space="preserve"> 4883g was to examine the safety of </w:t>
      </w:r>
      <w:proofErr w:type="spellStart"/>
      <w:r w:rsidRPr="00911DBD">
        <w:t>omalizumab</w:t>
      </w:r>
      <w:proofErr w:type="spellEnd"/>
      <w:r w:rsidRPr="00911DBD">
        <w:t xml:space="preserve"> compared to placebo. However, the safety findings from this study are reviewed as part of the pooled safety analysis.</w:t>
      </w:r>
    </w:p>
    <w:p w:rsidR="00F02687" w:rsidRPr="009E38B5" w:rsidRDefault="00914A38" w:rsidP="009E38B5">
      <w:pPr>
        <w:pStyle w:val="Heading5"/>
      </w:pPr>
      <w:r w:rsidRPr="009E38B5">
        <w:t xml:space="preserve">Dose response and </w:t>
      </w:r>
      <w:proofErr w:type="spellStart"/>
      <w:r w:rsidRPr="009E38B5">
        <w:t xml:space="preserve">non </w:t>
      </w:r>
      <w:r w:rsidR="00F02687" w:rsidRPr="009E38B5">
        <w:t>pivotal</w:t>
      </w:r>
      <w:proofErr w:type="spellEnd"/>
      <w:r w:rsidR="00F02687" w:rsidRPr="009E38B5">
        <w:t xml:space="preserve"> efficacy studies</w:t>
      </w:r>
    </w:p>
    <w:p w:rsidR="00F02687" w:rsidRPr="00F02687" w:rsidRDefault="00F02687" w:rsidP="00F02687">
      <w:r w:rsidRPr="00F02687">
        <w:t xml:space="preserve">In Study ADE05 data on </w:t>
      </w:r>
      <w:r w:rsidR="0050010A">
        <w:t>adverse events (</w:t>
      </w:r>
      <w:r w:rsidRPr="00F02687">
        <w:t>AEs</w:t>
      </w:r>
      <w:r w:rsidR="0050010A">
        <w:t>)</w:t>
      </w:r>
      <w:r w:rsidRPr="00F02687">
        <w:t xml:space="preserve"> were collected at each study visit (</w:t>
      </w:r>
      <w:r w:rsidR="00914A38">
        <w:t xml:space="preserve">that is, every 4 weeks) over the 24 </w:t>
      </w:r>
      <w:r w:rsidRPr="00F02687">
        <w:t xml:space="preserve">week period of the study. Central laboratory testing (haematology and biochemistry) was only conducted at screening and at </w:t>
      </w:r>
      <w:r w:rsidR="008C4485">
        <w:t>Week</w:t>
      </w:r>
      <w:r w:rsidRPr="00F02687">
        <w:t xml:space="preserve"> 24.</w:t>
      </w:r>
    </w:p>
    <w:p w:rsidR="00F02687" w:rsidRPr="00F02687" w:rsidRDefault="00F02687" w:rsidP="00F02687">
      <w:r w:rsidRPr="00F02687">
        <w:t xml:space="preserve">In </w:t>
      </w:r>
      <w:r w:rsidR="00400187">
        <w:t>Study</w:t>
      </w:r>
      <w:r w:rsidRPr="00F02687">
        <w:t xml:space="preserve"> 4577g data on AEs were collected weekly for the first 4 weeks after the single dose of treatment and then every 4 weeks until </w:t>
      </w:r>
      <w:r w:rsidR="008C4485">
        <w:t>Week</w:t>
      </w:r>
      <w:r w:rsidRPr="00F02687">
        <w:t xml:space="preserve"> 16. Haematology was tested at the same times. Blood biochemistry and urinalysis were only conducted at baseline. Vital signs were</w:t>
      </w:r>
      <w:r w:rsidR="00914A38">
        <w:t xml:space="preserve"> measured at 4 </w:t>
      </w:r>
      <w:r>
        <w:t>weekly intervals</w:t>
      </w:r>
      <w:r w:rsidR="003E0079">
        <w:t>.</w:t>
      </w:r>
    </w:p>
    <w:p w:rsidR="00605AD4" w:rsidRPr="009E38B5" w:rsidRDefault="00605AD4" w:rsidP="009E38B5">
      <w:pPr>
        <w:pStyle w:val="Heading4"/>
      </w:pPr>
      <w:r w:rsidRPr="009E38B5">
        <w:t>Patient exposure</w:t>
      </w:r>
    </w:p>
    <w:p w:rsidR="00F02687" w:rsidRPr="00F02687" w:rsidRDefault="00F02687" w:rsidP="00F02687">
      <w:r w:rsidRPr="00F02687">
        <w:t xml:space="preserve">The five clinical studies in the submission, included at total of 1114 subjects. Of these, 829 received </w:t>
      </w:r>
      <w:proofErr w:type="spellStart"/>
      <w:r w:rsidRPr="00F02687">
        <w:t>omalizumab</w:t>
      </w:r>
      <w:proofErr w:type="spellEnd"/>
      <w:r w:rsidRPr="00F02687">
        <w:t xml:space="preserve"> and 285 received placebo.</w:t>
      </w:r>
    </w:p>
    <w:p w:rsidR="00561CC9" w:rsidRPr="009E38B5" w:rsidRDefault="00561CC9" w:rsidP="009E38B5">
      <w:pPr>
        <w:pStyle w:val="TableTitle"/>
      </w:pPr>
      <w:bookmarkStart w:id="140" w:name="_Toc255546171"/>
      <w:proofErr w:type="gramStart"/>
      <w:r w:rsidRPr="009E38B5">
        <w:t xml:space="preserve">Table </w:t>
      </w:r>
      <w:r w:rsidR="00803386" w:rsidRPr="009E38B5">
        <w:t>7</w:t>
      </w:r>
      <w:r w:rsidR="003E0079" w:rsidRPr="009E38B5">
        <w:t>.</w:t>
      </w:r>
      <w:proofErr w:type="gramEnd"/>
      <w:r w:rsidRPr="009E38B5">
        <w:t xml:space="preserve"> </w:t>
      </w:r>
      <w:proofErr w:type="gramStart"/>
      <w:r w:rsidRPr="009E38B5">
        <w:t xml:space="preserve">Exposure to </w:t>
      </w:r>
      <w:proofErr w:type="spellStart"/>
      <w:r w:rsidRPr="009E38B5">
        <w:t>Omalizumab</w:t>
      </w:r>
      <w:proofErr w:type="spellEnd"/>
      <w:r w:rsidRPr="009E38B5">
        <w:t xml:space="preserve"> and placebo in clinical studies.</w:t>
      </w:r>
      <w:bookmarkEnd w:id="140"/>
      <w:proofErr w:type="gramEnd"/>
    </w:p>
    <w:tbl>
      <w:tblPr>
        <w:tblStyle w:val="TableTGAblue"/>
        <w:tblW w:w="0" w:type="auto"/>
        <w:tblLook w:val="04A0" w:firstRow="1" w:lastRow="0" w:firstColumn="1" w:lastColumn="0" w:noHBand="0" w:noVBand="1"/>
      </w:tblPr>
      <w:tblGrid>
        <w:gridCol w:w="1303"/>
        <w:gridCol w:w="1352"/>
        <w:gridCol w:w="928"/>
        <w:gridCol w:w="928"/>
        <w:gridCol w:w="982"/>
        <w:gridCol w:w="1094"/>
        <w:gridCol w:w="1045"/>
        <w:gridCol w:w="1088"/>
      </w:tblGrid>
      <w:tr w:rsidR="00561CC9" w:rsidRPr="00561CC9" w:rsidTr="00561CC9">
        <w:trPr>
          <w:cnfStyle w:val="100000000000" w:firstRow="1" w:lastRow="0" w:firstColumn="0" w:lastColumn="0" w:oddVBand="0" w:evenVBand="0" w:oddHBand="0" w:evenHBand="0" w:firstRowFirstColumn="0" w:firstRowLastColumn="0" w:lastRowFirstColumn="0" w:lastRowLastColumn="0"/>
        </w:trPr>
        <w:tc>
          <w:tcPr>
            <w:tcW w:w="1287" w:type="dxa"/>
            <w:vMerge w:val="restart"/>
            <w:tcBorders>
              <w:bottom w:val="single" w:sz="4" w:space="0" w:color="auto"/>
            </w:tcBorders>
          </w:tcPr>
          <w:p w:rsidR="00561CC9" w:rsidRPr="00561CC9" w:rsidRDefault="00561CC9" w:rsidP="009E38B5">
            <w:r>
              <w:t>Study</w:t>
            </w:r>
          </w:p>
        </w:tc>
        <w:tc>
          <w:tcPr>
            <w:tcW w:w="1244" w:type="dxa"/>
            <w:vMerge w:val="restart"/>
            <w:tcBorders>
              <w:bottom w:val="single" w:sz="4" w:space="0" w:color="auto"/>
            </w:tcBorders>
          </w:tcPr>
          <w:p w:rsidR="00561CC9" w:rsidRPr="00561CC9" w:rsidRDefault="00561CC9" w:rsidP="009E38B5">
            <w:r w:rsidRPr="00561CC9">
              <w:t>Placebo</w:t>
            </w:r>
          </w:p>
        </w:tc>
        <w:tc>
          <w:tcPr>
            <w:tcW w:w="5141" w:type="dxa"/>
            <w:gridSpan w:val="5"/>
          </w:tcPr>
          <w:p w:rsidR="00561CC9" w:rsidRPr="00561CC9" w:rsidRDefault="00561CC9" w:rsidP="009E38B5">
            <w:proofErr w:type="spellStart"/>
            <w:r w:rsidRPr="00561CC9">
              <w:t>Omalizumab</w:t>
            </w:r>
            <w:proofErr w:type="spellEnd"/>
          </w:p>
        </w:tc>
        <w:tc>
          <w:tcPr>
            <w:tcW w:w="1048" w:type="dxa"/>
            <w:vMerge w:val="restart"/>
          </w:tcPr>
          <w:p w:rsidR="00561CC9" w:rsidRPr="00561CC9" w:rsidRDefault="00561CC9" w:rsidP="009E38B5">
            <w:r w:rsidRPr="00561CC9">
              <w:t>Total</w:t>
            </w:r>
          </w:p>
        </w:tc>
      </w:tr>
      <w:tr w:rsidR="00561CC9" w:rsidRPr="00561CC9" w:rsidTr="00561CC9">
        <w:tc>
          <w:tcPr>
            <w:tcW w:w="1287" w:type="dxa"/>
            <w:vMerge/>
            <w:tcBorders>
              <w:top w:val="nil"/>
              <w:bottom w:val="single" w:sz="4" w:space="0" w:color="auto"/>
              <w:right w:val="nil"/>
            </w:tcBorders>
          </w:tcPr>
          <w:p w:rsidR="00561CC9" w:rsidRPr="00561CC9" w:rsidRDefault="00561CC9" w:rsidP="009E38B5"/>
        </w:tc>
        <w:tc>
          <w:tcPr>
            <w:tcW w:w="1244" w:type="dxa"/>
            <w:vMerge/>
            <w:tcBorders>
              <w:top w:val="nil"/>
              <w:left w:val="nil"/>
              <w:bottom w:val="single" w:sz="4" w:space="0" w:color="auto"/>
              <w:right w:val="nil"/>
            </w:tcBorders>
          </w:tcPr>
          <w:p w:rsidR="00561CC9" w:rsidRPr="00561CC9" w:rsidRDefault="00561CC9" w:rsidP="009E38B5"/>
        </w:tc>
        <w:tc>
          <w:tcPr>
            <w:tcW w:w="945" w:type="dxa"/>
            <w:tcBorders>
              <w:left w:val="nil"/>
            </w:tcBorders>
            <w:shd w:val="clear" w:color="auto" w:fill="0070B5" w:themeFill="text2" w:themeFillTint="BF"/>
          </w:tcPr>
          <w:p w:rsidR="00561CC9" w:rsidRPr="009C3BDF" w:rsidRDefault="00561CC9" w:rsidP="009E38B5">
            <w:pPr>
              <w:rPr>
                <w:color w:val="FFFFFF" w:themeColor="background1"/>
              </w:rPr>
            </w:pPr>
            <w:r w:rsidRPr="009C3BDF">
              <w:rPr>
                <w:color w:val="FFFFFF" w:themeColor="background1"/>
              </w:rPr>
              <w:t>75 mg</w:t>
            </w:r>
          </w:p>
        </w:tc>
        <w:tc>
          <w:tcPr>
            <w:tcW w:w="948" w:type="dxa"/>
            <w:shd w:val="clear" w:color="auto" w:fill="0070B5" w:themeFill="text2" w:themeFillTint="BF"/>
          </w:tcPr>
          <w:p w:rsidR="00561CC9" w:rsidRPr="009C3BDF" w:rsidRDefault="00561CC9" w:rsidP="009E38B5">
            <w:pPr>
              <w:rPr>
                <w:color w:val="FFFFFF" w:themeColor="background1"/>
              </w:rPr>
            </w:pPr>
            <w:r w:rsidRPr="009C3BDF">
              <w:rPr>
                <w:color w:val="FFFFFF" w:themeColor="background1"/>
              </w:rPr>
              <w:t>150 mg</w:t>
            </w:r>
          </w:p>
        </w:tc>
        <w:tc>
          <w:tcPr>
            <w:tcW w:w="1162" w:type="dxa"/>
            <w:shd w:val="clear" w:color="auto" w:fill="0070B5" w:themeFill="text2" w:themeFillTint="BF"/>
          </w:tcPr>
          <w:p w:rsidR="00561CC9" w:rsidRPr="009C3BDF" w:rsidRDefault="00561CC9" w:rsidP="009E38B5">
            <w:pPr>
              <w:rPr>
                <w:color w:val="FFFFFF" w:themeColor="background1"/>
              </w:rPr>
            </w:pPr>
            <w:r w:rsidRPr="009C3BDF">
              <w:rPr>
                <w:color w:val="FFFFFF" w:themeColor="background1"/>
              </w:rPr>
              <w:t>30</w:t>
            </w:r>
            <w:r w:rsidR="00F978F0" w:rsidRPr="009C3BDF">
              <w:rPr>
                <w:color w:val="FFFFFF" w:themeColor="background1"/>
              </w:rPr>
              <w:t>0 mg</w:t>
            </w:r>
          </w:p>
        </w:tc>
        <w:tc>
          <w:tcPr>
            <w:tcW w:w="1060" w:type="dxa"/>
            <w:shd w:val="clear" w:color="auto" w:fill="0070B5" w:themeFill="text2" w:themeFillTint="BF"/>
          </w:tcPr>
          <w:p w:rsidR="00561CC9" w:rsidRPr="009C3BDF" w:rsidRDefault="00561CC9" w:rsidP="009E38B5">
            <w:pPr>
              <w:rPr>
                <w:color w:val="FFFFFF" w:themeColor="background1"/>
              </w:rPr>
            </w:pPr>
            <w:r w:rsidRPr="009C3BDF">
              <w:rPr>
                <w:color w:val="FFFFFF" w:themeColor="background1"/>
              </w:rPr>
              <w:t>Other</w:t>
            </w:r>
          </w:p>
        </w:tc>
        <w:tc>
          <w:tcPr>
            <w:tcW w:w="1026" w:type="dxa"/>
            <w:shd w:val="clear" w:color="auto" w:fill="0070B5" w:themeFill="text2" w:themeFillTint="BF"/>
          </w:tcPr>
          <w:p w:rsidR="00561CC9" w:rsidRPr="009C3BDF" w:rsidRDefault="00561CC9" w:rsidP="009E38B5">
            <w:pPr>
              <w:rPr>
                <w:color w:val="FFFFFF" w:themeColor="background1"/>
              </w:rPr>
            </w:pPr>
            <w:r w:rsidRPr="009C3BDF">
              <w:rPr>
                <w:color w:val="FFFFFF" w:themeColor="background1"/>
              </w:rPr>
              <w:t>Total</w:t>
            </w:r>
          </w:p>
        </w:tc>
        <w:tc>
          <w:tcPr>
            <w:tcW w:w="1048" w:type="dxa"/>
            <w:vMerge/>
          </w:tcPr>
          <w:p w:rsidR="00561CC9" w:rsidRPr="00561CC9" w:rsidRDefault="00561CC9" w:rsidP="009E38B5"/>
        </w:tc>
      </w:tr>
      <w:tr w:rsidR="00561CC9" w:rsidRPr="00561CC9" w:rsidTr="00561CC9">
        <w:tc>
          <w:tcPr>
            <w:tcW w:w="1287" w:type="dxa"/>
            <w:tcBorders>
              <w:top w:val="single" w:sz="4" w:space="0" w:color="auto"/>
            </w:tcBorders>
          </w:tcPr>
          <w:p w:rsidR="00561CC9" w:rsidRPr="00561CC9" w:rsidRDefault="00561CC9" w:rsidP="009E38B5">
            <w:r w:rsidRPr="00561CC9">
              <w:t>ADE05</w:t>
            </w:r>
            <w:r>
              <w:t>*</w:t>
            </w:r>
          </w:p>
        </w:tc>
        <w:tc>
          <w:tcPr>
            <w:tcW w:w="1244" w:type="dxa"/>
            <w:tcBorders>
              <w:top w:val="single" w:sz="4" w:space="0" w:color="auto"/>
            </w:tcBorders>
          </w:tcPr>
          <w:p w:rsidR="00561CC9" w:rsidRPr="00561CC9" w:rsidRDefault="00561CC9" w:rsidP="009E38B5">
            <w:r w:rsidRPr="00561CC9">
              <w:t>22</w:t>
            </w:r>
          </w:p>
        </w:tc>
        <w:tc>
          <w:tcPr>
            <w:tcW w:w="945" w:type="dxa"/>
          </w:tcPr>
          <w:p w:rsidR="00561CC9" w:rsidRPr="00561CC9" w:rsidRDefault="00561CC9" w:rsidP="009E38B5"/>
        </w:tc>
        <w:tc>
          <w:tcPr>
            <w:tcW w:w="948" w:type="dxa"/>
          </w:tcPr>
          <w:p w:rsidR="00561CC9" w:rsidRPr="00561CC9" w:rsidRDefault="00561CC9" w:rsidP="009E38B5"/>
        </w:tc>
        <w:tc>
          <w:tcPr>
            <w:tcW w:w="1162" w:type="dxa"/>
          </w:tcPr>
          <w:p w:rsidR="00561CC9" w:rsidRPr="00561CC9" w:rsidRDefault="00561CC9" w:rsidP="009E38B5"/>
        </w:tc>
        <w:tc>
          <w:tcPr>
            <w:tcW w:w="1060" w:type="dxa"/>
          </w:tcPr>
          <w:p w:rsidR="00561CC9" w:rsidRPr="00561CC9" w:rsidRDefault="00561CC9" w:rsidP="009E38B5">
            <w:r w:rsidRPr="00561CC9">
              <w:t>27*</w:t>
            </w:r>
          </w:p>
        </w:tc>
        <w:tc>
          <w:tcPr>
            <w:tcW w:w="1026" w:type="dxa"/>
          </w:tcPr>
          <w:p w:rsidR="00561CC9" w:rsidRPr="00561CC9" w:rsidRDefault="00561CC9" w:rsidP="009E38B5">
            <w:r w:rsidRPr="00561CC9">
              <w:t>27</w:t>
            </w:r>
          </w:p>
        </w:tc>
        <w:tc>
          <w:tcPr>
            <w:tcW w:w="1048" w:type="dxa"/>
          </w:tcPr>
          <w:p w:rsidR="00561CC9" w:rsidRPr="00561CC9" w:rsidRDefault="00561CC9" w:rsidP="009E38B5">
            <w:r w:rsidRPr="00561CC9">
              <w:t>49</w:t>
            </w:r>
          </w:p>
        </w:tc>
      </w:tr>
      <w:tr w:rsidR="00561CC9" w:rsidRPr="00561CC9" w:rsidTr="00561CC9">
        <w:tc>
          <w:tcPr>
            <w:tcW w:w="1287" w:type="dxa"/>
          </w:tcPr>
          <w:p w:rsidR="00561CC9" w:rsidRPr="00561CC9" w:rsidRDefault="00561CC9" w:rsidP="009E38B5">
            <w:r w:rsidRPr="00561CC9">
              <w:t>4577g</w:t>
            </w:r>
          </w:p>
        </w:tc>
        <w:tc>
          <w:tcPr>
            <w:tcW w:w="1244" w:type="dxa"/>
          </w:tcPr>
          <w:p w:rsidR="00561CC9" w:rsidRPr="00561CC9" w:rsidRDefault="00561CC9" w:rsidP="009E38B5">
            <w:r w:rsidRPr="00561CC9">
              <w:t>21</w:t>
            </w:r>
          </w:p>
        </w:tc>
        <w:tc>
          <w:tcPr>
            <w:tcW w:w="945" w:type="dxa"/>
          </w:tcPr>
          <w:p w:rsidR="00561CC9" w:rsidRPr="00561CC9" w:rsidRDefault="00561CC9" w:rsidP="009E38B5">
            <w:r w:rsidRPr="00561CC9">
              <w:t>23</w:t>
            </w:r>
          </w:p>
        </w:tc>
        <w:tc>
          <w:tcPr>
            <w:tcW w:w="948" w:type="dxa"/>
          </w:tcPr>
          <w:p w:rsidR="00561CC9" w:rsidRPr="00561CC9" w:rsidRDefault="00561CC9" w:rsidP="009E38B5"/>
        </w:tc>
        <w:tc>
          <w:tcPr>
            <w:tcW w:w="1162" w:type="dxa"/>
          </w:tcPr>
          <w:p w:rsidR="00561CC9" w:rsidRPr="00561CC9" w:rsidRDefault="00561CC9" w:rsidP="009E38B5">
            <w:r w:rsidRPr="00561CC9">
              <w:t>25</w:t>
            </w:r>
          </w:p>
        </w:tc>
        <w:tc>
          <w:tcPr>
            <w:tcW w:w="1060" w:type="dxa"/>
          </w:tcPr>
          <w:p w:rsidR="00561CC9" w:rsidRPr="00561CC9" w:rsidRDefault="00561CC9" w:rsidP="009E38B5">
            <w:r w:rsidRPr="00561CC9">
              <w:t>21*</w:t>
            </w:r>
          </w:p>
        </w:tc>
        <w:tc>
          <w:tcPr>
            <w:tcW w:w="1026" w:type="dxa"/>
          </w:tcPr>
          <w:p w:rsidR="00561CC9" w:rsidRPr="00561CC9" w:rsidRDefault="00561CC9" w:rsidP="009E38B5">
            <w:r w:rsidRPr="00561CC9">
              <w:t>69</w:t>
            </w:r>
          </w:p>
        </w:tc>
        <w:tc>
          <w:tcPr>
            <w:tcW w:w="1048" w:type="dxa"/>
          </w:tcPr>
          <w:p w:rsidR="00561CC9" w:rsidRPr="00561CC9" w:rsidRDefault="00561CC9" w:rsidP="009E38B5">
            <w:r w:rsidRPr="00561CC9">
              <w:t>90</w:t>
            </w:r>
          </w:p>
        </w:tc>
      </w:tr>
      <w:tr w:rsidR="00561CC9" w:rsidRPr="00561CC9" w:rsidTr="00561CC9">
        <w:tc>
          <w:tcPr>
            <w:tcW w:w="1287" w:type="dxa"/>
          </w:tcPr>
          <w:p w:rsidR="00561CC9" w:rsidRPr="00561CC9" w:rsidRDefault="00F978F0" w:rsidP="009E38B5">
            <w:r>
              <w:t>Phase</w:t>
            </w:r>
            <w:r w:rsidR="009C3BDF">
              <w:t xml:space="preserve"> III </w:t>
            </w:r>
            <w:r w:rsidR="00561CC9" w:rsidRPr="00561CC9">
              <w:t>studies</w:t>
            </w:r>
          </w:p>
        </w:tc>
        <w:tc>
          <w:tcPr>
            <w:tcW w:w="1244" w:type="dxa"/>
          </w:tcPr>
          <w:p w:rsidR="00561CC9" w:rsidRPr="00561CC9" w:rsidRDefault="00561CC9" w:rsidP="009E38B5">
            <w:r w:rsidRPr="00561CC9">
              <w:t>242</w:t>
            </w:r>
          </w:p>
        </w:tc>
        <w:tc>
          <w:tcPr>
            <w:tcW w:w="945" w:type="dxa"/>
          </w:tcPr>
          <w:p w:rsidR="00561CC9" w:rsidRPr="00561CC9" w:rsidRDefault="00561CC9" w:rsidP="009E38B5">
            <w:r w:rsidRPr="00561CC9">
              <w:t>146</w:t>
            </w:r>
          </w:p>
        </w:tc>
        <w:tc>
          <w:tcPr>
            <w:tcW w:w="948" w:type="dxa"/>
          </w:tcPr>
          <w:p w:rsidR="00561CC9" w:rsidRPr="00561CC9" w:rsidRDefault="00561CC9" w:rsidP="009E38B5">
            <w:r w:rsidRPr="00561CC9">
              <w:t>175</w:t>
            </w:r>
          </w:p>
        </w:tc>
        <w:tc>
          <w:tcPr>
            <w:tcW w:w="1162" w:type="dxa"/>
          </w:tcPr>
          <w:p w:rsidR="00561CC9" w:rsidRPr="00561CC9" w:rsidRDefault="00561CC9" w:rsidP="009E38B5">
            <w:r w:rsidRPr="00561CC9">
              <w:t>412</w:t>
            </w:r>
          </w:p>
        </w:tc>
        <w:tc>
          <w:tcPr>
            <w:tcW w:w="1060" w:type="dxa"/>
          </w:tcPr>
          <w:p w:rsidR="00561CC9" w:rsidRPr="00561CC9" w:rsidRDefault="00561CC9" w:rsidP="009E38B5"/>
        </w:tc>
        <w:tc>
          <w:tcPr>
            <w:tcW w:w="1026" w:type="dxa"/>
          </w:tcPr>
          <w:p w:rsidR="00561CC9" w:rsidRPr="00561CC9" w:rsidRDefault="00561CC9" w:rsidP="009E38B5">
            <w:r w:rsidRPr="00561CC9">
              <w:t>733</w:t>
            </w:r>
          </w:p>
        </w:tc>
        <w:tc>
          <w:tcPr>
            <w:tcW w:w="1048" w:type="dxa"/>
          </w:tcPr>
          <w:p w:rsidR="00561CC9" w:rsidRPr="00561CC9" w:rsidRDefault="00561CC9" w:rsidP="009E38B5">
            <w:r w:rsidRPr="00561CC9">
              <w:t>975</w:t>
            </w:r>
          </w:p>
        </w:tc>
      </w:tr>
      <w:tr w:rsidR="00561CC9" w:rsidRPr="00561CC9" w:rsidTr="00561CC9">
        <w:tc>
          <w:tcPr>
            <w:tcW w:w="1287" w:type="dxa"/>
          </w:tcPr>
          <w:p w:rsidR="00561CC9" w:rsidRPr="00561CC9" w:rsidRDefault="00561CC9" w:rsidP="009E38B5">
            <w:r w:rsidRPr="00561CC9">
              <w:t>Totals</w:t>
            </w:r>
          </w:p>
        </w:tc>
        <w:tc>
          <w:tcPr>
            <w:tcW w:w="1244" w:type="dxa"/>
          </w:tcPr>
          <w:p w:rsidR="00561CC9" w:rsidRPr="00561CC9" w:rsidRDefault="00561CC9" w:rsidP="009E38B5">
            <w:r w:rsidRPr="00561CC9">
              <w:t>285</w:t>
            </w:r>
          </w:p>
        </w:tc>
        <w:tc>
          <w:tcPr>
            <w:tcW w:w="945" w:type="dxa"/>
          </w:tcPr>
          <w:p w:rsidR="00561CC9" w:rsidRPr="00561CC9" w:rsidRDefault="00561CC9" w:rsidP="009E38B5">
            <w:r w:rsidRPr="00561CC9">
              <w:t>169</w:t>
            </w:r>
          </w:p>
        </w:tc>
        <w:tc>
          <w:tcPr>
            <w:tcW w:w="948" w:type="dxa"/>
          </w:tcPr>
          <w:p w:rsidR="00561CC9" w:rsidRPr="00561CC9" w:rsidRDefault="00561CC9" w:rsidP="009E38B5">
            <w:r w:rsidRPr="00561CC9">
              <w:t>175</w:t>
            </w:r>
          </w:p>
        </w:tc>
        <w:tc>
          <w:tcPr>
            <w:tcW w:w="1162" w:type="dxa"/>
          </w:tcPr>
          <w:p w:rsidR="00561CC9" w:rsidRPr="00561CC9" w:rsidRDefault="00561CC9" w:rsidP="009E38B5">
            <w:r w:rsidRPr="00561CC9">
              <w:t>437</w:t>
            </w:r>
          </w:p>
        </w:tc>
        <w:tc>
          <w:tcPr>
            <w:tcW w:w="1060" w:type="dxa"/>
          </w:tcPr>
          <w:p w:rsidR="00561CC9" w:rsidRPr="00561CC9" w:rsidRDefault="00561CC9" w:rsidP="009E38B5">
            <w:r w:rsidRPr="00561CC9">
              <w:t>48</w:t>
            </w:r>
          </w:p>
        </w:tc>
        <w:tc>
          <w:tcPr>
            <w:tcW w:w="1026" w:type="dxa"/>
          </w:tcPr>
          <w:p w:rsidR="00561CC9" w:rsidRPr="00561CC9" w:rsidRDefault="00561CC9" w:rsidP="009E38B5">
            <w:r w:rsidRPr="00561CC9">
              <w:t>829</w:t>
            </w:r>
          </w:p>
        </w:tc>
        <w:tc>
          <w:tcPr>
            <w:tcW w:w="1048" w:type="dxa"/>
          </w:tcPr>
          <w:p w:rsidR="00561CC9" w:rsidRPr="00561CC9" w:rsidRDefault="00561CC9" w:rsidP="009E38B5">
            <w:r w:rsidRPr="00561CC9">
              <w:t>1114</w:t>
            </w:r>
          </w:p>
        </w:tc>
      </w:tr>
    </w:tbl>
    <w:p w:rsidR="00561CC9" w:rsidRPr="00561CC9" w:rsidRDefault="00561CC9" w:rsidP="009C3BDF">
      <w:pPr>
        <w:pStyle w:val="TableDescription"/>
      </w:pPr>
      <w:r>
        <w:t>*</w:t>
      </w:r>
      <w:r w:rsidRPr="00561CC9">
        <w:t xml:space="preserve">In ADE05 27 subjects were treated with a dosage regimen adjusted for weight and baseline </w:t>
      </w:r>
      <w:proofErr w:type="spellStart"/>
      <w:r w:rsidRPr="00561CC9">
        <w:t>IgE</w:t>
      </w:r>
      <w:proofErr w:type="spellEnd"/>
      <w:r w:rsidRPr="00561CC9">
        <w:t xml:space="preserve"> level. In 4577g 21 subjects were treated with a 600 mg dose.</w:t>
      </w:r>
    </w:p>
    <w:p w:rsidR="00561CC9" w:rsidRPr="00561CC9" w:rsidRDefault="00561CC9" w:rsidP="00561CC9">
      <w:r w:rsidRPr="00561CC9">
        <w:t xml:space="preserve">In the pooled safety database from the three </w:t>
      </w:r>
      <w:r w:rsidR="00F978F0">
        <w:t>Phase</w:t>
      </w:r>
      <w:r w:rsidRPr="00561CC9">
        <w:t xml:space="preserve"> III studies, 733 subjects received </w:t>
      </w:r>
      <w:proofErr w:type="spellStart"/>
      <w:r w:rsidRPr="00561CC9">
        <w:t>omalizumab</w:t>
      </w:r>
      <w:proofErr w:type="spellEnd"/>
      <w:r w:rsidRPr="00561CC9">
        <w:t xml:space="preserve"> and 242 received placebo. Duration of exposure in these studies is </w:t>
      </w:r>
      <w:r w:rsidRPr="00691D9F">
        <w:t>summarised in</w:t>
      </w:r>
      <w:r w:rsidR="00CB6031" w:rsidRPr="00691D9F">
        <w:t xml:space="preserve"> </w:t>
      </w:r>
      <w:r w:rsidR="00691D9F" w:rsidRPr="00691D9F">
        <w:t>Table 19</w:t>
      </w:r>
      <w:r w:rsidR="00CB6031" w:rsidRPr="00691D9F">
        <w:t xml:space="preserve"> of the CER (see Attachment 2)</w:t>
      </w:r>
      <w:r w:rsidRPr="00691D9F">
        <w:t xml:space="preserve">. The </w:t>
      </w:r>
      <w:r w:rsidRPr="00561CC9">
        <w:t xml:space="preserve">maximum planned duration of treatment with </w:t>
      </w:r>
      <w:proofErr w:type="spellStart"/>
      <w:r w:rsidRPr="00561CC9">
        <w:t>omalizumab</w:t>
      </w:r>
      <w:proofErr w:type="spellEnd"/>
      <w:r w:rsidRPr="00561CC9">
        <w:t xml:space="preserve"> in the studies was 24 weeks. The mean (±</w:t>
      </w:r>
      <w:r w:rsidR="00AA62F1">
        <w:t xml:space="preserve"> standard d</w:t>
      </w:r>
      <w:r w:rsidR="0050010A" w:rsidRPr="0050010A">
        <w:t>eviation</w:t>
      </w:r>
      <w:r w:rsidR="00691D9F">
        <w:t xml:space="preserve"> </w:t>
      </w:r>
      <w:r w:rsidR="00AA62F1">
        <w:t>(</w:t>
      </w:r>
      <w:r w:rsidRPr="00561CC9">
        <w:t>SD</w:t>
      </w:r>
      <w:r w:rsidR="00AA62F1">
        <w:t>)</w:t>
      </w:r>
      <w:r w:rsidRPr="00561CC9">
        <w:t>) duration of treatment for patients who received th</w:t>
      </w:r>
      <w:r w:rsidR="00626C24">
        <w:t>e proposed 300 mg dose was 20.3 </w:t>
      </w:r>
      <w:r w:rsidRPr="00561CC9">
        <w:t>(± 6.0) weeks.</w:t>
      </w:r>
    </w:p>
    <w:p w:rsidR="00605AD4" w:rsidRPr="009E38B5" w:rsidRDefault="00605AD4" w:rsidP="009E38B5">
      <w:pPr>
        <w:pStyle w:val="Heading4"/>
      </w:pPr>
      <w:r w:rsidRPr="009E38B5">
        <w:t>Safety issues with the potential for major regulatory impact</w:t>
      </w:r>
    </w:p>
    <w:p w:rsidR="001F5323" w:rsidRPr="009E38B5" w:rsidRDefault="001F5323" w:rsidP="009E38B5">
      <w:pPr>
        <w:pStyle w:val="Heading5"/>
      </w:pPr>
      <w:bookmarkStart w:id="141" w:name="8.6.4._Cardiovascular_safety"/>
      <w:bookmarkStart w:id="142" w:name="8.6.5._Unwanted_immunological_events"/>
      <w:bookmarkStart w:id="143" w:name="_TOC_250020"/>
      <w:bookmarkEnd w:id="141"/>
      <w:bookmarkEnd w:id="142"/>
      <w:r w:rsidRPr="009E38B5">
        <w:t>Unwanted immunological events</w:t>
      </w:r>
      <w:bookmarkEnd w:id="143"/>
    </w:p>
    <w:p w:rsidR="001F5323" w:rsidRPr="000468CD" w:rsidRDefault="001F5323" w:rsidP="001F5323">
      <w:proofErr w:type="spellStart"/>
      <w:r w:rsidRPr="000468CD">
        <w:t>Omalizumab</w:t>
      </w:r>
      <w:proofErr w:type="spellEnd"/>
      <w:r w:rsidRPr="000468CD">
        <w:t xml:space="preserve"> is known to be associated with hypersensitivity events (</w:t>
      </w:r>
      <w:r>
        <w:t>for example;</w:t>
      </w:r>
      <w:r w:rsidRPr="000468CD">
        <w:t xml:space="preserve"> anaphylaxis) and the current PI contains precautionary statements along these lines. In </w:t>
      </w:r>
      <w:r w:rsidRPr="000468CD">
        <w:lastRenderedPageBreak/>
        <w:t>the pooled safety analysis there was a slight excess of hyp</w:t>
      </w:r>
      <w:r w:rsidR="003E0079">
        <w:t>ersensitivity events in the 300 </w:t>
      </w:r>
      <w:r w:rsidRPr="000468CD">
        <w:t>mg group compared to the placebo group.</w:t>
      </w:r>
    </w:p>
    <w:p w:rsidR="00691D9F" w:rsidRPr="00691D9F" w:rsidRDefault="001F5323" w:rsidP="00691D9F">
      <w:r w:rsidRPr="000468CD">
        <w:t>There were no cases of anti</w:t>
      </w:r>
      <w:r>
        <w:t xml:space="preserve">body development to </w:t>
      </w:r>
      <w:proofErr w:type="spellStart"/>
      <w:r>
        <w:t>omalizumab</w:t>
      </w:r>
      <w:proofErr w:type="spellEnd"/>
      <w:r>
        <w:t>.</w:t>
      </w:r>
    </w:p>
    <w:p w:rsidR="00605AD4" w:rsidRPr="009E38B5" w:rsidRDefault="00605AD4" w:rsidP="009E38B5">
      <w:pPr>
        <w:pStyle w:val="Heading4"/>
      </w:pPr>
      <w:proofErr w:type="spellStart"/>
      <w:r w:rsidRPr="009E38B5">
        <w:t>Postmarketing</w:t>
      </w:r>
      <w:proofErr w:type="spellEnd"/>
      <w:r w:rsidRPr="009E38B5">
        <w:t xml:space="preserve"> data</w:t>
      </w:r>
    </w:p>
    <w:p w:rsidR="00CB6031" w:rsidRPr="00CB6031" w:rsidRDefault="00CB6031" w:rsidP="00CB6031">
      <w:r w:rsidRPr="00CB6031">
        <w:t>No post-marketing data were included</w:t>
      </w:r>
      <w:r w:rsidR="00691D9F">
        <w:t xml:space="preserve"> in the</w:t>
      </w:r>
      <w:r w:rsidR="00AA62F1">
        <w:t xml:space="preserve"> clinical</w:t>
      </w:r>
      <w:r w:rsidR="00691D9F">
        <w:t xml:space="preserve"> submission.</w:t>
      </w:r>
    </w:p>
    <w:p w:rsidR="00605AD4" w:rsidRPr="009E38B5" w:rsidRDefault="00605AD4" w:rsidP="009E38B5">
      <w:pPr>
        <w:pStyle w:val="Heading4"/>
      </w:pPr>
      <w:r w:rsidRPr="009E38B5">
        <w:t>Evaluator’s conclusions on safety</w:t>
      </w:r>
    </w:p>
    <w:p w:rsidR="00CB6031" w:rsidRPr="00CB6031" w:rsidRDefault="00CB6031" w:rsidP="00CB6031">
      <w:r w:rsidRPr="00CB6031">
        <w:t xml:space="preserve">Compared to placebo, </w:t>
      </w:r>
      <w:proofErr w:type="spellStart"/>
      <w:r w:rsidRPr="00CB6031">
        <w:t>omalizumab</w:t>
      </w:r>
      <w:proofErr w:type="spellEnd"/>
      <w:r w:rsidRPr="00CB6031">
        <w:t xml:space="preserve"> was associated with a modest increase in the incidence of AEs. Specific AEs that may be increased by </w:t>
      </w:r>
      <w:proofErr w:type="spellStart"/>
      <w:r w:rsidRPr="00CB6031">
        <w:t>omalizumab</w:t>
      </w:r>
      <w:proofErr w:type="spellEnd"/>
      <w:r w:rsidRPr="00CB6031">
        <w:t xml:space="preserve"> administration include headache, arthralgia and in</w:t>
      </w:r>
      <w:r w:rsidR="00626C24">
        <w:t>jection site reactions. However</w:t>
      </w:r>
      <w:r w:rsidRPr="00CB6031">
        <w:t xml:space="preserve"> compared to placebo, there was no increased risk of severe AEs, serious AEs or discontinuations due to AEs. No new safety issues have arisen in the new patient population.</w:t>
      </w:r>
    </w:p>
    <w:p w:rsidR="00605AD4" w:rsidRPr="00CB6031" w:rsidRDefault="00CB6031" w:rsidP="00CB6031">
      <w:r w:rsidRPr="00CB6031">
        <w:t xml:space="preserve">The overall safety profile of </w:t>
      </w:r>
      <w:proofErr w:type="spellStart"/>
      <w:r w:rsidRPr="00CB6031">
        <w:t>omalizumab</w:t>
      </w:r>
      <w:proofErr w:type="spellEnd"/>
      <w:r w:rsidRPr="00CB6031">
        <w:t xml:space="preserve"> in CIU is considered acceptable.</w:t>
      </w:r>
    </w:p>
    <w:p w:rsidR="00605AD4" w:rsidRPr="009E38B5" w:rsidRDefault="00605AD4" w:rsidP="009E38B5">
      <w:pPr>
        <w:pStyle w:val="Heading3"/>
        <w:rPr>
          <w:rFonts w:eastAsia="Cambria"/>
        </w:rPr>
      </w:pPr>
      <w:bookmarkStart w:id="144" w:name="_Toc426984860"/>
      <w:r w:rsidRPr="009E38B5">
        <w:rPr>
          <w:rFonts w:eastAsia="Cambria"/>
        </w:rPr>
        <w:t xml:space="preserve">First </w:t>
      </w:r>
      <w:r w:rsidR="00520619" w:rsidRPr="009E38B5">
        <w:rPr>
          <w:rFonts w:eastAsia="Cambria"/>
        </w:rPr>
        <w:t>r</w:t>
      </w:r>
      <w:r w:rsidRPr="009E38B5">
        <w:rPr>
          <w:rFonts w:eastAsia="Cambria"/>
        </w:rPr>
        <w:t xml:space="preserve">ound </w:t>
      </w:r>
      <w:r w:rsidR="00520619" w:rsidRPr="009E38B5">
        <w:rPr>
          <w:rFonts w:eastAsia="Cambria"/>
        </w:rPr>
        <w:t>b</w:t>
      </w:r>
      <w:r w:rsidRPr="009E38B5">
        <w:rPr>
          <w:rFonts w:eastAsia="Cambria"/>
        </w:rPr>
        <w:t>enefit-</w:t>
      </w:r>
      <w:r w:rsidR="00520619" w:rsidRPr="009E38B5">
        <w:rPr>
          <w:rFonts w:eastAsia="Cambria"/>
        </w:rPr>
        <w:t>r</w:t>
      </w:r>
      <w:r w:rsidRPr="009E38B5">
        <w:rPr>
          <w:rFonts w:eastAsia="Cambria"/>
        </w:rPr>
        <w:t xml:space="preserve">isk </w:t>
      </w:r>
      <w:r w:rsidR="00520619" w:rsidRPr="009E38B5">
        <w:rPr>
          <w:rFonts w:eastAsia="Cambria"/>
        </w:rPr>
        <w:t>a</w:t>
      </w:r>
      <w:r w:rsidRPr="009E38B5">
        <w:rPr>
          <w:rFonts w:eastAsia="Cambria"/>
        </w:rPr>
        <w:t>ssessment</w:t>
      </w:r>
      <w:bookmarkEnd w:id="144"/>
    </w:p>
    <w:p w:rsidR="00605AD4" w:rsidRPr="009E38B5" w:rsidRDefault="00605AD4" w:rsidP="009E38B5">
      <w:pPr>
        <w:pStyle w:val="Heading4"/>
      </w:pPr>
      <w:r w:rsidRPr="009E38B5">
        <w:t>First round assessment of benefits</w:t>
      </w:r>
    </w:p>
    <w:p w:rsidR="00CB6031" w:rsidRPr="00CB6031" w:rsidRDefault="00CB6031" w:rsidP="00CB6031">
      <w:r w:rsidRPr="00CB6031">
        <w:t xml:space="preserve">The benefits of </w:t>
      </w:r>
      <w:proofErr w:type="spellStart"/>
      <w:r w:rsidRPr="00CB6031">
        <w:t>omalizumab</w:t>
      </w:r>
      <w:proofErr w:type="spellEnd"/>
      <w:r w:rsidRPr="00CB6031">
        <w:t xml:space="preserve"> in the treatment of CIU are:</w:t>
      </w:r>
    </w:p>
    <w:p w:rsidR="00CB6031" w:rsidRPr="00CB6031" w:rsidRDefault="00CB6031" w:rsidP="00CB6031">
      <w:pPr>
        <w:pStyle w:val="ListBullet"/>
      </w:pPr>
      <w:r w:rsidRPr="00CB6031">
        <w:t>A significant reduction in the degree of itch and the number of hives present. The magnitude of these effects is co</w:t>
      </w:r>
      <w:r w:rsidR="00AA62F1">
        <w:t>nsidered clinically significant</w:t>
      </w:r>
      <w:r w:rsidRPr="00CB6031">
        <w:t xml:space="preserve"> and in a pro</w:t>
      </w:r>
      <w:r w:rsidR="00AA62F1">
        <w:t>portion of subjects</w:t>
      </w:r>
      <w:r w:rsidRPr="00CB6031">
        <w:t xml:space="preserve"> complete reso</w:t>
      </w:r>
      <w:r w:rsidR="001A330B">
        <w:t>lution of itch and hives occurs</w:t>
      </w:r>
    </w:p>
    <w:p w:rsidR="00CB6031" w:rsidRPr="00CB6031" w:rsidRDefault="00CB6031" w:rsidP="00CB6031">
      <w:pPr>
        <w:pStyle w:val="ListBullet"/>
      </w:pPr>
      <w:r w:rsidRPr="00CB6031">
        <w:t xml:space="preserve">A modest reduction in the number of </w:t>
      </w:r>
      <w:r w:rsidR="001A330B">
        <w:t>days that angioedema is present</w:t>
      </w:r>
    </w:p>
    <w:p w:rsidR="00CB6031" w:rsidRPr="00CB6031" w:rsidRDefault="00CB6031" w:rsidP="00CB6031">
      <w:pPr>
        <w:pStyle w:val="ListBullet"/>
      </w:pPr>
      <w:r w:rsidRPr="00CB6031">
        <w:t>A modest</w:t>
      </w:r>
      <w:r w:rsidR="001A330B">
        <w:t xml:space="preserve"> improvement in quality of life</w:t>
      </w:r>
    </w:p>
    <w:p w:rsidR="00605AD4" w:rsidRPr="009E38B5" w:rsidRDefault="00605AD4" w:rsidP="009E38B5">
      <w:pPr>
        <w:pStyle w:val="Heading4"/>
      </w:pPr>
      <w:r w:rsidRPr="009E38B5">
        <w:t>First round assessment of risks</w:t>
      </w:r>
    </w:p>
    <w:p w:rsidR="00CB6031" w:rsidRPr="00CB6031" w:rsidRDefault="00CB6031" w:rsidP="00CB6031">
      <w:r w:rsidRPr="00CB6031">
        <w:t xml:space="preserve">The risks of </w:t>
      </w:r>
      <w:proofErr w:type="spellStart"/>
      <w:r w:rsidRPr="00CB6031">
        <w:t>omalizumab</w:t>
      </w:r>
      <w:proofErr w:type="spellEnd"/>
      <w:r w:rsidRPr="00CB6031">
        <w:t xml:space="preserve"> in the treatment of CIU are:</w:t>
      </w:r>
    </w:p>
    <w:p w:rsidR="00CB6031" w:rsidRPr="00CB6031" w:rsidRDefault="00CB6031" w:rsidP="00CB6031">
      <w:pPr>
        <w:pStyle w:val="ListBullet"/>
      </w:pPr>
      <w:r w:rsidRPr="00CB6031">
        <w:t>An increased risk of some AEs such as headache, arthralgia and injection reactions. Thes</w:t>
      </w:r>
      <w:r w:rsidR="001A330B">
        <w:t>e AEs are not severe or serious</w:t>
      </w:r>
    </w:p>
    <w:p w:rsidR="00CB6031" w:rsidRPr="00CB6031" w:rsidRDefault="00CB6031" w:rsidP="00CB6031">
      <w:pPr>
        <w:pStyle w:val="ListBullet"/>
      </w:pPr>
      <w:r w:rsidRPr="00CB6031">
        <w:t>An increased risk of hypersensitivity reactions. An increased risk of severe reactions, such as anaphylaxis, was not seen in the submitted studies but has been documented with the drug previously.</w:t>
      </w:r>
    </w:p>
    <w:p w:rsidR="00605AD4" w:rsidRPr="009E38B5" w:rsidRDefault="00605AD4" w:rsidP="009E38B5">
      <w:pPr>
        <w:pStyle w:val="Heading4"/>
      </w:pPr>
      <w:r w:rsidRPr="009E38B5">
        <w:t>First round assessment of benefit-risk balance</w:t>
      </w:r>
    </w:p>
    <w:p w:rsidR="00605AD4" w:rsidRPr="00CB6031" w:rsidRDefault="00CB6031" w:rsidP="00CB6031">
      <w:r w:rsidRPr="00CB6031">
        <w:t xml:space="preserve">The benefit-risk balance of </w:t>
      </w:r>
      <w:proofErr w:type="spellStart"/>
      <w:r w:rsidRPr="00CB6031">
        <w:t>omalizumab</w:t>
      </w:r>
      <w:proofErr w:type="spellEnd"/>
      <w:r w:rsidRPr="00CB6031">
        <w:t>, given the proposed usage, is favourable.</w:t>
      </w:r>
    </w:p>
    <w:p w:rsidR="00605AD4" w:rsidRPr="009E38B5" w:rsidRDefault="00605AD4" w:rsidP="009E38B5">
      <w:pPr>
        <w:pStyle w:val="Heading3"/>
        <w:rPr>
          <w:rFonts w:eastAsia="Cambria"/>
        </w:rPr>
      </w:pPr>
      <w:bookmarkStart w:id="145" w:name="_Toc426984861"/>
      <w:r w:rsidRPr="009E38B5">
        <w:rPr>
          <w:rFonts w:eastAsia="Cambria"/>
        </w:rPr>
        <w:t xml:space="preserve">First </w:t>
      </w:r>
      <w:r w:rsidR="00520619" w:rsidRPr="009E38B5">
        <w:rPr>
          <w:rFonts w:eastAsia="Cambria"/>
        </w:rPr>
        <w:t>r</w:t>
      </w:r>
      <w:r w:rsidRPr="009E38B5">
        <w:rPr>
          <w:rFonts w:eastAsia="Cambria"/>
        </w:rPr>
        <w:t xml:space="preserve">ound </w:t>
      </w:r>
      <w:r w:rsidR="00520619" w:rsidRPr="009E38B5">
        <w:rPr>
          <w:rFonts w:eastAsia="Cambria"/>
        </w:rPr>
        <w:t>r</w:t>
      </w:r>
      <w:r w:rsidRPr="009E38B5">
        <w:rPr>
          <w:rFonts w:eastAsia="Cambria"/>
        </w:rPr>
        <w:t xml:space="preserve">ecommendation </w:t>
      </w:r>
      <w:r w:rsidR="00520619" w:rsidRPr="009E38B5">
        <w:rPr>
          <w:rFonts w:eastAsia="Cambria"/>
        </w:rPr>
        <w:t>r</w:t>
      </w:r>
      <w:r w:rsidRPr="009E38B5">
        <w:rPr>
          <w:rFonts w:eastAsia="Cambria"/>
        </w:rPr>
        <w:t xml:space="preserve">egarding </w:t>
      </w:r>
      <w:r w:rsidR="00520619" w:rsidRPr="009E38B5">
        <w:rPr>
          <w:rFonts w:eastAsia="Cambria"/>
        </w:rPr>
        <w:t>a</w:t>
      </w:r>
      <w:r w:rsidRPr="009E38B5">
        <w:rPr>
          <w:rFonts w:eastAsia="Cambria"/>
        </w:rPr>
        <w:t>uthorisation</w:t>
      </w:r>
      <w:bookmarkEnd w:id="145"/>
    </w:p>
    <w:p w:rsidR="00605AD4" w:rsidRPr="00605AD4" w:rsidRDefault="00CB6031" w:rsidP="00605AD4">
      <w:r>
        <w:t>It is recommended that the application be approved.</w:t>
      </w:r>
    </w:p>
    <w:p w:rsidR="00605AD4" w:rsidRPr="009E38B5" w:rsidRDefault="00605AD4" w:rsidP="009E38B5">
      <w:pPr>
        <w:pStyle w:val="Heading3"/>
        <w:rPr>
          <w:rFonts w:eastAsia="Cambria"/>
        </w:rPr>
      </w:pPr>
      <w:bookmarkStart w:id="146" w:name="_Toc426984862"/>
      <w:r w:rsidRPr="009E38B5">
        <w:rPr>
          <w:rFonts w:eastAsia="Cambria"/>
        </w:rPr>
        <w:t xml:space="preserve">Clinical </w:t>
      </w:r>
      <w:r w:rsidR="00520619" w:rsidRPr="009E38B5">
        <w:rPr>
          <w:rFonts w:eastAsia="Cambria"/>
        </w:rPr>
        <w:t>q</w:t>
      </w:r>
      <w:r w:rsidRPr="009E38B5">
        <w:rPr>
          <w:rFonts w:eastAsia="Cambria"/>
        </w:rPr>
        <w:t>uestions</w:t>
      </w:r>
      <w:bookmarkEnd w:id="146"/>
    </w:p>
    <w:p w:rsidR="00605AD4" w:rsidRPr="00CB6031" w:rsidRDefault="00CB6031" w:rsidP="00CB6031">
      <w:r w:rsidRPr="00CB6031">
        <w:t>There are no clinical questions for the sponsor.</w:t>
      </w:r>
    </w:p>
    <w:p w:rsidR="00605AD4" w:rsidRPr="009E38B5" w:rsidRDefault="00605AD4" w:rsidP="009E38B5">
      <w:pPr>
        <w:pStyle w:val="Heading3"/>
        <w:rPr>
          <w:rFonts w:eastAsia="Cambria"/>
        </w:rPr>
      </w:pPr>
      <w:bookmarkStart w:id="147" w:name="_Toc426984863"/>
      <w:r w:rsidRPr="009E38B5">
        <w:rPr>
          <w:rFonts w:eastAsia="Cambria"/>
        </w:rPr>
        <w:lastRenderedPageBreak/>
        <w:t xml:space="preserve">Second </w:t>
      </w:r>
      <w:r w:rsidR="00520619" w:rsidRPr="009E38B5">
        <w:rPr>
          <w:rFonts w:eastAsia="Cambria"/>
        </w:rPr>
        <w:t>r</w:t>
      </w:r>
      <w:r w:rsidRPr="009E38B5">
        <w:rPr>
          <w:rFonts w:eastAsia="Cambria"/>
        </w:rPr>
        <w:t xml:space="preserve">ound </w:t>
      </w:r>
      <w:r w:rsidR="00520619" w:rsidRPr="009E38B5">
        <w:rPr>
          <w:rFonts w:eastAsia="Cambria"/>
        </w:rPr>
        <w:t>e</w:t>
      </w:r>
      <w:r w:rsidRPr="009E38B5">
        <w:rPr>
          <w:rFonts w:eastAsia="Cambria"/>
        </w:rPr>
        <w:t>valuation of clinical data submitted in response to questions</w:t>
      </w:r>
      <w:bookmarkEnd w:id="147"/>
    </w:p>
    <w:p w:rsidR="00605AD4" w:rsidRPr="00605AD4" w:rsidRDefault="00CB6031" w:rsidP="00546154">
      <w:r>
        <w:t>A second round evaluation was not required.</w:t>
      </w:r>
    </w:p>
    <w:p w:rsidR="008E7846" w:rsidRPr="009E38B5" w:rsidRDefault="008E7846" w:rsidP="009E38B5">
      <w:pPr>
        <w:pStyle w:val="Heading2"/>
      </w:pPr>
      <w:bookmarkStart w:id="148" w:name="_Toc426984864"/>
      <w:r w:rsidRPr="009E38B5">
        <w:t>V. Pharmacovigilance findings</w:t>
      </w:r>
      <w:bookmarkEnd w:id="135"/>
      <w:bookmarkEnd w:id="136"/>
      <w:bookmarkEnd w:id="148"/>
    </w:p>
    <w:p w:rsidR="008E7846" w:rsidRPr="009E38B5" w:rsidRDefault="00386150" w:rsidP="009E38B5">
      <w:pPr>
        <w:pStyle w:val="Heading3"/>
      </w:pPr>
      <w:bookmarkStart w:id="149" w:name="_Toc247691526"/>
      <w:bookmarkStart w:id="150" w:name="_Toc314842509"/>
      <w:bookmarkStart w:id="151" w:name="_Toc426984865"/>
      <w:r w:rsidRPr="009E38B5">
        <w:t>Risk m</w:t>
      </w:r>
      <w:r w:rsidR="008E7846" w:rsidRPr="009E38B5">
        <w:t xml:space="preserve">anagement </w:t>
      </w:r>
      <w:r w:rsidRPr="009E38B5">
        <w:t>p</w:t>
      </w:r>
      <w:r w:rsidR="008E7846" w:rsidRPr="009E38B5">
        <w:t>lan</w:t>
      </w:r>
      <w:bookmarkEnd w:id="149"/>
      <w:bookmarkEnd w:id="150"/>
      <w:bookmarkEnd w:id="151"/>
    </w:p>
    <w:p w:rsidR="008E7846" w:rsidRDefault="008E7846" w:rsidP="008E7846">
      <w:pPr>
        <w:rPr>
          <w:lang w:eastAsia="en-AU"/>
        </w:rPr>
      </w:pPr>
      <w:r>
        <w:rPr>
          <w:lang w:eastAsia="en-AU"/>
        </w:rPr>
        <w:t>The sponsor submitted a Risk Management Plan</w:t>
      </w:r>
      <w:r w:rsidR="006B0DB6">
        <w:rPr>
          <w:lang w:eastAsia="en-AU"/>
        </w:rPr>
        <w:t xml:space="preserve">; </w:t>
      </w:r>
      <w:r w:rsidR="006B0DB6" w:rsidRPr="006B0DB6">
        <w:t>Core RMP Version 9.0 (dated 21 July 2013); EU-RMP Version 9.0 (dated 24 June 2013); and an Australian Specific Annex (ASA) Version 1.0 (dated 28</w:t>
      </w:r>
      <w:r w:rsidR="006B0DB6" w:rsidRPr="006B0DB6">
        <w:sym w:font="Symbol" w:char="F020"/>
      </w:r>
      <w:r w:rsidR="006B0DB6" w:rsidRPr="006B0DB6">
        <w:t>October 2013)</w:t>
      </w:r>
      <w:r w:rsidR="006B0DB6">
        <w:t>,</w:t>
      </w:r>
      <w:r w:rsidR="006B0DB6">
        <w:rPr>
          <w:lang w:eastAsia="en-AU"/>
        </w:rPr>
        <w:t xml:space="preserve"> </w:t>
      </w:r>
      <w:r>
        <w:rPr>
          <w:lang w:eastAsia="en-AU"/>
        </w:rPr>
        <w:t xml:space="preserve">which was reviewed by the TGA’s </w:t>
      </w:r>
      <w:r w:rsidR="006B0DB6">
        <w:rPr>
          <w:lang w:eastAsia="en-AU"/>
        </w:rPr>
        <w:t>Post Market Surveillance Branch (PMSB)</w:t>
      </w:r>
      <w:r>
        <w:rPr>
          <w:lang w:eastAsia="en-AU"/>
        </w:rPr>
        <w:t>.</w:t>
      </w:r>
    </w:p>
    <w:p w:rsidR="008E7846" w:rsidRPr="009E38B5" w:rsidRDefault="003A7F6C" w:rsidP="009E38B5">
      <w:pPr>
        <w:pStyle w:val="Heading4"/>
      </w:pPr>
      <w:r w:rsidRPr="009E38B5">
        <w:t>Safety s</w:t>
      </w:r>
      <w:r w:rsidR="008E7846" w:rsidRPr="009E38B5">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on</w:t>
      </w:r>
      <w:r w:rsidR="00803386">
        <w:rPr>
          <w:lang w:eastAsia="en-AU"/>
        </w:rPr>
        <w:t>cerns which are shown at Table 8</w:t>
      </w:r>
      <w:r>
        <w:rPr>
          <w:lang w:eastAsia="en-AU"/>
        </w:rPr>
        <w:t>.</w:t>
      </w:r>
    </w:p>
    <w:p w:rsidR="00803386" w:rsidRPr="009E38B5" w:rsidRDefault="00803386" w:rsidP="009E38B5">
      <w:pPr>
        <w:pStyle w:val="TableTitle"/>
      </w:pPr>
      <w:proofErr w:type="gramStart"/>
      <w:r w:rsidRPr="009E38B5">
        <w:t>Table 8.</w:t>
      </w:r>
      <w:proofErr w:type="gramEnd"/>
      <w:r w:rsidRPr="009E38B5">
        <w:t xml:space="preserve"> Ongoing safety concerns.</w:t>
      </w:r>
    </w:p>
    <w:tbl>
      <w:tblPr>
        <w:tblStyle w:val="TableTGAblue"/>
        <w:tblW w:w="0" w:type="auto"/>
        <w:tblLook w:val="04A0" w:firstRow="1" w:lastRow="0" w:firstColumn="1" w:lastColumn="0" w:noHBand="0" w:noVBand="1"/>
      </w:tblPr>
      <w:tblGrid>
        <w:gridCol w:w="4360"/>
        <w:gridCol w:w="4360"/>
      </w:tblGrid>
      <w:tr w:rsidR="005532DB" w:rsidTr="005532DB">
        <w:trPr>
          <w:cnfStyle w:val="100000000000" w:firstRow="1" w:lastRow="0" w:firstColumn="0" w:lastColumn="0" w:oddVBand="0" w:evenVBand="0" w:oddHBand="0" w:evenHBand="0" w:firstRowFirstColumn="0" w:firstRowLastColumn="0" w:lastRowFirstColumn="0" w:lastRowLastColumn="0"/>
        </w:trPr>
        <w:tc>
          <w:tcPr>
            <w:tcW w:w="8720" w:type="dxa"/>
            <w:gridSpan w:val="2"/>
          </w:tcPr>
          <w:p w:rsidR="005532DB" w:rsidRDefault="005532DB" w:rsidP="009E38B5">
            <w:r>
              <w:t>Ongoing safety concerns</w:t>
            </w:r>
          </w:p>
        </w:tc>
      </w:tr>
      <w:tr w:rsidR="006B0DB6" w:rsidTr="006B0DB6">
        <w:tc>
          <w:tcPr>
            <w:tcW w:w="4360" w:type="dxa"/>
          </w:tcPr>
          <w:p w:rsidR="006B0DB6" w:rsidRDefault="006B0DB6" w:rsidP="009E38B5">
            <w:r>
              <w:t>Important identified risks</w:t>
            </w:r>
          </w:p>
        </w:tc>
        <w:tc>
          <w:tcPr>
            <w:tcW w:w="4360" w:type="dxa"/>
          </w:tcPr>
          <w:p w:rsidR="006B0DB6" w:rsidRDefault="006B0DB6" w:rsidP="009E38B5">
            <w:r>
              <w:t xml:space="preserve">Anaphylaxis/ </w:t>
            </w:r>
            <w:proofErr w:type="spellStart"/>
            <w:r>
              <w:t>anaphylactoid</w:t>
            </w:r>
            <w:proofErr w:type="spellEnd"/>
            <w:r>
              <w:t xml:space="preserve"> reactions</w:t>
            </w:r>
          </w:p>
          <w:p w:rsidR="006B0DB6" w:rsidRDefault="006B0DB6" w:rsidP="009E38B5">
            <w:r>
              <w:t>Malignant neoplasms (in adult and adolescent patients ≥ 12 years old)</w:t>
            </w:r>
          </w:p>
          <w:p w:rsidR="006B0DB6" w:rsidRDefault="006B0DB6" w:rsidP="009E38B5">
            <w:r>
              <w:t xml:space="preserve">Serum Sickness Syndrome (SSS)/ </w:t>
            </w:r>
            <w:r w:rsidRPr="006B0DB6">
              <w:t>Serum Sickness</w:t>
            </w:r>
            <w:r>
              <w:t xml:space="preserve"> Like Disease (SSLD)</w:t>
            </w:r>
          </w:p>
          <w:p w:rsidR="006B0DB6" w:rsidRDefault="006B0DB6" w:rsidP="009E38B5">
            <w:r>
              <w:t xml:space="preserve">Antibody formation to </w:t>
            </w:r>
            <w:proofErr w:type="spellStart"/>
            <w:r>
              <w:t>omalizumab</w:t>
            </w:r>
            <w:proofErr w:type="spellEnd"/>
          </w:p>
          <w:p w:rsidR="006B0DB6" w:rsidRDefault="006B0DB6" w:rsidP="009E38B5">
            <w:proofErr w:type="spellStart"/>
            <w:r>
              <w:t>Churg</w:t>
            </w:r>
            <w:proofErr w:type="spellEnd"/>
            <w:r>
              <w:t xml:space="preserve"> Strauss Syndrome /</w:t>
            </w:r>
            <w:proofErr w:type="spellStart"/>
            <w:r>
              <w:t>Hypereosinophilic</w:t>
            </w:r>
            <w:proofErr w:type="spellEnd"/>
            <w:r>
              <w:t xml:space="preserve"> Syndrome</w:t>
            </w:r>
          </w:p>
          <w:p w:rsidR="006B0DB6" w:rsidRDefault="006B0DB6" w:rsidP="009E38B5">
            <w:proofErr w:type="spellStart"/>
            <w:r>
              <w:t>Throbocytopenia</w:t>
            </w:r>
            <w:proofErr w:type="spellEnd"/>
          </w:p>
        </w:tc>
      </w:tr>
      <w:tr w:rsidR="006B0DB6" w:rsidTr="006B0DB6">
        <w:tc>
          <w:tcPr>
            <w:tcW w:w="4360" w:type="dxa"/>
          </w:tcPr>
          <w:p w:rsidR="006B0DB6" w:rsidRDefault="006B0DB6" w:rsidP="009E38B5">
            <w:r>
              <w:t>Important potential risks</w:t>
            </w:r>
          </w:p>
        </w:tc>
        <w:tc>
          <w:tcPr>
            <w:tcW w:w="4360" w:type="dxa"/>
          </w:tcPr>
          <w:p w:rsidR="006B0DB6" w:rsidRDefault="006B0DB6" w:rsidP="009E38B5">
            <w:proofErr w:type="spellStart"/>
            <w:r>
              <w:t>Aterial</w:t>
            </w:r>
            <w:proofErr w:type="spellEnd"/>
            <w:r>
              <w:t xml:space="preserve"> Thrombotic Events (ATEs)</w:t>
            </w:r>
          </w:p>
          <w:p w:rsidR="006B0DB6" w:rsidRDefault="006B0DB6" w:rsidP="009E38B5">
            <w:r w:rsidRPr="006B0DB6">
              <w:t xml:space="preserve">Malignant neoplasms (in </w:t>
            </w:r>
            <w:r>
              <w:t>paediatric</w:t>
            </w:r>
            <w:r w:rsidRPr="006B0DB6">
              <w:t xml:space="preserve"> patients </w:t>
            </w:r>
            <w:r>
              <w:t>6 to</w:t>
            </w:r>
            <w:r w:rsidRPr="006B0DB6">
              <w:t xml:space="preserve"> 12 years old</w:t>
            </w:r>
            <w:r>
              <w:t>)</w:t>
            </w:r>
          </w:p>
          <w:p w:rsidR="006B0DB6" w:rsidRDefault="006B0DB6" w:rsidP="009E38B5">
            <w:r>
              <w:t>Off label use</w:t>
            </w:r>
          </w:p>
        </w:tc>
      </w:tr>
      <w:tr w:rsidR="006B0DB6" w:rsidTr="006B0DB6">
        <w:tc>
          <w:tcPr>
            <w:tcW w:w="4360" w:type="dxa"/>
          </w:tcPr>
          <w:p w:rsidR="006B0DB6" w:rsidRDefault="006B0DB6" w:rsidP="009E38B5">
            <w:r>
              <w:t>Important missing information</w:t>
            </w:r>
          </w:p>
        </w:tc>
        <w:tc>
          <w:tcPr>
            <w:tcW w:w="4360" w:type="dxa"/>
          </w:tcPr>
          <w:p w:rsidR="006B0DB6" w:rsidRDefault="006B0DB6" w:rsidP="009E38B5">
            <w:r>
              <w:t>Pregnancy outcomes</w:t>
            </w:r>
          </w:p>
        </w:tc>
      </w:tr>
    </w:tbl>
    <w:p w:rsidR="008E7846" w:rsidRPr="009E38B5" w:rsidRDefault="008E7846" w:rsidP="009E38B5">
      <w:pPr>
        <w:pStyle w:val="Heading4"/>
      </w:pPr>
      <w:r w:rsidRPr="009E38B5">
        <w:t xml:space="preserve">Pharmacovigilance </w:t>
      </w:r>
      <w:r w:rsidR="003A7F6C" w:rsidRPr="009E38B5">
        <w:t>p</w:t>
      </w:r>
      <w:r w:rsidRPr="009E38B5">
        <w:t>lan</w:t>
      </w:r>
    </w:p>
    <w:p w:rsidR="008E7846" w:rsidRPr="00975D22" w:rsidRDefault="00AA62F1" w:rsidP="00975D22">
      <w:r>
        <w:t>The sponsor proposes r</w:t>
      </w:r>
      <w:r w:rsidR="00975D22" w:rsidRPr="00975D22">
        <w:t>outine pharmacovigilance activities to monitor all the specified ongoing safety concerns, includi</w:t>
      </w:r>
      <w:r w:rsidR="00626C24">
        <w:t xml:space="preserve">ng the use of a targeted follow </w:t>
      </w:r>
      <w:r w:rsidR="00975D22" w:rsidRPr="00975D22">
        <w:t>up questionnaire/checklist for the important</w:t>
      </w:r>
      <w:r>
        <w:t xml:space="preserve"> identified risks: ‘Anaphylaxis/</w:t>
      </w:r>
      <w:proofErr w:type="spellStart"/>
      <w:r w:rsidR="00975D22" w:rsidRPr="00975D22">
        <w:t>anaphylactoid</w:t>
      </w:r>
      <w:proofErr w:type="spellEnd"/>
      <w:r w:rsidR="00975D22" w:rsidRPr="00975D22">
        <w:t xml:space="preserve"> r</w:t>
      </w:r>
      <w:r>
        <w:t>eactions’ and</w:t>
      </w:r>
      <w:r w:rsidR="00975D22" w:rsidRPr="00975D22">
        <w:t xml:space="preserve"> ‘Malignant neoplasms in adults and adolescents ≥ 12 years of age’ and the important potential risk: ‘Arterial Thromboembolic Events (ATEs)’.</w:t>
      </w:r>
    </w:p>
    <w:p w:rsidR="008E7846" w:rsidRPr="009E38B5" w:rsidRDefault="008E7846" w:rsidP="009E38B5">
      <w:pPr>
        <w:pStyle w:val="Heading4"/>
      </w:pPr>
      <w:r w:rsidRPr="009E38B5">
        <w:t xml:space="preserve">Risk </w:t>
      </w:r>
      <w:r w:rsidR="003A7F6C" w:rsidRPr="009E38B5">
        <w:t>m</w:t>
      </w:r>
      <w:r w:rsidRPr="009E38B5">
        <w:t xml:space="preserve">inimisation </w:t>
      </w:r>
      <w:r w:rsidR="003A7F6C" w:rsidRPr="009E38B5">
        <w:t>a</w:t>
      </w:r>
      <w:r w:rsidRPr="009E38B5">
        <w:t>ctivities</w:t>
      </w:r>
    </w:p>
    <w:p w:rsidR="006F25B8" w:rsidRDefault="00AA62F1" w:rsidP="006F25B8">
      <w:pPr>
        <w:rPr>
          <w:lang w:eastAsia="en-AU"/>
        </w:rPr>
      </w:pPr>
      <w:bookmarkStart w:id="152" w:name="_Toc247691527"/>
      <w:r w:rsidRPr="00AA62F1">
        <w:rPr>
          <w:lang w:eastAsia="en-AU"/>
        </w:rPr>
        <w:t xml:space="preserve">The sponsor proposes </w:t>
      </w:r>
      <w:r>
        <w:rPr>
          <w:lang w:eastAsia="en-AU"/>
        </w:rPr>
        <w:t>that r</w:t>
      </w:r>
      <w:r w:rsidR="00975D22" w:rsidRPr="00975D22">
        <w:rPr>
          <w:lang w:eastAsia="en-AU"/>
        </w:rPr>
        <w:t>outine risk minimisation activities for all the specified ongoing safety concerns are sufficient</w:t>
      </w:r>
      <w:r w:rsidR="008E3217">
        <w:rPr>
          <w:lang w:eastAsia="en-AU"/>
        </w:rPr>
        <w:t>.</w:t>
      </w:r>
    </w:p>
    <w:p w:rsidR="006F25B8" w:rsidRPr="009E38B5" w:rsidRDefault="006F25B8" w:rsidP="009E38B5">
      <w:pPr>
        <w:pStyle w:val="Heading4"/>
      </w:pPr>
      <w:r w:rsidRPr="009E38B5">
        <w:lastRenderedPageBreak/>
        <w:t>Reconciliation of is</w:t>
      </w:r>
      <w:r w:rsidR="00626C24" w:rsidRPr="009E38B5">
        <w:t>sues outlined in the RMP report</w:t>
      </w:r>
    </w:p>
    <w:p w:rsidR="006F25B8" w:rsidRDefault="00803386" w:rsidP="006F25B8">
      <w:pPr>
        <w:rPr>
          <w:lang w:eastAsia="en-AU"/>
        </w:rPr>
      </w:pPr>
      <w:r>
        <w:rPr>
          <w:lang w:eastAsia="en-AU"/>
        </w:rPr>
        <w:t>Table 9</w:t>
      </w:r>
      <w:r w:rsidR="006F25B8">
        <w:rPr>
          <w:lang w:eastAsia="en-AU"/>
        </w:rPr>
        <w:t xml:space="preserve"> summarises the </w:t>
      </w:r>
      <w:r w:rsidR="00AA62F1">
        <w:rPr>
          <w:lang w:eastAsia="en-AU"/>
        </w:rPr>
        <w:t>PMSB</w:t>
      </w:r>
      <w:r w:rsidR="006F25B8">
        <w:rPr>
          <w:lang w:eastAsia="en-AU"/>
        </w:rPr>
        <w:t xml:space="preserve">’s first round evaluation of the RMP, the sponsor’s responses to issues raised by the </w:t>
      </w:r>
      <w:r w:rsidR="00AA62F1">
        <w:rPr>
          <w:lang w:eastAsia="en-AU"/>
        </w:rPr>
        <w:t>PSMB</w:t>
      </w:r>
      <w:r w:rsidR="006F25B8">
        <w:rPr>
          <w:lang w:eastAsia="en-AU"/>
        </w:rPr>
        <w:t xml:space="preserve"> and the </w:t>
      </w:r>
      <w:r w:rsidR="00AA62F1">
        <w:rPr>
          <w:lang w:eastAsia="en-AU"/>
        </w:rPr>
        <w:t>PSMB</w:t>
      </w:r>
      <w:r w:rsidR="006F25B8">
        <w:rPr>
          <w:lang w:eastAsia="en-AU"/>
        </w:rPr>
        <w:t>’s evaluation of the sponsor’s responses.</w:t>
      </w:r>
    </w:p>
    <w:p w:rsidR="00803386" w:rsidRPr="009E38B5" w:rsidRDefault="00803386" w:rsidP="009E38B5">
      <w:pPr>
        <w:pStyle w:val="TableTitle"/>
      </w:pPr>
      <w:proofErr w:type="gramStart"/>
      <w:r w:rsidRPr="009E38B5">
        <w:t>Table 9.</w:t>
      </w:r>
      <w:proofErr w:type="gramEnd"/>
      <w:r w:rsidRPr="009E38B5">
        <w:t xml:space="preserve"> Reconciliation of issues outlined in the RMP report</w:t>
      </w:r>
    </w:p>
    <w:tbl>
      <w:tblPr>
        <w:tblStyle w:val="TableTGAblue"/>
        <w:tblW w:w="0" w:type="auto"/>
        <w:tblLook w:val="04A0" w:firstRow="1" w:lastRow="0" w:firstColumn="1" w:lastColumn="0" w:noHBand="0" w:noVBand="1"/>
      </w:tblPr>
      <w:tblGrid>
        <w:gridCol w:w="2906"/>
        <w:gridCol w:w="2907"/>
        <w:gridCol w:w="2907"/>
      </w:tblGrid>
      <w:tr w:rsidR="005532DB" w:rsidTr="005532DB">
        <w:trPr>
          <w:cnfStyle w:val="100000000000" w:firstRow="1" w:lastRow="0" w:firstColumn="0" w:lastColumn="0" w:oddVBand="0" w:evenVBand="0" w:oddHBand="0" w:evenHBand="0" w:firstRowFirstColumn="0" w:firstRowLastColumn="0" w:lastRowFirstColumn="0" w:lastRowLastColumn="0"/>
        </w:trPr>
        <w:tc>
          <w:tcPr>
            <w:tcW w:w="2906" w:type="dxa"/>
          </w:tcPr>
          <w:p w:rsidR="005532DB" w:rsidRDefault="005532DB" w:rsidP="009E38B5">
            <w:r w:rsidRPr="005532DB">
              <w:t>Recommendation in RMP evaluation report</w:t>
            </w:r>
          </w:p>
        </w:tc>
        <w:tc>
          <w:tcPr>
            <w:tcW w:w="2907" w:type="dxa"/>
          </w:tcPr>
          <w:p w:rsidR="005532DB" w:rsidRDefault="005532DB" w:rsidP="009E38B5">
            <w:r w:rsidRPr="005532DB">
              <w:t>Sponsor’s response</w:t>
            </w:r>
          </w:p>
        </w:tc>
        <w:tc>
          <w:tcPr>
            <w:tcW w:w="2907" w:type="dxa"/>
          </w:tcPr>
          <w:p w:rsidR="005532DB" w:rsidRDefault="00AA62F1" w:rsidP="009E38B5">
            <w:r>
              <w:t>PSMB</w:t>
            </w:r>
            <w:r w:rsidR="005532DB" w:rsidRPr="005532DB">
              <w:t xml:space="preserve"> evaluator’s comment</w:t>
            </w:r>
          </w:p>
        </w:tc>
      </w:tr>
      <w:tr w:rsidR="005532DB" w:rsidTr="005532DB">
        <w:tc>
          <w:tcPr>
            <w:tcW w:w="2906" w:type="dxa"/>
          </w:tcPr>
          <w:p w:rsidR="005532DB" w:rsidRDefault="00AA62F1" w:rsidP="009E38B5">
            <w:r>
              <w:t xml:space="preserve">1. </w:t>
            </w:r>
            <w:r w:rsidR="00D52FDB" w:rsidRPr="005532DB">
              <w:t xml:space="preserve">Safety considerations may be raised by the clinical evaluator through the TGA’s consolidated request for information and/or the </w:t>
            </w:r>
            <w:r w:rsidR="00237A2C" w:rsidRPr="005532DB">
              <w:t>CER</w:t>
            </w:r>
            <w:r w:rsidR="00D52FDB" w:rsidRPr="005532DB">
              <w:t xml:space="preserve"> </w:t>
            </w:r>
            <w:r w:rsidR="00D52FDB" w:rsidRPr="00FE6A69">
              <w:rPr>
                <w:color w:val="auto"/>
              </w:rPr>
              <w:t xml:space="preserve">respectively. It is important </w:t>
            </w:r>
            <w:r w:rsidR="00D52FDB" w:rsidRPr="005532DB">
              <w:t xml:space="preserve">to ensure that the information provided in response to these </w:t>
            </w:r>
            <w:proofErr w:type="gramStart"/>
            <w:r w:rsidR="00D52FDB" w:rsidRPr="005532DB">
              <w:t>include</w:t>
            </w:r>
            <w:proofErr w:type="gramEnd"/>
            <w:r w:rsidR="00D52FDB" w:rsidRPr="005532DB">
              <w:t xml:space="preserve"> a consideration of the relevance for the </w:t>
            </w:r>
            <w:r w:rsidR="00237A2C" w:rsidRPr="005532DB">
              <w:t>RMP</w:t>
            </w:r>
            <w:r w:rsidR="00D52FDB" w:rsidRPr="005532DB">
              <w:t>, and any specific information needed to address this issue in the RMP</w:t>
            </w:r>
            <w:r w:rsidR="0054046F" w:rsidRPr="005532DB">
              <w:t xml:space="preserve">. </w:t>
            </w:r>
            <w:r w:rsidR="00D52FDB" w:rsidRPr="005532DB">
              <w:t xml:space="preserve">For any safety considerations so raised, the sponsor should provide information that is relevant and necessary to </w:t>
            </w:r>
            <w:r w:rsidR="00803386" w:rsidRPr="005532DB">
              <w:t>address the issue in the RMP.</w:t>
            </w:r>
          </w:p>
        </w:tc>
        <w:tc>
          <w:tcPr>
            <w:tcW w:w="2907" w:type="dxa"/>
          </w:tcPr>
          <w:p w:rsidR="005532DB" w:rsidRDefault="00D52FDB" w:rsidP="009E38B5">
            <w:r w:rsidRPr="005532DB">
              <w:t>The sponsor makes no specific response to this recommendation, but states: ‘</w:t>
            </w:r>
            <w:r w:rsidRPr="00AA62F1">
              <w:rPr>
                <w:i/>
              </w:rPr>
              <w:t xml:space="preserve">The </w:t>
            </w:r>
            <w:proofErr w:type="gramStart"/>
            <w:r w:rsidR="00237A2C" w:rsidRPr="00AA62F1">
              <w:rPr>
                <w:i/>
              </w:rPr>
              <w:t>ASA</w:t>
            </w:r>
            <w:r w:rsidRPr="00AA62F1">
              <w:rPr>
                <w:i/>
              </w:rPr>
              <w:t>,</w:t>
            </w:r>
            <w:proofErr w:type="gramEnd"/>
            <w:r w:rsidRPr="00AA62F1">
              <w:rPr>
                <w:i/>
              </w:rPr>
              <w:t xml:space="preserve"> has been </w:t>
            </w:r>
            <w:r w:rsidR="00237A2C" w:rsidRPr="00AA62F1">
              <w:rPr>
                <w:i/>
              </w:rPr>
              <w:t>updated to incorporate the RMP e</w:t>
            </w:r>
            <w:r w:rsidRPr="00AA62F1">
              <w:rPr>
                <w:i/>
              </w:rPr>
              <w:t>valuator’s recommendations</w:t>
            </w:r>
            <w:r w:rsidRPr="005532DB">
              <w:t>.’</w:t>
            </w:r>
          </w:p>
        </w:tc>
        <w:tc>
          <w:tcPr>
            <w:tcW w:w="2907" w:type="dxa"/>
          </w:tcPr>
          <w:p w:rsidR="005532DB" w:rsidRDefault="00D52FDB" w:rsidP="009E38B5">
            <w:r w:rsidRPr="005532DB">
              <w:t>The clinical evaluator did not raise any additional safety considerations.</w:t>
            </w:r>
          </w:p>
        </w:tc>
      </w:tr>
      <w:tr w:rsidR="005532DB" w:rsidTr="005532DB">
        <w:tc>
          <w:tcPr>
            <w:tcW w:w="2906" w:type="dxa"/>
          </w:tcPr>
          <w:p w:rsidR="005532DB" w:rsidRDefault="00AA62F1" w:rsidP="009E38B5">
            <w:r>
              <w:t xml:space="preserve">2. </w:t>
            </w:r>
            <w:r w:rsidR="00D52FDB" w:rsidRPr="005532DB">
              <w:t>The ongoing studies are not considered to be part of the planned clinical studies in the pharmacovigilance plan. Therefore the related study protocols have not been reviewed. Nevertheless these studies will either generate safety data that will simply support the known safety profile of the medicine or generate data that will provoke applications to amend the A</w:t>
            </w:r>
            <w:r w:rsidR="00237A2C" w:rsidRPr="005532DB">
              <w:t>ustralian registration details.</w:t>
            </w:r>
            <w:r w:rsidR="00D52FDB" w:rsidRPr="005532DB">
              <w:t xml:space="preserve"> Consequently the table in Section 5.2.1 of the ASA should be amended </w:t>
            </w:r>
            <w:r w:rsidR="00D52FDB" w:rsidRPr="005532DB">
              <w:lastRenderedPageBreak/>
              <w:t>to state the anticipated dates for their submission in Australia, rather than in the EU.</w:t>
            </w:r>
          </w:p>
        </w:tc>
        <w:tc>
          <w:tcPr>
            <w:tcW w:w="2907" w:type="dxa"/>
          </w:tcPr>
          <w:p w:rsidR="005532DB" w:rsidRDefault="00D52FDB" w:rsidP="009E38B5">
            <w:r w:rsidRPr="005532DB">
              <w:lastRenderedPageBreak/>
              <w:t xml:space="preserve">The sponsor makes no specific response to this recommendation, but states: </w:t>
            </w:r>
            <w:r w:rsidRPr="00AA62F1">
              <w:rPr>
                <w:i/>
              </w:rPr>
              <w:t xml:space="preserve">‘The </w:t>
            </w:r>
            <w:proofErr w:type="gramStart"/>
            <w:r w:rsidR="00237A2C" w:rsidRPr="00AA62F1">
              <w:rPr>
                <w:i/>
              </w:rPr>
              <w:t>ASA</w:t>
            </w:r>
            <w:r w:rsidRPr="00AA62F1">
              <w:rPr>
                <w:i/>
              </w:rPr>
              <w:t>,</w:t>
            </w:r>
            <w:proofErr w:type="gramEnd"/>
            <w:r w:rsidRPr="00AA62F1">
              <w:rPr>
                <w:i/>
              </w:rPr>
              <w:t xml:space="preserve"> has been </w:t>
            </w:r>
            <w:r w:rsidR="00237A2C" w:rsidRPr="00AA62F1">
              <w:rPr>
                <w:i/>
              </w:rPr>
              <w:t>updated to incorporate the RMP e</w:t>
            </w:r>
            <w:r w:rsidRPr="00AA62F1">
              <w:rPr>
                <w:i/>
              </w:rPr>
              <w:t>valuator’s recommendations</w:t>
            </w:r>
            <w:r w:rsidRPr="005532DB">
              <w:t>.’</w:t>
            </w:r>
            <w:r w:rsidR="00237A2C" w:rsidRPr="005532DB">
              <w:t xml:space="preserve"> </w:t>
            </w:r>
            <w:r w:rsidRPr="005532DB">
              <w:t>However, the sponsor has only amended this table by stating for each study: ‘No submission planned to TGA. Final report available upon request.’</w:t>
            </w:r>
          </w:p>
        </w:tc>
        <w:tc>
          <w:tcPr>
            <w:tcW w:w="2907" w:type="dxa"/>
          </w:tcPr>
          <w:p w:rsidR="005532DB" w:rsidRDefault="00D52FDB" w:rsidP="009E38B5">
            <w:r w:rsidRPr="005532DB">
              <w:t xml:space="preserve">This response is considered unsatisfactory, as it is expected that submission of these studies in Australia would be closely aligned to the planned date for submission of the final report in the EU whether it is referred to in a </w:t>
            </w:r>
            <w:r w:rsidR="00C109C5" w:rsidRPr="00C109C5">
              <w:t xml:space="preserve">Product Safety Update Report </w:t>
            </w:r>
            <w:r w:rsidR="00C109C5">
              <w:t>(</w:t>
            </w:r>
            <w:r w:rsidRPr="005532DB">
              <w:t>PSUR</w:t>
            </w:r>
            <w:r w:rsidR="00C109C5">
              <w:t>)</w:t>
            </w:r>
            <w:r w:rsidRPr="005532DB">
              <w:t xml:space="preserve"> or submitted in an application to amend the Australian registration details</w:t>
            </w:r>
            <w:r w:rsidR="00237A2C" w:rsidRPr="005532DB">
              <w:t xml:space="preserve">. </w:t>
            </w:r>
            <w:r w:rsidRPr="005532DB">
              <w:t xml:space="preserve">Therefore this issue remains outstanding and should be adequately addressed, including any </w:t>
            </w:r>
            <w:r w:rsidRPr="005532DB">
              <w:lastRenderedPageBreak/>
              <w:t>updating of the anticipated dates, before this application is approved.</w:t>
            </w:r>
          </w:p>
        </w:tc>
      </w:tr>
      <w:tr w:rsidR="005532DB" w:rsidTr="005532DB">
        <w:tc>
          <w:tcPr>
            <w:tcW w:w="2906" w:type="dxa"/>
          </w:tcPr>
          <w:p w:rsidR="005532DB" w:rsidRDefault="00AA62F1" w:rsidP="009E38B5">
            <w:r>
              <w:lastRenderedPageBreak/>
              <w:t xml:space="preserve">3. </w:t>
            </w:r>
            <w:r w:rsidR="00D52FDB" w:rsidRPr="005532DB">
              <w:t xml:space="preserve">The sponsor’s conclusion that routine risk minimisation activities for all the specified ongoing safety concerns are sufficient remains similar to what was previously accepted for </w:t>
            </w:r>
            <w:proofErr w:type="spellStart"/>
            <w:r w:rsidR="00D52FDB" w:rsidRPr="005532DB">
              <w:t>X</w:t>
            </w:r>
            <w:r w:rsidR="00237A2C" w:rsidRPr="005532DB">
              <w:t>olair</w:t>
            </w:r>
            <w:proofErr w:type="spellEnd"/>
            <w:r w:rsidR="00D52FDB" w:rsidRPr="005532DB">
              <w:t xml:space="preserve"> and at this ti</w:t>
            </w:r>
            <w:r w:rsidR="00237A2C" w:rsidRPr="005532DB">
              <w:t>me continues to be acceptable.</w:t>
            </w:r>
          </w:p>
        </w:tc>
        <w:tc>
          <w:tcPr>
            <w:tcW w:w="2907" w:type="dxa"/>
          </w:tcPr>
          <w:p w:rsidR="005532DB" w:rsidRDefault="00D52FDB" w:rsidP="009E38B5">
            <w:r w:rsidRPr="005532DB">
              <w:t>The sponsor makes no specific response to this recommendation.</w:t>
            </w:r>
          </w:p>
        </w:tc>
        <w:tc>
          <w:tcPr>
            <w:tcW w:w="2907" w:type="dxa"/>
          </w:tcPr>
          <w:p w:rsidR="005532DB" w:rsidRDefault="00D52FDB" w:rsidP="009E38B5">
            <w:r w:rsidRPr="005532DB">
              <w:t>n/a</w:t>
            </w:r>
          </w:p>
        </w:tc>
      </w:tr>
      <w:tr w:rsidR="005532DB" w:rsidTr="005532DB">
        <w:tc>
          <w:tcPr>
            <w:tcW w:w="2906" w:type="dxa"/>
          </w:tcPr>
          <w:p w:rsidR="005532DB" w:rsidRDefault="00AA62F1" w:rsidP="009E38B5">
            <w:r>
              <w:t xml:space="preserve">4. </w:t>
            </w:r>
            <w:r w:rsidR="00D52FDB" w:rsidRPr="005532DB">
              <w:t xml:space="preserve">At this time the sponsor’s handling of the potential for medication errors with </w:t>
            </w:r>
            <w:proofErr w:type="spellStart"/>
            <w:r w:rsidR="00D52FDB" w:rsidRPr="005532DB">
              <w:t>X</w:t>
            </w:r>
            <w:r w:rsidR="00237A2C" w:rsidRPr="005532DB">
              <w:t>olair</w:t>
            </w:r>
            <w:proofErr w:type="spellEnd"/>
            <w:r w:rsidR="00D52FDB" w:rsidRPr="005532DB">
              <w:t xml:space="preserve"> using routine pharmacovigilance and risk minimisation activities continues to remain acceptable.</w:t>
            </w:r>
          </w:p>
        </w:tc>
        <w:tc>
          <w:tcPr>
            <w:tcW w:w="2907" w:type="dxa"/>
          </w:tcPr>
          <w:p w:rsidR="005532DB" w:rsidRDefault="00D52FDB" w:rsidP="009E38B5">
            <w:r w:rsidRPr="005532DB">
              <w:t>The sponsor makes no specific response to this recommendation.</w:t>
            </w:r>
          </w:p>
        </w:tc>
        <w:tc>
          <w:tcPr>
            <w:tcW w:w="2907" w:type="dxa"/>
          </w:tcPr>
          <w:p w:rsidR="005532DB" w:rsidRDefault="00D52FDB" w:rsidP="009E38B5">
            <w:r w:rsidRPr="005532DB">
              <w:t>n/a</w:t>
            </w:r>
          </w:p>
        </w:tc>
      </w:tr>
      <w:tr w:rsidR="005532DB" w:rsidTr="005532DB">
        <w:tc>
          <w:tcPr>
            <w:tcW w:w="2906" w:type="dxa"/>
          </w:tcPr>
          <w:p w:rsidR="005532DB" w:rsidRDefault="00AA62F1" w:rsidP="009E38B5">
            <w:r>
              <w:t xml:space="preserve">5. </w:t>
            </w:r>
            <w:r w:rsidR="00D52FDB" w:rsidRPr="005532DB">
              <w:t>As per the (RMP) Questions and Answers (Version 1.3, October 2012) as found on the TGA website, when an existing European Union (EU) RMP is available, the TGA strongly recommends submiss</w:t>
            </w:r>
            <w:r w:rsidR="00237A2C" w:rsidRPr="005532DB">
              <w:t xml:space="preserve">ion of the EU-RMP with an ASA. </w:t>
            </w:r>
            <w:r w:rsidR="00D52FDB" w:rsidRPr="005532DB">
              <w:t xml:space="preserve">These guidelines also state: ‘The ASA should identify any differences between the EU-RMP and the local implementation of risk management activities, for example: any differences between the risk minimisation activities undertaken as reflected in the content of the EU Summary of Product Characteristics </w:t>
            </w:r>
            <w:r w:rsidR="00D52FDB" w:rsidRPr="005532DB">
              <w:lastRenderedPageBreak/>
              <w:t>(</w:t>
            </w:r>
            <w:proofErr w:type="spellStart"/>
            <w:r w:rsidR="00D52FDB" w:rsidRPr="005532DB">
              <w:t>SmPC</w:t>
            </w:r>
            <w:proofErr w:type="spellEnd"/>
            <w:r w:rsidR="00D52FDB" w:rsidRPr="005532DB">
              <w:t xml:space="preserve">) and the proposed Australian </w:t>
            </w:r>
            <w:r w:rsidR="00C109C5">
              <w:t>PI</w:t>
            </w:r>
            <w:r w:rsidR="00D52FDB" w:rsidRPr="005532DB">
              <w:t>, and the reasons for the difference.’</w:t>
            </w:r>
            <w:r w:rsidR="00237A2C" w:rsidRPr="005532DB">
              <w:t xml:space="preserve"> </w:t>
            </w:r>
            <w:r w:rsidR="00D52FDB" w:rsidRPr="005532DB">
              <w:t>Consequently the ASA should be revised to reference</w:t>
            </w:r>
            <w:r w:rsidR="00237A2C" w:rsidRPr="005532DB">
              <w:t xml:space="preserve"> the EU-RMP, not the Core RMP. </w:t>
            </w:r>
            <w:r w:rsidR="00D52FDB" w:rsidRPr="005532DB">
              <w:t xml:space="preserve">This revision should include identifying and providing reasons for any differences between the EU-RMP and the local implementation of risk management activities in the ASA, for example: any differences between the risk minimisation activities undertaken as reflected in the content of the EU </w:t>
            </w:r>
            <w:proofErr w:type="spellStart"/>
            <w:r w:rsidR="00D52FDB" w:rsidRPr="005532DB">
              <w:t>SmPC</w:t>
            </w:r>
            <w:proofErr w:type="spellEnd"/>
            <w:r w:rsidR="00D52FDB" w:rsidRPr="005532DB">
              <w:t xml:space="preserve"> </w:t>
            </w:r>
            <w:r w:rsidR="00237A2C" w:rsidRPr="005532DB">
              <w:t>and the proposed Australian PI.</w:t>
            </w:r>
          </w:p>
        </w:tc>
        <w:tc>
          <w:tcPr>
            <w:tcW w:w="2907" w:type="dxa"/>
          </w:tcPr>
          <w:p w:rsidR="005532DB" w:rsidRDefault="00D52FDB" w:rsidP="009E38B5">
            <w:r w:rsidRPr="005532DB">
              <w:lastRenderedPageBreak/>
              <w:t>The sponsor makes no specific response to this recommendation, but states: ‘</w:t>
            </w:r>
            <w:r w:rsidRPr="00AA62F1">
              <w:rPr>
                <w:i/>
              </w:rPr>
              <w:t xml:space="preserve">The </w:t>
            </w:r>
            <w:proofErr w:type="gramStart"/>
            <w:r w:rsidR="00237A2C" w:rsidRPr="00AA62F1">
              <w:rPr>
                <w:i/>
              </w:rPr>
              <w:t>ASA</w:t>
            </w:r>
            <w:r w:rsidRPr="00AA62F1">
              <w:rPr>
                <w:i/>
              </w:rPr>
              <w:t>,</w:t>
            </w:r>
            <w:proofErr w:type="gramEnd"/>
            <w:r w:rsidRPr="00AA62F1">
              <w:rPr>
                <w:i/>
              </w:rPr>
              <w:t xml:space="preserve"> has been </w:t>
            </w:r>
            <w:r w:rsidR="00237A2C" w:rsidRPr="00AA62F1">
              <w:rPr>
                <w:i/>
              </w:rPr>
              <w:t>updated to incorporate the RMP e</w:t>
            </w:r>
            <w:r w:rsidRPr="00AA62F1">
              <w:rPr>
                <w:i/>
              </w:rPr>
              <w:t>valuator’s recommendations.</w:t>
            </w:r>
            <w:r w:rsidRPr="005532DB">
              <w:t>’</w:t>
            </w:r>
          </w:p>
        </w:tc>
        <w:tc>
          <w:tcPr>
            <w:tcW w:w="2907" w:type="dxa"/>
          </w:tcPr>
          <w:p w:rsidR="005532DB" w:rsidRDefault="00D52FDB" w:rsidP="009E38B5">
            <w:r w:rsidRPr="005532DB">
              <w:t xml:space="preserve">No tabular comparison identifying and providing reasons for any differences between the content and wording of the EU </w:t>
            </w:r>
            <w:proofErr w:type="spellStart"/>
            <w:r w:rsidRPr="005532DB">
              <w:t>SmPC</w:t>
            </w:r>
            <w:proofErr w:type="spellEnd"/>
            <w:r w:rsidRPr="005532DB">
              <w:t xml:space="preserve"> and the proposed Australian PI for all of the specified ongoing safety concerns has bee</w:t>
            </w:r>
            <w:r w:rsidR="00237A2C" w:rsidRPr="005532DB">
              <w:t xml:space="preserve">n provided in the updated ASA. </w:t>
            </w:r>
            <w:r w:rsidRPr="005532DB">
              <w:t>Therefore this issue remains outstanding and should be adequately addressed before this application is approved.</w:t>
            </w:r>
          </w:p>
        </w:tc>
      </w:tr>
      <w:tr w:rsidR="005532DB" w:rsidTr="005532DB">
        <w:tc>
          <w:tcPr>
            <w:tcW w:w="2906" w:type="dxa"/>
          </w:tcPr>
          <w:p w:rsidR="005532DB" w:rsidRPr="005532DB" w:rsidRDefault="00AA62F1" w:rsidP="009E38B5">
            <w:r>
              <w:lastRenderedPageBreak/>
              <w:t xml:space="preserve">6. </w:t>
            </w:r>
            <w:r w:rsidR="00D52FDB" w:rsidRPr="005532DB">
              <w:t>To this end the sponsor should also provide a table summarising the pharmacovigilance plan and risk minimisation plan prop</w:t>
            </w:r>
            <w:r w:rsidR="00237A2C" w:rsidRPr="005532DB">
              <w:t xml:space="preserve">osed for Australia in the ASA. </w:t>
            </w:r>
            <w:r w:rsidR="00D52FDB" w:rsidRPr="005532DB">
              <w:t xml:space="preserve">Wording pertaining to all the specified ongoing safety concerns in the proposed Australian PI and CMI should be included in the table, as well as the foreshadowed routine risk minimisation for the important potential risk: ‘Arterial </w:t>
            </w:r>
            <w:r w:rsidR="00237A2C" w:rsidRPr="005532DB">
              <w:t xml:space="preserve">Thromboembolic Events (ATEs)’. </w:t>
            </w:r>
            <w:r w:rsidR="00D52FDB" w:rsidRPr="005532DB">
              <w:t>Upon receipt of such information recommendations to the Delegate in regard to the proposed routine risk minimisation activities can then be made.</w:t>
            </w:r>
          </w:p>
        </w:tc>
        <w:tc>
          <w:tcPr>
            <w:tcW w:w="2907" w:type="dxa"/>
          </w:tcPr>
          <w:p w:rsidR="005532DB" w:rsidRPr="005532DB" w:rsidRDefault="00D52FDB" w:rsidP="009E38B5">
            <w:r w:rsidRPr="005532DB">
              <w:t>The sponsor makes no specific response to this recommendation, but states: ‘</w:t>
            </w:r>
            <w:r w:rsidRPr="00AA62F1">
              <w:rPr>
                <w:i/>
              </w:rPr>
              <w:t xml:space="preserve">The Australian Specific </w:t>
            </w:r>
            <w:proofErr w:type="gramStart"/>
            <w:r w:rsidRPr="00AA62F1">
              <w:rPr>
                <w:i/>
              </w:rPr>
              <w:t>Annex,</w:t>
            </w:r>
            <w:proofErr w:type="gramEnd"/>
            <w:r w:rsidRPr="00AA62F1">
              <w:rPr>
                <w:i/>
              </w:rPr>
              <w:t xml:space="preserve"> has been </w:t>
            </w:r>
            <w:r w:rsidR="00237A2C" w:rsidRPr="00AA62F1">
              <w:rPr>
                <w:i/>
              </w:rPr>
              <w:t>updated to incorporate the RMP e</w:t>
            </w:r>
            <w:r w:rsidRPr="00AA62F1">
              <w:rPr>
                <w:i/>
              </w:rPr>
              <w:t>valuator’s recommendations</w:t>
            </w:r>
            <w:r w:rsidRPr="005532DB">
              <w:t>.’</w:t>
            </w:r>
          </w:p>
        </w:tc>
        <w:tc>
          <w:tcPr>
            <w:tcW w:w="2907" w:type="dxa"/>
          </w:tcPr>
          <w:p w:rsidR="005532DB" w:rsidRPr="005532DB" w:rsidRDefault="00D52FDB" w:rsidP="009E38B5">
            <w:r w:rsidRPr="005532DB">
              <w:t>No tabular summary of the pharmacovigilance and risk minimisation activities proposed for Australia encompassing all of the specified ongoing safety concerns has bee</w:t>
            </w:r>
            <w:r w:rsidR="00237A2C" w:rsidRPr="005532DB">
              <w:t xml:space="preserve">n provided in the updated ASA. </w:t>
            </w:r>
            <w:r w:rsidRPr="005532DB">
              <w:t>Therefore this issue remains outstanding and should be adequately addressed before this application is approved.</w:t>
            </w:r>
          </w:p>
        </w:tc>
      </w:tr>
    </w:tbl>
    <w:p w:rsidR="008E7846" w:rsidRPr="009E38B5" w:rsidRDefault="008E7846" w:rsidP="009E38B5">
      <w:pPr>
        <w:pStyle w:val="Heading4"/>
      </w:pPr>
      <w:r w:rsidRPr="009E38B5">
        <w:lastRenderedPageBreak/>
        <w:t xml:space="preserve">Summary of </w:t>
      </w:r>
      <w:r w:rsidR="003A7F6C" w:rsidRPr="009E38B5">
        <w:t>r</w:t>
      </w:r>
      <w:r w:rsidRPr="009E38B5">
        <w:t>ecommendations</w:t>
      </w:r>
    </w:p>
    <w:p w:rsidR="00975D22" w:rsidRPr="009E38B5" w:rsidRDefault="00975D22" w:rsidP="009E38B5">
      <w:pPr>
        <w:pStyle w:val="Heading5"/>
      </w:pPr>
      <w:r w:rsidRPr="009E38B5">
        <w:t>Outstanding issues</w:t>
      </w:r>
    </w:p>
    <w:p w:rsidR="00975D22" w:rsidRPr="00975D22" w:rsidRDefault="005E0AA5" w:rsidP="00975D22">
      <w:r>
        <w:t>T</w:t>
      </w:r>
      <w:r w:rsidR="00975D22" w:rsidRPr="00975D22">
        <w:t>he sponsor’s r</w:t>
      </w:r>
      <w:r>
        <w:t>esponse has not addressed each</w:t>
      </w:r>
      <w:r w:rsidR="00975D22" w:rsidRPr="00975D22">
        <w:t xml:space="preserve"> recommendation specified in </w:t>
      </w:r>
      <w:r w:rsidR="00975D22">
        <w:t>the RMP Evaluation Report</w:t>
      </w:r>
      <w:r w:rsidR="00AA62F1">
        <w:t xml:space="preserve"> (see Table 9 above)</w:t>
      </w:r>
      <w:r w:rsidR="00975D22">
        <w:t xml:space="preserve">. </w:t>
      </w:r>
      <w:r w:rsidR="00975D22" w:rsidRPr="00975D22">
        <w:t>It appears this oversight has contributed to the sponsor’s inadequate response.</w:t>
      </w:r>
    </w:p>
    <w:p w:rsidR="00975D22" w:rsidRPr="00975D22" w:rsidRDefault="00975D22" w:rsidP="00975D22">
      <w:r w:rsidRPr="00975D22">
        <w:t xml:space="preserve">The sponsor was advised that the ongoing studies were not considered to be part of the planned clinical studies </w:t>
      </w:r>
      <w:r>
        <w:t xml:space="preserve">in the pharmacovigilance plan. </w:t>
      </w:r>
      <w:r w:rsidRPr="00975D22">
        <w:t>Therefore the related study protocols had</w:t>
      </w:r>
      <w:r>
        <w:t xml:space="preserve"> not been reviewed. </w:t>
      </w:r>
      <w:r w:rsidRPr="00975D22">
        <w:t>Nevertheless these studies will either generate safety data that will simply support the known safety profile of the medicine or generate data that will provoke applications to amend the Au</w:t>
      </w:r>
      <w:r>
        <w:t xml:space="preserve">stralian registration details. </w:t>
      </w:r>
      <w:r w:rsidRPr="00975D22">
        <w:t>Consequently it was requested that the table in Section 5.2.1 of the ASA should be amended to state the anticipated dates for their submission in Australia, rather than in the EU.</w:t>
      </w:r>
      <w:r>
        <w:t xml:space="preserve"> </w:t>
      </w:r>
      <w:r w:rsidRPr="00975D22">
        <w:t xml:space="preserve">However, the sponsor has only amended this table by stating for each study: </w:t>
      </w:r>
      <w:r w:rsidR="005163BB">
        <w:t>‘</w:t>
      </w:r>
      <w:r w:rsidRPr="005E0AA5">
        <w:rPr>
          <w:i/>
        </w:rPr>
        <w:t xml:space="preserve">No submission planned to TGA. </w:t>
      </w:r>
      <w:proofErr w:type="gramStart"/>
      <w:r w:rsidRPr="005E0AA5">
        <w:rPr>
          <w:i/>
        </w:rPr>
        <w:t>Final report available upon request</w:t>
      </w:r>
      <w:r w:rsidRPr="00975D22">
        <w:t>.</w:t>
      </w:r>
      <w:r w:rsidR="005163BB">
        <w:t>’</w:t>
      </w:r>
      <w:proofErr w:type="gramEnd"/>
      <w:r>
        <w:t xml:space="preserve"> </w:t>
      </w:r>
      <w:r w:rsidRPr="00975D22">
        <w:t xml:space="preserve">This response is considered unsatisfactory, as it is expected that submission of these studies in Australia would be closely aligned to the planned date for submission of the final report in the EU whether it is referred to in a </w:t>
      </w:r>
      <w:r w:rsidR="00C109C5">
        <w:t>product safety update r</w:t>
      </w:r>
      <w:r w:rsidR="00C109C5" w:rsidRPr="00C109C5">
        <w:t xml:space="preserve">eport </w:t>
      </w:r>
      <w:r w:rsidR="00C109C5">
        <w:t>(</w:t>
      </w:r>
      <w:r w:rsidRPr="00975D22">
        <w:t>PSUR</w:t>
      </w:r>
      <w:r w:rsidR="00C109C5">
        <w:t>)</w:t>
      </w:r>
      <w:r w:rsidRPr="00975D22">
        <w:t xml:space="preserve"> or submitted in an application to amend the Australian registration details</w:t>
      </w:r>
      <w:r>
        <w:t xml:space="preserve">. </w:t>
      </w:r>
      <w:r w:rsidRPr="00975D22">
        <w:t>Therefore this issue remains outstanding and should be adequately addressed, including any updating of the anticipated dates, before this application is approved.</w:t>
      </w:r>
    </w:p>
    <w:p w:rsidR="00975D22" w:rsidRPr="00975D22" w:rsidRDefault="00975D22" w:rsidP="00975D22">
      <w:r w:rsidRPr="00975D22">
        <w:t>The sponsor was asked to revise the ASA to</w:t>
      </w:r>
      <w:r w:rsidR="00065416">
        <w:t xml:space="preserve"> reference the EU-RMP, not the c</w:t>
      </w:r>
      <w:r w:rsidRPr="00975D22">
        <w:t xml:space="preserve">ore RMP and that this revision should include identifying and providing reasons for any differences between the EU-RMP and the local implementation of risk management activities in the ASA, for example: any differences between the risk minimisation activities undertaken as reflected in the content and wording of the EU </w:t>
      </w:r>
      <w:r w:rsidR="00AA62F1" w:rsidRPr="00AA62F1">
        <w:t xml:space="preserve">Summary of Product Characteristics </w:t>
      </w:r>
      <w:r w:rsidR="00AA62F1">
        <w:t>(</w:t>
      </w:r>
      <w:proofErr w:type="spellStart"/>
      <w:r w:rsidRPr="00975D22">
        <w:t>SmPC</w:t>
      </w:r>
      <w:proofErr w:type="spellEnd"/>
      <w:r w:rsidR="00AA62F1">
        <w:t>)</w:t>
      </w:r>
      <w:r w:rsidRPr="00975D22">
        <w:t xml:space="preserve"> a</w:t>
      </w:r>
      <w:r w:rsidR="00F519D4">
        <w:t xml:space="preserve">nd the proposed Australian PI. </w:t>
      </w:r>
      <w:r w:rsidRPr="00975D22">
        <w:t>No such tabular comparison encompassing all of the specified ongoing safety concerns has bee</w:t>
      </w:r>
      <w:r w:rsidR="00F519D4">
        <w:t xml:space="preserve">n provided in the updated ASA. </w:t>
      </w:r>
      <w:r w:rsidRPr="00975D22">
        <w:t>Therefore this issue remains outstanding and should be adequately addressed before this application is approved.</w:t>
      </w:r>
    </w:p>
    <w:p w:rsidR="00975D22" w:rsidRDefault="00975D22" w:rsidP="00975D22">
      <w:r w:rsidRPr="00975D22">
        <w:t>The sponsor was also asked to provide a table summarising the pharmacovigilance and risk minimisation activities prop</w:t>
      </w:r>
      <w:r w:rsidR="00F519D4">
        <w:t xml:space="preserve">osed for Australia in the ASA. </w:t>
      </w:r>
      <w:r w:rsidRPr="00975D22">
        <w:t>No such tabular summary encompassing all of the specified ongoing safety concerns has bee</w:t>
      </w:r>
      <w:r w:rsidR="00F519D4">
        <w:t xml:space="preserve">n provided in the updated ASA. </w:t>
      </w:r>
      <w:r w:rsidRPr="00975D22">
        <w:t>Therefore this issue remains outstanding and should be adequately addressed before this application is approved.</w:t>
      </w:r>
      <w:r w:rsidR="00BF5D8C">
        <w:rPr>
          <w:rStyle w:val="FootnoteReference"/>
        </w:rPr>
        <w:footnoteReference w:id="12"/>
      </w:r>
    </w:p>
    <w:p w:rsidR="00975D22" w:rsidRPr="009E38B5" w:rsidRDefault="00975D22" w:rsidP="009E38B5">
      <w:pPr>
        <w:pStyle w:val="Heading5"/>
      </w:pPr>
      <w:r w:rsidRPr="009E38B5">
        <w:t>Advice from the Advisory Committee on the Safety of Medicines (ACSOM)</w:t>
      </w:r>
    </w:p>
    <w:p w:rsidR="00975D22" w:rsidRPr="00975D22" w:rsidRDefault="00975D22" w:rsidP="00975D22">
      <w:pPr>
        <w:rPr>
          <w:lang w:eastAsia="en-AU"/>
        </w:rPr>
      </w:pPr>
      <w:r>
        <w:rPr>
          <w:lang w:eastAsia="en-AU"/>
        </w:rPr>
        <w:t>ACSOM advice was not sought for this submission.</w:t>
      </w:r>
    </w:p>
    <w:p w:rsidR="00EC0981" w:rsidRPr="009E38B5" w:rsidRDefault="00EC0981" w:rsidP="009E38B5">
      <w:pPr>
        <w:pStyle w:val="Heading5"/>
      </w:pPr>
      <w:r w:rsidRPr="009E38B5">
        <w:t>Key changes to the updated RMP</w:t>
      </w:r>
    </w:p>
    <w:p w:rsidR="00EC0981" w:rsidRDefault="00EC0981" w:rsidP="00EC0981">
      <w:r w:rsidRPr="00EC0981">
        <w:t xml:space="preserve">In their response to the TGA </w:t>
      </w:r>
      <w:r>
        <w:t xml:space="preserve">consolidated request for information </w:t>
      </w:r>
      <w:r w:rsidRPr="00EC0981">
        <w:t>the sponsor provided an updated EU-RMP (Version 9.2, dated 16 January 2014) with an updated ASA (Version 2.0, dated 3 June 2014)</w:t>
      </w:r>
      <w:r w:rsidR="005163BB">
        <w:t xml:space="preserve">. </w:t>
      </w:r>
      <w:r w:rsidRPr="00EC0981">
        <w:t xml:space="preserve">Key changes from the versions evaluated </w:t>
      </w:r>
      <w:r w:rsidR="00AA62F1">
        <w:t>in the first round</w:t>
      </w:r>
      <w:r w:rsidRPr="00EC0981">
        <w:t xml:space="preserve"> are summarised below</w:t>
      </w:r>
      <w:r w:rsidR="00626C24">
        <w:t xml:space="preserve"> (Table 10).</w:t>
      </w:r>
    </w:p>
    <w:p w:rsidR="00520619" w:rsidRDefault="00520619">
      <w:pPr>
        <w:spacing w:before="0" w:after="200" w:line="0" w:lineRule="auto"/>
        <w:rPr>
          <w:b/>
        </w:rPr>
      </w:pPr>
      <w:r>
        <w:br w:type="page"/>
      </w:r>
    </w:p>
    <w:p w:rsidR="005E0AA5" w:rsidRPr="009E38B5" w:rsidRDefault="005E0AA5" w:rsidP="009E38B5">
      <w:pPr>
        <w:pStyle w:val="TableTitle"/>
      </w:pPr>
      <w:proofErr w:type="gramStart"/>
      <w:r w:rsidRPr="009E38B5">
        <w:lastRenderedPageBreak/>
        <w:t>Table 10.</w:t>
      </w:r>
      <w:proofErr w:type="gramEnd"/>
      <w:r w:rsidRPr="009E38B5">
        <w:t xml:space="preserve"> Key changes to the RMP and ASA.</w:t>
      </w:r>
    </w:p>
    <w:tbl>
      <w:tblPr>
        <w:tblStyle w:val="TableTGAblue1"/>
        <w:tblW w:w="0" w:type="auto"/>
        <w:tblInd w:w="534" w:type="dxa"/>
        <w:tblLook w:val="04A0" w:firstRow="1" w:lastRow="0" w:firstColumn="1" w:lastColumn="0" w:noHBand="0" w:noVBand="1"/>
      </w:tblPr>
      <w:tblGrid>
        <w:gridCol w:w="1499"/>
        <w:gridCol w:w="6687"/>
      </w:tblGrid>
      <w:tr w:rsidR="005E0AA5" w:rsidRPr="00107999" w:rsidTr="005E0AA5">
        <w:trPr>
          <w:cnfStyle w:val="100000000000" w:firstRow="1" w:lastRow="0" w:firstColumn="0" w:lastColumn="0" w:oddVBand="0" w:evenVBand="0" w:oddHBand="0" w:evenHBand="0" w:firstRowFirstColumn="0" w:firstRowLastColumn="0" w:lastRowFirstColumn="0" w:lastRowLastColumn="0"/>
          <w:cantSplit/>
          <w:trHeight w:val="536"/>
          <w:tblHeader/>
        </w:trPr>
        <w:tc>
          <w:tcPr>
            <w:tcW w:w="8186" w:type="dxa"/>
            <w:gridSpan w:val="2"/>
          </w:tcPr>
          <w:p w:rsidR="005E0AA5" w:rsidRPr="005E0AA5" w:rsidRDefault="005E0AA5" w:rsidP="009E38B5">
            <w:r w:rsidRPr="005E0AA5">
              <w:t>RMP Updates</w:t>
            </w:r>
          </w:p>
        </w:tc>
      </w:tr>
      <w:tr w:rsidR="00EC0981" w:rsidRPr="00C533E8" w:rsidTr="005E0AA5">
        <w:trPr>
          <w:cantSplit/>
          <w:trHeight w:val="524"/>
        </w:trPr>
        <w:tc>
          <w:tcPr>
            <w:tcW w:w="149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EC0981" w:rsidRPr="00EC0981" w:rsidRDefault="00EC0981" w:rsidP="009E38B5">
            <w:r w:rsidRPr="00EC0981">
              <w:t>EU-RMP</w:t>
            </w:r>
          </w:p>
        </w:tc>
        <w:tc>
          <w:tcPr>
            <w:tcW w:w="66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EC0981" w:rsidRPr="00EC0981" w:rsidRDefault="00EC0981" w:rsidP="009E38B5">
            <w:r w:rsidRPr="00EC0981">
              <w:t>Identified risk ‘Malignant neoplasms in adults and adolescents ≥ 12 years of age’ downgraded to potential risk.</w:t>
            </w:r>
          </w:p>
        </w:tc>
      </w:tr>
      <w:tr w:rsidR="00EC0981" w:rsidRPr="00C533E8" w:rsidTr="005E0AA5">
        <w:trPr>
          <w:cantSplit/>
          <w:trHeight w:val="524"/>
        </w:trPr>
        <w:tc>
          <w:tcPr>
            <w:tcW w:w="14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EC0981" w:rsidRPr="00EC0981" w:rsidRDefault="00EC0981" w:rsidP="009E38B5">
            <w:r w:rsidRPr="00EC0981">
              <w:t>ASA</w:t>
            </w:r>
          </w:p>
        </w:tc>
        <w:tc>
          <w:tcPr>
            <w:tcW w:w="66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EC0981" w:rsidRPr="00EC0981" w:rsidRDefault="00EC0981" w:rsidP="009E38B5">
            <w:r w:rsidRPr="00EC0981">
              <w:t>Section 1- Updated with reference to EU RMP v9.2 from Core RMP v9.0</w:t>
            </w:r>
            <w:r w:rsidR="00626C24">
              <w:t>.</w:t>
            </w:r>
          </w:p>
          <w:p w:rsidR="00EC0981" w:rsidRPr="00EC0981" w:rsidRDefault="00EC0981" w:rsidP="009E38B5">
            <w:r w:rsidRPr="00EC0981">
              <w:t>Section 2 - Updated with changes from previous version</w:t>
            </w:r>
            <w:r w:rsidR="00626C24">
              <w:t>.</w:t>
            </w:r>
          </w:p>
          <w:p w:rsidR="00EC0981" w:rsidRPr="00EC0981" w:rsidRDefault="00EC0981" w:rsidP="009E38B5">
            <w:r w:rsidRPr="00EC0981">
              <w:t>Section 3 - Addition of Section 3.2.1 ‘Differences in indications between the EU and Australia’ and updated with reference to EU RMP v9.2 and administrative changes</w:t>
            </w:r>
            <w:r w:rsidR="00626C24">
              <w:t>.</w:t>
            </w:r>
          </w:p>
          <w:p w:rsidR="00EC0981" w:rsidRPr="00EC0981" w:rsidRDefault="00EC0981" w:rsidP="009E38B5">
            <w:r w:rsidRPr="00EC0981">
              <w:t>Section 4 - Minor administrative change</w:t>
            </w:r>
          </w:p>
          <w:p w:rsidR="00EC0981" w:rsidRPr="00EC0981" w:rsidRDefault="00EC0981" w:rsidP="009E38B5">
            <w:r w:rsidRPr="00EC0981">
              <w:t>Section 5 - Updated with reference to EU RMP v9.2</w:t>
            </w:r>
            <w:r w:rsidR="00626C24">
              <w:t>.</w:t>
            </w:r>
          </w:p>
          <w:p w:rsidR="00EC0981" w:rsidRPr="00EC0981" w:rsidRDefault="00EC0981" w:rsidP="009E38B5">
            <w:r w:rsidRPr="00EC0981">
              <w:t>Section 5.1 - Removed reference to targeted questionnaires/checklists within the ASA. Targeted questionnaires/checklists are included in EU RMP.</w:t>
            </w:r>
          </w:p>
          <w:p w:rsidR="00EC0981" w:rsidRPr="00EC0981" w:rsidRDefault="00EC0981" w:rsidP="009E38B5">
            <w:r w:rsidRPr="00EC0981">
              <w:t>Section 5.2 - Updated the submission status of all studies to ‘No submission planned to TGA. Final report available upon request’</w:t>
            </w:r>
            <w:r w:rsidR="00626C24">
              <w:t>.</w:t>
            </w:r>
          </w:p>
          <w:p w:rsidR="00EC0981" w:rsidRPr="00EC0981" w:rsidRDefault="00EC0981" w:rsidP="009E38B5">
            <w:r w:rsidRPr="00EC0981">
              <w:t>Section 6 - Updated with reference to EU RMP v9.2</w:t>
            </w:r>
            <w:r w:rsidR="00FE6A69">
              <w:t>.</w:t>
            </w:r>
          </w:p>
          <w:p w:rsidR="00EC0981" w:rsidRPr="00EC0981" w:rsidRDefault="00EC0981" w:rsidP="009E38B5">
            <w:r w:rsidRPr="00EC0981">
              <w:t>Section 6.2 - Added routine risk minimisation activities (</w:t>
            </w:r>
            <w:proofErr w:type="spellStart"/>
            <w:r w:rsidRPr="00EC0981">
              <w:t>ie</w:t>
            </w:r>
            <w:proofErr w:type="spellEnd"/>
            <w:r w:rsidRPr="00EC0981">
              <w:t xml:space="preserve"> PI statements) for Arterial Thromboembolic events (ATEs) and for safety concern ‘Malignant neoplasms – adults and adolescents 12 years old or older’ removed reference to malignancy in precautions section following approval by TGA of PM-2013-02423-1-5.</w:t>
            </w:r>
          </w:p>
          <w:p w:rsidR="00EC0981" w:rsidRPr="00EC0981" w:rsidRDefault="00EC0981" w:rsidP="009E38B5">
            <w:r w:rsidRPr="00EC0981">
              <w:t>Section 10 - Removed targeted questionnaires/checklists. Targeted questionnaires/checklists are included in EU RMP.</w:t>
            </w:r>
          </w:p>
        </w:tc>
      </w:tr>
    </w:tbl>
    <w:p w:rsidR="00EC0981" w:rsidRPr="009E38B5" w:rsidRDefault="005163BB" w:rsidP="009E38B5">
      <w:pPr>
        <w:pStyle w:val="Heading5"/>
      </w:pPr>
      <w:r w:rsidRPr="009E38B5">
        <w:t>Suggested conditions of registration</w:t>
      </w:r>
    </w:p>
    <w:p w:rsidR="005E0AA5" w:rsidRDefault="005163BB" w:rsidP="00C823FE">
      <w:pPr>
        <w:pStyle w:val="Numberbullet0"/>
      </w:pPr>
      <w:r>
        <w:t xml:space="preserve">Implement the </w:t>
      </w:r>
      <w:r w:rsidRPr="00912A0B">
        <w:t>he</w:t>
      </w:r>
      <w:r>
        <w:t xml:space="preserve"> European</w:t>
      </w:r>
      <w:r w:rsidRPr="00912A0B">
        <w:t xml:space="preserve"> Risk Management Plan </w:t>
      </w:r>
      <w:r>
        <w:t>(</w:t>
      </w:r>
      <w:r w:rsidRPr="00832109">
        <w:t xml:space="preserve">Version </w:t>
      </w:r>
      <w:r>
        <w:t>9.2</w:t>
      </w:r>
      <w:r w:rsidRPr="00832109">
        <w:t xml:space="preserve">, dated </w:t>
      </w:r>
      <w:r>
        <w:t>16 January 2014),</w:t>
      </w:r>
      <w:r w:rsidRPr="00832109">
        <w:t xml:space="preserve"> with an </w:t>
      </w:r>
      <w:r>
        <w:t>Australian Specific Annex (</w:t>
      </w:r>
      <w:r w:rsidRPr="00832109">
        <w:t xml:space="preserve">Version </w:t>
      </w:r>
      <w:r>
        <w:t>2.0</w:t>
      </w:r>
      <w:r w:rsidRPr="00832109">
        <w:t>, dated</w:t>
      </w:r>
      <w:r>
        <w:t xml:space="preserve"> 3 June 2014</w:t>
      </w:r>
      <w:r w:rsidRPr="00832109">
        <w:t>)</w:t>
      </w:r>
      <w:r>
        <w:t xml:space="preserve"> amended as agreed by the TGA</w:t>
      </w:r>
      <w:r w:rsidRPr="00912A0B">
        <w:t>.</w:t>
      </w:r>
    </w:p>
    <w:p w:rsidR="005E0AA5" w:rsidRPr="005163BB" w:rsidRDefault="005E0AA5" w:rsidP="00C823FE">
      <w:pPr>
        <w:pStyle w:val="Numberbullet0"/>
      </w:pPr>
      <w:r>
        <w:t>Any commitments made by the sponsor in their response to the TGA request for information regarding RMP issues have to be implemented as agreed with the TGA.</w:t>
      </w:r>
    </w:p>
    <w:p w:rsidR="008E7846" w:rsidRPr="009E38B5" w:rsidRDefault="008E7846" w:rsidP="009E38B5">
      <w:pPr>
        <w:pStyle w:val="Heading2"/>
      </w:pPr>
      <w:bookmarkStart w:id="153" w:name="_Toc314842510"/>
      <w:bookmarkStart w:id="154" w:name="_Toc426984866"/>
      <w:r w:rsidRPr="009E38B5">
        <w:t>VI. Overall conclusion and risk/benefit assessment</w:t>
      </w:r>
      <w:bookmarkEnd w:id="137"/>
      <w:bookmarkEnd w:id="152"/>
      <w:bookmarkEnd w:id="153"/>
      <w:bookmarkEnd w:id="154"/>
    </w:p>
    <w:p w:rsidR="008E7846" w:rsidRDefault="008E7846" w:rsidP="008E7846">
      <w:bookmarkStart w:id="155" w:name="_Toc247691528"/>
      <w:r>
        <w:t xml:space="preserve">The submission was summarised in the following </w:t>
      </w:r>
      <w:r w:rsidRPr="00EF5C48">
        <w:t xml:space="preserve">Delegate’s </w:t>
      </w:r>
      <w:r>
        <w:t>overview</w:t>
      </w:r>
      <w:r w:rsidRPr="00EF5C48">
        <w:t xml:space="preserve"> and recommendation</w:t>
      </w:r>
      <w:r>
        <w:t>s:</w:t>
      </w:r>
    </w:p>
    <w:p w:rsidR="008E7846" w:rsidRPr="009E38B5" w:rsidRDefault="008E7846" w:rsidP="009E38B5">
      <w:pPr>
        <w:pStyle w:val="Heading3"/>
      </w:pPr>
      <w:bookmarkStart w:id="156" w:name="_Toc314842511"/>
      <w:bookmarkStart w:id="157" w:name="_Toc426984867"/>
      <w:r w:rsidRPr="009E38B5">
        <w:t>Quality</w:t>
      </w:r>
      <w:bookmarkEnd w:id="155"/>
      <w:bookmarkEnd w:id="156"/>
      <w:bookmarkEnd w:id="157"/>
    </w:p>
    <w:p w:rsidR="00E45619" w:rsidRDefault="008E7846" w:rsidP="003A7F6C">
      <w:r>
        <w:t>There was no requirement for a quality evaluation in a submission of this type.</w:t>
      </w:r>
    </w:p>
    <w:p w:rsidR="008E7846" w:rsidRPr="009E38B5" w:rsidRDefault="008E7846" w:rsidP="009E38B5">
      <w:pPr>
        <w:pStyle w:val="Heading3"/>
      </w:pPr>
      <w:bookmarkStart w:id="158" w:name="_Toc314842512"/>
      <w:bookmarkStart w:id="159" w:name="_Toc426984868"/>
      <w:r w:rsidRPr="009E38B5">
        <w:t>Nonclinical</w:t>
      </w:r>
      <w:bookmarkEnd w:id="158"/>
      <w:bookmarkEnd w:id="159"/>
    </w:p>
    <w:p w:rsidR="008E7846" w:rsidRDefault="008E7846" w:rsidP="008E7846">
      <w:r>
        <w:t>There was no requirement for a nonclinical evaluation in a submission of this type.</w:t>
      </w:r>
    </w:p>
    <w:p w:rsidR="008E7846" w:rsidRDefault="008E7846" w:rsidP="009E38B5">
      <w:pPr>
        <w:pStyle w:val="Heading3"/>
      </w:pPr>
      <w:bookmarkStart w:id="160" w:name="_Toc247691530"/>
      <w:bookmarkStart w:id="161" w:name="_Toc314842513"/>
      <w:bookmarkStart w:id="162" w:name="_Toc426984869"/>
      <w:r>
        <w:lastRenderedPageBreak/>
        <w:t>Clinical</w:t>
      </w:r>
      <w:bookmarkEnd w:id="160"/>
      <w:bookmarkEnd w:id="161"/>
      <w:bookmarkEnd w:id="162"/>
    </w:p>
    <w:p w:rsidR="005163BB" w:rsidRPr="009E38B5" w:rsidRDefault="005163BB" w:rsidP="009E38B5">
      <w:pPr>
        <w:pStyle w:val="Heading4"/>
      </w:pPr>
      <w:bookmarkStart w:id="163" w:name="_Toc314842514"/>
      <w:r w:rsidRPr="009E38B5">
        <w:t>Background</w:t>
      </w:r>
    </w:p>
    <w:p w:rsidR="005163BB" w:rsidRPr="009E38B5" w:rsidRDefault="005163BB" w:rsidP="009E38B5">
      <w:pPr>
        <w:pStyle w:val="Heading5"/>
      </w:pPr>
      <w:r w:rsidRPr="009E38B5">
        <w:t xml:space="preserve">Chronic idiopathic </w:t>
      </w:r>
      <w:proofErr w:type="spellStart"/>
      <w:r w:rsidRPr="009E38B5">
        <w:t>urticaria</w:t>
      </w:r>
      <w:proofErr w:type="spellEnd"/>
    </w:p>
    <w:p w:rsidR="005163BB" w:rsidRPr="005163BB" w:rsidRDefault="005163BB" w:rsidP="005163BB">
      <w:r w:rsidRPr="005163BB">
        <w:t>Chr</w:t>
      </w:r>
      <w:r w:rsidR="0089197F">
        <w:t xml:space="preserve">onic idiopathic </w:t>
      </w:r>
      <w:proofErr w:type="spellStart"/>
      <w:r w:rsidR="0089197F">
        <w:t>urticaria</w:t>
      </w:r>
      <w:proofErr w:type="spellEnd"/>
      <w:r w:rsidR="0089197F">
        <w:t xml:space="preserve"> </w:t>
      </w:r>
      <w:r w:rsidRPr="005163BB">
        <w:t xml:space="preserve">is described </w:t>
      </w:r>
      <w:r>
        <w:t>i</w:t>
      </w:r>
      <w:r w:rsidR="00C9311D">
        <w:t>n the extract fro</w:t>
      </w:r>
      <w:r>
        <w:t xml:space="preserve">m the </w:t>
      </w:r>
      <w:r w:rsidR="0012671E">
        <w:t>CER (see Attachment 2)</w:t>
      </w:r>
      <w:r w:rsidR="00C823FE">
        <w:t xml:space="preserve"> and </w:t>
      </w:r>
      <w:r w:rsidR="00C823FE" w:rsidRPr="00C823FE">
        <w:rPr>
          <w:i/>
        </w:rPr>
        <w:t>Product background</w:t>
      </w:r>
      <w:r w:rsidR="00C823FE">
        <w:t xml:space="preserve"> above</w:t>
      </w:r>
      <w:r w:rsidR="0012671E">
        <w:t>.</w:t>
      </w:r>
      <w:r w:rsidRPr="005163BB">
        <w:t xml:space="preserve"> In many patients, chronic </w:t>
      </w:r>
      <w:proofErr w:type="spellStart"/>
      <w:r w:rsidRPr="005163BB">
        <w:t>urt</w:t>
      </w:r>
      <w:r w:rsidR="00FE6A69">
        <w:t>icaria</w:t>
      </w:r>
      <w:proofErr w:type="spellEnd"/>
      <w:r w:rsidR="00FE6A69">
        <w:t xml:space="preserve"> is considered to be auto </w:t>
      </w:r>
      <w:r w:rsidRPr="005163BB">
        <w:t xml:space="preserve">immune, with antibodies directed against FcεR1 or </w:t>
      </w:r>
      <w:proofErr w:type="spellStart"/>
      <w:r w:rsidRPr="005163BB">
        <w:t>IgE</w:t>
      </w:r>
      <w:proofErr w:type="spellEnd"/>
      <w:r w:rsidRPr="005163BB">
        <w:t xml:space="preserve"> </w:t>
      </w:r>
      <w:r w:rsidR="0012671E">
        <w:t>on the mast cell or basophil</w:t>
      </w:r>
      <w:r w:rsidR="0054046F">
        <w:t xml:space="preserve">. </w:t>
      </w:r>
      <w:r w:rsidR="00C9311D">
        <w:t>T</w:t>
      </w:r>
      <w:r w:rsidRPr="005163BB">
        <w:t xml:space="preserve">he sponsor specifies that ‘chronic idiopathic </w:t>
      </w:r>
      <w:proofErr w:type="spellStart"/>
      <w:r w:rsidRPr="005163BB">
        <w:t>urticaria</w:t>
      </w:r>
      <w:proofErr w:type="spellEnd"/>
      <w:r w:rsidRPr="005163BB">
        <w:t>’ is taken to include this autoimmune subset.</w:t>
      </w:r>
    </w:p>
    <w:p w:rsidR="005163BB" w:rsidRPr="005163BB" w:rsidRDefault="005163BB" w:rsidP="005163BB">
      <w:r w:rsidRPr="005163BB">
        <w:t xml:space="preserve">There is a consensus clinical practice guideline on </w:t>
      </w:r>
      <w:proofErr w:type="spellStart"/>
      <w:r w:rsidRPr="005163BB">
        <w:t>urticaria</w:t>
      </w:r>
      <w:proofErr w:type="spellEnd"/>
      <w:r w:rsidRPr="005163BB">
        <w:t>, published in 2009, and used by Australian clinical immunologists</w:t>
      </w:r>
      <w:r w:rsidR="0012671E">
        <w:t xml:space="preserve"> </w:t>
      </w:r>
      <w:r w:rsidRPr="005163BB">
        <w:t>(</w:t>
      </w:r>
      <w:proofErr w:type="spellStart"/>
      <w:r w:rsidRPr="005163BB">
        <w:t>Zuberbier</w:t>
      </w:r>
      <w:proofErr w:type="spellEnd"/>
      <w:r w:rsidRPr="005163BB">
        <w:t xml:space="preserve"> et al</w:t>
      </w:r>
      <w:r w:rsidR="00C52DEE">
        <w:t>.</w:t>
      </w:r>
      <w:r w:rsidRPr="005163BB">
        <w:t>)</w:t>
      </w:r>
      <w:r w:rsidR="00C823FE">
        <w:t>.</w:t>
      </w:r>
      <w:r w:rsidR="00C80601" w:rsidRPr="00C80601">
        <w:rPr>
          <w:vertAlign w:val="superscript"/>
        </w:rPr>
        <w:fldChar w:fldCharType="begin"/>
      </w:r>
      <w:r w:rsidR="00C80601" w:rsidRPr="00C80601">
        <w:rPr>
          <w:vertAlign w:val="superscript"/>
        </w:rPr>
        <w:instrText xml:space="preserve"> NOTEREF _Ref420507470 \h  \* MERGEFORMAT </w:instrText>
      </w:r>
      <w:r w:rsidR="00C80601" w:rsidRPr="00C80601">
        <w:rPr>
          <w:vertAlign w:val="superscript"/>
        </w:rPr>
      </w:r>
      <w:r w:rsidR="00C80601" w:rsidRPr="00C80601">
        <w:rPr>
          <w:vertAlign w:val="superscript"/>
        </w:rPr>
        <w:fldChar w:fldCharType="separate"/>
      </w:r>
      <w:r w:rsidR="00A873FA">
        <w:rPr>
          <w:vertAlign w:val="superscript"/>
        </w:rPr>
        <w:t>3</w:t>
      </w:r>
      <w:r w:rsidR="00C80601" w:rsidRPr="00C80601">
        <w:rPr>
          <w:vertAlign w:val="superscript"/>
        </w:rPr>
        <w:fldChar w:fldCharType="end"/>
      </w:r>
      <w:r w:rsidR="00A11A52">
        <w:rPr>
          <w:vertAlign w:val="superscript"/>
        </w:rPr>
        <w:t xml:space="preserve">, </w:t>
      </w:r>
      <w:r w:rsidR="00C80601">
        <w:rPr>
          <w:vertAlign w:val="superscript"/>
        </w:rPr>
        <w:fldChar w:fldCharType="begin"/>
      </w:r>
      <w:r w:rsidR="00C80601">
        <w:rPr>
          <w:vertAlign w:val="superscript"/>
        </w:rPr>
        <w:instrText xml:space="preserve"> NOTEREF _Ref420507326 \h </w:instrText>
      </w:r>
      <w:r w:rsidR="00C80601">
        <w:rPr>
          <w:vertAlign w:val="superscript"/>
        </w:rPr>
      </w:r>
      <w:r w:rsidR="00C80601">
        <w:rPr>
          <w:vertAlign w:val="superscript"/>
        </w:rPr>
        <w:fldChar w:fldCharType="separate"/>
      </w:r>
      <w:r w:rsidR="00A873FA">
        <w:rPr>
          <w:vertAlign w:val="superscript"/>
        </w:rPr>
        <w:t>4</w:t>
      </w:r>
      <w:r w:rsidR="00C80601">
        <w:rPr>
          <w:vertAlign w:val="superscript"/>
        </w:rPr>
        <w:fldChar w:fldCharType="end"/>
      </w:r>
    </w:p>
    <w:p w:rsidR="005163BB" w:rsidRPr="005163BB" w:rsidRDefault="005163BB" w:rsidP="005163BB">
      <w:r w:rsidRPr="005163BB">
        <w:t xml:space="preserve">The document ‘Support for TGA Submission for use of </w:t>
      </w:r>
      <w:proofErr w:type="spellStart"/>
      <w:r w:rsidRPr="005163BB">
        <w:t>Omalizumab</w:t>
      </w:r>
      <w:proofErr w:type="spellEnd"/>
      <w:r w:rsidRPr="005163BB">
        <w:t xml:space="preserve"> f</w:t>
      </w:r>
      <w:r w:rsidR="00FE5927">
        <w:t xml:space="preserve">or Chronic Idiopathic </w:t>
      </w:r>
      <w:proofErr w:type="spellStart"/>
      <w:r w:rsidR="00FE5927">
        <w:t>Urticaria</w:t>
      </w:r>
      <w:proofErr w:type="spellEnd"/>
      <w:r w:rsidR="00FE5927">
        <w:t>/</w:t>
      </w:r>
      <w:r w:rsidRPr="005163BB">
        <w:t xml:space="preserve">Angioedema’ by </w:t>
      </w:r>
      <w:proofErr w:type="spellStart"/>
      <w:r w:rsidRPr="005163BB">
        <w:t>Katelaris</w:t>
      </w:r>
      <w:proofErr w:type="spellEnd"/>
      <w:r w:rsidRPr="005163BB">
        <w:t xml:space="preserve"> et al (an attachment to the sponsor’s application cover letter</w:t>
      </w:r>
      <w:r w:rsidR="0012671E">
        <w:t>)</w:t>
      </w:r>
      <w:r w:rsidRPr="005163BB">
        <w:t xml:space="preserve"> provides some Australian context for treatment of CIU.</w:t>
      </w:r>
    </w:p>
    <w:p w:rsidR="005163BB" w:rsidRPr="009E38B5" w:rsidRDefault="005163BB" w:rsidP="009E38B5">
      <w:pPr>
        <w:pStyle w:val="Heading5"/>
      </w:pPr>
      <w:r w:rsidRPr="009E38B5">
        <w:t>Targets and mechanism of action</w:t>
      </w:r>
    </w:p>
    <w:p w:rsidR="00C823FE" w:rsidRDefault="005163BB" w:rsidP="005163BB">
      <w:proofErr w:type="spellStart"/>
      <w:r w:rsidRPr="005163BB">
        <w:t>Omalizumab</w:t>
      </w:r>
      <w:proofErr w:type="spellEnd"/>
      <w:r w:rsidRPr="005163BB">
        <w:t xml:space="preserve"> is a monoclonal antibody against human </w:t>
      </w:r>
      <w:proofErr w:type="spellStart"/>
      <w:r w:rsidRPr="005163BB">
        <w:t>IgE</w:t>
      </w:r>
      <w:proofErr w:type="spellEnd"/>
      <w:r w:rsidRPr="005163BB">
        <w:t>.</w:t>
      </w:r>
      <w:r w:rsidR="00A60D50">
        <w:t xml:space="preserve"> </w:t>
      </w:r>
      <w:r w:rsidRPr="005163BB">
        <w:t xml:space="preserve">The sponsor proposes several possible mechanisms of action in chronic idiopathic </w:t>
      </w:r>
      <w:proofErr w:type="spellStart"/>
      <w:r w:rsidRPr="005163BB">
        <w:t>urticaria</w:t>
      </w:r>
      <w:proofErr w:type="spellEnd"/>
      <w:r w:rsidRPr="005163BB">
        <w:t>:</w:t>
      </w:r>
    </w:p>
    <w:p w:rsidR="00C823FE" w:rsidRDefault="005163BB" w:rsidP="00C823FE">
      <w:pPr>
        <w:pStyle w:val="ListBullet"/>
      </w:pPr>
      <w:r w:rsidRPr="005163BB">
        <w:t>The drug lowers systemi</w:t>
      </w:r>
      <w:r w:rsidR="00A60D50">
        <w:t xml:space="preserve">c </w:t>
      </w:r>
      <w:proofErr w:type="spellStart"/>
      <w:r w:rsidR="00A60D50">
        <w:t>IgE</w:t>
      </w:r>
      <w:proofErr w:type="spellEnd"/>
      <w:r w:rsidR="00A60D50">
        <w:t xml:space="preserve"> levels, resulting in down </w:t>
      </w:r>
      <w:r w:rsidRPr="005163BB">
        <w:t>regulation of a large percentage of surface FcεR1, thereby decreasing downstream signalling</w:t>
      </w:r>
      <w:r w:rsidR="00C823FE">
        <w:t>.</w:t>
      </w:r>
    </w:p>
    <w:p w:rsidR="005163BB" w:rsidRPr="005163BB" w:rsidRDefault="005163BB" w:rsidP="00C823FE">
      <w:pPr>
        <w:pStyle w:val="ListBullet"/>
      </w:pPr>
      <w:r w:rsidRPr="005163BB">
        <w:t xml:space="preserve">Lowering of circulating </w:t>
      </w:r>
      <w:proofErr w:type="spellStart"/>
      <w:r w:rsidRPr="005163BB">
        <w:t>IgE</w:t>
      </w:r>
      <w:proofErr w:type="spellEnd"/>
      <w:r w:rsidRPr="005163BB">
        <w:t xml:space="preserve"> leads to non-specific desensitisation of cutaneous mast cells</w:t>
      </w:r>
      <w:r w:rsidR="00FE6A69">
        <w:t>.</w:t>
      </w:r>
    </w:p>
    <w:p w:rsidR="008549B7" w:rsidRPr="008549B7" w:rsidRDefault="008549B7" w:rsidP="009E38B5">
      <w:pPr>
        <w:pStyle w:val="Heading5"/>
      </w:pPr>
      <w:r w:rsidRPr="008549B7">
        <w:t>Overview of data</w:t>
      </w:r>
    </w:p>
    <w:p w:rsidR="008549B7" w:rsidRPr="008549B7" w:rsidRDefault="008549B7" w:rsidP="008549B7">
      <w:r w:rsidRPr="008549B7">
        <w:t>There were two pivotal efficacy studies in CIU: 4881g and 4882g.</w:t>
      </w:r>
    </w:p>
    <w:p w:rsidR="008549B7" w:rsidRPr="008549B7" w:rsidRDefault="008549B7" w:rsidP="008549B7">
      <w:r w:rsidRPr="008549B7">
        <w:t>The following studies and reports were supportive:</w:t>
      </w:r>
    </w:p>
    <w:p w:rsidR="008549B7" w:rsidRPr="00D96BDE" w:rsidRDefault="008549B7" w:rsidP="00D96BDE">
      <w:pPr>
        <w:pStyle w:val="ListBullet"/>
      </w:pPr>
      <w:r w:rsidRPr="00D96BDE">
        <w:t xml:space="preserve">a small </w:t>
      </w:r>
      <w:r w:rsidR="00F978F0">
        <w:t>Phase</w:t>
      </w:r>
      <w:r w:rsidRPr="00D96BDE">
        <w:t xml:space="preserve"> </w:t>
      </w:r>
      <w:proofErr w:type="spellStart"/>
      <w:r w:rsidR="00D96BDE">
        <w:t>III</w:t>
      </w:r>
      <w:r w:rsidRPr="00D96BDE">
        <w:t>b</w:t>
      </w:r>
      <w:proofErr w:type="spellEnd"/>
      <w:r w:rsidRPr="00D96BDE">
        <w:t xml:space="preserve"> ‘proof of concept’ study (ADE05) in chronic </w:t>
      </w:r>
      <w:proofErr w:type="spellStart"/>
      <w:r w:rsidRPr="00D96BDE">
        <w:t>urticaria</w:t>
      </w:r>
      <w:proofErr w:type="spellEnd"/>
    </w:p>
    <w:p w:rsidR="008549B7" w:rsidRPr="00D96BDE" w:rsidRDefault="008549B7" w:rsidP="00D96BDE">
      <w:pPr>
        <w:pStyle w:val="ListBullet"/>
      </w:pPr>
      <w:r w:rsidRPr="00D96BDE">
        <w:t xml:space="preserve">a </w:t>
      </w:r>
      <w:r w:rsidR="00F978F0">
        <w:t>Phase</w:t>
      </w:r>
      <w:r w:rsidRPr="00D96BDE">
        <w:t xml:space="preserve"> </w:t>
      </w:r>
      <w:r w:rsidR="00D96BDE">
        <w:t>II</w:t>
      </w:r>
      <w:r w:rsidRPr="00D96BDE">
        <w:t>, single dose, dose-ranging study (4577g) in CIU</w:t>
      </w:r>
    </w:p>
    <w:p w:rsidR="008549B7" w:rsidRPr="00D96BDE" w:rsidRDefault="008549B7" w:rsidP="00D96BDE">
      <w:pPr>
        <w:pStyle w:val="ListBullet"/>
      </w:pPr>
      <w:r w:rsidRPr="00D96BDE">
        <w:t xml:space="preserve">a supportive </w:t>
      </w:r>
      <w:r w:rsidR="00F978F0">
        <w:t>Phase</w:t>
      </w:r>
      <w:r w:rsidRPr="00D96BDE">
        <w:t xml:space="preserve"> </w:t>
      </w:r>
      <w:r w:rsidR="00D96BDE">
        <w:t>III</w:t>
      </w:r>
      <w:r w:rsidRPr="00D96BDE">
        <w:t xml:space="preserve"> study (4883g)</w:t>
      </w:r>
    </w:p>
    <w:p w:rsidR="008549B7" w:rsidRPr="00D96BDE" w:rsidRDefault="008549B7" w:rsidP="00D96BDE">
      <w:pPr>
        <w:pStyle w:val="ListBullet"/>
      </w:pPr>
      <w:r w:rsidRPr="00D96BDE">
        <w:t xml:space="preserve">a population </w:t>
      </w:r>
      <w:r w:rsidR="00C80601">
        <w:t>PK analysis and two</w:t>
      </w:r>
      <w:r w:rsidR="00D96BDE">
        <w:t xml:space="preserve"> population PK </w:t>
      </w:r>
      <w:r w:rsidRPr="00D96BDE">
        <w:t>efficacy analyses</w:t>
      </w:r>
    </w:p>
    <w:p w:rsidR="008549B7" w:rsidRPr="00C80601" w:rsidRDefault="008549B7" w:rsidP="008549B7">
      <w:r w:rsidRPr="00C80601">
        <w:t>The spon</w:t>
      </w:r>
      <w:r w:rsidR="00D96BDE" w:rsidRPr="00C80601">
        <w:t xml:space="preserve">sor summarises the large </w:t>
      </w:r>
      <w:r w:rsidR="00F978F0" w:rsidRPr="00C80601">
        <w:t>Phase</w:t>
      </w:r>
      <w:r w:rsidR="00D96BDE" w:rsidRPr="00C80601">
        <w:t xml:space="preserve"> III</w:t>
      </w:r>
      <w:r w:rsidRPr="00C80601">
        <w:t xml:space="preserve"> studies as </w:t>
      </w:r>
      <w:r w:rsidR="00D96BDE" w:rsidRPr="00C80601">
        <w:t xml:space="preserve">shown in Figure </w:t>
      </w:r>
      <w:r w:rsidR="00C80601" w:rsidRPr="00C80601">
        <w:t>1</w:t>
      </w:r>
      <w:r w:rsidR="00D96BDE" w:rsidRPr="00C80601">
        <w:t xml:space="preserve"> below</w:t>
      </w:r>
      <w:r w:rsidRPr="00C80601">
        <w:t xml:space="preserve"> (arrows indicate dose of </w:t>
      </w:r>
      <w:proofErr w:type="spellStart"/>
      <w:r w:rsidRPr="00C80601">
        <w:t>omalizumab</w:t>
      </w:r>
      <w:proofErr w:type="spellEnd"/>
      <w:r w:rsidRPr="00C80601">
        <w:t>):</w:t>
      </w:r>
    </w:p>
    <w:p w:rsidR="00D96BDE" w:rsidRPr="009E38B5" w:rsidRDefault="00D96BDE" w:rsidP="009E38B5">
      <w:pPr>
        <w:pStyle w:val="FigureTitle"/>
      </w:pPr>
      <w:proofErr w:type="gramStart"/>
      <w:r w:rsidRPr="009E38B5">
        <w:lastRenderedPageBreak/>
        <w:t>Fig</w:t>
      </w:r>
      <w:r w:rsidR="00C80601" w:rsidRPr="009E38B5">
        <w:t>ure 1</w:t>
      </w:r>
      <w:r w:rsidRPr="009E38B5">
        <w:t>.</w:t>
      </w:r>
      <w:proofErr w:type="gramEnd"/>
      <w:r w:rsidRPr="009E38B5">
        <w:t xml:space="preserve"> </w:t>
      </w:r>
      <w:proofErr w:type="gramStart"/>
      <w:r w:rsidRPr="009E38B5">
        <w:t xml:space="preserve">Summary of dosage regimen for the large </w:t>
      </w:r>
      <w:r w:rsidR="00F978F0" w:rsidRPr="009E38B5">
        <w:t>Phase</w:t>
      </w:r>
      <w:r w:rsidRPr="009E38B5">
        <w:t xml:space="preserve"> III studies.</w:t>
      </w:r>
      <w:proofErr w:type="gramEnd"/>
    </w:p>
    <w:p w:rsidR="008549B7" w:rsidRDefault="008549B7" w:rsidP="008549B7">
      <w:r>
        <w:rPr>
          <w:noProof/>
          <w:lang w:eastAsia="en-AU"/>
        </w:rPr>
        <w:drawing>
          <wp:inline distT="0" distB="0" distL="0" distR="0" wp14:anchorId="73B0A543" wp14:editId="5AC0FBFE">
            <wp:extent cx="5400040" cy="2752962"/>
            <wp:effectExtent l="0" t="0" r="0" b="9525"/>
            <wp:docPr id="1" name="Picture 1" descr="Figure 1. Summary of dosage regimen for the large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2752962"/>
                    </a:xfrm>
                    <a:prstGeom prst="rect">
                      <a:avLst/>
                    </a:prstGeom>
                  </pic:spPr>
                </pic:pic>
              </a:graphicData>
            </a:graphic>
          </wp:inline>
        </w:drawing>
      </w:r>
    </w:p>
    <w:p w:rsidR="008549B7" w:rsidRPr="009E38B5" w:rsidRDefault="0054046F" w:rsidP="009E38B5">
      <w:pPr>
        <w:pStyle w:val="Heading4"/>
      </w:pPr>
      <w:r w:rsidRPr="009E38B5">
        <w:t>Pharmacokinetics</w:t>
      </w:r>
    </w:p>
    <w:p w:rsidR="008549B7" w:rsidRPr="008549B7" w:rsidRDefault="008549B7" w:rsidP="008549B7">
      <w:r w:rsidRPr="008549B7">
        <w:t xml:space="preserve">The pharmacokinetics of </w:t>
      </w:r>
      <w:proofErr w:type="spellStart"/>
      <w:r w:rsidRPr="008549B7">
        <w:t>omalizumab</w:t>
      </w:r>
      <w:proofErr w:type="spellEnd"/>
      <w:r w:rsidRPr="008549B7">
        <w:t xml:space="preserve"> in CIU </w:t>
      </w:r>
      <w:proofErr w:type="gramStart"/>
      <w:r w:rsidRPr="008549B7">
        <w:t>were</w:t>
      </w:r>
      <w:proofErr w:type="gramEnd"/>
      <w:r w:rsidRPr="008549B7">
        <w:t xml:space="preserve"> similar to PK in allergic asthma. In population PK analysis, both body weight and BMI affected </w:t>
      </w:r>
      <w:proofErr w:type="spellStart"/>
      <w:r w:rsidRPr="008549B7">
        <w:t>omalizumab</w:t>
      </w:r>
      <w:proofErr w:type="spellEnd"/>
      <w:r w:rsidRPr="008549B7">
        <w:t xml:space="preserve"> clearance; body weight also af</w:t>
      </w:r>
      <w:r w:rsidR="00D96BDE">
        <w:t xml:space="preserve">fected volume of distribution. A population PK </w:t>
      </w:r>
      <w:r w:rsidRPr="008549B7">
        <w:t xml:space="preserve">efficacy analysis found that adjusting dose according to </w:t>
      </w:r>
      <w:r w:rsidR="00BB56CC">
        <w:t>weight did not improve efficacy</w:t>
      </w:r>
      <w:r w:rsidRPr="008549B7">
        <w:t xml:space="preserve"> relative to a flat dose.</w:t>
      </w:r>
    </w:p>
    <w:p w:rsidR="008549B7" w:rsidRPr="009E38B5" w:rsidRDefault="0054046F" w:rsidP="009E38B5">
      <w:pPr>
        <w:pStyle w:val="Heading4"/>
      </w:pPr>
      <w:r w:rsidRPr="009E38B5">
        <w:t>Pharmacodynamics</w:t>
      </w:r>
    </w:p>
    <w:p w:rsidR="008549B7" w:rsidRPr="008549B7" w:rsidRDefault="008549B7" w:rsidP="008549B7">
      <w:r w:rsidRPr="008549B7">
        <w:t xml:space="preserve">Effects of </w:t>
      </w:r>
      <w:proofErr w:type="spellStart"/>
      <w:r w:rsidRPr="008549B7">
        <w:t>omalizumab</w:t>
      </w:r>
      <w:proofErr w:type="spellEnd"/>
      <w:r w:rsidRPr="008549B7">
        <w:t xml:space="preserve"> on total and free serum </w:t>
      </w:r>
      <w:proofErr w:type="spellStart"/>
      <w:r w:rsidRPr="008549B7">
        <w:t>IgE</w:t>
      </w:r>
      <w:proofErr w:type="spellEnd"/>
      <w:r w:rsidRPr="008549B7">
        <w:t xml:space="preserve"> were studied in </w:t>
      </w:r>
      <w:r w:rsidR="0054046F">
        <w:t xml:space="preserve">4881g, 4882g, 4883g and 4577g. </w:t>
      </w:r>
      <w:r w:rsidRPr="008549B7">
        <w:t xml:space="preserve">Free </w:t>
      </w:r>
      <w:proofErr w:type="spellStart"/>
      <w:r w:rsidRPr="008549B7">
        <w:t>IgE</w:t>
      </w:r>
      <w:proofErr w:type="spellEnd"/>
      <w:r w:rsidRPr="008549B7">
        <w:t xml:space="preserve"> fell from baseline levels (</w:t>
      </w:r>
      <w:r w:rsidR="008C4485">
        <w:t>for example,</w:t>
      </w:r>
      <w:r w:rsidRPr="008549B7">
        <w:t xml:space="preserve"> from 153 IU/mL at baseline in 48</w:t>
      </w:r>
      <w:r w:rsidR="0054046F">
        <w:t xml:space="preserve">81g to 9.01 IU/mL at </w:t>
      </w:r>
      <w:r w:rsidR="008C4485">
        <w:t>Week</w:t>
      </w:r>
      <w:r w:rsidR="0054046F">
        <w:t xml:space="preserve"> 12). </w:t>
      </w:r>
      <w:r w:rsidRPr="008549B7">
        <w:t xml:space="preserve">Total </w:t>
      </w:r>
      <w:proofErr w:type="spellStart"/>
      <w:r w:rsidRPr="008549B7">
        <w:t>IgE</w:t>
      </w:r>
      <w:proofErr w:type="spellEnd"/>
      <w:r w:rsidRPr="008549B7">
        <w:t xml:space="preserve"> increased (total </w:t>
      </w:r>
      <w:proofErr w:type="spellStart"/>
      <w:r w:rsidRPr="008549B7">
        <w:t>IgE</w:t>
      </w:r>
      <w:proofErr w:type="spellEnd"/>
      <w:r w:rsidRPr="008549B7">
        <w:t xml:space="preserve"> includes</w:t>
      </w:r>
      <w:r w:rsidR="0054046F">
        <w:t xml:space="preserve"> </w:t>
      </w:r>
      <w:proofErr w:type="spellStart"/>
      <w:r w:rsidR="0054046F">
        <w:t>IgE</w:t>
      </w:r>
      <w:proofErr w:type="spellEnd"/>
      <w:r w:rsidR="0054046F">
        <w:t xml:space="preserve"> </w:t>
      </w:r>
      <w:proofErr w:type="spellStart"/>
      <w:r w:rsidR="0054046F">
        <w:t>complexed</w:t>
      </w:r>
      <w:proofErr w:type="spellEnd"/>
      <w:r w:rsidR="0054046F">
        <w:t xml:space="preserve"> to </w:t>
      </w:r>
      <w:proofErr w:type="spellStart"/>
      <w:r w:rsidR="0054046F">
        <w:t>omalizumab</w:t>
      </w:r>
      <w:proofErr w:type="spellEnd"/>
      <w:r w:rsidR="0054046F">
        <w:t xml:space="preserve">). </w:t>
      </w:r>
      <w:r w:rsidRPr="008549B7">
        <w:t>Levels fell in 4881g to baseline values by 20 weeks after the last dose.</w:t>
      </w:r>
    </w:p>
    <w:p w:rsidR="008549B7" w:rsidRPr="009E38B5" w:rsidRDefault="008549B7" w:rsidP="009E38B5">
      <w:pPr>
        <w:pStyle w:val="Heading5"/>
      </w:pPr>
      <w:r w:rsidRPr="009E38B5">
        <w:t>Dose regimen</w:t>
      </w:r>
    </w:p>
    <w:p w:rsidR="008549B7" w:rsidRPr="008549B7" w:rsidRDefault="008549B7" w:rsidP="008549B7">
      <w:r w:rsidRPr="008549B7">
        <w:t xml:space="preserve">Flat dosage regimens were studied in CIU, since the relationship between CIU and serum </w:t>
      </w:r>
      <w:proofErr w:type="spellStart"/>
      <w:r w:rsidRPr="008549B7">
        <w:t>IgE</w:t>
      </w:r>
      <w:proofErr w:type="spellEnd"/>
      <w:r w:rsidRPr="008549B7">
        <w:t xml:space="preserve"> is unclear and also because serum </w:t>
      </w:r>
      <w:proofErr w:type="spellStart"/>
      <w:r w:rsidRPr="008549B7">
        <w:t>IgE</w:t>
      </w:r>
      <w:proofErr w:type="spellEnd"/>
      <w:r w:rsidRPr="008549B7">
        <w:t xml:space="preserve"> levels in CIU are low compared with the allergic asthma population.</w:t>
      </w:r>
    </w:p>
    <w:p w:rsidR="008549B7" w:rsidRPr="008549B7" w:rsidRDefault="008549B7" w:rsidP="008549B7">
      <w:r w:rsidRPr="008549B7">
        <w:t>Study 4577g evaluate</w:t>
      </w:r>
      <w:r w:rsidR="0054046F">
        <w:t xml:space="preserve">d doses of 75, 300 and 600 mg. </w:t>
      </w:r>
      <w:r w:rsidRPr="008549B7">
        <w:t>The 600 mg dose was no more efficacious than the 300 mg, so the 300 mg dose was chosen as the maximum dose in pivotal trials</w:t>
      </w:r>
      <w:r w:rsidR="0054046F">
        <w:t xml:space="preserve">. </w:t>
      </w:r>
      <w:r w:rsidRPr="008549B7">
        <w:t>In the pivotal trials, 75 mg, 150 mg and 300 mg doses were studied.</w:t>
      </w:r>
    </w:p>
    <w:p w:rsidR="008549B7" w:rsidRPr="008549B7" w:rsidRDefault="008549B7" w:rsidP="008549B7">
      <w:r w:rsidRPr="008549B7">
        <w:t xml:space="preserve">The 4 week interval between doses was chosen for 4577g on </w:t>
      </w:r>
      <w:r w:rsidR="0054046F">
        <w:t xml:space="preserve">the basis of early investigator </w:t>
      </w:r>
      <w:r w:rsidRPr="008549B7">
        <w:t>led studies that showed duration of effect lasting several weeks.</w:t>
      </w:r>
    </w:p>
    <w:p w:rsidR="008549B7" w:rsidRPr="008549B7" w:rsidRDefault="0054046F" w:rsidP="008549B7">
      <w:r>
        <w:t>Population PK</w:t>
      </w:r>
      <w:r w:rsidR="00C8657C">
        <w:t xml:space="preserve"> </w:t>
      </w:r>
      <w:r w:rsidR="008549B7" w:rsidRPr="008549B7">
        <w:t>efficacy studies (conducted after the pivotal studies) supported a flat dose.</w:t>
      </w:r>
    </w:p>
    <w:p w:rsidR="008549B7" w:rsidRPr="009E38B5" w:rsidRDefault="008549B7" w:rsidP="009E38B5">
      <w:pPr>
        <w:pStyle w:val="Heading4"/>
      </w:pPr>
      <w:r w:rsidRPr="009E38B5">
        <w:t>Efficacy</w:t>
      </w:r>
    </w:p>
    <w:p w:rsidR="009141EB" w:rsidRPr="009E38B5" w:rsidRDefault="008549B7" w:rsidP="009E38B5">
      <w:pPr>
        <w:pStyle w:val="Heading5"/>
      </w:pPr>
      <w:r w:rsidRPr="009E38B5">
        <w:t xml:space="preserve">Study 4881g </w:t>
      </w:r>
      <w:r w:rsidR="00D95EFE" w:rsidRPr="009E38B5">
        <w:t>(ASTERIA I)</w:t>
      </w:r>
    </w:p>
    <w:p w:rsidR="008549B7" w:rsidRPr="008549B7" w:rsidRDefault="008549B7" w:rsidP="008549B7">
      <w:r w:rsidRPr="009141EB">
        <w:t xml:space="preserve">Study 4881g </w:t>
      </w:r>
      <w:r w:rsidR="0054046F">
        <w:t xml:space="preserve">was a randomised, placebo </w:t>
      </w:r>
      <w:r w:rsidRPr="008549B7">
        <w:t>controlled, double bl</w:t>
      </w:r>
      <w:r w:rsidR="0054046F">
        <w:t xml:space="preserve">ind study. </w:t>
      </w:r>
      <w:proofErr w:type="gramStart"/>
      <w:r w:rsidR="00C80601">
        <w:t>Patients</w:t>
      </w:r>
      <w:r w:rsidR="00BB56CC">
        <w:t>,</w:t>
      </w:r>
      <w:proofErr w:type="gramEnd"/>
      <w:r w:rsidR="00C80601">
        <w:t xml:space="preserve"> 12 to </w:t>
      </w:r>
      <w:r w:rsidRPr="008549B7">
        <w:t>75 y</w:t>
      </w:r>
      <w:r w:rsidR="00C80601">
        <w:t>ea</w:t>
      </w:r>
      <w:r w:rsidRPr="008549B7">
        <w:t xml:space="preserve">rs </w:t>
      </w:r>
      <w:r w:rsidR="00BB56CC">
        <w:t xml:space="preserve">old, </w:t>
      </w:r>
      <w:r w:rsidRPr="008549B7">
        <w:t>had CIU refractory to approved doses of H1 antihistamines and were receiving concomitant H1 antihistamine therapy.</w:t>
      </w:r>
    </w:p>
    <w:p w:rsidR="008549B7" w:rsidRPr="008549B7" w:rsidRDefault="008549B7" w:rsidP="008549B7">
      <w:r w:rsidRPr="008549B7">
        <w:t xml:space="preserve">Patients with defined underlying aetiologies for </w:t>
      </w:r>
      <w:proofErr w:type="spellStart"/>
      <w:r w:rsidRPr="008549B7">
        <w:t>urticaria</w:t>
      </w:r>
      <w:proofErr w:type="spellEnd"/>
      <w:r w:rsidRPr="008549B7">
        <w:t xml:space="preserve"> (</w:t>
      </w:r>
      <w:r w:rsidR="008C4485">
        <w:t>for example,</w:t>
      </w:r>
      <w:r w:rsidRPr="008549B7">
        <w:t xml:space="preserve"> acute, solar, </w:t>
      </w:r>
      <w:proofErr w:type="gramStart"/>
      <w:r w:rsidRPr="008549B7">
        <w:t>cholinergic</w:t>
      </w:r>
      <w:proofErr w:type="gramEnd"/>
      <w:r w:rsidRPr="008549B7">
        <w:t xml:space="preserve">, heat, cold, </w:t>
      </w:r>
      <w:proofErr w:type="spellStart"/>
      <w:r w:rsidRPr="008549B7">
        <w:t>aquagenic</w:t>
      </w:r>
      <w:proofErr w:type="spellEnd"/>
      <w:r w:rsidRPr="008549B7">
        <w:t xml:space="preserve">, delayed pressure or contact </w:t>
      </w:r>
      <w:proofErr w:type="spellStart"/>
      <w:r w:rsidRPr="008549B7">
        <w:t>urticarias</w:t>
      </w:r>
      <w:proofErr w:type="spellEnd"/>
      <w:r w:rsidRPr="008549B7">
        <w:t xml:space="preserve">) were excluded, </w:t>
      </w:r>
      <w:r w:rsidRPr="008549B7">
        <w:lastRenderedPageBreak/>
        <w:t>as were patients with diseases tha</w:t>
      </w:r>
      <w:r w:rsidR="0054046F">
        <w:t xml:space="preserve">t can manifest with </w:t>
      </w:r>
      <w:proofErr w:type="spellStart"/>
      <w:r w:rsidR="0054046F">
        <w:t>urticaria</w:t>
      </w:r>
      <w:proofErr w:type="spellEnd"/>
      <w:r w:rsidR="0054046F">
        <w:t xml:space="preserve">. </w:t>
      </w:r>
      <w:r w:rsidRPr="008549B7">
        <w:t>Patients with skin diseases th</w:t>
      </w:r>
      <w:r w:rsidR="00C52DEE">
        <w:t>at can cause itch were excluded</w:t>
      </w:r>
      <w:r w:rsidRPr="008549B7">
        <w:t xml:space="preserve"> and routine use of topical corticosteroids and systemic </w:t>
      </w:r>
      <w:proofErr w:type="spellStart"/>
      <w:r w:rsidR="00AB3071" w:rsidRPr="008549B7">
        <w:t>immunosuppr</w:t>
      </w:r>
      <w:r w:rsidR="00AB3071">
        <w:t>essants</w:t>
      </w:r>
      <w:proofErr w:type="spellEnd"/>
      <w:r w:rsidR="0054046F">
        <w:t xml:space="preserve"> was an exclusion</w:t>
      </w:r>
      <w:r w:rsidR="00BB56CC">
        <w:t xml:space="preserve"> factor</w:t>
      </w:r>
      <w:r w:rsidR="0054046F">
        <w:t xml:space="preserve">. </w:t>
      </w:r>
      <w:r w:rsidRPr="008549B7">
        <w:t>Recent use of H2 antihistamines, leukotriene receptor antagonists or doxepin were also reasons for exclusion.</w:t>
      </w:r>
    </w:p>
    <w:p w:rsidR="008549B7" w:rsidRPr="00C80601" w:rsidRDefault="008549B7" w:rsidP="008549B7">
      <w:r w:rsidRPr="008549B7">
        <w:t xml:space="preserve">Patients were randomised into one of four arms: </w:t>
      </w:r>
      <w:proofErr w:type="spellStart"/>
      <w:r w:rsidRPr="008549B7">
        <w:t>omalizumab</w:t>
      </w:r>
      <w:proofErr w:type="spellEnd"/>
      <w:r w:rsidRPr="008549B7">
        <w:t xml:space="preserve"> 75 mg, 150 mg and 300 mg groups (all SC every 4 weeks); and </w:t>
      </w:r>
      <w:r w:rsidR="0054046F">
        <w:t xml:space="preserve">placebo. </w:t>
      </w:r>
      <w:r w:rsidRPr="008549B7">
        <w:t>There were 6 administrations: at 0, 4, 8, 12, 16 and 20 weeks</w:t>
      </w:r>
      <w:r w:rsidR="0054046F">
        <w:t xml:space="preserve">. </w:t>
      </w:r>
      <w:r w:rsidRPr="008549B7">
        <w:t xml:space="preserve">Placebo contained the same ingredients as the </w:t>
      </w:r>
      <w:proofErr w:type="spellStart"/>
      <w:r w:rsidRPr="008549B7">
        <w:t>omalizumab</w:t>
      </w:r>
      <w:proofErr w:type="spellEnd"/>
      <w:r w:rsidRPr="008549B7">
        <w:t xml:space="preserve"> formulation, except for </w:t>
      </w:r>
      <w:proofErr w:type="spellStart"/>
      <w:r w:rsidRPr="008549B7">
        <w:t>omalizumab</w:t>
      </w:r>
      <w:proofErr w:type="spellEnd"/>
      <w:r w:rsidR="0054046F">
        <w:t xml:space="preserve">. </w:t>
      </w:r>
      <w:r w:rsidRPr="008549B7">
        <w:t xml:space="preserve">Patients remained on a stable H1 antihistamine throughout the study period; 3/8 </w:t>
      </w:r>
      <w:r w:rsidR="00AB3071">
        <w:t>(</w:t>
      </w:r>
      <w:r w:rsidRPr="008549B7">
        <w:t>specified antihistamines are not on the ARTG (</w:t>
      </w:r>
      <w:proofErr w:type="spellStart"/>
      <w:r w:rsidRPr="008549B7">
        <w:t>ebastine</w:t>
      </w:r>
      <w:proofErr w:type="spellEnd"/>
      <w:r w:rsidRPr="008549B7">
        <w:t xml:space="preserve">, </w:t>
      </w:r>
      <w:proofErr w:type="spellStart"/>
      <w:r w:rsidRPr="008549B7">
        <w:t>rupatadine</w:t>
      </w:r>
      <w:proofErr w:type="spellEnd"/>
      <w:r w:rsidRPr="008549B7">
        <w:t xml:space="preserve">, </w:t>
      </w:r>
      <w:proofErr w:type="spellStart"/>
      <w:r w:rsidRPr="008549B7">
        <w:t>bilastine</w:t>
      </w:r>
      <w:proofErr w:type="spellEnd"/>
      <w:r w:rsidRPr="008549B7">
        <w:t>)</w:t>
      </w:r>
      <w:r w:rsidR="00AB3071">
        <w:t>)</w:t>
      </w:r>
      <w:r w:rsidR="0054046F">
        <w:t xml:space="preserve">. </w:t>
      </w:r>
      <w:r w:rsidRPr="008549B7">
        <w:t xml:space="preserve">Diphenhydramine </w:t>
      </w:r>
      <w:r w:rsidRPr="00C80601">
        <w:t xml:space="preserve">was used </w:t>
      </w:r>
      <w:r w:rsidR="00C80601" w:rsidRPr="00C80601">
        <w:t>as required</w:t>
      </w:r>
      <w:r w:rsidRPr="00C80601">
        <w:t xml:space="preserve"> for itch (up to </w:t>
      </w:r>
      <w:r w:rsidR="00C80601" w:rsidRPr="00C80601">
        <w:t>three times daily</w:t>
      </w:r>
      <w:r w:rsidRPr="00C80601">
        <w:t>).</w:t>
      </w:r>
    </w:p>
    <w:p w:rsidR="008549B7" w:rsidRPr="008549B7" w:rsidRDefault="008549B7" w:rsidP="008549B7">
      <w:r w:rsidRPr="008549B7">
        <w:t xml:space="preserve">The primary endpoint was change from baseline in the </w:t>
      </w:r>
      <w:r w:rsidR="008C4485">
        <w:t>Week</w:t>
      </w:r>
      <w:r w:rsidRPr="008549B7">
        <w:t xml:space="preserve"> 12 ‘weekly itch severity score’</w:t>
      </w:r>
      <w:r w:rsidR="0054046F">
        <w:t xml:space="preserve">. </w:t>
      </w:r>
      <w:r w:rsidRPr="008549B7">
        <w:t xml:space="preserve">Missing </w:t>
      </w:r>
      <w:r w:rsidR="008C4485">
        <w:t>Week</w:t>
      </w:r>
      <w:r w:rsidRPr="008549B7">
        <w:t xml:space="preserve"> 12 scores were imputed by carrying forward baseline scores.</w:t>
      </w:r>
    </w:p>
    <w:p w:rsidR="008549B7" w:rsidRPr="008549B7" w:rsidRDefault="00BB56CC" w:rsidP="008549B7">
      <w:r>
        <w:t xml:space="preserve">Some </w:t>
      </w:r>
      <w:r w:rsidR="008549B7" w:rsidRPr="008549B7">
        <w:t>318 patients were treated</w:t>
      </w:r>
      <w:r w:rsidR="0054046F">
        <w:t xml:space="preserve">. </w:t>
      </w:r>
      <w:r w:rsidR="008549B7" w:rsidRPr="008549B7">
        <w:t xml:space="preserve">Baseline characteristics </w:t>
      </w:r>
      <w:r w:rsidR="008549B7" w:rsidRPr="00254D8A">
        <w:t xml:space="preserve">are </w:t>
      </w:r>
      <w:r w:rsidR="00254D8A" w:rsidRPr="00254D8A">
        <w:t>presented in</w:t>
      </w:r>
      <w:r w:rsidR="008549B7" w:rsidRPr="00254D8A">
        <w:t xml:space="preserve"> </w:t>
      </w:r>
      <w:r w:rsidR="00254D8A" w:rsidRPr="004321B3">
        <w:t xml:space="preserve">Table 10 </w:t>
      </w:r>
      <w:r w:rsidR="008549B7" w:rsidRPr="004321B3">
        <w:t>o</w:t>
      </w:r>
      <w:r w:rsidR="008549B7" w:rsidRPr="00254D8A">
        <w:t>f the CER</w:t>
      </w:r>
      <w:r w:rsidR="00254D8A" w:rsidRPr="00254D8A">
        <w:t xml:space="preserve"> extract (see Attachment 2)</w:t>
      </w:r>
      <w:r w:rsidR="0054046F" w:rsidRPr="00254D8A">
        <w:t>.</w:t>
      </w:r>
      <w:r w:rsidR="0054046F">
        <w:t xml:space="preserve"> </w:t>
      </w:r>
      <w:r>
        <w:t>The m</w:t>
      </w:r>
      <w:r w:rsidR="000441CF">
        <w:t xml:space="preserve">edian age was 41; 5.7% were 12 to </w:t>
      </w:r>
      <w:r w:rsidR="008549B7" w:rsidRPr="008549B7">
        <w:t>17 y</w:t>
      </w:r>
      <w:r w:rsidR="00C52DEE">
        <w:t>ea</w:t>
      </w:r>
      <w:r w:rsidR="008549B7" w:rsidRPr="008549B7">
        <w:t>rs old and 4.7% were 65+ y</w:t>
      </w:r>
      <w:r w:rsidR="000441CF">
        <w:t>ea</w:t>
      </w:r>
      <w:r w:rsidR="008549B7" w:rsidRPr="008549B7">
        <w:t>rs old</w:t>
      </w:r>
      <w:r w:rsidR="00590E0E">
        <w:t xml:space="preserve"> and </w:t>
      </w:r>
      <w:r w:rsidR="008549B7" w:rsidRPr="008549B7">
        <w:t>73% were female</w:t>
      </w:r>
      <w:r w:rsidR="0054046F">
        <w:t xml:space="preserve">. </w:t>
      </w:r>
      <w:r w:rsidR="00590E0E">
        <w:t>The m</w:t>
      </w:r>
      <w:r w:rsidR="008549B7" w:rsidRPr="000441CF">
        <w:t xml:space="preserve">ean BMI was </w:t>
      </w:r>
      <w:r w:rsidR="008549B7" w:rsidRPr="008549B7">
        <w:t>29.3 kg/m</w:t>
      </w:r>
      <w:r w:rsidR="008549B7" w:rsidRPr="00254D8A">
        <w:rPr>
          <w:vertAlign w:val="superscript"/>
        </w:rPr>
        <w:t>2</w:t>
      </w:r>
      <w:r w:rsidR="00590E0E">
        <w:t>, the</w:t>
      </w:r>
      <w:r w:rsidR="0054046F">
        <w:t xml:space="preserve"> </w:t>
      </w:r>
      <w:r w:rsidR="00590E0E">
        <w:t>m</w:t>
      </w:r>
      <w:r w:rsidR="008549B7" w:rsidRPr="008549B7">
        <w:t>edian duration of CIU was 3.7 y</w:t>
      </w:r>
      <w:r w:rsidR="00590E0E">
        <w:t>ea</w:t>
      </w:r>
      <w:r w:rsidR="008549B7" w:rsidRPr="008549B7">
        <w:t>rs</w:t>
      </w:r>
      <w:r w:rsidR="00590E0E">
        <w:t xml:space="preserve"> and the m</w:t>
      </w:r>
      <w:r w:rsidR="008549B7" w:rsidRPr="008549B7">
        <w:t>edian number of prior treatments for CIU was 4</w:t>
      </w:r>
      <w:r w:rsidR="0054046F">
        <w:t xml:space="preserve">. </w:t>
      </w:r>
      <w:r w:rsidR="008549B7" w:rsidRPr="008549B7">
        <w:t>25.2% had antibodies against FceR1</w:t>
      </w:r>
      <w:r w:rsidR="0054046F">
        <w:t xml:space="preserve">. </w:t>
      </w:r>
      <w:r w:rsidR="00590E0E">
        <w:t xml:space="preserve">Some </w:t>
      </w:r>
      <w:r w:rsidR="008549B7" w:rsidRPr="008549B7">
        <w:t>48% of subjects had angioedema at baseline.</w:t>
      </w:r>
    </w:p>
    <w:p w:rsidR="008549B7" w:rsidRPr="008549B7" w:rsidRDefault="008549B7" w:rsidP="008549B7">
      <w:r w:rsidRPr="008549B7">
        <w:t>Median baseline weekly itch severity score (based on data collected in the weeks before randomisation) was 14/21 in all arms</w:t>
      </w:r>
      <w:r w:rsidR="0054046F">
        <w:t xml:space="preserve">. </w:t>
      </w:r>
      <w:r w:rsidR="00590E0E">
        <w:t>The m</w:t>
      </w:r>
      <w:r w:rsidRPr="008549B7">
        <w:t>ean baseline score was 14.3.</w:t>
      </w:r>
    </w:p>
    <w:p w:rsidR="008549B7" w:rsidRPr="000441CF" w:rsidRDefault="008549B7" w:rsidP="008549B7">
      <w:r w:rsidRPr="008549B7">
        <w:t xml:space="preserve">At </w:t>
      </w:r>
      <w:r w:rsidR="008C4485">
        <w:t>Week</w:t>
      </w:r>
      <w:r w:rsidRPr="008549B7">
        <w:t xml:space="preserve"> 12, mean changes in weekly itch severity score were -</w:t>
      </w:r>
      <w:r w:rsidR="0054046F">
        <w:t xml:space="preserve"> </w:t>
      </w:r>
      <w:r w:rsidRPr="008549B7">
        <w:t>3.6 (placebo), -</w:t>
      </w:r>
      <w:r w:rsidR="0054046F">
        <w:t xml:space="preserve"> </w:t>
      </w:r>
      <w:r w:rsidRPr="008549B7">
        <w:t>6.5 (75 mg), -</w:t>
      </w:r>
      <w:r w:rsidR="0054046F">
        <w:t xml:space="preserve"> </w:t>
      </w:r>
      <w:r w:rsidRPr="008549B7">
        <w:t>6.7 (150 mg) and -</w:t>
      </w:r>
      <w:r w:rsidR="0054046F">
        <w:t xml:space="preserve"> </w:t>
      </w:r>
      <w:r w:rsidRPr="008549B7">
        <w:t>9.4 (300 mg)</w:t>
      </w:r>
      <w:r w:rsidR="0054046F">
        <w:t xml:space="preserve">. </w:t>
      </w:r>
      <w:r w:rsidRPr="008549B7">
        <w:t>A minimally important difference was considered to be a 5 point improvement</w:t>
      </w:r>
      <w:r w:rsidR="0054046F">
        <w:t xml:space="preserve">. </w:t>
      </w:r>
      <w:r w:rsidRPr="008549B7">
        <w:t xml:space="preserve">This was attained at </w:t>
      </w:r>
      <w:r w:rsidR="008C4485">
        <w:t>Week</w:t>
      </w:r>
      <w:r w:rsidRPr="008549B7">
        <w:t xml:space="preserve"> 12 in 36% (placebo), 56% (75 mg), 56% (150 mg) and 75% (</w:t>
      </w:r>
      <w:r w:rsidRPr="000441CF">
        <w:t>300 mg)</w:t>
      </w:r>
      <w:r w:rsidR="0054046F" w:rsidRPr="000441CF">
        <w:t xml:space="preserve">. </w:t>
      </w:r>
      <w:r w:rsidRPr="000441CF">
        <w:t xml:space="preserve">As shown in </w:t>
      </w:r>
      <w:r w:rsidR="0054046F" w:rsidRPr="000441CF">
        <w:t xml:space="preserve">Figure </w:t>
      </w:r>
      <w:r w:rsidR="000441CF" w:rsidRPr="000441CF">
        <w:t>2</w:t>
      </w:r>
      <w:r w:rsidRPr="000441CF">
        <w:t>, the onset of effects was quick and so was relapse after the final injection.</w:t>
      </w:r>
    </w:p>
    <w:p w:rsidR="0054046F" w:rsidRPr="009E38B5" w:rsidRDefault="0054046F" w:rsidP="009E38B5">
      <w:pPr>
        <w:pStyle w:val="FigureTitle"/>
      </w:pPr>
      <w:proofErr w:type="gramStart"/>
      <w:r w:rsidRPr="009E38B5">
        <w:lastRenderedPageBreak/>
        <w:t xml:space="preserve">Figure </w:t>
      </w:r>
      <w:r w:rsidR="000441CF" w:rsidRPr="009E38B5">
        <w:t>2.</w:t>
      </w:r>
      <w:proofErr w:type="gramEnd"/>
      <w:r w:rsidRPr="009E38B5">
        <w:t xml:space="preserve"> Graphs of efficacy (weekly itc</w:t>
      </w:r>
      <w:r w:rsidR="009141EB" w:rsidRPr="009E38B5">
        <w:t>h</w:t>
      </w:r>
      <w:r w:rsidRPr="009E38B5">
        <w:t xml:space="preserve"> severity score, change from baseline, BOCF method) over time in pivotal studies.</w:t>
      </w:r>
    </w:p>
    <w:p w:rsidR="009141EB" w:rsidRPr="008549B7" w:rsidRDefault="009141EB" w:rsidP="009C3BDF">
      <w:r>
        <w:rPr>
          <w:noProof/>
          <w:lang w:eastAsia="en-AU"/>
        </w:rPr>
        <w:drawing>
          <wp:inline distT="0" distB="0" distL="0" distR="0" wp14:anchorId="208BA2FF" wp14:editId="27F8C277">
            <wp:extent cx="5400040" cy="6821589"/>
            <wp:effectExtent l="0" t="0" r="0" b="0"/>
            <wp:docPr id="2" name="Picture 2" descr="Figure 2. Graphs of efficacy (weekly itch severity score, change from baseline, BOCF method) over time in pivot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6821589"/>
                    </a:xfrm>
                    <a:prstGeom prst="rect">
                      <a:avLst/>
                    </a:prstGeom>
                  </pic:spPr>
                </pic:pic>
              </a:graphicData>
            </a:graphic>
          </wp:inline>
        </w:drawing>
      </w:r>
    </w:p>
    <w:p w:rsidR="008549B7" w:rsidRPr="008549B7" w:rsidRDefault="008549B7" w:rsidP="008549B7">
      <w:r w:rsidRPr="008549B7">
        <w:t xml:space="preserve">Secondary endpoint results supported better efficacy for 300 mg </w:t>
      </w:r>
      <w:proofErr w:type="spellStart"/>
      <w:r w:rsidRPr="008549B7">
        <w:t>omalizumab</w:t>
      </w:r>
      <w:proofErr w:type="spellEnd"/>
      <w:r w:rsidR="0054046F">
        <w:t xml:space="preserve">. </w:t>
      </w:r>
      <w:r w:rsidRPr="008549B7">
        <w:t>UAS7 of zero (no itch, no hives) was achieved in 36% in the 300 mg arm and 9% in the placebo arm</w:t>
      </w:r>
      <w:r w:rsidR="0054046F">
        <w:t xml:space="preserve">. </w:t>
      </w:r>
      <w:r w:rsidRPr="008549B7">
        <w:t>In subgroup a</w:t>
      </w:r>
      <w:r w:rsidR="00322E61">
        <w:t>nalysis (300 mg versus placebo arms</w:t>
      </w:r>
      <w:r w:rsidR="009141EB">
        <w:t xml:space="preserve">) robust evidence for or </w:t>
      </w:r>
      <w:r w:rsidR="004321B3">
        <w:t xml:space="preserve">against efficacy in 12 to </w:t>
      </w:r>
      <w:r w:rsidRPr="008549B7">
        <w:t>17 y</w:t>
      </w:r>
      <w:r w:rsidR="009141EB">
        <w:t>ea</w:t>
      </w:r>
      <w:r w:rsidRPr="008549B7">
        <w:t>r olds was la</w:t>
      </w:r>
      <w:r w:rsidR="009141EB">
        <w:t>cking.</w:t>
      </w:r>
    </w:p>
    <w:p w:rsidR="009141EB" w:rsidRPr="009E38B5" w:rsidRDefault="00322E61" w:rsidP="009E38B5">
      <w:pPr>
        <w:pStyle w:val="Heading5"/>
      </w:pPr>
      <w:r w:rsidRPr="009E38B5">
        <w:t xml:space="preserve">Study 4882g </w:t>
      </w:r>
      <w:r w:rsidR="00D95EFE" w:rsidRPr="009E38B5">
        <w:t>(ASTERIA II)</w:t>
      </w:r>
    </w:p>
    <w:p w:rsidR="008549B7" w:rsidRPr="008549B7" w:rsidRDefault="00D95EFE" w:rsidP="008549B7">
      <w:r>
        <w:t xml:space="preserve">Study 4882g. </w:t>
      </w:r>
      <w:r w:rsidR="008549B7" w:rsidRPr="008549B7">
        <w:t>There were 3 administrations (</w:t>
      </w:r>
      <w:r w:rsidR="00590E0E">
        <w:t xml:space="preserve">at 0, 4 and </w:t>
      </w:r>
      <w:r w:rsidR="008549B7" w:rsidRPr="008549B7">
        <w:t xml:space="preserve">8 weeks) but otherwise design was the same as for </w:t>
      </w:r>
      <w:r w:rsidR="00DF0640">
        <w:t>4881g</w:t>
      </w:r>
      <w:r w:rsidR="0054046F">
        <w:t xml:space="preserve">. </w:t>
      </w:r>
      <w:r w:rsidR="008549B7" w:rsidRPr="008549B7">
        <w:t>In this study, 322 patients were treated</w:t>
      </w:r>
      <w:r w:rsidR="0054046F">
        <w:t xml:space="preserve">. </w:t>
      </w:r>
      <w:r w:rsidR="008549B7" w:rsidRPr="008549B7">
        <w:t xml:space="preserve">Baseline characteristics were broadly similar to those for </w:t>
      </w:r>
      <w:r w:rsidR="00DF0640">
        <w:t>4881g</w:t>
      </w:r>
      <w:r w:rsidR="008549B7" w:rsidRPr="008549B7">
        <w:t>; mean and median age in the 75 mg group was slightly lower than in other groups.</w:t>
      </w:r>
    </w:p>
    <w:p w:rsidR="008549B7" w:rsidRPr="00A873FA" w:rsidRDefault="008549B7" w:rsidP="008549B7">
      <w:r w:rsidRPr="008549B7">
        <w:lastRenderedPageBreak/>
        <w:t xml:space="preserve">An effect in the placebo arm was more pronounced than in </w:t>
      </w:r>
      <w:r w:rsidR="00DF0640">
        <w:t>4881g</w:t>
      </w:r>
      <w:r w:rsidRPr="008549B7">
        <w:t>, with a mean change from baseline in weekly itch severity score of -</w:t>
      </w:r>
      <w:r w:rsidR="009141EB">
        <w:t xml:space="preserve"> </w:t>
      </w:r>
      <w:r w:rsidRPr="008549B7">
        <w:t>5.1 (placebo), -</w:t>
      </w:r>
      <w:r w:rsidR="009141EB">
        <w:t xml:space="preserve"> </w:t>
      </w:r>
      <w:r w:rsidRPr="008549B7">
        <w:t>5.9 (75 mg), -</w:t>
      </w:r>
      <w:r w:rsidR="009141EB">
        <w:t xml:space="preserve"> </w:t>
      </w:r>
      <w:r w:rsidRPr="008549B7">
        <w:t>8.1 (150 mg) and -</w:t>
      </w:r>
      <w:r w:rsidR="009141EB">
        <w:t xml:space="preserve"> </w:t>
      </w:r>
      <w:r w:rsidRPr="008549B7">
        <w:t>9.8 (300 mg)</w:t>
      </w:r>
      <w:r w:rsidR="0054046F">
        <w:t xml:space="preserve">. </w:t>
      </w:r>
      <w:r w:rsidRPr="008549B7">
        <w:t>Compared with placebo, only the 150 mg and 300 mg arms showed statistically significant improvements; th</w:t>
      </w:r>
      <w:r w:rsidR="009141EB">
        <w:t xml:space="preserve">e treatment difference in least </w:t>
      </w:r>
      <w:r w:rsidRPr="008549B7">
        <w:t>squares means, against placebo, was -</w:t>
      </w:r>
      <w:r w:rsidR="009141EB">
        <w:t xml:space="preserve"> </w:t>
      </w:r>
      <w:r w:rsidRPr="008549B7">
        <w:t>3.0 for 150 mg and -</w:t>
      </w:r>
      <w:r w:rsidR="009141EB">
        <w:t xml:space="preserve"> </w:t>
      </w:r>
      <w:r w:rsidRPr="008549B7">
        <w:t>4.8 for 300 mg arms</w:t>
      </w:r>
      <w:r w:rsidR="0054046F">
        <w:t xml:space="preserve">. </w:t>
      </w:r>
      <w:r w:rsidRPr="008549B7">
        <w:t xml:space="preserve">The clinical evaluator also saw evidence of a rebound effect as </w:t>
      </w:r>
      <w:r w:rsidRPr="000441CF">
        <w:t xml:space="preserve">illustrated in </w:t>
      </w:r>
      <w:r w:rsidR="009141EB" w:rsidRPr="00C52DEE">
        <w:t xml:space="preserve">Figure </w:t>
      </w:r>
      <w:r w:rsidR="000441CF" w:rsidRPr="00C52DEE">
        <w:t>2</w:t>
      </w:r>
      <w:r w:rsidRPr="00C52DEE">
        <w:t xml:space="preserve"> but </w:t>
      </w:r>
      <w:r w:rsidRPr="000441CF">
        <w:t xml:space="preserve">the conclusion </w:t>
      </w:r>
      <w:r w:rsidRPr="008549B7">
        <w:t xml:space="preserve">was that the rebound effect was unlikely to be </w:t>
      </w:r>
      <w:r w:rsidRPr="00EE1AF4">
        <w:t xml:space="preserve">important (however see </w:t>
      </w:r>
      <w:r w:rsidR="00C52DEE" w:rsidRPr="00EE1AF4">
        <w:t xml:space="preserve">below for further </w:t>
      </w:r>
      <w:r w:rsidRPr="00EE1AF4">
        <w:t>discussion of rebound</w:t>
      </w:r>
      <w:r w:rsidR="00EE1AF4" w:rsidRPr="00EE1AF4">
        <w:t xml:space="preserve"> effect</w:t>
      </w:r>
      <w:r w:rsidR="00C52DEE" w:rsidRPr="00EE1AF4">
        <w:t>).</w:t>
      </w:r>
    </w:p>
    <w:p w:rsidR="00C52DEE" w:rsidRPr="008549B7" w:rsidRDefault="008549B7" w:rsidP="008549B7">
      <w:r w:rsidRPr="008549B7">
        <w:t>Secondary endpoints (including quality of life assessment) supported bet</w:t>
      </w:r>
      <w:r w:rsidR="00590E0E">
        <w:t>ter efficacy of the 300 mg dose</w:t>
      </w:r>
      <w:r w:rsidRPr="008549B7">
        <w:t xml:space="preserve"> and no efficacy of the 75 mg dose</w:t>
      </w:r>
      <w:r w:rsidR="0054046F">
        <w:t xml:space="preserve">. </w:t>
      </w:r>
      <w:r w:rsidRPr="008549B7">
        <w:t>In subgroup analysis, sample size precluded drawing conclusions on efficacy in children and subjects 65</w:t>
      </w:r>
      <w:r w:rsidR="00536A02">
        <w:t xml:space="preserve"> </w:t>
      </w:r>
      <w:r w:rsidRPr="008549B7">
        <w:t>+ y</w:t>
      </w:r>
      <w:r w:rsidR="009141EB">
        <w:t>ea</w:t>
      </w:r>
      <w:r w:rsidRPr="008549B7">
        <w:t>rs of age</w:t>
      </w:r>
      <w:r w:rsidR="0054046F">
        <w:t xml:space="preserve">. </w:t>
      </w:r>
      <w:r w:rsidRPr="008549B7">
        <w:t xml:space="preserve">The </w:t>
      </w:r>
      <w:r w:rsidRPr="00A627FE">
        <w:t xml:space="preserve">subgroup analysis is presented </w:t>
      </w:r>
      <w:r w:rsidR="00A627FE" w:rsidRPr="00A627FE">
        <w:t>in</w:t>
      </w:r>
      <w:r w:rsidR="00A627FE">
        <w:t xml:space="preserve"> </w:t>
      </w:r>
      <w:r w:rsidR="00A627FE" w:rsidRPr="00A627FE">
        <w:t xml:space="preserve">Figure 6 </w:t>
      </w:r>
      <w:r w:rsidRPr="00A627FE">
        <w:t>of the CER</w:t>
      </w:r>
      <w:r w:rsidR="000441CF">
        <w:t xml:space="preserve"> extract (Attachment 2)</w:t>
      </w:r>
      <w:r w:rsidRPr="00A627FE">
        <w:t xml:space="preserve"> and </w:t>
      </w:r>
      <w:r w:rsidRPr="008549B7">
        <w:t>again does not raise concerns that efficacy varies by subgroup</w:t>
      </w:r>
      <w:r w:rsidR="0054046F">
        <w:t xml:space="preserve">. </w:t>
      </w:r>
      <w:r w:rsidRPr="008549B7">
        <w:t xml:space="preserve">Less favourable point estimates of effect in those with a baseline UAS below the median were not replicated in </w:t>
      </w:r>
      <w:r w:rsidR="00DF0640">
        <w:t>4881g</w:t>
      </w:r>
      <w:r w:rsidRPr="008549B7">
        <w:t xml:space="preserve"> sub</w:t>
      </w:r>
      <w:r w:rsidR="00A11A52">
        <w:t> </w:t>
      </w:r>
      <w:r w:rsidR="009141EB">
        <w:t>group analysis.</w:t>
      </w:r>
    </w:p>
    <w:p w:rsidR="00322E61" w:rsidRPr="009C3BDF" w:rsidRDefault="00A11A52" w:rsidP="009C3BDF">
      <w:pPr>
        <w:pStyle w:val="Heading5"/>
      </w:pPr>
      <w:r w:rsidRPr="009C3BDF">
        <w:rPr>
          <w:rStyle w:val="Heading5Char"/>
          <w:rFonts w:eastAsia="Cambria"/>
          <w:b/>
          <w:bCs/>
          <w:i/>
        </w:rPr>
        <w:t>Study 4883g (GLACIAL)</w:t>
      </w:r>
    </w:p>
    <w:p w:rsidR="008549B7" w:rsidRPr="008549B7" w:rsidRDefault="00322E61" w:rsidP="008549B7">
      <w:r w:rsidRPr="00322E61">
        <w:t xml:space="preserve">Study 4883g </w:t>
      </w:r>
      <w:r w:rsidR="00590E0E">
        <w:t>was primarily a safety study</w:t>
      </w:r>
      <w:r w:rsidR="008549B7" w:rsidRPr="008549B7">
        <w:t xml:space="preserve"> and the patient population differed from </w:t>
      </w:r>
      <w:r w:rsidR="00180931">
        <w:t>S</w:t>
      </w:r>
      <w:r w:rsidR="008549B7" w:rsidRPr="008549B7">
        <w:t xml:space="preserve">tudies </w:t>
      </w:r>
      <w:r w:rsidR="00180931">
        <w:t xml:space="preserve">4881g and 4882g by </w:t>
      </w:r>
      <w:r w:rsidR="008549B7" w:rsidRPr="008549B7">
        <w:t>including patients also using H2 blockers and leukotriene receptor antagonists for CIU</w:t>
      </w:r>
      <w:r w:rsidR="0054046F">
        <w:t xml:space="preserve">. </w:t>
      </w:r>
      <w:r w:rsidR="008549B7" w:rsidRPr="008549B7">
        <w:t xml:space="preserve">Patients were required to have failed </w:t>
      </w:r>
      <w:r w:rsidR="001C7DCA" w:rsidRPr="001C7DCA">
        <w:t xml:space="preserve">H1 histamine receptor </w:t>
      </w:r>
      <w:r w:rsidR="001C7DCA">
        <w:t>(</w:t>
      </w:r>
      <w:r w:rsidR="008549B7" w:rsidRPr="008549B7">
        <w:t>H1</w:t>
      </w:r>
      <w:r w:rsidR="001C7DCA">
        <w:t>)</w:t>
      </w:r>
      <w:r w:rsidR="008549B7" w:rsidRPr="008549B7">
        <w:t xml:space="preserve"> blockers at high doses </w:t>
      </w:r>
      <w:r w:rsidR="001743A3" w:rsidRPr="001743A3">
        <w:t xml:space="preserve">and </w:t>
      </w:r>
      <w:r w:rsidR="008549B7" w:rsidRPr="008549B7">
        <w:t>one of an H2 blocker or a leukotriene receptor antagonist</w:t>
      </w:r>
      <w:r w:rsidR="0054046F">
        <w:t xml:space="preserve">. </w:t>
      </w:r>
      <w:r w:rsidR="008549B7" w:rsidRPr="008549B7">
        <w:t>Th</w:t>
      </w:r>
      <w:r w:rsidR="00536A02">
        <w:t xml:space="preserve">us, patients were more treatment resistant than in </w:t>
      </w:r>
      <w:r w:rsidR="00DF0640">
        <w:t>4881g</w:t>
      </w:r>
      <w:r w:rsidR="00536A02">
        <w:t xml:space="preserve"> and </w:t>
      </w:r>
      <w:r w:rsidR="00DF0640">
        <w:t>4882g</w:t>
      </w:r>
      <w:r w:rsidR="008549B7" w:rsidRPr="008549B7">
        <w:t>.</w:t>
      </w:r>
    </w:p>
    <w:p w:rsidR="008549B7" w:rsidRDefault="008549B7" w:rsidP="001743A3">
      <w:r w:rsidRPr="001743A3">
        <w:t>Patients</w:t>
      </w:r>
      <w:r w:rsidR="00590E0E">
        <w:t xml:space="preserve"> were randomised 3:1 to receive 300 mg </w:t>
      </w:r>
      <w:proofErr w:type="spellStart"/>
      <w:r w:rsidR="00590E0E">
        <w:t>omalizumab</w:t>
      </w:r>
      <w:proofErr w:type="spellEnd"/>
      <w:r w:rsidR="00590E0E">
        <w:t xml:space="preserve"> or placebo</w:t>
      </w:r>
      <w:r w:rsidRPr="001743A3">
        <w:t xml:space="preserve"> SC every 4</w:t>
      </w:r>
      <w:r w:rsidR="00536A02" w:rsidRPr="001743A3">
        <w:t> </w:t>
      </w:r>
      <w:r w:rsidR="00590E0E">
        <w:t>weeks</w:t>
      </w:r>
      <w:r w:rsidRPr="001743A3">
        <w:t xml:space="preserve"> for 6 administrations</w:t>
      </w:r>
      <w:r w:rsidR="0054046F" w:rsidRPr="001743A3">
        <w:t xml:space="preserve">. </w:t>
      </w:r>
      <w:r w:rsidRPr="001743A3">
        <w:t>Efficacy results were</w:t>
      </w:r>
      <w:r w:rsidR="006B2484">
        <w:t xml:space="preserve"> supportive of those in </w:t>
      </w:r>
      <w:r w:rsidR="00DF0640">
        <w:t>S</w:t>
      </w:r>
      <w:r w:rsidR="006B2484">
        <w:t>tudies</w:t>
      </w:r>
      <w:r w:rsidRPr="001743A3">
        <w:t xml:space="preserve"> </w:t>
      </w:r>
      <w:r w:rsidR="00DF0640">
        <w:t xml:space="preserve">4881g and 4882g </w:t>
      </w:r>
      <w:r w:rsidRPr="001743A3">
        <w:t xml:space="preserve">for 300 mg </w:t>
      </w:r>
      <w:proofErr w:type="spellStart"/>
      <w:r w:rsidRPr="001743A3">
        <w:t>omalizumab</w:t>
      </w:r>
      <w:proofErr w:type="spellEnd"/>
      <w:r w:rsidR="0054046F" w:rsidRPr="001743A3">
        <w:t xml:space="preserve">. </w:t>
      </w:r>
      <w:r w:rsidRPr="001743A3">
        <w:t xml:space="preserve">Mean weekly itch severity score at </w:t>
      </w:r>
      <w:r w:rsidR="008C4485" w:rsidRPr="001743A3">
        <w:t>Week</w:t>
      </w:r>
      <w:r w:rsidRPr="001743A3">
        <w:t xml:space="preserve"> 12 (relative to baseline) was -</w:t>
      </w:r>
      <w:r w:rsidR="00536A02" w:rsidRPr="001743A3">
        <w:t xml:space="preserve"> </w:t>
      </w:r>
      <w:r w:rsidRPr="001743A3">
        <w:t>4.0 in the placebo arm, -</w:t>
      </w:r>
      <w:r w:rsidR="00536A02" w:rsidRPr="001743A3">
        <w:t xml:space="preserve"> </w:t>
      </w:r>
      <w:r w:rsidRPr="001743A3">
        <w:t xml:space="preserve">8.6 in the </w:t>
      </w:r>
      <w:proofErr w:type="spellStart"/>
      <w:r w:rsidRPr="001743A3">
        <w:t>omalizumab</w:t>
      </w:r>
      <w:proofErr w:type="spellEnd"/>
      <w:r w:rsidRPr="001743A3">
        <w:t xml:space="preserve"> arm; the treatment difference in LS means was -</w:t>
      </w:r>
      <w:r w:rsidR="00536A02" w:rsidRPr="001743A3">
        <w:t xml:space="preserve"> </w:t>
      </w:r>
      <w:r w:rsidRPr="001743A3">
        <w:t>4.5 (comparable to figures of -</w:t>
      </w:r>
      <w:r w:rsidR="00536A02" w:rsidRPr="001743A3">
        <w:t xml:space="preserve"> </w:t>
      </w:r>
      <w:r w:rsidRPr="001743A3">
        <w:t>5.8 and -</w:t>
      </w:r>
      <w:r w:rsidR="00536A02" w:rsidRPr="001743A3">
        <w:t xml:space="preserve"> </w:t>
      </w:r>
      <w:r w:rsidRPr="001743A3">
        <w:t xml:space="preserve">4.8 in </w:t>
      </w:r>
      <w:r w:rsidR="00DF0640">
        <w:t>4881g</w:t>
      </w:r>
      <w:r w:rsidRPr="001743A3">
        <w:t xml:space="preserve"> and </w:t>
      </w:r>
      <w:r w:rsidR="00E101FB">
        <w:t>4882g respectively</w:t>
      </w:r>
      <w:r w:rsidRPr="001743A3">
        <w:t>).</w:t>
      </w:r>
    </w:p>
    <w:p w:rsidR="00A873FA" w:rsidRPr="009E38B5" w:rsidRDefault="00A873FA" w:rsidP="009E38B5">
      <w:pPr>
        <w:pStyle w:val="Heading5"/>
      </w:pPr>
      <w:r w:rsidRPr="009E38B5">
        <w:t>Delegate</w:t>
      </w:r>
      <w:r w:rsidR="00E101FB" w:rsidRPr="009E38B5">
        <w:t>’</w:t>
      </w:r>
      <w:r w:rsidRPr="009E38B5">
        <w:t xml:space="preserve">s comments regarding </w:t>
      </w:r>
      <w:r w:rsidR="00D95EFE" w:rsidRPr="009E38B5">
        <w:t>rebound effect in</w:t>
      </w:r>
      <w:r w:rsidR="00A11A52" w:rsidRPr="009E38B5">
        <w:t xml:space="preserve"> Studies 4881g, 4882g and 4883g</w:t>
      </w:r>
    </w:p>
    <w:p w:rsidR="00D95EFE" w:rsidRDefault="00D95EFE" w:rsidP="00D95EFE">
      <w:r>
        <w:t>The following comment</w:t>
      </w:r>
      <w:r w:rsidR="00180931">
        <w:t xml:space="preserve"> was</w:t>
      </w:r>
      <w:r>
        <w:t xml:space="preserve"> made with regard to the rebound effect noted in Studies </w:t>
      </w:r>
      <w:r w:rsidRPr="00D95EFE">
        <w:t>4881g, 4882g and 4883g</w:t>
      </w:r>
      <w:r>
        <w:t>.</w:t>
      </w:r>
    </w:p>
    <w:p w:rsidR="00D95EFE" w:rsidRPr="00D95EFE" w:rsidRDefault="00D95EFE" w:rsidP="00D95EFE">
      <w:r w:rsidRPr="00D95EFE">
        <w:t xml:space="preserve">The </w:t>
      </w:r>
      <w:r w:rsidR="00F27D9A">
        <w:t>sponsor’s summary of clinical s</w:t>
      </w:r>
      <w:r w:rsidRPr="00D95EFE">
        <w:t>afety (</w:t>
      </w:r>
      <w:r w:rsidRPr="00E101FB">
        <w:t>Table</w:t>
      </w:r>
      <w:r w:rsidR="00E101FB" w:rsidRPr="00E101FB">
        <w:t xml:space="preserve"> 11 below</w:t>
      </w:r>
      <w:r w:rsidR="00E101FB">
        <w:t>) analyses the large Phase III</w:t>
      </w:r>
      <w:r w:rsidRPr="00D95EFE">
        <w:t xml:space="preserve"> </w:t>
      </w:r>
      <w:r w:rsidR="00E101FB">
        <w:t xml:space="preserve">studies and finds a rise in CIU </w:t>
      </w:r>
      <w:r w:rsidRPr="00D95EFE">
        <w:t xml:space="preserve">related severe AEs after last </w:t>
      </w:r>
      <w:proofErr w:type="spellStart"/>
      <w:r w:rsidRPr="00D95EFE">
        <w:t>omalizumab</w:t>
      </w:r>
      <w:proofErr w:type="spellEnd"/>
      <w:r w:rsidRPr="00D95EFE">
        <w:t xml:space="preserve"> dose (</w:t>
      </w:r>
      <w:r w:rsidR="00E101FB">
        <w:t>versus</w:t>
      </w:r>
      <w:r w:rsidR="00F27D9A">
        <w:t xml:space="preserve"> last placebo dose).</w:t>
      </w:r>
      <w:r w:rsidRPr="00D95EFE">
        <w:t xml:space="preserve"> </w:t>
      </w:r>
      <w:r>
        <w:t>The Del</w:t>
      </w:r>
      <w:r w:rsidR="00180931">
        <w:t>e</w:t>
      </w:r>
      <w:r>
        <w:t>gate</w:t>
      </w:r>
      <w:r w:rsidRPr="00D95EFE">
        <w:t xml:space="preserve"> agree</w:t>
      </w:r>
      <w:r>
        <w:t>d</w:t>
      </w:r>
      <w:r w:rsidRPr="00D95EFE">
        <w:t xml:space="preserve"> this could be related to the deeper s</w:t>
      </w:r>
      <w:r w:rsidR="00590E0E">
        <w:t xml:space="preserve">uppression of CIU by </w:t>
      </w:r>
      <w:proofErr w:type="spellStart"/>
      <w:r w:rsidR="00590E0E">
        <w:t>omalizumab</w:t>
      </w:r>
      <w:proofErr w:type="spellEnd"/>
      <w:r w:rsidRPr="00D95EFE">
        <w:t xml:space="preserve"> but it is also consistent with a rebound effect in some patients that weekly itch &gt;</w:t>
      </w:r>
      <w:r w:rsidR="00F27D9A">
        <w:t xml:space="preserve"> </w:t>
      </w:r>
      <w:r w:rsidRPr="00D95EFE">
        <w:t xml:space="preserve">150% of baseline was observed in 5.4% (placebo) </w:t>
      </w:r>
      <w:r w:rsidR="00F27D9A">
        <w:t>versus 7 to 13% (</w:t>
      </w:r>
      <w:proofErr w:type="spellStart"/>
      <w:r w:rsidR="00F27D9A">
        <w:t>omalizumab</w:t>
      </w:r>
      <w:proofErr w:type="spellEnd"/>
      <w:r w:rsidR="00F27D9A">
        <w:t xml:space="preserve">). </w:t>
      </w:r>
      <w:r w:rsidRPr="00D95EFE">
        <w:t xml:space="preserve">Similar analysis of hives and </w:t>
      </w:r>
      <w:proofErr w:type="spellStart"/>
      <w:r w:rsidRPr="00D95EFE">
        <w:t>urticaria</w:t>
      </w:r>
      <w:proofErr w:type="spellEnd"/>
      <w:r w:rsidRPr="00D95EFE">
        <w:t xml:space="preserve"> was less concerning but overall a rebound </w:t>
      </w:r>
      <w:r>
        <w:t>effect has not been ruled out.</w:t>
      </w:r>
    </w:p>
    <w:p w:rsidR="00D95EFE" w:rsidRPr="009E38B5" w:rsidRDefault="00180931" w:rsidP="009E38B5">
      <w:pPr>
        <w:pStyle w:val="TableTitle"/>
      </w:pPr>
      <w:proofErr w:type="gramStart"/>
      <w:r w:rsidRPr="009E38B5">
        <w:lastRenderedPageBreak/>
        <w:t xml:space="preserve">Table </w:t>
      </w:r>
      <w:r w:rsidR="00E101FB" w:rsidRPr="009E38B5">
        <w:t>11</w:t>
      </w:r>
      <w:r w:rsidR="00F27D9A" w:rsidRPr="009E38B5">
        <w:t>.</w:t>
      </w:r>
      <w:proofErr w:type="gramEnd"/>
      <w:r w:rsidRPr="009E38B5">
        <w:t xml:space="preserve"> Worsening of CSU symptoms after last study drug dose – Studies 4881g, 4882g and 4883g (core safety analysis set)</w:t>
      </w:r>
      <w:r w:rsidR="00F27D9A" w:rsidRPr="009E38B5">
        <w:t>.</w:t>
      </w:r>
    </w:p>
    <w:p w:rsidR="00D95EFE" w:rsidRPr="00D95EFE" w:rsidRDefault="00AF2048" w:rsidP="009C3BDF">
      <w:r>
        <w:rPr>
          <w:noProof/>
          <w:lang w:eastAsia="en-AU"/>
        </w:rPr>
        <w:drawing>
          <wp:inline distT="0" distB="0" distL="0" distR="0" wp14:anchorId="5E65C7AB" wp14:editId="01A9E3C3">
            <wp:extent cx="5400040" cy="4791382"/>
            <wp:effectExtent l="0" t="0" r="0" b="9525"/>
            <wp:docPr id="8" name="Picture 8" descr="Table 11. Worsening of CSU symptoms after last study drug dose – Studies 4881g, 4882g and 4883g (core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4791382"/>
                    </a:xfrm>
                    <a:prstGeom prst="rect">
                      <a:avLst/>
                    </a:prstGeom>
                  </pic:spPr>
                </pic:pic>
              </a:graphicData>
            </a:graphic>
          </wp:inline>
        </w:drawing>
      </w:r>
    </w:p>
    <w:p w:rsidR="001743A3" w:rsidRPr="009E38B5" w:rsidRDefault="001743A3" w:rsidP="009E38B5">
      <w:pPr>
        <w:pStyle w:val="Heading5"/>
      </w:pPr>
      <w:r w:rsidRPr="009E38B5">
        <w:t>Study ADE05 (X-QUISITE)</w:t>
      </w:r>
    </w:p>
    <w:p w:rsidR="008549B7" w:rsidRPr="008549B7" w:rsidRDefault="00180931" w:rsidP="008549B7">
      <w:r>
        <w:t>Study ADE05</w:t>
      </w:r>
      <w:r w:rsidR="001743A3" w:rsidRPr="001743A3">
        <w:t xml:space="preserve"> </w:t>
      </w:r>
      <w:r w:rsidR="008549B7" w:rsidRPr="008549B7">
        <w:t>was less relevant in terms of type of patient, sample size and dosing.</w:t>
      </w:r>
    </w:p>
    <w:p w:rsidR="001743A3" w:rsidRPr="009E38B5" w:rsidRDefault="008549B7" w:rsidP="009E38B5">
      <w:pPr>
        <w:pStyle w:val="Heading5"/>
      </w:pPr>
      <w:r w:rsidRPr="009E38B5">
        <w:t>Study 4577g (MYSTIQUE)</w:t>
      </w:r>
    </w:p>
    <w:p w:rsidR="008549B7" w:rsidRDefault="00E101FB" w:rsidP="008549B7">
      <w:r>
        <w:t>Study 4577g</w:t>
      </w:r>
      <w:r w:rsidR="001743A3" w:rsidRPr="001743A3">
        <w:t xml:space="preserve"> </w:t>
      </w:r>
      <w:r w:rsidR="008549B7" w:rsidRPr="008549B7">
        <w:t xml:space="preserve">was a </w:t>
      </w:r>
      <w:r w:rsidR="00F978F0">
        <w:t>Phase</w:t>
      </w:r>
      <w:r w:rsidR="008549B7" w:rsidRPr="008549B7">
        <w:t xml:space="preserve"> </w:t>
      </w:r>
      <w:r w:rsidR="00536A02">
        <w:t>II</w:t>
      </w:r>
      <w:r w:rsidR="008549B7" w:rsidRPr="008549B7">
        <w:t xml:space="preserve"> study in patients receiving H1 antihistamines</w:t>
      </w:r>
      <w:r w:rsidR="0054046F">
        <w:t xml:space="preserve">. </w:t>
      </w:r>
      <w:r w:rsidR="008549B7" w:rsidRPr="008549B7">
        <w:t xml:space="preserve">Only a single dose was administered (randomisation was to placebo or 75, 300 or 600 mg </w:t>
      </w:r>
      <w:proofErr w:type="spellStart"/>
      <w:r w:rsidR="008549B7" w:rsidRPr="008549B7">
        <w:t>omalizumab</w:t>
      </w:r>
      <w:proofErr w:type="spellEnd"/>
      <w:r w:rsidR="008549B7" w:rsidRPr="008549B7">
        <w:t>, SC)</w:t>
      </w:r>
      <w:r w:rsidR="0054046F">
        <w:t xml:space="preserve">. </w:t>
      </w:r>
      <w:r w:rsidR="008549B7" w:rsidRPr="008549B7">
        <w:t>The bes</w:t>
      </w:r>
      <w:r w:rsidR="0001722B">
        <w:t>t efficacy was seen with 300 mg as shown in Fig</w:t>
      </w:r>
      <w:r w:rsidR="00590E0E">
        <w:t>ure</w:t>
      </w:r>
      <w:r w:rsidR="0001722B">
        <w:t xml:space="preserve"> </w:t>
      </w:r>
      <w:r w:rsidR="006B2484">
        <w:t>3</w:t>
      </w:r>
      <w:r w:rsidR="0001722B">
        <w:t xml:space="preserve"> below</w:t>
      </w:r>
      <w:r w:rsidR="00F27D9A">
        <w:t>.</w:t>
      </w:r>
    </w:p>
    <w:p w:rsidR="0001722B" w:rsidRPr="009E38B5" w:rsidRDefault="0001722B" w:rsidP="009E38B5">
      <w:pPr>
        <w:pStyle w:val="FigureTitle"/>
      </w:pPr>
      <w:proofErr w:type="gramStart"/>
      <w:r w:rsidRPr="009E38B5">
        <w:lastRenderedPageBreak/>
        <w:t xml:space="preserve">Figure </w:t>
      </w:r>
      <w:r w:rsidR="006B2484" w:rsidRPr="009E38B5">
        <w:t>3</w:t>
      </w:r>
      <w:r w:rsidR="00F27D9A" w:rsidRPr="009E38B5">
        <w:t>.</w:t>
      </w:r>
      <w:proofErr w:type="gramEnd"/>
      <w:r w:rsidR="00F27D9A" w:rsidRPr="009E38B5">
        <w:t xml:space="preserve"> </w:t>
      </w:r>
      <w:r w:rsidRPr="009E38B5">
        <w:t>Study 4577g – Weekly mean change in UAS7 from baseline.</w:t>
      </w:r>
    </w:p>
    <w:p w:rsidR="0001722B" w:rsidRPr="008549B7" w:rsidRDefault="0001722B" w:rsidP="008549B7">
      <w:r>
        <w:rPr>
          <w:noProof/>
          <w:lang w:eastAsia="en-AU"/>
        </w:rPr>
        <w:drawing>
          <wp:inline distT="0" distB="0" distL="0" distR="0" wp14:anchorId="173F5180" wp14:editId="73264CA6">
            <wp:extent cx="4768850" cy="3315267"/>
            <wp:effectExtent l="0" t="0" r="0" b="0"/>
            <wp:docPr id="3" name="Picture 3" descr="Figure 3. Study 4577g – Weekly mean change in UAS7 from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71094" cy="3316827"/>
                    </a:xfrm>
                    <a:prstGeom prst="rect">
                      <a:avLst/>
                    </a:prstGeom>
                  </pic:spPr>
                </pic:pic>
              </a:graphicData>
            </a:graphic>
          </wp:inline>
        </w:drawing>
      </w:r>
    </w:p>
    <w:p w:rsidR="008549B7" w:rsidRPr="009E38B5" w:rsidRDefault="008549B7" w:rsidP="009E38B5">
      <w:pPr>
        <w:pStyle w:val="Heading4"/>
      </w:pPr>
      <w:r w:rsidRPr="009E38B5">
        <w:t>Safety</w:t>
      </w:r>
    </w:p>
    <w:p w:rsidR="008549B7" w:rsidRPr="008549B7" w:rsidRDefault="00590E0E" w:rsidP="008549B7">
      <w:r>
        <w:t>In the clinical program</w:t>
      </w:r>
      <w:r w:rsidR="008549B7" w:rsidRPr="008549B7">
        <w:t xml:space="preserve">, 829 subjects received </w:t>
      </w:r>
      <w:proofErr w:type="spellStart"/>
      <w:r w:rsidR="008549B7" w:rsidRPr="008549B7">
        <w:t>omalizumab</w:t>
      </w:r>
      <w:proofErr w:type="spellEnd"/>
      <w:r w:rsidR="008549B7" w:rsidRPr="008549B7">
        <w:t xml:space="preserve"> and 285 received placebo</w:t>
      </w:r>
      <w:r w:rsidR="0054046F">
        <w:t xml:space="preserve">. </w:t>
      </w:r>
      <w:r w:rsidR="008549B7" w:rsidRPr="008549B7">
        <w:t xml:space="preserve">Extent of exposure is </w:t>
      </w:r>
      <w:r w:rsidR="00504914">
        <w:t xml:space="preserve">presented </w:t>
      </w:r>
      <w:r w:rsidR="00504914" w:rsidRPr="00504914">
        <w:t xml:space="preserve">in </w:t>
      </w:r>
      <w:r w:rsidR="00504914" w:rsidRPr="002C6444">
        <w:t>T</w:t>
      </w:r>
      <w:r w:rsidR="00536A02" w:rsidRPr="002C6444">
        <w:t xml:space="preserve">able </w:t>
      </w:r>
      <w:r w:rsidR="002C6444" w:rsidRPr="002C6444">
        <w:t>17</w:t>
      </w:r>
      <w:r w:rsidR="008549B7" w:rsidRPr="002C6444">
        <w:t xml:space="preserve"> </w:t>
      </w:r>
      <w:r w:rsidR="008549B7" w:rsidRPr="00504914">
        <w:t>the CER</w:t>
      </w:r>
      <w:r w:rsidR="00504914" w:rsidRPr="00504914">
        <w:t xml:space="preserve"> extract (see Attachment 2)</w:t>
      </w:r>
      <w:r w:rsidR="008549B7" w:rsidRPr="00504914">
        <w:t xml:space="preserve">; very </w:t>
      </w:r>
      <w:r w:rsidR="008549B7" w:rsidRPr="008549B7">
        <w:t xml:space="preserve">few patients were exposed to </w:t>
      </w:r>
      <w:proofErr w:type="spellStart"/>
      <w:r w:rsidR="008549B7" w:rsidRPr="008549B7">
        <w:t>omalizumab</w:t>
      </w:r>
      <w:proofErr w:type="spellEnd"/>
      <w:r w:rsidR="008549B7" w:rsidRPr="008549B7">
        <w:t xml:space="preserve"> for more than 24 weeks at any dose level</w:t>
      </w:r>
      <w:r w:rsidR="0054046F">
        <w:t xml:space="preserve">. </w:t>
      </w:r>
      <w:r w:rsidR="008549B7" w:rsidRPr="008549B7">
        <w:t xml:space="preserve">The extent of exposure for at least 12 </w:t>
      </w:r>
      <w:proofErr w:type="gramStart"/>
      <w:r w:rsidR="008549B7" w:rsidRPr="008549B7">
        <w:t>months</w:t>
      </w:r>
      <w:r w:rsidR="00AF2048">
        <w:t>,</w:t>
      </w:r>
      <w:proofErr w:type="gramEnd"/>
      <w:r w:rsidR="008549B7" w:rsidRPr="008549B7">
        <w:t xml:space="preserve"> did not conform with the suggestion in the</w:t>
      </w:r>
      <w:r w:rsidR="00C82EE9">
        <w:t xml:space="preserve"> TGA-adopted </w:t>
      </w:r>
      <w:r>
        <w:t xml:space="preserve">guideline </w:t>
      </w:r>
      <w:r w:rsidRPr="00322E61">
        <w:rPr>
          <w:vertAlign w:val="superscript"/>
        </w:rPr>
        <w:footnoteReference w:id="13"/>
      </w:r>
      <w:r w:rsidRPr="008549B7">
        <w:t xml:space="preserve"> </w:t>
      </w:r>
      <w:r w:rsidR="008549B7" w:rsidRPr="008549B7">
        <w:t>where it is st</w:t>
      </w:r>
      <w:r>
        <w:t>ated that for safety assessment</w:t>
      </w:r>
      <w:r w:rsidR="008549B7" w:rsidRPr="008549B7">
        <w:t xml:space="preserve"> a large and representative group of patients should be exposed t</w:t>
      </w:r>
      <w:r w:rsidR="00A11A52">
        <w:t>o the substance for at least 12 </w:t>
      </w:r>
      <w:r w:rsidR="008549B7" w:rsidRPr="008549B7">
        <w:t>months</w:t>
      </w:r>
      <w:r w:rsidR="0054046F">
        <w:t xml:space="preserve">. </w:t>
      </w:r>
      <w:r w:rsidR="008549B7" w:rsidRPr="008549B7">
        <w:t>However, this is offset by the experience with this product in allergic asthma.</w:t>
      </w:r>
    </w:p>
    <w:p w:rsidR="008549B7" w:rsidRPr="00E03BE7" w:rsidRDefault="008549B7" w:rsidP="008549B7">
      <w:r w:rsidRPr="008549B7">
        <w:t xml:space="preserve">While for some broad categories of AE the frequency of that type of AE rose across dose levels (75, 150, 300 mg), the frequency at 300 mg </w:t>
      </w:r>
      <w:proofErr w:type="spellStart"/>
      <w:r w:rsidRPr="008549B7">
        <w:t>omalizumab</w:t>
      </w:r>
      <w:proofErr w:type="spellEnd"/>
      <w:r w:rsidRPr="008549B7">
        <w:t xml:space="preserve"> was not particularly high relative to </w:t>
      </w:r>
      <w:r w:rsidRPr="00E03BE7">
        <w:t>placebo (</w:t>
      </w:r>
      <w:r w:rsidR="008C4485" w:rsidRPr="00E03BE7">
        <w:t>for example,</w:t>
      </w:r>
      <w:r w:rsidRPr="00E03BE7">
        <w:t xml:space="preserve"> </w:t>
      </w:r>
      <w:r w:rsidR="00E03BE7" w:rsidRPr="00E03BE7">
        <w:t xml:space="preserve">see </w:t>
      </w:r>
      <w:r w:rsidRPr="00E03BE7">
        <w:t>CER</w:t>
      </w:r>
      <w:r w:rsidR="00E03BE7" w:rsidRPr="00E03BE7">
        <w:t xml:space="preserve"> extract Attachment 2 Table 19</w:t>
      </w:r>
      <w:r w:rsidRPr="00E03BE7">
        <w:t>).</w:t>
      </w:r>
    </w:p>
    <w:p w:rsidR="008549B7" w:rsidRPr="006B3842" w:rsidRDefault="008549B7" w:rsidP="006B3842">
      <w:r w:rsidRPr="008549B7">
        <w:t xml:space="preserve">Differences in </w:t>
      </w:r>
      <w:r w:rsidR="0089197F" w:rsidRPr="0089197F">
        <w:t>AE</w:t>
      </w:r>
      <w:r w:rsidR="0089197F">
        <w:t>s</w:t>
      </w:r>
      <w:r w:rsidR="0089197F" w:rsidRPr="0089197F">
        <w:t xml:space="preserve"> </w:t>
      </w:r>
      <w:r w:rsidRPr="008549B7">
        <w:t>were not marked across arms, including the placebo arm</w:t>
      </w:r>
      <w:r w:rsidR="0054046F">
        <w:t xml:space="preserve">. </w:t>
      </w:r>
      <w:r w:rsidRPr="008549B7">
        <w:t>Analysis of severe AEs, serious AEs and discontinuations due to AEs revealed a benign safety profile</w:t>
      </w:r>
      <w:r w:rsidR="0054046F">
        <w:t xml:space="preserve">. </w:t>
      </w:r>
      <w:r w:rsidR="00E03BE7">
        <w:t xml:space="preserve">There was some evidence of dose </w:t>
      </w:r>
      <w:r w:rsidRPr="008549B7">
        <w:t xml:space="preserve">related increases in incidence of </w:t>
      </w:r>
      <w:r w:rsidRPr="006B3842">
        <w:t>arthralgia, headache, asthma and injection site reactions, based on pooled analysis (</w:t>
      </w:r>
      <w:r w:rsidR="00E03BE7">
        <w:t>see Attachment 2 section 8.3.1.</w:t>
      </w:r>
      <w:r w:rsidRPr="006B3842">
        <w:t>)</w:t>
      </w:r>
      <w:r w:rsidR="0054046F" w:rsidRPr="006B3842">
        <w:t xml:space="preserve">. </w:t>
      </w:r>
      <w:r w:rsidRPr="006B3842">
        <w:t xml:space="preserve">Elevated blood glucose was reported in two </w:t>
      </w:r>
      <w:r w:rsidR="00C82EE9">
        <w:t xml:space="preserve">subjects (7.4%) on </w:t>
      </w:r>
      <w:proofErr w:type="spellStart"/>
      <w:r w:rsidR="00C82EE9">
        <w:t>omalizumab</w:t>
      </w:r>
      <w:proofErr w:type="spellEnd"/>
      <w:r w:rsidR="00C82EE9">
        <w:t xml:space="preserve"> versus</w:t>
      </w:r>
      <w:r w:rsidRPr="006B3842">
        <w:t xml:space="preserve"> none on placebo in </w:t>
      </w:r>
      <w:r w:rsidR="008461C7">
        <w:t xml:space="preserve">Study </w:t>
      </w:r>
      <w:r w:rsidRPr="006B3842">
        <w:t>ADE05; biochemistry was not monitored in other studies</w:t>
      </w:r>
      <w:r w:rsidR="0054046F" w:rsidRPr="006B3842">
        <w:t xml:space="preserve">. </w:t>
      </w:r>
      <w:r w:rsidRPr="006B3842">
        <w:t xml:space="preserve">Across </w:t>
      </w:r>
      <w:r w:rsidR="00F978F0">
        <w:t>Phase</w:t>
      </w:r>
      <w:r w:rsidR="00E03BE7">
        <w:t xml:space="preserve"> III</w:t>
      </w:r>
      <w:r w:rsidRPr="006B3842">
        <w:t xml:space="preserve"> subjects the only serious AEs of </w:t>
      </w:r>
      <w:r w:rsidR="00C9768C" w:rsidRPr="00C9768C">
        <w:t>t</w:t>
      </w:r>
      <w:r w:rsidR="00C9768C">
        <w:t>ype 2 diabetes mellitu</w:t>
      </w:r>
      <w:r w:rsidR="00C9768C" w:rsidRPr="00C9768C">
        <w:t>s</w:t>
      </w:r>
      <w:r w:rsidRPr="00C9768C">
        <w:t xml:space="preserve"> </w:t>
      </w:r>
      <w:r w:rsidRPr="006B3842">
        <w:t>and hyperglycaemia were in the placebo arms.</w:t>
      </w:r>
    </w:p>
    <w:p w:rsidR="008549B7" w:rsidRPr="006B3842" w:rsidRDefault="008549B7" w:rsidP="006B3842">
      <w:r w:rsidRPr="006B3842">
        <w:t xml:space="preserve">A case </w:t>
      </w:r>
      <w:r w:rsidRPr="00A84115">
        <w:t xml:space="preserve">of </w:t>
      </w:r>
      <w:r w:rsidR="00A84115" w:rsidRPr="00A84115">
        <w:t xml:space="preserve">idiopathic </w:t>
      </w:r>
      <w:proofErr w:type="spellStart"/>
      <w:r w:rsidR="00A84115" w:rsidRPr="00A84115">
        <w:t>thrombocytopaenic</w:t>
      </w:r>
      <w:proofErr w:type="spellEnd"/>
      <w:r w:rsidR="00A84115" w:rsidRPr="00A84115">
        <w:t xml:space="preserve"> </w:t>
      </w:r>
      <w:proofErr w:type="spellStart"/>
      <w:r w:rsidR="00A84115" w:rsidRPr="00A84115">
        <w:t>purpura</w:t>
      </w:r>
      <w:proofErr w:type="spellEnd"/>
      <w:r w:rsidRPr="00A84115">
        <w:t xml:space="preserve"> developed in </w:t>
      </w:r>
      <w:r w:rsidRPr="006B3842">
        <w:t>a patient with baseline platelet level of 158 x10</w:t>
      </w:r>
      <w:r w:rsidRPr="00E03BE7">
        <w:rPr>
          <w:vertAlign w:val="superscript"/>
        </w:rPr>
        <w:t>9</w:t>
      </w:r>
      <w:r w:rsidRPr="006B3842">
        <w:t>/</w:t>
      </w:r>
      <w:proofErr w:type="spellStart"/>
      <w:r w:rsidRPr="006B3842">
        <w:t>mL.</w:t>
      </w:r>
      <w:proofErr w:type="spellEnd"/>
    </w:p>
    <w:p w:rsidR="008549B7" w:rsidRPr="006B3842" w:rsidRDefault="008549B7" w:rsidP="006B3842">
      <w:r w:rsidRPr="006B3842">
        <w:t>No new safety issues aro</w:t>
      </w:r>
      <w:r w:rsidR="00322E61" w:rsidRPr="006B3842">
        <w:t>se in the CIU study population.</w:t>
      </w:r>
    </w:p>
    <w:p w:rsidR="007B6132" w:rsidRPr="009E38B5" w:rsidRDefault="007B6132" w:rsidP="009E38B5">
      <w:pPr>
        <w:pStyle w:val="Heading4"/>
      </w:pPr>
      <w:r w:rsidRPr="009E38B5">
        <w:lastRenderedPageBreak/>
        <w:t>Clin</w:t>
      </w:r>
      <w:r w:rsidR="00A11A52" w:rsidRPr="009E38B5">
        <w:t>ical evaluator’s recommendation</w:t>
      </w:r>
    </w:p>
    <w:p w:rsidR="00322E61" w:rsidRPr="00322E61" w:rsidRDefault="009966C5" w:rsidP="00322E61">
      <w:r w:rsidRPr="009966C5">
        <w:t xml:space="preserve">The clinical evaluator has recommended approval of the new use. The response to issues raised in the consolidated TGA request for </w:t>
      </w:r>
      <w:r w:rsidR="00590E0E">
        <w:t xml:space="preserve">further </w:t>
      </w:r>
      <w:r w:rsidRPr="009966C5">
        <w:t xml:space="preserve">information </w:t>
      </w:r>
      <w:r w:rsidR="00590E0E">
        <w:t xml:space="preserve">from the sponsor </w:t>
      </w:r>
      <w:r w:rsidRPr="009966C5">
        <w:t>was considered in writing this overview.</w:t>
      </w:r>
    </w:p>
    <w:p w:rsidR="008E7846" w:rsidRPr="009E38B5" w:rsidRDefault="00386150" w:rsidP="009E38B5">
      <w:pPr>
        <w:pStyle w:val="Heading3"/>
      </w:pPr>
      <w:bookmarkStart w:id="164" w:name="_Toc426984870"/>
      <w:r w:rsidRPr="009E38B5">
        <w:t>Risk m</w:t>
      </w:r>
      <w:r w:rsidR="008E7846" w:rsidRPr="009E38B5">
        <w:t xml:space="preserve">anagement </w:t>
      </w:r>
      <w:r w:rsidRPr="009E38B5">
        <w:t>p</w:t>
      </w:r>
      <w:r w:rsidR="008E7846" w:rsidRPr="009E38B5">
        <w:t>lan</w:t>
      </w:r>
      <w:bookmarkEnd w:id="163"/>
      <w:bookmarkEnd w:id="164"/>
    </w:p>
    <w:p w:rsidR="008549B7" w:rsidRPr="006B3842" w:rsidRDefault="008549B7" w:rsidP="006B3842">
      <w:r w:rsidRPr="006B3842">
        <w:t xml:space="preserve">The RMP proposed by the sponsor was considered defective in some administrative aspects by the TGA’s </w:t>
      </w:r>
      <w:r w:rsidR="00590E0E" w:rsidRPr="00590E0E">
        <w:t>PMSB</w:t>
      </w:r>
      <w:r w:rsidR="00590E0E" w:rsidRPr="00590E0E" w:rsidDel="0063276A">
        <w:t xml:space="preserve"> </w:t>
      </w:r>
      <w:r w:rsidR="00590E0E" w:rsidRPr="00590E0E">
        <w:t xml:space="preserve">(see </w:t>
      </w:r>
      <w:r w:rsidR="00590E0E" w:rsidRPr="00590E0E">
        <w:rPr>
          <w:i/>
        </w:rPr>
        <w:t>Pharmacovigilance findings</w:t>
      </w:r>
      <w:r w:rsidR="00590E0E" w:rsidRPr="00590E0E">
        <w:t xml:space="preserve"> above).</w:t>
      </w:r>
    </w:p>
    <w:p w:rsidR="008549B7" w:rsidRPr="006B3842" w:rsidRDefault="008549B7" w:rsidP="006B3842">
      <w:r w:rsidRPr="006B3842">
        <w:t>The proposed wording for a condition of registration for the RMP is:</w:t>
      </w:r>
    </w:p>
    <w:p w:rsidR="008E7846" w:rsidRPr="006B3842" w:rsidRDefault="008549B7" w:rsidP="006B3842">
      <w:r w:rsidRPr="006B3842">
        <w:t>The European Risk Management Plan (Version 9.2, dated 16 January 2014), with an Australian Specific Annex (Version 2.0, dated 3 June 2014) to be amended as agreed by the TGA, must be implemented.</w:t>
      </w:r>
    </w:p>
    <w:p w:rsidR="00E434EF" w:rsidRPr="009E38B5" w:rsidRDefault="00E434EF" w:rsidP="009E38B5">
      <w:pPr>
        <w:pStyle w:val="Heading3"/>
      </w:pPr>
      <w:bookmarkStart w:id="165" w:name="_Toc426984871"/>
      <w:bookmarkStart w:id="166" w:name="_Toc247691531"/>
      <w:bookmarkStart w:id="167" w:name="_Toc314842515"/>
      <w:bookmarkStart w:id="168" w:name="_Toc196046505"/>
      <w:bookmarkStart w:id="169" w:name="_Toc196046949"/>
      <w:r w:rsidRPr="009E38B5">
        <w:t>Delegate’s considerations</w:t>
      </w:r>
      <w:bookmarkEnd w:id="165"/>
    </w:p>
    <w:p w:rsidR="008E7846" w:rsidRPr="009E38B5" w:rsidRDefault="00AA0ED0" w:rsidP="009E38B5">
      <w:pPr>
        <w:pStyle w:val="Heading4"/>
      </w:pPr>
      <w:r w:rsidRPr="009E38B5">
        <w:t>Risk-benefit a</w:t>
      </w:r>
      <w:r w:rsidR="008E7846" w:rsidRPr="009E38B5">
        <w:t>nalysis</w:t>
      </w:r>
      <w:bookmarkEnd w:id="166"/>
      <w:bookmarkEnd w:id="167"/>
    </w:p>
    <w:p w:rsidR="008549B7" w:rsidRPr="009E38B5" w:rsidRDefault="008549B7" w:rsidP="009E38B5">
      <w:pPr>
        <w:pStyle w:val="Heading5"/>
      </w:pPr>
      <w:r w:rsidRPr="009E38B5">
        <w:t>Efficacy</w:t>
      </w:r>
    </w:p>
    <w:p w:rsidR="008549B7" w:rsidRPr="006B3842" w:rsidRDefault="008549B7" w:rsidP="006B3842">
      <w:r w:rsidRPr="006B3842">
        <w:t>Clinically and statistically significant e</w:t>
      </w:r>
      <w:r w:rsidR="00590E0E">
        <w:t>fficacy advantages over placebo in the studied population</w:t>
      </w:r>
      <w:r w:rsidRPr="006B3842">
        <w:t xml:space="preserve"> have been reliably demonstrated in this clinical study program.</w:t>
      </w:r>
    </w:p>
    <w:p w:rsidR="008549B7" w:rsidRPr="00C82EE9" w:rsidRDefault="006B3842" w:rsidP="006B3842">
      <w:r w:rsidRPr="006B3842">
        <w:t>The Delegate</w:t>
      </w:r>
      <w:r w:rsidR="008549B7" w:rsidRPr="006B3842">
        <w:t xml:space="preserve"> accept</w:t>
      </w:r>
      <w:r w:rsidRPr="006B3842">
        <w:t>s</w:t>
      </w:r>
      <w:r w:rsidR="008549B7" w:rsidRPr="006B3842">
        <w:t xml:space="preserve"> the minimally important difference of 5/21 for the primary endpoint of weekly itch severity score, though </w:t>
      </w:r>
      <w:r w:rsidRPr="006B3842">
        <w:t>the Delegate</w:t>
      </w:r>
      <w:r w:rsidR="008549B7" w:rsidRPr="006B3842">
        <w:t xml:space="preserve"> note</w:t>
      </w:r>
      <w:r w:rsidRPr="006B3842">
        <w:t>s that</w:t>
      </w:r>
      <w:r w:rsidR="00CF26D7">
        <w:t xml:space="preserve"> the cited paper </w:t>
      </w:r>
      <w:r>
        <w:rPr>
          <w:rStyle w:val="FootnoteReference"/>
        </w:rPr>
        <w:footnoteReference w:id="14"/>
      </w:r>
      <w:r w:rsidR="008549B7" w:rsidRPr="006B3842">
        <w:t xml:space="preserve"> was co-written by a Genentech employee based on results from </w:t>
      </w:r>
      <w:r w:rsidR="00DF0640">
        <w:t>Study 4577g</w:t>
      </w:r>
      <w:r w:rsidR="0054046F" w:rsidRPr="006B3842">
        <w:t xml:space="preserve">. </w:t>
      </w:r>
      <w:r w:rsidR="008549B7" w:rsidRPr="006B3842">
        <w:t>Les</w:t>
      </w:r>
      <w:r w:rsidRPr="006B3842">
        <w:t xml:space="preserve">s controvertible is the placebo </w:t>
      </w:r>
      <w:r w:rsidR="008549B7" w:rsidRPr="006B3842">
        <w:t xml:space="preserve">corrected proportion of patients achieving complete resolution of itches and hives </w:t>
      </w:r>
      <w:r w:rsidR="008549B7" w:rsidRPr="00C82EE9">
        <w:t xml:space="preserve">(CER </w:t>
      </w:r>
      <w:r w:rsidR="00C349BE" w:rsidRPr="00C82EE9">
        <w:t xml:space="preserve">extract </w:t>
      </w:r>
      <w:r w:rsidR="008549B7" w:rsidRPr="00C82EE9">
        <w:t>page</w:t>
      </w:r>
      <w:r w:rsidR="00C349BE" w:rsidRPr="00C82EE9">
        <w:t>s</w:t>
      </w:r>
      <w:r w:rsidR="008549B7" w:rsidRPr="00C82EE9">
        <w:t xml:space="preserve"> </w:t>
      </w:r>
      <w:r w:rsidR="00A84115" w:rsidRPr="00C82EE9">
        <w:t>43-45</w:t>
      </w:r>
      <w:r w:rsidR="00C349BE" w:rsidRPr="00C82EE9">
        <w:t>– see Attachment 2</w:t>
      </w:r>
      <w:r w:rsidR="008549B7" w:rsidRPr="00C82EE9">
        <w:t>).</w:t>
      </w:r>
    </w:p>
    <w:p w:rsidR="008549B7" w:rsidRPr="006B3842" w:rsidRDefault="008549B7" w:rsidP="006B3842">
      <w:proofErr w:type="spellStart"/>
      <w:r w:rsidRPr="006B3842">
        <w:t>Omalizumab</w:t>
      </w:r>
      <w:proofErr w:type="spellEnd"/>
      <w:r w:rsidRPr="006B3842">
        <w:t xml:space="preserve"> does not cure or permanently modify underlying disease, as symptoms return on treatment cessation</w:t>
      </w:r>
      <w:r w:rsidR="0054046F" w:rsidRPr="006B3842">
        <w:t xml:space="preserve">. </w:t>
      </w:r>
      <w:r w:rsidR="00A84115">
        <w:t>In the three</w:t>
      </w:r>
      <w:r w:rsidRPr="006B3842">
        <w:t xml:space="preserve"> dose </w:t>
      </w:r>
      <w:r w:rsidR="00DF0640">
        <w:t>4882g</w:t>
      </w:r>
      <w:r w:rsidRPr="006B3842">
        <w:t xml:space="preserve"> study there was evidence of a slight rebound </w:t>
      </w:r>
      <w:r w:rsidRPr="00E101FB">
        <w:t>effect (see</w:t>
      </w:r>
      <w:r w:rsidR="00E101FB" w:rsidRPr="00E101FB">
        <w:t xml:space="preserve"> above </w:t>
      </w:r>
      <w:r w:rsidR="00A873FA" w:rsidRPr="00E101FB">
        <w:t>Delegate</w:t>
      </w:r>
      <w:r w:rsidR="00E101FB" w:rsidRPr="00E101FB">
        <w:t>’</w:t>
      </w:r>
      <w:r w:rsidR="00A873FA" w:rsidRPr="00E101FB">
        <w:t xml:space="preserve">s comments regarding </w:t>
      </w:r>
      <w:r w:rsidR="00E101FB" w:rsidRPr="00E101FB">
        <w:t>rebound effect in Studies 4881g, 4882g and 4883g</w:t>
      </w:r>
      <w:r w:rsidRPr="00E101FB">
        <w:t>).</w:t>
      </w:r>
    </w:p>
    <w:p w:rsidR="008549B7" w:rsidRPr="006B3842" w:rsidRDefault="008549B7" w:rsidP="006B3842">
      <w:r w:rsidRPr="006B3842">
        <w:t>The proposed PI co</w:t>
      </w:r>
      <w:r w:rsidR="00A11A52">
        <w:t>untenances use of 150 mg dosing</w:t>
      </w:r>
      <w:r w:rsidRPr="006B3842">
        <w:t xml:space="preserve"> and there is reasonable efficacy at this dose level though more consistent results were obtained in 300 mg arms</w:t>
      </w:r>
      <w:r w:rsidR="0054046F" w:rsidRPr="006B3842">
        <w:t xml:space="preserve">. </w:t>
      </w:r>
      <w:r w:rsidRPr="006B3842">
        <w:t xml:space="preserve">Only simulations were offered to </w:t>
      </w:r>
      <w:r w:rsidR="00CF26D7">
        <w:t xml:space="preserve">inform decision </w:t>
      </w:r>
      <w:r w:rsidR="00BC7668">
        <w:t>making about up or down</w:t>
      </w:r>
      <w:r w:rsidRPr="006B3842">
        <w:t xml:space="preserve"> dose titration</w:t>
      </w:r>
      <w:r w:rsidR="0054046F" w:rsidRPr="00BC7668">
        <w:t xml:space="preserve">. </w:t>
      </w:r>
      <w:r w:rsidRPr="006B3842">
        <w:t xml:space="preserve">Since dosing is limited to 150 mg </w:t>
      </w:r>
      <w:r w:rsidR="00CF26D7">
        <w:t>at any one site of SC injection</w:t>
      </w:r>
      <w:r w:rsidRPr="006B3842">
        <w:t xml:space="preserve"> and since SC injection may be an obstacle to effective use of 300 mg dosing in some patients, </w:t>
      </w:r>
      <w:r w:rsidR="00BC7668">
        <w:t>the Delegate comments that</w:t>
      </w:r>
      <w:r w:rsidRPr="006B3842">
        <w:t xml:space="preserve"> it is reasonable that the PI recommends the option of 150 mg dosing.</w:t>
      </w:r>
    </w:p>
    <w:p w:rsidR="008549B7" w:rsidRPr="009E38B5" w:rsidRDefault="008549B7" w:rsidP="009E38B5">
      <w:pPr>
        <w:pStyle w:val="Heading4"/>
      </w:pPr>
      <w:r w:rsidRPr="009E38B5">
        <w:t>Safety</w:t>
      </w:r>
    </w:p>
    <w:p w:rsidR="008549B7" w:rsidRPr="006B3842" w:rsidRDefault="008549B7" w:rsidP="006B3842">
      <w:r w:rsidRPr="006B3842">
        <w:t xml:space="preserve">Safety in CIU is good to 6 months (given the relatively small increase in AEs </w:t>
      </w:r>
      <w:r w:rsidR="006B3842" w:rsidRPr="006B3842">
        <w:t>versus</w:t>
      </w:r>
      <w:r w:rsidRPr="006B3842">
        <w:t xml:space="preserve"> placebo).</w:t>
      </w:r>
    </w:p>
    <w:p w:rsidR="008549B7" w:rsidRPr="006B3842" w:rsidRDefault="008549B7" w:rsidP="006B3842">
      <w:r w:rsidRPr="006B3842">
        <w:t>Safety d</w:t>
      </w:r>
      <w:r w:rsidR="00C82EE9">
        <w:t xml:space="preserve">ata are very limited for longer </w:t>
      </w:r>
      <w:r w:rsidRPr="006B3842">
        <w:t>term use, so absence of positive signals for some previously flagged rare but serious AEs (</w:t>
      </w:r>
      <w:r w:rsidR="006B3842" w:rsidRPr="006B3842">
        <w:t>for example,</w:t>
      </w:r>
      <w:r w:rsidRPr="006B3842">
        <w:t xml:space="preserve"> malignancy; cardiovascular disease) cannot provide reassurance that these issues will not emerge after marketing in CIU.</w:t>
      </w:r>
    </w:p>
    <w:p w:rsidR="008549B7" w:rsidRPr="009E38B5" w:rsidRDefault="008549B7" w:rsidP="009E38B5">
      <w:pPr>
        <w:pStyle w:val="Heading4"/>
      </w:pPr>
      <w:r w:rsidRPr="009E38B5">
        <w:lastRenderedPageBreak/>
        <w:t>Indication – severe, refractory nature of disease</w:t>
      </w:r>
    </w:p>
    <w:p w:rsidR="008549B7" w:rsidRPr="006B3842" w:rsidRDefault="008549B7" w:rsidP="006B3842">
      <w:r w:rsidRPr="006B3842">
        <w:t>In the pivotal studies, subjects had severe, refractory disease</w:t>
      </w:r>
      <w:r w:rsidR="0054046F" w:rsidRPr="006B3842">
        <w:t xml:space="preserve">. </w:t>
      </w:r>
      <w:r w:rsidRPr="006B3842">
        <w:t>The sponsor’s Clinical Overview states:</w:t>
      </w:r>
    </w:p>
    <w:p w:rsidR="008549B7" w:rsidRPr="00BC7668" w:rsidRDefault="00BC7668" w:rsidP="0020126C">
      <w:pPr>
        <w:ind w:left="720"/>
        <w:rPr>
          <w:i/>
        </w:rPr>
      </w:pPr>
      <w:r>
        <w:rPr>
          <w:i/>
        </w:rPr>
        <w:t>‘</w:t>
      </w:r>
      <w:r w:rsidR="008549B7" w:rsidRPr="00BC7668">
        <w:rPr>
          <w:i/>
        </w:rPr>
        <w:t>To ensure the population had severe refractory CSU</w:t>
      </w:r>
      <w:r w:rsidR="000C0B04">
        <w:rPr>
          <w:i/>
        </w:rPr>
        <w:t xml:space="preserve"> </w:t>
      </w:r>
      <w:r w:rsidR="008549B7" w:rsidRPr="00BC7668">
        <w:rPr>
          <w:i/>
        </w:rPr>
        <w:t xml:space="preserve">in the pivotal efficacy studies Q4881g and Q4882g, patients were required to have had a CSU diagnosis for ≥ 6 months, and significant symptoms despite treatment with approved-dose H1 antihistamines for </w:t>
      </w:r>
      <w:r w:rsidR="006B3842" w:rsidRPr="00BC7668">
        <w:rPr>
          <w:i/>
        </w:rPr>
        <w:t>≥</w:t>
      </w:r>
      <w:r w:rsidR="008549B7" w:rsidRPr="00BC7668">
        <w:rPr>
          <w:i/>
        </w:rPr>
        <w:t xml:space="preserve"> 8 weeks. Symptoms of itch and hives had to be present for ≥ 8 consecutive weeks at any time prior to </w:t>
      </w:r>
      <w:r w:rsidRPr="00BC7668">
        <w:rPr>
          <w:i/>
        </w:rPr>
        <w:t>enrolment</w:t>
      </w:r>
      <w:r w:rsidR="008549B7" w:rsidRPr="00BC7668">
        <w:rPr>
          <w:i/>
        </w:rPr>
        <w:t xml:space="preserve">, and a UAS7 score of ≥ 16 and itch component of UAS7 ≥ 8 during the 7 days prior to randomization. Study Q4883g required a CSU diagnosis for ≥ 6 months and to be refractory to treatment with a combination of H1 antihistamines up to four times the approved dose, and one or both of H2 antihistamines, and/or </w:t>
      </w:r>
      <w:r w:rsidR="00C109C5" w:rsidRPr="00C109C5">
        <w:rPr>
          <w:i/>
        </w:rPr>
        <w:t>Leukotriene Receptor Antagonist</w:t>
      </w:r>
      <w:r w:rsidR="00C109C5">
        <w:rPr>
          <w:i/>
        </w:rPr>
        <w:t>s</w:t>
      </w:r>
      <w:r w:rsidR="00C109C5" w:rsidRPr="00C109C5">
        <w:rPr>
          <w:i/>
        </w:rPr>
        <w:t xml:space="preserve"> </w:t>
      </w:r>
      <w:r w:rsidR="00C109C5">
        <w:rPr>
          <w:i/>
        </w:rPr>
        <w:t>(</w:t>
      </w:r>
      <w:r w:rsidR="008549B7" w:rsidRPr="00BC7668">
        <w:rPr>
          <w:i/>
        </w:rPr>
        <w:t>LTRAs</w:t>
      </w:r>
      <w:r w:rsidR="00C109C5">
        <w:rPr>
          <w:i/>
        </w:rPr>
        <w:t>)</w:t>
      </w:r>
      <w:r w:rsidR="008549B7" w:rsidRPr="00BC7668">
        <w:rPr>
          <w:i/>
        </w:rPr>
        <w:t xml:space="preserve"> (all received for &gt;</w:t>
      </w:r>
      <w:r w:rsidR="00AF2048">
        <w:rPr>
          <w:i/>
        </w:rPr>
        <w:t xml:space="preserve"> </w:t>
      </w:r>
      <w:r w:rsidR="008549B7" w:rsidRPr="00BC7668">
        <w:rPr>
          <w:i/>
        </w:rPr>
        <w:t>6 weeks). Symptoms of itch and hives had to be present for &gt;</w:t>
      </w:r>
      <w:r w:rsidR="00AF2048">
        <w:rPr>
          <w:i/>
        </w:rPr>
        <w:t xml:space="preserve"> </w:t>
      </w:r>
      <w:r w:rsidR="008549B7" w:rsidRPr="00BC7668">
        <w:rPr>
          <w:i/>
        </w:rPr>
        <w:t>6 consecutive weeks at any time prior to enrolment as well as fulfilling the above UAS criteria. Patients with associated angioedema were enrolled in all 3 studies.</w:t>
      </w:r>
    </w:p>
    <w:p w:rsidR="008549B7" w:rsidRPr="00BC7668" w:rsidRDefault="008549B7" w:rsidP="00BC7668">
      <w:pPr>
        <w:ind w:left="720"/>
        <w:rPr>
          <w:rFonts w:asciiTheme="minorHAnsi" w:eastAsiaTheme="minorHAnsi" w:hAnsiTheme="minorHAnsi" w:cs="TimesNewRoman"/>
          <w:i/>
        </w:rPr>
      </w:pPr>
      <w:r w:rsidRPr="00BC7668">
        <w:rPr>
          <w:i/>
        </w:rPr>
        <w:t>It should be noted that the actual clinical severity of the patient population recruited into the program significantly exceeded the CSU severity entry</w:t>
      </w:r>
      <w:r w:rsidRPr="00BC7668">
        <w:rPr>
          <w:rFonts w:asciiTheme="minorHAnsi" w:eastAsiaTheme="minorHAnsi" w:hAnsiTheme="minorHAnsi" w:cs="TimesNewRoman"/>
          <w:i/>
        </w:rPr>
        <w:t xml:space="preserve"> criteria cited here.</w:t>
      </w:r>
      <w:r w:rsidR="00BC7668">
        <w:rPr>
          <w:rFonts w:asciiTheme="minorHAnsi" w:eastAsiaTheme="minorHAnsi" w:hAnsiTheme="minorHAnsi" w:cs="TimesNewRoman"/>
          <w:i/>
        </w:rPr>
        <w:t>’</w:t>
      </w:r>
    </w:p>
    <w:p w:rsidR="008549B7" w:rsidRPr="006B3842" w:rsidRDefault="008549B7" w:rsidP="006B3842">
      <w:r w:rsidRPr="006B3842">
        <w:t>Given the severity of CIU stu</w:t>
      </w:r>
      <w:r w:rsidR="00CF26D7">
        <w:t xml:space="preserve">died in the </w:t>
      </w:r>
      <w:proofErr w:type="spellStart"/>
      <w:r w:rsidR="00CF26D7">
        <w:t>omalizumab</w:t>
      </w:r>
      <w:proofErr w:type="spellEnd"/>
      <w:r w:rsidR="00CF26D7">
        <w:t xml:space="preserve"> program</w:t>
      </w:r>
      <w:r w:rsidRPr="006B3842">
        <w:t xml:space="preserve">, the proposed wording of the indication might invite use in patients with less </w:t>
      </w:r>
      <w:r w:rsidR="00C82EE9">
        <w:t>severe disease, where benefit/</w:t>
      </w:r>
      <w:r w:rsidRPr="006B3842">
        <w:t>risk has not been studied</w:t>
      </w:r>
      <w:r w:rsidR="0054046F" w:rsidRPr="006B3842">
        <w:t xml:space="preserve">. </w:t>
      </w:r>
      <w:r w:rsidR="0020126C">
        <w:t>The Delegate</w:t>
      </w:r>
      <w:r w:rsidRPr="006B3842">
        <w:t xml:space="preserve"> consider</w:t>
      </w:r>
      <w:r w:rsidR="0020126C">
        <w:t>ed</w:t>
      </w:r>
      <w:r w:rsidRPr="006B3842">
        <w:t xml:space="preserve"> that inclusion of the requirement for ‘</w:t>
      </w:r>
      <w:r w:rsidRPr="00AF2048">
        <w:rPr>
          <w:i/>
        </w:rPr>
        <w:t>failure of H1 antihistamines</w:t>
      </w:r>
      <w:r w:rsidRPr="006B3842">
        <w:t xml:space="preserve">’ </w:t>
      </w:r>
      <w:r w:rsidR="00CF26D7">
        <w:t>offsets this risk sufficiently</w:t>
      </w:r>
      <w:r w:rsidRPr="006B3842">
        <w:t xml:space="preserve"> </w:t>
      </w:r>
      <w:r w:rsidR="0020126C">
        <w:t>and it</w:t>
      </w:r>
      <w:r w:rsidRPr="006B3842">
        <w:t xml:space="preserve"> signals that the treatmen</w:t>
      </w:r>
      <w:r w:rsidR="0020126C">
        <w:t xml:space="preserve">t is not appropriate as a first </w:t>
      </w:r>
      <w:r w:rsidRPr="006B3842">
        <w:t>line therapy in CIU</w:t>
      </w:r>
      <w:r w:rsidR="0054046F" w:rsidRPr="006B3842">
        <w:t xml:space="preserve">. </w:t>
      </w:r>
      <w:r w:rsidRPr="006B3842">
        <w:t>Also, there was no particular safety signal in the studied population, making the consequences of extrapolation of use to CIU subjects with less severe disease less concerning.</w:t>
      </w:r>
    </w:p>
    <w:p w:rsidR="008549B7" w:rsidRPr="006B3842" w:rsidRDefault="008549B7" w:rsidP="006B3842">
      <w:r w:rsidRPr="006B3842">
        <w:t xml:space="preserve">On reading the proposed indication, it is open to interpretation as to whether patients should fail on high dose H1 antihistamines before trialling </w:t>
      </w:r>
      <w:proofErr w:type="spellStart"/>
      <w:r w:rsidRPr="006B3842">
        <w:t>omalizumab</w:t>
      </w:r>
      <w:proofErr w:type="spellEnd"/>
      <w:r w:rsidR="0054046F" w:rsidRPr="006B3842">
        <w:t xml:space="preserve">. </w:t>
      </w:r>
      <w:r w:rsidRPr="006B3842">
        <w:t>Regarding key trials, the sponsor writes:</w:t>
      </w:r>
    </w:p>
    <w:p w:rsidR="008549B7" w:rsidRPr="00BC7668" w:rsidRDefault="00BC7668" w:rsidP="00BC7668">
      <w:pPr>
        <w:ind w:left="720"/>
        <w:rPr>
          <w:i/>
        </w:rPr>
      </w:pPr>
      <w:r>
        <w:rPr>
          <w:i/>
        </w:rPr>
        <w:t>‘</w:t>
      </w:r>
      <w:r w:rsidR="008549B7" w:rsidRPr="00BC7668">
        <w:rPr>
          <w:i/>
        </w:rPr>
        <w:t xml:space="preserve">To enter Studies Q4881g and Q4882g, patients had to be refractory to treatment with H1 antihistamines at currently approved doses, but most of the patients had previously failed at least 4 other CSU therapies. The patients in Study Q4883g were refractory to treatment with a combination </w:t>
      </w:r>
      <w:r w:rsidR="007602F1">
        <w:rPr>
          <w:i/>
        </w:rPr>
        <w:t xml:space="preserve">of H1 antihistamines at up to 4 </w:t>
      </w:r>
      <w:r w:rsidR="008549B7" w:rsidRPr="00BC7668">
        <w:rPr>
          <w:i/>
        </w:rPr>
        <w:t>fold licensed doses, H2 blockers, and/or LTRAs.</w:t>
      </w:r>
      <w:r>
        <w:rPr>
          <w:i/>
        </w:rPr>
        <w:t>’</w:t>
      </w:r>
    </w:p>
    <w:p w:rsidR="008549B7" w:rsidRPr="006B3842" w:rsidRDefault="008549B7" w:rsidP="006B3842">
      <w:r w:rsidRPr="006B3842">
        <w:t>About 16% of patients ha</w:t>
      </w:r>
      <w:r w:rsidR="00BC7668">
        <w:t xml:space="preserve">d failed H1 antihistamines at 4 </w:t>
      </w:r>
      <w:r w:rsidR="00CF26D7">
        <w:t>times the</w:t>
      </w:r>
      <w:r w:rsidRPr="006B3842">
        <w:t xml:space="preserve"> licensed doses in Q4883g; about 37% had failed standard doses</w:t>
      </w:r>
      <w:r w:rsidR="0054046F" w:rsidRPr="006B3842">
        <w:t xml:space="preserve">. </w:t>
      </w:r>
      <w:r w:rsidRPr="006B3842">
        <w:t xml:space="preserve">Across </w:t>
      </w:r>
      <w:r w:rsidR="00F978F0">
        <w:t>Phase</w:t>
      </w:r>
      <w:r w:rsidR="00BC7668">
        <w:t xml:space="preserve"> III</w:t>
      </w:r>
      <w:r w:rsidRPr="006B3842">
        <w:t xml:space="preserve"> studies, this suggests </w:t>
      </w:r>
      <w:proofErr w:type="spellStart"/>
      <w:r w:rsidRPr="006B3842">
        <w:t>omalizumab</w:t>
      </w:r>
      <w:proofErr w:type="spellEnd"/>
      <w:r w:rsidRPr="006B3842">
        <w:t xml:space="preserve"> has mostly been assessed in patients failing standard doses of antihistamines</w:t>
      </w:r>
      <w:r w:rsidR="0054046F" w:rsidRPr="006B3842">
        <w:t xml:space="preserve">. </w:t>
      </w:r>
      <w:r w:rsidRPr="006B3842">
        <w:t>It is not clear that there is a much increased response to H1 ant</w:t>
      </w:r>
      <w:r w:rsidR="0020126C">
        <w:t>ihistamines with use of the non-</w:t>
      </w:r>
      <w:r w:rsidRPr="006B3842">
        <w:t>standard (higher) doses</w:t>
      </w:r>
      <w:r w:rsidR="0054046F" w:rsidRPr="006B3842">
        <w:t xml:space="preserve">. </w:t>
      </w:r>
      <w:r w:rsidRPr="006B3842">
        <w:t>The sponsor’s proposed wording is acceptable in this regard, especially since it might be problematic to propos</w:t>
      </w:r>
      <w:r w:rsidR="007602F1">
        <w:t xml:space="preserve">e use only after failure of off </w:t>
      </w:r>
      <w:r w:rsidRPr="006B3842">
        <w:t>label h</w:t>
      </w:r>
      <w:r w:rsidR="00BC7668">
        <w:t>igh doses of H1 antihistamines.</w:t>
      </w:r>
    </w:p>
    <w:p w:rsidR="008549B7" w:rsidRPr="009E38B5" w:rsidRDefault="007602F1" w:rsidP="009E38B5">
      <w:pPr>
        <w:pStyle w:val="Heading4"/>
      </w:pPr>
      <w:r w:rsidRPr="009E38B5">
        <w:t>Indication;</w:t>
      </w:r>
      <w:r w:rsidR="008549B7" w:rsidRPr="009E38B5">
        <w:t xml:space="preserve"> terminology</w:t>
      </w:r>
    </w:p>
    <w:p w:rsidR="008549B7" w:rsidRPr="006B3842" w:rsidRDefault="008549B7" w:rsidP="006B3842">
      <w:r w:rsidRPr="006B3842">
        <w:t xml:space="preserve">The </w:t>
      </w:r>
      <w:r w:rsidR="008773D3">
        <w:t xml:space="preserve">sponsor’s </w:t>
      </w:r>
      <w:r w:rsidRPr="006B3842">
        <w:t>Clinical Overview states:</w:t>
      </w:r>
    </w:p>
    <w:p w:rsidR="008549B7" w:rsidRPr="00BC7668" w:rsidRDefault="008549B7" w:rsidP="00BC7668">
      <w:pPr>
        <w:ind w:left="720"/>
        <w:rPr>
          <w:i/>
        </w:rPr>
      </w:pPr>
      <w:r w:rsidRPr="00BC7668">
        <w:rPr>
          <w:i/>
        </w:rPr>
        <w:t xml:space="preserve">The proposed indication uses the term CSU (as opposed to chronic idiopathic </w:t>
      </w:r>
      <w:proofErr w:type="spellStart"/>
      <w:r w:rsidRPr="00BC7668">
        <w:rPr>
          <w:i/>
        </w:rPr>
        <w:t>urticaria</w:t>
      </w:r>
      <w:proofErr w:type="spellEnd"/>
      <w:r w:rsidRPr="00BC7668">
        <w:rPr>
          <w:i/>
        </w:rPr>
        <w:t xml:space="preserve"> or CIU) in accordance with recent guidelines published by the European Academy of </w:t>
      </w:r>
      <w:proofErr w:type="spellStart"/>
      <w:r w:rsidRPr="00BC7668">
        <w:rPr>
          <w:i/>
        </w:rPr>
        <w:t>Allergology</w:t>
      </w:r>
      <w:proofErr w:type="spellEnd"/>
      <w:r w:rsidRPr="00BC7668">
        <w:rPr>
          <w:i/>
        </w:rPr>
        <w:t xml:space="preserve"> and Clinical Immunology (EAACI</w:t>
      </w:r>
      <w:proofErr w:type="gramStart"/>
      <w:r w:rsidRPr="00BC7668">
        <w:rPr>
          <w:i/>
        </w:rPr>
        <w:t>)</w:t>
      </w:r>
      <w:proofErr w:type="gramEnd"/>
      <w:r w:rsidR="0020126C" w:rsidRPr="0020126C">
        <w:rPr>
          <w:i/>
          <w:vertAlign w:val="superscript"/>
        </w:rPr>
        <w:fldChar w:fldCharType="begin"/>
      </w:r>
      <w:r w:rsidR="0020126C" w:rsidRPr="0020126C">
        <w:rPr>
          <w:i/>
          <w:vertAlign w:val="superscript"/>
        </w:rPr>
        <w:instrText xml:space="preserve"> NOTEREF _Ref420507470 \h </w:instrText>
      </w:r>
      <w:r w:rsidR="0020126C">
        <w:rPr>
          <w:i/>
          <w:vertAlign w:val="superscript"/>
        </w:rPr>
        <w:instrText xml:space="preserve"> \* MERGEFORMAT </w:instrText>
      </w:r>
      <w:r w:rsidR="0020126C" w:rsidRPr="0020126C">
        <w:rPr>
          <w:i/>
          <w:vertAlign w:val="superscript"/>
        </w:rPr>
      </w:r>
      <w:r w:rsidR="0020126C" w:rsidRPr="0020126C">
        <w:rPr>
          <w:i/>
          <w:vertAlign w:val="superscript"/>
        </w:rPr>
        <w:fldChar w:fldCharType="separate"/>
      </w:r>
      <w:r w:rsidR="00A873FA">
        <w:rPr>
          <w:i/>
          <w:vertAlign w:val="superscript"/>
        </w:rPr>
        <w:t>3</w:t>
      </w:r>
      <w:r w:rsidR="0020126C" w:rsidRPr="0020126C">
        <w:rPr>
          <w:i/>
          <w:vertAlign w:val="superscript"/>
        </w:rPr>
        <w:fldChar w:fldCharType="end"/>
      </w:r>
      <w:r w:rsidR="0020126C" w:rsidRPr="0020126C">
        <w:rPr>
          <w:i/>
          <w:vertAlign w:val="superscript"/>
        </w:rPr>
        <w:t>,</w:t>
      </w:r>
      <w:r w:rsidR="0020126C" w:rsidRPr="0020126C">
        <w:rPr>
          <w:i/>
          <w:vertAlign w:val="superscript"/>
        </w:rPr>
        <w:fldChar w:fldCharType="begin"/>
      </w:r>
      <w:r w:rsidR="0020126C" w:rsidRPr="0020126C">
        <w:rPr>
          <w:i/>
          <w:vertAlign w:val="superscript"/>
        </w:rPr>
        <w:instrText xml:space="preserve"> NOTEREF _Ref420507326 \h </w:instrText>
      </w:r>
      <w:r w:rsidR="0020126C">
        <w:rPr>
          <w:i/>
          <w:vertAlign w:val="superscript"/>
        </w:rPr>
        <w:instrText xml:space="preserve"> \* MERGEFORMAT </w:instrText>
      </w:r>
      <w:r w:rsidR="0020126C" w:rsidRPr="0020126C">
        <w:rPr>
          <w:i/>
          <w:vertAlign w:val="superscript"/>
        </w:rPr>
      </w:r>
      <w:r w:rsidR="0020126C" w:rsidRPr="0020126C">
        <w:rPr>
          <w:i/>
          <w:vertAlign w:val="superscript"/>
        </w:rPr>
        <w:fldChar w:fldCharType="separate"/>
      </w:r>
      <w:r w:rsidR="00A873FA">
        <w:rPr>
          <w:i/>
          <w:vertAlign w:val="superscript"/>
        </w:rPr>
        <w:t>4</w:t>
      </w:r>
      <w:r w:rsidR="0020126C" w:rsidRPr="0020126C">
        <w:rPr>
          <w:i/>
          <w:vertAlign w:val="superscript"/>
        </w:rPr>
        <w:fldChar w:fldCharType="end"/>
      </w:r>
      <w:r w:rsidRPr="0020126C">
        <w:rPr>
          <w:i/>
          <w:vertAlign w:val="superscript"/>
        </w:rPr>
        <w:t xml:space="preserve"> </w:t>
      </w:r>
      <w:r w:rsidRPr="00BC7668">
        <w:rPr>
          <w:i/>
        </w:rPr>
        <w:t xml:space="preserve">. The term chronic idiopathic </w:t>
      </w:r>
      <w:proofErr w:type="spellStart"/>
      <w:r w:rsidRPr="00BC7668">
        <w:rPr>
          <w:i/>
        </w:rPr>
        <w:t>urticaria</w:t>
      </w:r>
      <w:proofErr w:type="spellEnd"/>
      <w:r w:rsidRPr="00BC7668">
        <w:rPr>
          <w:i/>
        </w:rPr>
        <w:t xml:space="preserve"> (CIU) was originally essentially synonymous with CSU</w:t>
      </w:r>
      <w:r w:rsidR="000B174B">
        <w:rPr>
          <w:rStyle w:val="FootnoteReference"/>
          <w:i/>
        </w:rPr>
        <w:footnoteReference w:id="15"/>
      </w:r>
      <w:r w:rsidRPr="00BC7668">
        <w:rPr>
          <w:i/>
        </w:rPr>
        <w:t xml:space="preserve">, but is now reserved for patients with truly idiopathic </w:t>
      </w:r>
      <w:r w:rsidR="007602F1" w:rsidRPr="00BC7668">
        <w:rPr>
          <w:i/>
        </w:rPr>
        <w:t>aetiology</w:t>
      </w:r>
      <w:r w:rsidRPr="00BC7668">
        <w:rPr>
          <w:i/>
        </w:rPr>
        <w:t xml:space="preserve">. The term CSU is broader </w:t>
      </w:r>
      <w:r w:rsidRPr="00BC7668">
        <w:rPr>
          <w:i/>
        </w:rPr>
        <w:lastRenderedPageBreak/>
        <w:t>and inc</w:t>
      </w:r>
      <w:r w:rsidR="0020126C">
        <w:rPr>
          <w:i/>
        </w:rPr>
        <w:t xml:space="preserve">ludes patients with a known auto </w:t>
      </w:r>
      <w:r w:rsidRPr="00BC7668">
        <w:rPr>
          <w:i/>
        </w:rPr>
        <w:t xml:space="preserve">antibody or prior infection-related chronic </w:t>
      </w:r>
      <w:proofErr w:type="spellStart"/>
      <w:r w:rsidRPr="00BC7668">
        <w:rPr>
          <w:i/>
        </w:rPr>
        <w:t>urticaria</w:t>
      </w:r>
      <w:proofErr w:type="spellEnd"/>
      <w:r w:rsidRPr="00BC7668">
        <w:rPr>
          <w:i/>
        </w:rPr>
        <w:t xml:space="preserve"> who are not now considered ‘idiopathic’, as they do have a known trigger. Thus, in this new cla</w:t>
      </w:r>
      <w:r w:rsidR="0020126C">
        <w:rPr>
          <w:i/>
        </w:rPr>
        <w:t xml:space="preserve">ssification, CSU covers all </w:t>
      </w:r>
      <w:proofErr w:type="spellStart"/>
      <w:r w:rsidR="0020126C">
        <w:rPr>
          <w:i/>
        </w:rPr>
        <w:t xml:space="preserve">non </w:t>
      </w:r>
      <w:r w:rsidRPr="00BC7668">
        <w:rPr>
          <w:i/>
        </w:rPr>
        <w:t>inducible</w:t>
      </w:r>
      <w:proofErr w:type="spellEnd"/>
      <w:r w:rsidRPr="00BC7668">
        <w:rPr>
          <w:i/>
        </w:rPr>
        <w:t xml:space="preserve"> chronic </w:t>
      </w:r>
      <w:proofErr w:type="spellStart"/>
      <w:r w:rsidRPr="00BC7668">
        <w:rPr>
          <w:i/>
        </w:rPr>
        <w:t>urticaria</w:t>
      </w:r>
      <w:proofErr w:type="spellEnd"/>
      <w:r w:rsidRPr="00BC7668">
        <w:rPr>
          <w:i/>
        </w:rPr>
        <w:t xml:space="preserve"> with CIU (of unknown trigger) being a subset of it. As the population studied in the </w:t>
      </w:r>
      <w:proofErr w:type="spellStart"/>
      <w:r w:rsidRPr="00BC7668">
        <w:rPr>
          <w:i/>
        </w:rPr>
        <w:t>omalizumab</w:t>
      </w:r>
      <w:proofErr w:type="spellEnd"/>
      <w:r w:rsidRPr="00BC7668">
        <w:rPr>
          <w:i/>
        </w:rPr>
        <w:t xml:space="preserve"> clinical stud</w:t>
      </w:r>
      <w:r w:rsidR="0020126C">
        <w:rPr>
          <w:i/>
        </w:rPr>
        <w:t xml:space="preserve">ies included patients with auto </w:t>
      </w:r>
      <w:r w:rsidRPr="00BC7668">
        <w:rPr>
          <w:i/>
        </w:rPr>
        <w:t>antibodies (all were tested at baseline), the term CSU most accurately reflects the study population and intended use</w:t>
      </w:r>
      <w:r w:rsidR="007602F1">
        <w:rPr>
          <w:i/>
        </w:rPr>
        <w:t>.</w:t>
      </w:r>
    </w:p>
    <w:p w:rsidR="008549B7" w:rsidRPr="006B3842" w:rsidRDefault="008549B7" w:rsidP="006B3842">
      <w:r w:rsidRPr="006B3842">
        <w:t xml:space="preserve">The Australian sponsor proposes to use the term chronic idiopathic </w:t>
      </w:r>
      <w:proofErr w:type="spellStart"/>
      <w:r w:rsidRPr="006B3842">
        <w:t>urticaria</w:t>
      </w:r>
      <w:proofErr w:type="spellEnd"/>
      <w:r w:rsidRPr="006B3842">
        <w:t xml:space="preserve"> and this is acceptable.</w:t>
      </w:r>
    </w:p>
    <w:p w:rsidR="00B31497" w:rsidRPr="009E38B5" w:rsidRDefault="00B31497" w:rsidP="009E38B5">
      <w:pPr>
        <w:pStyle w:val="Heading4"/>
      </w:pPr>
      <w:r w:rsidRPr="009E38B5">
        <w:t xml:space="preserve">Summary of </w:t>
      </w:r>
      <w:r w:rsidR="009E38B5">
        <w:t>i</w:t>
      </w:r>
      <w:r w:rsidRPr="009E38B5">
        <w:t>ssues</w:t>
      </w:r>
    </w:p>
    <w:p w:rsidR="00C9311D" w:rsidRPr="000C0B04" w:rsidRDefault="00C9311D" w:rsidP="007602F1">
      <w:r w:rsidRPr="007602F1">
        <w:t xml:space="preserve">There is limited information about use beyond 6 months in </w:t>
      </w:r>
      <w:r w:rsidR="0089197F">
        <w:t xml:space="preserve">CIU, despite likely longer </w:t>
      </w:r>
      <w:r w:rsidRPr="007602F1">
        <w:t>term use.</w:t>
      </w:r>
    </w:p>
    <w:p w:rsidR="00C9311D" w:rsidRPr="007602F1" w:rsidRDefault="00C9311D" w:rsidP="007602F1">
      <w:r w:rsidRPr="000C0B04">
        <w:t xml:space="preserve">It is unclear when patients should be advised to trial the 150 mg </w:t>
      </w:r>
      <w:r w:rsidR="000C0B04" w:rsidRPr="000C0B04">
        <w:t>once every 4 weeks</w:t>
      </w:r>
      <w:r w:rsidRPr="000C0B04">
        <w:t xml:space="preserve"> dose </w:t>
      </w:r>
      <w:r w:rsidRPr="007602F1">
        <w:t>regimen.</w:t>
      </w:r>
    </w:p>
    <w:p w:rsidR="00C9311D" w:rsidRPr="007602F1" w:rsidRDefault="00C9311D" w:rsidP="007602F1">
      <w:r w:rsidRPr="007602F1">
        <w:t>The proposed indication might endorse use in patients with generally less severe disease</w:t>
      </w:r>
      <w:r w:rsidR="007602F1" w:rsidRPr="007602F1">
        <w:t xml:space="preserve"> than was studied in the Phase III</w:t>
      </w:r>
      <w:r w:rsidR="00CF26D7">
        <w:t xml:space="preserve"> program</w:t>
      </w:r>
      <w:r w:rsidRPr="007602F1">
        <w:t>.</w:t>
      </w:r>
    </w:p>
    <w:p w:rsidR="00D23139" w:rsidRPr="009E38B5" w:rsidRDefault="00D23139" w:rsidP="009E38B5">
      <w:pPr>
        <w:pStyle w:val="Heading4"/>
      </w:pPr>
      <w:r w:rsidRPr="009E38B5">
        <w:t>Proposed action</w:t>
      </w:r>
    </w:p>
    <w:p w:rsidR="00B31497" w:rsidRPr="00B31497" w:rsidRDefault="00C9311D" w:rsidP="00B31497">
      <w:r>
        <w:rPr>
          <w:bCs/>
        </w:rPr>
        <w:t>The Delegate had</w:t>
      </w:r>
      <w:r w:rsidRPr="00C9311D">
        <w:rPr>
          <w:bCs/>
        </w:rPr>
        <w:t xml:space="preserve"> no reason to say, at this time, that the application for </w:t>
      </w:r>
      <w:proofErr w:type="spellStart"/>
      <w:r>
        <w:rPr>
          <w:bCs/>
        </w:rPr>
        <w:t>Xolair</w:t>
      </w:r>
      <w:proofErr w:type="spellEnd"/>
      <w:r>
        <w:rPr>
          <w:bCs/>
        </w:rPr>
        <w:t xml:space="preserve"> </w:t>
      </w:r>
      <w:proofErr w:type="spellStart"/>
      <w:r w:rsidRPr="00C9311D">
        <w:rPr>
          <w:bCs/>
        </w:rPr>
        <w:t>omalizumab</w:t>
      </w:r>
      <w:proofErr w:type="spellEnd"/>
      <w:r w:rsidRPr="00C9311D">
        <w:rPr>
          <w:bCs/>
        </w:rPr>
        <w:t xml:space="preserve"> in chronic idiopathic </w:t>
      </w:r>
      <w:proofErr w:type="spellStart"/>
      <w:r w:rsidRPr="00C9311D">
        <w:rPr>
          <w:bCs/>
        </w:rPr>
        <w:t>urticaria</w:t>
      </w:r>
      <w:proofErr w:type="spellEnd"/>
      <w:r w:rsidRPr="00C9311D">
        <w:rPr>
          <w:bCs/>
        </w:rPr>
        <w:t xml:space="preserve"> should not be approved for registration.</w:t>
      </w:r>
    </w:p>
    <w:p w:rsidR="00D23139" w:rsidRPr="009E38B5" w:rsidRDefault="00D23139" w:rsidP="009E38B5">
      <w:pPr>
        <w:pStyle w:val="Heading4"/>
      </w:pPr>
      <w:r w:rsidRPr="009E38B5">
        <w:t xml:space="preserve">Request for </w:t>
      </w:r>
      <w:r w:rsidR="00CF26D7" w:rsidRPr="009E38B5">
        <w:t>Advisory Committee for Prescription Medicines (</w:t>
      </w:r>
      <w:r w:rsidRPr="009E38B5">
        <w:t>ACPM</w:t>
      </w:r>
      <w:r w:rsidR="00CF26D7" w:rsidRPr="009E38B5">
        <w:t>)</w:t>
      </w:r>
      <w:r w:rsidRPr="009E38B5">
        <w:t xml:space="preserve"> advice</w:t>
      </w:r>
    </w:p>
    <w:p w:rsidR="008549B7" w:rsidRPr="008549B7" w:rsidRDefault="008549B7" w:rsidP="008549B7">
      <w:r w:rsidRPr="008549B7">
        <w:t>The committee is requested to provide advice on the following specific issues:</w:t>
      </w:r>
    </w:p>
    <w:p w:rsidR="008549B7" w:rsidRPr="00CF26D7" w:rsidRDefault="008549B7" w:rsidP="00B46B95">
      <w:pPr>
        <w:pStyle w:val="Numberbullet0"/>
        <w:numPr>
          <w:ilvl w:val="0"/>
          <w:numId w:val="9"/>
        </w:numPr>
      </w:pPr>
      <w:r w:rsidRPr="00CF26D7">
        <w:t>How should the absence of clinical data about use beyond 6 months in CIU be managed?</w:t>
      </w:r>
    </w:p>
    <w:p w:rsidR="008549B7" w:rsidRPr="00CF26D7" w:rsidRDefault="008549B7" w:rsidP="00B46B95">
      <w:pPr>
        <w:pStyle w:val="Numberbullet0"/>
        <w:numPr>
          <w:ilvl w:val="0"/>
          <w:numId w:val="9"/>
        </w:numPr>
      </w:pPr>
      <w:r w:rsidRPr="00CF26D7">
        <w:t xml:space="preserve">When is it appropriate to advise use of 150 mg </w:t>
      </w:r>
      <w:r w:rsidR="000C0B04" w:rsidRPr="00CF26D7">
        <w:t>once every 4 weeks (</w:t>
      </w:r>
      <w:r w:rsidRPr="00CF26D7">
        <w:t>q4wk</w:t>
      </w:r>
      <w:r w:rsidR="000C0B04" w:rsidRPr="00CF26D7">
        <w:t>)</w:t>
      </w:r>
      <w:r w:rsidRPr="00CF26D7">
        <w:t>?</w:t>
      </w:r>
    </w:p>
    <w:p w:rsidR="008549B7" w:rsidRPr="00CF26D7" w:rsidRDefault="008549B7" w:rsidP="00B46B95">
      <w:pPr>
        <w:pStyle w:val="Numberbullet0"/>
        <w:numPr>
          <w:ilvl w:val="0"/>
          <w:numId w:val="9"/>
        </w:numPr>
      </w:pPr>
      <w:r w:rsidRPr="00CF26D7">
        <w:t xml:space="preserve">Does </w:t>
      </w:r>
      <w:proofErr w:type="spellStart"/>
      <w:r w:rsidRPr="00CF26D7">
        <w:t>omalizumab</w:t>
      </w:r>
      <w:proofErr w:type="spellEnd"/>
      <w:r w:rsidRPr="00CF26D7">
        <w:t xml:space="preserve"> have a positive benefit / risk balance in adults and adolescents with CIU who remain symptomatic despite H1 antihistamine treatment, or in any other CIU population?</w:t>
      </w:r>
    </w:p>
    <w:p w:rsidR="008549B7" w:rsidRPr="008549B7" w:rsidRDefault="008549B7" w:rsidP="008549B7">
      <w:r w:rsidRPr="008549B7">
        <w:t>The committee is also requested to provide advice on any other issues that it thinks may be relevant to a decision on whether or not to approve this application.</w:t>
      </w:r>
    </w:p>
    <w:p w:rsidR="00D23139" w:rsidRPr="009E38B5" w:rsidRDefault="00CF26D7" w:rsidP="009E38B5">
      <w:pPr>
        <w:pStyle w:val="Heading4"/>
      </w:pPr>
      <w:r w:rsidRPr="009E38B5">
        <w:t>Response from s</w:t>
      </w:r>
      <w:r w:rsidR="00D23139" w:rsidRPr="009E38B5">
        <w:t xml:space="preserve">ponsor </w:t>
      </w:r>
    </w:p>
    <w:p w:rsidR="003C64F7" w:rsidRDefault="00CF26D7" w:rsidP="003C64F7">
      <w:r>
        <w:t>The Delegate and clinical e</w:t>
      </w:r>
      <w:r w:rsidR="003C64F7" w:rsidRPr="003C64F7">
        <w:t xml:space="preserve">valuator, both recommend approval for use of </w:t>
      </w:r>
      <w:proofErr w:type="spellStart"/>
      <w:r w:rsidR="003C64F7" w:rsidRPr="003C64F7">
        <w:t>Xolair</w:t>
      </w:r>
      <w:proofErr w:type="spellEnd"/>
      <w:r w:rsidR="003C64F7" w:rsidRPr="003C64F7">
        <w:t xml:space="preserve"> in</w:t>
      </w:r>
    </w:p>
    <w:p w:rsidR="003C64F7" w:rsidRPr="003C64F7" w:rsidRDefault="00D52FDB" w:rsidP="003C64F7">
      <w:pPr>
        <w:ind w:left="720"/>
        <w:rPr>
          <w:i/>
        </w:rPr>
      </w:pPr>
      <w:r>
        <w:rPr>
          <w:i/>
        </w:rPr>
        <w:t>‘</w:t>
      </w:r>
      <w:proofErr w:type="gramStart"/>
      <w:r w:rsidR="003C64F7" w:rsidRPr="003C64F7">
        <w:rPr>
          <w:i/>
        </w:rPr>
        <w:t>adults</w:t>
      </w:r>
      <w:proofErr w:type="gramEnd"/>
      <w:r w:rsidR="003C64F7" w:rsidRPr="003C64F7">
        <w:rPr>
          <w:i/>
        </w:rPr>
        <w:t xml:space="preserve"> and adolescents (12 years of age and above) with chronic idiopathic </w:t>
      </w:r>
      <w:proofErr w:type="spellStart"/>
      <w:r w:rsidR="003C64F7" w:rsidRPr="003C64F7">
        <w:rPr>
          <w:i/>
        </w:rPr>
        <w:t>urticaria</w:t>
      </w:r>
      <w:proofErr w:type="spellEnd"/>
      <w:r w:rsidR="003C64F7" w:rsidRPr="003C64F7">
        <w:rPr>
          <w:i/>
        </w:rPr>
        <w:t xml:space="preserve"> who remain symptomatic despite H1 antihistamine treatment.</w:t>
      </w:r>
      <w:r>
        <w:rPr>
          <w:i/>
        </w:rPr>
        <w:t>’</w:t>
      </w:r>
    </w:p>
    <w:p w:rsidR="003C64F7" w:rsidRPr="003C64F7" w:rsidRDefault="003C64F7" w:rsidP="003C64F7">
      <w:r w:rsidRPr="003C64F7">
        <w:t>Novart</w:t>
      </w:r>
      <w:r w:rsidR="000C0B04">
        <w:t>is welcomes the Delegate’s and clinical e</w:t>
      </w:r>
      <w:r w:rsidRPr="003C64F7">
        <w:t>valuator’s recommenda</w:t>
      </w:r>
      <w:r>
        <w:t xml:space="preserve">tions for approval and the </w:t>
      </w:r>
      <w:r w:rsidRPr="003C64F7">
        <w:t>endorsement of our proposed indication. The Delegate has mainly s</w:t>
      </w:r>
      <w:r>
        <w:t xml:space="preserve">ought the advice of the ACPM on </w:t>
      </w:r>
      <w:r w:rsidRPr="003C64F7">
        <w:t>the following issues:</w:t>
      </w:r>
    </w:p>
    <w:p w:rsidR="003C64F7" w:rsidRPr="003C64F7" w:rsidRDefault="00CF26D7" w:rsidP="00B46B95">
      <w:pPr>
        <w:pStyle w:val="Numberbullet0"/>
        <w:numPr>
          <w:ilvl w:val="0"/>
          <w:numId w:val="5"/>
        </w:numPr>
      </w:pPr>
      <w:r>
        <w:t>T</w:t>
      </w:r>
      <w:r w:rsidR="003C64F7" w:rsidRPr="003C64F7">
        <w:t>he lack of controlled clin</w:t>
      </w:r>
      <w:r w:rsidR="001A330B">
        <w:t>ical trial data beyond 6 months</w:t>
      </w:r>
    </w:p>
    <w:p w:rsidR="003C64F7" w:rsidRPr="003C64F7" w:rsidRDefault="00CF26D7" w:rsidP="00B46B95">
      <w:pPr>
        <w:pStyle w:val="Numberbullet0"/>
        <w:numPr>
          <w:ilvl w:val="0"/>
          <w:numId w:val="5"/>
        </w:numPr>
      </w:pPr>
      <w:r>
        <w:t>T</w:t>
      </w:r>
      <w:r w:rsidR="003C64F7" w:rsidRPr="003C64F7">
        <w:t>he circumstances under which the 150 mg every 4 weeks dosage regimen should be used and</w:t>
      </w:r>
    </w:p>
    <w:p w:rsidR="003C64F7" w:rsidRPr="003C64F7" w:rsidRDefault="00CF26D7" w:rsidP="00B46B95">
      <w:pPr>
        <w:pStyle w:val="Numberbullet0"/>
        <w:numPr>
          <w:ilvl w:val="0"/>
          <w:numId w:val="5"/>
        </w:numPr>
      </w:pPr>
      <w:r>
        <w:lastRenderedPageBreak/>
        <w:t>T</w:t>
      </w:r>
      <w:r w:rsidR="003C64F7" w:rsidRPr="003C64F7">
        <w:t xml:space="preserve">he wording of the indication </w:t>
      </w:r>
      <w:r w:rsidR="00914A38">
        <w:t>that is,</w:t>
      </w:r>
      <w:r w:rsidR="003C64F7" w:rsidRPr="003C64F7">
        <w:t xml:space="preserve"> whether the proposed </w:t>
      </w:r>
      <w:r w:rsidR="003C64F7">
        <w:t xml:space="preserve">indication might endorse use in </w:t>
      </w:r>
      <w:r w:rsidR="003C64F7" w:rsidRPr="003C64F7">
        <w:t>patients with generally less severe disease</w:t>
      </w:r>
      <w:r w:rsidR="003C64F7">
        <w:t xml:space="preserve"> than was studied in the </w:t>
      </w:r>
      <w:r w:rsidR="00F978F0">
        <w:t>Phase</w:t>
      </w:r>
      <w:r w:rsidR="003C64F7">
        <w:t xml:space="preserve"> III</w:t>
      </w:r>
      <w:r w:rsidR="003C64F7" w:rsidRPr="003C64F7">
        <w:t xml:space="preserve"> program.</w:t>
      </w:r>
    </w:p>
    <w:p w:rsidR="003C64F7" w:rsidRDefault="007602F1" w:rsidP="00D23139">
      <w:r>
        <w:t>The sponsor has</w:t>
      </w:r>
      <w:r w:rsidR="003C64F7" w:rsidRPr="003C64F7">
        <w:t xml:space="preserve"> address</w:t>
      </w:r>
      <w:r>
        <w:t>ed</w:t>
      </w:r>
      <w:r w:rsidR="003C64F7" w:rsidRPr="003C64F7">
        <w:t xml:space="preserve"> these issues in the sections below. In addition, </w:t>
      </w:r>
      <w:r>
        <w:t>the sponsor</w:t>
      </w:r>
      <w:r w:rsidR="003C64F7">
        <w:t xml:space="preserve"> discuss</w:t>
      </w:r>
      <w:r>
        <w:t>ed</w:t>
      </w:r>
      <w:r w:rsidR="003C64F7">
        <w:t xml:space="preserve"> certain other matters </w:t>
      </w:r>
      <w:r w:rsidR="003C64F7" w:rsidRPr="003C64F7">
        <w:t>raised including the Delegate’s concern over a possible r</w:t>
      </w:r>
      <w:r w:rsidR="003C64F7">
        <w:t xml:space="preserve">ebound effect upon cessation of </w:t>
      </w:r>
      <w:r w:rsidR="003C64F7" w:rsidRPr="003C64F7">
        <w:t>treatment; the Delegate’s recommended changes to the PI and administrative changes to the RMP.</w:t>
      </w:r>
    </w:p>
    <w:p w:rsidR="003C64F7" w:rsidRPr="009E38B5" w:rsidRDefault="003C64F7" w:rsidP="009E38B5">
      <w:pPr>
        <w:pStyle w:val="Heading5"/>
      </w:pPr>
      <w:r w:rsidRPr="009E38B5">
        <w:t>1. Managing the absence of clinical data beyond 6 months</w:t>
      </w:r>
    </w:p>
    <w:p w:rsidR="003C64F7" w:rsidRPr="003C64F7" w:rsidRDefault="0018700A" w:rsidP="003C64F7">
      <w:r>
        <w:t>The sponsor</w:t>
      </w:r>
      <w:r w:rsidR="003C64F7" w:rsidRPr="0018700A">
        <w:t xml:space="preserve"> acknowledges that the controlled efficacy and safety data in CIU are limited to the 6 month duration of the pivotal trials. However, pooled safety data from all three </w:t>
      </w:r>
      <w:r w:rsidR="00F978F0" w:rsidRPr="0018700A">
        <w:t>Phase</w:t>
      </w:r>
      <w:r w:rsidR="003C64F7" w:rsidRPr="0018700A">
        <w:t xml:space="preserve"> </w:t>
      </w:r>
      <w:r>
        <w:t>III</w:t>
      </w:r>
      <w:r w:rsidR="003C64F7" w:rsidRPr="0018700A">
        <w:t xml:space="preserve"> trials over 6 months were consistent across treatment </w:t>
      </w:r>
      <w:r w:rsidR="003C64F7" w:rsidRPr="00DB45EE">
        <w:t xml:space="preserve">groups. Importantly, there was no increased risk of severe </w:t>
      </w:r>
      <w:r w:rsidRPr="00DB45EE">
        <w:t>AEs</w:t>
      </w:r>
      <w:r w:rsidR="003C64F7" w:rsidRPr="00DB45EE">
        <w:t xml:space="preserve"> compared to placebo and no identifiable pattern of AEs attributable to </w:t>
      </w:r>
      <w:proofErr w:type="spellStart"/>
      <w:r w:rsidR="003C64F7" w:rsidRPr="00DB45EE">
        <w:t>omalizumab</w:t>
      </w:r>
      <w:proofErr w:type="spellEnd"/>
      <w:r w:rsidR="003C64F7" w:rsidRPr="00DB45EE">
        <w:t xml:space="preserve">. </w:t>
      </w:r>
      <w:r w:rsidR="003C64F7" w:rsidRPr="0018700A">
        <w:t xml:space="preserve">In addition, the evidence in the </w:t>
      </w:r>
      <w:r w:rsidR="00F978F0" w:rsidRPr="0018700A">
        <w:t>Phase</w:t>
      </w:r>
      <w:r>
        <w:t xml:space="preserve"> III</w:t>
      </w:r>
      <w:r w:rsidR="003C64F7" w:rsidRPr="0018700A">
        <w:t xml:space="preserve"> trials did not suggest an induction of tolerance or </w:t>
      </w:r>
      <w:proofErr w:type="spellStart"/>
      <w:r w:rsidR="003C64F7" w:rsidRPr="0018700A">
        <w:t>tachyphylaxis</w:t>
      </w:r>
      <w:proofErr w:type="spellEnd"/>
      <w:r w:rsidR="003C64F7" w:rsidRPr="0018700A">
        <w:t xml:space="preserve"> that would limit treatment duration. These studies evaluated patients with CIU disease duration of 6 months to 66 years, on average 6 years. Due to the chronic nature of the disease, at least 6 months treatment is recommended to allow for disease stabilisation and maximum suppression of symptoms, in particular for patients with refractory, long-standing disease</w:t>
      </w:r>
      <w:r w:rsidR="00CF26D7">
        <w:t>.</w:t>
      </w:r>
      <w:r>
        <w:rPr>
          <w:rStyle w:val="FootnoteReference"/>
        </w:rPr>
        <w:footnoteReference w:id="16"/>
      </w:r>
      <w:bookmarkStart w:id="170" w:name="_Ref420675899"/>
      <w:r w:rsidR="00CF26D7" w:rsidRPr="00CF26D7">
        <w:rPr>
          <w:vertAlign w:val="superscript"/>
        </w:rPr>
        <w:t>,</w:t>
      </w:r>
      <w:r>
        <w:rPr>
          <w:rStyle w:val="FootnoteReference"/>
        </w:rPr>
        <w:footnoteReference w:id="17"/>
      </w:r>
      <w:bookmarkEnd w:id="170"/>
    </w:p>
    <w:p w:rsidR="003C64F7" w:rsidRPr="003C64F7" w:rsidRDefault="003C64F7" w:rsidP="003C64F7">
      <w:r w:rsidRPr="003C64F7">
        <w:t>The Delegate states that the good safety profile in CIU over 6 months would not necessarily rule out positive signals f</w:t>
      </w:r>
      <w:r w:rsidR="00CF26D7">
        <w:t>or some previously flagged rare</w:t>
      </w:r>
      <w:r w:rsidRPr="003C64F7">
        <w:t xml:space="preserve"> but serious AEs in allergic asthma patients (</w:t>
      </w:r>
      <w:r w:rsidR="00AD27AE">
        <w:t>for example,</w:t>
      </w:r>
      <w:r w:rsidRPr="003C64F7">
        <w:t xml:space="preserve"> malignancy, </w:t>
      </w:r>
      <w:r w:rsidR="00AD27AE" w:rsidRPr="00AD27AE">
        <w:t>cardiovascular</w:t>
      </w:r>
      <w:r w:rsidRPr="00AD27AE">
        <w:t xml:space="preserve"> disease</w:t>
      </w:r>
      <w:r w:rsidRPr="003C64F7">
        <w:t xml:space="preserve">) from emerging after marketing for </w:t>
      </w:r>
      <w:r w:rsidR="00AD27AE">
        <w:t xml:space="preserve">CIU. There is considerable long </w:t>
      </w:r>
      <w:r w:rsidRPr="003C64F7">
        <w:t xml:space="preserve">term experience in allergic asthma patients from clinical trials and </w:t>
      </w:r>
      <w:proofErr w:type="spellStart"/>
      <w:r w:rsidR="00CF26D7" w:rsidRPr="00CF26D7">
        <w:t>postmarketing</w:t>
      </w:r>
      <w:proofErr w:type="spellEnd"/>
      <w:r w:rsidR="00CF26D7" w:rsidRPr="00CF26D7">
        <w:t xml:space="preserve"> </w:t>
      </w:r>
      <w:r w:rsidRPr="003C64F7">
        <w:t xml:space="preserve">setting. To date, approximately 14,209 patients have been enrolled into </w:t>
      </w:r>
      <w:proofErr w:type="spellStart"/>
      <w:r w:rsidRPr="003C64F7">
        <w:t>omalizumab</w:t>
      </w:r>
      <w:proofErr w:type="spellEnd"/>
      <w:r w:rsidRPr="003C64F7">
        <w:t xml:space="preserve"> clinical programs, of which approximately 9,547 subjects received </w:t>
      </w:r>
      <w:proofErr w:type="spellStart"/>
      <w:r w:rsidRPr="003C64F7">
        <w:t>omalizumab</w:t>
      </w:r>
      <w:proofErr w:type="spellEnd"/>
      <w:r w:rsidRPr="003C64F7">
        <w:t xml:space="preserve"> since the start of the clinica</w:t>
      </w:r>
      <w:r w:rsidR="00CF26D7">
        <w:t xml:space="preserve">l development program. The </w:t>
      </w:r>
      <w:proofErr w:type="spellStart"/>
      <w:r w:rsidR="00CF26D7">
        <w:t>post</w:t>
      </w:r>
      <w:r w:rsidR="00AD27AE">
        <w:t>authorisation</w:t>
      </w:r>
      <w:proofErr w:type="spellEnd"/>
      <w:r w:rsidR="00AD27AE">
        <w:t xml:space="preserve"> (</w:t>
      </w:r>
      <w:r w:rsidR="00CF26D7">
        <w:t xml:space="preserve">not in </w:t>
      </w:r>
      <w:r w:rsidRPr="003C64F7">
        <w:t xml:space="preserve">clinical trial) exposure </w:t>
      </w:r>
      <w:r w:rsidR="00914A38">
        <w:t>that is,</w:t>
      </w:r>
      <w:r w:rsidRPr="003C64F7">
        <w:t xml:space="preserve"> the cumulative patient exposure since the first worldwide launch in 2003 is estimated to be approximately 515,841 patient </w:t>
      </w:r>
      <w:r w:rsidR="00C109C5">
        <w:t>years</w:t>
      </w:r>
      <w:r w:rsidR="00DC5E23">
        <w:t xml:space="preserve"> </w:t>
      </w:r>
      <w:r w:rsidR="00C109C5">
        <w:t>(</w:t>
      </w:r>
      <w:r w:rsidRPr="00F52EB9">
        <w:t>PSUR</w:t>
      </w:r>
      <w:r w:rsidR="00CC5578" w:rsidRPr="00F52EB9">
        <w:t xml:space="preserve"> 01 January 2013 to</w:t>
      </w:r>
      <w:r w:rsidR="00F52EB9" w:rsidRPr="00F52EB9">
        <w:t xml:space="preserve"> 31</w:t>
      </w:r>
      <w:r w:rsidR="00CC5578" w:rsidRPr="00F52EB9">
        <w:t xml:space="preserve"> December 2013 and PSUR </w:t>
      </w:r>
      <w:r w:rsidR="00F52EB9" w:rsidRPr="00F52EB9">
        <w:t>01 January 2014 to 30 June 2014</w:t>
      </w:r>
      <w:r w:rsidR="00AD27AE" w:rsidRPr="00F52EB9">
        <w:t xml:space="preserve">). </w:t>
      </w:r>
      <w:r w:rsidR="00AD27AE">
        <w:t>The clinical e</w:t>
      </w:r>
      <w:r w:rsidRPr="003C64F7">
        <w:t xml:space="preserve">valuator refers to an interim analysis from the EXCELS trial in asthma </w:t>
      </w:r>
      <w:r w:rsidRPr="00F52EB9">
        <w:t xml:space="preserve">patients. Briefly, the data from EXCELS suggests that </w:t>
      </w:r>
      <w:proofErr w:type="spellStart"/>
      <w:r w:rsidRPr="00F52EB9">
        <w:t>omalizumab</w:t>
      </w:r>
      <w:proofErr w:type="spellEnd"/>
      <w:r w:rsidRPr="00F52EB9">
        <w:t xml:space="preserve"> therapy </w:t>
      </w:r>
      <w:r w:rsidRPr="003C64F7">
        <w:t xml:space="preserve">is not associated with an increased risk of malignancy. The data on cardiovascular and cerebrovascular safety are limited and difficult to interpret, as in separate reviews of </w:t>
      </w:r>
      <w:proofErr w:type="spellStart"/>
      <w:r w:rsidRPr="003C64F7">
        <w:t>omalizumab</w:t>
      </w:r>
      <w:proofErr w:type="spellEnd"/>
      <w:r w:rsidRPr="003C64F7">
        <w:t xml:space="preserve"> preclinical and clinical trials; there have been no indications of increased risk of cardiovascular or cerebrovascular events. There </w:t>
      </w:r>
      <w:r w:rsidR="00AD27AE">
        <w:t xml:space="preserve">is no reason to expect the long </w:t>
      </w:r>
      <w:r w:rsidRPr="003C64F7">
        <w:t xml:space="preserve">term safety on </w:t>
      </w:r>
      <w:proofErr w:type="spellStart"/>
      <w:r w:rsidRPr="003C64F7">
        <w:t>omalizumab</w:t>
      </w:r>
      <w:proofErr w:type="spellEnd"/>
      <w:r w:rsidRPr="003C64F7">
        <w:t xml:space="preserve"> in patients with CIU to be any different than in patients with severe allergic asthma. In addition, the considerable long-term experience in allergic asthma patients from clinical trials and post marketing setting offsets the relatively shorter exposure in CIU </w:t>
      </w:r>
      <w:r w:rsidRPr="00F52EB9">
        <w:t>patients [</w:t>
      </w:r>
      <w:r w:rsidR="00F52EB9" w:rsidRPr="00F52EB9">
        <w:t>Delegate’</w:t>
      </w:r>
      <w:r w:rsidR="00F52EB9">
        <w:t>s review of s</w:t>
      </w:r>
      <w:r w:rsidR="00F52EB9" w:rsidRPr="00F52EB9">
        <w:t>afety</w:t>
      </w:r>
      <w:r w:rsidRPr="00F52EB9">
        <w:t>]. Finally</w:t>
      </w:r>
      <w:r w:rsidRPr="003C64F7">
        <w:t>, it should be noted however that final dat</w:t>
      </w:r>
      <w:r w:rsidR="00F52EB9">
        <w:t xml:space="preserve">a from this trials and two meta </w:t>
      </w:r>
      <w:r w:rsidRPr="003C64F7">
        <w:t xml:space="preserve">analyses on malignancies and </w:t>
      </w:r>
      <w:proofErr w:type="spellStart"/>
      <w:r w:rsidRPr="003C64F7">
        <w:t>arterio-thrombolic</w:t>
      </w:r>
      <w:proofErr w:type="spellEnd"/>
      <w:r w:rsidRPr="003C64F7">
        <w:t xml:space="preserve"> events across all </w:t>
      </w:r>
      <w:proofErr w:type="spellStart"/>
      <w:r w:rsidRPr="003C64F7">
        <w:t>omalizumab</w:t>
      </w:r>
      <w:proofErr w:type="spellEnd"/>
      <w:r w:rsidRPr="003C64F7">
        <w:t xml:space="preserve"> controlled trials is now complete and information is includ</w:t>
      </w:r>
      <w:r w:rsidR="00F52EB9">
        <w:t>ed in the currently approved PI (at the time of writing this response)</w:t>
      </w:r>
      <w:r w:rsidRPr="003C64F7">
        <w:t xml:space="preserve"> based on the TGA’s evaluation </w:t>
      </w:r>
      <w:r w:rsidR="002C20B2">
        <w:t>(approved 17 April 2014)</w:t>
      </w:r>
      <w:r w:rsidRPr="003C64F7">
        <w:t>.</w:t>
      </w:r>
    </w:p>
    <w:p w:rsidR="003C64F7" w:rsidRPr="00C017AD" w:rsidRDefault="003C64F7" w:rsidP="00C017AD">
      <w:r w:rsidRPr="003C64F7">
        <w:t xml:space="preserve">In order to provide further reassurance of the good safety profile seen for 6 months in the pivotal trials, </w:t>
      </w:r>
      <w:r w:rsidR="001A3F16">
        <w:t>the sponsor</w:t>
      </w:r>
      <w:r w:rsidRPr="003C64F7">
        <w:t xml:space="preserve"> would like to call attention to relevant information from two recent publications on longer</w:t>
      </w:r>
      <w:r w:rsidR="002C20B2">
        <w:t xml:space="preserve"> </w:t>
      </w:r>
      <w:r w:rsidRPr="003C64F7">
        <w:t xml:space="preserve">term treatment with </w:t>
      </w:r>
      <w:proofErr w:type="spellStart"/>
      <w:r w:rsidRPr="003C64F7">
        <w:t>omalizumab</w:t>
      </w:r>
      <w:proofErr w:type="spellEnd"/>
      <w:r w:rsidRPr="003C64F7">
        <w:t xml:space="preserve"> in CIU with up to a </w:t>
      </w:r>
      <w:r w:rsidRPr="003C64F7">
        <w:lastRenderedPageBreak/>
        <w:t>maximum of 37 months</w:t>
      </w:r>
      <w:r w:rsidR="002C20B2">
        <w:rPr>
          <w:rStyle w:val="FootnoteReference"/>
        </w:rPr>
        <w:footnoteReference w:id="18"/>
      </w:r>
      <w:r w:rsidRPr="003C64F7">
        <w:t xml:space="preserve"> and up to 24 months, respectively</w:t>
      </w:r>
      <w:r w:rsidR="002C20B2">
        <w:rPr>
          <w:rStyle w:val="FootnoteReference"/>
        </w:rPr>
        <w:footnoteReference w:id="19"/>
      </w:r>
      <w:r w:rsidRPr="00A83AB7">
        <w:t xml:space="preserve">. In these </w:t>
      </w:r>
      <w:r w:rsidRPr="003C64F7">
        <w:t xml:space="preserve">observational case series no loss </w:t>
      </w:r>
      <w:r w:rsidRPr="00C017AD">
        <w:t>of efficacy or unexpected safety issues was observed.</w:t>
      </w:r>
    </w:p>
    <w:p w:rsidR="003C64F7" w:rsidRDefault="003C64F7" w:rsidP="00D23139">
      <w:r w:rsidRPr="00C017AD">
        <w:t xml:space="preserve">The Delegate proposes to include a precaution that there are no efficacy or safety data in CIU beyond 6 months of treatment. The Precautions section of the PI is generally intended to describe clinical circumstances where caution is advised. Whilst </w:t>
      </w:r>
      <w:r w:rsidR="001A3F16">
        <w:t>the sponsor</w:t>
      </w:r>
      <w:r w:rsidRPr="00C017AD">
        <w:t xml:space="preserve"> agree</w:t>
      </w:r>
      <w:r w:rsidR="001A3F16">
        <w:t>s</w:t>
      </w:r>
      <w:r w:rsidRPr="00C017AD">
        <w:t xml:space="preserve"> that an explicit statement on the limitations of clinical data in the PI would address this issue, a precaution is not considered warranted as this section of the PI should be restricted to addressing known or anticipated safety risks of the drug and/or risks pertaining to specific populations. No such risks are known nor anticipated with </w:t>
      </w:r>
      <w:proofErr w:type="spellStart"/>
      <w:r w:rsidRPr="00C017AD">
        <w:t>Xolair</w:t>
      </w:r>
      <w:proofErr w:type="spellEnd"/>
      <w:r w:rsidRPr="00C017AD">
        <w:t xml:space="preserve"> in the CIU patient populations. </w:t>
      </w:r>
      <w:r w:rsidR="001A3F16">
        <w:t>The sponsor</w:t>
      </w:r>
      <w:r w:rsidRPr="00C017AD">
        <w:t xml:space="preserve"> consider</w:t>
      </w:r>
      <w:r w:rsidR="001A3F16">
        <w:t>s</w:t>
      </w:r>
      <w:r w:rsidRPr="00C017AD">
        <w:t xml:space="preserve"> it more appropriate to include such a statement in the Clinical Trial section and the Dosage and Administration section of the PI. There is no evidence from the clinical trials in CIU to warrant particular precaution beyond 6 months. Moreover, CIU can typically take a few years before it goes into remission; the pivotal studies included patients with CIU disease duration of on average 6 years. For these reasons, </w:t>
      </w:r>
      <w:r w:rsidR="001A3F16">
        <w:t>the sponsor</w:t>
      </w:r>
      <w:r w:rsidRPr="00C017AD">
        <w:t xml:space="preserve"> consider</w:t>
      </w:r>
      <w:r w:rsidR="001A3F16">
        <w:t>s</w:t>
      </w:r>
      <w:r w:rsidRPr="00C017AD">
        <w:t xml:space="preserve"> it more apt to include this informati</w:t>
      </w:r>
      <w:r w:rsidR="007704EE">
        <w:t>on in these sections of the PI.</w:t>
      </w:r>
    </w:p>
    <w:p w:rsidR="003C64F7" w:rsidRPr="009E38B5" w:rsidRDefault="00C017AD" w:rsidP="009E38B5">
      <w:pPr>
        <w:pStyle w:val="Heading5"/>
      </w:pPr>
      <w:r w:rsidRPr="009E38B5">
        <w:t>2. Dosing – Advice on use of 150 mg dose</w:t>
      </w:r>
    </w:p>
    <w:p w:rsidR="003C64F7" w:rsidRPr="00C017AD" w:rsidRDefault="00C017AD" w:rsidP="00C017AD">
      <w:r w:rsidRPr="00C017AD">
        <w:t xml:space="preserve">The Delegate agrees the 150 mg dose should be included in the PI and has sought the advice of the ACPM on the 150 mg every 4 weeks dose regimen. Novartis was specifically invited to comment on this matter. </w:t>
      </w:r>
      <w:r w:rsidR="001A3F16">
        <w:t>The sponsor</w:t>
      </w:r>
      <w:r w:rsidRPr="00C017AD">
        <w:t xml:space="preserve"> agree</w:t>
      </w:r>
      <w:r w:rsidR="001A3F16">
        <w:t>s</w:t>
      </w:r>
      <w:r w:rsidRPr="00C017AD">
        <w:t xml:space="preserve"> that there are circumstan</w:t>
      </w:r>
      <w:r w:rsidR="00904996">
        <w:t>ces where the 150 </w:t>
      </w:r>
      <w:r w:rsidRPr="00C017AD">
        <w:t>mg dose regimen could be considered. The proposal of 300 mg as recommended dose is supported by the results from the pivotal trials which showed that this dose had a consistently higher treatment effect compared with the 150 mg dose. Onset of benefit was more rapid with the 300 mg dose and statistically significant results were maintained over the duration of the trial (</w:t>
      </w:r>
      <w:r w:rsidR="00DF0640">
        <w:t>4881g</w:t>
      </w:r>
      <w:r w:rsidRPr="00C017AD">
        <w:t xml:space="preserve">), but not with the 150 mg </w:t>
      </w:r>
      <w:r w:rsidRPr="00904996">
        <w:t xml:space="preserve">dose. </w:t>
      </w:r>
      <w:r w:rsidRPr="00C017AD">
        <w:t>More consistent efficacy was observed with the 300 mg dose regimen that consistently met statistical significance in all endpoints in the pivotal studies and is therefore considered the optimal dose. This is also supported by a group of Australian specialist clinicians with experience in the management of CIU</w:t>
      </w:r>
      <w:r w:rsidR="001A3F16">
        <w:t>.</w:t>
      </w:r>
      <w:r w:rsidR="00904996" w:rsidRPr="00904996">
        <w:rPr>
          <w:vertAlign w:val="superscript"/>
        </w:rPr>
        <w:fldChar w:fldCharType="begin"/>
      </w:r>
      <w:r w:rsidR="00904996" w:rsidRPr="00904996">
        <w:rPr>
          <w:vertAlign w:val="superscript"/>
        </w:rPr>
        <w:instrText xml:space="preserve"> NOTEREF _Ref420674657 \h </w:instrText>
      </w:r>
      <w:r w:rsidR="00904996">
        <w:rPr>
          <w:vertAlign w:val="superscript"/>
        </w:rPr>
        <w:instrText xml:space="preserve"> \* MERGEFORMAT </w:instrText>
      </w:r>
      <w:r w:rsidR="00904996" w:rsidRPr="00904996">
        <w:rPr>
          <w:vertAlign w:val="superscript"/>
        </w:rPr>
      </w:r>
      <w:r w:rsidR="00904996" w:rsidRPr="00904996">
        <w:rPr>
          <w:vertAlign w:val="superscript"/>
        </w:rPr>
        <w:fldChar w:fldCharType="separate"/>
      </w:r>
      <w:r w:rsidR="00904996" w:rsidRPr="00904996">
        <w:rPr>
          <w:vertAlign w:val="superscript"/>
        </w:rPr>
        <w:t>8</w:t>
      </w:r>
      <w:r w:rsidR="00904996" w:rsidRPr="00904996">
        <w:rPr>
          <w:vertAlign w:val="superscript"/>
        </w:rPr>
        <w:fldChar w:fldCharType="end"/>
      </w:r>
    </w:p>
    <w:p w:rsidR="003C64F7" w:rsidRPr="00C017AD" w:rsidRDefault="00C017AD" w:rsidP="00C017AD">
      <w:r w:rsidRPr="00C017AD">
        <w:t>The Delegate has proposed some specific situations where the 150 mg dose regimen may be preferred; for instance, in patients unable to tolerate two separate SC injections or when efficacy has been shown at the proposed 300 mg dose regimen. Novartis believes that the current wording in the draft PI adequately addresses routine clinical practice and possible treatment scenarios by allowing physician sufficient flexibility to use either dose when clinically warranted based on a regular assessment of patients’ symptoms:</w:t>
      </w:r>
    </w:p>
    <w:p w:rsidR="00C017AD" w:rsidRPr="00C017AD" w:rsidRDefault="00D52FDB" w:rsidP="00C017AD">
      <w:pPr>
        <w:ind w:left="720"/>
        <w:rPr>
          <w:i/>
        </w:rPr>
      </w:pPr>
      <w:r>
        <w:rPr>
          <w:i/>
        </w:rPr>
        <w:t>‘</w:t>
      </w:r>
      <w:r w:rsidR="00C017AD" w:rsidRPr="00C017AD">
        <w:rPr>
          <w:i/>
        </w:rPr>
        <w:t>The recommended dose is 300 mg by subcutaneous injection every four weeks. Some patients may achieve control of their symptoms with a dose of 150 mg every four weeks</w:t>
      </w:r>
      <w:r>
        <w:rPr>
          <w:i/>
        </w:rPr>
        <w:t>’</w:t>
      </w:r>
      <w:r w:rsidR="00C017AD" w:rsidRPr="00C017AD">
        <w:rPr>
          <w:i/>
        </w:rPr>
        <w:t>.</w:t>
      </w:r>
    </w:p>
    <w:p w:rsidR="00C017AD" w:rsidRPr="00C017AD" w:rsidRDefault="00C017AD" w:rsidP="00C017AD">
      <w:r w:rsidRPr="00C017AD">
        <w:t xml:space="preserve">This wording reflects the clinical trial results, showing statistically significant efficacy of </w:t>
      </w:r>
      <w:proofErr w:type="spellStart"/>
      <w:r w:rsidRPr="00C017AD">
        <w:t>omalizumab</w:t>
      </w:r>
      <w:proofErr w:type="spellEnd"/>
      <w:r w:rsidRPr="00C017AD">
        <w:t xml:space="preserve"> over placebo in treatment of CIU for both the 150 mg and the 300 mg dose in the primary efficacy consistently higher treatment effect across all endpoints is obtained with the higher dose while maintaining the same safety profile, as also noted by the Delegate.</w:t>
      </w:r>
    </w:p>
    <w:p w:rsidR="00C017AD" w:rsidRPr="00C017AD" w:rsidRDefault="00C017AD" w:rsidP="00C017AD">
      <w:r w:rsidRPr="00C017AD">
        <w:t xml:space="preserve">In an attempt to identify patient groups which would benefit from the 150 mg dose, subgroup analyses for itch severity score were conducted. Subgroups were defined according to demographic characteristics, disease characteristics and according to prior </w:t>
      </w:r>
      <w:r w:rsidRPr="00C017AD">
        <w:lastRenderedPageBreak/>
        <w:t>CIU treatments. No clear demographic or disease differentiator for using the 150 mg dose was identified and it is not possible to predict which patient group will benefit from the lower dose. As stated by the Delegate, only simulation data are availabl</w:t>
      </w:r>
      <w:r w:rsidR="00336EAF">
        <w:t xml:space="preserve">e with respect to possible down </w:t>
      </w:r>
      <w:r w:rsidRPr="00C017AD">
        <w:t>titration of the dose</w:t>
      </w:r>
      <w:r w:rsidR="00336EAF">
        <w:t xml:space="preserve">. Time course pharmacokinetic </w:t>
      </w:r>
      <w:r w:rsidRPr="00C017AD">
        <w:t>efficacy simulations were used to anticipate the outcome for dose reduction from 300 mg to 150 mg when achieving complete symptom control (UAS7</w:t>
      </w:r>
      <w:r w:rsidR="00336EAF">
        <w:t xml:space="preserve"> </w:t>
      </w:r>
      <w:r w:rsidRPr="00C017AD">
        <w:t>=</w:t>
      </w:r>
      <w:r w:rsidR="00336EAF">
        <w:t xml:space="preserve"> </w:t>
      </w:r>
      <w:r w:rsidRPr="00C017AD">
        <w:t>0) with 30</w:t>
      </w:r>
      <w:r w:rsidR="00F978F0">
        <w:t>0 mg</w:t>
      </w:r>
      <w:r w:rsidRPr="00C017AD">
        <w:t xml:space="preserve">. The simulations predict that about a third of all patients would be well controlled with </w:t>
      </w:r>
      <w:r w:rsidR="001A3F16">
        <w:t xml:space="preserve">a </w:t>
      </w:r>
      <w:r w:rsidRPr="00C017AD">
        <w:t>150 mg</w:t>
      </w:r>
      <w:r w:rsidR="001A3F16">
        <w:t xml:space="preserve"> dose</w:t>
      </w:r>
      <w:r w:rsidRPr="00C017AD">
        <w:t xml:space="preserve">. Based on the subgroup analyses it is not possible to predict which patient group would benefit from the 150 mg dose, and similarly it is not predictable for which patient group complete control of </w:t>
      </w:r>
      <w:proofErr w:type="spellStart"/>
      <w:r w:rsidRPr="00C017AD">
        <w:t>urticaria</w:t>
      </w:r>
      <w:proofErr w:type="spellEnd"/>
      <w:r w:rsidRPr="00C017AD">
        <w:t xml:space="preserve"> symptoms with the 300 mg dose could be maintained following dose reduction from 300 mg to 150 mg every 4 weeks. However, flexibility should be provided to patients and physicians and it should be left to their clinical judgment when symptom control may be achieved or maintained with 150 mg.</w:t>
      </w:r>
    </w:p>
    <w:p w:rsidR="00C017AD" w:rsidRPr="009E38B5" w:rsidRDefault="00C017AD" w:rsidP="009E38B5">
      <w:pPr>
        <w:pStyle w:val="Heading5"/>
      </w:pPr>
      <w:r w:rsidRPr="009E38B5">
        <w:t>3. Proposed wording of the indication</w:t>
      </w:r>
    </w:p>
    <w:p w:rsidR="00C017AD" w:rsidRPr="00C017AD" w:rsidRDefault="00C017AD" w:rsidP="00C017AD">
      <w:r w:rsidRPr="00C017AD">
        <w:t xml:space="preserve">The proposed CIU indication is targeting patients who are refractory to H1 antihistamines. The wording concisely describes the patient population in which a positive benefit-risk profile was demonstrated in the pivotal clinical trials that support our application. Nevertheless, the Delegate notes that some patients recruited into the clinical trial program exceeded the disease severity entry criteria and considers the possibility that the wording may invite use in patients with less severe disease. The Delegate concludes though that the restriction to patients who fail H1 antihistamines </w:t>
      </w:r>
      <w:r w:rsidR="00D52FDB">
        <w:t>‘</w:t>
      </w:r>
      <w:r w:rsidRPr="00336EAF">
        <w:rPr>
          <w:i/>
        </w:rPr>
        <w:t>offsets this risk sufficiently</w:t>
      </w:r>
      <w:r w:rsidR="00D52FDB">
        <w:t>’</w:t>
      </w:r>
      <w:r w:rsidRPr="00C017AD">
        <w:t xml:space="preserve"> and that the absence of any safety signal in the studied patient population makes the potential consequences of use in less severe patients less of a concern. Moreover, all patients across the trial program had failed approved doses of H1 antihistamines. Novartis agrees with the conclusions drawn by the Delegate; that the proposed wording is appropriate as it explicitly confines the use of </w:t>
      </w:r>
      <w:proofErr w:type="spellStart"/>
      <w:r w:rsidRPr="00C017AD">
        <w:t>Xolair</w:t>
      </w:r>
      <w:proofErr w:type="spellEnd"/>
      <w:r w:rsidRPr="00C017AD">
        <w:t xml:space="preserve"> to patients wh</w:t>
      </w:r>
      <w:r w:rsidR="00336EAF">
        <w:t>o remain symptomatic despite H1</w:t>
      </w:r>
      <w:r w:rsidRPr="00C017AD">
        <w:t xml:space="preserve"> antihistamine treatment.</w:t>
      </w:r>
    </w:p>
    <w:p w:rsidR="00C017AD" w:rsidRPr="00C017AD" w:rsidRDefault="00C017AD" w:rsidP="00C017AD">
      <w:r w:rsidRPr="00C017AD">
        <w:t xml:space="preserve">As per the treatment guidelines, patients are diagnosed with CIU when the </w:t>
      </w:r>
      <w:proofErr w:type="spellStart"/>
      <w:r w:rsidRPr="00C017AD">
        <w:t>urticaria</w:t>
      </w:r>
      <w:proofErr w:type="spellEnd"/>
      <w:r w:rsidRPr="00C017AD">
        <w:t xml:space="preserve"> persists for at least 6 weeks. The first step of C</w:t>
      </w:r>
      <w:r w:rsidR="00336EAF">
        <w:t>IU therapy is treatment with H1 </w:t>
      </w:r>
      <w:r w:rsidRPr="00C017AD">
        <w:t xml:space="preserve">antihistamines at approved doses for two weeks and with up to 4 times the approved doses for about one to 4 weeks, if symptoms persist. Only after a total of 9 to 12 weeks of </w:t>
      </w:r>
      <w:r w:rsidR="00336EAF">
        <w:t xml:space="preserve">refractory </w:t>
      </w:r>
      <w:proofErr w:type="spellStart"/>
      <w:r w:rsidR="00336EAF">
        <w:t>urticaria</w:t>
      </w:r>
      <w:proofErr w:type="spellEnd"/>
      <w:r w:rsidR="00336EAF">
        <w:t xml:space="preserve"> despite H1 </w:t>
      </w:r>
      <w:r w:rsidRPr="00C017AD">
        <w:t>antihistamines at increasing doses up to 4</w:t>
      </w:r>
      <w:r w:rsidR="00336EAF">
        <w:t xml:space="preserve"> </w:t>
      </w:r>
      <w:r w:rsidR="001A3F16">
        <w:t>times the</w:t>
      </w:r>
      <w:r w:rsidRPr="00C017AD">
        <w:t xml:space="preserve"> recommended doses, the treatment algorithm suggests the use of </w:t>
      </w:r>
      <w:r w:rsidR="001A3F16">
        <w:t>for example</w:t>
      </w:r>
      <w:r w:rsidR="00336EAF">
        <w:t xml:space="preserve"> </w:t>
      </w:r>
      <w:proofErr w:type="spellStart"/>
      <w:r w:rsidR="00336EAF">
        <w:t>Xolair</w:t>
      </w:r>
      <w:proofErr w:type="spellEnd"/>
      <w:r w:rsidR="00336EAF">
        <w:t xml:space="preserve"> as add on to H1 </w:t>
      </w:r>
      <w:r w:rsidRPr="00C017AD">
        <w:t>antihistamines</w:t>
      </w:r>
      <w:r w:rsidR="001A3F16">
        <w:t>.</w:t>
      </w:r>
      <w:r w:rsidR="00336EAF" w:rsidRPr="00336EAF">
        <w:rPr>
          <w:vertAlign w:val="superscript"/>
        </w:rPr>
        <w:fldChar w:fldCharType="begin"/>
      </w:r>
      <w:r w:rsidR="00336EAF" w:rsidRPr="00336EAF">
        <w:rPr>
          <w:vertAlign w:val="superscript"/>
        </w:rPr>
        <w:instrText xml:space="preserve"> NOTEREF _Ref420675899 \h </w:instrText>
      </w:r>
      <w:r w:rsidR="00336EAF">
        <w:rPr>
          <w:vertAlign w:val="superscript"/>
        </w:rPr>
        <w:instrText xml:space="preserve"> \* MERGEFORMAT </w:instrText>
      </w:r>
      <w:r w:rsidR="00336EAF" w:rsidRPr="00336EAF">
        <w:rPr>
          <w:vertAlign w:val="superscript"/>
        </w:rPr>
      </w:r>
      <w:r w:rsidR="00336EAF" w:rsidRPr="00336EAF">
        <w:rPr>
          <w:vertAlign w:val="superscript"/>
        </w:rPr>
        <w:fldChar w:fldCharType="separate"/>
      </w:r>
      <w:r w:rsidR="00336EAF" w:rsidRPr="00336EAF">
        <w:rPr>
          <w:vertAlign w:val="superscript"/>
        </w:rPr>
        <w:t>17</w:t>
      </w:r>
      <w:r w:rsidR="00336EAF" w:rsidRPr="00336EAF">
        <w:rPr>
          <w:vertAlign w:val="superscript"/>
        </w:rPr>
        <w:fldChar w:fldCharType="end"/>
      </w:r>
      <w:r w:rsidRPr="00C017AD">
        <w:t xml:space="preserve"> Considering that this international treat</w:t>
      </w:r>
      <w:r w:rsidR="00336EAF">
        <w:t xml:space="preserve">ment guideline is based on long </w:t>
      </w:r>
      <w:r w:rsidRPr="00C017AD">
        <w:t>standing clinical practice and the easy treat</w:t>
      </w:r>
      <w:r w:rsidR="00336EAF">
        <w:t>ment with increased doses of H1 </w:t>
      </w:r>
      <w:r w:rsidRPr="00C017AD">
        <w:t xml:space="preserve">antihistamines without the need of injections it seems unlikely that physicians will treat patients with short disease duration or milder symptoms immediately with </w:t>
      </w:r>
      <w:proofErr w:type="spellStart"/>
      <w:r w:rsidRPr="00C017AD">
        <w:t>Xolair</w:t>
      </w:r>
      <w:proofErr w:type="spellEnd"/>
      <w:r w:rsidRPr="00C017AD">
        <w:t xml:space="preserve"> without tryi</w:t>
      </w:r>
      <w:r w:rsidR="00336EAF">
        <w:t>ng to use increased doses of H1 </w:t>
      </w:r>
      <w:r w:rsidRPr="00C017AD">
        <w:t>antihistamines. As also noted by the Delegate, while a recommend</w:t>
      </w:r>
      <w:r w:rsidR="00336EAF">
        <w:t>ation for increased doses of H1</w:t>
      </w:r>
      <w:r w:rsidRPr="00C017AD">
        <w:t xml:space="preserve"> antihistamines can be made in a treatment guideline, it is not possible to rec</w:t>
      </w:r>
      <w:r w:rsidR="00741523">
        <w:t xml:space="preserve">ommend off </w:t>
      </w:r>
      <w:r w:rsidR="00336EAF">
        <w:t>label use/dose of H1 </w:t>
      </w:r>
      <w:r w:rsidRPr="00C017AD">
        <w:t xml:space="preserve">antihistamines in the proposed indication for </w:t>
      </w:r>
      <w:proofErr w:type="spellStart"/>
      <w:r w:rsidRPr="00C017AD">
        <w:t>Xolair</w:t>
      </w:r>
      <w:proofErr w:type="spellEnd"/>
      <w:r w:rsidRPr="00C017AD">
        <w:t>. While the proposed indication wording does no</w:t>
      </w:r>
      <w:r w:rsidR="00336EAF">
        <w:t xml:space="preserve">t give advice on the dose of H1 </w:t>
      </w:r>
      <w:r w:rsidRPr="00C017AD">
        <w:t xml:space="preserve">antihistamines, patients require to have failed prior to starting treatment with </w:t>
      </w:r>
      <w:proofErr w:type="spellStart"/>
      <w:r w:rsidRPr="00C017AD">
        <w:t>Xolair</w:t>
      </w:r>
      <w:proofErr w:type="spellEnd"/>
      <w:r w:rsidRPr="00C017AD">
        <w:t>. It clearly states that patients need t</w:t>
      </w:r>
      <w:r w:rsidR="00FF4367">
        <w:t>o remain symptomatic despite H1</w:t>
      </w:r>
      <w:r w:rsidRPr="00C017AD">
        <w:t xml:space="preserve"> antihistamine treatment. Based on this clear positioning of </w:t>
      </w:r>
      <w:proofErr w:type="spellStart"/>
      <w:r w:rsidRPr="00C017AD">
        <w:t>Xolair</w:t>
      </w:r>
      <w:proofErr w:type="spellEnd"/>
      <w:r w:rsidRPr="00C017AD">
        <w:t xml:space="preserve"> and the fact that no particular safety signals were observed in the clinical program, the proposed indication is considered acceptable by the Delegate.</w:t>
      </w:r>
    </w:p>
    <w:p w:rsidR="00C017AD" w:rsidRPr="00C017AD" w:rsidRDefault="00C017AD" w:rsidP="00C017AD">
      <w:r w:rsidRPr="00C017AD">
        <w:t>Finally, it was noted by the Delegate that the term ‘</w:t>
      </w:r>
      <w:r w:rsidRPr="00FF4367">
        <w:rPr>
          <w:i/>
        </w:rPr>
        <w:t xml:space="preserve">chronic idiopathic </w:t>
      </w:r>
      <w:proofErr w:type="spellStart"/>
      <w:r w:rsidRPr="00FF4367">
        <w:rPr>
          <w:i/>
        </w:rPr>
        <w:t>urticaria</w:t>
      </w:r>
      <w:proofErr w:type="spellEnd"/>
      <w:r w:rsidRPr="00C017AD">
        <w:t>’ (CIU) has been proposed in Australia in contrast to ‘</w:t>
      </w:r>
      <w:r w:rsidRPr="00FF4367">
        <w:rPr>
          <w:i/>
        </w:rPr>
        <w:t xml:space="preserve">chronic spontaneous </w:t>
      </w:r>
      <w:proofErr w:type="spellStart"/>
      <w:r w:rsidRPr="00FF4367">
        <w:rPr>
          <w:i/>
        </w:rPr>
        <w:t>urticaria</w:t>
      </w:r>
      <w:proofErr w:type="spellEnd"/>
      <w:r w:rsidRPr="00C017AD">
        <w:t>’ (CSU) which is used in Europe. The term CIU was recommended by an expert advisory group of Australian physicians who specialise in the treatment of the condition</w:t>
      </w:r>
      <w:r w:rsidR="001A3F16">
        <w:t>.</w:t>
      </w:r>
      <w:r w:rsidR="00FF4367" w:rsidRPr="00FF4367">
        <w:rPr>
          <w:vertAlign w:val="superscript"/>
        </w:rPr>
        <w:fldChar w:fldCharType="begin"/>
      </w:r>
      <w:r w:rsidR="00FF4367" w:rsidRPr="00FF4367">
        <w:rPr>
          <w:vertAlign w:val="superscript"/>
        </w:rPr>
        <w:instrText xml:space="preserve"> NOTEREF _Ref420674657 \h </w:instrText>
      </w:r>
      <w:r w:rsidR="00FF4367">
        <w:rPr>
          <w:vertAlign w:val="superscript"/>
        </w:rPr>
        <w:instrText xml:space="preserve"> \* MERGEFORMAT </w:instrText>
      </w:r>
      <w:r w:rsidR="00FF4367" w:rsidRPr="00FF4367">
        <w:rPr>
          <w:vertAlign w:val="superscript"/>
        </w:rPr>
      </w:r>
      <w:r w:rsidR="00FF4367" w:rsidRPr="00FF4367">
        <w:rPr>
          <w:vertAlign w:val="superscript"/>
        </w:rPr>
        <w:fldChar w:fldCharType="separate"/>
      </w:r>
      <w:r w:rsidR="00FF4367" w:rsidRPr="00FF4367">
        <w:rPr>
          <w:vertAlign w:val="superscript"/>
        </w:rPr>
        <w:t>8</w:t>
      </w:r>
      <w:r w:rsidR="00FF4367" w:rsidRPr="00FF4367">
        <w:rPr>
          <w:vertAlign w:val="superscript"/>
        </w:rPr>
        <w:fldChar w:fldCharType="end"/>
      </w:r>
      <w:r w:rsidR="00EB6C82">
        <w:t xml:space="preserve"> Both the c</w:t>
      </w:r>
      <w:r w:rsidRPr="00C017AD">
        <w:t>lini</w:t>
      </w:r>
      <w:r w:rsidR="00EB6C82">
        <w:t>cal e</w:t>
      </w:r>
      <w:r w:rsidRPr="00C017AD">
        <w:t xml:space="preserve">valuator and the Delegate consider use of term CIU to be acceptable. It is worth noting </w:t>
      </w:r>
      <w:r w:rsidRPr="00C017AD">
        <w:lastRenderedPageBreak/>
        <w:t>that the term CIU is also used in the approved US Prescribing Information and the Canadian Product Monograph.</w:t>
      </w:r>
    </w:p>
    <w:p w:rsidR="003C64F7" w:rsidRPr="009E38B5" w:rsidRDefault="00C017AD" w:rsidP="009E38B5">
      <w:pPr>
        <w:pStyle w:val="Heading5"/>
      </w:pPr>
      <w:r w:rsidRPr="009E38B5">
        <w:t>4. Other issues</w:t>
      </w:r>
    </w:p>
    <w:p w:rsidR="00C017AD" w:rsidRPr="009E38B5" w:rsidRDefault="00C017AD" w:rsidP="009E38B5">
      <w:pPr>
        <w:pStyle w:val="Heading6"/>
      </w:pPr>
      <w:r w:rsidRPr="009E38B5">
        <w:t>Rebound effect</w:t>
      </w:r>
    </w:p>
    <w:p w:rsidR="00C017AD" w:rsidRPr="00DB45EE" w:rsidRDefault="00C017AD" w:rsidP="00C017AD">
      <w:r w:rsidRPr="00C017AD">
        <w:t>The Delegate notes that, the weekly itch score over 150% of baseline in some patients was consistent</w:t>
      </w:r>
      <w:r>
        <w:t xml:space="preserve"> </w:t>
      </w:r>
      <w:r w:rsidRPr="00C017AD">
        <w:t xml:space="preserve">with a rebound effect in </w:t>
      </w:r>
      <w:r w:rsidR="00DF0640">
        <w:t>4882g</w:t>
      </w:r>
      <w:r w:rsidRPr="00C017AD">
        <w:t>. This was</w:t>
      </w:r>
      <w:r w:rsidR="00EB6C82">
        <w:t xml:space="preserve"> also mentioned by the c</w:t>
      </w:r>
      <w:r>
        <w:t xml:space="preserve">linical </w:t>
      </w:r>
      <w:r w:rsidR="00EB6C82">
        <w:t>e</w:t>
      </w:r>
      <w:r w:rsidRPr="00C017AD">
        <w:t>valuator; who later concluded that the possible rebound effect was un</w:t>
      </w:r>
      <w:r>
        <w:t xml:space="preserve">likely to be </w:t>
      </w:r>
      <w:r w:rsidR="00DB45EE">
        <w:t>important</w:t>
      </w:r>
      <w:r w:rsidRPr="00DB45EE">
        <w:t>.</w:t>
      </w:r>
    </w:p>
    <w:p w:rsidR="00C017AD" w:rsidRPr="00C017AD" w:rsidRDefault="00C017AD" w:rsidP="00C017AD">
      <w:r w:rsidRPr="00C017AD">
        <w:t>The Delegat</w:t>
      </w:r>
      <w:r w:rsidR="00EB6C82">
        <w:t xml:space="preserve">e accepts, that the rise in CIU </w:t>
      </w:r>
      <w:r w:rsidRPr="00C017AD">
        <w:t xml:space="preserve">related severe AEs could be related to the deeper suppression of CIU symptoms by </w:t>
      </w:r>
      <w:proofErr w:type="spellStart"/>
      <w:r w:rsidRPr="00C017AD">
        <w:t>omalizumab</w:t>
      </w:r>
      <w:proofErr w:type="spellEnd"/>
      <w:r w:rsidRPr="00C017AD">
        <w:t xml:space="preserve">, although </w:t>
      </w:r>
      <w:r w:rsidR="001A3F16">
        <w:t>the Delegate</w:t>
      </w:r>
      <w:r w:rsidRPr="00C017AD">
        <w:t xml:space="preserve"> suspects it could also be due to a possible rebound effect. The results need to be interpreted with caution considering especially the recall bias. This is a known phenomenon for patients that were discontinued from active treatment following symptom improvement</w:t>
      </w:r>
      <w:r w:rsidR="001A3F16">
        <w:t>.</w:t>
      </w:r>
      <w:r w:rsidR="00EB6C82">
        <w:rPr>
          <w:rStyle w:val="FootnoteReference"/>
        </w:rPr>
        <w:footnoteReference w:id="20"/>
      </w:r>
      <w:r w:rsidRPr="00C017AD">
        <w:t xml:space="preserve"> Therefore, when assessing the symptom scores, particularly the relatively subjective itch score, the recall bias needs to be considered as well. While patients on placebo were without active treatment for at least 12 weeks with no expected change in the perception of itch, patients discontinuing from active treatment experience a higher awareness, which is reflected particularly in a subjective score such as the itch severity score. This was further corroborated by the fact that other symptom scores (</w:t>
      </w:r>
      <w:r w:rsidR="00914A38">
        <w:t>that is,</w:t>
      </w:r>
      <w:r w:rsidRPr="00C017AD">
        <w:t xml:space="preserve"> UAS7 and hives score) had similar or even lower levels compared to placebo.</w:t>
      </w:r>
    </w:p>
    <w:p w:rsidR="00C017AD" w:rsidRPr="009851C9" w:rsidRDefault="00C017AD" w:rsidP="009851C9">
      <w:r w:rsidRPr="009851C9">
        <w:t>The more objective measure of symptoms is the weekly number of hives. No imbalances were</w:t>
      </w:r>
      <w:r w:rsidR="009851C9">
        <w:t xml:space="preserve"> </w:t>
      </w:r>
      <w:r w:rsidRPr="009851C9">
        <w:t>observed in the weekly number of hives over 150% of baseline, UAS7 (</w:t>
      </w:r>
      <w:r w:rsidR="009851C9">
        <w:t xml:space="preserve">composite of the itch and hives </w:t>
      </w:r>
      <w:r w:rsidRPr="009851C9">
        <w:t xml:space="preserve">scores) over 150% of baseline and the CIU related </w:t>
      </w:r>
      <w:r w:rsidR="00C109C5">
        <w:t xml:space="preserve">serious adverse </w:t>
      </w:r>
      <w:r w:rsidR="00C109C5" w:rsidRPr="00C109C5">
        <w:t xml:space="preserve">events </w:t>
      </w:r>
      <w:r w:rsidRPr="00C109C5">
        <w:t xml:space="preserve">(SAEs), which </w:t>
      </w:r>
      <w:r w:rsidRPr="009851C9">
        <w:t>suggests that the rec</w:t>
      </w:r>
      <w:r w:rsidR="009851C9">
        <w:t xml:space="preserve">all </w:t>
      </w:r>
      <w:r w:rsidRPr="009851C9">
        <w:t xml:space="preserve">bias leads to the imbalances seen in the weekly itch score over 150% </w:t>
      </w:r>
      <w:r w:rsidR="009851C9">
        <w:t xml:space="preserve">baseline. In addition, patients </w:t>
      </w:r>
      <w:r w:rsidRPr="009851C9">
        <w:t>exhibited baseline itch and hive score in the 13 to 16 range (maximal va</w:t>
      </w:r>
      <w:r w:rsidR="009851C9">
        <w:t xml:space="preserve">lue is 21), hence, the use of a </w:t>
      </w:r>
      <w:r w:rsidRPr="009851C9">
        <w:t>50% rise criterion (</w:t>
      </w:r>
      <w:r w:rsidR="00914A38">
        <w:t>that is,</w:t>
      </w:r>
      <w:r w:rsidRPr="009851C9">
        <w:t xml:space="preserve"> over150% of baseline) reflects increments in t</w:t>
      </w:r>
      <w:r w:rsidR="009851C9">
        <w:t xml:space="preserve">he 6 to 8 points range which is </w:t>
      </w:r>
      <w:r w:rsidRPr="009851C9">
        <w:t>certainly within the range of patient perception of worsening</w:t>
      </w:r>
      <w:r w:rsidR="009851C9">
        <w:t xml:space="preserve">. </w:t>
      </w:r>
      <w:r w:rsidR="00EB6C82">
        <w:t>Furthermore, as seen in T</w:t>
      </w:r>
      <w:r w:rsidRPr="009851C9">
        <w:t xml:space="preserve">able </w:t>
      </w:r>
      <w:r w:rsidR="00EB6C82">
        <w:t>11</w:t>
      </w:r>
      <w:r w:rsidRPr="009851C9">
        <w:t>, there was no clear dos</w:t>
      </w:r>
      <w:r w:rsidR="00EB6C82">
        <w:t xml:space="preserve">e </w:t>
      </w:r>
      <w:r w:rsidR="009851C9">
        <w:t xml:space="preserve">relationship among any of the </w:t>
      </w:r>
      <w:r w:rsidRPr="009851C9">
        <w:t>over 150% symptom scores.</w:t>
      </w:r>
    </w:p>
    <w:p w:rsidR="00C017AD" w:rsidRDefault="009851C9" w:rsidP="009851C9">
      <w:r w:rsidRPr="009851C9">
        <w:t>To further determine whether patients are simply experiencing re-emerging of CIU symptoms to baseline level or worsening of symptoms beyond baseline after treatment cessation, Novartis has assessed the CIU symptom profiles of all patients (pooled pivot</w:t>
      </w:r>
      <w:r w:rsidR="00EB6C82">
        <w:t xml:space="preserve">al trials) that experienced CIU related AEs during follow </w:t>
      </w:r>
      <w:r w:rsidRPr="009851C9">
        <w:t>up. CIU symptom profiles (A to E) were defined in advance, against which a given patient profile for itch severity score and weekly number of hives following cessation of treatment was compared.</w:t>
      </w:r>
    </w:p>
    <w:p w:rsidR="009851C9" w:rsidRDefault="009851C9" w:rsidP="009851C9">
      <w:r w:rsidRPr="009851C9">
        <w:t>While profiles A and C would correspond to the natural course of the disease, profiles B and D would</w:t>
      </w:r>
      <w:r>
        <w:t xml:space="preserve"> </w:t>
      </w:r>
      <w:r w:rsidRPr="009851C9">
        <w:t>potentially represent worsening of symptoms compared to baseline (</w:t>
      </w:r>
      <w:r w:rsidR="00723F05">
        <w:t>compared with</w:t>
      </w:r>
      <w:r w:rsidRPr="009851C9">
        <w:t xml:space="preserve"> Table </w:t>
      </w:r>
      <w:r w:rsidR="00E101FB">
        <w:t>12</w:t>
      </w:r>
      <w:r w:rsidRPr="009851C9">
        <w:t xml:space="preserve"> below).</w:t>
      </w:r>
    </w:p>
    <w:p w:rsidR="009851C9" w:rsidRPr="009E38B5" w:rsidRDefault="009851C9" w:rsidP="009E38B5">
      <w:pPr>
        <w:pStyle w:val="TableTitle"/>
      </w:pPr>
      <w:r w:rsidRPr="009E38B5">
        <w:lastRenderedPageBreak/>
        <w:t xml:space="preserve">Table </w:t>
      </w:r>
      <w:r w:rsidR="00E101FB" w:rsidRPr="009E38B5">
        <w:t>12</w:t>
      </w:r>
      <w:r w:rsidRPr="009E38B5">
        <w:t>: Number of patients (%) classified according to their post-treatment CIU profile as measured by itch severity score and weekly no of hives</w:t>
      </w:r>
      <w:r w:rsidR="00DB45EE" w:rsidRPr="009E38B5">
        <w:t>.</w:t>
      </w:r>
    </w:p>
    <w:p w:rsidR="009851C9" w:rsidRPr="009851C9" w:rsidRDefault="00EB6C82" w:rsidP="009851C9">
      <w:r>
        <w:rPr>
          <w:noProof/>
          <w:lang w:eastAsia="en-AU"/>
        </w:rPr>
        <w:drawing>
          <wp:inline distT="0" distB="0" distL="0" distR="0" wp14:anchorId="650F3346" wp14:editId="132EF1D4">
            <wp:extent cx="5400040" cy="2471557"/>
            <wp:effectExtent l="0" t="0" r="0" b="5080"/>
            <wp:docPr id="7" name="Picture 7" descr="Table 12: Number of patients (%) classified according to their post-treatment CIU profile as measured by itch severity score and weekly no of 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2471557"/>
                    </a:xfrm>
                    <a:prstGeom prst="rect">
                      <a:avLst/>
                    </a:prstGeom>
                  </pic:spPr>
                </pic:pic>
              </a:graphicData>
            </a:graphic>
          </wp:inline>
        </w:drawing>
      </w:r>
    </w:p>
    <w:p w:rsidR="009851C9" w:rsidRPr="009851C9" w:rsidRDefault="009851C9" w:rsidP="009851C9">
      <w:r w:rsidRPr="009851C9">
        <w:t xml:space="preserve">The rate of CIU related AEs after cessation of treatment was greater in patients receiving </w:t>
      </w:r>
      <w:proofErr w:type="spellStart"/>
      <w:r w:rsidRPr="009851C9">
        <w:t>omalizumab</w:t>
      </w:r>
      <w:proofErr w:type="spellEnd"/>
      <w:r w:rsidRPr="009851C9">
        <w:t xml:space="preserve"> compar</w:t>
      </w:r>
      <w:r w:rsidR="00723F05">
        <w:t xml:space="preserve">ed to placebo. However, the CIU </w:t>
      </w:r>
      <w:r w:rsidRPr="009851C9">
        <w:t>related AEs of the majority patients on active treatment did not return to levels above baseline (Profile A). It is therefore concluded that the observed effect post tre</w:t>
      </w:r>
      <w:r w:rsidR="00723F05">
        <w:t xml:space="preserve">atment does indeed reflect a re </w:t>
      </w:r>
      <w:r w:rsidRPr="009851C9">
        <w:t>occurrence of symptoms close to baseline rather than a rebound effect.</w:t>
      </w:r>
    </w:p>
    <w:p w:rsidR="009851C9" w:rsidRDefault="009851C9" w:rsidP="009851C9">
      <w:r w:rsidRPr="009851C9">
        <w:t xml:space="preserve">In summary there was neither a relevant imbalance nor a dose dependent increase in the incidence of the weekly CIU signs and symptom scores over 150%. Furthermore, the return of CIU symptom scores close to baseline levels upon cessation of </w:t>
      </w:r>
      <w:proofErr w:type="spellStart"/>
      <w:r w:rsidRPr="009851C9">
        <w:t>omalizumab</w:t>
      </w:r>
      <w:proofErr w:type="spellEnd"/>
      <w:r w:rsidRPr="009851C9">
        <w:t xml:space="preserve"> treatment is most likely due to the deeper suppression of CIU symptoms by </w:t>
      </w:r>
      <w:proofErr w:type="spellStart"/>
      <w:r w:rsidRPr="009851C9">
        <w:t>omalizumab</w:t>
      </w:r>
      <w:proofErr w:type="spellEnd"/>
      <w:r w:rsidRPr="009851C9">
        <w:t>, followed by a loss of that effect after treatment cessation. Therefore the data do not provide any evide</w:t>
      </w:r>
      <w:r w:rsidR="00723F05">
        <w:t>nce justifying a change in the clinical t</w:t>
      </w:r>
      <w:r w:rsidRPr="009851C9">
        <w:t>rials section of the PI on a possible rebound effect.</w:t>
      </w:r>
    </w:p>
    <w:p w:rsidR="0089197F" w:rsidRPr="009E38B5" w:rsidRDefault="0089197F" w:rsidP="009E38B5">
      <w:pPr>
        <w:pStyle w:val="Heading5"/>
        <w:rPr>
          <w:rFonts w:eastAsiaTheme="minorHAnsi"/>
        </w:rPr>
      </w:pPr>
      <w:r w:rsidRPr="009E38B5">
        <w:rPr>
          <w:rFonts w:eastAsiaTheme="minorHAnsi"/>
        </w:rPr>
        <w:t>Concluding remarks</w:t>
      </w:r>
    </w:p>
    <w:p w:rsidR="0089197F" w:rsidRPr="0089197F" w:rsidRDefault="0089197F" w:rsidP="0089197F">
      <w:r w:rsidRPr="0089197F">
        <w:t>There is a high unmet medical need for CIU pat</w:t>
      </w:r>
      <w:r>
        <w:t>ients who fail to respond to H1 </w:t>
      </w:r>
      <w:r w:rsidRPr="0089197F">
        <w:t xml:space="preserve">antihistamines as there are no medicines approved for refractory CIU patients and many of the drugs commonly used off label have substantial toxicities. The use of </w:t>
      </w:r>
      <w:proofErr w:type="spellStart"/>
      <w:r w:rsidRPr="0089197F">
        <w:t>Xolair</w:t>
      </w:r>
      <w:proofErr w:type="spellEnd"/>
      <w:r w:rsidRPr="0089197F">
        <w:t xml:space="preserve"> in adults and adolescents (12 years of age and above) with CIU who remain symptomatic despite H1 antihistamine treatment is supported by two pivotal randomised controlled trials in the target</w:t>
      </w:r>
      <w:r w:rsidR="001A3F16">
        <w:t xml:space="preserve"> patient population. The P</w:t>
      </w:r>
      <w:r>
        <w:t>hase III</w:t>
      </w:r>
      <w:r w:rsidRPr="0089197F">
        <w:t xml:space="preserve"> program has demonstrated that </w:t>
      </w:r>
      <w:proofErr w:type="spellStart"/>
      <w:r w:rsidRPr="0089197F">
        <w:t>omalizumab</w:t>
      </w:r>
      <w:proofErr w:type="spellEnd"/>
      <w:r w:rsidRPr="0089197F">
        <w:t xml:space="preserve"> produced statistically and clinically significant improvements in the symptoms and signs of CIU in patients who had remained symptomatic despite </w:t>
      </w:r>
      <w:r>
        <w:t>the use of approved doses of H1</w:t>
      </w:r>
      <w:r w:rsidRPr="0089197F">
        <w:t xml:space="preserve"> antihistamines.</w:t>
      </w:r>
    </w:p>
    <w:p w:rsidR="0089197F" w:rsidRPr="0089197F" w:rsidRDefault="0089197F" w:rsidP="0089197F">
      <w:r w:rsidRPr="0089197F">
        <w:t xml:space="preserve">The recommended dose of 300 mg every 4 weeks is well supported by the trial results. Pooled efficacy data from the two pivotal trials are consistent with the results from the individual studies with a larger difference to placebo in the 300 mg </w:t>
      </w:r>
      <w:proofErr w:type="spellStart"/>
      <w:r w:rsidRPr="0089197F">
        <w:t>omalizumab</w:t>
      </w:r>
      <w:proofErr w:type="spellEnd"/>
      <w:r w:rsidRPr="0089197F">
        <w:t xml:space="preserve"> group than the 150 mg group. Still, it was shown that 150 mg every 4 weeks resulted in a significant improvement in most of the endpoints and therefore some patients may achieve control of their symptoms with a dose of 150 mg. Even though it is not possible to predict which patient group would benefit from the 150 mg dose, treatment flexibility should be provided to patients and physicians.</w:t>
      </w:r>
    </w:p>
    <w:p w:rsidR="0089197F" w:rsidRPr="0089197F" w:rsidRDefault="0089197F" w:rsidP="0089197F">
      <w:r w:rsidRPr="0089197F">
        <w:t xml:space="preserve">In addition, the safety and tolerability profile of </w:t>
      </w:r>
      <w:proofErr w:type="spellStart"/>
      <w:r w:rsidRPr="0089197F">
        <w:t>omalizumab</w:t>
      </w:r>
      <w:proofErr w:type="spellEnd"/>
      <w:r w:rsidRPr="0089197F">
        <w:t xml:space="preserve"> in CIU was favourable for any dose with no new safety issues in the new patient population</w:t>
      </w:r>
      <w:r>
        <w:t>, over the trial period of 6 </w:t>
      </w:r>
      <w:r w:rsidRPr="0089197F">
        <w:t>months. Based on the ex</w:t>
      </w:r>
      <w:r w:rsidR="006B5729">
        <w:t>tensive clinical trial an</w:t>
      </w:r>
      <w:r w:rsidR="001A3F16">
        <w:t>d post</w:t>
      </w:r>
      <w:r w:rsidR="001F6679">
        <w:t xml:space="preserve"> </w:t>
      </w:r>
      <w:r w:rsidRPr="0089197F">
        <w:t>marketing data in the asthma population no changes to the safety profile are antic</w:t>
      </w:r>
      <w:r>
        <w:t xml:space="preserve">ipated in CIU patients beyond </w:t>
      </w:r>
      <w:r>
        <w:lastRenderedPageBreak/>
        <w:t>6 </w:t>
      </w:r>
      <w:r w:rsidRPr="0089197F">
        <w:t xml:space="preserve">months. In addition, there is no evidence of an induction of tolerance or </w:t>
      </w:r>
      <w:proofErr w:type="spellStart"/>
      <w:r w:rsidRPr="0089197F">
        <w:t>tachyphylaxis</w:t>
      </w:r>
      <w:proofErr w:type="spellEnd"/>
      <w:r w:rsidRPr="0089197F">
        <w:t xml:space="preserve"> that would limit treatment duration and treatment gui</w:t>
      </w:r>
      <w:r>
        <w:t>delines recommend at least 6 </w:t>
      </w:r>
      <w:r w:rsidRPr="0089197F">
        <w:t xml:space="preserve">months treatment of CIU. The PI, in line with Australian clinical practice and guidelines, recommends periodic reassessment of symptoms in order to ensure the most appropriate treatment option is considered by the physician to meet the patients’ needs. While mean weekly itch severity score and mean UAS7 increased after the end of treatment, they did not return to baseline levels in any treatment group (including placebo), suggesting that there was no rebound </w:t>
      </w:r>
      <w:r>
        <w:t>effect</w:t>
      </w:r>
      <w:r w:rsidRPr="0089197F">
        <w:t>.</w:t>
      </w:r>
    </w:p>
    <w:p w:rsidR="008E7846" w:rsidRPr="009E38B5" w:rsidRDefault="009E38B5" w:rsidP="009E38B5">
      <w:pPr>
        <w:pStyle w:val="Heading4"/>
      </w:pPr>
      <w:r>
        <w:t>Advisory c</w:t>
      </w:r>
      <w:r w:rsidR="008E7846" w:rsidRPr="009E38B5">
        <w:t xml:space="preserve">ommittee </w:t>
      </w:r>
      <w:r>
        <w:t>c</w:t>
      </w:r>
      <w:r w:rsidR="008E7846" w:rsidRPr="009E38B5">
        <w:t>onsiderations</w:t>
      </w:r>
    </w:p>
    <w:p w:rsidR="008E7846" w:rsidRDefault="00D23139" w:rsidP="008E7846">
      <w:pPr>
        <w:rPr>
          <w:bCs/>
        </w:rPr>
      </w:pPr>
      <w:r w:rsidRPr="00D23139">
        <w:rPr>
          <w:bCs/>
        </w:rPr>
        <w:t>The Advisory Committee on Prescription Medicines (ACPM), having considered the evaluations and the Delegate’s overview, as well as the sponsor’s response to these documents, advised the following:</w:t>
      </w:r>
    </w:p>
    <w:p w:rsidR="00153DEB" w:rsidRPr="00AF0EFB" w:rsidRDefault="00153DEB" w:rsidP="00153DEB">
      <w:pPr>
        <w:tabs>
          <w:tab w:val="left" w:pos="1710"/>
          <w:tab w:val="right" w:pos="9026"/>
        </w:tabs>
        <w:rPr>
          <w:rFonts w:cs="Calibri"/>
          <w:b/>
        </w:rPr>
      </w:pPr>
      <w:r w:rsidRPr="00AF0EFB">
        <w:rPr>
          <w:rFonts w:cs="Calibri"/>
        </w:rPr>
        <w:t>The ACPM, taking into account the submitted evidence of efficacy, safet</w:t>
      </w:r>
      <w:r>
        <w:rPr>
          <w:rFonts w:cs="Calibri"/>
        </w:rPr>
        <w:t>y and quality, agreed with the D</w:t>
      </w:r>
      <w:r w:rsidRPr="00AF0EFB">
        <w:rPr>
          <w:rFonts w:cs="Calibri"/>
        </w:rPr>
        <w:t xml:space="preserve">elegate and considered </w:t>
      </w:r>
      <w:proofErr w:type="spellStart"/>
      <w:r w:rsidRPr="00AF0EFB">
        <w:rPr>
          <w:bCs/>
        </w:rPr>
        <w:t>X</w:t>
      </w:r>
      <w:r w:rsidR="00164504" w:rsidRPr="00AF0EFB">
        <w:rPr>
          <w:bCs/>
        </w:rPr>
        <w:t>olair</w:t>
      </w:r>
      <w:proofErr w:type="spellEnd"/>
      <w:r w:rsidRPr="00AF0EFB">
        <w:rPr>
          <w:bCs/>
        </w:rPr>
        <w:t>,</w:t>
      </w:r>
      <w:r w:rsidRPr="00AF0EFB">
        <w:t xml:space="preserve"> </w:t>
      </w:r>
      <w:r w:rsidRPr="00AF0EFB">
        <w:rPr>
          <w:bCs/>
        </w:rPr>
        <w:t xml:space="preserve">lyophilised powder for injection, containing 75 mg and 150 mg of </w:t>
      </w:r>
      <w:proofErr w:type="spellStart"/>
      <w:r w:rsidRPr="00AF0EFB">
        <w:rPr>
          <w:bCs/>
        </w:rPr>
        <w:t>omalizumab</w:t>
      </w:r>
      <w:proofErr w:type="spellEnd"/>
      <w:r w:rsidRPr="00AF0EFB">
        <w:rPr>
          <w:bCs/>
        </w:rPr>
        <w:t>,</w:t>
      </w:r>
      <w:r w:rsidRPr="00AF0EFB">
        <w:rPr>
          <w:b/>
          <w:bCs/>
        </w:rPr>
        <w:t xml:space="preserve"> </w:t>
      </w:r>
      <w:r w:rsidRPr="00AF0EFB">
        <w:rPr>
          <w:bCs/>
        </w:rPr>
        <w:t xml:space="preserve">and solution for injection in a pre-filled syringe containing </w:t>
      </w:r>
      <w:proofErr w:type="spellStart"/>
      <w:r w:rsidRPr="00AF0EFB">
        <w:rPr>
          <w:bCs/>
        </w:rPr>
        <w:t>omalizumab</w:t>
      </w:r>
      <w:proofErr w:type="spellEnd"/>
      <w:r w:rsidRPr="00AF0EFB">
        <w:rPr>
          <w:b/>
          <w:bCs/>
        </w:rPr>
        <w:t xml:space="preserve"> </w:t>
      </w:r>
      <w:r w:rsidRPr="00AF0EFB">
        <w:rPr>
          <w:bCs/>
        </w:rPr>
        <w:t xml:space="preserve">75 mg in 0.5 mL and 150 mg in 1 mL </w:t>
      </w:r>
      <w:r w:rsidRPr="00AF0EFB">
        <w:rPr>
          <w:rFonts w:cs="Calibri"/>
        </w:rPr>
        <w:t>to have an overall positive benefit–r</w:t>
      </w:r>
      <w:r w:rsidR="00F63797">
        <w:rPr>
          <w:rFonts w:cs="Calibri"/>
        </w:rPr>
        <w:t>isk profile for the indication:</w:t>
      </w:r>
    </w:p>
    <w:p w:rsidR="00153DEB" w:rsidRPr="00AF0EFB" w:rsidRDefault="00153DEB" w:rsidP="00153DEB">
      <w:pPr>
        <w:tabs>
          <w:tab w:val="left" w:pos="1710"/>
          <w:tab w:val="right" w:pos="9026"/>
        </w:tabs>
        <w:spacing w:after="240"/>
        <w:ind w:left="567"/>
        <w:rPr>
          <w:rFonts w:cs="Calibri"/>
          <w:i/>
        </w:rPr>
      </w:pPr>
      <w:proofErr w:type="gramStart"/>
      <w:r w:rsidRPr="00AF0EFB">
        <w:rPr>
          <w:rFonts w:cs="Calibri"/>
          <w:i/>
        </w:rPr>
        <w:t xml:space="preserve">…for adults and adolescents (12 years of age and above) with chronic idiopathic </w:t>
      </w:r>
      <w:proofErr w:type="spellStart"/>
      <w:r w:rsidRPr="00AF0EFB">
        <w:rPr>
          <w:rFonts w:cs="Calibri"/>
          <w:i/>
        </w:rPr>
        <w:t>urticaria</w:t>
      </w:r>
      <w:proofErr w:type="spellEnd"/>
      <w:r w:rsidRPr="00AF0EFB">
        <w:rPr>
          <w:rFonts w:cs="Calibri"/>
          <w:i/>
        </w:rPr>
        <w:t xml:space="preserve"> who remain symptomatic despite H1 antihistamine treatment</w:t>
      </w:r>
      <w:r w:rsidR="00F63797">
        <w:rPr>
          <w:rFonts w:cs="Calibri"/>
          <w:i/>
        </w:rPr>
        <w:t>.</w:t>
      </w:r>
      <w:proofErr w:type="gramEnd"/>
    </w:p>
    <w:p w:rsidR="00153DEB" w:rsidRPr="00AF0EFB" w:rsidRDefault="00153DEB" w:rsidP="009E38B5">
      <w:pPr>
        <w:pStyle w:val="Heading5"/>
        <w:rPr>
          <w:rFonts w:cs="Arial"/>
        </w:rPr>
      </w:pPr>
      <w:r w:rsidRPr="00AF0EFB">
        <w:t xml:space="preserve">Specific </w:t>
      </w:r>
      <w:r w:rsidR="009C3BDF">
        <w:t>a</w:t>
      </w:r>
      <w:r w:rsidRPr="00AF0EFB">
        <w:t>dvice</w:t>
      </w:r>
    </w:p>
    <w:p w:rsidR="00153DEB" w:rsidRPr="00AF0EFB" w:rsidRDefault="00153DEB" w:rsidP="00153DEB">
      <w:pPr>
        <w:tabs>
          <w:tab w:val="left" w:pos="1710"/>
          <w:tab w:val="right" w:pos="9026"/>
        </w:tabs>
        <w:rPr>
          <w:b/>
          <w:bCs/>
          <w:iCs/>
          <w:highlight w:val="yellow"/>
        </w:rPr>
      </w:pPr>
      <w:r w:rsidRPr="00AF0EFB">
        <w:rPr>
          <w:rFonts w:cs="Arial"/>
        </w:rPr>
        <w:t>The ACPM advised the following in response to the delegate’s specific questions on this submission:</w:t>
      </w:r>
    </w:p>
    <w:p w:rsidR="00153DEB" w:rsidRPr="00723F05" w:rsidRDefault="00153DEB" w:rsidP="00B46B95">
      <w:pPr>
        <w:pStyle w:val="Numberbullet0"/>
        <w:numPr>
          <w:ilvl w:val="0"/>
          <w:numId w:val="8"/>
        </w:numPr>
        <w:rPr>
          <w:i/>
        </w:rPr>
      </w:pPr>
      <w:r w:rsidRPr="00723F05">
        <w:rPr>
          <w:i/>
        </w:rPr>
        <w:t>How should the absence of clinical data about use beyond 6 months in CIU be managed?</w:t>
      </w:r>
    </w:p>
    <w:p w:rsidR="00153DEB" w:rsidRPr="00723F05" w:rsidRDefault="00153DEB" w:rsidP="00723F05">
      <w:r w:rsidRPr="00723F05">
        <w:t>The ACPM advised that continued clinical effect is appropriate to guide long term use. In addition, the RMP could be used to gather information regarding long te</w:t>
      </w:r>
      <w:r w:rsidR="006B5729">
        <w:t xml:space="preserve">rm </w:t>
      </w:r>
      <w:proofErr w:type="spellStart"/>
      <w:r w:rsidR="006B5729">
        <w:t>omalizumab</w:t>
      </w:r>
      <w:proofErr w:type="spellEnd"/>
      <w:r w:rsidR="006B5729">
        <w:t xml:space="preserve"> use in </w:t>
      </w:r>
      <w:proofErr w:type="spellStart"/>
      <w:r w:rsidR="006B5729">
        <w:t>urticaria</w:t>
      </w:r>
      <w:proofErr w:type="spellEnd"/>
      <w:r w:rsidR="006B5729">
        <w:t>.</w:t>
      </w:r>
    </w:p>
    <w:p w:rsidR="00153DEB" w:rsidRPr="00723F05" w:rsidRDefault="00153DEB" w:rsidP="00723F05">
      <w:pPr>
        <w:pStyle w:val="Numberbullet0"/>
      </w:pPr>
      <w:r w:rsidRPr="00723F05">
        <w:rPr>
          <w:i/>
        </w:rPr>
        <w:t>When is it appropriate to advise use of 150 mg q4wk?</w:t>
      </w:r>
    </w:p>
    <w:p w:rsidR="00153DEB" w:rsidRPr="00723F05" w:rsidRDefault="00153DEB" w:rsidP="00723F05">
      <w:r w:rsidRPr="00723F05">
        <w:t>The ACPM agreed that currently there was nothing to base different dosage advice on and that the current dosing in the PI should remain which allows maximum flexibility for the prescriber. However, the ACPM advised that the RMP should include a condition to gather further detailed information on the appropriate use and circumstance of each dosage.</w:t>
      </w:r>
    </w:p>
    <w:p w:rsidR="00153DEB" w:rsidRPr="00723F05" w:rsidRDefault="00153DEB" w:rsidP="00723F05">
      <w:r w:rsidRPr="00723F05">
        <w:t>The ACPM agreed that the data presented were not particularly helpful in informing physicians on appropriate dose and schedule, as more patients responded to the 300 mg dose but some responded to 150 mg. The ACPM considered the data showed that 300 mg was an effective dose. The ACPM noted, however, that for some patients an appropriate starting dose might be 150 mg. The ACPM also noted there were more side effects with the higher dosage. However the trials presented to the ACPM did not explore alternate dosing strategies, suc</w:t>
      </w:r>
      <w:r w:rsidR="006B5729">
        <w:t>h as:</w:t>
      </w:r>
    </w:p>
    <w:p w:rsidR="00153DEB" w:rsidRPr="00723F05" w:rsidRDefault="00153DEB" w:rsidP="00723F05">
      <w:pPr>
        <w:pStyle w:val="ListBullet"/>
      </w:pPr>
      <w:proofErr w:type="gramStart"/>
      <w:r w:rsidRPr="00723F05">
        <w:t>commencing</w:t>
      </w:r>
      <w:proofErr w:type="gramEnd"/>
      <w:r w:rsidRPr="00723F05">
        <w:t xml:space="preserve"> with 150 mg and, in the event of lack of response, sw</w:t>
      </w:r>
      <w:r w:rsidR="00723F05">
        <w:t xml:space="preserve">itching to 300 mg after, say, 2 to </w:t>
      </w:r>
      <w:r w:rsidRPr="00723F05">
        <w:t>3 doses.)</w:t>
      </w:r>
      <w:r w:rsidR="00723F05">
        <w:t xml:space="preserve"> or</w:t>
      </w:r>
    </w:p>
    <w:p w:rsidR="00153DEB" w:rsidRPr="00723F05" w:rsidRDefault="00153DEB" w:rsidP="00723F05">
      <w:pPr>
        <w:pStyle w:val="ListBullet"/>
      </w:pPr>
      <w:proofErr w:type="gramStart"/>
      <w:r w:rsidRPr="00723F05">
        <w:t>to</w:t>
      </w:r>
      <w:proofErr w:type="gramEnd"/>
      <w:r w:rsidRPr="00723F05">
        <w:t xml:space="preserve"> initiate therapy with the</w:t>
      </w:r>
      <w:r w:rsidR="00723F05">
        <w:t xml:space="preserve"> 300 mg dosage and using a step </w:t>
      </w:r>
      <w:r w:rsidRPr="00723F05">
        <w:t>down approach, after stabilisation, some patients may find the lower 150 mg dosage adequa</w:t>
      </w:r>
      <w:r w:rsidR="006B5729">
        <w:t>te to maintain clinical effect.</w:t>
      </w:r>
    </w:p>
    <w:p w:rsidR="00153DEB" w:rsidRPr="00723F05" w:rsidRDefault="00153DEB" w:rsidP="00723F05">
      <w:pPr>
        <w:pStyle w:val="Numberbullet0"/>
      </w:pPr>
      <w:r w:rsidRPr="00723F05">
        <w:rPr>
          <w:i/>
        </w:rPr>
        <w:t xml:space="preserve">Does </w:t>
      </w:r>
      <w:proofErr w:type="spellStart"/>
      <w:r w:rsidRPr="00723F05">
        <w:rPr>
          <w:i/>
        </w:rPr>
        <w:t>omalizumab</w:t>
      </w:r>
      <w:proofErr w:type="spellEnd"/>
      <w:r w:rsidRPr="00723F05">
        <w:rPr>
          <w:i/>
        </w:rPr>
        <w:t xml:space="preserve"> have a positive benefit-risk balance in adults and adolescents with CIU who remain symptomatic despite H1 antihistamine treatment, or in any other CIU population?</w:t>
      </w:r>
    </w:p>
    <w:p w:rsidR="00153DEB" w:rsidRPr="00723F05" w:rsidRDefault="00153DEB" w:rsidP="00723F05">
      <w:r w:rsidRPr="00723F05">
        <w:lastRenderedPageBreak/>
        <w:t xml:space="preserve">The ACPM advised that on the basis of the data presented that </w:t>
      </w:r>
      <w:proofErr w:type="spellStart"/>
      <w:r w:rsidRPr="00723F05">
        <w:t>omalizumab</w:t>
      </w:r>
      <w:proofErr w:type="spellEnd"/>
      <w:r w:rsidRPr="00723F05">
        <w:t xml:space="preserve"> has a positive benefit-risk balance for the proposed indication and dosing regimen.</w:t>
      </w:r>
    </w:p>
    <w:p w:rsidR="00153DEB" w:rsidRPr="00164504" w:rsidRDefault="00153DEB" w:rsidP="00164504">
      <w:pPr>
        <w:tabs>
          <w:tab w:val="left" w:pos="1710"/>
          <w:tab w:val="right" w:pos="9026"/>
        </w:tabs>
        <w:spacing w:after="240"/>
        <w:rPr>
          <w:bCs/>
        </w:rPr>
      </w:pPr>
      <w:r w:rsidRPr="00AF0EFB">
        <w:rPr>
          <w:bCs/>
        </w:rPr>
        <w:t>The ACPM advised that the implementation by the sponsor of the recommendations outlined above to the satisfaction of the TGA, in addition to the evidence of efficacy and safety provided would support the safe and ef</w:t>
      </w:r>
      <w:r w:rsidR="006B5729">
        <w:rPr>
          <w:bCs/>
        </w:rPr>
        <w:t>fective use of these products.</w:t>
      </w:r>
    </w:p>
    <w:p w:rsidR="008E7846" w:rsidRPr="009E38B5" w:rsidRDefault="008E7846" w:rsidP="009E38B5">
      <w:pPr>
        <w:pStyle w:val="Heading3"/>
      </w:pPr>
      <w:bookmarkStart w:id="171" w:name="_Toc247691532"/>
      <w:bookmarkStart w:id="172" w:name="_Toc314842516"/>
      <w:bookmarkStart w:id="173" w:name="_Toc426984872"/>
      <w:bookmarkEnd w:id="138"/>
      <w:bookmarkEnd w:id="168"/>
      <w:bookmarkEnd w:id="169"/>
      <w:r w:rsidRPr="009E38B5">
        <w:t>Outcome</w:t>
      </w:r>
      <w:bookmarkEnd w:id="171"/>
      <w:bookmarkEnd w:id="172"/>
      <w:bookmarkEnd w:id="173"/>
    </w:p>
    <w:p w:rsidR="004F08EE" w:rsidRDefault="00D23139" w:rsidP="00D23139">
      <w:bookmarkStart w:id="174" w:name="_Toc247691533"/>
      <w:bookmarkStart w:id="175" w:name="_Toc314842517"/>
      <w:r w:rsidRPr="00D23139">
        <w:t>Based on a review of quality, safety and efficacy, TG</w:t>
      </w:r>
      <w:r w:rsidR="001910C9">
        <w:t xml:space="preserve">A approved the registration of </w:t>
      </w:r>
    </w:p>
    <w:p w:rsidR="004F08EE" w:rsidRDefault="001910C9" w:rsidP="004F08EE">
      <w:pPr>
        <w:pStyle w:val="ListBullet"/>
      </w:pPr>
      <w:proofErr w:type="spellStart"/>
      <w:r>
        <w:t>Xolair</w:t>
      </w:r>
      <w:proofErr w:type="spellEnd"/>
      <w:r>
        <w:t xml:space="preserve"> </w:t>
      </w:r>
      <w:proofErr w:type="spellStart"/>
      <w:r>
        <w:t>omalizumab</w:t>
      </w:r>
      <w:proofErr w:type="spellEnd"/>
      <w:r>
        <w:t xml:space="preserve"> (</w:t>
      </w:r>
      <w:proofErr w:type="spellStart"/>
      <w:r>
        <w:t>rch</w:t>
      </w:r>
      <w:proofErr w:type="spellEnd"/>
      <w:r>
        <w:t>)</w:t>
      </w:r>
      <w:r w:rsidR="004F08EE">
        <w:t xml:space="preserve"> 150 mg powder for injection vial with diluent ampoule</w:t>
      </w:r>
    </w:p>
    <w:p w:rsidR="004F08EE" w:rsidRDefault="001910C9" w:rsidP="004F08EE">
      <w:pPr>
        <w:pStyle w:val="ListBullet"/>
      </w:pPr>
      <w:proofErr w:type="spellStart"/>
      <w:r w:rsidRPr="004F08EE">
        <w:t>Xolair</w:t>
      </w:r>
      <w:proofErr w:type="spellEnd"/>
      <w:r w:rsidRPr="004F08EE">
        <w:t xml:space="preserve"> </w:t>
      </w:r>
      <w:proofErr w:type="spellStart"/>
      <w:r w:rsidRPr="004F08EE">
        <w:t>omalizumab</w:t>
      </w:r>
      <w:proofErr w:type="spellEnd"/>
      <w:r w:rsidRPr="004F08EE">
        <w:t xml:space="preserve"> (</w:t>
      </w:r>
      <w:proofErr w:type="spellStart"/>
      <w:r w:rsidRPr="004F08EE">
        <w:t>rch</w:t>
      </w:r>
      <w:proofErr w:type="spellEnd"/>
      <w:r w:rsidRPr="004F08EE">
        <w:t>)</w:t>
      </w:r>
      <w:r w:rsidR="004F08EE" w:rsidRPr="004F08EE">
        <w:t xml:space="preserve"> </w:t>
      </w:r>
      <w:r w:rsidR="004F08EE">
        <w:t>75</w:t>
      </w:r>
      <w:r w:rsidR="004F08EE" w:rsidRPr="004F08EE">
        <w:t xml:space="preserve"> mg powder for injection vial with diluent ampoule</w:t>
      </w:r>
    </w:p>
    <w:p w:rsidR="004F08EE" w:rsidRDefault="004F08EE" w:rsidP="004F08EE">
      <w:pPr>
        <w:pStyle w:val="ListBullet"/>
      </w:pPr>
      <w:proofErr w:type="spellStart"/>
      <w:r w:rsidRPr="004F08EE">
        <w:t>Xolair</w:t>
      </w:r>
      <w:proofErr w:type="spellEnd"/>
      <w:r w:rsidRPr="004F08EE">
        <w:t xml:space="preserve"> </w:t>
      </w:r>
      <w:proofErr w:type="spellStart"/>
      <w:r w:rsidRPr="004F08EE">
        <w:t>omalizumab</w:t>
      </w:r>
      <w:proofErr w:type="spellEnd"/>
      <w:r w:rsidRPr="004F08EE">
        <w:t xml:space="preserve"> (</w:t>
      </w:r>
      <w:proofErr w:type="spellStart"/>
      <w:r w:rsidRPr="004F08EE">
        <w:t>rch</w:t>
      </w:r>
      <w:proofErr w:type="spellEnd"/>
      <w:r w:rsidRPr="004F08EE">
        <w:t xml:space="preserve">) </w:t>
      </w:r>
      <w:r>
        <w:t>150</w:t>
      </w:r>
      <w:r w:rsidRPr="004F08EE">
        <w:t xml:space="preserve"> mg </w:t>
      </w:r>
      <w:r>
        <w:t>solution</w:t>
      </w:r>
      <w:r w:rsidRPr="004F08EE">
        <w:t xml:space="preserve"> for injection </w:t>
      </w:r>
      <w:r>
        <w:t>pre filled syringe</w:t>
      </w:r>
    </w:p>
    <w:p w:rsidR="004F08EE" w:rsidRDefault="004F08EE" w:rsidP="004F08EE">
      <w:pPr>
        <w:pStyle w:val="ListBullet"/>
      </w:pPr>
      <w:proofErr w:type="spellStart"/>
      <w:r w:rsidRPr="004F08EE">
        <w:t>Xolair</w:t>
      </w:r>
      <w:proofErr w:type="spellEnd"/>
      <w:r w:rsidRPr="004F08EE">
        <w:t xml:space="preserve"> </w:t>
      </w:r>
      <w:proofErr w:type="spellStart"/>
      <w:r w:rsidRPr="004F08EE">
        <w:t>omalizumab</w:t>
      </w:r>
      <w:proofErr w:type="spellEnd"/>
      <w:r w:rsidRPr="004F08EE">
        <w:t xml:space="preserve"> (</w:t>
      </w:r>
      <w:proofErr w:type="spellStart"/>
      <w:r w:rsidRPr="004F08EE">
        <w:t>rch</w:t>
      </w:r>
      <w:proofErr w:type="spellEnd"/>
      <w:r w:rsidRPr="004F08EE">
        <w:t xml:space="preserve">) </w:t>
      </w:r>
      <w:r>
        <w:t>75</w:t>
      </w:r>
      <w:r w:rsidRPr="004F08EE">
        <w:t xml:space="preserve"> mg solution for injection pre filled syringe</w:t>
      </w:r>
    </w:p>
    <w:p w:rsidR="00D23139" w:rsidRDefault="00D23139" w:rsidP="004F08EE">
      <w:proofErr w:type="gramStart"/>
      <w:r w:rsidRPr="00D23139">
        <w:t>indicated</w:t>
      </w:r>
      <w:proofErr w:type="gramEnd"/>
      <w:r w:rsidRPr="00D23139">
        <w:t xml:space="preserve"> for:</w:t>
      </w:r>
    </w:p>
    <w:p w:rsidR="00164504" w:rsidRPr="00164504" w:rsidRDefault="00164504" w:rsidP="00164504">
      <w:pPr>
        <w:ind w:left="720"/>
        <w:rPr>
          <w:i/>
        </w:rPr>
      </w:pPr>
      <w:r w:rsidRPr="00164504">
        <w:rPr>
          <w:i/>
        </w:rPr>
        <w:t xml:space="preserve">Chronic idiopathic </w:t>
      </w:r>
      <w:proofErr w:type="spellStart"/>
      <w:r w:rsidRPr="00164504">
        <w:rPr>
          <w:i/>
        </w:rPr>
        <w:t>urticaria</w:t>
      </w:r>
      <w:proofErr w:type="spellEnd"/>
      <w:r w:rsidRPr="00164504">
        <w:rPr>
          <w:i/>
        </w:rPr>
        <w:t xml:space="preserve"> (CIU)</w:t>
      </w:r>
    </w:p>
    <w:p w:rsidR="00D23139" w:rsidRPr="00164504" w:rsidRDefault="00164504" w:rsidP="00164504">
      <w:pPr>
        <w:ind w:left="720"/>
        <w:rPr>
          <w:i/>
        </w:rPr>
      </w:pPr>
      <w:proofErr w:type="gramStart"/>
      <w:r>
        <w:rPr>
          <w:i/>
        </w:rPr>
        <w:t>for</w:t>
      </w:r>
      <w:proofErr w:type="gramEnd"/>
      <w:r>
        <w:rPr>
          <w:i/>
        </w:rPr>
        <w:t xml:space="preserve"> </w:t>
      </w:r>
      <w:r w:rsidR="004F08EE" w:rsidRPr="00164504">
        <w:rPr>
          <w:i/>
        </w:rPr>
        <w:t xml:space="preserve">adults and adolescents (12 years of age and above) with chromic idiopathic </w:t>
      </w:r>
      <w:proofErr w:type="spellStart"/>
      <w:r w:rsidR="004F08EE" w:rsidRPr="00164504">
        <w:rPr>
          <w:i/>
        </w:rPr>
        <w:t>urticaria</w:t>
      </w:r>
      <w:proofErr w:type="spellEnd"/>
      <w:r w:rsidR="004F08EE" w:rsidRPr="00164504">
        <w:rPr>
          <w:i/>
        </w:rPr>
        <w:t xml:space="preserve"> who remain symptomatic despite antihistamine treatment</w:t>
      </w:r>
      <w:r>
        <w:rPr>
          <w:i/>
        </w:rPr>
        <w:t>.</w:t>
      </w:r>
    </w:p>
    <w:p w:rsidR="00D23139" w:rsidRPr="009E38B5" w:rsidRDefault="00D23139" w:rsidP="009E38B5">
      <w:pPr>
        <w:pStyle w:val="Heading4"/>
      </w:pPr>
      <w:r w:rsidRPr="009E38B5">
        <w:t>Specific conditions of registration applying to these goods</w:t>
      </w:r>
    </w:p>
    <w:p w:rsidR="00164504" w:rsidRPr="00164504" w:rsidRDefault="00164504" w:rsidP="00164504">
      <w:r w:rsidRPr="00164504">
        <w:t>The European Risk Manageme</w:t>
      </w:r>
      <w:r>
        <w:t>nt Plan (Version 9.2, dated 16 J</w:t>
      </w:r>
      <w:r w:rsidRPr="00164504">
        <w:t>anuary 2014), with an</w:t>
      </w:r>
      <w:r>
        <w:t xml:space="preserve"> </w:t>
      </w:r>
      <w:r w:rsidRPr="00164504">
        <w:t>Australian Specific Annex (Version 2.0, dated 3Iune 20</w:t>
      </w:r>
      <w:r>
        <w:t xml:space="preserve">14), to be amended as agreed by </w:t>
      </w:r>
      <w:r w:rsidRPr="00164504">
        <w:t>the TGA, must be implemented.</w:t>
      </w:r>
    </w:p>
    <w:p w:rsidR="008E7846" w:rsidRPr="009E38B5" w:rsidRDefault="00A80B5B" w:rsidP="009E38B5">
      <w:pPr>
        <w:pStyle w:val="Heading2"/>
      </w:pPr>
      <w:bookmarkStart w:id="176" w:name="_Toc426984873"/>
      <w:proofErr w:type="gramStart"/>
      <w:r w:rsidRPr="009E38B5">
        <w:t>Attachment 1.</w:t>
      </w:r>
      <w:proofErr w:type="gramEnd"/>
      <w:r w:rsidRPr="009E38B5">
        <w:t xml:space="preserve"> </w:t>
      </w:r>
      <w:r w:rsidR="008E7846" w:rsidRPr="009E38B5">
        <w:t xml:space="preserve">Product </w:t>
      </w:r>
      <w:r w:rsidR="00AA0ED0" w:rsidRPr="009E38B5">
        <w:t>I</w:t>
      </w:r>
      <w:r w:rsidR="008E7846" w:rsidRPr="009E38B5">
        <w:t>nformation</w:t>
      </w:r>
      <w:bookmarkEnd w:id="174"/>
      <w:bookmarkEnd w:id="175"/>
      <w:bookmarkEnd w:id="176"/>
    </w:p>
    <w:p w:rsidR="00C80137" w:rsidRDefault="002B3624" w:rsidP="001910C9">
      <w:pPr>
        <w:tabs>
          <w:tab w:val="left" w:pos="1985"/>
        </w:tabs>
        <w:rPr>
          <w:color w:val="000000"/>
          <w:lang w:eastAsia="en-AU"/>
        </w:rPr>
      </w:pPr>
      <w:r w:rsidRPr="002B3624">
        <w:t xml:space="preserve">The Product Information approved for </w:t>
      </w:r>
      <w:proofErr w:type="spellStart"/>
      <w:r w:rsidR="001910C9">
        <w:t>Xolair</w:t>
      </w:r>
      <w:proofErr w:type="spellEnd"/>
      <w:r w:rsidR="001910C9">
        <w:t xml:space="preserve"> </w:t>
      </w:r>
      <w:r w:rsidRPr="002B3624">
        <w:t xml:space="preserve">at the time this </w:t>
      </w:r>
      <w:proofErr w:type="spellStart"/>
      <w:r w:rsidRPr="002B3624">
        <w:t>AusPAR</w:t>
      </w:r>
      <w:proofErr w:type="spellEnd"/>
      <w:r w:rsidRPr="002B3624">
        <w:t xml:space="preserve"> was published is at Attachment 1. For the most recent Product Information please refer to the TGA website at &lt;</w:t>
      </w:r>
      <w:hyperlink r:id="rId25" w:history="1">
        <w:r w:rsidR="00383221">
          <w:rPr>
            <w:rStyle w:val="Hyperlink"/>
          </w:rPr>
          <w:t>https://www.tga.gov.au/product-information-pi</w:t>
        </w:r>
      </w:hyperlink>
      <w:r w:rsidR="004F08EE">
        <w:t>&gt;.</w:t>
      </w:r>
    </w:p>
    <w:p w:rsidR="00C80137" w:rsidRPr="009E38B5" w:rsidRDefault="00C80137" w:rsidP="009E38B5">
      <w:pPr>
        <w:pStyle w:val="Heading2"/>
      </w:pPr>
      <w:bookmarkStart w:id="177" w:name="_Toc426984874"/>
      <w:proofErr w:type="gramStart"/>
      <w:r w:rsidRPr="009E38B5">
        <w:t>Attachment 2.</w:t>
      </w:r>
      <w:proofErr w:type="gramEnd"/>
      <w:r w:rsidR="00A80B5B" w:rsidRPr="009E38B5">
        <w:t xml:space="preserve"> </w:t>
      </w:r>
      <w:r w:rsidRPr="009E38B5">
        <w:t>Extract from the Clinical Evaluation Report</w:t>
      </w:r>
      <w:bookmarkEnd w:id="177"/>
    </w:p>
    <w:p w:rsidR="001910C9" w:rsidRPr="001910C9" w:rsidRDefault="001910C9" w:rsidP="001910C9">
      <w:pPr>
        <w:autoSpaceDE w:val="0"/>
        <w:autoSpaceDN w:val="0"/>
        <w:adjustRightInd w:val="0"/>
        <w:spacing w:after="0"/>
        <w:rPr>
          <w:lang w:eastAsia="ja-JP"/>
        </w:rPr>
      </w:pPr>
    </w:p>
    <w:p w:rsidR="001910C9" w:rsidRPr="001910C9" w:rsidRDefault="001910C9" w:rsidP="001910C9">
      <w:pPr>
        <w:autoSpaceDE w:val="0"/>
        <w:autoSpaceDN w:val="0"/>
        <w:adjustRightInd w:val="0"/>
        <w:spacing w:after="0"/>
        <w:rPr>
          <w:b/>
          <w:lang w:eastAsia="ja-JP"/>
        </w:rPr>
        <w:sectPr w:rsidR="001910C9" w:rsidRPr="001910C9" w:rsidSect="00B452CE">
          <w:headerReference w:type="even" r:id="rId26"/>
          <w:headerReference w:type="default" r:id="rId27"/>
          <w:headerReference w:type="first" r:id="rId28"/>
          <w:footerReference w:type="first" r:id="rId29"/>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910C9" w:rsidRPr="00487162" w:rsidTr="001910C9">
        <w:trPr>
          <w:trHeight w:hRule="exact" w:val="704"/>
        </w:trPr>
        <w:tc>
          <w:tcPr>
            <w:tcW w:w="9175" w:type="dxa"/>
          </w:tcPr>
          <w:p w:rsidR="001910C9" w:rsidRPr="00487162" w:rsidRDefault="001910C9" w:rsidP="001910C9">
            <w:pPr>
              <w:pStyle w:val="TGASignoff"/>
            </w:pPr>
            <w:bookmarkStart w:id="178" w:name="_GoBack"/>
            <w:bookmarkEnd w:id="178"/>
            <w:r w:rsidRPr="00487162">
              <w:lastRenderedPageBreak/>
              <w:t>Therapeutic Goods Administration</w:t>
            </w:r>
          </w:p>
        </w:tc>
      </w:tr>
      <w:tr w:rsidR="001910C9" w:rsidRPr="004C239D" w:rsidTr="001910C9">
        <w:trPr>
          <w:trHeight w:val="1221"/>
        </w:trPr>
        <w:tc>
          <w:tcPr>
            <w:tcW w:w="9175" w:type="dxa"/>
            <w:tcMar>
              <w:top w:w="28" w:type="dxa"/>
            </w:tcMar>
          </w:tcPr>
          <w:p w:rsidR="001910C9" w:rsidRPr="00487162" w:rsidRDefault="001910C9" w:rsidP="001910C9">
            <w:pPr>
              <w:pStyle w:val="Address"/>
            </w:pPr>
            <w:r w:rsidRPr="00487162">
              <w:t>PO Box 100 Woden ACT 2606 Australia</w:t>
            </w:r>
          </w:p>
          <w:p w:rsidR="001910C9" w:rsidRPr="00487162" w:rsidRDefault="001910C9" w:rsidP="001910C9">
            <w:pPr>
              <w:pStyle w:val="Address"/>
            </w:pPr>
            <w:r w:rsidRPr="00487162">
              <w:t xml:space="preserve">Email: </w:t>
            </w:r>
            <w:hyperlink r:id="rId30" w:history="1">
              <w:r w:rsidRPr="004C239D">
                <w:rPr>
                  <w:rStyle w:val="Hyperlink"/>
                </w:rPr>
                <w:t>info@tga.gov.au</w:t>
              </w:r>
            </w:hyperlink>
            <w:r w:rsidRPr="00487162">
              <w:t xml:space="preserve">  Phone: 1800 020 653  Fax: 02 6232 8605</w:t>
            </w:r>
          </w:p>
          <w:p w:rsidR="001910C9" w:rsidRPr="004C239D" w:rsidRDefault="00866140" w:rsidP="001910C9">
            <w:pPr>
              <w:pStyle w:val="Address"/>
              <w:spacing w:line="260" w:lineRule="atLeast"/>
              <w:rPr>
                <w:b/>
                <w:color w:val="0000FF"/>
                <w:u w:val="single"/>
              </w:rPr>
            </w:pPr>
            <w:hyperlink r:id="rId31" w:history="1">
              <w:r w:rsidR="001910C9">
                <w:rPr>
                  <w:rStyle w:val="Hyperlink"/>
                  <w:b/>
                </w:rPr>
                <w:t>https://www.tga.gov.au</w:t>
              </w:r>
            </w:hyperlink>
          </w:p>
        </w:tc>
      </w:tr>
    </w:tbl>
    <w:p w:rsidR="00774E1D" w:rsidRPr="008A5E0B" w:rsidRDefault="00774E1D" w:rsidP="004C239D"/>
    <w:sectPr w:rsidR="00774E1D" w:rsidRPr="008A5E0B" w:rsidSect="001C32CD">
      <w:headerReference w:type="even" r:id="rId32"/>
      <w:headerReference w:type="default" r:id="rId33"/>
      <w:footerReference w:type="default" r:id="rId34"/>
      <w:headerReference w:type="first" r:id="rId35"/>
      <w:footerReference w:type="first" r:id="rId36"/>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013" w:rsidRDefault="00405013" w:rsidP="00C40A36">
      <w:pPr>
        <w:spacing w:after="0"/>
      </w:pPr>
      <w:r>
        <w:separator/>
      </w:r>
    </w:p>
  </w:endnote>
  <w:endnote w:type="continuationSeparator" w:id="0">
    <w:p w:rsidR="00405013" w:rsidRDefault="0040501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405013" w:rsidRPr="00487162" w:rsidTr="00DB750B">
      <w:trPr>
        <w:trHeight w:val="269"/>
      </w:trPr>
      <w:tc>
        <w:tcPr>
          <w:tcW w:w="7371" w:type="dxa"/>
          <w:tcMar>
            <w:top w:w="142" w:type="dxa"/>
            <w:bottom w:w="0" w:type="dxa"/>
          </w:tcMar>
        </w:tcPr>
        <w:p w:rsidR="00405013" w:rsidRPr="00487162" w:rsidRDefault="00405013" w:rsidP="001F6679">
          <w:pPr>
            <w:pStyle w:val="Footer"/>
          </w:pPr>
          <w:proofErr w:type="spellStart"/>
          <w:r w:rsidRPr="00487162">
            <w:t>AusPAR</w:t>
          </w:r>
          <w:proofErr w:type="spellEnd"/>
          <w:r w:rsidRPr="00487162">
            <w:t xml:space="preserve"> </w:t>
          </w:r>
          <w:proofErr w:type="spellStart"/>
          <w:r>
            <w:t>Omalizumab</w:t>
          </w:r>
          <w:proofErr w:type="spellEnd"/>
          <w:r>
            <w:t xml:space="preserve"> (</w:t>
          </w:r>
          <w:proofErr w:type="spellStart"/>
          <w:r>
            <w:t>rch</w:t>
          </w:r>
          <w:proofErr w:type="spellEnd"/>
          <w:r>
            <w:t xml:space="preserve">) </w:t>
          </w:r>
          <w:proofErr w:type="spellStart"/>
          <w:r>
            <w:t>Xolair</w:t>
          </w:r>
          <w:proofErr w:type="spellEnd"/>
          <w:r w:rsidRPr="00487162">
            <w:t xml:space="preserve"> </w:t>
          </w:r>
          <w:r>
            <w:t>Novartis Pharmaceuticals Australia Pty Ltd</w:t>
          </w:r>
          <w:r w:rsidRPr="00487162">
            <w:t xml:space="preserve"> PM-20</w:t>
          </w:r>
          <w:r>
            <w:t>13</w:t>
          </w:r>
          <w:r w:rsidRPr="00487162">
            <w:t>-</w:t>
          </w:r>
          <w:r>
            <w:t>03254-1-4</w:t>
          </w:r>
          <w:r>
            <w:br/>
            <w:t>Date of Finalisation 21 July 2015</w:t>
          </w:r>
        </w:p>
      </w:tc>
      <w:tc>
        <w:tcPr>
          <w:tcW w:w="1490" w:type="dxa"/>
          <w:tcMar>
            <w:top w:w="142" w:type="dxa"/>
            <w:bottom w:w="0" w:type="dxa"/>
          </w:tcMar>
        </w:tcPr>
        <w:p w:rsidR="00405013" w:rsidRPr="00487162" w:rsidRDefault="00405013" w:rsidP="00DB750B">
          <w:pPr>
            <w:pStyle w:val="Footer"/>
            <w:jc w:val="right"/>
          </w:pPr>
          <w:r w:rsidRPr="00487162">
            <w:t xml:space="preserve">Page </w:t>
          </w:r>
          <w:r>
            <w:fldChar w:fldCharType="begin"/>
          </w:r>
          <w:r>
            <w:instrText xml:space="preserve"> PAGE  \* Arabic </w:instrText>
          </w:r>
          <w:r>
            <w:fldChar w:fldCharType="separate"/>
          </w:r>
          <w:r w:rsidR="00866140">
            <w:rPr>
              <w:noProof/>
            </w:rPr>
            <w:t>42</w:t>
          </w:r>
          <w:r>
            <w:fldChar w:fldCharType="end"/>
          </w:r>
          <w:r w:rsidRPr="00487162">
            <w:t xml:space="preserve"> of </w:t>
          </w:r>
          <w:fldSimple w:instr=" NUMPAGES  \* Arabic ">
            <w:r w:rsidR="00866140">
              <w:rPr>
                <w:noProof/>
              </w:rPr>
              <w:t>43</w:t>
            </w:r>
          </w:fldSimple>
        </w:p>
      </w:tc>
    </w:tr>
  </w:tbl>
  <w:p w:rsidR="00405013" w:rsidRDefault="00405013"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05013" w:rsidRPr="00487162" w:rsidTr="00E45619">
      <w:trPr>
        <w:trHeight w:val="269"/>
      </w:trPr>
      <w:tc>
        <w:tcPr>
          <w:tcW w:w="4519" w:type="dxa"/>
          <w:tcBorders>
            <w:top w:val="single" w:sz="4" w:space="0" w:color="auto"/>
          </w:tcBorders>
          <w:tcMar>
            <w:top w:w="142" w:type="dxa"/>
            <w:bottom w:w="0" w:type="dxa"/>
          </w:tcMar>
        </w:tcPr>
        <w:p w:rsidR="00405013" w:rsidRPr="00487162" w:rsidRDefault="00405013" w:rsidP="00FE1DEE">
          <w:pPr>
            <w:pStyle w:val="Footer"/>
          </w:pPr>
          <w:r w:rsidRPr="00487162">
            <w:t>Document title, Part #, Section # - Section title</w:t>
          </w:r>
        </w:p>
        <w:p w:rsidR="00405013" w:rsidRPr="00487162" w:rsidRDefault="00405013" w:rsidP="00FE1DEE">
          <w:pPr>
            <w:pStyle w:val="Footer"/>
          </w:pPr>
          <w:r w:rsidRPr="00487162">
            <w:t>V1.0 October 2010</w:t>
          </w:r>
        </w:p>
      </w:tc>
      <w:tc>
        <w:tcPr>
          <w:tcW w:w="4342" w:type="dxa"/>
          <w:tcBorders>
            <w:top w:val="single" w:sz="4" w:space="0" w:color="auto"/>
          </w:tcBorders>
          <w:tcMar>
            <w:top w:w="142" w:type="dxa"/>
            <w:bottom w:w="0" w:type="dxa"/>
          </w:tcMar>
        </w:tcPr>
        <w:p w:rsidR="00405013" w:rsidRPr="00487162" w:rsidRDefault="0040501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rsidR="00405013" w:rsidRDefault="0040501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013" w:rsidRPr="001C32CD" w:rsidRDefault="00405013"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05013" w:rsidTr="0010601F">
      <w:trPr>
        <w:trHeight w:val="108"/>
      </w:trPr>
      <w:tc>
        <w:tcPr>
          <w:tcW w:w="8875" w:type="dxa"/>
          <w:gridSpan w:val="2"/>
          <w:tcBorders>
            <w:bottom w:val="single" w:sz="4" w:space="0" w:color="auto"/>
          </w:tcBorders>
          <w:tcMar>
            <w:right w:w="284" w:type="dxa"/>
          </w:tcMar>
        </w:tcPr>
        <w:p w:rsidR="00405013" w:rsidRDefault="00405013" w:rsidP="006E08B3">
          <w:pPr>
            <w:pStyle w:val="Heading3"/>
          </w:pPr>
          <w:r>
            <w:t>Copyright</w:t>
          </w:r>
        </w:p>
        <w:p w:rsidR="00405013" w:rsidRDefault="00405013" w:rsidP="006E08B3">
          <w:r>
            <w:rPr>
              <w:rFonts w:cs="Arial"/>
            </w:rPr>
            <w:t>©</w:t>
          </w:r>
          <w:r>
            <w:t xml:space="preserve"> Commonwealth of Australia [add year]</w:t>
          </w:r>
        </w:p>
        <w:p w:rsidR="00405013" w:rsidRDefault="00405013" w:rsidP="006E08B3"/>
        <w:p w:rsidR="00405013" w:rsidRDefault="0040501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405013" w:rsidRDefault="00405013" w:rsidP="006E08B3"/>
        <w:p w:rsidR="00405013" w:rsidRDefault="00405013" w:rsidP="006E08B3">
          <w:pPr>
            <w:pStyle w:val="Heading3"/>
          </w:pPr>
          <w:r>
            <w:t>Confidentiality</w:t>
          </w:r>
        </w:p>
        <w:p w:rsidR="00405013" w:rsidRDefault="0040501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405013" w:rsidRDefault="00405013" w:rsidP="006E08B3"/>
        <w:p w:rsidR="00405013" w:rsidRDefault="00405013" w:rsidP="006E08B3">
          <w:r>
            <w:t>For submission made by individuals, all personal details, other than your name, will be removed from your submission before it is published on the TGA’s Internet site.</w:t>
          </w:r>
        </w:p>
        <w:p w:rsidR="00405013" w:rsidRDefault="00405013" w:rsidP="006E08B3"/>
        <w:p w:rsidR="00405013" w:rsidRDefault="00405013"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405013" w:rsidTr="0010601F">
      <w:trPr>
        <w:trHeight w:val="417"/>
      </w:trPr>
      <w:tc>
        <w:tcPr>
          <w:tcW w:w="4519" w:type="dxa"/>
          <w:tcBorders>
            <w:top w:val="single" w:sz="4" w:space="0" w:color="auto"/>
          </w:tcBorders>
          <w:tcMar>
            <w:top w:w="142" w:type="dxa"/>
            <w:bottom w:w="0" w:type="dxa"/>
          </w:tcMar>
        </w:tcPr>
        <w:p w:rsidR="00405013" w:rsidRDefault="00405013" w:rsidP="006E08B3">
          <w:r>
            <w:t>Document title, Part #, Section # - Section title</w:t>
          </w:r>
        </w:p>
        <w:p w:rsidR="00405013" w:rsidRDefault="00405013" w:rsidP="006E08B3">
          <w:r>
            <w:t>V1.0 October 2010</w:t>
          </w:r>
        </w:p>
      </w:tc>
      <w:tc>
        <w:tcPr>
          <w:tcW w:w="4356" w:type="dxa"/>
          <w:tcBorders>
            <w:top w:val="single" w:sz="4" w:space="0" w:color="auto"/>
          </w:tcBorders>
          <w:tcMar>
            <w:top w:w="142" w:type="dxa"/>
            <w:bottom w:w="0" w:type="dxa"/>
          </w:tcMar>
        </w:tcPr>
        <w:p w:rsidR="00405013" w:rsidRDefault="0040501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rsidR="00405013" w:rsidRDefault="0040501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013" w:rsidRDefault="00405013" w:rsidP="00C40A36">
      <w:pPr>
        <w:spacing w:after="0"/>
      </w:pPr>
      <w:r>
        <w:separator/>
      </w:r>
    </w:p>
  </w:footnote>
  <w:footnote w:type="continuationSeparator" w:id="0">
    <w:p w:rsidR="00405013" w:rsidRDefault="00405013" w:rsidP="00C40A36">
      <w:pPr>
        <w:spacing w:after="0"/>
      </w:pPr>
      <w:r>
        <w:continuationSeparator/>
      </w:r>
    </w:p>
  </w:footnote>
  <w:footnote w:id="1">
    <w:p w:rsidR="00405013" w:rsidRPr="00B07DAB" w:rsidRDefault="00405013" w:rsidP="00760F91">
      <w:pPr>
        <w:pStyle w:val="FootnoteText"/>
      </w:pPr>
      <w:r>
        <w:rPr>
          <w:rStyle w:val="FootnoteReference"/>
        </w:rPr>
        <w:footnoteRef/>
      </w:r>
      <w:r>
        <w:t xml:space="preserve"> </w:t>
      </w:r>
      <w:proofErr w:type="gramStart"/>
      <w:r w:rsidRPr="00B07DAB">
        <w:t xml:space="preserve">Kaplan AP and Greaves M. Pathogenesis of chronic </w:t>
      </w:r>
      <w:proofErr w:type="spellStart"/>
      <w:r w:rsidRPr="00B07DAB">
        <w:t>urticaria</w:t>
      </w:r>
      <w:proofErr w:type="spellEnd"/>
      <w:r>
        <w:t>.</w:t>
      </w:r>
      <w:proofErr w:type="gramEnd"/>
      <w:r>
        <w:t xml:space="preserve"> </w:t>
      </w:r>
      <w:proofErr w:type="spellStart"/>
      <w:r w:rsidRPr="00235B94">
        <w:rPr>
          <w:i/>
        </w:rPr>
        <w:t>Clin</w:t>
      </w:r>
      <w:proofErr w:type="spellEnd"/>
      <w:r w:rsidRPr="00235B94">
        <w:rPr>
          <w:i/>
        </w:rPr>
        <w:t xml:space="preserve"> </w:t>
      </w:r>
      <w:proofErr w:type="spellStart"/>
      <w:r w:rsidRPr="00235B94">
        <w:rPr>
          <w:i/>
        </w:rPr>
        <w:t>Exp</w:t>
      </w:r>
      <w:proofErr w:type="spellEnd"/>
      <w:r w:rsidRPr="00235B94">
        <w:rPr>
          <w:i/>
        </w:rPr>
        <w:t xml:space="preserve"> Allergy</w:t>
      </w:r>
      <w:r>
        <w:t xml:space="preserve"> 2009; 39: </w:t>
      </w:r>
      <w:r w:rsidRPr="00B07DAB">
        <w:t>777-787.</w:t>
      </w:r>
    </w:p>
  </w:footnote>
  <w:footnote w:id="2">
    <w:p w:rsidR="00405013" w:rsidRDefault="00405013" w:rsidP="00760F91">
      <w:pPr>
        <w:pStyle w:val="FootnoteText"/>
      </w:pPr>
      <w:r>
        <w:rPr>
          <w:rStyle w:val="FootnoteReference"/>
        </w:rPr>
        <w:footnoteRef/>
      </w:r>
      <w:r>
        <w:t xml:space="preserve"> </w:t>
      </w:r>
      <w:proofErr w:type="gramStart"/>
      <w:r w:rsidRPr="00841A9C">
        <w:t>Greaves MW.</w:t>
      </w:r>
      <w:proofErr w:type="gramEnd"/>
      <w:r w:rsidRPr="00841A9C">
        <w:t xml:space="preserve"> </w:t>
      </w:r>
      <w:proofErr w:type="gramStart"/>
      <w:r w:rsidRPr="00841A9C">
        <w:t xml:space="preserve">Chronic idiopathic </w:t>
      </w:r>
      <w:proofErr w:type="spellStart"/>
      <w:r w:rsidRPr="00841A9C">
        <w:t>urticaria</w:t>
      </w:r>
      <w:proofErr w:type="spellEnd"/>
      <w:r w:rsidRPr="00841A9C">
        <w:t>.</w:t>
      </w:r>
      <w:proofErr w:type="gramEnd"/>
      <w:r w:rsidRPr="00841A9C">
        <w:t xml:space="preserve"> </w:t>
      </w:r>
      <w:proofErr w:type="spellStart"/>
      <w:r w:rsidRPr="00841A9C">
        <w:rPr>
          <w:i/>
        </w:rPr>
        <w:t>Curr</w:t>
      </w:r>
      <w:proofErr w:type="spellEnd"/>
      <w:r w:rsidRPr="00841A9C">
        <w:rPr>
          <w:i/>
        </w:rPr>
        <w:t xml:space="preserve"> </w:t>
      </w:r>
      <w:proofErr w:type="spellStart"/>
      <w:r w:rsidRPr="00841A9C">
        <w:rPr>
          <w:i/>
        </w:rPr>
        <w:t>Opin</w:t>
      </w:r>
      <w:proofErr w:type="spellEnd"/>
      <w:r w:rsidRPr="00841A9C">
        <w:rPr>
          <w:i/>
        </w:rPr>
        <w:t xml:space="preserve"> Allergy </w:t>
      </w:r>
      <w:proofErr w:type="spellStart"/>
      <w:r w:rsidRPr="00841A9C">
        <w:rPr>
          <w:i/>
        </w:rPr>
        <w:t>Clin</w:t>
      </w:r>
      <w:proofErr w:type="spellEnd"/>
      <w:r w:rsidRPr="00841A9C">
        <w:rPr>
          <w:i/>
        </w:rPr>
        <w:t xml:space="preserve"> </w:t>
      </w:r>
      <w:proofErr w:type="spellStart"/>
      <w:r w:rsidRPr="00841A9C">
        <w:rPr>
          <w:i/>
        </w:rPr>
        <w:t>Immunol</w:t>
      </w:r>
      <w:proofErr w:type="spellEnd"/>
      <w:r w:rsidRPr="00841A9C">
        <w:t xml:space="preserve"> 2003; 3: 363-368.</w:t>
      </w:r>
    </w:p>
  </w:footnote>
  <w:footnote w:id="3">
    <w:p w:rsidR="00405013" w:rsidRDefault="00405013" w:rsidP="00760F91">
      <w:pPr>
        <w:pStyle w:val="FootnoteText"/>
      </w:pPr>
      <w:r>
        <w:rPr>
          <w:rStyle w:val="FootnoteReference"/>
        </w:rPr>
        <w:footnoteRef/>
      </w:r>
      <w:r>
        <w:t xml:space="preserve"> </w:t>
      </w:r>
      <w:proofErr w:type="spellStart"/>
      <w:r w:rsidRPr="00B07DAB">
        <w:t>Zuberbier</w:t>
      </w:r>
      <w:proofErr w:type="spellEnd"/>
      <w:r w:rsidRPr="00B07DAB">
        <w:t xml:space="preserve"> </w:t>
      </w:r>
      <w:r>
        <w:t xml:space="preserve">T. </w:t>
      </w:r>
      <w:r w:rsidRPr="00B07DAB">
        <w:t>et al. EAACI/GA</w:t>
      </w:r>
      <w:r w:rsidRPr="00B07DAB">
        <w:rPr>
          <w:vertAlign w:val="superscript"/>
        </w:rPr>
        <w:t>2</w:t>
      </w:r>
      <w:r w:rsidRPr="00B07DAB">
        <w:t xml:space="preserve">LEN/EDF/WAO guideline: definition, classification and diagnosis of </w:t>
      </w:r>
      <w:proofErr w:type="spellStart"/>
      <w:r w:rsidRPr="00B07DAB">
        <w:t>urticaria</w:t>
      </w:r>
      <w:proofErr w:type="spellEnd"/>
      <w:r w:rsidRPr="00B07DAB">
        <w:t xml:space="preserve">. </w:t>
      </w:r>
      <w:r>
        <w:rPr>
          <w:i/>
        </w:rPr>
        <w:t>Allergy</w:t>
      </w:r>
      <w:r>
        <w:t xml:space="preserve"> 2009; 64: 1417-</w:t>
      </w:r>
      <w:r w:rsidRPr="00B07DAB">
        <w:t>1426.</w:t>
      </w:r>
    </w:p>
  </w:footnote>
  <w:footnote w:id="4">
    <w:p w:rsidR="00405013" w:rsidRDefault="00405013" w:rsidP="00760F91">
      <w:pPr>
        <w:pStyle w:val="FootnoteText"/>
      </w:pPr>
      <w:r>
        <w:rPr>
          <w:rStyle w:val="FootnoteReference"/>
        </w:rPr>
        <w:footnoteRef/>
      </w:r>
      <w:r>
        <w:t xml:space="preserve"> </w:t>
      </w:r>
      <w:proofErr w:type="spellStart"/>
      <w:r w:rsidRPr="00B07DAB">
        <w:rPr>
          <w:lang w:val="en-US"/>
        </w:rPr>
        <w:t>Zuberbier</w:t>
      </w:r>
      <w:proofErr w:type="spellEnd"/>
      <w:r w:rsidRPr="00B07DAB">
        <w:rPr>
          <w:lang w:val="en-US"/>
        </w:rPr>
        <w:t xml:space="preserve"> T, t al. EAACI/GA</w:t>
      </w:r>
      <w:r w:rsidRPr="00B07DAB">
        <w:rPr>
          <w:vertAlign w:val="superscript"/>
          <w:lang w:val="en-US"/>
        </w:rPr>
        <w:t>2</w:t>
      </w:r>
      <w:r w:rsidRPr="00B07DAB">
        <w:rPr>
          <w:lang w:val="en-US"/>
        </w:rPr>
        <w:t xml:space="preserve">LEN/EDF/WAO guideline: management of </w:t>
      </w:r>
      <w:proofErr w:type="spellStart"/>
      <w:r w:rsidRPr="00B07DAB">
        <w:rPr>
          <w:lang w:val="en-US"/>
        </w:rPr>
        <w:t>urticaria</w:t>
      </w:r>
      <w:proofErr w:type="spellEnd"/>
      <w:r w:rsidRPr="00B07DAB">
        <w:rPr>
          <w:lang w:val="en-US"/>
        </w:rPr>
        <w:t xml:space="preserve">. </w:t>
      </w:r>
      <w:r w:rsidRPr="00B07DAB">
        <w:rPr>
          <w:i/>
          <w:lang w:val="en-US"/>
        </w:rPr>
        <w:t>Allergy</w:t>
      </w:r>
      <w:r>
        <w:rPr>
          <w:lang w:val="en-US"/>
        </w:rPr>
        <w:t xml:space="preserve"> 2009;</w:t>
      </w:r>
      <w:r w:rsidRPr="00B07DAB">
        <w:rPr>
          <w:lang w:val="en-US"/>
        </w:rPr>
        <w:t xml:space="preserve"> 64: 1427-</w:t>
      </w:r>
      <w:r>
        <w:rPr>
          <w:lang w:val="en-US"/>
        </w:rPr>
        <w:t>14</w:t>
      </w:r>
      <w:r w:rsidRPr="00B07DAB">
        <w:rPr>
          <w:lang w:val="en-US"/>
        </w:rPr>
        <w:t>43</w:t>
      </w:r>
    </w:p>
  </w:footnote>
  <w:footnote w:id="5">
    <w:p w:rsidR="00405013" w:rsidRPr="00B663AB" w:rsidRDefault="00405013" w:rsidP="0072012D">
      <w:pPr>
        <w:pStyle w:val="FootnoteText"/>
        <w:rPr>
          <w:lang w:val="de-DE"/>
        </w:rPr>
      </w:pPr>
      <w:r>
        <w:rPr>
          <w:rStyle w:val="FootnoteReference"/>
        </w:rPr>
        <w:footnoteRef/>
      </w:r>
      <w:r>
        <w:t xml:space="preserve"> </w:t>
      </w:r>
      <w:r w:rsidRPr="00B07DAB">
        <w:rPr>
          <w:lang w:val="en-US"/>
        </w:rPr>
        <w:t xml:space="preserve">Spector SL and Tan RA. </w:t>
      </w:r>
      <w:proofErr w:type="gramStart"/>
      <w:r w:rsidRPr="00B07DAB">
        <w:rPr>
          <w:lang w:val="en-US"/>
        </w:rPr>
        <w:t xml:space="preserve">Effect of </w:t>
      </w:r>
      <w:proofErr w:type="spellStart"/>
      <w:r w:rsidRPr="00B07DAB">
        <w:rPr>
          <w:lang w:val="en-US"/>
        </w:rPr>
        <w:t>omalizumab</w:t>
      </w:r>
      <w:proofErr w:type="spellEnd"/>
      <w:r w:rsidRPr="00B07DAB">
        <w:rPr>
          <w:lang w:val="en-US"/>
        </w:rPr>
        <w:t xml:space="preserve"> on patients with chronic </w:t>
      </w:r>
      <w:proofErr w:type="spellStart"/>
      <w:r w:rsidRPr="00B07DAB">
        <w:rPr>
          <w:lang w:val="en-US"/>
        </w:rPr>
        <w:t>urticaria</w:t>
      </w:r>
      <w:proofErr w:type="spellEnd"/>
      <w:r w:rsidRPr="00B07DAB">
        <w:rPr>
          <w:lang w:val="en-US"/>
        </w:rPr>
        <w:t>.</w:t>
      </w:r>
      <w:proofErr w:type="gramEnd"/>
      <w:r w:rsidRPr="00B07DAB">
        <w:t xml:space="preserve"> </w:t>
      </w:r>
      <w:r w:rsidRPr="00B663AB">
        <w:rPr>
          <w:i/>
          <w:lang w:val="de-DE"/>
        </w:rPr>
        <w:t>Ann Allergy Asthma Immunol</w:t>
      </w:r>
      <w:r>
        <w:rPr>
          <w:lang w:val="de-DE"/>
        </w:rPr>
        <w:t xml:space="preserve"> 2007; 99</w:t>
      </w:r>
      <w:r w:rsidRPr="00B663AB">
        <w:rPr>
          <w:lang w:val="de-DE"/>
        </w:rPr>
        <w:t>: 190-3.</w:t>
      </w:r>
    </w:p>
  </w:footnote>
  <w:footnote w:id="6">
    <w:p w:rsidR="00405013" w:rsidRDefault="00405013" w:rsidP="0072012D">
      <w:pPr>
        <w:pStyle w:val="FootnoteText"/>
      </w:pPr>
      <w:r>
        <w:rPr>
          <w:rStyle w:val="FootnoteReference"/>
        </w:rPr>
        <w:footnoteRef/>
      </w:r>
      <w:r>
        <w:rPr>
          <w:lang w:val="de-DE"/>
        </w:rPr>
        <w:t xml:space="preserve"> Gober LM</w:t>
      </w:r>
      <w:r w:rsidRPr="00B663AB">
        <w:rPr>
          <w:lang w:val="de-DE"/>
        </w:rPr>
        <w:t xml:space="preserve"> et al. </w:t>
      </w:r>
      <w:proofErr w:type="gramStart"/>
      <w:r w:rsidRPr="00B07DAB">
        <w:rPr>
          <w:lang w:val="en-US"/>
        </w:rPr>
        <w:t>Effect of anti-</w:t>
      </w:r>
      <w:proofErr w:type="spellStart"/>
      <w:r w:rsidRPr="00B07DAB">
        <w:rPr>
          <w:lang w:val="en-US"/>
        </w:rPr>
        <w:t>IgE</w:t>
      </w:r>
      <w:proofErr w:type="spellEnd"/>
      <w:r w:rsidRPr="00B07DAB">
        <w:rPr>
          <w:lang w:val="en-US"/>
        </w:rPr>
        <w:t xml:space="preserve"> (</w:t>
      </w:r>
      <w:proofErr w:type="spellStart"/>
      <w:r w:rsidRPr="00B07DAB">
        <w:rPr>
          <w:lang w:val="en-US"/>
        </w:rPr>
        <w:t>omalizumab</w:t>
      </w:r>
      <w:proofErr w:type="spellEnd"/>
      <w:r w:rsidRPr="00B07DAB">
        <w:rPr>
          <w:lang w:val="en-US"/>
        </w:rPr>
        <w:t xml:space="preserve">) in chronic idiopathic </w:t>
      </w:r>
      <w:proofErr w:type="spellStart"/>
      <w:r w:rsidRPr="00B07DAB">
        <w:rPr>
          <w:lang w:val="en-US"/>
        </w:rPr>
        <w:t>urticaria</w:t>
      </w:r>
      <w:proofErr w:type="spellEnd"/>
      <w:r w:rsidRPr="00B07DAB">
        <w:rPr>
          <w:lang w:val="en-US"/>
        </w:rPr>
        <w:t xml:space="preserve"> (CIU) patients.</w:t>
      </w:r>
      <w:proofErr w:type="gramEnd"/>
      <w:r w:rsidRPr="00B07DAB">
        <w:rPr>
          <w:lang w:val="en-US"/>
        </w:rPr>
        <w:t xml:space="preserve"> </w:t>
      </w:r>
      <w:r w:rsidRPr="00B07DAB">
        <w:rPr>
          <w:i/>
          <w:lang w:val="en-US"/>
        </w:rPr>
        <w:t xml:space="preserve">J Allergy </w:t>
      </w:r>
      <w:proofErr w:type="spellStart"/>
      <w:r w:rsidRPr="00B07DAB">
        <w:rPr>
          <w:i/>
          <w:lang w:val="en-US"/>
        </w:rPr>
        <w:t>Clin</w:t>
      </w:r>
      <w:proofErr w:type="spellEnd"/>
      <w:r w:rsidRPr="00B07DAB">
        <w:rPr>
          <w:i/>
          <w:lang w:val="en-US"/>
        </w:rPr>
        <w:t xml:space="preserve"> </w:t>
      </w:r>
      <w:proofErr w:type="spellStart"/>
      <w:r w:rsidRPr="00B07DAB">
        <w:rPr>
          <w:i/>
          <w:lang w:val="en-US"/>
        </w:rPr>
        <w:t>Immunol</w:t>
      </w:r>
      <w:proofErr w:type="spellEnd"/>
      <w:r w:rsidRPr="00B07DAB">
        <w:rPr>
          <w:lang w:val="en-US"/>
        </w:rPr>
        <w:t xml:space="preserve"> 2008; 121 (2): S147</w:t>
      </w:r>
      <w:r>
        <w:rPr>
          <w:lang w:val="en-US"/>
        </w:rPr>
        <w:t>.</w:t>
      </w:r>
    </w:p>
  </w:footnote>
  <w:footnote w:id="7">
    <w:p w:rsidR="00405013" w:rsidRDefault="00405013" w:rsidP="0072012D">
      <w:pPr>
        <w:pStyle w:val="FootnoteText"/>
      </w:pPr>
      <w:r>
        <w:rPr>
          <w:rStyle w:val="FootnoteReference"/>
        </w:rPr>
        <w:footnoteRef/>
      </w:r>
      <w:r>
        <w:t xml:space="preserve"> </w:t>
      </w:r>
      <w:r w:rsidRPr="00B07DAB">
        <w:rPr>
          <w:lang w:val="en-US"/>
        </w:rPr>
        <w:t xml:space="preserve">Kaplan AP, Joseph K, </w:t>
      </w:r>
      <w:proofErr w:type="spellStart"/>
      <w:r w:rsidRPr="00B07DAB">
        <w:rPr>
          <w:lang w:val="en-US"/>
        </w:rPr>
        <w:t>Maykut</w:t>
      </w:r>
      <w:proofErr w:type="spellEnd"/>
      <w:r w:rsidRPr="00B07DAB">
        <w:rPr>
          <w:lang w:val="en-US"/>
        </w:rPr>
        <w:t xml:space="preserve"> RJ et al. Treatment of chronic autoimmune </w:t>
      </w:r>
      <w:proofErr w:type="spellStart"/>
      <w:r w:rsidRPr="00B07DAB">
        <w:rPr>
          <w:lang w:val="en-US"/>
        </w:rPr>
        <w:t>urticaria</w:t>
      </w:r>
      <w:proofErr w:type="spellEnd"/>
      <w:r w:rsidRPr="00B07DAB">
        <w:rPr>
          <w:lang w:val="en-US"/>
        </w:rPr>
        <w:t xml:space="preserve"> with</w:t>
      </w:r>
      <w:r w:rsidRPr="00B07DAB">
        <w:t xml:space="preserve"> </w:t>
      </w:r>
      <w:proofErr w:type="spellStart"/>
      <w:r w:rsidRPr="00B07DAB">
        <w:rPr>
          <w:lang w:val="en-US"/>
        </w:rPr>
        <w:t>omalizumab</w:t>
      </w:r>
      <w:proofErr w:type="spellEnd"/>
      <w:r w:rsidRPr="00B07DAB">
        <w:rPr>
          <w:lang w:val="en-US"/>
        </w:rPr>
        <w:t xml:space="preserve">. </w:t>
      </w:r>
      <w:proofErr w:type="gramStart"/>
      <w:r w:rsidRPr="00B07DAB">
        <w:rPr>
          <w:i/>
          <w:lang w:val="en-US"/>
        </w:rPr>
        <w:t xml:space="preserve">J Allergy </w:t>
      </w:r>
      <w:proofErr w:type="spellStart"/>
      <w:r w:rsidRPr="00B07DAB">
        <w:rPr>
          <w:i/>
          <w:lang w:val="en-US"/>
        </w:rPr>
        <w:t>Clin</w:t>
      </w:r>
      <w:proofErr w:type="spellEnd"/>
      <w:r w:rsidRPr="00B07DAB">
        <w:rPr>
          <w:i/>
          <w:lang w:val="en-US"/>
        </w:rPr>
        <w:t xml:space="preserve"> </w:t>
      </w:r>
      <w:proofErr w:type="spellStart"/>
      <w:r w:rsidRPr="00B07DAB">
        <w:rPr>
          <w:i/>
          <w:lang w:val="en-US"/>
        </w:rPr>
        <w:t>Immunol</w:t>
      </w:r>
      <w:proofErr w:type="spellEnd"/>
      <w:r w:rsidRPr="00B07DAB">
        <w:rPr>
          <w:i/>
          <w:lang w:val="en-US"/>
        </w:rPr>
        <w:t>.</w:t>
      </w:r>
      <w:proofErr w:type="gramEnd"/>
      <w:r w:rsidRPr="00B07DAB">
        <w:rPr>
          <w:lang w:val="en-US"/>
        </w:rPr>
        <w:t xml:space="preserve"> </w:t>
      </w:r>
      <w:proofErr w:type="gramStart"/>
      <w:r w:rsidRPr="00B07DAB">
        <w:rPr>
          <w:lang w:val="en-US"/>
        </w:rPr>
        <w:t>2008; 122: 569-73</w:t>
      </w:r>
      <w:r>
        <w:rPr>
          <w:lang w:val="en-US"/>
        </w:rPr>
        <w:t>.</w:t>
      </w:r>
      <w:proofErr w:type="gramEnd"/>
    </w:p>
  </w:footnote>
  <w:footnote w:id="8">
    <w:p w:rsidR="00405013" w:rsidRDefault="00405013" w:rsidP="00B07DAB">
      <w:pPr>
        <w:pStyle w:val="FootnoteText"/>
      </w:pPr>
      <w:r>
        <w:rPr>
          <w:rStyle w:val="FootnoteReference"/>
        </w:rPr>
        <w:footnoteRef/>
      </w:r>
      <w:r>
        <w:t xml:space="preserve"> Module 1.0.1 </w:t>
      </w:r>
      <w:proofErr w:type="spellStart"/>
      <w:r>
        <w:t>Katerlaris</w:t>
      </w:r>
      <w:proofErr w:type="spellEnd"/>
      <w:r>
        <w:t xml:space="preserve"> et al. Support for TGA Submission for use of </w:t>
      </w:r>
      <w:proofErr w:type="spellStart"/>
      <w:r>
        <w:t>omalizumab</w:t>
      </w:r>
      <w:proofErr w:type="spellEnd"/>
      <w:r>
        <w:t xml:space="preserve"> for chromic </w:t>
      </w:r>
      <w:proofErr w:type="spellStart"/>
      <w:r>
        <w:t>idiapthic</w:t>
      </w:r>
      <w:proofErr w:type="spellEnd"/>
      <w:r>
        <w:t xml:space="preserve"> </w:t>
      </w:r>
      <w:proofErr w:type="spellStart"/>
      <w:r>
        <w:t>uriticaria</w:t>
      </w:r>
      <w:proofErr w:type="spellEnd"/>
      <w:r>
        <w:t>/angioedema (2013).</w:t>
      </w:r>
    </w:p>
  </w:footnote>
  <w:footnote w:id="9">
    <w:p w:rsidR="00405013" w:rsidRPr="00B663AB" w:rsidRDefault="00405013">
      <w:pPr>
        <w:pStyle w:val="FootnoteText"/>
        <w:rPr>
          <w:lang w:val="de-DE"/>
        </w:rPr>
      </w:pPr>
      <w:r>
        <w:rPr>
          <w:rStyle w:val="FootnoteReference"/>
        </w:rPr>
        <w:footnoteRef/>
      </w:r>
      <w:r>
        <w:t xml:space="preserve"> </w:t>
      </w:r>
      <w:r w:rsidRPr="00355C78">
        <w:rPr>
          <w:lang w:val="en-US"/>
        </w:rPr>
        <w:t>Mathias</w:t>
      </w:r>
      <w:r>
        <w:rPr>
          <w:lang w:val="en-US"/>
        </w:rPr>
        <w:t xml:space="preserve"> S </w:t>
      </w:r>
      <w:r w:rsidRPr="00355C78">
        <w:rPr>
          <w:lang w:val="en-US"/>
        </w:rPr>
        <w:t xml:space="preserve">et al. Evaluating the minimally important difference of the </w:t>
      </w:r>
      <w:proofErr w:type="spellStart"/>
      <w:r w:rsidRPr="00355C78">
        <w:rPr>
          <w:lang w:val="en-US"/>
        </w:rPr>
        <w:t>urticaria</w:t>
      </w:r>
      <w:proofErr w:type="spellEnd"/>
      <w:r w:rsidRPr="00355C78">
        <w:rPr>
          <w:lang w:val="en-US"/>
        </w:rPr>
        <w:t xml:space="preserve"> activity score and other measures of disease activity in patients with chronic idiopathic </w:t>
      </w:r>
      <w:proofErr w:type="spellStart"/>
      <w:r w:rsidRPr="00355C78">
        <w:rPr>
          <w:lang w:val="en-US"/>
        </w:rPr>
        <w:t>urticaria</w:t>
      </w:r>
      <w:proofErr w:type="spellEnd"/>
      <w:r w:rsidRPr="00355C78">
        <w:rPr>
          <w:lang w:val="en-US"/>
        </w:rPr>
        <w:t xml:space="preserve">. </w:t>
      </w:r>
      <w:r w:rsidRPr="00B663AB">
        <w:rPr>
          <w:i/>
          <w:lang w:val="de-DE"/>
        </w:rPr>
        <w:t>Ann Allergy Asthma Immunol</w:t>
      </w:r>
      <w:r>
        <w:rPr>
          <w:lang w:val="de-DE"/>
        </w:rPr>
        <w:t xml:space="preserve"> 2012;</w:t>
      </w:r>
      <w:r w:rsidRPr="00B663AB">
        <w:rPr>
          <w:lang w:val="de-DE"/>
        </w:rPr>
        <w:t xml:space="preserve"> 108: 20-24.</w:t>
      </w:r>
    </w:p>
  </w:footnote>
  <w:footnote w:id="10">
    <w:p w:rsidR="00405013" w:rsidRDefault="00405013">
      <w:pPr>
        <w:pStyle w:val="FootnoteText"/>
      </w:pPr>
      <w:r>
        <w:rPr>
          <w:rStyle w:val="FootnoteReference"/>
        </w:rPr>
        <w:footnoteRef/>
      </w:r>
      <w:r w:rsidRPr="00B663AB">
        <w:rPr>
          <w:lang w:val="de-DE"/>
        </w:rPr>
        <w:t xml:space="preserve"> Busse W et al. </w:t>
      </w:r>
      <w:proofErr w:type="spellStart"/>
      <w:r w:rsidRPr="00691D9F">
        <w:t>Omalizumab</w:t>
      </w:r>
      <w:proofErr w:type="spellEnd"/>
      <w:r w:rsidRPr="00691D9F">
        <w:t xml:space="preserve"> and the risk of malignancy: results from a pooled analysis. </w:t>
      </w:r>
      <w:r w:rsidRPr="00691D9F">
        <w:rPr>
          <w:i/>
        </w:rPr>
        <w:t xml:space="preserve">J Allergy </w:t>
      </w:r>
      <w:proofErr w:type="spellStart"/>
      <w:r w:rsidRPr="00691D9F">
        <w:rPr>
          <w:i/>
        </w:rPr>
        <w:t>Clin</w:t>
      </w:r>
      <w:proofErr w:type="spellEnd"/>
      <w:r w:rsidRPr="00691D9F">
        <w:rPr>
          <w:i/>
        </w:rPr>
        <w:t xml:space="preserve"> </w:t>
      </w:r>
      <w:proofErr w:type="spellStart"/>
      <w:r w:rsidRPr="00691D9F">
        <w:rPr>
          <w:i/>
        </w:rPr>
        <w:t>Immunol</w:t>
      </w:r>
      <w:proofErr w:type="spellEnd"/>
      <w:r>
        <w:t xml:space="preserve"> 2012; 129</w:t>
      </w:r>
      <w:r w:rsidRPr="00691D9F">
        <w:t>: 983-</w:t>
      </w:r>
      <w:r>
        <w:t>98</w:t>
      </w:r>
      <w:r w:rsidRPr="00691D9F">
        <w:t>9.</w:t>
      </w:r>
    </w:p>
  </w:footnote>
  <w:footnote w:id="11">
    <w:p w:rsidR="00405013" w:rsidRDefault="00405013">
      <w:pPr>
        <w:pStyle w:val="FootnoteText"/>
      </w:pPr>
      <w:r>
        <w:rPr>
          <w:rStyle w:val="FootnoteReference"/>
        </w:rPr>
        <w:footnoteRef/>
      </w:r>
      <w:r>
        <w:t xml:space="preserve"> </w:t>
      </w:r>
      <w:proofErr w:type="gramStart"/>
      <w:r w:rsidRPr="00691D9F">
        <w:t>Food and Drug Administration.</w:t>
      </w:r>
      <w:proofErr w:type="gramEnd"/>
      <w:r w:rsidRPr="00691D9F">
        <w:t xml:space="preserve"> Early Communication about an Ongoing Safety Review of </w:t>
      </w:r>
      <w:proofErr w:type="spellStart"/>
      <w:r w:rsidRPr="00691D9F">
        <w:t>Omalizumab</w:t>
      </w:r>
      <w:proofErr w:type="spellEnd"/>
      <w:r w:rsidRPr="00691D9F">
        <w:t xml:space="preserve"> (marketed as </w:t>
      </w:r>
      <w:proofErr w:type="spellStart"/>
      <w:r w:rsidRPr="00691D9F">
        <w:t>Xolair</w:t>
      </w:r>
      <w:proofErr w:type="spellEnd"/>
      <w:r w:rsidRPr="00691D9F">
        <w:t xml:space="preserve">). 2009. Available from: http://www.fda.gov/Drugs/DrugSafety/PostmarketDrugSafetyInformationforPatientsandProviders/ </w:t>
      </w:r>
      <w:proofErr w:type="spellStart"/>
      <w:r w:rsidRPr="00691D9F">
        <w:t>DrugSafetyInformationforHeathcareProfessionals</w:t>
      </w:r>
      <w:proofErr w:type="spellEnd"/>
      <w:r w:rsidRPr="00691D9F">
        <w:t>/ucm172218.htm</w:t>
      </w:r>
    </w:p>
  </w:footnote>
  <w:footnote w:id="12">
    <w:p w:rsidR="00405013" w:rsidRDefault="00405013">
      <w:pPr>
        <w:pStyle w:val="FootnoteText"/>
      </w:pPr>
      <w:r>
        <w:rPr>
          <w:rStyle w:val="FootnoteReference"/>
        </w:rPr>
        <w:footnoteRef/>
      </w:r>
      <w:r>
        <w:t xml:space="preserve"> On the 5 September 2014 the sponsor provided the TGA a satisfactory response to outstanding RMP issues, including an ASA version 3.</w:t>
      </w:r>
    </w:p>
  </w:footnote>
  <w:footnote w:id="13">
    <w:p w:rsidR="00405013" w:rsidRDefault="00405013" w:rsidP="00590E0E">
      <w:pPr>
        <w:pStyle w:val="FootnoteText"/>
      </w:pPr>
      <w:r>
        <w:rPr>
          <w:rStyle w:val="FootnoteReference"/>
        </w:rPr>
        <w:footnoteRef/>
      </w:r>
      <w:r>
        <w:t xml:space="preserve"> Pg.127-132 of Rules 1998 (3C) – 3CC6a –‘</w:t>
      </w:r>
      <w:r w:rsidRPr="00C9768C">
        <w:t>Clinical Investigation of Medic</w:t>
      </w:r>
      <w:r>
        <w:t>inal Products for Long-term Use’</w:t>
      </w:r>
    </w:p>
  </w:footnote>
  <w:footnote w:id="14">
    <w:p w:rsidR="00405013" w:rsidRPr="006B3842" w:rsidRDefault="00405013" w:rsidP="006B3842">
      <w:pPr>
        <w:pStyle w:val="Tabletext"/>
        <w:spacing w:before="0" w:after="0" w:line="240" w:lineRule="auto"/>
        <w:rPr>
          <w:sz w:val="18"/>
          <w:szCs w:val="18"/>
        </w:rPr>
      </w:pPr>
      <w:r>
        <w:rPr>
          <w:rStyle w:val="FootnoteReference"/>
        </w:rPr>
        <w:footnoteRef/>
      </w:r>
      <w:r>
        <w:t xml:space="preserve"> </w:t>
      </w:r>
      <w:r>
        <w:rPr>
          <w:sz w:val="18"/>
          <w:szCs w:val="18"/>
        </w:rPr>
        <w:t>Mathias S</w:t>
      </w:r>
      <w:r w:rsidRPr="006B3842">
        <w:rPr>
          <w:sz w:val="18"/>
          <w:szCs w:val="18"/>
        </w:rPr>
        <w:t xml:space="preserve">, et al. </w:t>
      </w:r>
      <w:proofErr w:type="gramStart"/>
      <w:r w:rsidRPr="006B3842">
        <w:rPr>
          <w:sz w:val="18"/>
          <w:szCs w:val="18"/>
        </w:rPr>
        <w:t>Evaluating</w:t>
      </w:r>
      <w:proofErr w:type="gramEnd"/>
      <w:r w:rsidRPr="006B3842">
        <w:rPr>
          <w:sz w:val="18"/>
          <w:szCs w:val="18"/>
        </w:rPr>
        <w:t xml:space="preserve"> the minimally important difference of the </w:t>
      </w:r>
      <w:proofErr w:type="spellStart"/>
      <w:r w:rsidRPr="006B3842">
        <w:rPr>
          <w:sz w:val="18"/>
          <w:szCs w:val="18"/>
        </w:rPr>
        <w:t>urticaria</w:t>
      </w:r>
      <w:proofErr w:type="spellEnd"/>
      <w:r w:rsidRPr="006B3842">
        <w:rPr>
          <w:sz w:val="18"/>
          <w:szCs w:val="18"/>
        </w:rPr>
        <w:t xml:space="preserve"> activity score and other measures of disease activity in patients with chronic idiopathic </w:t>
      </w:r>
      <w:proofErr w:type="spellStart"/>
      <w:r w:rsidRPr="006B3842">
        <w:rPr>
          <w:sz w:val="18"/>
          <w:szCs w:val="18"/>
        </w:rPr>
        <w:t>urticaria</w:t>
      </w:r>
      <w:proofErr w:type="spellEnd"/>
      <w:r w:rsidRPr="006B3842">
        <w:rPr>
          <w:sz w:val="18"/>
          <w:szCs w:val="18"/>
        </w:rPr>
        <w:t xml:space="preserve">. </w:t>
      </w:r>
      <w:r w:rsidRPr="006B3842">
        <w:rPr>
          <w:i/>
          <w:sz w:val="18"/>
          <w:szCs w:val="18"/>
        </w:rPr>
        <w:t xml:space="preserve">Ann Allergy Asthma </w:t>
      </w:r>
      <w:proofErr w:type="spellStart"/>
      <w:r w:rsidRPr="006B3842">
        <w:rPr>
          <w:i/>
          <w:sz w:val="18"/>
          <w:szCs w:val="18"/>
        </w:rPr>
        <w:t>Immunol</w:t>
      </w:r>
      <w:proofErr w:type="spellEnd"/>
      <w:r>
        <w:rPr>
          <w:sz w:val="18"/>
          <w:szCs w:val="18"/>
        </w:rPr>
        <w:t xml:space="preserve"> 2012;</w:t>
      </w:r>
      <w:r w:rsidRPr="006B3842">
        <w:rPr>
          <w:sz w:val="18"/>
          <w:szCs w:val="18"/>
        </w:rPr>
        <w:t xml:space="preserve"> 108: 20-24</w:t>
      </w:r>
    </w:p>
  </w:footnote>
  <w:footnote w:id="15">
    <w:p w:rsidR="00405013" w:rsidRPr="00B31497" w:rsidRDefault="00405013" w:rsidP="00B31497">
      <w:pPr>
        <w:pStyle w:val="FootnoteText"/>
      </w:pPr>
      <w:r>
        <w:rPr>
          <w:rStyle w:val="FootnoteReference"/>
        </w:rPr>
        <w:footnoteRef/>
      </w:r>
      <w:r>
        <w:t xml:space="preserve"> Maurer M et al., Unmet clinical needs in chronic </w:t>
      </w:r>
      <w:r w:rsidRPr="00B31497">
        <w:t xml:space="preserve">spontaneous </w:t>
      </w:r>
      <w:proofErr w:type="spellStart"/>
      <w:r w:rsidRPr="00B31497">
        <w:t>urticaria</w:t>
      </w:r>
      <w:proofErr w:type="spellEnd"/>
      <w:r w:rsidRPr="00B31497">
        <w:t xml:space="preserve">. A GA2LEN task force report. </w:t>
      </w:r>
      <w:r w:rsidRPr="00B31497">
        <w:rPr>
          <w:i/>
        </w:rPr>
        <w:t>Allergy</w:t>
      </w:r>
      <w:r w:rsidRPr="00B31497">
        <w:t xml:space="preserve"> </w:t>
      </w:r>
      <w:r>
        <w:t xml:space="preserve">2011a; </w:t>
      </w:r>
      <w:r w:rsidRPr="00B31497">
        <w:t>66:317–</w:t>
      </w:r>
      <w:r>
        <w:t>3</w:t>
      </w:r>
      <w:r w:rsidRPr="00B31497">
        <w:t>30</w:t>
      </w:r>
      <w:r>
        <w:t>.</w:t>
      </w:r>
    </w:p>
  </w:footnote>
  <w:footnote w:id="16">
    <w:p w:rsidR="00405013" w:rsidRDefault="00405013" w:rsidP="0018700A">
      <w:pPr>
        <w:pStyle w:val="FootnoteText"/>
      </w:pPr>
      <w:r>
        <w:rPr>
          <w:rStyle w:val="FootnoteReference"/>
        </w:rPr>
        <w:footnoteRef/>
      </w:r>
      <w:proofErr w:type="gramStart"/>
      <w:r>
        <w:t>Powell et al. BSACI guidelin</w:t>
      </w:r>
      <w:r w:rsidRPr="0018700A">
        <w:t xml:space="preserve">es for the management of chronic </w:t>
      </w:r>
      <w:proofErr w:type="spellStart"/>
      <w:r w:rsidRPr="0018700A">
        <w:t>urticaria</w:t>
      </w:r>
      <w:proofErr w:type="spellEnd"/>
      <w:r w:rsidRPr="0018700A">
        <w:t xml:space="preserve"> and </w:t>
      </w:r>
      <w:proofErr w:type="spellStart"/>
      <w:r w:rsidRPr="0018700A">
        <w:t>angio</w:t>
      </w:r>
      <w:proofErr w:type="spellEnd"/>
      <w:r w:rsidRPr="0018700A">
        <w:t>-oe</w:t>
      </w:r>
      <w:r>
        <w:t>dema.</w:t>
      </w:r>
      <w:proofErr w:type="gramEnd"/>
      <w:r>
        <w:t xml:space="preserve"> </w:t>
      </w:r>
      <w:r w:rsidRPr="0018700A">
        <w:rPr>
          <w:i/>
        </w:rPr>
        <w:t>Clinical and Experimental Allergy</w:t>
      </w:r>
      <w:r>
        <w:t xml:space="preserve"> 2007; 37: 631-</w:t>
      </w:r>
      <w:r w:rsidRPr="0018700A">
        <w:t>650</w:t>
      </w:r>
      <w:r>
        <w:t>.</w:t>
      </w:r>
    </w:p>
  </w:footnote>
  <w:footnote w:id="17">
    <w:p w:rsidR="00405013" w:rsidRDefault="00405013" w:rsidP="0018700A">
      <w:pPr>
        <w:pStyle w:val="FootnoteText"/>
      </w:pPr>
      <w:r>
        <w:rPr>
          <w:rStyle w:val="FootnoteReference"/>
        </w:rPr>
        <w:footnoteRef/>
      </w:r>
      <w:r>
        <w:t xml:space="preserve"> </w:t>
      </w:r>
      <w:proofErr w:type="spellStart"/>
      <w:proofErr w:type="gramStart"/>
      <w:r w:rsidRPr="0018700A">
        <w:t>Zuberbier</w:t>
      </w:r>
      <w:proofErr w:type="spellEnd"/>
      <w:r w:rsidRPr="0018700A">
        <w:t xml:space="preserve"> et al.</w:t>
      </w:r>
      <w:proofErr w:type="gramEnd"/>
      <w:r w:rsidRPr="0018700A">
        <w:t xml:space="preserve"> The EAACI/GA2LEN/EDF/WAO Guideline for the definition, classificatio</w:t>
      </w:r>
      <w:r>
        <w:t xml:space="preserve">n, diagnosis, and management of </w:t>
      </w:r>
      <w:proofErr w:type="spellStart"/>
      <w:r w:rsidRPr="0018700A">
        <w:t>urticaria</w:t>
      </w:r>
      <w:proofErr w:type="spellEnd"/>
      <w:r w:rsidRPr="0018700A">
        <w:t xml:space="preserve">: the 2013 revision and update. </w:t>
      </w:r>
      <w:r w:rsidRPr="0018700A">
        <w:rPr>
          <w:i/>
        </w:rPr>
        <w:t>Allergy</w:t>
      </w:r>
      <w:r w:rsidRPr="0018700A">
        <w:t xml:space="preserve"> 2014; DOI: 10.1111/all.12313.</w:t>
      </w:r>
    </w:p>
  </w:footnote>
  <w:footnote w:id="18">
    <w:p w:rsidR="00405013" w:rsidRDefault="00405013">
      <w:pPr>
        <w:pStyle w:val="FootnoteText"/>
      </w:pPr>
      <w:r>
        <w:rPr>
          <w:rStyle w:val="FootnoteReference"/>
        </w:rPr>
        <w:footnoteRef/>
      </w:r>
      <w:r>
        <w:t xml:space="preserve"> </w:t>
      </w:r>
      <w:proofErr w:type="spellStart"/>
      <w:r>
        <w:t>Lefevre</w:t>
      </w:r>
      <w:proofErr w:type="spellEnd"/>
      <w:r>
        <w:t xml:space="preserve"> et al</w:t>
      </w:r>
      <w:r w:rsidRPr="002C20B2">
        <w:t xml:space="preserve"> A Long Term Case Series Study of the Effect of </w:t>
      </w:r>
      <w:proofErr w:type="spellStart"/>
      <w:r w:rsidRPr="002C20B2">
        <w:t>Omalizumab</w:t>
      </w:r>
      <w:proofErr w:type="spellEnd"/>
      <w:r w:rsidRPr="002C20B2">
        <w:t xml:space="preserve"> on Chronic Spontaneous </w:t>
      </w:r>
      <w:proofErr w:type="spellStart"/>
      <w:r w:rsidRPr="002C20B2">
        <w:t>Urticaria</w:t>
      </w:r>
      <w:proofErr w:type="spellEnd"/>
      <w:r>
        <w:t xml:space="preserve"> </w:t>
      </w:r>
      <w:r w:rsidRPr="002C20B2">
        <w:rPr>
          <w:i/>
        </w:rPr>
        <w:t xml:space="preserve">Ann </w:t>
      </w:r>
      <w:proofErr w:type="spellStart"/>
      <w:r w:rsidRPr="002C20B2">
        <w:rPr>
          <w:i/>
        </w:rPr>
        <w:t>Dermatol</w:t>
      </w:r>
      <w:proofErr w:type="spellEnd"/>
      <w:r w:rsidRPr="002C20B2">
        <w:t xml:space="preserve"> </w:t>
      </w:r>
      <w:r>
        <w:t xml:space="preserve">2013; </w:t>
      </w:r>
      <w:r w:rsidRPr="002C20B2">
        <w:t>25</w:t>
      </w:r>
      <w:r>
        <w:t>: 242-245.</w:t>
      </w:r>
    </w:p>
  </w:footnote>
  <w:footnote w:id="19">
    <w:p w:rsidR="00405013" w:rsidRDefault="00405013">
      <w:pPr>
        <w:pStyle w:val="FootnoteText"/>
      </w:pPr>
      <w:r>
        <w:rPr>
          <w:rStyle w:val="FootnoteReference"/>
        </w:rPr>
        <w:footnoteRef/>
      </w:r>
      <w:r w:rsidRPr="00B663AB">
        <w:rPr>
          <w:lang w:val="fr-FR"/>
        </w:rPr>
        <w:t xml:space="preserve"> Song C H et al. </w:t>
      </w:r>
      <w:proofErr w:type="gramStart"/>
      <w:r>
        <w:t xml:space="preserve">Long term efficacy of fixed dose </w:t>
      </w:r>
      <w:proofErr w:type="spellStart"/>
      <w:r>
        <w:t>omalizumab</w:t>
      </w:r>
      <w:proofErr w:type="spellEnd"/>
      <w:r>
        <w:t xml:space="preserve"> for patients with severe chromic spontaneous </w:t>
      </w:r>
      <w:proofErr w:type="spellStart"/>
      <w:r>
        <w:t>urticaria</w:t>
      </w:r>
      <w:proofErr w:type="spellEnd"/>
      <w:r>
        <w:t>.</w:t>
      </w:r>
      <w:proofErr w:type="gramEnd"/>
      <w:r w:rsidRPr="002C20B2">
        <w:t xml:space="preserve"> </w:t>
      </w:r>
      <w:r w:rsidRPr="00A83AB7">
        <w:rPr>
          <w:i/>
        </w:rPr>
        <w:t xml:space="preserve">Ann Allergy Asthma </w:t>
      </w:r>
      <w:proofErr w:type="spellStart"/>
      <w:r w:rsidRPr="00A83AB7">
        <w:rPr>
          <w:i/>
        </w:rPr>
        <w:t>Immunol</w:t>
      </w:r>
      <w:proofErr w:type="spellEnd"/>
      <w:r w:rsidRPr="002C20B2">
        <w:t xml:space="preserve"> </w:t>
      </w:r>
      <w:r>
        <w:t xml:space="preserve">2013; </w:t>
      </w:r>
      <w:r w:rsidRPr="002C20B2">
        <w:t>110</w:t>
      </w:r>
      <w:r>
        <w:t>: 113-117</w:t>
      </w:r>
    </w:p>
  </w:footnote>
  <w:footnote w:id="20">
    <w:p w:rsidR="00405013" w:rsidRDefault="00405013" w:rsidP="00EB6C82">
      <w:pPr>
        <w:pStyle w:val="FootnoteText"/>
      </w:pPr>
      <w:r>
        <w:rPr>
          <w:rStyle w:val="FootnoteReference"/>
        </w:rPr>
        <w:footnoteRef/>
      </w:r>
      <w:r>
        <w:t xml:space="preserve"> </w:t>
      </w:r>
      <w:proofErr w:type="gramStart"/>
      <w:r w:rsidRPr="00EB6C82">
        <w:t>E Hassan.</w:t>
      </w:r>
      <w:proofErr w:type="gramEnd"/>
      <w:r w:rsidRPr="00EB6C82">
        <w:t xml:space="preserve"> </w:t>
      </w:r>
      <w:r w:rsidRPr="00EB6C82">
        <w:rPr>
          <w:iCs/>
        </w:rPr>
        <w:t>Recall Bias can be a Threat to Retrospective and Prospective Research Designs</w:t>
      </w:r>
      <w:r w:rsidRPr="00EB6C82">
        <w:t>.</w:t>
      </w:r>
      <w:r>
        <w:t xml:space="preserve"> </w:t>
      </w:r>
      <w:proofErr w:type="gramStart"/>
      <w:r w:rsidRPr="00EB6C82">
        <w:rPr>
          <w:i/>
        </w:rPr>
        <w:t>The Internet Journal of Epidemiology</w:t>
      </w:r>
      <w:r w:rsidRPr="00EB6C82">
        <w:t>.</w:t>
      </w:r>
      <w:proofErr w:type="gramEnd"/>
      <w:r w:rsidRPr="00EB6C82">
        <w:t xml:space="preserve"> </w:t>
      </w:r>
      <w:proofErr w:type="gramStart"/>
      <w:r>
        <w:t xml:space="preserve">2005: </w:t>
      </w:r>
      <w:r w:rsidRPr="00EB6C82">
        <w:t>3.</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013" w:rsidRDefault="00405013"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013" w:rsidRDefault="00405013">
    <w:pPr>
      <w:rPr>
        <w:noProof/>
        <w:lang w:eastAsia="en-AU"/>
      </w:rPr>
    </w:pPr>
    <w:r w:rsidRPr="00347824">
      <w:rPr>
        <w:noProof/>
        <w:lang w:eastAsia="en-AU"/>
      </w:rPr>
      <w:drawing>
        <wp:anchor distT="0" distB="0" distL="114300" distR="114300" simplePos="0" relativeHeight="251659264" behindDoc="1" locked="0" layoutInCell="1" allowOverlap="1" wp14:anchorId="016199B4" wp14:editId="18524A90">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405013" w:rsidRDefault="00405013" w:rsidP="00593AD1">
    <w:pPr>
      <w:pStyle w:val="HeaderNoLine"/>
    </w:pPr>
    <w:r>
      <w:rPr>
        <w:noProof/>
        <w:lang w:eastAsia="en-AU"/>
      </w:rPr>
      <w:drawing>
        <wp:inline distT="0" distB="0" distL="0" distR="0" wp14:anchorId="28032452" wp14:editId="1B953100">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013" w:rsidRDefault="0040501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013" w:rsidRDefault="00405013">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013" w:rsidRDefault="00405013">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013" w:rsidRDefault="0040501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013" w:rsidRDefault="00405013"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013" w:rsidRDefault="00405013" w:rsidP="006E08B3">
    <w:r>
      <w:t>Therapeutic Goods Administration</w:t>
    </w:r>
  </w:p>
  <w:p w:rsidR="00405013" w:rsidRDefault="0040501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677B2"/>
    <w:lvl w:ilvl="0">
      <w:start w:val="1"/>
      <w:numFmt w:val="decimal"/>
      <w:lvlText w:val="%1."/>
      <w:lvlJc w:val="left"/>
      <w:pPr>
        <w:tabs>
          <w:tab w:val="num" w:pos="1492"/>
        </w:tabs>
        <w:ind w:left="1492" w:hanging="360"/>
      </w:pPr>
    </w:lvl>
  </w:abstractNum>
  <w:abstractNum w:abstractNumId="1">
    <w:nsid w:val="FFFFFF7D"/>
    <w:multiLevelType w:val="singleLevel"/>
    <w:tmpl w:val="E1F06DE8"/>
    <w:lvl w:ilvl="0">
      <w:start w:val="1"/>
      <w:numFmt w:val="decimal"/>
      <w:lvlText w:val="%1."/>
      <w:lvlJc w:val="left"/>
      <w:pPr>
        <w:tabs>
          <w:tab w:val="num" w:pos="1209"/>
        </w:tabs>
        <w:ind w:left="1209" w:hanging="360"/>
      </w:pPr>
    </w:lvl>
  </w:abstractNum>
  <w:abstractNum w:abstractNumId="2">
    <w:nsid w:val="FFFFFF7E"/>
    <w:multiLevelType w:val="singleLevel"/>
    <w:tmpl w:val="B8C62850"/>
    <w:lvl w:ilvl="0">
      <w:start w:val="1"/>
      <w:numFmt w:val="decimal"/>
      <w:lvlText w:val="%1."/>
      <w:lvlJc w:val="left"/>
      <w:pPr>
        <w:tabs>
          <w:tab w:val="num" w:pos="926"/>
        </w:tabs>
        <w:ind w:left="926" w:hanging="360"/>
      </w:pPr>
    </w:lvl>
  </w:abstractNum>
  <w:abstractNum w:abstractNumId="3">
    <w:nsid w:val="FFFFFF7F"/>
    <w:multiLevelType w:val="singleLevel"/>
    <w:tmpl w:val="81204C5C"/>
    <w:lvl w:ilvl="0">
      <w:start w:val="1"/>
      <w:numFmt w:val="decimal"/>
      <w:lvlText w:val="%1."/>
      <w:lvlJc w:val="left"/>
      <w:pPr>
        <w:tabs>
          <w:tab w:val="num" w:pos="643"/>
        </w:tabs>
        <w:ind w:left="643" w:hanging="360"/>
      </w:pPr>
    </w:lvl>
  </w:abstractNum>
  <w:abstractNum w:abstractNumId="4">
    <w:nsid w:val="FFFFFF80"/>
    <w:multiLevelType w:val="singleLevel"/>
    <w:tmpl w:val="554833C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B248E3E"/>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F7D06EEA"/>
    <w:lvl w:ilvl="0">
      <w:start w:val="1"/>
      <w:numFmt w:val="decimal"/>
      <w:lvlText w:val="%1."/>
      <w:lvlJc w:val="left"/>
      <w:pPr>
        <w:tabs>
          <w:tab w:val="num" w:pos="360"/>
        </w:tabs>
        <w:ind w:left="360" w:hanging="360"/>
      </w:p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num w:numId="1">
    <w:abstractNumId w:val="8"/>
  </w:num>
  <w:num w:numId="2">
    <w:abstractNumId w:val="7"/>
  </w:num>
  <w:num w:numId="3">
    <w:abstractNumId w:val="8"/>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9"/>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4"/>
  </w:num>
  <w:num w:numId="12">
    <w:abstractNumId w:val="6"/>
  </w:num>
  <w:num w:numId="13">
    <w:abstractNumId w:val="3"/>
  </w:num>
  <w:num w:numId="14">
    <w:abstractNumId w:val="2"/>
  </w:num>
  <w:num w:numId="15">
    <w:abstractNumId w:val="1"/>
  </w:num>
  <w:num w:numId="16">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0F6"/>
    <w:rsid w:val="00002031"/>
    <w:rsid w:val="00004734"/>
    <w:rsid w:val="00006B22"/>
    <w:rsid w:val="0001276A"/>
    <w:rsid w:val="0001722B"/>
    <w:rsid w:val="00022DF8"/>
    <w:rsid w:val="000246AE"/>
    <w:rsid w:val="00025C67"/>
    <w:rsid w:val="000375A0"/>
    <w:rsid w:val="000441CF"/>
    <w:rsid w:val="00044772"/>
    <w:rsid w:val="0005559E"/>
    <w:rsid w:val="000604D6"/>
    <w:rsid w:val="00065416"/>
    <w:rsid w:val="000734D8"/>
    <w:rsid w:val="00077775"/>
    <w:rsid w:val="00090471"/>
    <w:rsid w:val="00096AA7"/>
    <w:rsid w:val="000A2D92"/>
    <w:rsid w:val="000A3AED"/>
    <w:rsid w:val="000B174B"/>
    <w:rsid w:val="000B3532"/>
    <w:rsid w:val="000B3A75"/>
    <w:rsid w:val="000C00C2"/>
    <w:rsid w:val="000C0B04"/>
    <w:rsid w:val="000C690F"/>
    <w:rsid w:val="000D1295"/>
    <w:rsid w:val="000D391B"/>
    <w:rsid w:val="000D3D6D"/>
    <w:rsid w:val="000D4FC7"/>
    <w:rsid w:val="000E6196"/>
    <w:rsid w:val="000F01F0"/>
    <w:rsid w:val="000F4869"/>
    <w:rsid w:val="000F5B42"/>
    <w:rsid w:val="000F6E6F"/>
    <w:rsid w:val="0010601F"/>
    <w:rsid w:val="0010788A"/>
    <w:rsid w:val="00107A31"/>
    <w:rsid w:val="00110EA5"/>
    <w:rsid w:val="00112F56"/>
    <w:rsid w:val="00125318"/>
    <w:rsid w:val="0012671E"/>
    <w:rsid w:val="001305A2"/>
    <w:rsid w:val="00133238"/>
    <w:rsid w:val="00135A8C"/>
    <w:rsid w:val="0014197B"/>
    <w:rsid w:val="001447CD"/>
    <w:rsid w:val="001516B1"/>
    <w:rsid w:val="00153DEB"/>
    <w:rsid w:val="00154EBB"/>
    <w:rsid w:val="00156316"/>
    <w:rsid w:val="00156C11"/>
    <w:rsid w:val="00162D14"/>
    <w:rsid w:val="00164504"/>
    <w:rsid w:val="00165389"/>
    <w:rsid w:val="001743A3"/>
    <w:rsid w:val="0017693F"/>
    <w:rsid w:val="00180931"/>
    <w:rsid w:val="0018110E"/>
    <w:rsid w:val="00181684"/>
    <w:rsid w:val="001843C6"/>
    <w:rsid w:val="001850E0"/>
    <w:rsid w:val="0018700A"/>
    <w:rsid w:val="001910C9"/>
    <w:rsid w:val="001A2158"/>
    <w:rsid w:val="001A330B"/>
    <w:rsid w:val="001A3F16"/>
    <w:rsid w:val="001A525F"/>
    <w:rsid w:val="001B09F9"/>
    <w:rsid w:val="001B5C90"/>
    <w:rsid w:val="001B6448"/>
    <w:rsid w:val="001C32CD"/>
    <w:rsid w:val="001C7DCA"/>
    <w:rsid w:val="001D2984"/>
    <w:rsid w:val="001E07CF"/>
    <w:rsid w:val="001E59F1"/>
    <w:rsid w:val="001F49EB"/>
    <w:rsid w:val="001F5323"/>
    <w:rsid w:val="001F6679"/>
    <w:rsid w:val="001F6CBA"/>
    <w:rsid w:val="0020126C"/>
    <w:rsid w:val="00201D4E"/>
    <w:rsid w:val="002076C9"/>
    <w:rsid w:val="00220B8A"/>
    <w:rsid w:val="002257F3"/>
    <w:rsid w:val="00233456"/>
    <w:rsid w:val="002339A5"/>
    <w:rsid w:val="00235B94"/>
    <w:rsid w:val="00237A2C"/>
    <w:rsid w:val="00254D8A"/>
    <w:rsid w:val="00257848"/>
    <w:rsid w:val="0027084A"/>
    <w:rsid w:val="00286434"/>
    <w:rsid w:val="00286C59"/>
    <w:rsid w:val="00291957"/>
    <w:rsid w:val="002942D1"/>
    <w:rsid w:val="0029501A"/>
    <w:rsid w:val="002A3721"/>
    <w:rsid w:val="002B1638"/>
    <w:rsid w:val="002B3624"/>
    <w:rsid w:val="002C20B2"/>
    <w:rsid w:val="002C6444"/>
    <w:rsid w:val="002E40B3"/>
    <w:rsid w:val="002E4C9A"/>
    <w:rsid w:val="002F11F8"/>
    <w:rsid w:val="002F3F56"/>
    <w:rsid w:val="002F44B5"/>
    <w:rsid w:val="00311AC0"/>
    <w:rsid w:val="00317703"/>
    <w:rsid w:val="00322E61"/>
    <w:rsid w:val="0032583B"/>
    <w:rsid w:val="00327883"/>
    <w:rsid w:val="00335504"/>
    <w:rsid w:val="00336EAF"/>
    <w:rsid w:val="00347824"/>
    <w:rsid w:val="00350567"/>
    <w:rsid w:val="003521E8"/>
    <w:rsid w:val="00355C78"/>
    <w:rsid w:val="0035787E"/>
    <w:rsid w:val="003728F3"/>
    <w:rsid w:val="0037496E"/>
    <w:rsid w:val="00383221"/>
    <w:rsid w:val="00386150"/>
    <w:rsid w:val="003874CE"/>
    <w:rsid w:val="00390900"/>
    <w:rsid w:val="003A7F6C"/>
    <w:rsid w:val="003B4D60"/>
    <w:rsid w:val="003B7E39"/>
    <w:rsid w:val="003C58DC"/>
    <w:rsid w:val="003C64F7"/>
    <w:rsid w:val="003D1E62"/>
    <w:rsid w:val="003E0079"/>
    <w:rsid w:val="003E0B99"/>
    <w:rsid w:val="003E2486"/>
    <w:rsid w:val="003E3208"/>
    <w:rsid w:val="003F0B04"/>
    <w:rsid w:val="00400187"/>
    <w:rsid w:val="0040134E"/>
    <w:rsid w:val="00405013"/>
    <w:rsid w:val="004065FC"/>
    <w:rsid w:val="004115A2"/>
    <w:rsid w:val="004321B3"/>
    <w:rsid w:val="004334C7"/>
    <w:rsid w:val="00440A2D"/>
    <w:rsid w:val="004564A7"/>
    <w:rsid w:val="004617BF"/>
    <w:rsid w:val="00463658"/>
    <w:rsid w:val="004637A0"/>
    <w:rsid w:val="004722CC"/>
    <w:rsid w:val="004855B7"/>
    <w:rsid w:val="004936E4"/>
    <w:rsid w:val="00494E60"/>
    <w:rsid w:val="00497487"/>
    <w:rsid w:val="004A7390"/>
    <w:rsid w:val="004A7BFB"/>
    <w:rsid w:val="004B7B76"/>
    <w:rsid w:val="004C239D"/>
    <w:rsid w:val="004C2DCA"/>
    <w:rsid w:val="004C34C4"/>
    <w:rsid w:val="004C61D2"/>
    <w:rsid w:val="004D4FA2"/>
    <w:rsid w:val="004F08EE"/>
    <w:rsid w:val="004F0C4A"/>
    <w:rsid w:val="004F0F38"/>
    <w:rsid w:val="004F47D6"/>
    <w:rsid w:val="0050010A"/>
    <w:rsid w:val="00501921"/>
    <w:rsid w:val="00504914"/>
    <w:rsid w:val="005163BB"/>
    <w:rsid w:val="00520619"/>
    <w:rsid w:val="00530354"/>
    <w:rsid w:val="0053625B"/>
    <w:rsid w:val="00536A02"/>
    <w:rsid w:val="0054046F"/>
    <w:rsid w:val="005434C6"/>
    <w:rsid w:val="00543B39"/>
    <w:rsid w:val="00546154"/>
    <w:rsid w:val="00550096"/>
    <w:rsid w:val="005532DB"/>
    <w:rsid w:val="00555280"/>
    <w:rsid w:val="00557FF9"/>
    <w:rsid w:val="00561CC9"/>
    <w:rsid w:val="005711D5"/>
    <w:rsid w:val="00576378"/>
    <w:rsid w:val="00577130"/>
    <w:rsid w:val="00577945"/>
    <w:rsid w:val="00577E38"/>
    <w:rsid w:val="00585322"/>
    <w:rsid w:val="005857C6"/>
    <w:rsid w:val="00590E0E"/>
    <w:rsid w:val="00592F6E"/>
    <w:rsid w:val="00593AD1"/>
    <w:rsid w:val="005A68B6"/>
    <w:rsid w:val="005B1F12"/>
    <w:rsid w:val="005B321B"/>
    <w:rsid w:val="005B688C"/>
    <w:rsid w:val="005C5570"/>
    <w:rsid w:val="005C79A4"/>
    <w:rsid w:val="005D5442"/>
    <w:rsid w:val="005E0AA5"/>
    <w:rsid w:val="005F03A7"/>
    <w:rsid w:val="00603F32"/>
    <w:rsid w:val="00605AD4"/>
    <w:rsid w:val="006131ED"/>
    <w:rsid w:val="00625A6E"/>
    <w:rsid w:val="00626C24"/>
    <w:rsid w:val="00632398"/>
    <w:rsid w:val="00640FC3"/>
    <w:rsid w:val="00642020"/>
    <w:rsid w:val="0065337B"/>
    <w:rsid w:val="00653CDB"/>
    <w:rsid w:val="0065419D"/>
    <w:rsid w:val="006604D8"/>
    <w:rsid w:val="00664A5B"/>
    <w:rsid w:val="0066735C"/>
    <w:rsid w:val="006763D2"/>
    <w:rsid w:val="00680C08"/>
    <w:rsid w:val="00691D9F"/>
    <w:rsid w:val="006931B1"/>
    <w:rsid w:val="006A15C0"/>
    <w:rsid w:val="006B0DB6"/>
    <w:rsid w:val="006B2484"/>
    <w:rsid w:val="006B3842"/>
    <w:rsid w:val="006B5729"/>
    <w:rsid w:val="006C3E2A"/>
    <w:rsid w:val="006C4777"/>
    <w:rsid w:val="006C642F"/>
    <w:rsid w:val="006D03E5"/>
    <w:rsid w:val="006D5D3E"/>
    <w:rsid w:val="006E08B3"/>
    <w:rsid w:val="006E484F"/>
    <w:rsid w:val="006F17AC"/>
    <w:rsid w:val="006F25B8"/>
    <w:rsid w:val="006F572E"/>
    <w:rsid w:val="007046D6"/>
    <w:rsid w:val="00705DB0"/>
    <w:rsid w:val="0072012D"/>
    <w:rsid w:val="00722B57"/>
    <w:rsid w:val="00723F05"/>
    <w:rsid w:val="0072503E"/>
    <w:rsid w:val="00730F8A"/>
    <w:rsid w:val="00735A8C"/>
    <w:rsid w:val="00741523"/>
    <w:rsid w:val="0074253D"/>
    <w:rsid w:val="0074429B"/>
    <w:rsid w:val="007602F1"/>
    <w:rsid w:val="00760F91"/>
    <w:rsid w:val="007615BC"/>
    <w:rsid w:val="00762F05"/>
    <w:rsid w:val="00763586"/>
    <w:rsid w:val="007652FF"/>
    <w:rsid w:val="007704EE"/>
    <w:rsid w:val="00770EF1"/>
    <w:rsid w:val="00773EF7"/>
    <w:rsid w:val="00774E1D"/>
    <w:rsid w:val="007765D8"/>
    <w:rsid w:val="0077675A"/>
    <w:rsid w:val="00780355"/>
    <w:rsid w:val="007819FD"/>
    <w:rsid w:val="00785721"/>
    <w:rsid w:val="00793A59"/>
    <w:rsid w:val="007B340D"/>
    <w:rsid w:val="007B6132"/>
    <w:rsid w:val="007B6E9F"/>
    <w:rsid w:val="007C1216"/>
    <w:rsid w:val="007C1AF7"/>
    <w:rsid w:val="007F170D"/>
    <w:rsid w:val="00803386"/>
    <w:rsid w:val="00805D27"/>
    <w:rsid w:val="00821776"/>
    <w:rsid w:val="008321F5"/>
    <w:rsid w:val="00832369"/>
    <w:rsid w:val="00834660"/>
    <w:rsid w:val="0083510F"/>
    <w:rsid w:val="00836BC2"/>
    <w:rsid w:val="00841A9C"/>
    <w:rsid w:val="008461C7"/>
    <w:rsid w:val="0085156D"/>
    <w:rsid w:val="008549B7"/>
    <w:rsid w:val="0085641B"/>
    <w:rsid w:val="00857136"/>
    <w:rsid w:val="008633BC"/>
    <w:rsid w:val="00866140"/>
    <w:rsid w:val="00873080"/>
    <w:rsid w:val="00875CE3"/>
    <w:rsid w:val="008773D3"/>
    <w:rsid w:val="0088484C"/>
    <w:rsid w:val="00885B11"/>
    <w:rsid w:val="00886D15"/>
    <w:rsid w:val="00887DD8"/>
    <w:rsid w:val="0089197F"/>
    <w:rsid w:val="00891BA9"/>
    <w:rsid w:val="00896018"/>
    <w:rsid w:val="008960DD"/>
    <w:rsid w:val="0089635C"/>
    <w:rsid w:val="008A1293"/>
    <w:rsid w:val="008A2B9D"/>
    <w:rsid w:val="008A3D9F"/>
    <w:rsid w:val="008A5E0B"/>
    <w:rsid w:val="008A6D59"/>
    <w:rsid w:val="008B206C"/>
    <w:rsid w:val="008B4B03"/>
    <w:rsid w:val="008B596F"/>
    <w:rsid w:val="008C159F"/>
    <w:rsid w:val="008C1623"/>
    <w:rsid w:val="008C1850"/>
    <w:rsid w:val="008C4485"/>
    <w:rsid w:val="008C51A9"/>
    <w:rsid w:val="008D63AD"/>
    <w:rsid w:val="008E3217"/>
    <w:rsid w:val="008E7846"/>
    <w:rsid w:val="008F02E5"/>
    <w:rsid w:val="008F1CCC"/>
    <w:rsid w:val="008F2967"/>
    <w:rsid w:val="008F6943"/>
    <w:rsid w:val="00902A21"/>
    <w:rsid w:val="009034B5"/>
    <w:rsid w:val="00904996"/>
    <w:rsid w:val="00911DBD"/>
    <w:rsid w:val="009141EB"/>
    <w:rsid w:val="00914A38"/>
    <w:rsid w:val="00920330"/>
    <w:rsid w:val="009219D7"/>
    <w:rsid w:val="00922D53"/>
    <w:rsid w:val="00923B70"/>
    <w:rsid w:val="00924482"/>
    <w:rsid w:val="00930237"/>
    <w:rsid w:val="00940A89"/>
    <w:rsid w:val="009467A7"/>
    <w:rsid w:val="00946EA5"/>
    <w:rsid w:val="00963C08"/>
    <w:rsid w:val="00975D22"/>
    <w:rsid w:val="009851C9"/>
    <w:rsid w:val="0098585A"/>
    <w:rsid w:val="009966C5"/>
    <w:rsid w:val="00996C58"/>
    <w:rsid w:val="009A4CED"/>
    <w:rsid w:val="009A690D"/>
    <w:rsid w:val="009B1D12"/>
    <w:rsid w:val="009B416B"/>
    <w:rsid w:val="009C3BDF"/>
    <w:rsid w:val="009C4BD5"/>
    <w:rsid w:val="009D7B77"/>
    <w:rsid w:val="009E0BB0"/>
    <w:rsid w:val="009E38B5"/>
    <w:rsid w:val="009E3FBB"/>
    <w:rsid w:val="009F4E15"/>
    <w:rsid w:val="00A04F85"/>
    <w:rsid w:val="00A05FA4"/>
    <w:rsid w:val="00A102E4"/>
    <w:rsid w:val="00A11A52"/>
    <w:rsid w:val="00A1220B"/>
    <w:rsid w:val="00A12744"/>
    <w:rsid w:val="00A12C42"/>
    <w:rsid w:val="00A131CC"/>
    <w:rsid w:val="00A14DF7"/>
    <w:rsid w:val="00A24217"/>
    <w:rsid w:val="00A3246D"/>
    <w:rsid w:val="00A330F6"/>
    <w:rsid w:val="00A36FA7"/>
    <w:rsid w:val="00A44DDB"/>
    <w:rsid w:val="00A475B7"/>
    <w:rsid w:val="00A47AF7"/>
    <w:rsid w:val="00A47C3E"/>
    <w:rsid w:val="00A50226"/>
    <w:rsid w:val="00A60BAD"/>
    <w:rsid w:val="00A60D50"/>
    <w:rsid w:val="00A627FE"/>
    <w:rsid w:val="00A80B5B"/>
    <w:rsid w:val="00A83AB7"/>
    <w:rsid w:val="00A84115"/>
    <w:rsid w:val="00A84E36"/>
    <w:rsid w:val="00A873FA"/>
    <w:rsid w:val="00A964D1"/>
    <w:rsid w:val="00AA0ED0"/>
    <w:rsid w:val="00AA62F1"/>
    <w:rsid w:val="00AB3071"/>
    <w:rsid w:val="00AC2B40"/>
    <w:rsid w:val="00AC2BB2"/>
    <w:rsid w:val="00AC2C3C"/>
    <w:rsid w:val="00AC512D"/>
    <w:rsid w:val="00AC62D0"/>
    <w:rsid w:val="00AD0083"/>
    <w:rsid w:val="00AD27AE"/>
    <w:rsid w:val="00AD3935"/>
    <w:rsid w:val="00AE65EB"/>
    <w:rsid w:val="00AE67A7"/>
    <w:rsid w:val="00AF1D94"/>
    <w:rsid w:val="00AF2048"/>
    <w:rsid w:val="00AF60C5"/>
    <w:rsid w:val="00B009C6"/>
    <w:rsid w:val="00B010B9"/>
    <w:rsid w:val="00B01548"/>
    <w:rsid w:val="00B07DAB"/>
    <w:rsid w:val="00B13EBD"/>
    <w:rsid w:val="00B21D29"/>
    <w:rsid w:val="00B25034"/>
    <w:rsid w:val="00B31497"/>
    <w:rsid w:val="00B33588"/>
    <w:rsid w:val="00B33863"/>
    <w:rsid w:val="00B37D17"/>
    <w:rsid w:val="00B4175E"/>
    <w:rsid w:val="00B452CE"/>
    <w:rsid w:val="00B46B95"/>
    <w:rsid w:val="00B52CBA"/>
    <w:rsid w:val="00B54C25"/>
    <w:rsid w:val="00B663AB"/>
    <w:rsid w:val="00B76B91"/>
    <w:rsid w:val="00B77EB1"/>
    <w:rsid w:val="00B811C6"/>
    <w:rsid w:val="00B855B0"/>
    <w:rsid w:val="00B92E08"/>
    <w:rsid w:val="00B95F01"/>
    <w:rsid w:val="00BB56CC"/>
    <w:rsid w:val="00BC4019"/>
    <w:rsid w:val="00BC622A"/>
    <w:rsid w:val="00BC7668"/>
    <w:rsid w:val="00BD2407"/>
    <w:rsid w:val="00BD55D8"/>
    <w:rsid w:val="00BE0A78"/>
    <w:rsid w:val="00BE79F0"/>
    <w:rsid w:val="00BF046D"/>
    <w:rsid w:val="00BF1190"/>
    <w:rsid w:val="00BF5D04"/>
    <w:rsid w:val="00BF5D8C"/>
    <w:rsid w:val="00C017AD"/>
    <w:rsid w:val="00C109C5"/>
    <w:rsid w:val="00C1164D"/>
    <w:rsid w:val="00C16861"/>
    <w:rsid w:val="00C346AB"/>
    <w:rsid w:val="00C349BE"/>
    <w:rsid w:val="00C34E59"/>
    <w:rsid w:val="00C404A6"/>
    <w:rsid w:val="00C40A36"/>
    <w:rsid w:val="00C44419"/>
    <w:rsid w:val="00C45E7B"/>
    <w:rsid w:val="00C471B1"/>
    <w:rsid w:val="00C52DEE"/>
    <w:rsid w:val="00C6316B"/>
    <w:rsid w:val="00C634A9"/>
    <w:rsid w:val="00C64586"/>
    <w:rsid w:val="00C70D53"/>
    <w:rsid w:val="00C73D0B"/>
    <w:rsid w:val="00C772FF"/>
    <w:rsid w:val="00C80137"/>
    <w:rsid w:val="00C801AF"/>
    <w:rsid w:val="00C80256"/>
    <w:rsid w:val="00C80601"/>
    <w:rsid w:val="00C823FE"/>
    <w:rsid w:val="00C82EE9"/>
    <w:rsid w:val="00C8496B"/>
    <w:rsid w:val="00C8657C"/>
    <w:rsid w:val="00C9311D"/>
    <w:rsid w:val="00C9747E"/>
    <w:rsid w:val="00C9768C"/>
    <w:rsid w:val="00CB6031"/>
    <w:rsid w:val="00CB655F"/>
    <w:rsid w:val="00CB6BC0"/>
    <w:rsid w:val="00CC1B7C"/>
    <w:rsid w:val="00CC5578"/>
    <w:rsid w:val="00CC727F"/>
    <w:rsid w:val="00CD0041"/>
    <w:rsid w:val="00CF15C3"/>
    <w:rsid w:val="00CF26D7"/>
    <w:rsid w:val="00CF2B6F"/>
    <w:rsid w:val="00CF2F3E"/>
    <w:rsid w:val="00CF58B6"/>
    <w:rsid w:val="00D0062D"/>
    <w:rsid w:val="00D017ED"/>
    <w:rsid w:val="00D0347A"/>
    <w:rsid w:val="00D040D3"/>
    <w:rsid w:val="00D04C65"/>
    <w:rsid w:val="00D15F4C"/>
    <w:rsid w:val="00D201D2"/>
    <w:rsid w:val="00D224FE"/>
    <w:rsid w:val="00D23139"/>
    <w:rsid w:val="00D425BB"/>
    <w:rsid w:val="00D52FDB"/>
    <w:rsid w:val="00D6181E"/>
    <w:rsid w:val="00D6493E"/>
    <w:rsid w:val="00D7195D"/>
    <w:rsid w:val="00D7301E"/>
    <w:rsid w:val="00D83AE1"/>
    <w:rsid w:val="00D855D4"/>
    <w:rsid w:val="00D91187"/>
    <w:rsid w:val="00D93466"/>
    <w:rsid w:val="00D95EFE"/>
    <w:rsid w:val="00D96BDE"/>
    <w:rsid w:val="00DA1124"/>
    <w:rsid w:val="00DB45EE"/>
    <w:rsid w:val="00DB6124"/>
    <w:rsid w:val="00DB750B"/>
    <w:rsid w:val="00DB75B7"/>
    <w:rsid w:val="00DC5E23"/>
    <w:rsid w:val="00DC6E02"/>
    <w:rsid w:val="00DD704C"/>
    <w:rsid w:val="00DE02AE"/>
    <w:rsid w:val="00DF0640"/>
    <w:rsid w:val="00DF1D7F"/>
    <w:rsid w:val="00DF4BE4"/>
    <w:rsid w:val="00E02FB4"/>
    <w:rsid w:val="00E03BE7"/>
    <w:rsid w:val="00E101FB"/>
    <w:rsid w:val="00E13FC7"/>
    <w:rsid w:val="00E20571"/>
    <w:rsid w:val="00E235F7"/>
    <w:rsid w:val="00E23659"/>
    <w:rsid w:val="00E239D4"/>
    <w:rsid w:val="00E26130"/>
    <w:rsid w:val="00E34A88"/>
    <w:rsid w:val="00E40789"/>
    <w:rsid w:val="00E40B22"/>
    <w:rsid w:val="00E434EF"/>
    <w:rsid w:val="00E44ED1"/>
    <w:rsid w:val="00E45619"/>
    <w:rsid w:val="00E4588F"/>
    <w:rsid w:val="00E46DA3"/>
    <w:rsid w:val="00E51BB1"/>
    <w:rsid w:val="00E624A5"/>
    <w:rsid w:val="00E64BA4"/>
    <w:rsid w:val="00E7344E"/>
    <w:rsid w:val="00EB0798"/>
    <w:rsid w:val="00EB0B1A"/>
    <w:rsid w:val="00EB40AD"/>
    <w:rsid w:val="00EB586E"/>
    <w:rsid w:val="00EB5FC8"/>
    <w:rsid w:val="00EB6C82"/>
    <w:rsid w:val="00EC0981"/>
    <w:rsid w:val="00EC7A85"/>
    <w:rsid w:val="00ED3CAD"/>
    <w:rsid w:val="00ED5A41"/>
    <w:rsid w:val="00EE1AF4"/>
    <w:rsid w:val="00EE1DE8"/>
    <w:rsid w:val="00F02687"/>
    <w:rsid w:val="00F033EC"/>
    <w:rsid w:val="00F04F68"/>
    <w:rsid w:val="00F12670"/>
    <w:rsid w:val="00F13C89"/>
    <w:rsid w:val="00F14B27"/>
    <w:rsid w:val="00F27D9A"/>
    <w:rsid w:val="00F3148D"/>
    <w:rsid w:val="00F325C5"/>
    <w:rsid w:val="00F32FE0"/>
    <w:rsid w:val="00F35298"/>
    <w:rsid w:val="00F47333"/>
    <w:rsid w:val="00F47E37"/>
    <w:rsid w:val="00F519D4"/>
    <w:rsid w:val="00F52EB9"/>
    <w:rsid w:val="00F53C07"/>
    <w:rsid w:val="00F54B65"/>
    <w:rsid w:val="00F63797"/>
    <w:rsid w:val="00F640B6"/>
    <w:rsid w:val="00F80E40"/>
    <w:rsid w:val="00F848D9"/>
    <w:rsid w:val="00F978F0"/>
    <w:rsid w:val="00FA5B82"/>
    <w:rsid w:val="00FA639E"/>
    <w:rsid w:val="00FB338C"/>
    <w:rsid w:val="00FC25E4"/>
    <w:rsid w:val="00FC4EF7"/>
    <w:rsid w:val="00FD0824"/>
    <w:rsid w:val="00FD119B"/>
    <w:rsid w:val="00FD1EDC"/>
    <w:rsid w:val="00FE1DEE"/>
    <w:rsid w:val="00FE5927"/>
    <w:rsid w:val="00FE6A69"/>
    <w:rsid w:val="00FE741E"/>
    <w:rsid w:val="00FF2126"/>
    <w:rsid w:val="00FF4367"/>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760F91"/>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unhideWhenUsed/>
    <w:qFormat/>
    <w:rsid w:val="00F0268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E38B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B46B95"/>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paragraph" w:styleId="ListParagraph">
    <w:name w:val="List Paragraph"/>
    <w:basedOn w:val="Normal"/>
    <w:uiPriority w:val="34"/>
    <w:qFormat/>
    <w:rsid w:val="005F03A7"/>
    <w:pPr>
      <w:adjustRightInd w:val="0"/>
      <w:snapToGrid w:val="0"/>
      <w:spacing w:before="180" w:after="180"/>
      <w:ind w:left="720"/>
      <w:contextualSpacing/>
    </w:pPr>
    <w:rPr>
      <w:rFonts w:eastAsia="MS Mincho"/>
      <w:szCs w:val="20"/>
      <w:lang w:eastAsia="ja-JP"/>
    </w:rPr>
  </w:style>
  <w:style w:type="paragraph" w:customStyle="1" w:styleId="Bullet2">
    <w:name w:val="Bullet 2"/>
    <w:basedOn w:val="Normal"/>
    <w:rsid w:val="00B52CBA"/>
    <w:pPr>
      <w:numPr>
        <w:numId w:val="6"/>
      </w:numPr>
      <w:spacing w:after="0" w:line="240" w:lineRule="auto"/>
    </w:pPr>
    <w:rPr>
      <w:rFonts w:eastAsia="Times New Roman"/>
      <w:kern w:val="24"/>
      <w:szCs w:val="24"/>
      <w:lang w:eastAsia="en-AU"/>
    </w:rPr>
  </w:style>
  <w:style w:type="paragraph" w:customStyle="1" w:styleId="Comment1">
    <w:name w:val="Comment 1"/>
    <w:basedOn w:val="Normal"/>
    <w:next w:val="Normal"/>
    <w:qFormat/>
    <w:rsid w:val="00B52CB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Bullet1">
    <w:name w:val="Bullet 1"/>
    <w:basedOn w:val="Normal"/>
    <w:rsid w:val="00317703"/>
    <w:pPr>
      <w:numPr>
        <w:numId w:val="7"/>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uiPriority w:val="9"/>
    <w:rsid w:val="00F02687"/>
    <w:rPr>
      <w:rFonts w:asciiTheme="majorHAnsi" w:eastAsiaTheme="majorEastAsia" w:hAnsiTheme="majorHAnsi" w:cstheme="majorBidi"/>
      <w:color w:val="404040" w:themeColor="text1" w:themeTint="BF"/>
      <w:sz w:val="20"/>
      <w:szCs w:val="20"/>
    </w:rPr>
  </w:style>
  <w:style w:type="table" w:customStyle="1" w:styleId="TableTGAblue1">
    <w:name w:val="Table TGA blue1"/>
    <w:basedOn w:val="TableNormal"/>
    <w:uiPriority w:val="99"/>
    <w:qFormat/>
    <w:rsid w:val="00EC0981"/>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Default">
    <w:name w:val="Default"/>
    <w:rsid w:val="00A60D5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
    <w:name w:val="CM1"/>
    <w:basedOn w:val="Default"/>
    <w:next w:val="Default"/>
    <w:uiPriority w:val="99"/>
    <w:rsid w:val="00A60D50"/>
    <w:pPr>
      <w:spacing w:line="186" w:lineRule="atLeast"/>
    </w:pPr>
    <w:rPr>
      <w:color w:val="auto"/>
    </w:rPr>
  </w:style>
  <w:style w:type="paragraph" w:styleId="NormalWeb">
    <w:name w:val="Normal (Web)"/>
    <w:basedOn w:val="Normal"/>
    <w:uiPriority w:val="99"/>
    <w:semiHidden/>
    <w:unhideWhenUsed/>
    <w:rsid w:val="00A60D50"/>
    <w:pPr>
      <w:spacing w:before="100" w:beforeAutospacing="1" w:after="100" w:afterAutospacing="1" w:line="240" w:lineRule="auto"/>
    </w:pPr>
    <w:rPr>
      <w:rFonts w:ascii="Times New Roman" w:eastAsia="Times New Roman" w:hAnsi="Times New Roman"/>
      <w:sz w:val="24"/>
      <w:szCs w:val="24"/>
      <w:lang w:eastAsia="en-AU"/>
    </w:rPr>
  </w:style>
  <w:style w:type="character" w:styleId="Strong">
    <w:name w:val="Strong"/>
    <w:basedOn w:val="DefaultParagraphFont"/>
    <w:uiPriority w:val="22"/>
    <w:qFormat/>
    <w:rsid w:val="00A60D50"/>
    <w:rPr>
      <w:b/>
      <w:bCs/>
    </w:rPr>
  </w:style>
  <w:style w:type="character" w:styleId="CommentReference">
    <w:name w:val="annotation reference"/>
    <w:basedOn w:val="DefaultParagraphFont"/>
    <w:uiPriority w:val="99"/>
    <w:semiHidden/>
    <w:unhideWhenUsed/>
    <w:rsid w:val="002C6444"/>
    <w:rPr>
      <w:sz w:val="16"/>
      <w:szCs w:val="16"/>
    </w:rPr>
  </w:style>
  <w:style w:type="paragraph" w:styleId="CommentText">
    <w:name w:val="annotation text"/>
    <w:basedOn w:val="Normal"/>
    <w:link w:val="CommentTextChar"/>
    <w:uiPriority w:val="99"/>
    <w:semiHidden/>
    <w:unhideWhenUsed/>
    <w:rsid w:val="002C6444"/>
    <w:pPr>
      <w:spacing w:line="240" w:lineRule="auto"/>
    </w:pPr>
    <w:rPr>
      <w:sz w:val="20"/>
      <w:szCs w:val="20"/>
    </w:rPr>
  </w:style>
  <w:style w:type="character" w:customStyle="1" w:styleId="CommentTextChar">
    <w:name w:val="Comment Text Char"/>
    <w:basedOn w:val="DefaultParagraphFont"/>
    <w:link w:val="CommentText"/>
    <w:uiPriority w:val="99"/>
    <w:semiHidden/>
    <w:rsid w:val="002C6444"/>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2C6444"/>
    <w:rPr>
      <w:b/>
      <w:bCs/>
    </w:rPr>
  </w:style>
  <w:style w:type="character" w:customStyle="1" w:styleId="CommentSubjectChar">
    <w:name w:val="Comment Subject Char"/>
    <w:basedOn w:val="CommentTextChar"/>
    <w:link w:val="CommentSubject"/>
    <w:uiPriority w:val="99"/>
    <w:semiHidden/>
    <w:rsid w:val="002C6444"/>
    <w:rPr>
      <w:rFonts w:ascii="Cambria" w:eastAsia="Cambria" w:hAnsi="Cambria" w:cs="Times New Roman"/>
      <w:b/>
      <w:bCs/>
      <w:sz w:val="20"/>
      <w:szCs w:val="20"/>
    </w:rPr>
  </w:style>
  <w:style w:type="character" w:customStyle="1" w:styleId="Heading9Char">
    <w:name w:val="Heading 9 Char"/>
    <w:basedOn w:val="DefaultParagraphFont"/>
    <w:link w:val="Heading9"/>
    <w:uiPriority w:val="9"/>
    <w:rsid w:val="009E38B5"/>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760F91"/>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unhideWhenUsed/>
    <w:qFormat/>
    <w:rsid w:val="00F0268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E38B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B46B95"/>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paragraph" w:styleId="ListParagraph">
    <w:name w:val="List Paragraph"/>
    <w:basedOn w:val="Normal"/>
    <w:uiPriority w:val="34"/>
    <w:qFormat/>
    <w:rsid w:val="005F03A7"/>
    <w:pPr>
      <w:adjustRightInd w:val="0"/>
      <w:snapToGrid w:val="0"/>
      <w:spacing w:before="180" w:after="180"/>
      <w:ind w:left="720"/>
      <w:contextualSpacing/>
    </w:pPr>
    <w:rPr>
      <w:rFonts w:eastAsia="MS Mincho"/>
      <w:szCs w:val="20"/>
      <w:lang w:eastAsia="ja-JP"/>
    </w:rPr>
  </w:style>
  <w:style w:type="paragraph" w:customStyle="1" w:styleId="Bullet2">
    <w:name w:val="Bullet 2"/>
    <w:basedOn w:val="Normal"/>
    <w:rsid w:val="00B52CBA"/>
    <w:pPr>
      <w:numPr>
        <w:numId w:val="6"/>
      </w:numPr>
      <w:spacing w:after="0" w:line="240" w:lineRule="auto"/>
    </w:pPr>
    <w:rPr>
      <w:rFonts w:eastAsia="Times New Roman"/>
      <w:kern w:val="24"/>
      <w:szCs w:val="24"/>
      <w:lang w:eastAsia="en-AU"/>
    </w:rPr>
  </w:style>
  <w:style w:type="paragraph" w:customStyle="1" w:styleId="Comment1">
    <w:name w:val="Comment 1"/>
    <w:basedOn w:val="Normal"/>
    <w:next w:val="Normal"/>
    <w:qFormat/>
    <w:rsid w:val="00B52CB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Bullet1">
    <w:name w:val="Bullet 1"/>
    <w:basedOn w:val="Normal"/>
    <w:rsid w:val="00317703"/>
    <w:pPr>
      <w:numPr>
        <w:numId w:val="7"/>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uiPriority w:val="9"/>
    <w:rsid w:val="00F02687"/>
    <w:rPr>
      <w:rFonts w:asciiTheme="majorHAnsi" w:eastAsiaTheme="majorEastAsia" w:hAnsiTheme="majorHAnsi" w:cstheme="majorBidi"/>
      <w:color w:val="404040" w:themeColor="text1" w:themeTint="BF"/>
      <w:sz w:val="20"/>
      <w:szCs w:val="20"/>
    </w:rPr>
  </w:style>
  <w:style w:type="table" w:customStyle="1" w:styleId="TableTGAblue1">
    <w:name w:val="Table TGA blue1"/>
    <w:basedOn w:val="TableNormal"/>
    <w:uiPriority w:val="99"/>
    <w:qFormat/>
    <w:rsid w:val="00EC0981"/>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Default">
    <w:name w:val="Default"/>
    <w:rsid w:val="00A60D5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
    <w:name w:val="CM1"/>
    <w:basedOn w:val="Default"/>
    <w:next w:val="Default"/>
    <w:uiPriority w:val="99"/>
    <w:rsid w:val="00A60D50"/>
    <w:pPr>
      <w:spacing w:line="186" w:lineRule="atLeast"/>
    </w:pPr>
    <w:rPr>
      <w:color w:val="auto"/>
    </w:rPr>
  </w:style>
  <w:style w:type="paragraph" w:styleId="NormalWeb">
    <w:name w:val="Normal (Web)"/>
    <w:basedOn w:val="Normal"/>
    <w:uiPriority w:val="99"/>
    <w:semiHidden/>
    <w:unhideWhenUsed/>
    <w:rsid w:val="00A60D50"/>
    <w:pPr>
      <w:spacing w:before="100" w:beforeAutospacing="1" w:after="100" w:afterAutospacing="1" w:line="240" w:lineRule="auto"/>
    </w:pPr>
    <w:rPr>
      <w:rFonts w:ascii="Times New Roman" w:eastAsia="Times New Roman" w:hAnsi="Times New Roman"/>
      <w:sz w:val="24"/>
      <w:szCs w:val="24"/>
      <w:lang w:eastAsia="en-AU"/>
    </w:rPr>
  </w:style>
  <w:style w:type="character" w:styleId="Strong">
    <w:name w:val="Strong"/>
    <w:basedOn w:val="DefaultParagraphFont"/>
    <w:uiPriority w:val="22"/>
    <w:qFormat/>
    <w:rsid w:val="00A60D50"/>
    <w:rPr>
      <w:b/>
      <w:bCs/>
    </w:rPr>
  </w:style>
  <w:style w:type="character" w:styleId="CommentReference">
    <w:name w:val="annotation reference"/>
    <w:basedOn w:val="DefaultParagraphFont"/>
    <w:uiPriority w:val="99"/>
    <w:semiHidden/>
    <w:unhideWhenUsed/>
    <w:rsid w:val="002C6444"/>
    <w:rPr>
      <w:sz w:val="16"/>
      <w:szCs w:val="16"/>
    </w:rPr>
  </w:style>
  <w:style w:type="paragraph" w:styleId="CommentText">
    <w:name w:val="annotation text"/>
    <w:basedOn w:val="Normal"/>
    <w:link w:val="CommentTextChar"/>
    <w:uiPriority w:val="99"/>
    <w:semiHidden/>
    <w:unhideWhenUsed/>
    <w:rsid w:val="002C6444"/>
    <w:pPr>
      <w:spacing w:line="240" w:lineRule="auto"/>
    </w:pPr>
    <w:rPr>
      <w:sz w:val="20"/>
      <w:szCs w:val="20"/>
    </w:rPr>
  </w:style>
  <w:style w:type="character" w:customStyle="1" w:styleId="CommentTextChar">
    <w:name w:val="Comment Text Char"/>
    <w:basedOn w:val="DefaultParagraphFont"/>
    <w:link w:val="CommentText"/>
    <w:uiPriority w:val="99"/>
    <w:semiHidden/>
    <w:rsid w:val="002C6444"/>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2C6444"/>
    <w:rPr>
      <w:b/>
      <w:bCs/>
    </w:rPr>
  </w:style>
  <w:style w:type="character" w:customStyle="1" w:styleId="CommentSubjectChar">
    <w:name w:val="Comment Subject Char"/>
    <w:basedOn w:val="CommentTextChar"/>
    <w:link w:val="CommentSubject"/>
    <w:uiPriority w:val="99"/>
    <w:semiHidden/>
    <w:rsid w:val="002C6444"/>
    <w:rPr>
      <w:rFonts w:ascii="Cambria" w:eastAsia="Cambria" w:hAnsi="Cambria" w:cs="Times New Roman"/>
      <w:b/>
      <w:bCs/>
      <w:sz w:val="20"/>
      <w:szCs w:val="20"/>
    </w:rPr>
  </w:style>
  <w:style w:type="character" w:customStyle="1" w:styleId="Heading9Char">
    <w:name w:val="Heading 9 Char"/>
    <w:basedOn w:val="DefaultParagraphFont"/>
    <w:link w:val="Heading9"/>
    <w:uiPriority w:val="9"/>
    <w:rsid w:val="009E38B5"/>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3534075">
      <w:bodyDiv w:val="1"/>
      <w:marLeft w:val="0"/>
      <w:marRight w:val="0"/>
      <w:marTop w:val="0"/>
      <w:marBottom w:val="0"/>
      <w:divBdr>
        <w:top w:val="none" w:sz="0" w:space="0" w:color="auto"/>
        <w:left w:val="none" w:sz="0" w:space="0" w:color="auto"/>
        <w:bottom w:val="none" w:sz="0" w:space="0" w:color="auto"/>
        <w:right w:val="none" w:sz="0" w:space="0" w:color="auto"/>
      </w:divBdr>
    </w:div>
    <w:div w:id="1801412741">
      <w:bodyDiv w:val="1"/>
      <w:marLeft w:val="0"/>
      <w:marRight w:val="0"/>
      <w:marTop w:val="0"/>
      <w:marBottom w:val="0"/>
      <w:divBdr>
        <w:top w:val="none" w:sz="0" w:space="0" w:color="auto"/>
        <w:left w:val="none" w:sz="0" w:space="0" w:color="auto"/>
        <w:bottom w:val="none" w:sz="0" w:space="0" w:color="auto"/>
        <w:right w:val="none" w:sz="0" w:space="0" w:color="auto"/>
      </w:divBdr>
    </w:div>
    <w:div w:id="1850825167">
      <w:bodyDiv w:val="1"/>
      <w:marLeft w:val="0"/>
      <w:marRight w:val="0"/>
      <w:marTop w:val="0"/>
      <w:marBottom w:val="0"/>
      <w:divBdr>
        <w:top w:val="none" w:sz="0" w:space="0" w:color="auto"/>
        <w:left w:val="none" w:sz="0" w:space="0" w:color="auto"/>
        <w:bottom w:val="none" w:sz="0" w:space="0" w:color="auto"/>
        <w:right w:val="none" w:sz="0" w:space="0" w:color="auto"/>
      </w:divBdr>
    </w:div>
    <w:div w:id="201977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www.tga.gov.au/product-information-pi" TargetMode="External"/><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5.xml"/><Relationship Id="rId36" Type="http://schemas.openxmlformats.org/officeDocument/2006/relationships/footer" Target="footer4.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hyperlink" Target="https://www.tga.gov.au" TargetMode="Externa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0.png"/><Relationship Id="rId27" Type="http://schemas.openxmlformats.org/officeDocument/2006/relationships/header" Target="header4.xml"/><Relationship Id="rId30" Type="http://schemas.openxmlformats.org/officeDocument/2006/relationships/hyperlink" Target="mailto:info@tga.gov.au" TargetMode="External"/><Relationship Id="rId35"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381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4D836-9359-4171-9902-585609F2F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139</TotalTime>
  <Pages>43</Pages>
  <Words>13706</Words>
  <Characters>78127</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91650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dc:title>
  <dc:subject>prescription medicine regulation</dc:subject>
  <dc:creator>Whitbread, Lel</dc:creator>
  <cp:keywords>auspar, prescription, medicine, assessment, regulation, australia</cp:keywords>
  <cp:lastModifiedBy>Norton, Daniel</cp:lastModifiedBy>
  <cp:revision>10</cp:revision>
  <cp:lastPrinted>2015-05-27T02:02:00Z</cp:lastPrinted>
  <dcterms:created xsi:type="dcterms:W3CDTF">2015-07-21T03:48:00Z</dcterms:created>
  <dcterms:modified xsi:type="dcterms:W3CDTF">2015-08-10T06:28:00Z</dcterms:modified>
  <cp:category>external publication</cp:category>
</cp:coreProperties>
</file>