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3"/>
      </w:tblGrid>
      <w:tr w:rsidR="008E7846" w:rsidRPr="00487162" w:rsidTr="008C04A3">
        <w:trPr>
          <w:trHeight w:val="1242"/>
        </w:trPr>
        <w:tc>
          <w:tcPr>
            <w:tcW w:w="7273" w:type="dxa"/>
            <w:tcBorders>
              <w:top w:val="nil"/>
              <w:left w:val="nil"/>
              <w:bottom w:val="nil"/>
              <w:right w:val="nil"/>
            </w:tcBorders>
          </w:tcPr>
          <w:p w:rsidR="008E7846" w:rsidRPr="0017078F" w:rsidRDefault="008C04A3" w:rsidP="0017078F">
            <w:pPr>
              <w:rPr>
                <w:rFonts w:ascii="Arial" w:hAnsi="Arial" w:cs="Arial"/>
                <w:b/>
                <w:color w:val="002C47"/>
                <w:sz w:val="36"/>
                <w:szCs w:val="36"/>
              </w:rPr>
            </w:pPr>
            <w:r>
              <w:rPr>
                <w:rFonts w:ascii="Arial" w:hAnsi="Arial" w:cs="Arial"/>
                <w:b/>
                <w:color w:val="002C47"/>
                <w:sz w:val="36"/>
                <w:szCs w:val="36"/>
              </w:rPr>
              <w:t xml:space="preserve">First Round </w:t>
            </w:r>
            <w:r w:rsidR="0017078F">
              <w:rPr>
                <w:rFonts w:ascii="Arial" w:hAnsi="Arial" w:cs="Arial"/>
                <w:b/>
                <w:color w:val="002C47"/>
                <w:sz w:val="36"/>
                <w:szCs w:val="36"/>
              </w:rPr>
              <w:t>CER</w:t>
            </w:r>
            <w:r>
              <w:rPr>
                <w:rFonts w:ascii="Arial" w:hAnsi="Arial" w:cs="Arial"/>
                <w:b/>
                <w:color w:val="002C47"/>
                <w:sz w:val="36"/>
                <w:szCs w:val="36"/>
              </w:rPr>
              <w:t xml:space="preserve"> 3 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2B697B" w:rsidRDefault="00E07F15" w:rsidP="002B697B">
            <w:pPr>
              <w:pStyle w:val="Title"/>
              <w:framePr w:hSpace="0" w:wrap="auto" w:vAnchor="margin" w:yAlign="inline"/>
            </w:pPr>
            <w:proofErr w:type="spellStart"/>
            <w:r w:rsidRPr="002B697B">
              <w:t>AusPAR</w:t>
            </w:r>
            <w:proofErr w:type="spellEnd"/>
            <w:r w:rsidRPr="002B697B">
              <w:t xml:space="preserve"> Attachment 2</w:t>
            </w:r>
          </w:p>
        </w:tc>
      </w:tr>
      <w:tr w:rsidR="00E07F15" w:rsidRPr="00A964D1" w:rsidTr="00E07F15">
        <w:trPr>
          <w:trHeight w:val="868"/>
        </w:trPr>
        <w:tc>
          <w:tcPr>
            <w:tcW w:w="9079" w:type="dxa"/>
          </w:tcPr>
          <w:p w:rsidR="00E07F15" w:rsidRPr="002B697B" w:rsidRDefault="00E07F15" w:rsidP="002B697B">
            <w:pPr>
              <w:pStyle w:val="Title"/>
              <w:framePr w:hSpace="0" w:wrap="auto" w:vAnchor="margin" w:yAlign="inline"/>
            </w:pPr>
            <w:r w:rsidRPr="002B697B">
              <w:t xml:space="preserve">Extract from the Clinical Evaluation Report for </w:t>
            </w:r>
            <w:proofErr w:type="spellStart"/>
            <w:r w:rsidR="008C04A3" w:rsidRPr="002B697B">
              <w:t>Omalizumab</w:t>
            </w:r>
            <w:proofErr w:type="spellEnd"/>
          </w:p>
        </w:tc>
      </w:tr>
      <w:tr w:rsidR="00E07F15" w:rsidRPr="00B64760" w:rsidTr="00E07F15">
        <w:tc>
          <w:tcPr>
            <w:tcW w:w="9079" w:type="dxa"/>
          </w:tcPr>
          <w:p w:rsidR="00E07F15" w:rsidRPr="008E7846" w:rsidRDefault="008C04A3" w:rsidP="00101FDD">
            <w:pPr>
              <w:pStyle w:val="Subtitle"/>
              <w:framePr w:hSpace="0" w:wrap="auto" w:vAnchor="margin" w:yAlign="inline"/>
            </w:pPr>
            <w:r w:rsidRPr="00101FDD">
              <w:t>Proprietary</w:t>
            </w:r>
            <w:r>
              <w:t xml:space="preserve"> Product Name: </w:t>
            </w:r>
            <w:proofErr w:type="spellStart"/>
            <w:r>
              <w:t>Xolair</w:t>
            </w:r>
            <w:proofErr w:type="spellEnd"/>
          </w:p>
        </w:tc>
      </w:tr>
      <w:tr w:rsidR="00E07F15" w:rsidRPr="00B64760" w:rsidTr="00E07F15">
        <w:trPr>
          <w:trHeight w:val="486"/>
        </w:trPr>
        <w:tc>
          <w:tcPr>
            <w:tcW w:w="9079" w:type="dxa"/>
          </w:tcPr>
          <w:p w:rsidR="00E07F15" w:rsidRPr="008E7846" w:rsidRDefault="008C04A3" w:rsidP="00A15B9E">
            <w:pPr>
              <w:pStyle w:val="Subtitle"/>
              <w:framePr w:hSpace="0" w:wrap="auto" w:vAnchor="margin" w:yAlign="inline"/>
            </w:pPr>
            <w:r>
              <w:t>Sponsor: Novartis Pharmaceuticals Australia Pty Ltd</w:t>
            </w:r>
            <w:r w:rsidR="00E07F15" w:rsidRPr="008E7846">
              <w:t xml:space="preserve"> </w:t>
            </w:r>
          </w:p>
        </w:tc>
      </w:tr>
    </w:tbl>
    <w:p w:rsidR="008E7846" w:rsidRDefault="008E7846" w:rsidP="008E7846">
      <w:pPr>
        <w:pStyle w:val="NonTOCHeading2"/>
      </w:pPr>
      <w:r>
        <w:br w:type="page"/>
      </w:r>
    </w:p>
    <w:p w:rsidR="008E7846" w:rsidRPr="001F6CBA" w:rsidRDefault="008E7846" w:rsidP="00A15B9E">
      <w:pPr>
        <w:pStyle w:val="NonTOCHeading2"/>
      </w:pPr>
      <w:r w:rsidRPr="001F6CBA">
        <w:lastRenderedPageBreak/>
        <w:t xml:space="preserve">About the Therapeutic Goods </w:t>
      </w:r>
      <w:r w:rsidRPr="00A15B9E">
        <w:t>Administration</w:t>
      </w:r>
      <w:r w:rsidRPr="001F6CBA">
        <w:t xml:space="preserve"> (TGA)</w:t>
      </w:r>
    </w:p>
    <w:p w:rsidR="008E7846" w:rsidRDefault="008E7846" w:rsidP="002A0F0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A0F0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A0F0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A0F0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A0F0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A15B9E">
      <w:pPr>
        <w:pStyle w:val="NonTOCHeading2"/>
      </w:pPr>
      <w:r w:rsidRPr="001F6CBA">
        <w:t xml:space="preserve">About the </w:t>
      </w:r>
      <w:r w:rsidR="008D60B7">
        <w:t>e</w:t>
      </w:r>
      <w:r w:rsidRPr="0017078F">
        <w:t>xtract</w:t>
      </w:r>
      <w:r>
        <w:t xml:space="preserve"> from the </w:t>
      </w:r>
      <w:r w:rsidR="008D60B7">
        <w:t>c</w:t>
      </w:r>
      <w:r>
        <w:t xml:space="preserve">linical </w:t>
      </w:r>
      <w:r w:rsidR="008D60B7" w:rsidRPr="00A15B9E">
        <w:t>e</w:t>
      </w:r>
      <w:r w:rsidRPr="00A15B9E">
        <w:t>valuation</w:t>
      </w:r>
      <w:r>
        <w:t xml:space="preserve"> </w:t>
      </w:r>
      <w:r w:rsidR="008D60B7">
        <w:t>r</w:t>
      </w:r>
      <w:r>
        <w:t>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E0BB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543D4"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248984" w:history="1">
            <w:r w:rsidR="00E543D4" w:rsidRPr="008B3EFF">
              <w:rPr>
                <w:rStyle w:val="Hyperlink"/>
                <w:noProof/>
              </w:rPr>
              <w:t>List of abbreviations</w:t>
            </w:r>
            <w:r w:rsidR="00E543D4">
              <w:rPr>
                <w:noProof/>
                <w:webHidden/>
              </w:rPr>
              <w:tab/>
            </w:r>
            <w:r w:rsidR="00E543D4">
              <w:rPr>
                <w:noProof/>
                <w:webHidden/>
              </w:rPr>
              <w:fldChar w:fldCharType="begin"/>
            </w:r>
            <w:r w:rsidR="00E543D4">
              <w:rPr>
                <w:noProof/>
                <w:webHidden/>
              </w:rPr>
              <w:instrText xml:space="preserve"> PAGEREF _Toc425248984 \h </w:instrText>
            </w:r>
            <w:r w:rsidR="00E543D4">
              <w:rPr>
                <w:noProof/>
                <w:webHidden/>
              </w:rPr>
            </w:r>
            <w:r w:rsidR="00E543D4">
              <w:rPr>
                <w:noProof/>
                <w:webHidden/>
              </w:rPr>
              <w:fldChar w:fldCharType="separate"/>
            </w:r>
            <w:r w:rsidR="00E543D4">
              <w:rPr>
                <w:noProof/>
                <w:webHidden/>
              </w:rPr>
              <w:t>5</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8985" w:history="1">
            <w:r w:rsidR="00E543D4" w:rsidRPr="008B3EFF">
              <w:rPr>
                <w:rStyle w:val="Hyperlink"/>
                <w:noProof/>
                <w:lang w:eastAsia="en-AU"/>
              </w:rPr>
              <w:t>1.</w:t>
            </w:r>
            <w:r w:rsidR="00E543D4">
              <w:rPr>
                <w:rFonts w:asciiTheme="minorHAnsi" w:eastAsiaTheme="minorEastAsia" w:hAnsiTheme="minorHAnsi" w:cstheme="minorBidi"/>
                <w:b w:val="0"/>
                <w:noProof/>
                <w:sz w:val="22"/>
                <w:lang w:eastAsia="en-AU"/>
              </w:rPr>
              <w:tab/>
            </w:r>
            <w:r w:rsidR="00E543D4" w:rsidRPr="008B3EFF">
              <w:rPr>
                <w:rStyle w:val="Hyperlink"/>
                <w:noProof/>
                <w:lang w:eastAsia="en-AU"/>
              </w:rPr>
              <w:t>Introduction</w:t>
            </w:r>
            <w:r w:rsidR="00E543D4">
              <w:rPr>
                <w:noProof/>
                <w:webHidden/>
              </w:rPr>
              <w:tab/>
            </w:r>
            <w:r w:rsidR="00E543D4">
              <w:rPr>
                <w:noProof/>
                <w:webHidden/>
              </w:rPr>
              <w:fldChar w:fldCharType="begin"/>
            </w:r>
            <w:r w:rsidR="00E543D4">
              <w:rPr>
                <w:noProof/>
                <w:webHidden/>
              </w:rPr>
              <w:instrText xml:space="preserve"> PAGEREF _Toc425248985 \h </w:instrText>
            </w:r>
            <w:r w:rsidR="00E543D4">
              <w:rPr>
                <w:noProof/>
                <w:webHidden/>
              </w:rPr>
            </w:r>
            <w:r w:rsidR="00E543D4">
              <w:rPr>
                <w:noProof/>
                <w:webHidden/>
              </w:rPr>
              <w:fldChar w:fldCharType="separate"/>
            </w:r>
            <w:r w:rsidR="00E543D4">
              <w:rPr>
                <w:noProof/>
                <w:webHidden/>
              </w:rPr>
              <w:t>7</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8986" w:history="1">
            <w:r w:rsidR="00E543D4" w:rsidRPr="008B3EFF">
              <w:rPr>
                <w:rStyle w:val="Hyperlink"/>
                <w:noProof/>
                <w:lang w:eastAsia="en-AU"/>
              </w:rPr>
              <w:t>2.</w:t>
            </w:r>
            <w:r w:rsidR="00E543D4">
              <w:rPr>
                <w:rFonts w:asciiTheme="minorHAnsi" w:eastAsiaTheme="minorEastAsia" w:hAnsiTheme="minorHAnsi" w:cstheme="minorBidi"/>
                <w:b w:val="0"/>
                <w:noProof/>
                <w:sz w:val="22"/>
                <w:lang w:eastAsia="en-AU"/>
              </w:rPr>
              <w:tab/>
            </w:r>
            <w:r w:rsidR="00E543D4" w:rsidRPr="008B3EFF">
              <w:rPr>
                <w:rStyle w:val="Hyperlink"/>
                <w:noProof/>
                <w:lang w:eastAsia="en-AU"/>
              </w:rPr>
              <w:t>Clinical rationale</w:t>
            </w:r>
            <w:r w:rsidR="00E543D4">
              <w:rPr>
                <w:noProof/>
                <w:webHidden/>
              </w:rPr>
              <w:tab/>
            </w:r>
            <w:r w:rsidR="00E543D4">
              <w:rPr>
                <w:noProof/>
                <w:webHidden/>
              </w:rPr>
              <w:fldChar w:fldCharType="begin"/>
            </w:r>
            <w:r w:rsidR="00E543D4">
              <w:rPr>
                <w:noProof/>
                <w:webHidden/>
              </w:rPr>
              <w:instrText xml:space="preserve"> PAGEREF _Toc425248986 \h </w:instrText>
            </w:r>
            <w:r w:rsidR="00E543D4">
              <w:rPr>
                <w:noProof/>
                <w:webHidden/>
              </w:rPr>
            </w:r>
            <w:r w:rsidR="00E543D4">
              <w:rPr>
                <w:noProof/>
                <w:webHidden/>
              </w:rPr>
              <w:fldChar w:fldCharType="separate"/>
            </w:r>
            <w:r w:rsidR="00E543D4">
              <w:rPr>
                <w:noProof/>
                <w:webHidden/>
              </w:rPr>
              <w:t>7</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87" w:history="1">
            <w:r w:rsidR="00E543D4" w:rsidRPr="008B3EFF">
              <w:rPr>
                <w:rStyle w:val="Hyperlink"/>
                <w:noProof/>
              </w:rPr>
              <w:t>2.1.</w:t>
            </w:r>
            <w:r w:rsidR="00E543D4">
              <w:rPr>
                <w:rFonts w:asciiTheme="minorHAnsi" w:eastAsiaTheme="minorEastAsia" w:hAnsiTheme="minorHAnsi" w:cstheme="minorBidi"/>
                <w:noProof/>
                <w:lang w:eastAsia="en-AU"/>
              </w:rPr>
              <w:tab/>
            </w:r>
            <w:r w:rsidR="00E543D4" w:rsidRPr="008B3EFF">
              <w:rPr>
                <w:rStyle w:val="Hyperlink"/>
                <w:noProof/>
              </w:rPr>
              <w:t>Guidance</w:t>
            </w:r>
            <w:r w:rsidR="00E543D4">
              <w:rPr>
                <w:noProof/>
                <w:webHidden/>
              </w:rPr>
              <w:tab/>
            </w:r>
            <w:r w:rsidR="00E543D4">
              <w:rPr>
                <w:noProof/>
                <w:webHidden/>
              </w:rPr>
              <w:fldChar w:fldCharType="begin"/>
            </w:r>
            <w:r w:rsidR="00E543D4">
              <w:rPr>
                <w:noProof/>
                <w:webHidden/>
              </w:rPr>
              <w:instrText xml:space="preserve"> PAGEREF _Toc425248987 \h </w:instrText>
            </w:r>
            <w:r w:rsidR="00E543D4">
              <w:rPr>
                <w:noProof/>
                <w:webHidden/>
              </w:rPr>
            </w:r>
            <w:r w:rsidR="00E543D4">
              <w:rPr>
                <w:noProof/>
                <w:webHidden/>
              </w:rPr>
              <w:fldChar w:fldCharType="separate"/>
            </w:r>
            <w:r w:rsidR="00E543D4">
              <w:rPr>
                <w:noProof/>
                <w:webHidden/>
              </w:rPr>
              <w:t>8</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8988" w:history="1">
            <w:r w:rsidR="00E543D4" w:rsidRPr="008B3EFF">
              <w:rPr>
                <w:rStyle w:val="Hyperlink"/>
                <w:noProof/>
                <w:lang w:eastAsia="en-AU"/>
              </w:rPr>
              <w:t>3.</w:t>
            </w:r>
            <w:r w:rsidR="00E543D4">
              <w:rPr>
                <w:rFonts w:asciiTheme="minorHAnsi" w:eastAsiaTheme="minorEastAsia" w:hAnsiTheme="minorHAnsi" w:cstheme="minorBidi"/>
                <w:b w:val="0"/>
                <w:noProof/>
                <w:sz w:val="22"/>
                <w:lang w:eastAsia="en-AU"/>
              </w:rPr>
              <w:tab/>
            </w:r>
            <w:r w:rsidR="00E543D4" w:rsidRPr="008B3EFF">
              <w:rPr>
                <w:rStyle w:val="Hyperlink"/>
                <w:noProof/>
                <w:lang w:eastAsia="en-AU"/>
              </w:rPr>
              <w:t>Contents of the clinical dossier</w:t>
            </w:r>
            <w:r w:rsidR="00E543D4">
              <w:rPr>
                <w:noProof/>
                <w:webHidden/>
              </w:rPr>
              <w:tab/>
            </w:r>
            <w:r w:rsidR="00E543D4">
              <w:rPr>
                <w:noProof/>
                <w:webHidden/>
              </w:rPr>
              <w:fldChar w:fldCharType="begin"/>
            </w:r>
            <w:r w:rsidR="00E543D4">
              <w:rPr>
                <w:noProof/>
                <w:webHidden/>
              </w:rPr>
              <w:instrText xml:space="preserve"> PAGEREF _Toc425248988 \h </w:instrText>
            </w:r>
            <w:r w:rsidR="00E543D4">
              <w:rPr>
                <w:noProof/>
                <w:webHidden/>
              </w:rPr>
            </w:r>
            <w:r w:rsidR="00E543D4">
              <w:rPr>
                <w:noProof/>
                <w:webHidden/>
              </w:rPr>
              <w:fldChar w:fldCharType="separate"/>
            </w:r>
            <w:r w:rsidR="00E543D4">
              <w:rPr>
                <w:noProof/>
                <w:webHidden/>
              </w:rPr>
              <w:t>8</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89" w:history="1">
            <w:r w:rsidR="00E543D4" w:rsidRPr="008B3EFF">
              <w:rPr>
                <w:rStyle w:val="Hyperlink"/>
                <w:noProof/>
              </w:rPr>
              <w:t>3.1.</w:t>
            </w:r>
            <w:r w:rsidR="00E543D4">
              <w:rPr>
                <w:rFonts w:asciiTheme="minorHAnsi" w:eastAsiaTheme="minorEastAsia" w:hAnsiTheme="minorHAnsi" w:cstheme="minorBidi"/>
                <w:noProof/>
                <w:lang w:eastAsia="en-AU"/>
              </w:rPr>
              <w:tab/>
            </w:r>
            <w:r w:rsidR="00E543D4" w:rsidRPr="008B3EFF">
              <w:rPr>
                <w:rStyle w:val="Hyperlink"/>
                <w:noProof/>
              </w:rPr>
              <w:t>Scope of the clinical dossier</w:t>
            </w:r>
            <w:r w:rsidR="00E543D4">
              <w:rPr>
                <w:noProof/>
                <w:webHidden/>
              </w:rPr>
              <w:tab/>
            </w:r>
            <w:r w:rsidR="00E543D4">
              <w:rPr>
                <w:noProof/>
                <w:webHidden/>
              </w:rPr>
              <w:fldChar w:fldCharType="begin"/>
            </w:r>
            <w:r w:rsidR="00E543D4">
              <w:rPr>
                <w:noProof/>
                <w:webHidden/>
              </w:rPr>
              <w:instrText xml:space="preserve"> PAGEREF _Toc425248989 \h </w:instrText>
            </w:r>
            <w:r w:rsidR="00E543D4">
              <w:rPr>
                <w:noProof/>
                <w:webHidden/>
              </w:rPr>
            </w:r>
            <w:r w:rsidR="00E543D4">
              <w:rPr>
                <w:noProof/>
                <w:webHidden/>
              </w:rPr>
              <w:fldChar w:fldCharType="separate"/>
            </w:r>
            <w:r w:rsidR="00E543D4">
              <w:rPr>
                <w:noProof/>
                <w:webHidden/>
              </w:rPr>
              <w:t>8</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0" w:history="1">
            <w:r w:rsidR="00E543D4" w:rsidRPr="008B3EFF">
              <w:rPr>
                <w:rStyle w:val="Hyperlink"/>
                <w:noProof/>
              </w:rPr>
              <w:t>3.2.</w:t>
            </w:r>
            <w:r w:rsidR="00E543D4">
              <w:rPr>
                <w:rFonts w:asciiTheme="minorHAnsi" w:eastAsiaTheme="minorEastAsia" w:hAnsiTheme="minorHAnsi" w:cstheme="minorBidi"/>
                <w:noProof/>
                <w:lang w:eastAsia="en-AU"/>
              </w:rPr>
              <w:tab/>
            </w:r>
            <w:r w:rsidR="00E543D4" w:rsidRPr="008B3EFF">
              <w:rPr>
                <w:rStyle w:val="Hyperlink"/>
                <w:noProof/>
              </w:rPr>
              <w:t>Paediatric data</w:t>
            </w:r>
            <w:r w:rsidR="00E543D4">
              <w:rPr>
                <w:noProof/>
                <w:webHidden/>
              </w:rPr>
              <w:tab/>
            </w:r>
            <w:r w:rsidR="00E543D4">
              <w:rPr>
                <w:noProof/>
                <w:webHidden/>
              </w:rPr>
              <w:fldChar w:fldCharType="begin"/>
            </w:r>
            <w:r w:rsidR="00E543D4">
              <w:rPr>
                <w:noProof/>
                <w:webHidden/>
              </w:rPr>
              <w:instrText xml:space="preserve"> PAGEREF _Toc425248990 \h </w:instrText>
            </w:r>
            <w:r w:rsidR="00E543D4">
              <w:rPr>
                <w:noProof/>
                <w:webHidden/>
              </w:rPr>
            </w:r>
            <w:r w:rsidR="00E543D4">
              <w:rPr>
                <w:noProof/>
                <w:webHidden/>
              </w:rPr>
              <w:fldChar w:fldCharType="separate"/>
            </w:r>
            <w:r w:rsidR="00E543D4">
              <w:rPr>
                <w:noProof/>
                <w:webHidden/>
              </w:rPr>
              <w:t>8</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1" w:history="1">
            <w:r w:rsidR="00E543D4" w:rsidRPr="008B3EFF">
              <w:rPr>
                <w:rStyle w:val="Hyperlink"/>
                <w:noProof/>
              </w:rPr>
              <w:t>3.3.</w:t>
            </w:r>
            <w:r w:rsidR="00E543D4">
              <w:rPr>
                <w:rFonts w:asciiTheme="minorHAnsi" w:eastAsiaTheme="minorEastAsia" w:hAnsiTheme="minorHAnsi" w:cstheme="minorBidi"/>
                <w:noProof/>
                <w:lang w:eastAsia="en-AU"/>
              </w:rPr>
              <w:tab/>
            </w:r>
            <w:r w:rsidR="00E543D4" w:rsidRPr="008B3EFF">
              <w:rPr>
                <w:rStyle w:val="Hyperlink"/>
                <w:noProof/>
              </w:rPr>
              <w:t>Good clinical practice</w:t>
            </w:r>
            <w:r w:rsidR="00E543D4">
              <w:rPr>
                <w:noProof/>
                <w:webHidden/>
              </w:rPr>
              <w:tab/>
            </w:r>
            <w:r w:rsidR="00E543D4">
              <w:rPr>
                <w:noProof/>
                <w:webHidden/>
              </w:rPr>
              <w:fldChar w:fldCharType="begin"/>
            </w:r>
            <w:r w:rsidR="00E543D4">
              <w:rPr>
                <w:noProof/>
                <w:webHidden/>
              </w:rPr>
              <w:instrText xml:space="preserve"> PAGEREF _Toc425248991 \h </w:instrText>
            </w:r>
            <w:r w:rsidR="00E543D4">
              <w:rPr>
                <w:noProof/>
                <w:webHidden/>
              </w:rPr>
            </w:r>
            <w:r w:rsidR="00E543D4">
              <w:rPr>
                <w:noProof/>
                <w:webHidden/>
              </w:rPr>
              <w:fldChar w:fldCharType="separate"/>
            </w:r>
            <w:r w:rsidR="00E543D4">
              <w:rPr>
                <w:noProof/>
                <w:webHidden/>
              </w:rPr>
              <w:t>9</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8992" w:history="1">
            <w:r w:rsidR="00E543D4" w:rsidRPr="008B3EFF">
              <w:rPr>
                <w:rStyle w:val="Hyperlink"/>
                <w:noProof/>
              </w:rPr>
              <w:t>4.</w:t>
            </w:r>
            <w:r w:rsidR="00E543D4">
              <w:rPr>
                <w:rFonts w:asciiTheme="minorHAnsi" w:eastAsiaTheme="minorEastAsia" w:hAnsiTheme="minorHAnsi" w:cstheme="minorBidi"/>
                <w:b w:val="0"/>
                <w:noProof/>
                <w:sz w:val="22"/>
                <w:lang w:eastAsia="en-AU"/>
              </w:rPr>
              <w:tab/>
            </w:r>
            <w:r w:rsidR="00E543D4" w:rsidRPr="008B3EFF">
              <w:rPr>
                <w:rStyle w:val="Hyperlink"/>
                <w:noProof/>
              </w:rPr>
              <w:t>Pharmacokinetics</w:t>
            </w:r>
            <w:r w:rsidR="00E543D4">
              <w:rPr>
                <w:noProof/>
                <w:webHidden/>
              </w:rPr>
              <w:tab/>
            </w:r>
            <w:r w:rsidR="00E543D4">
              <w:rPr>
                <w:noProof/>
                <w:webHidden/>
              </w:rPr>
              <w:fldChar w:fldCharType="begin"/>
            </w:r>
            <w:r w:rsidR="00E543D4">
              <w:rPr>
                <w:noProof/>
                <w:webHidden/>
              </w:rPr>
              <w:instrText xml:space="preserve"> PAGEREF _Toc425248992 \h </w:instrText>
            </w:r>
            <w:r w:rsidR="00E543D4">
              <w:rPr>
                <w:noProof/>
                <w:webHidden/>
              </w:rPr>
            </w:r>
            <w:r w:rsidR="00E543D4">
              <w:rPr>
                <w:noProof/>
                <w:webHidden/>
              </w:rPr>
              <w:fldChar w:fldCharType="separate"/>
            </w:r>
            <w:r w:rsidR="00E543D4">
              <w:rPr>
                <w:noProof/>
                <w:webHidden/>
              </w:rPr>
              <w:t>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3" w:history="1">
            <w:r w:rsidR="00E543D4" w:rsidRPr="008B3EFF">
              <w:rPr>
                <w:rStyle w:val="Hyperlink"/>
                <w:noProof/>
              </w:rPr>
              <w:t>4.1.</w:t>
            </w:r>
            <w:r w:rsidR="00E543D4">
              <w:rPr>
                <w:rFonts w:asciiTheme="minorHAnsi" w:eastAsiaTheme="minorEastAsia" w:hAnsiTheme="minorHAnsi" w:cstheme="minorBidi"/>
                <w:noProof/>
                <w:lang w:eastAsia="en-AU"/>
              </w:rPr>
              <w:tab/>
            </w:r>
            <w:r w:rsidR="00E543D4" w:rsidRPr="008B3EFF">
              <w:rPr>
                <w:rStyle w:val="Hyperlink"/>
                <w:noProof/>
              </w:rPr>
              <w:t>Studies providing pharmacokinetic data</w:t>
            </w:r>
            <w:r w:rsidR="00E543D4">
              <w:rPr>
                <w:noProof/>
                <w:webHidden/>
              </w:rPr>
              <w:tab/>
            </w:r>
            <w:r w:rsidR="00E543D4">
              <w:rPr>
                <w:noProof/>
                <w:webHidden/>
              </w:rPr>
              <w:fldChar w:fldCharType="begin"/>
            </w:r>
            <w:r w:rsidR="00E543D4">
              <w:rPr>
                <w:noProof/>
                <w:webHidden/>
              </w:rPr>
              <w:instrText xml:space="preserve"> PAGEREF _Toc425248993 \h </w:instrText>
            </w:r>
            <w:r w:rsidR="00E543D4">
              <w:rPr>
                <w:noProof/>
                <w:webHidden/>
              </w:rPr>
            </w:r>
            <w:r w:rsidR="00E543D4">
              <w:rPr>
                <w:noProof/>
                <w:webHidden/>
              </w:rPr>
              <w:fldChar w:fldCharType="separate"/>
            </w:r>
            <w:r w:rsidR="00E543D4">
              <w:rPr>
                <w:noProof/>
                <w:webHidden/>
              </w:rPr>
              <w:t>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4" w:history="1">
            <w:r w:rsidR="00E543D4" w:rsidRPr="008B3EFF">
              <w:rPr>
                <w:rStyle w:val="Hyperlink"/>
                <w:noProof/>
              </w:rPr>
              <w:t>4.2.</w:t>
            </w:r>
            <w:r w:rsidR="00E543D4">
              <w:rPr>
                <w:rFonts w:asciiTheme="minorHAnsi" w:eastAsiaTheme="minorEastAsia" w:hAnsiTheme="minorHAnsi" w:cstheme="minorBidi"/>
                <w:noProof/>
                <w:lang w:eastAsia="en-AU"/>
              </w:rPr>
              <w:tab/>
            </w:r>
            <w:r w:rsidR="00E543D4" w:rsidRPr="008B3EFF">
              <w:rPr>
                <w:rStyle w:val="Hyperlink"/>
                <w:noProof/>
              </w:rPr>
              <w:t>Summary of pharmacokinetics in CIU patients</w:t>
            </w:r>
            <w:r w:rsidR="00E543D4">
              <w:rPr>
                <w:noProof/>
                <w:webHidden/>
              </w:rPr>
              <w:tab/>
            </w:r>
            <w:r w:rsidR="00E543D4">
              <w:rPr>
                <w:noProof/>
                <w:webHidden/>
              </w:rPr>
              <w:fldChar w:fldCharType="begin"/>
            </w:r>
            <w:r w:rsidR="00E543D4">
              <w:rPr>
                <w:noProof/>
                <w:webHidden/>
              </w:rPr>
              <w:instrText xml:space="preserve"> PAGEREF _Toc425248994 \h </w:instrText>
            </w:r>
            <w:r w:rsidR="00E543D4">
              <w:rPr>
                <w:noProof/>
                <w:webHidden/>
              </w:rPr>
            </w:r>
            <w:r w:rsidR="00E543D4">
              <w:rPr>
                <w:noProof/>
                <w:webHidden/>
              </w:rPr>
              <w:fldChar w:fldCharType="separate"/>
            </w:r>
            <w:r w:rsidR="00E543D4">
              <w:rPr>
                <w:noProof/>
                <w:webHidden/>
              </w:rPr>
              <w:t>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5" w:history="1">
            <w:r w:rsidR="00E543D4" w:rsidRPr="008B3EFF">
              <w:rPr>
                <w:rStyle w:val="Hyperlink"/>
                <w:noProof/>
              </w:rPr>
              <w:t>4.3.</w:t>
            </w:r>
            <w:r w:rsidR="00E543D4">
              <w:rPr>
                <w:rFonts w:asciiTheme="minorHAnsi" w:eastAsiaTheme="minorEastAsia" w:hAnsiTheme="minorHAnsi" w:cstheme="minorBidi"/>
                <w:noProof/>
                <w:lang w:eastAsia="en-AU"/>
              </w:rPr>
              <w:tab/>
            </w:r>
            <w:r w:rsidR="00E543D4" w:rsidRPr="008B3EFF">
              <w:rPr>
                <w:rStyle w:val="Hyperlink"/>
                <w:noProof/>
              </w:rPr>
              <w:t>Evaluator’s overall conclusions on pharmacokinetics</w:t>
            </w:r>
            <w:r w:rsidR="00E543D4">
              <w:rPr>
                <w:noProof/>
                <w:webHidden/>
              </w:rPr>
              <w:tab/>
            </w:r>
            <w:r w:rsidR="00E543D4">
              <w:rPr>
                <w:noProof/>
                <w:webHidden/>
              </w:rPr>
              <w:fldChar w:fldCharType="begin"/>
            </w:r>
            <w:r w:rsidR="00E543D4">
              <w:rPr>
                <w:noProof/>
                <w:webHidden/>
              </w:rPr>
              <w:instrText xml:space="preserve"> PAGEREF _Toc425248995 \h </w:instrText>
            </w:r>
            <w:r w:rsidR="00E543D4">
              <w:rPr>
                <w:noProof/>
                <w:webHidden/>
              </w:rPr>
            </w:r>
            <w:r w:rsidR="00E543D4">
              <w:rPr>
                <w:noProof/>
                <w:webHidden/>
              </w:rPr>
              <w:fldChar w:fldCharType="separate"/>
            </w:r>
            <w:r w:rsidR="00E543D4">
              <w:rPr>
                <w:noProof/>
                <w:webHidden/>
              </w:rPr>
              <w:t>10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8996" w:history="1">
            <w:r w:rsidR="00E543D4" w:rsidRPr="008B3EFF">
              <w:rPr>
                <w:rStyle w:val="Hyperlink"/>
                <w:noProof/>
              </w:rPr>
              <w:t>5.</w:t>
            </w:r>
            <w:r w:rsidR="00E543D4">
              <w:rPr>
                <w:rFonts w:asciiTheme="minorHAnsi" w:eastAsiaTheme="minorEastAsia" w:hAnsiTheme="minorHAnsi" w:cstheme="minorBidi"/>
                <w:b w:val="0"/>
                <w:noProof/>
                <w:sz w:val="22"/>
                <w:lang w:eastAsia="en-AU"/>
              </w:rPr>
              <w:tab/>
            </w:r>
            <w:r w:rsidR="00E543D4" w:rsidRPr="008B3EFF">
              <w:rPr>
                <w:rStyle w:val="Hyperlink"/>
                <w:noProof/>
              </w:rPr>
              <w:t>Pharmacodynamics</w:t>
            </w:r>
            <w:r w:rsidR="00E543D4">
              <w:rPr>
                <w:noProof/>
                <w:webHidden/>
              </w:rPr>
              <w:tab/>
            </w:r>
            <w:r w:rsidR="00E543D4">
              <w:rPr>
                <w:noProof/>
                <w:webHidden/>
              </w:rPr>
              <w:fldChar w:fldCharType="begin"/>
            </w:r>
            <w:r w:rsidR="00E543D4">
              <w:rPr>
                <w:noProof/>
                <w:webHidden/>
              </w:rPr>
              <w:instrText xml:space="preserve"> PAGEREF _Toc425248996 \h </w:instrText>
            </w:r>
            <w:r w:rsidR="00E543D4">
              <w:rPr>
                <w:noProof/>
                <w:webHidden/>
              </w:rPr>
            </w:r>
            <w:r w:rsidR="00E543D4">
              <w:rPr>
                <w:noProof/>
                <w:webHidden/>
              </w:rPr>
              <w:fldChar w:fldCharType="separate"/>
            </w:r>
            <w:r w:rsidR="00E543D4">
              <w:rPr>
                <w:noProof/>
                <w:webHidden/>
              </w:rPr>
              <w:t>10</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7" w:history="1">
            <w:r w:rsidR="00E543D4" w:rsidRPr="008B3EFF">
              <w:rPr>
                <w:rStyle w:val="Hyperlink"/>
                <w:noProof/>
              </w:rPr>
              <w:t>5.1.</w:t>
            </w:r>
            <w:r w:rsidR="00E543D4">
              <w:rPr>
                <w:rFonts w:asciiTheme="minorHAnsi" w:eastAsiaTheme="minorEastAsia" w:hAnsiTheme="minorHAnsi" w:cstheme="minorBidi"/>
                <w:noProof/>
                <w:lang w:eastAsia="en-AU"/>
              </w:rPr>
              <w:tab/>
            </w:r>
            <w:r w:rsidR="00E543D4" w:rsidRPr="008B3EFF">
              <w:rPr>
                <w:rStyle w:val="Hyperlink"/>
                <w:noProof/>
              </w:rPr>
              <w:t>Studies providing pharmacodynamic data</w:t>
            </w:r>
            <w:r w:rsidR="00E543D4">
              <w:rPr>
                <w:noProof/>
                <w:webHidden/>
              </w:rPr>
              <w:tab/>
            </w:r>
            <w:r w:rsidR="00E543D4">
              <w:rPr>
                <w:noProof/>
                <w:webHidden/>
              </w:rPr>
              <w:fldChar w:fldCharType="begin"/>
            </w:r>
            <w:r w:rsidR="00E543D4">
              <w:rPr>
                <w:noProof/>
                <w:webHidden/>
              </w:rPr>
              <w:instrText xml:space="preserve"> PAGEREF _Toc425248997 \h </w:instrText>
            </w:r>
            <w:r w:rsidR="00E543D4">
              <w:rPr>
                <w:noProof/>
                <w:webHidden/>
              </w:rPr>
            </w:r>
            <w:r w:rsidR="00E543D4">
              <w:rPr>
                <w:noProof/>
                <w:webHidden/>
              </w:rPr>
              <w:fldChar w:fldCharType="separate"/>
            </w:r>
            <w:r w:rsidR="00E543D4">
              <w:rPr>
                <w:noProof/>
                <w:webHidden/>
              </w:rPr>
              <w:t>10</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8" w:history="1">
            <w:r w:rsidR="00E543D4" w:rsidRPr="008B3EFF">
              <w:rPr>
                <w:rStyle w:val="Hyperlink"/>
                <w:noProof/>
              </w:rPr>
              <w:t>5.2.</w:t>
            </w:r>
            <w:r w:rsidR="00E543D4">
              <w:rPr>
                <w:rFonts w:asciiTheme="minorHAnsi" w:eastAsiaTheme="minorEastAsia" w:hAnsiTheme="minorHAnsi" w:cstheme="minorBidi"/>
                <w:noProof/>
                <w:lang w:eastAsia="en-AU"/>
              </w:rPr>
              <w:tab/>
            </w:r>
            <w:r w:rsidR="00E543D4" w:rsidRPr="008B3EFF">
              <w:rPr>
                <w:rStyle w:val="Hyperlink"/>
                <w:noProof/>
              </w:rPr>
              <w:t>Effects on serum free IgE and total IgE</w:t>
            </w:r>
            <w:r w:rsidR="00E543D4">
              <w:rPr>
                <w:noProof/>
                <w:webHidden/>
              </w:rPr>
              <w:tab/>
            </w:r>
            <w:r w:rsidR="00E543D4">
              <w:rPr>
                <w:noProof/>
                <w:webHidden/>
              </w:rPr>
              <w:fldChar w:fldCharType="begin"/>
            </w:r>
            <w:r w:rsidR="00E543D4">
              <w:rPr>
                <w:noProof/>
                <w:webHidden/>
              </w:rPr>
              <w:instrText xml:space="preserve"> PAGEREF _Toc425248998 \h </w:instrText>
            </w:r>
            <w:r w:rsidR="00E543D4">
              <w:rPr>
                <w:noProof/>
                <w:webHidden/>
              </w:rPr>
            </w:r>
            <w:r w:rsidR="00E543D4">
              <w:rPr>
                <w:noProof/>
                <w:webHidden/>
              </w:rPr>
              <w:fldChar w:fldCharType="separate"/>
            </w:r>
            <w:r w:rsidR="00E543D4">
              <w:rPr>
                <w:noProof/>
                <w:webHidden/>
              </w:rPr>
              <w:t>10</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8999" w:history="1">
            <w:r w:rsidR="00E543D4" w:rsidRPr="008B3EFF">
              <w:rPr>
                <w:rStyle w:val="Hyperlink"/>
                <w:noProof/>
              </w:rPr>
              <w:t>5.3.</w:t>
            </w:r>
            <w:r w:rsidR="00E543D4">
              <w:rPr>
                <w:rFonts w:asciiTheme="minorHAnsi" w:eastAsiaTheme="minorEastAsia" w:hAnsiTheme="minorHAnsi" w:cstheme="minorBidi"/>
                <w:noProof/>
                <w:lang w:eastAsia="en-AU"/>
              </w:rPr>
              <w:tab/>
            </w:r>
            <w:r w:rsidR="00E543D4" w:rsidRPr="008B3EFF">
              <w:rPr>
                <w:rStyle w:val="Hyperlink"/>
                <w:noProof/>
              </w:rPr>
              <w:t>Evaluator’s overall conclusions on pharmacodynamics</w:t>
            </w:r>
            <w:r w:rsidR="00E543D4">
              <w:rPr>
                <w:noProof/>
                <w:webHidden/>
              </w:rPr>
              <w:tab/>
            </w:r>
            <w:r w:rsidR="00E543D4">
              <w:rPr>
                <w:noProof/>
                <w:webHidden/>
              </w:rPr>
              <w:fldChar w:fldCharType="begin"/>
            </w:r>
            <w:r w:rsidR="00E543D4">
              <w:rPr>
                <w:noProof/>
                <w:webHidden/>
              </w:rPr>
              <w:instrText xml:space="preserve"> PAGEREF _Toc425248999 \h </w:instrText>
            </w:r>
            <w:r w:rsidR="00E543D4">
              <w:rPr>
                <w:noProof/>
                <w:webHidden/>
              </w:rPr>
            </w:r>
            <w:r w:rsidR="00E543D4">
              <w:rPr>
                <w:noProof/>
                <w:webHidden/>
              </w:rPr>
              <w:fldChar w:fldCharType="separate"/>
            </w:r>
            <w:r w:rsidR="00E543D4">
              <w:rPr>
                <w:noProof/>
                <w:webHidden/>
              </w:rPr>
              <w:t>11</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00" w:history="1">
            <w:r w:rsidR="00E543D4" w:rsidRPr="008B3EFF">
              <w:rPr>
                <w:rStyle w:val="Hyperlink"/>
                <w:noProof/>
              </w:rPr>
              <w:t>6.</w:t>
            </w:r>
            <w:r w:rsidR="00E543D4">
              <w:rPr>
                <w:rFonts w:asciiTheme="minorHAnsi" w:eastAsiaTheme="minorEastAsia" w:hAnsiTheme="minorHAnsi" w:cstheme="minorBidi"/>
                <w:b w:val="0"/>
                <w:noProof/>
                <w:sz w:val="22"/>
                <w:lang w:eastAsia="en-AU"/>
              </w:rPr>
              <w:tab/>
            </w:r>
            <w:r w:rsidR="00E543D4" w:rsidRPr="008B3EFF">
              <w:rPr>
                <w:rStyle w:val="Hyperlink"/>
                <w:noProof/>
              </w:rPr>
              <w:t>Dosage selection for the pivotal studies</w:t>
            </w:r>
            <w:r w:rsidR="00E543D4">
              <w:rPr>
                <w:noProof/>
                <w:webHidden/>
              </w:rPr>
              <w:tab/>
            </w:r>
            <w:r w:rsidR="00E543D4">
              <w:rPr>
                <w:noProof/>
                <w:webHidden/>
              </w:rPr>
              <w:fldChar w:fldCharType="begin"/>
            </w:r>
            <w:r w:rsidR="00E543D4">
              <w:rPr>
                <w:noProof/>
                <w:webHidden/>
              </w:rPr>
              <w:instrText xml:space="preserve"> PAGEREF _Toc425249000 \h </w:instrText>
            </w:r>
            <w:r w:rsidR="00E543D4">
              <w:rPr>
                <w:noProof/>
                <w:webHidden/>
              </w:rPr>
            </w:r>
            <w:r w:rsidR="00E543D4">
              <w:rPr>
                <w:noProof/>
                <w:webHidden/>
              </w:rPr>
              <w:fldChar w:fldCharType="separate"/>
            </w:r>
            <w:r w:rsidR="00E543D4">
              <w:rPr>
                <w:noProof/>
                <w:webHidden/>
              </w:rPr>
              <w:t>11</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01" w:history="1">
            <w:r w:rsidR="00E543D4" w:rsidRPr="008B3EFF">
              <w:rPr>
                <w:rStyle w:val="Hyperlink"/>
                <w:noProof/>
              </w:rPr>
              <w:t>7.</w:t>
            </w:r>
            <w:r w:rsidR="00E543D4">
              <w:rPr>
                <w:rFonts w:asciiTheme="minorHAnsi" w:eastAsiaTheme="minorEastAsia" w:hAnsiTheme="minorHAnsi" w:cstheme="minorBidi"/>
                <w:b w:val="0"/>
                <w:noProof/>
                <w:sz w:val="22"/>
                <w:lang w:eastAsia="en-AU"/>
              </w:rPr>
              <w:tab/>
            </w:r>
            <w:r w:rsidR="00E543D4" w:rsidRPr="008B3EFF">
              <w:rPr>
                <w:rStyle w:val="Hyperlink"/>
                <w:noProof/>
              </w:rPr>
              <w:t>Clinical efficacy</w:t>
            </w:r>
            <w:r w:rsidR="00E543D4">
              <w:rPr>
                <w:noProof/>
                <w:webHidden/>
              </w:rPr>
              <w:tab/>
            </w:r>
            <w:r w:rsidR="00E543D4">
              <w:rPr>
                <w:noProof/>
                <w:webHidden/>
              </w:rPr>
              <w:fldChar w:fldCharType="begin"/>
            </w:r>
            <w:r w:rsidR="00E543D4">
              <w:rPr>
                <w:noProof/>
                <w:webHidden/>
              </w:rPr>
              <w:instrText xml:space="preserve"> PAGEREF _Toc425249001 \h </w:instrText>
            </w:r>
            <w:r w:rsidR="00E543D4">
              <w:rPr>
                <w:noProof/>
                <w:webHidden/>
              </w:rPr>
            </w:r>
            <w:r w:rsidR="00E543D4">
              <w:rPr>
                <w:noProof/>
                <w:webHidden/>
              </w:rPr>
              <w:fldChar w:fldCharType="separate"/>
            </w:r>
            <w:r w:rsidR="00E543D4">
              <w:rPr>
                <w:noProof/>
                <w:webHidden/>
              </w:rPr>
              <w:t>12</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2" w:history="1">
            <w:r w:rsidR="00E543D4" w:rsidRPr="008B3EFF">
              <w:rPr>
                <w:rStyle w:val="Hyperlink"/>
                <w:noProof/>
              </w:rPr>
              <w:t>7.1.</w:t>
            </w:r>
            <w:r w:rsidR="00E543D4">
              <w:rPr>
                <w:rFonts w:asciiTheme="minorHAnsi" w:eastAsiaTheme="minorEastAsia" w:hAnsiTheme="minorHAnsi" w:cstheme="minorBidi"/>
                <w:noProof/>
                <w:lang w:eastAsia="en-AU"/>
              </w:rPr>
              <w:tab/>
            </w:r>
            <w:r w:rsidR="00E543D4" w:rsidRPr="008B3EFF">
              <w:rPr>
                <w:rStyle w:val="Hyperlink"/>
                <w:noProof/>
              </w:rPr>
              <w:t>Pivotal efficacy studies</w:t>
            </w:r>
            <w:r w:rsidR="00E543D4">
              <w:rPr>
                <w:noProof/>
                <w:webHidden/>
              </w:rPr>
              <w:tab/>
            </w:r>
            <w:r w:rsidR="00E543D4">
              <w:rPr>
                <w:noProof/>
                <w:webHidden/>
              </w:rPr>
              <w:fldChar w:fldCharType="begin"/>
            </w:r>
            <w:r w:rsidR="00E543D4">
              <w:rPr>
                <w:noProof/>
                <w:webHidden/>
              </w:rPr>
              <w:instrText xml:space="preserve"> PAGEREF _Toc425249002 \h </w:instrText>
            </w:r>
            <w:r w:rsidR="00E543D4">
              <w:rPr>
                <w:noProof/>
                <w:webHidden/>
              </w:rPr>
            </w:r>
            <w:r w:rsidR="00E543D4">
              <w:rPr>
                <w:noProof/>
                <w:webHidden/>
              </w:rPr>
              <w:fldChar w:fldCharType="separate"/>
            </w:r>
            <w:r w:rsidR="00E543D4">
              <w:rPr>
                <w:noProof/>
                <w:webHidden/>
              </w:rPr>
              <w:t>12</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3" w:history="1">
            <w:r w:rsidR="00E543D4" w:rsidRPr="008B3EFF">
              <w:rPr>
                <w:rStyle w:val="Hyperlink"/>
                <w:noProof/>
              </w:rPr>
              <w:t>7.2.</w:t>
            </w:r>
            <w:r w:rsidR="00E543D4">
              <w:rPr>
                <w:rFonts w:asciiTheme="minorHAnsi" w:eastAsiaTheme="minorEastAsia" w:hAnsiTheme="minorHAnsi" w:cstheme="minorBidi"/>
                <w:noProof/>
                <w:lang w:eastAsia="en-AU"/>
              </w:rPr>
              <w:tab/>
            </w:r>
            <w:r w:rsidR="00E543D4" w:rsidRPr="008B3EFF">
              <w:rPr>
                <w:rStyle w:val="Hyperlink"/>
                <w:noProof/>
              </w:rPr>
              <w:t>Other efficacy studies</w:t>
            </w:r>
            <w:r w:rsidR="00E543D4">
              <w:rPr>
                <w:noProof/>
                <w:webHidden/>
              </w:rPr>
              <w:tab/>
            </w:r>
            <w:r w:rsidR="00E543D4">
              <w:rPr>
                <w:noProof/>
                <w:webHidden/>
              </w:rPr>
              <w:fldChar w:fldCharType="begin"/>
            </w:r>
            <w:r w:rsidR="00E543D4">
              <w:rPr>
                <w:noProof/>
                <w:webHidden/>
              </w:rPr>
              <w:instrText xml:space="preserve"> PAGEREF _Toc425249003 \h </w:instrText>
            </w:r>
            <w:r w:rsidR="00E543D4">
              <w:rPr>
                <w:noProof/>
                <w:webHidden/>
              </w:rPr>
            </w:r>
            <w:r w:rsidR="00E543D4">
              <w:rPr>
                <w:noProof/>
                <w:webHidden/>
              </w:rPr>
              <w:fldChar w:fldCharType="separate"/>
            </w:r>
            <w:r w:rsidR="00E543D4">
              <w:rPr>
                <w:noProof/>
                <w:webHidden/>
              </w:rPr>
              <w:t>35</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4" w:history="1">
            <w:r w:rsidR="00E543D4" w:rsidRPr="008B3EFF">
              <w:rPr>
                <w:rStyle w:val="Hyperlink"/>
                <w:noProof/>
              </w:rPr>
              <w:t>7.3.</w:t>
            </w:r>
            <w:r w:rsidR="00E543D4">
              <w:rPr>
                <w:rFonts w:asciiTheme="minorHAnsi" w:eastAsiaTheme="minorEastAsia" w:hAnsiTheme="minorHAnsi" w:cstheme="minorBidi"/>
                <w:noProof/>
                <w:lang w:eastAsia="en-AU"/>
              </w:rPr>
              <w:tab/>
            </w:r>
            <w:r w:rsidR="00E543D4" w:rsidRPr="008B3EFF">
              <w:rPr>
                <w:rStyle w:val="Hyperlink"/>
                <w:noProof/>
              </w:rPr>
              <w:t>Analyses performed across trials (pooled analyses and meta-analyses)</w:t>
            </w:r>
            <w:r w:rsidR="00E543D4">
              <w:rPr>
                <w:noProof/>
                <w:webHidden/>
              </w:rPr>
              <w:tab/>
            </w:r>
            <w:r w:rsidR="00E543D4">
              <w:rPr>
                <w:noProof/>
                <w:webHidden/>
              </w:rPr>
              <w:fldChar w:fldCharType="begin"/>
            </w:r>
            <w:r w:rsidR="00E543D4">
              <w:rPr>
                <w:noProof/>
                <w:webHidden/>
              </w:rPr>
              <w:instrText xml:space="preserve"> PAGEREF _Toc425249004 \h </w:instrText>
            </w:r>
            <w:r w:rsidR="00E543D4">
              <w:rPr>
                <w:noProof/>
                <w:webHidden/>
              </w:rPr>
            </w:r>
            <w:r w:rsidR="00E543D4">
              <w:rPr>
                <w:noProof/>
                <w:webHidden/>
              </w:rPr>
              <w:fldChar w:fldCharType="separate"/>
            </w:r>
            <w:r w:rsidR="00E543D4">
              <w:rPr>
                <w:noProof/>
                <w:webHidden/>
              </w:rPr>
              <w:t>45</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5" w:history="1">
            <w:r w:rsidR="00E543D4" w:rsidRPr="008B3EFF">
              <w:rPr>
                <w:rStyle w:val="Hyperlink"/>
                <w:noProof/>
              </w:rPr>
              <w:t>7.4.</w:t>
            </w:r>
            <w:r w:rsidR="00E543D4">
              <w:rPr>
                <w:rFonts w:asciiTheme="minorHAnsi" w:eastAsiaTheme="minorEastAsia" w:hAnsiTheme="minorHAnsi" w:cstheme="minorBidi"/>
                <w:noProof/>
                <w:lang w:eastAsia="en-AU"/>
              </w:rPr>
              <w:tab/>
            </w:r>
            <w:r w:rsidR="00E543D4" w:rsidRPr="008B3EFF">
              <w:rPr>
                <w:rStyle w:val="Hyperlink"/>
                <w:noProof/>
              </w:rPr>
              <w:t>Evaluator’s conclusions on clinical efficacy for CIU</w:t>
            </w:r>
            <w:r w:rsidR="00E543D4">
              <w:rPr>
                <w:noProof/>
                <w:webHidden/>
              </w:rPr>
              <w:tab/>
            </w:r>
            <w:r w:rsidR="00E543D4">
              <w:rPr>
                <w:noProof/>
                <w:webHidden/>
              </w:rPr>
              <w:fldChar w:fldCharType="begin"/>
            </w:r>
            <w:r w:rsidR="00E543D4">
              <w:rPr>
                <w:noProof/>
                <w:webHidden/>
              </w:rPr>
              <w:instrText xml:space="preserve"> PAGEREF _Toc425249005 \h </w:instrText>
            </w:r>
            <w:r w:rsidR="00E543D4">
              <w:rPr>
                <w:noProof/>
                <w:webHidden/>
              </w:rPr>
            </w:r>
            <w:r w:rsidR="00E543D4">
              <w:rPr>
                <w:noProof/>
                <w:webHidden/>
              </w:rPr>
              <w:fldChar w:fldCharType="separate"/>
            </w:r>
            <w:r w:rsidR="00E543D4">
              <w:rPr>
                <w:noProof/>
                <w:webHidden/>
              </w:rPr>
              <w:t>45</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06" w:history="1">
            <w:r w:rsidR="00E543D4" w:rsidRPr="008B3EFF">
              <w:rPr>
                <w:rStyle w:val="Hyperlink"/>
                <w:noProof/>
              </w:rPr>
              <w:t>8.</w:t>
            </w:r>
            <w:r w:rsidR="00E543D4">
              <w:rPr>
                <w:rFonts w:asciiTheme="minorHAnsi" w:eastAsiaTheme="minorEastAsia" w:hAnsiTheme="minorHAnsi" w:cstheme="minorBidi"/>
                <w:b w:val="0"/>
                <w:noProof/>
                <w:sz w:val="22"/>
                <w:lang w:eastAsia="en-AU"/>
              </w:rPr>
              <w:tab/>
            </w:r>
            <w:r w:rsidR="00E543D4" w:rsidRPr="008B3EFF">
              <w:rPr>
                <w:rStyle w:val="Hyperlink"/>
                <w:noProof/>
              </w:rPr>
              <w:t>Clinical safety</w:t>
            </w:r>
            <w:r w:rsidR="00E543D4">
              <w:rPr>
                <w:noProof/>
                <w:webHidden/>
              </w:rPr>
              <w:tab/>
            </w:r>
            <w:r w:rsidR="00E543D4">
              <w:rPr>
                <w:noProof/>
                <w:webHidden/>
              </w:rPr>
              <w:fldChar w:fldCharType="begin"/>
            </w:r>
            <w:r w:rsidR="00E543D4">
              <w:rPr>
                <w:noProof/>
                <w:webHidden/>
              </w:rPr>
              <w:instrText xml:space="preserve"> PAGEREF _Toc425249006 \h </w:instrText>
            </w:r>
            <w:r w:rsidR="00E543D4">
              <w:rPr>
                <w:noProof/>
                <w:webHidden/>
              </w:rPr>
            </w:r>
            <w:r w:rsidR="00E543D4">
              <w:rPr>
                <w:noProof/>
                <w:webHidden/>
              </w:rPr>
              <w:fldChar w:fldCharType="separate"/>
            </w:r>
            <w:r w:rsidR="00E543D4">
              <w:rPr>
                <w:noProof/>
                <w:webHidden/>
              </w:rPr>
              <w:t>48</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7" w:history="1">
            <w:r w:rsidR="00E543D4" w:rsidRPr="008B3EFF">
              <w:rPr>
                <w:rStyle w:val="Hyperlink"/>
                <w:noProof/>
              </w:rPr>
              <w:t>8.1.</w:t>
            </w:r>
            <w:r w:rsidR="00E543D4">
              <w:rPr>
                <w:rFonts w:asciiTheme="minorHAnsi" w:eastAsiaTheme="minorEastAsia" w:hAnsiTheme="minorHAnsi" w:cstheme="minorBidi"/>
                <w:noProof/>
                <w:lang w:eastAsia="en-AU"/>
              </w:rPr>
              <w:tab/>
            </w:r>
            <w:r w:rsidR="00E543D4" w:rsidRPr="008B3EFF">
              <w:rPr>
                <w:rStyle w:val="Hyperlink"/>
                <w:noProof/>
              </w:rPr>
              <w:t>Studies providing evaluable safety data</w:t>
            </w:r>
            <w:r w:rsidR="00E543D4">
              <w:rPr>
                <w:noProof/>
                <w:webHidden/>
              </w:rPr>
              <w:tab/>
            </w:r>
            <w:r w:rsidR="00E543D4">
              <w:rPr>
                <w:noProof/>
                <w:webHidden/>
              </w:rPr>
              <w:fldChar w:fldCharType="begin"/>
            </w:r>
            <w:r w:rsidR="00E543D4">
              <w:rPr>
                <w:noProof/>
                <w:webHidden/>
              </w:rPr>
              <w:instrText xml:space="preserve"> PAGEREF _Toc425249007 \h </w:instrText>
            </w:r>
            <w:r w:rsidR="00E543D4">
              <w:rPr>
                <w:noProof/>
                <w:webHidden/>
              </w:rPr>
            </w:r>
            <w:r w:rsidR="00E543D4">
              <w:rPr>
                <w:noProof/>
                <w:webHidden/>
              </w:rPr>
              <w:fldChar w:fldCharType="separate"/>
            </w:r>
            <w:r w:rsidR="00E543D4">
              <w:rPr>
                <w:noProof/>
                <w:webHidden/>
              </w:rPr>
              <w:t>48</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8" w:history="1">
            <w:r w:rsidR="00E543D4" w:rsidRPr="008B3EFF">
              <w:rPr>
                <w:rStyle w:val="Hyperlink"/>
                <w:noProof/>
              </w:rPr>
              <w:t>8.2.</w:t>
            </w:r>
            <w:r w:rsidR="00E543D4">
              <w:rPr>
                <w:rFonts w:asciiTheme="minorHAnsi" w:eastAsiaTheme="minorEastAsia" w:hAnsiTheme="minorHAnsi" w:cstheme="minorBidi"/>
                <w:noProof/>
                <w:lang w:eastAsia="en-AU"/>
              </w:rPr>
              <w:tab/>
            </w:r>
            <w:r w:rsidR="00E543D4" w:rsidRPr="008B3EFF">
              <w:rPr>
                <w:rStyle w:val="Hyperlink"/>
                <w:noProof/>
              </w:rPr>
              <w:t>Patient exposure</w:t>
            </w:r>
            <w:r w:rsidR="00E543D4">
              <w:rPr>
                <w:noProof/>
                <w:webHidden/>
              </w:rPr>
              <w:tab/>
            </w:r>
            <w:r w:rsidR="00E543D4">
              <w:rPr>
                <w:noProof/>
                <w:webHidden/>
              </w:rPr>
              <w:fldChar w:fldCharType="begin"/>
            </w:r>
            <w:r w:rsidR="00E543D4">
              <w:rPr>
                <w:noProof/>
                <w:webHidden/>
              </w:rPr>
              <w:instrText xml:space="preserve"> PAGEREF _Toc425249008 \h </w:instrText>
            </w:r>
            <w:r w:rsidR="00E543D4">
              <w:rPr>
                <w:noProof/>
                <w:webHidden/>
              </w:rPr>
            </w:r>
            <w:r w:rsidR="00E543D4">
              <w:rPr>
                <w:noProof/>
                <w:webHidden/>
              </w:rPr>
              <w:fldChar w:fldCharType="separate"/>
            </w:r>
            <w:r w:rsidR="00E543D4">
              <w:rPr>
                <w:noProof/>
                <w:webHidden/>
              </w:rPr>
              <w:t>49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09" w:history="1">
            <w:r w:rsidR="00E543D4" w:rsidRPr="008B3EFF">
              <w:rPr>
                <w:rStyle w:val="Hyperlink"/>
                <w:noProof/>
              </w:rPr>
              <w:t>8.3.</w:t>
            </w:r>
            <w:r w:rsidR="00E543D4">
              <w:rPr>
                <w:rFonts w:asciiTheme="minorHAnsi" w:eastAsiaTheme="minorEastAsia" w:hAnsiTheme="minorHAnsi" w:cstheme="minorBidi"/>
                <w:noProof/>
                <w:lang w:eastAsia="en-AU"/>
              </w:rPr>
              <w:tab/>
            </w:r>
            <w:r w:rsidR="00E543D4" w:rsidRPr="008B3EFF">
              <w:rPr>
                <w:rStyle w:val="Hyperlink"/>
                <w:noProof/>
              </w:rPr>
              <w:t>Adverse events (AEs)</w:t>
            </w:r>
            <w:r w:rsidR="00E543D4">
              <w:rPr>
                <w:noProof/>
                <w:webHidden/>
              </w:rPr>
              <w:tab/>
            </w:r>
            <w:r w:rsidR="00E543D4">
              <w:rPr>
                <w:noProof/>
                <w:webHidden/>
              </w:rPr>
              <w:fldChar w:fldCharType="begin"/>
            </w:r>
            <w:r w:rsidR="00E543D4">
              <w:rPr>
                <w:noProof/>
                <w:webHidden/>
              </w:rPr>
              <w:instrText xml:space="preserve"> PAGEREF _Toc425249009 \h </w:instrText>
            </w:r>
            <w:r w:rsidR="00E543D4">
              <w:rPr>
                <w:noProof/>
                <w:webHidden/>
              </w:rPr>
            </w:r>
            <w:r w:rsidR="00E543D4">
              <w:rPr>
                <w:noProof/>
                <w:webHidden/>
              </w:rPr>
              <w:fldChar w:fldCharType="separate"/>
            </w:r>
            <w:r w:rsidR="00E543D4">
              <w:rPr>
                <w:noProof/>
                <w:webHidden/>
              </w:rPr>
              <w:t>51</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0" w:history="1">
            <w:r w:rsidR="00E543D4" w:rsidRPr="008B3EFF">
              <w:rPr>
                <w:rStyle w:val="Hyperlink"/>
                <w:noProof/>
              </w:rPr>
              <w:t>8.4.</w:t>
            </w:r>
            <w:r w:rsidR="00E543D4">
              <w:rPr>
                <w:rFonts w:asciiTheme="minorHAnsi" w:eastAsiaTheme="minorEastAsia" w:hAnsiTheme="minorHAnsi" w:cstheme="minorBidi"/>
                <w:noProof/>
                <w:lang w:eastAsia="en-AU"/>
              </w:rPr>
              <w:tab/>
            </w:r>
            <w:r w:rsidR="00E543D4" w:rsidRPr="008B3EFF">
              <w:rPr>
                <w:rStyle w:val="Hyperlink"/>
                <w:noProof/>
              </w:rPr>
              <w:t>Laboratory tests</w:t>
            </w:r>
            <w:r w:rsidR="00E543D4">
              <w:rPr>
                <w:noProof/>
                <w:webHidden/>
              </w:rPr>
              <w:tab/>
            </w:r>
            <w:r w:rsidR="00E543D4">
              <w:rPr>
                <w:noProof/>
                <w:webHidden/>
              </w:rPr>
              <w:fldChar w:fldCharType="begin"/>
            </w:r>
            <w:r w:rsidR="00E543D4">
              <w:rPr>
                <w:noProof/>
                <w:webHidden/>
              </w:rPr>
              <w:instrText xml:space="preserve"> PAGEREF _Toc425249010 \h </w:instrText>
            </w:r>
            <w:r w:rsidR="00E543D4">
              <w:rPr>
                <w:noProof/>
                <w:webHidden/>
              </w:rPr>
            </w:r>
            <w:r w:rsidR="00E543D4">
              <w:rPr>
                <w:noProof/>
                <w:webHidden/>
              </w:rPr>
              <w:fldChar w:fldCharType="separate"/>
            </w:r>
            <w:r w:rsidR="00E543D4">
              <w:rPr>
                <w:noProof/>
                <w:webHidden/>
              </w:rPr>
              <w:t>57</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1" w:history="1">
            <w:r w:rsidR="00E543D4" w:rsidRPr="008B3EFF">
              <w:rPr>
                <w:rStyle w:val="Hyperlink"/>
                <w:noProof/>
              </w:rPr>
              <w:t>8.5.</w:t>
            </w:r>
            <w:r w:rsidR="00E543D4">
              <w:rPr>
                <w:rFonts w:asciiTheme="minorHAnsi" w:eastAsiaTheme="minorEastAsia" w:hAnsiTheme="minorHAnsi" w:cstheme="minorBidi"/>
                <w:noProof/>
                <w:lang w:eastAsia="en-AU"/>
              </w:rPr>
              <w:tab/>
            </w:r>
            <w:r w:rsidR="00E543D4" w:rsidRPr="008B3EFF">
              <w:rPr>
                <w:rStyle w:val="Hyperlink"/>
                <w:noProof/>
              </w:rPr>
              <w:t>Post-marketing experience</w:t>
            </w:r>
            <w:r w:rsidR="00E543D4">
              <w:rPr>
                <w:noProof/>
                <w:webHidden/>
              </w:rPr>
              <w:tab/>
            </w:r>
            <w:r w:rsidR="00E543D4">
              <w:rPr>
                <w:noProof/>
                <w:webHidden/>
              </w:rPr>
              <w:fldChar w:fldCharType="begin"/>
            </w:r>
            <w:r w:rsidR="00E543D4">
              <w:rPr>
                <w:noProof/>
                <w:webHidden/>
              </w:rPr>
              <w:instrText xml:space="preserve"> PAGEREF _Toc425249011 \h </w:instrText>
            </w:r>
            <w:r w:rsidR="00E543D4">
              <w:rPr>
                <w:noProof/>
                <w:webHidden/>
              </w:rPr>
            </w:r>
            <w:r w:rsidR="00E543D4">
              <w:rPr>
                <w:noProof/>
                <w:webHidden/>
              </w:rPr>
              <w:fldChar w:fldCharType="separate"/>
            </w:r>
            <w:r w:rsidR="00E543D4">
              <w:rPr>
                <w:noProof/>
                <w:webHidden/>
              </w:rPr>
              <w:t>59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2" w:history="1">
            <w:r w:rsidR="00E543D4" w:rsidRPr="008B3EFF">
              <w:rPr>
                <w:rStyle w:val="Hyperlink"/>
                <w:noProof/>
              </w:rPr>
              <w:t>8.6.</w:t>
            </w:r>
            <w:r w:rsidR="00E543D4">
              <w:rPr>
                <w:rFonts w:asciiTheme="minorHAnsi" w:eastAsiaTheme="minorEastAsia" w:hAnsiTheme="minorHAnsi" w:cstheme="minorBidi"/>
                <w:noProof/>
                <w:lang w:eastAsia="en-AU"/>
              </w:rPr>
              <w:tab/>
            </w:r>
            <w:r w:rsidR="00E543D4" w:rsidRPr="008B3EFF">
              <w:rPr>
                <w:rStyle w:val="Hyperlink"/>
                <w:noProof/>
              </w:rPr>
              <w:t>Safety issues with the potential for major regulatory impact</w:t>
            </w:r>
            <w:r w:rsidR="00E543D4">
              <w:rPr>
                <w:noProof/>
                <w:webHidden/>
              </w:rPr>
              <w:tab/>
            </w:r>
            <w:r w:rsidR="00E543D4">
              <w:rPr>
                <w:noProof/>
                <w:webHidden/>
              </w:rPr>
              <w:fldChar w:fldCharType="begin"/>
            </w:r>
            <w:r w:rsidR="00E543D4">
              <w:rPr>
                <w:noProof/>
                <w:webHidden/>
              </w:rPr>
              <w:instrText xml:space="preserve"> PAGEREF _Toc425249012 \h </w:instrText>
            </w:r>
            <w:r w:rsidR="00E543D4">
              <w:rPr>
                <w:noProof/>
                <w:webHidden/>
              </w:rPr>
            </w:r>
            <w:r w:rsidR="00E543D4">
              <w:rPr>
                <w:noProof/>
                <w:webHidden/>
              </w:rPr>
              <w:fldChar w:fldCharType="separate"/>
            </w:r>
            <w:r w:rsidR="00E543D4">
              <w:rPr>
                <w:noProof/>
                <w:webHidden/>
              </w:rPr>
              <w:t>59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3" w:history="1">
            <w:r w:rsidR="00E543D4" w:rsidRPr="008B3EFF">
              <w:rPr>
                <w:rStyle w:val="Hyperlink"/>
                <w:noProof/>
              </w:rPr>
              <w:t>8.7.</w:t>
            </w:r>
            <w:r w:rsidR="00E543D4">
              <w:rPr>
                <w:rFonts w:asciiTheme="minorHAnsi" w:eastAsiaTheme="minorEastAsia" w:hAnsiTheme="minorHAnsi" w:cstheme="minorBidi"/>
                <w:noProof/>
                <w:lang w:eastAsia="en-AU"/>
              </w:rPr>
              <w:tab/>
            </w:r>
            <w:r w:rsidR="00E543D4" w:rsidRPr="008B3EFF">
              <w:rPr>
                <w:rStyle w:val="Hyperlink"/>
                <w:noProof/>
              </w:rPr>
              <w:t>Evaluator’s overall conclusions on clinical safety</w:t>
            </w:r>
            <w:r w:rsidR="00E543D4">
              <w:rPr>
                <w:noProof/>
                <w:webHidden/>
              </w:rPr>
              <w:tab/>
            </w:r>
            <w:r w:rsidR="00E543D4">
              <w:rPr>
                <w:noProof/>
                <w:webHidden/>
              </w:rPr>
              <w:fldChar w:fldCharType="begin"/>
            </w:r>
            <w:r w:rsidR="00E543D4">
              <w:rPr>
                <w:noProof/>
                <w:webHidden/>
              </w:rPr>
              <w:instrText xml:space="preserve"> PAGEREF _Toc425249013 \h </w:instrText>
            </w:r>
            <w:r w:rsidR="00E543D4">
              <w:rPr>
                <w:noProof/>
                <w:webHidden/>
              </w:rPr>
            </w:r>
            <w:r w:rsidR="00E543D4">
              <w:rPr>
                <w:noProof/>
                <w:webHidden/>
              </w:rPr>
              <w:fldChar w:fldCharType="separate"/>
            </w:r>
            <w:r w:rsidR="00E543D4">
              <w:rPr>
                <w:noProof/>
                <w:webHidden/>
              </w:rPr>
              <w:t>59</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14" w:history="1">
            <w:r w:rsidR="00E543D4" w:rsidRPr="008B3EFF">
              <w:rPr>
                <w:rStyle w:val="Hyperlink"/>
                <w:noProof/>
              </w:rPr>
              <w:t>9.</w:t>
            </w:r>
            <w:r w:rsidR="00E543D4">
              <w:rPr>
                <w:rFonts w:asciiTheme="minorHAnsi" w:eastAsiaTheme="minorEastAsia" w:hAnsiTheme="minorHAnsi" w:cstheme="minorBidi"/>
                <w:b w:val="0"/>
                <w:noProof/>
                <w:sz w:val="22"/>
                <w:lang w:eastAsia="en-AU"/>
              </w:rPr>
              <w:tab/>
            </w:r>
            <w:r w:rsidR="00E543D4" w:rsidRPr="008B3EFF">
              <w:rPr>
                <w:rStyle w:val="Hyperlink"/>
                <w:noProof/>
              </w:rPr>
              <w:t>First round benefit-risk assessment</w:t>
            </w:r>
            <w:r w:rsidR="00E543D4">
              <w:rPr>
                <w:noProof/>
                <w:webHidden/>
              </w:rPr>
              <w:tab/>
            </w:r>
            <w:r w:rsidR="00E543D4">
              <w:rPr>
                <w:noProof/>
                <w:webHidden/>
              </w:rPr>
              <w:fldChar w:fldCharType="begin"/>
            </w:r>
            <w:r w:rsidR="00E543D4">
              <w:rPr>
                <w:noProof/>
                <w:webHidden/>
              </w:rPr>
              <w:instrText xml:space="preserve"> PAGEREF _Toc425249014 \h </w:instrText>
            </w:r>
            <w:r w:rsidR="00E543D4">
              <w:rPr>
                <w:noProof/>
                <w:webHidden/>
              </w:rPr>
            </w:r>
            <w:r w:rsidR="00E543D4">
              <w:rPr>
                <w:noProof/>
                <w:webHidden/>
              </w:rPr>
              <w:fldChar w:fldCharType="separate"/>
            </w:r>
            <w:r w:rsidR="00E543D4">
              <w:rPr>
                <w:noProof/>
                <w:webHidden/>
              </w:rPr>
              <w:t>59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5" w:history="1">
            <w:r w:rsidR="00E543D4" w:rsidRPr="008B3EFF">
              <w:rPr>
                <w:rStyle w:val="Hyperlink"/>
                <w:noProof/>
              </w:rPr>
              <w:t>9.1.</w:t>
            </w:r>
            <w:r w:rsidR="00E543D4">
              <w:rPr>
                <w:rFonts w:asciiTheme="minorHAnsi" w:eastAsiaTheme="minorEastAsia" w:hAnsiTheme="minorHAnsi" w:cstheme="minorBidi"/>
                <w:noProof/>
                <w:lang w:eastAsia="en-AU"/>
              </w:rPr>
              <w:tab/>
            </w:r>
            <w:r w:rsidR="00E543D4" w:rsidRPr="008B3EFF">
              <w:rPr>
                <w:rStyle w:val="Hyperlink"/>
                <w:noProof/>
              </w:rPr>
              <w:t>First round assessment of benefits</w:t>
            </w:r>
            <w:r w:rsidR="00E543D4">
              <w:rPr>
                <w:noProof/>
                <w:webHidden/>
              </w:rPr>
              <w:tab/>
            </w:r>
            <w:r w:rsidR="00E543D4">
              <w:rPr>
                <w:noProof/>
                <w:webHidden/>
              </w:rPr>
              <w:fldChar w:fldCharType="begin"/>
            </w:r>
            <w:r w:rsidR="00E543D4">
              <w:rPr>
                <w:noProof/>
                <w:webHidden/>
              </w:rPr>
              <w:instrText xml:space="preserve"> PAGEREF _Toc425249015 \h </w:instrText>
            </w:r>
            <w:r w:rsidR="00E543D4">
              <w:rPr>
                <w:noProof/>
                <w:webHidden/>
              </w:rPr>
            </w:r>
            <w:r w:rsidR="00E543D4">
              <w:rPr>
                <w:noProof/>
                <w:webHidden/>
              </w:rPr>
              <w:fldChar w:fldCharType="separate"/>
            </w:r>
            <w:r w:rsidR="00E543D4">
              <w:rPr>
                <w:noProof/>
                <w:webHidden/>
              </w:rPr>
              <w:t>59</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6" w:history="1">
            <w:r w:rsidR="00E543D4" w:rsidRPr="008B3EFF">
              <w:rPr>
                <w:rStyle w:val="Hyperlink"/>
                <w:noProof/>
              </w:rPr>
              <w:t>9.2.</w:t>
            </w:r>
            <w:r w:rsidR="00E543D4">
              <w:rPr>
                <w:rFonts w:asciiTheme="minorHAnsi" w:eastAsiaTheme="minorEastAsia" w:hAnsiTheme="minorHAnsi" w:cstheme="minorBidi"/>
                <w:noProof/>
                <w:lang w:eastAsia="en-AU"/>
              </w:rPr>
              <w:tab/>
            </w:r>
            <w:r w:rsidR="00E543D4" w:rsidRPr="008B3EFF">
              <w:rPr>
                <w:rStyle w:val="Hyperlink"/>
                <w:noProof/>
              </w:rPr>
              <w:t>First round assessment of risks</w:t>
            </w:r>
            <w:r w:rsidR="00E543D4">
              <w:rPr>
                <w:noProof/>
                <w:webHidden/>
              </w:rPr>
              <w:tab/>
            </w:r>
            <w:r w:rsidR="00E543D4">
              <w:rPr>
                <w:noProof/>
                <w:webHidden/>
              </w:rPr>
              <w:fldChar w:fldCharType="begin"/>
            </w:r>
            <w:r w:rsidR="00E543D4">
              <w:rPr>
                <w:noProof/>
                <w:webHidden/>
              </w:rPr>
              <w:instrText xml:space="preserve"> PAGEREF _Toc425249016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3"/>
            <w:tabs>
              <w:tab w:val="left" w:pos="1760"/>
            </w:tabs>
            <w:rPr>
              <w:rFonts w:asciiTheme="minorHAnsi" w:eastAsiaTheme="minorEastAsia" w:hAnsiTheme="minorHAnsi" w:cstheme="minorBidi"/>
              <w:noProof/>
              <w:lang w:eastAsia="en-AU"/>
            </w:rPr>
          </w:pPr>
          <w:hyperlink w:anchor="_Toc425249017" w:history="1">
            <w:r w:rsidR="00E543D4" w:rsidRPr="008B3EFF">
              <w:rPr>
                <w:rStyle w:val="Hyperlink"/>
                <w:noProof/>
              </w:rPr>
              <w:t>9.3.</w:t>
            </w:r>
            <w:r w:rsidR="00E543D4">
              <w:rPr>
                <w:rFonts w:asciiTheme="minorHAnsi" w:eastAsiaTheme="minorEastAsia" w:hAnsiTheme="minorHAnsi" w:cstheme="minorBidi"/>
                <w:noProof/>
                <w:lang w:eastAsia="en-AU"/>
              </w:rPr>
              <w:tab/>
            </w:r>
            <w:r w:rsidR="00E543D4" w:rsidRPr="008B3EFF">
              <w:rPr>
                <w:rStyle w:val="Hyperlink"/>
                <w:noProof/>
              </w:rPr>
              <w:t>First round assessment of benefit-risk balance</w:t>
            </w:r>
            <w:r w:rsidR="00E543D4">
              <w:rPr>
                <w:noProof/>
                <w:webHidden/>
              </w:rPr>
              <w:tab/>
            </w:r>
            <w:r w:rsidR="00E543D4">
              <w:rPr>
                <w:noProof/>
                <w:webHidden/>
              </w:rPr>
              <w:fldChar w:fldCharType="begin"/>
            </w:r>
            <w:r w:rsidR="00E543D4">
              <w:rPr>
                <w:noProof/>
                <w:webHidden/>
              </w:rPr>
              <w:instrText xml:space="preserve"> PAGEREF _Toc425249017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18" w:history="1">
            <w:r w:rsidR="00E543D4" w:rsidRPr="008B3EFF">
              <w:rPr>
                <w:rStyle w:val="Hyperlink"/>
                <w:noProof/>
              </w:rPr>
              <w:t>10.</w:t>
            </w:r>
            <w:r w:rsidR="00E543D4">
              <w:rPr>
                <w:rFonts w:asciiTheme="minorHAnsi" w:eastAsiaTheme="minorEastAsia" w:hAnsiTheme="minorHAnsi" w:cstheme="minorBidi"/>
                <w:b w:val="0"/>
                <w:noProof/>
                <w:sz w:val="22"/>
                <w:lang w:eastAsia="en-AU"/>
              </w:rPr>
              <w:tab/>
            </w:r>
            <w:r w:rsidR="00E543D4" w:rsidRPr="008B3EFF">
              <w:rPr>
                <w:rStyle w:val="Hyperlink"/>
                <w:noProof/>
              </w:rPr>
              <w:t>First round recommendation regarding authorisation</w:t>
            </w:r>
            <w:r w:rsidR="00E543D4">
              <w:rPr>
                <w:noProof/>
                <w:webHidden/>
              </w:rPr>
              <w:tab/>
            </w:r>
            <w:r w:rsidR="00E543D4">
              <w:rPr>
                <w:noProof/>
                <w:webHidden/>
              </w:rPr>
              <w:fldChar w:fldCharType="begin"/>
            </w:r>
            <w:r w:rsidR="00E543D4">
              <w:rPr>
                <w:noProof/>
                <w:webHidden/>
              </w:rPr>
              <w:instrText xml:space="preserve"> PAGEREF _Toc425249018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19" w:history="1">
            <w:r w:rsidR="00E543D4" w:rsidRPr="008B3EFF">
              <w:rPr>
                <w:rStyle w:val="Hyperlink"/>
                <w:noProof/>
              </w:rPr>
              <w:t>11.</w:t>
            </w:r>
            <w:r w:rsidR="00E543D4">
              <w:rPr>
                <w:rFonts w:asciiTheme="minorHAnsi" w:eastAsiaTheme="minorEastAsia" w:hAnsiTheme="minorHAnsi" w:cstheme="minorBidi"/>
                <w:b w:val="0"/>
                <w:noProof/>
                <w:sz w:val="22"/>
                <w:lang w:eastAsia="en-AU"/>
              </w:rPr>
              <w:tab/>
            </w:r>
            <w:r w:rsidR="00E543D4" w:rsidRPr="008B3EFF">
              <w:rPr>
                <w:rStyle w:val="Hyperlink"/>
                <w:noProof/>
              </w:rPr>
              <w:t>Clinical questions</w:t>
            </w:r>
            <w:r w:rsidR="00E543D4">
              <w:rPr>
                <w:noProof/>
                <w:webHidden/>
              </w:rPr>
              <w:tab/>
            </w:r>
            <w:r w:rsidR="00E543D4">
              <w:rPr>
                <w:noProof/>
                <w:webHidden/>
              </w:rPr>
              <w:fldChar w:fldCharType="begin"/>
            </w:r>
            <w:r w:rsidR="00E543D4">
              <w:rPr>
                <w:noProof/>
                <w:webHidden/>
              </w:rPr>
              <w:instrText xml:space="preserve"> PAGEREF _Toc425249019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20" w:history="1">
            <w:r w:rsidR="00E543D4" w:rsidRPr="008B3EFF">
              <w:rPr>
                <w:rStyle w:val="Hyperlink"/>
                <w:noProof/>
              </w:rPr>
              <w:t>12.</w:t>
            </w:r>
            <w:r w:rsidR="00E543D4">
              <w:rPr>
                <w:rFonts w:asciiTheme="minorHAnsi" w:eastAsiaTheme="minorEastAsia" w:hAnsiTheme="minorHAnsi" w:cstheme="minorBidi"/>
                <w:b w:val="0"/>
                <w:noProof/>
                <w:sz w:val="22"/>
                <w:lang w:eastAsia="en-AU"/>
              </w:rPr>
              <w:tab/>
            </w:r>
            <w:r w:rsidR="00E543D4" w:rsidRPr="008B3EFF">
              <w:rPr>
                <w:rStyle w:val="Hyperlink"/>
                <w:noProof/>
              </w:rPr>
              <w:t>Second round evaluation of clinical data submitted in response to questions</w:t>
            </w:r>
            <w:r w:rsidR="00E543D4">
              <w:rPr>
                <w:noProof/>
                <w:webHidden/>
              </w:rPr>
              <w:tab/>
            </w:r>
            <w:r w:rsidR="00E543D4">
              <w:rPr>
                <w:noProof/>
                <w:webHidden/>
              </w:rPr>
              <w:fldChar w:fldCharType="begin"/>
            </w:r>
            <w:r w:rsidR="00E543D4">
              <w:rPr>
                <w:noProof/>
                <w:webHidden/>
              </w:rPr>
              <w:instrText xml:space="preserve"> PAGEREF _Toc425249020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21" w:history="1">
            <w:r w:rsidR="00E543D4" w:rsidRPr="008B3EFF">
              <w:rPr>
                <w:rStyle w:val="Hyperlink"/>
                <w:noProof/>
              </w:rPr>
              <w:t>13.</w:t>
            </w:r>
            <w:r w:rsidR="00E543D4">
              <w:rPr>
                <w:rFonts w:asciiTheme="minorHAnsi" w:eastAsiaTheme="minorEastAsia" w:hAnsiTheme="minorHAnsi" w:cstheme="minorBidi"/>
                <w:b w:val="0"/>
                <w:noProof/>
                <w:sz w:val="22"/>
                <w:lang w:eastAsia="en-AU"/>
              </w:rPr>
              <w:tab/>
            </w:r>
            <w:r w:rsidR="00E543D4" w:rsidRPr="008B3EFF">
              <w:rPr>
                <w:rStyle w:val="Hyperlink"/>
                <w:noProof/>
              </w:rPr>
              <w:t>Second round benefit-risk assessment</w:t>
            </w:r>
            <w:r w:rsidR="00E543D4">
              <w:rPr>
                <w:noProof/>
                <w:webHidden/>
              </w:rPr>
              <w:tab/>
            </w:r>
            <w:r w:rsidR="00E543D4">
              <w:rPr>
                <w:noProof/>
                <w:webHidden/>
              </w:rPr>
              <w:fldChar w:fldCharType="begin"/>
            </w:r>
            <w:r w:rsidR="00E543D4">
              <w:rPr>
                <w:noProof/>
                <w:webHidden/>
              </w:rPr>
              <w:instrText xml:space="preserve"> PAGEREF _Toc425249021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22" w:history="1">
            <w:r w:rsidR="00E543D4" w:rsidRPr="008B3EFF">
              <w:rPr>
                <w:rStyle w:val="Hyperlink"/>
                <w:noProof/>
              </w:rPr>
              <w:t>14.</w:t>
            </w:r>
            <w:r w:rsidR="00E543D4">
              <w:rPr>
                <w:rFonts w:asciiTheme="minorHAnsi" w:eastAsiaTheme="minorEastAsia" w:hAnsiTheme="minorHAnsi" w:cstheme="minorBidi"/>
                <w:b w:val="0"/>
                <w:noProof/>
                <w:sz w:val="22"/>
                <w:lang w:eastAsia="en-AU"/>
              </w:rPr>
              <w:tab/>
            </w:r>
            <w:r w:rsidR="00E543D4" w:rsidRPr="008B3EFF">
              <w:rPr>
                <w:rStyle w:val="Hyperlink"/>
                <w:noProof/>
              </w:rPr>
              <w:t>Second round recommendation regarding authorisation</w:t>
            </w:r>
            <w:r w:rsidR="00E543D4">
              <w:rPr>
                <w:noProof/>
                <w:webHidden/>
              </w:rPr>
              <w:tab/>
            </w:r>
            <w:r w:rsidR="00E543D4">
              <w:rPr>
                <w:noProof/>
                <w:webHidden/>
              </w:rPr>
              <w:fldChar w:fldCharType="begin"/>
            </w:r>
            <w:r w:rsidR="00E543D4">
              <w:rPr>
                <w:noProof/>
                <w:webHidden/>
              </w:rPr>
              <w:instrText xml:space="preserve"> PAGEREF _Toc425249022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E543D4" w:rsidRDefault="00001DF8">
          <w:pPr>
            <w:pStyle w:val="TOC2"/>
            <w:tabs>
              <w:tab w:val="left" w:pos="1325"/>
            </w:tabs>
            <w:rPr>
              <w:rFonts w:asciiTheme="minorHAnsi" w:eastAsiaTheme="minorEastAsia" w:hAnsiTheme="minorHAnsi" w:cstheme="minorBidi"/>
              <w:b w:val="0"/>
              <w:noProof/>
              <w:sz w:val="22"/>
              <w:lang w:eastAsia="en-AU"/>
            </w:rPr>
          </w:pPr>
          <w:hyperlink w:anchor="_Toc425249023" w:history="1">
            <w:r w:rsidR="00E543D4" w:rsidRPr="008B3EFF">
              <w:rPr>
                <w:rStyle w:val="Hyperlink"/>
                <w:noProof/>
              </w:rPr>
              <w:t>15.</w:t>
            </w:r>
            <w:r w:rsidR="00E543D4">
              <w:rPr>
                <w:rFonts w:asciiTheme="minorHAnsi" w:eastAsiaTheme="minorEastAsia" w:hAnsiTheme="minorHAnsi" w:cstheme="minorBidi"/>
                <w:b w:val="0"/>
                <w:noProof/>
                <w:sz w:val="22"/>
                <w:lang w:eastAsia="en-AU"/>
              </w:rPr>
              <w:tab/>
            </w:r>
            <w:r w:rsidR="00E543D4" w:rsidRPr="008B3EFF">
              <w:rPr>
                <w:rStyle w:val="Hyperlink"/>
                <w:noProof/>
              </w:rPr>
              <w:t>References</w:t>
            </w:r>
            <w:r w:rsidR="00E543D4">
              <w:rPr>
                <w:noProof/>
                <w:webHidden/>
              </w:rPr>
              <w:tab/>
            </w:r>
            <w:r w:rsidR="00E543D4">
              <w:rPr>
                <w:noProof/>
                <w:webHidden/>
              </w:rPr>
              <w:fldChar w:fldCharType="begin"/>
            </w:r>
            <w:r w:rsidR="00E543D4">
              <w:rPr>
                <w:noProof/>
                <w:webHidden/>
              </w:rPr>
              <w:instrText xml:space="preserve"> PAGEREF _Toc425249023 \h </w:instrText>
            </w:r>
            <w:r w:rsidR="00E543D4">
              <w:rPr>
                <w:noProof/>
                <w:webHidden/>
              </w:rPr>
            </w:r>
            <w:r w:rsidR="00E543D4">
              <w:rPr>
                <w:noProof/>
                <w:webHidden/>
              </w:rPr>
              <w:fldChar w:fldCharType="separate"/>
            </w:r>
            <w:r w:rsidR="00E543D4">
              <w:rPr>
                <w:noProof/>
                <w:webHidden/>
              </w:rPr>
              <w:t>60</w:t>
            </w:r>
            <w:r w:rsidR="00E543D4">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ED22E9" w:rsidRDefault="00ED22E9" w:rsidP="00586F98">
      <w:pPr>
        <w:pStyle w:val="Heading2"/>
        <w:numPr>
          <w:ilvl w:val="0"/>
          <w:numId w:val="0"/>
        </w:numPr>
        <w:sectPr w:rsidR="00ED22E9"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3" w:name="_Toc351716269"/>
      <w:bookmarkStart w:id="4" w:name="_Toc351718881"/>
      <w:bookmarkStart w:id="5" w:name="_Toc355338616"/>
    </w:p>
    <w:p w:rsidR="00586F98" w:rsidRDefault="00586F98" w:rsidP="00586F98">
      <w:pPr>
        <w:pStyle w:val="Heading2"/>
        <w:numPr>
          <w:ilvl w:val="0"/>
          <w:numId w:val="0"/>
        </w:numPr>
      </w:pPr>
      <w:bookmarkStart w:id="6" w:name="_Toc425248984"/>
      <w:r>
        <w:lastRenderedPageBreak/>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Default="00586F98" w:rsidP="009B52F0">
            <w:r>
              <w:t>Abbreviation</w:t>
            </w:r>
          </w:p>
        </w:tc>
        <w:tc>
          <w:tcPr>
            <w:tcW w:w="6911" w:type="dxa"/>
          </w:tcPr>
          <w:p w:rsidR="00586F98" w:rsidRDefault="00586F98" w:rsidP="009B52F0">
            <w:pPr>
              <w:cnfStyle w:val="100000000000" w:firstRow="1" w:lastRow="0" w:firstColumn="0" w:lastColumn="0" w:oddVBand="0" w:evenVBand="0" w:oddHBand="0" w:evenHBand="0" w:firstRowFirstColumn="0" w:firstRowLastColumn="0" w:lastRowFirstColumn="0" w:lastRowLastColumn="0"/>
            </w:pPr>
            <w:r>
              <w:t>Meaning</w:t>
            </w:r>
          </w:p>
        </w:tc>
      </w:tr>
      <w:tr w:rsidR="00586F98"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Default="00BE00BF" w:rsidP="009B52F0">
            <w:r>
              <w:rPr>
                <w:szCs w:val="22"/>
              </w:rPr>
              <w:t>AE</w:t>
            </w:r>
          </w:p>
        </w:tc>
        <w:tc>
          <w:tcPr>
            <w:tcW w:w="6911" w:type="dxa"/>
          </w:tcPr>
          <w:p w:rsidR="00586F98"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Adverse Event</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ALT</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Alanine Transaminase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AST</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Aspartate Transaminase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ARTG</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Australian Register of Therapeutic Goods</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AUC</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Area under the curve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BD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Twice daily</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BMI</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Body Mass Index</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CIU</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Chronic idiopathic urticaria</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t>Cmax</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Maximum concentration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DLQI</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Dermatology Life Quality Index</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DNA</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Deoxyribonucleic acid</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ELISA</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 xml:space="preserve">Enzyme-linked </w:t>
            </w:r>
            <w:proofErr w:type="spellStart"/>
            <w:r>
              <w:rPr>
                <w:szCs w:val="22"/>
              </w:rPr>
              <w:t>immunosorbent</w:t>
            </w:r>
            <w:proofErr w:type="spellEnd"/>
            <w:r>
              <w:rPr>
                <w:szCs w:val="22"/>
              </w:rPr>
              <w:t xml:space="preserve"> assay</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EMA</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European Medicines Agency</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t>FcεRI</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 xml:space="preserve">The high affinity </w:t>
            </w:r>
            <w:proofErr w:type="spellStart"/>
            <w:r>
              <w:rPr>
                <w:szCs w:val="22"/>
              </w:rPr>
              <w:t>IgE</w:t>
            </w:r>
            <w:proofErr w:type="spellEnd"/>
            <w:r>
              <w:rPr>
                <w:szCs w:val="22"/>
              </w:rPr>
              <w:t xml:space="preserve"> receptor located on mast cell/basophil cell membranes</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FDA</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Food and Drug Administration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GCP</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Good Clinical Practice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GORD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Gastro-Oesophageal Reflux Disease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H1</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H1 histamine receptor</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H2</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H2 histamine receptor</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t>HRQoL</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Health Related Quality of Life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ICH</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International Conference on Harmonisation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t>IgE</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Immunoglobulin 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LDH</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Lactate Dehydrogenase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lastRenderedPageBreak/>
              <w:t>LoQ</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Limit of quantification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LSM</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Least Square Means</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LTRA</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Leukotriene Receptor Antagonist</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MID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Minimally Important Difference</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t>mITT</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Modified Intention to Treat</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PD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Pharmacodynamics</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PI</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Product Information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PK</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Pharmacokinetics</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QD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Once daily</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QID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Four times daily</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SAE</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Serious Adverse Event</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SC</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Subcutaneous</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SD</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Standard Deviation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r>
              <w:rPr>
                <w:szCs w:val="22"/>
              </w:rPr>
              <w:t>TGA</w:t>
            </w:r>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Therapeutic Goods Administration</w:t>
            </w:r>
          </w:p>
        </w:tc>
      </w:tr>
      <w:tr w:rsidR="00BE00BF" w:rsidTr="000A63AF">
        <w:tc>
          <w:tcPr>
            <w:cnfStyle w:val="001000000000" w:firstRow="0" w:lastRow="0" w:firstColumn="1" w:lastColumn="0" w:oddVBand="0" w:evenVBand="0" w:oddHBand="0" w:evenHBand="0" w:firstRowFirstColumn="0" w:firstRowLastColumn="0" w:lastRowFirstColumn="0" w:lastRowLastColumn="0"/>
            <w:tcW w:w="1809" w:type="dxa"/>
          </w:tcPr>
          <w:p w:rsidR="00BE00BF" w:rsidRDefault="00BE00BF" w:rsidP="009B52F0">
            <w:proofErr w:type="spellStart"/>
            <w:r>
              <w:rPr>
                <w:szCs w:val="22"/>
              </w:rPr>
              <w:t>T</w:t>
            </w:r>
            <w:r w:rsidRPr="00E6621F">
              <w:rPr>
                <w:szCs w:val="22"/>
                <w:vertAlign w:val="subscript"/>
              </w:rPr>
              <w:t>max</w:t>
            </w:r>
            <w:proofErr w:type="spellEnd"/>
          </w:p>
        </w:tc>
        <w:tc>
          <w:tcPr>
            <w:tcW w:w="6911" w:type="dxa"/>
          </w:tcPr>
          <w:p w:rsidR="00BE00BF"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Time of maximum concentration</w:t>
            </w:r>
          </w:p>
        </w:tc>
      </w:tr>
      <w:tr w:rsidR="00586F98"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Default="00BE00BF" w:rsidP="009B52F0">
            <w:r>
              <w:rPr>
                <w:szCs w:val="22"/>
              </w:rPr>
              <w:t>UAS</w:t>
            </w:r>
          </w:p>
        </w:tc>
        <w:tc>
          <w:tcPr>
            <w:tcW w:w="6911" w:type="dxa"/>
          </w:tcPr>
          <w:p w:rsidR="00396C92" w:rsidRDefault="00BE00BF" w:rsidP="009B52F0">
            <w:pPr>
              <w:cnfStyle w:val="000000000000" w:firstRow="0" w:lastRow="0" w:firstColumn="0" w:lastColumn="0" w:oddVBand="0" w:evenVBand="0" w:oddHBand="0" w:evenHBand="0" w:firstRowFirstColumn="0" w:firstRowLastColumn="0" w:lastRowFirstColumn="0" w:lastRowLastColumn="0"/>
            </w:pPr>
            <w:r>
              <w:rPr>
                <w:szCs w:val="22"/>
              </w:rPr>
              <w:t>Urticaria Activity Score</w:t>
            </w:r>
          </w:p>
        </w:tc>
      </w:tr>
    </w:tbl>
    <w:p w:rsidR="005D5671" w:rsidRDefault="005D5671" w:rsidP="00E735CD">
      <w:pPr>
        <w:pStyle w:val="Heading2"/>
        <w:rPr>
          <w:lang w:eastAsia="en-AU"/>
        </w:rPr>
      </w:pPr>
      <w:bookmarkStart w:id="7" w:name="_Toc425248985"/>
      <w:bookmarkStart w:id="8" w:name="_Toc351718900"/>
      <w:bookmarkStart w:id="9" w:name="_Toc355338635"/>
      <w:r w:rsidRPr="00E735CD">
        <w:t>Introduction</w:t>
      </w:r>
      <w:bookmarkEnd w:id="7"/>
    </w:p>
    <w:p w:rsidR="005D5671" w:rsidRDefault="005D5671" w:rsidP="005D5671">
      <w:r w:rsidRPr="005D5671">
        <w:t>This is</w:t>
      </w:r>
      <w:r>
        <w:t xml:space="preserve"> a Category 1 type</w:t>
      </w:r>
      <w:r w:rsidRPr="005D5671">
        <w:t xml:space="preserve"> submission</w:t>
      </w:r>
      <w:r>
        <w:t>, major variation</w:t>
      </w:r>
      <w:r w:rsidRPr="005D5671">
        <w:t xml:space="preserve"> to extend the approved indications of omalizumab to include the treatment of chronic idiopathic urticaria.</w:t>
      </w:r>
    </w:p>
    <w:p w:rsidR="005D5671" w:rsidRPr="005D5671" w:rsidRDefault="005D5671" w:rsidP="005D5671">
      <w:r w:rsidRPr="005D5671">
        <w:t>Omalizumab is a monoclonal antibody that selectively binds to the human immunoglobulin E (</w:t>
      </w:r>
      <w:proofErr w:type="spellStart"/>
      <w:r w:rsidRPr="005D5671">
        <w:t>IgE</w:t>
      </w:r>
      <w:proofErr w:type="spellEnd"/>
      <w:r w:rsidRPr="005D5671">
        <w:t>) molecule. It is produced by recombinant DNA technology in a Chinese hamster ovary cell line.</w:t>
      </w:r>
    </w:p>
    <w:p w:rsidR="005D5671" w:rsidRPr="005D5671" w:rsidRDefault="005D5671" w:rsidP="005D5671">
      <w:r w:rsidRPr="005D5671">
        <w:t>The currently approved indication is:</w:t>
      </w:r>
    </w:p>
    <w:p w:rsidR="005D5671" w:rsidRPr="005D5671" w:rsidRDefault="00DE0BB4" w:rsidP="005D5671">
      <w:pPr>
        <w:ind w:left="567"/>
        <w:rPr>
          <w:i/>
        </w:rPr>
      </w:pPr>
      <w:r>
        <w:rPr>
          <w:i/>
        </w:rPr>
        <w:t>‘</w:t>
      </w:r>
      <w:r w:rsidR="005D5671" w:rsidRPr="005D5671">
        <w:rPr>
          <w:i/>
        </w:rPr>
        <w:t>for the management of adult and adolescent patients with moderate to severe allergic asthma, who are already being treated with inhaled steroids, and who have serum immunoglobulin E levels corresponding to the recommended dose range.’</w:t>
      </w:r>
    </w:p>
    <w:p w:rsidR="005D5671" w:rsidRPr="005D5671" w:rsidRDefault="005D5671" w:rsidP="005D5671">
      <w:r w:rsidRPr="005D5671">
        <w:t>The proposed additional indication is:</w:t>
      </w:r>
    </w:p>
    <w:p w:rsidR="005D5671" w:rsidRPr="005D5671" w:rsidRDefault="00DE0BB4" w:rsidP="005D5671">
      <w:pPr>
        <w:ind w:left="567"/>
        <w:rPr>
          <w:i/>
        </w:rPr>
      </w:pPr>
      <w:r>
        <w:rPr>
          <w:i/>
        </w:rPr>
        <w:t>‘</w:t>
      </w:r>
      <w:proofErr w:type="gramStart"/>
      <w:r w:rsidR="005D5671" w:rsidRPr="005D5671">
        <w:rPr>
          <w:i/>
        </w:rPr>
        <w:t>for</w:t>
      </w:r>
      <w:proofErr w:type="gramEnd"/>
      <w:r w:rsidR="005D5671" w:rsidRPr="005D5671">
        <w:rPr>
          <w:i/>
        </w:rPr>
        <w:t xml:space="preserve"> adults and adolescents (12 years of age and above) with chronic idiopathic urticaria who remain symptomatic despite H1 antihistamine treatment.’</w:t>
      </w:r>
    </w:p>
    <w:p w:rsidR="00586F98" w:rsidRDefault="00586F98" w:rsidP="00E735CD">
      <w:pPr>
        <w:pStyle w:val="Heading2"/>
        <w:rPr>
          <w:lang w:eastAsia="en-AU"/>
        </w:rPr>
      </w:pPr>
      <w:bookmarkStart w:id="10" w:name="_Toc425248986"/>
      <w:r w:rsidRPr="00115E6A">
        <w:lastRenderedPageBreak/>
        <w:t>Clinical</w:t>
      </w:r>
      <w:r>
        <w:rPr>
          <w:lang w:eastAsia="en-AU"/>
        </w:rPr>
        <w:t xml:space="preserve"> </w:t>
      </w:r>
      <w:r w:rsidRPr="00E735CD">
        <w:t>rationale</w:t>
      </w:r>
      <w:bookmarkEnd w:id="10"/>
    </w:p>
    <w:p w:rsidR="00FB03C2" w:rsidRPr="008E26CF" w:rsidRDefault="006D5C93" w:rsidP="008E26CF">
      <w:r w:rsidRPr="008E26CF">
        <w:t>Urticaria is a disorder of the skin characterized by oedema of the dermis. It appears as raised, well demarcated, papules or wheals that are either erythematous or pale with an erythematous border. Individual lesions appear and disappear rapidly, vary in size and are intensely itchy. Urticaria is often associated with angioedema, which is due to oedema in subcutaneous tissues.</w:t>
      </w:r>
    </w:p>
    <w:p w:rsidR="006D5C93" w:rsidRPr="008E26CF" w:rsidRDefault="006D5C93" w:rsidP="008E26CF">
      <w:r w:rsidRPr="008E26CF">
        <w:t>Urticaria is caused by the release of vasoactive mediators, principally histamine, from mast cells and basophils. These mediators cause an increase in vascular permeability, vasodilation and itch. The release of histamine and other mediators from mast cells can be caused by a variety of stimuli. Immunoglobulin E (</w:t>
      </w:r>
      <w:proofErr w:type="spellStart"/>
      <w:r w:rsidRPr="008E26CF">
        <w:t>IgE</w:t>
      </w:r>
      <w:proofErr w:type="spellEnd"/>
      <w:r w:rsidRPr="008E26CF">
        <w:t xml:space="preserve">) is bound to the surface of mast cells and basophils via a high affinity </w:t>
      </w:r>
      <w:proofErr w:type="spellStart"/>
      <w:r w:rsidRPr="008E26CF">
        <w:t>IgE</w:t>
      </w:r>
      <w:proofErr w:type="spellEnd"/>
      <w:r w:rsidRPr="008E26CF">
        <w:t xml:space="preserve"> receptor (FcεR1). Cross-linking of these membrane-bound </w:t>
      </w:r>
      <w:proofErr w:type="spellStart"/>
      <w:r w:rsidRPr="008E26CF">
        <w:t>IgE</w:t>
      </w:r>
      <w:proofErr w:type="spellEnd"/>
      <w:r w:rsidRPr="008E26CF">
        <w:t xml:space="preserve"> molecules by antigens or anti-</w:t>
      </w:r>
      <w:proofErr w:type="spellStart"/>
      <w:r w:rsidRPr="008E26CF">
        <w:t>IgE</w:t>
      </w:r>
      <w:proofErr w:type="spellEnd"/>
      <w:r w:rsidRPr="008E26CF">
        <w:t xml:space="preserve"> antibodies, results in release of the mediators. Non-</w:t>
      </w:r>
      <w:proofErr w:type="spellStart"/>
      <w:r w:rsidRPr="008E26CF">
        <w:t>IgE</w:t>
      </w:r>
      <w:proofErr w:type="spellEnd"/>
      <w:r w:rsidRPr="008E26CF">
        <w:t>-mediated release can be triggered by a variety of stimuli including physical stimuli (</w:t>
      </w:r>
      <w:r w:rsidR="001E0C79">
        <w:t>for example;</w:t>
      </w:r>
      <w:r w:rsidRPr="008E26CF">
        <w:t xml:space="preserve"> cold, heat, pressure), drugs (</w:t>
      </w:r>
      <w:r w:rsidR="001E0C79">
        <w:t>for example;</w:t>
      </w:r>
      <w:r w:rsidRPr="008E26CF">
        <w:t xml:space="preserve"> opiates) and food chemic</w:t>
      </w:r>
      <w:r w:rsidR="008E26CF" w:rsidRPr="008E26CF">
        <w:t>als (tartrazine, preservatives)</w:t>
      </w:r>
      <w:proofErr w:type="gramStart"/>
      <w:r w:rsidR="008E26CF" w:rsidRPr="008E26CF">
        <w:t>.</w:t>
      </w:r>
      <w:r w:rsidR="008E26CF" w:rsidRPr="008E26CF">
        <w:rPr>
          <w:vertAlign w:val="superscript"/>
        </w:rPr>
        <w:t>(</w:t>
      </w:r>
      <w:proofErr w:type="gramEnd"/>
      <w:r w:rsidR="008E26CF" w:rsidRPr="008E26CF">
        <w:rPr>
          <w:vertAlign w:val="superscript"/>
        </w:rPr>
        <w:t>1)</w:t>
      </w:r>
    </w:p>
    <w:p w:rsidR="006D5C93" w:rsidRPr="008E26CF" w:rsidRDefault="006D5C93" w:rsidP="008E26CF">
      <w:r w:rsidRPr="008E26CF">
        <w:t xml:space="preserve">Chronic urticaria is arbitrarily defined as urticaria lasting longer than six weeks. Physical stimuli may be a cause in some subjects. However, unlike acute </w:t>
      </w:r>
      <w:proofErr w:type="spellStart"/>
      <w:r w:rsidRPr="008E26CF">
        <w:t>urticaria</w:t>
      </w:r>
      <w:proofErr w:type="spellEnd"/>
      <w:r w:rsidRPr="008E26CF">
        <w:t xml:space="preserve">, an </w:t>
      </w:r>
      <w:proofErr w:type="spellStart"/>
      <w:r w:rsidRPr="008E26CF">
        <w:t>IgE</w:t>
      </w:r>
      <w:proofErr w:type="spellEnd"/>
      <w:r w:rsidRPr="008E26CF">
        <w:t>-mediated response to a foreign antigen is not thought to be a causative m</w:t>
      </w:r>
      <w:r w:rsidR="00FA322C">
        <w:t xml:space="preserve">echanism for chronic urticaria. </w:t>
      </w:r>
      <w:r w:rsidR="00FA322C" w:rsidRPr="00FA322C">
        <w:rPr>
          <w:vertAlign w:val="superscript"/>
        </w:rPr>
        <w:t>(2)</w:t>
      </w:r>
      <w:r w:rsidRPr="008E26CF">
        <w:t xml:space="preserve"> In a significant proportion of patients, chronic urticaria is thought to be due to auto-immunity, with autoantibodies directed against the FcεR1 receptor or </w:t>
      </w:r>
      <w:proofErr w:type="spellStart"/>
      <w:r w:rsidRPr="008E26CF">
        <w:t>IgE</w:t>
      </w:r>
      <w:proofErr w:type="spellEnd"/>
      <w:r w:rsidRPr="008E26CF">
        <w:t xml:space="preserve"> on the mast cell/basophil cell membrane, resulting in the </w:t>
      </w:r>
      <w:r w:rsidR="008E26CF">
        <w:t>release of vasoactive mediators</w:t>
      </w:r>
      <w:r w:rsidR="00B51F1E">
        <w:t>.</w:t>
      </w:r>
      <w:r w:rsidR="00B51F1E" w:rsidRPr="008E26CF">
        <w:rPr>
          <w:vertAlign w:val="superscript"/>
        </w:rPr>
        <w:t xml:space="preserve"> (</w:t>
      </w:r>
      <w:r w:rsidRPr="008E26CF">
        <w:rPr>
          <w:vertAlign w:val="superscript"/>
        </w:rPr>
        <w:t>2, 3)</w:t>
      </w:r>
      <w:r w:rsidRPr="008E26CF">
        <w:t xml:space="preserve"> In another significant proport</w:t>
      </w:r>
      <w:r w:rsidR="00FB03C2" w:rsidRPr="008E26CF">
        <w:t>ion no cause can be identified.</w:t>
      </w:r>
    </w:p>
    <w:p w:rsidR="006D5C93" w:rsidRPr="00A53E2D" w:rsidRDefault="006D5C93" w:rsidP="00A53E2D">
      <w:r w:rsidRPr="00A53E2D">
        <w:t>The indication sought by the sponsor in this submissio</w:t>
      </w:r>
      <w:r w:rsidR="00FA322C">
        <w:t>n is for ‘chronic idiopathic urticaria</w:t>
      </w:r>
      <w:r w:rsidRPr="00A53E2D">
        <w:t>’ (CIU). The sponsor indicates that this term includes not only patients with truly idiopathic disease, but also those who have the autoimmune form. In Europe the sponsor has used the term ‘chronic spontaneous urticaria’ to cover these two patient groups, which is consistent with a current Europ</w:t>
      </w:r>
      <w:r w:rsidR="008E26CF" w:rsidRPr="00A53E2D">
        <w:t>ean clinical practice guideline</w:t>
      </w:r>
      <w:proofErr w:type="gramStart"/>
      <w:r w:rsidR="00B51F1E" w:rsidRPr="00A53E2D">
        <w:t>.</w:t>
      </w:r>
      <w:r w:rsidR="00B51F1E" w:rsidRPr="00A53E2D">
        <w:rPr>
          <w:vertAlign w:val="superscript"/>
        </w:rPr>
        <w:t>(</w:t>
      </w:r>
      <w:proofErr w:type="gramEnd"/>
      <w:r w:rsidR="008E26CF" w:rsidRPr="00A53E2D">
        <w:rPr>
          <w:vertAlign w:val="superscript"/>
        </w:rPr>
        <w:t>4, 5)</w:t>
      </w:r>
    </w:p>
    <w:p w:rsidR="006D5C93" w:rsidRPr="00A53E2D" w:rsidRDefault="006D5C93" w:rsidP="00A53E2D">
      <w:r w:rsidRPr="00A53E2D">
        <w:t>The possible mechanisms of action for omalizumab in CI</w:t>
      </w:r>
      <w:r w:rsidR="00FB03C2" w:rsidRPr="00A53E2D">
        <w:t>U proposed by the sponsor were:</w:t>
      </w:r>
    </w:p>
    <w:p w:rsidR="006D5C93" w:rsidRPr="00A53E2D" w:rsidRDefault="006D5C93" w:rsidP="00A53E2D">
      <w:pPr>
        <w:pStyle w:val="ListBullet"/>
      </w:pPr>
      <w:r w:rsidRPr="00A53E2D">
        <w:t xml:space="preserve">The drug lowers systemic </w:t>
      </w:r>
      <w:proofErr w:type="spellStart"/>
      <w:r w:rsidRPr="00A53E2D">
        <w:t>IgE</w:t>
      </w:r>
      <w:proofErr w:type="spellEnd"/>
      <w:r w:rsidRPr="00A53E2D">
        <w:t xml:space="preserve"> levels, which results in down-regulation of a large percentage of surface FcεR1 receptors, thereby decreasing downstream si</w:t>
      </w:r>
      <w:r w:rsidR="00FB03C2" w:rsidRPr="00A53E2D">
        <w:t xml:space="preserve">gnalling via the </w:t>
      </w:r>
      <w:proofErr w:type="spellStart"/>
      <w:r w:rsidR="00FB03C2" w:rsidRPr="00A53E2D">
        <w:t>Fc</w:t>
      </w:r>
      <w:r w:rsidR="001E0C79">
        <w:t>ε</w:t>
      </w:r>
      <w:r w:rsidR="00535DAC">
        <w:t>RI</w:t>
      </w:r>
      <w:proofErr w:type="spellEnd"/>
      <w:r w:rsidR="00535DAC">
        <w:t xml:space="preserve"> pathway</w:t>
      </w:r>
    </w:p>
    <w:p w:rsidR="006D5C93" w:rsidRPr="00A53E2D" w:rsidRDefault="006D5C93" w:rsidP="00A53E2D">
      <w:pPr>
        <w:pStyle w:val="ListBullet"/>
      </w:pPr>
      <w:r w:rsidRPr="00A53E2D">
        <w:t xml:space="preserve">Lowering of circulating </w:t>
      </w:r>
      <w:proofErr w:type="spellStart"/>
      <w:r w:rsidRPr="00A53E2D">
        <w:t>IgE</w:t>
      </w:r>
      <w:proofErr w:type="spellEnd"/>
      <w:r w:rsidRPr="00A53E2D">
        <w:t xml:space="preserve"> leads to a nonspecific desensiti</w:t>
      </w:r>
      <w:r w:rsidR="00FB03C2" w:rsidRPr="00A53E2D">
        <w:t>zation of cutaneous mast cells.</w:t>
      </w:r>
    </w:p>
    <w:p w:rsidR="006D5C93" w:rsidRDefault="006D5C93" w:rsidP="00A53E2D">
      <w:pPr>
        <w:rPr>
          <w:vertAlign w:val="superscript"/>
        </w:rPr>
      </w:pPr>
      <w:r w:rsidRPr="00A53E2D">
        <w:t>Prior to the sponsor’s clinical development program, some investigator-initiated studies had show</w:t>
      </w:r>
      <w:r w:rsidR="008E26CF" w:rsidRPr="00A53E2D">
        <w:t>n benefit for omalizumab in CIU</w:t>
      </w:r>
      <w:r w:rsidR="00672775">
        <w:t>.</w:t>
      </w:r>
      <w:r w:rsidR="00672775" w:rsidRPr="00A53E2D">
        <w:rPr>
          <w:vertAlign w:val="superscript"/>
        </w:rPr>
        <w:t xml:space="preserve"> (</w:t>
      </w:r>
      <w:r w:rsidRPr="00A53E2D">
        <w:rPr>
          <w:vertAlign w:val="superscript"/>
        </w:rPr>
        <w:t>6-8)</w:t>
      </w:r>
    </w:p>
    <w:p w:rsidR="005D5671" w:rsidRDefault="005D5671" w:rsidP="00E735CD">
      <w:pPr>
        <w:pStyle w:val="Heading3"/>
      </w:pPr>
      <w:bookmarkStart w:id="11" w:name="_Toc425248987"/>
      <w:r w:rsidRPr="00E735CD">
        <w:t>Guidance</w:t>
      </w:r>
      <w:bookmarkEnd w:id="11"/>
    </w:p>
    <w:p w:rsidR="00B51F1E" w:rsidRPr="00B51F1E" w:rsidRDefault="00B51F1E" w:rsidP="00B51F1E">
      <w:r w:rsidRPr="00B51F1E">
        <w:t>There are currently no specific regulatory guidelines adopted by the TGA for drugs proposed for the treatment of urticaria.</w:t>
      </w:r>
    </w:p>
    <w:p w:rsidR="00B51F1E" w:rsidRPr="00B51F1E" w:rsidRDefault="00B51F1E" w:rsidP="00B51F1E">
      <w:r w:rsidRPr="00B51F1E">
        <w:t xml:space="preserve">The sponsor’s submission cited a consensus clinical practice guideline on urticaria, which was published in 2009 </w:t>
      </w:r>
      <w:r w:rsidRPr="00B51F1E">
        <w:rPr>
          <w:vertAlign w:val="superscript"/>
        </w:rPr>
        <w:t>(4,</w:t>
      </w:r>
      <w:r w:rsidR="00FA322C">
        <w:rPr>
          <w:vertAlign w:val="superscript"/>
        </w:rPr>
        <w:t xml:space="preserve"> </w:t>
      </w:r>
      <w:r w:rsidRPr="00B51F1E">
        <w:rPr>
          <w:vertAlign w:val="superscript"/>
        </w:rPr>
        <w:t>5)</w:t>
      </w:r>
      <w:r w:rsidRPr="00B51F1E">
        <w:t xml:space="preserve">. It was produced by the European Academy of </w:t>
      </w:r>
      <w:proofErr w:type="spellStart"/>
      <w:r w:rsidRPr="00B51F1E">
        <w:t>Allergology</w:t>
      </w:r>
      <w:proofErr w:type="spellEnd"/>
      <w:r w:rsidRPr="00B51F1E">
        <w:t xml:space="preserve"> and Clinical Immunology (EAACI), the Global Allergy and Asthma European Network (GA</w:t>
      </w:r>
      <w:r w:rsidRPr="00B51F1E">
        <w:rPr>
          <w:vertAlign w:val="superscript"/>
        </w:rPr>
        <w:t>2</w:t>
      </w:r>
      <w:r w:rsidRPr="00B51F1E">
        <w:t>LEN), the European Dermatology Forum (EDF) and the World Allergy Organisation (WAO). In this report it will be referred to a</w:t>
      </w:r>
      <w:r>
        <w:t>s the 2009 consensus guideline.</w:t>
      </w:r>
    </w:p>
    <w:p w:rsidR="00B51F1E" w:rsidRPr="00B51F1E" w:rsidRDefault="00B51F1E" w:rsidP="00B51F1E">
      <w:r w:rsidRPr="00B51F1E">
        <w:t>As part of its covering letter for this submission, the sponsor has included a statement written by an advisory board made up of Australian clinical immunologists. The statement endorses the 2009 consensus guideline as the predominant current guideline for the management of urticaria.</w:t>
      </w:r>
    </w:p>
    <w:p w:rsidR="00586F98" w:rsidRDefault="00586F98" w:rsidP="00E735CD">
      <w:pPr>
        <w:pStyle w:val="Heading2"/>
        <w:rPr>
          <w:lang w:eastAsia="en-AU"/>
        </w:rPr>
      </w:pPr>
      <w:bookmarkStart w:id="12" w:name="_Toc425248988"/>
      <w:r>
        <w:rPr>
          <w:lang w:eastAsia="en-AU"/>
        </w:rPr>
        <w:lastRenderedPageBreak/>
        <w:t>Contents of the clinical dossier</w:t>
      </w:r>
      <w:bookmarkEnd w:id="8"/>
      <w:bookmarkEnd w:id="9"/>
      <w:bookmarkEnd w:id="12"/>
    </w:p>
    <w:p w:rsidR="00586F98" w:rsidRPr="00BE10C7" w:rsidRDefault="00586F98" w:rsidP="00E735CD">
      <w:pPr>
        <w:pStyle w:val="Heading3"/>
      </w:pPr>
      <w:bookmarkStart w:id="13" w:name="_Toc425248989"/>
      <w:r w:rsidRPr="00BE10C7">
        <w:t xml:space="preserve">Scope of the clinical </w:t>
      </w:r>
      <w:r w:rsidRPr="00E735CD">
        <w:t>dossier</w:t>
      </w:r>
      <w:bookmarkEnd w:id="13"/>
    </w:p>
    <w:p w:rsidR="007F33BE" w:rsidRDefault="007F33BE" w:rsidP="00A53E2D">
      <w:r w:rsidRPr="00A53E2D">
        <w:t xml:space="preserve">The application letter contained an assurance that the paper dossier was identical to the electronic dossier. This reviewer used </w:t>
      </w:r>
      <w:r w:rsidR="00197270" w:rsidRPr="00A53E2D">
        <w:t>the electronic dossier.</w:t>
      </w:r>
      <w:r w:rsidR="00A53E2D">
        <w:t xml:space="preserve"> </w:t>
      </w:r>
      <w:r w:rsidRPr="00A53E2D">
        <w:t xml:space="preserve">The submission contained the </w:t>
      </w:r>
      <w:r w:rsidR="00197270" w:rsidRPr="00A53E2D">
        <w:t>following clinical information:</w:t>
      </w:r>
    </w:p>
    <w:p w:rsidR="00A53E2D" w:rsidRPr="00A53E2D" w:rsidRDefault="00A53E2D" w:rsidP="00A53E2D">
      <w:r>
        <w:t>Module 5</w:t>
      </w:r>
    </w:p>
    <w:p w:rsidR="007F33BE" w:rsidRPr="00A53E2D" w:rsidRDefault="00E37826" w:rsidP="00A53E2D">
      <w:pPr>
        <w:pStyle w:val="ListBullet"/>
      </w:pPr>
      <w:r>
        <w:t>1 initial small P</w:t>
      </w:r>
      <w:r w:rsidR="007F33BE" w:rsidRPr="00A53E2D">
        <w:t xml:space="preserve">hase </w:t>
      </w:r>
      <w:proofErr w:type="spellStart"/>
      <w:r w:rsidR="007F33BE" w:rsidRPr="00A53E2D">
        <w:t>IIIb</w:t>
      </w:r>
      <w:proofErr w:type="spellEnd"/>
      <w:r w:rsidR="007F33BE" w:rsidRPr="00A53E2D">
        <w:t xml:space="preserve"> ‘proof of concept’ study (ADE05) conducted in s</w:t>
      </w:r>
      <w:r w:rsidR="00591B4F">
        <w:t xml:space="preserve">ubjects with chronic </w:t>
      </w:r>
      <w:proofErr w:type="spellStart"/>
      <w:r w:rsidR="00591B4F">
        <w:t>urticaria</w:t>
      </w:r>
      <w:proofErr w:type="spellEnd"/>
    </w:p>
    <w:p w:rsidR="007F33BE" w:rsidRPr="00A53E2D" w:rsidRDefault="00E37826" w:rsidP="00A53E2D">
      <w:pPr>
        <w:pStyle w:val="ListBullet"/>
      </w:pPr>
      <w:r>
        <w:t>1 P</w:t>
      </w:r>
      <w:r w:rsidR="007F33BE" w:rsidRPr="00A53E2D">
        <w:t>hase II single-dose, dose-ranging stud</w:t>
      </w:r>
      <w:r w:rsidR="00591B4F">
        <w:t>y (4577g) in subjects with CIU</w:t>
      </w:r>
    </w:p>
    <w:p w:rsidR="007F33BE" w:rsidRPr="00A53E2D" w:rsidRDefault="007F33BE" w:rsidP="00A53E2D">
      <w:pPr>
        <w:pStyle w:val="ListBullet"/>
      </w:pPr>
      <w:r w:rsidRPr="00A53E2D">
        <w:t xml:space="preserve">2 pivotal </w:t>
      </w:r>
      <w:r w:rsidR="00E37826">
        <w:t>Phase</w:t>
      </w:r>
      <w:r w:rsidRPr="00A53E2D">
        <w:t xml:space="preserve"> III efficacy/safety studies (4881g a</w:t>
      </w:r>
      <w:r w:rsidR="00591B4F">
        <w:t>nd 4882g) in subjects with CIU</w:t>
      </w:r>
    </w:p>
    <w:p w:rsidR="007F33BE" w:rsidRPr="00A53E2D" w:rsidRDefault="007F33BE" w:rsidP="00A53E2D">
      <w:pPr>
        <w:pStyle w:val="ListBullet"/>
      </w:pPr>
      <w:r w:rsidRPr="00A53E2D">
        <w:t xml:space="preserve">1 supportive </w:t>
      </w:r>
      <w:r w:rsidR="00E37826">
        <w:t>Phase</w:t>
      </w:r>
      <w:r w:rsidRPr="00A53E2D">
        <w:t xml:space="preserve"> III efficacy/safety stud</w:t>
      </w:r>
      <w:r w:rsidR="00591B4F">
        <w:t>y (4883g) in subjects with CIU</w:t>
      </w:r>
    </w:p>
    <w:p w:rsidR="007F33BE" w:rsidRPr="00A53E2D" w:rsidRDefault="007F33BE" w:rsidP="00A53E2D">
      <w:pPr>
        <w:pStyle w:val="ListBullet"/>
      </w:pPr>
      <w:r w:rsidRPr="00A53E2D">
        <w:t>1 population PK analysis and 2 p</w:t>
      </w:r>
      <w:r w:rsidR="00591B4F">
        <w:t>opulation PK/efficacy analyses</w:t>
      </w:r>
    </w:p>
    <w:p w:rsidR="007F33BE" w:rsidRDefault="00591B4F" w:rsidP="00A53E2D">
      <w:pPr>
        <w:pStyle w:val="ListBullet"/>
      </w:pPr>
      <w:r>
        <w:t>Literature references</w:t>
      </w:r>
    </w:p>
    <w:p w:rsidR="00A53E2D" w:rsidRPr="00A53E2D" w:rsidRDefault="00A53E2D" w:rsidP="00A53E2D">
      <w:r>
        <w:t>Module 1</w:t>
      </w:r>
    </w:p>
    <w:p w:rsidR="007F33BE" w:rsidRDefault="007F33BE" w:rsidP="00F2736B">
      <w:pPr>
        <w:pStyle w:val="ListBullet"/>
      </w:pPr>
      <w:r w:rsidRPr="00BA329C">
        <w:t>Application letter, application form, draft Australian PI and CMI, Risk Management Plan and various other documen</w:t>
      </w:r>
      <w:r w:rsidR="00BA329C">
        <w:t>ts of an admini</w:t>
      </w:r>
      <w:r w:rsidR="00591B4F">
        <w:t>strative nature</w:t>
      </w:r>
    </w:p>
    <w:p w:rsidR="00A53E2D" w:rsidRPr="00BA329C" w:rsidRDefault="00A53E2D" w:rsidP="00A53E2D">
      <w:r>
        <w:t>Module 2</w:t>
      </w:r>
    </w:p>
    <w:p w:rsidR="007F33BE" w:rsidRDefault="007F33BE" w:rsidP="00F2736B">
      <w:pPr>
        <w:pStyle w:val="ListBullet"/>
      </w:pPr>
      <w:r>
        <w:t xml:space="preserve">Clinical Overview, Summary of Biopharmaceutic Studies, Summary of Clinical Pharmacology, Summary of Clinical Efficacy, and </w:t>
      </w:r>
      <w:r w:rsidR="00591B4F">
        <w:t>Summary of Clinical Safety</w:t>
      </w:r>
    </w:p>
    <w:p w:rsidR="00586F98" w:rsidRPr="00BE10C7" w:rsidRDefault="00586F98" w:rsidP="00E735CD">
      <w:pPr>
        <w:pStyle w:val="Heading3"/>
      </w:pPr>
      <w:bookmarkStart w:id="14" w:name="_Toc425248990"/>
      <w:r w:rsidRPr="00E735CD">
        <w:t>Paediatric</w:t>
      </w:r>
      <w:r w:rsidRPr="00BE10C7">
        <w:t xml:space="preserve"> data</w:t>
      </w:r>
      <w:bookmarkEnd w:id="14"/>
    </w:p>
    <w:p w:rsidR="007F33BE" w:rsidRPr="00A53E2D" w:rsidRDefault="007F33BE" w:rsidP="00A53E2D">
      <w:r w:rsidRPr="00A53E2D">
        <w:t xml:space="preserve">The submission included paediatric efficacy and safety data on subjects aged 12 years and older only. The sponsor has received a waiver for paediatric data from the EMA on the grounds that </w:t>
      </w:r>
      <w:r w:rsidR="00A53E2D">
        <w:t>‘</w:t>
      </w:r>
      <w:r w:rsidRPr="00A53E2D">
        <w:rPr>
          <w:i/>
        </w:rPr>
        <w:t>the specific medicinal product does not represent a significant therapeutic benefit as clinical studies(s) are not feasible</w:t>
      </w:r>
      <w:r w:rsidR="00A53E2D">
        <w:t>’</w:t>
      </w:r>
      <w:r w:rsidRPr="00A53E2D">
        <w:t>. The reasoning behind this waiver was not provided.</w:t>
      </w:r>
    </w:p>
    <w:p w:rsidR="00586F98" w:rsidRPr="00BE10C7" w:rsidRDefault="00586F98" w:rsidP="00E735CD">
      <w:pPr>
        <w:pStyle w:val="Heading3"/>
      </w:pPr>
      <w:bookmarkStart w:id="15" w:name="_Toc425248991"/>
      <w:r w:rsidRPr="00BE10C7">
        <w:t xml:space="preserve">Good </w:t>
      </w:r>
      <w:r w:rsidRPr="00E735CD">
        <w:t>clinical</w:t>
      </w:r>
      <w:r w:rsidRPr="00BE10C7">
        <w:t xml:space="preserve"> practice</w:t>
      </w:r>
      <w:bookmarkEnd w:id="15"/>
    </w:p>
    <w:p w:rsidR="007F33BE" w:rsidRPr="00A53E2D" w:rsidRDefault="007F33BE" w:rsidP="00A53E2D">
      <w:r w:rsidRPr="00A53E2D">
        <w:t>The study reports for all the submitted clinical trials included assurances that the studies were conducted in accordance with the ICH Guidelines for Good Clinical Practice, with applicable local regulations, and with the ethical principles laid down in the Declaration of Helsinki.</w:t>
      </w:r>
    </w:p>
    <w:p w:rsidR="00586F98" w:rsidRPr="00115E6A" w:rsidRDefault="00586F98" w:rsidP="00E735CD">
      <w:pPr>
        <w:pStyle w:val="Heading2"/>
      </w:pPr>
      <w:bookmarkStart w:id="16" w:name="_Toc355338639"/>
      <w:bookmarkStart w:id="17" w:name="_Toc425248992"/>
      <w:r w:rsidRPr="00E735CD">
        <w:t>Pharmacokinetics</w:t>
      </w:r>
      <w:bookmarkEnd w:id="16"/>
      <w:bookmarkEnd w:id="17"/>
    </w:p>
    <w:p w:rsidR="007F33BE" w:rsidRPr="00BE10C7" w:rsidRDefault="007F33BE" w:rsidP="00E735CD">
      <w:pPr>
        <w:pStyle w:val="Heading3"/>
      </w:pPr>
      <w:bookmarkStart w:id="18" w:name="4.2._Summary_of_pharmacokinetics_in_CIU_"/>
      <w:bookmarkStart w:id="19" w:name="3.2._Paediatric_data"/>
      <w:bookmarkStart w:id="20" w:name="3.3._Good_clinical_practice"/>
      <w:bookmarkStart w:id="21" w:name="4._PHARMACOKINETICS"/>
      <w:bookmarkStart w:id="22" w:name="4.1._Studies_providing_pharmacokinetic_d"/>
      <w:bookmarkStart w:id="23" w:name="_Toc425248993"/>
      <w:bookmarkEnd w:id="18"/>
      <w:bookmarkEnd w:id="19"/>
      <w:bookmarkEnd w:id="20"/>
      <w:bookmarkEnd w:id="21"/>
      <w:bookmarkEnd w:id="22"/>
      <w:r w:rsidRPr="00115E6A">
        <w:t xml:space="preserve">Studies providing </w:t>
      </w:r>
      <w:r w:rsidRPr="00E735CD">
        <w:t>pharmacokinetic</w:t>
      </w:r>
      <w:r w:rsidRPr="00BE10C7">
        <w:t xml:space="preserve"> data</w:t>
      </w:r>
      <w:bookmarkEnd w:id="23"/>
    </w:p>
    <w:p w:rsidR="007F33BE" w:rsidRPr="006D15DE" w:rsidRDefault="007F33BE" w:rsidP="006D15DE">
      <w:r w:rsidRPr="006D15DE">
        <w:t>There were no studies in the current submission designed primarily to examine pharmacokinetic parameters. Intensive sampling PK data were</w:t>
      </w:r>
      <w:r w:rsidR="00FA322C">
        <w:t xml:space="preserve"> collected in the dose-ranging P</w:t>
      </w:r>
      <w:r w:rsidRPr="006D15DE">
        <w:t xml:space="preserve">hase II study (4577g). In this study only a single dose of omalizumab or placebo was administered. PK sampling was also conducted in the three </w:t>
      </w:r>
      <w:r w:rsidR="00E37826">
        <w:t>Phase</w:t>
      </w:r>
      <w:r w:rsidRPr="006D15DE">
        <w:t xml:space="preserve"> III studies but only </w:t>
      </w:r>
      <w:proofErr w:type="spellStart"/>
      <w:r w:rsidRPr="006D15DE">
        <w:t>at</w:t>
      </w:r>
      <w:proofErr w:type="spellEnd"/>
      <w:r w:rsidRPr="006D15DE">
        <w:t xml:space="preserve"> limited time points. The PK data from these 4 studies were analysed in a population PK analysis. Two population PK/efficacy analyses were also included in th</w:t>
      </w:r>
      <w:r w:rsidR="003828DB">
        <w:t xml:space="preserve">e submission. </w:t>
      </w:r>
      <w:r w:rsidRPr="006D15DE">
        <w:t>Table 1 shows</w:t>
      </w:r>
      <w:r w:rsidR="00637BDC" w:rsidRPr="006D15DE">
        <w:t xml:space="preserve"> </w:t>
      </w:r>
      <w:r w:rsidRPr="006D15DE">
        <w:t xml:space="preserve">the </w:t>
      </w:r>
      <w:r w:rsidR="006D15DE">
        <w:t xml:space="preserve">summaries of </w:t>
      </w:r>
      <w:r w:rsidRPr="006D15DE">
        <w:t xml:space="preserve">each pharmacokinetic </w:t>
      </w:r>
      <w:r w:rsidR="006D15DE">
        <w:t>study</w:t>
      </w:r>
      <w:r w:rsidR="006D15DE" w:rsidRPr="006D15DE">
        <w:t>.</w:t>
      </w:r>
    </w:p>
    <w:p w:rsidR="00637BDC" w:rsidRDefault="007F33BE" w:rsidP="00E735CD">
      <w:pPr>
        <w:pStyle w:val="Tabletitle"/>
      </w:pPr>
      <w:bookmarkStart w:id="24" w:name="Table_1_-_Submitted_pharmacokinetic_stud"/>
      <w:bookmarkStart w:id="25" w:name="bookmark0"/>
      <w:bookmarkEnd w:id="24"/>
      <w:bookmarkEnd w:id="25"/>
      <w:r>
        <w:rPr>
          <w:spacing w:val="-5"/>
        </w:rPr>
        <w:lastRenderedPageBreak/>
        <w:t>Table</w:t>
      </w:r>
      <w:r>
        <w:rPr>
          <w:spacing w:val="-3"/>
        </w:rPr>
        <w:t xml:space="preserve"> </w:t>
      </w:r>
      <w:r>
        <w:t>1</w:t>
      </w:r>
      <w:r>
        <w:rPr>
          <w:spacing w:val="3"/>
        </w:rPr>
        <w:t xml:space="preserve"> </w:t>
      </w:r>
      <w:r>
        <w:t>-</w:t>
      </w:r>
      <w:r>
        <w:rPr>
          <w:spacing w:val="1"/>
        </w:rPr>
        <w:t xml:space="preserve"> </w:t>
      </w:r>
      <w:r>
        <w:t>Submitted</w:t>
      </w:r>
      <w:r>
        <w:rPr>
          <w:spacing w:val="-3"/>
        </w:rPr>
        <w:t xml:space="preserve"> </w:t>
      </w:r>
      <w:r>
        <w:rPr>
          <w:spacing w:val="-1"/>
        </w:rPr>
        <w:t>pharmacokinetic</w:t>
      </w:r>
      <w:r>
        <w:rPr>
          <w:spacing w:val="1"/>
        </w:rPr>
        <w:t xml:space="preserve"> </w:t>
      </w:r>
      <w:r>
        <w:t>studies.</w:t>
      </w:r>
    </w:p>
    <w:tbl>
      <w:tblPr>
        <w:tblStyle w:val="TableTGAblue"/>
        <w:tblW w:w="0" w:type="auto"/>
        <w:tblLook w:val="04A0" w:firstRow="1" w:lastRow="0" w:firstColumn="1" w:lastColumn="0" w:noHBand="0" w:noVBand="1"/>
      </w:tblPr>
      <w:tblGrid>
        <w:gridCol w:w="2518"/>
        <w:gridCol w:w="3544"/>
        <w:gridCol w:w="2470"/>
      </w:tblGrid>
      <w:tr w:rsidR="006D15DE" w:rsidRPr="006D15DE" w:rsidTr="001B2728">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2518" w:type="dxa"/>
          </w:tcPr>
          <w:p w:rsidR="006D15DE" w:rsidRPr="006D15DE" w:rsidRDefault="006D15DE" w:rsidP="009B52F0">
            <w:r w:rsidRPr="006D15DE">
              <w:t>PK topic</w:t>
            </w:r>
          </w:p>
        </w:tc>
        <w:tc>
          <w:tcPr>
            <w:tcW w:w="3544" w:type="dxa"/>
          </w:tcPr>
          <w:p w:rsidR="006D15DE" w:rsidRPr="006D15DE" w:rsidRDefault="006D15DE" w:rsidP="009B52F0">
            <w:pPr>
              <w:cnfStyle w:val="100000000000" w:firstRow="1" w:lastRow="0" w:firstColumn="0" w:lastColumn="0" w:oddVBand="0" w:evenVBand="0" w:oddHBand="0" w:evenHBand="0" w:firstRowFirstColumn="0" w:firstRowLastColumn="0" w:lastRowFirstColumn="0" w:lastRowLastColumn="0"/>
            </w:pPr>
            <w:r w:rsidRPr="006D15DE">
              <w:t>Subtopic</w:t>
            </w:r>
          </w:p>
        </w:tc>
        <w:tc>
          <w:tcPr>
            <w:tcW w:w="2470" w:type="dxa"/>
          </w:tcPr>
          <w:p w:rsidR="006D15DE" w:rsidRPr="006D15DE" w:rsidRDefault="006D15DE" w:rsidP="009B52F0">
            <w:pPr>
              <w:cnfStyle w:val="100000000000" w:firstRow="1" w:lastRow="0" w:firstColumn="0" w:lastColumn="0" w:oddVBand="0" w:evenVBand="0" w:oddHBand="0" w:evenHBand="0" w:firstRowFirstColumn="0" w:firstRowLastColumn="0" w:lastRowFirstColumn="0" w:lastRowLastColumn="0"/>
            </w:pPr>
            <w:r w:rsidRPr="006D15DE">
              <w:t>Study ID</w:t>
            </w:r>
          </w:p>
        </w:tc>
      </w:tr>
      <w:tr w:rsidR="006D15DE" w:rsidRPr="006D15DE" w:rsidTr="006D15DE">
        <w:trPr>
          <w:trHeight w:val="699"/>
        </w:trPr>
        <w:tc>
          <w:tcPr>
            <w:cnfStyle w:val="001000000000" w:firstRow="0" w:lastRow="0" w:firstColumn="1" w:lastColumn="0" w:oddVBand="0" w:evenVBand="0" w:oddHBand="0" w:evenHBand="0" w:firstRowFirstColumn="0" w:firstRowLastColumn="0" w:lastRowFirstColumn="0" w:lastRowLastColumn="0"/>
            <w:tcW w:w="2518" w:type="dxa"/>
          </w:tcPr>
          <w:p w:rsidR="006D15DE" w:rsidRPr="006D15DE" w:rsidRDefault="006D15DE" w:rsidP="009B52F0">
            <w:r w:rsidRPr="006D15DE">
              <w:t>PK in CIU subjects</w:t>
            </w:r>
          </w:p>
        </w:tc>
        <w:tc>
          <w:tcPr>
            <w:tcW w:w="3544"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 xml:space="preserve">General </w:t>
            </w:r>
            <w:r>
              <w:t xml:space="preserve">PK </w:t>
            </w:r>
            <w:r w:rsidRPr="006D15DE">
              <w:t>- Single dose</w:t>
            </w:r>
          </w:p>
        </w:tc>
        <w:tc>
          <w:tcPr>
            <w:tcW w:w="2470"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4577g</w:t>
            </w:r>
          </w:p>
        </w:tc>
      </w:tr>
      <w:tr w:rsidR="006D15DE" w:rsidRPr="006D15DE" w:rsidTr="006D15DE">
        <w:trPr>
          <w:trHeight w:val="699"/>
        </w:trPr>
        <w:tc>
          <w:tcPr>
            <w:cnfStyle w:val="001000000000" w:firstRow="0" w:lastRow="0" w:firstColumn="1" w:lastColumn="0" w:oddVBand="0" w:evenVBand="0" w:oddHBand="0" w:evenHBand="0" w:firstRowFirstColumn="0" w:firstRowLastColumn="0" w:lastRowFirstColumn="0" w:lastRowLastColumn="0"/>
            <w:tcW w:w="2518" w:type="dxa"/>
            <w:vMerge w:val="restart"/>
          </w:tcPr>
          <w:p w:rsidR="006D15DE" w:rsidRPr="006D15DE" w:rsidRDefault="006D15DE" w:rsidP="009B52F0">
            <w:r w:rsidRPr="006D15DE">
              <w:t>Population PK and PK/efficacy analyses</w:t>
            </w:r>
          </w:p>
        </w:tc>
        <w:tc>
          <w:tcPr>
            <w:tcW w:w="3544"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Population PK</w:t>
            </w:r>
          </w:p>
        </w:tc>
        <w:tc>
          <w:tcPr>
            <w:tcW w:w="2470"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Report 13-6027</w:t>
            </w:r>
          </w:p>
        </w:tc>
      </w:tr>
      <w:tr w:rsidR="006D15DE" w:rsidRPr="006D15DE" w:rsidTr="006D15DE">
        <w:trPr>
          <w:trHeight w:val="139"/>
        </w:trPr>
        <w:tc>
          <w:tcPr>
            <w:cnfStyle w:val="001000000000" w:firstRow="0" w:lastRow="0" w:firstColumn="1" w:lastColumn="0" w:oddVBand="0" w:evenVBand="0" w:oddHBand="0" w:evenHBand="0" w:firstRowFirstColumn="0" w:firstRowLastColumn="0" w:lastRowFirstColumn="0" w:lastRowLastColumn="0"/>
            <w:tcW w:w="2518" w:type="dxa"/>
            <w:vMerge/>
          </w:tcPr>
          <w:p w:rsidR="006D15DE" w:rsidRPr="006D15DE" w:rsidRDefault="006D15DE" w:rsidP="009B52F0"/>
        </w:tc>
        <w:tc>
          <w:tcPr>
            <w:tcW w:w="3544"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Population PK/efficacy &amp; safety</w:t>
            </w:r>
          </w:p>
        </w:tc>
        <w:tc>
          <w:tcPr>
            <w:tcW w:w="2470"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Report 13-6028</w:t>
            </w:r>
          </w:p>
        </w:tc>
      </w:tr>
      <w:tr w:rsidR="006D15DE" w:rsidRPr="006D15DE" w:rsidTr="006D15DE">
        <w:trPr>
          <w:trHeight w:val="139"/>
        </w:trPr>
        <w:tc>
          <w:tcPr>
            <w:cnfStyle w:val="001000000000" w:firstRow="0" w:lastRow="0" w:firstColumn="1" w:lastColumn="0" w:oddVBand="0" w:evenVBand="0" w:oddHBand="0" w:evenHBand="0" w:firstRowFirstColumn="0" w:firstRowLastColumn="0" w:lastRowFirstColumn="0" w:lastRowLastColumn="0"/>
            <w:tcW w:w="2518" w:type="dxa"/>
            <w:vMerge/>
          </w:tcPr>
          <w:p w:rsidR="006D15DE" w:rsidRPr="006D15DE" w:rsidRDefault="006D15DE" w:rsidP="009B52F0"/>
        </w:tc>
        <w:tc>
          <w:tcPr>
            <w:tcW w:w="3544"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Population PK/efficacy time course</w:t>
            </w:r>
          </w:p>
        </w:tc>
        <w:tc>
          <w:tcPr>
            <w:tcW w:w="2470" w:type="dxa"/>
          </w:tcPr>
          <w:p w:rsidR="006D15DE" w:rsidRPr="006D15DE" w:rsidRDefault="006D15DE" w:rsidP="009B52F0">
            <w:pPr>
              <w:cnfStyle w:val="000000000000" w:firstRow="0" w:lastRow="0" w:firstColumn="0" w:lastColumn="0" w:oddVBand="0" w:evenVBand="0" w:oddHBand="0" w:evenHBand="0" w:firstRowFirstColumn="0" w:firstRowLastColumn="0" w:lastRowFirstColumn="0" w:lastRowLastColumn="0"/>
            </w:pPr>
            <w:r w:rsidRPr="006D15DE">
              <w:t>-</w:t>
            </w:r>
          </w:p>
        </w:tc>
      </w:tr>
    </w:tbl>
    <w:p w:rsidR="007F33BE" w:rsidRPr="006D15DE" w:rsidRDefault="007F33BE" w:rsidP="006D15DE">
      <w:r w:rsidRPr="006D15DE">
        <w:t>None of these pharmacokinetic studies had deficiencies that excluded their results from evaluation.</w:t>
      </w:r>
    </w:p>
    <w:p w:rsidR="007F33BE" w:rsidRPr="007F33BE" w:rsidRDefault="007F33BE" w:rsidP="00E735CD">
      <w:pPr>
        <w:pStyle w:val="Heading3"/>
      </w:pPr>
      <w:bookmarkStart w:id="26" w:name="_Toc425248994"/>
      <w:r w:rsidRPr="007F33BE">
        <w:t xml:space="preserve">Summary of </w:t>
      </w:r>
      <w:r w:rsidRPr="00E735CD">
        <w:t>pharmacokinetics</w:t>
      </w:r>
      <w:r w:rsidRPr="007F33BE">
        <w:t xml:space="preserve"> in CIU patients</w:t>
      </w:r>
      <w:bookmarkEnd w:id="26"/>
    </w:p>
    <w:p w:rsidR="007F33BE" w:rsidRPr="006D15DE" w:rsidRDefault="007F33BE" w:rsidP="006D15DE">
      <w:r w:rsidRPr="006D15DE">
        <w:t>The information in the following summary is derived from conventional pharmacokinetic studies unless otherwise stated.</w:t>
      </w:r>
    </w:p>
    <w:p w:rsidR="007F33BE" w:rsidRPr="007F33BE" w:rsidRDefault="007F33BE" w:rsidP="00115E6A">
      <w:pPr>
        <w:pStyle w:val="Heading4"/>
      </w:pPr>
      <w:r w:rsidRPr="00115E6A">
        <w:t>Abs</w:t>
      </w:r>
      <w:r w:rsidRPr="00E735CD">
        <w:t>orpt</w:t>
      </w:r>
      <w:r w:rsidRPr="00115E6A">
        <w:t>ion</w:t>
      </w:r>
    </w:p>
    <w:p w:rsidR="007F33BE" w:rsidRPr="00BE10C7" w:rsidRDefault="007F33BE" w:rsidP="00115E6A">
      <w:pPr>
        <w:pStyle w:val="Heading5"/>
      </w:pPr>
      <w:r w:rsidRPr="00BE10C7">
        <w:t xml:space="preserve">Time of </w:t>
      </w:r>
      <w:r w:rsidRPr="00115E6A">
        <w:t>maxi</w:t>
      </w:r>
      <w:r w:rsidRPr="00E735CD">
        <w:t>mu</w:t>
      </w:r>
      <w:r w:rsidRPr="00115E6A">
        <w:t>m</w:t>
      </w:r>
      <w:r w:rsidRPr="00BE10C7">
        <w:t xml:space="preserve"> concentration (</w:t>
      </w:r>
      <w:proofErr w:type="spellStart"/>
      <w:r w:rsidRPr="00BE10C7">
        <w:t>T</w:t>
      </w:r>
      <w:r w:rsidRPr="006D15DE">
        <w:rPr>
          <w:vertAlign w:val="subscript"/>
        </w:rPr>
        <w:t>max</w:t>
      </w:r>
      <w:proofErr w:type="spellEnd"/>
      <w:r w:rsidRPr="00BE10C7">
        <w:t>)</w:t>
      </w:r>
    </w:p>
    <w:p w:rsidR="007F33BE" w:rsidRPr="006D15DE" w:rsidRDefault="007F33BE" w:rsidP="006D15DE">
      <w:r w:rsidRPr="006D15DE">
        <w:t xml:space="preserve">Following single SC doses in CIU patients over </w:t>
      </w:r>
      <w:r w:rsidR="006D15DE">
        <w:t xml:space="preserve">the range of 75 </w:t>
      </w:r>
      <w:r w:rsidR="00EF3814">
        <w:t>to</w:t>
      </w:r>
      <w:r w:rsidR="006D15DE">
        <w:t xml:space="preserve"> 600</w:t>
      </w:r>
      <w:r w:rsidR="00FA322C">
        <w:t xml:space="preserve"> </w:t>
      </w:r>
      <w:proofErr w:type="gramStart"/>
      <w:r w:rsidR="006D15DE">
        <w:t>mg,</w:t>
      </w:r>
      <w:proofErr w:type="gramEnd"/>
      <w:r w:rsidR="006D15DE">
        <w:t xml:space="preserve"> mean </w:t>
      </w:r>
      <w:proofErr w:type="spellStart"/>
      <w:r w:rsidR="006D15DE">
        <w:t>T</w:t>
      </w:r>
      <w:r w:rsidRPr="006D15DE">
        <w:rPr>
          <w:vertAlign w:val="subscript"/>
        </w:rPr>
        <w:t>max</w:t>
      </w:r>
      <w:proofErr w:type="spellEnd"/>
      <w:r w:rsidR="006D15DE">
        <w:t xml:space="preserve"> </w:t>
      </w:r>
      <w:r w:rsidRPr="006D15DE">
        <w:t xml:space="preserve">was in the range of 6.24 </w:t>
      </w:r>
      <w:r w:rsidR="003828DB">
        <w:t>to</w:t>
      </w:r>
      <w:r w:rsidRPr="006D15DE">
        <w:t xml:space="preserve"> 8.01 days. The currently approved PI states that in asthma patients, peak concentrations occur after 6 </w:t>
      </w:r>
      <w:r w:rsidR="00EF3814">
        <w:t>to</w:t>
      </w:r>
      <w:r w:rsidRPr="006D15DE">
        <w:t xml:space="preserve"> 10 days.</w:t>
      </w:r>
    </w:p>
    <w:p w:rsidR="007F33BE" w:rsidRPr="007F33BE" w:rsidRDefault="007F33BE" w:rsidP="00115E6A">
      <w:pPr>
        <w:pStyle w:val="Heading5"/>
      </w:pPr>
      <w:r w:rsidRPr="007F33BE">
        <w:t xml:space="preserve">Dose </w:t>
      </w:r>
      <w:r w:rsidRPr="00115E6A">
        <w:t>proport</w:t>
      </w:r>
      <w:r w:rsidRPr="00E735CD">
        <w:t>ion</w:t>
      </w:r>
      <w:r w:rsidRPr="00115E6A">
        <w:t>ality</w:t>
      </w:r>
    </w:p>
    <w:p w:rsidR="007F33BE" w:rsidRPr="006D15DE" w:rsidRDefault="007F33BE" w:rsidP="006D15DE">
      <w:r w:rsidRPr="006D15DE">
        <w:t xml:space="preserve">Following single SC doses in CIU patients </w:t>
      </w:r>
      <w:r w:rsidR="006D15DE">
        <w:t xml:space="preserve">over the range of 75 </w:t>
      </w:r>
      <w:r w:rsidR="00EF3814">
        <w:t>to</w:t>
      </w:r>
      <w:r w:rsidR="006D15DE">
        <w:t xml:space="preserve"> 600</w:t>
      </w:r>
      <w:r w:rsidR="00FA322C">
        <w:t xml:space="preserve"> </w:t>
      </w:r>
      <w:r w:rsidR="006D15DE">
        <w:t xml:space="preserve">mg, </w:t>
      </w:r>
      <w:proofErr w:type="spellStart"/>
      <w:r w:rsidR="006D15DE">
        <w:t>C</w:t>
      </w:r>
      <w:r w:rsidR="006D15DE" w:rsidRPr="006D15DE">
        <w:rPr>
          <w:vertAlign w:val="subscript"/>
        </w:rPr>
        <w:t>max</w:t>
      </w:r>
      <w:proofErr w:type="spellEnd"/>
      <w:r w:rsidRPr="006D15DE">
        <w:t xml:space="preserve"> and AUC increased in an approximately dose-proportional manner.</w:t>
      </w:r>
    </w:p>
    <w:p w:rsidR="007F33BE" w:rsidRPr="007F33BE" w:rsidRDefault="007F33BE" w:rsidP="00115E6A">
      <w:pPr>
        <w:pStyle w:val="Heading4"/>
      </w:pPr>
      <w:r w:rsidRPr="00115E6A">
        <w:t>Distribution</w:t>
      </w:r>
    </w:p>
    <w:p w:rsidR="007F33BE" w:rsidRPr="00BE10C7" w:rsidRDefault="007F33BE" w:rsidP="00115E6A">
      <w:pPr>
        <w:pStyle w:val="Heading5"/>
      </w:pPr>
      <w:r w:rsidRPr="00BE10C7">
        <w:t xml:space="preserve">Volume </w:t>
      </w:r>
      <w:r w:rsidRPr="00E735CD">
        <w:t>of distribution</w:t>
      </w:r>
    </w:p>
    <w:p w:rsidR="007F33BE" w:rsidRPr="006D15DE" w:rsidRDefault="007F33BE" w:rsidP="006D15DE">
      <w:r w:rsidRPr="006D15DE">
        <w:t>In the population PK analysis, the apparent volume of distribution was estimated to be 8.92 L for a typical CIU</w:t>
      </w:r>
      <w:r w:rsidR="00EF3814">
        <w:t xml:space="preserve"> patient weighing 80 kg (112 mL</w:t>
      </w:r>
      <w:r w:rsidRPr="006D15DE">
        <w:t>/kg). The currently approved PI states that in asthma patients, distri</w:t>
      </w:r>
      <w:r w:rsidR="00EF3814">
        <w:t>bution volumes were 110 ± 14 mL</w:t>
      </w:r>
      <w:r w:rsidRPr="006D15DE">
        <w:t>/kg.</w:t>
      </w:r>
    </w:p>
    <w:p w:rsidR="007F33BE" w:rsidRPr="007F33BE" w:rsidRDefault="007F33BE" w:rsidP="00FA322C">
      <w:pPr>
        <w:pStyle w:val="Heading4"/>
      </w:pPr>
      <w:r w:rsidRPr="007F33BE">
        <w:t>M</w:t>
      </w:r>
      <w:r w:rsidRPr="00E735CD">
        <w:t>etabol</w:t>
      </w:r>
      <w:r w:rsidRPr="007F33BE">
        <w:t>ism</w:t>
      </w:r>
    </w:p>
    <w:p w:rsidR="007F33BE" w:rsidRPr="007F33BE" w:rsidRDefault="007F33BE" w:rsidP="00B51F1E">
      <w:pPr>
        <w:pStyle w:val="Heading5"/>
      </w:pPr>
      <w:r w:rsidRPr="00E735CD">
        <w:t>Clea</w:t>
      </w:r>
      <w:r w:rsidRPr="007F33BE">
        <w:t>rance</w:t>
      </w:r>
    </w:p>
    <w:p w:rsidR="007F33BE" w:rsidRPr="006D15DE" w:rsidRDefault="007F33BE" w:rsidP="006D15DE">
      <w:r w:rsidRPr="006D15DE">
        <w:t xml:space="preserve">In the population PK analysis, the apparent clearance was estimated to </w:t>
      </w:r>
      <w:r w:rsidR="006D15DE">
        <w:t>be 0.259 L/day for a typical 80 </w:t>
      </w:r>
      <w:r w:rsidRPr="006D15DE">
        <w:t>kg patient (3.2 mL/kg/day). Clearance at steady state, predicted by simulations with the population PK model developed for CIU patients, was estimated to be 0.244 L/day (3.0 mL/kg/day). The currently approved PI states that in asthma patients, cl</w:t>
      </w:r>
      <w:r w:rsidR="00EF3814">
        <w:t>earance is expected to be 2.27 to</w:t>
      </w:r>
      <w:r w:rsidRPr="006D15DE">
        <w:t xml:space="preserve"> 4.12 mL/kg/day.</w:t>
      </w:r>
    </w:p>
    <w:p w:rsidR="007F33BE" w:rsidRPr="007F33BE" w:rsidRDefault="007F33BE" w:rsidP="00B51F1E">
      <w:pPr>
        <w:pStyle w:val="Heading5"/>
      </w:pPr>
      <w:r w:rsidRPr="00E735CD">
        <w:t>Half-</w:t>
      </w:r>
      <w:r w:rsidRPr="007F33BE">
        <w:t>life</w:t>
      </w:r>
    </w:p>
    <w:p w:rsidR="007F33BE" w:rsidRPr="006D15DE" w:rsidRDefault="007F33BE" w:rsidP="006D15DE">
      <w:r w:rsidRPr="006D15DE">
        <w:t xml:space="preserve">Following single SC doses in CIU patients over the range of 75 </w:t>
      </w:r>
      <w:r w:rsidR="003828DB">
        <w:t>to</w:t>
      </w:r>
      <w:r w:rsidRPr="006D15DE">
        <w:t xml:space="preserve"> 600</w:t>
      </w:r>
      <w:r w:rsidR="006D15DE">
        <w:t xml:space="preserve"> </w:t>
      </w:r>
      <w:r w:rsidRPr="006D15DE">
        <w:t xml:space="preserve">mg, the half-life for omalizumab was in the range of 18.2 </w:t>
      </w:r>
      <w:r w:rsidR="003828DB">
        <w:t>to</w:t>
      </w:r>
      <w:r w:rsidRPr="006D15DE">
        <w:t xml:space="preserve"> 22.5 days. Half-life at steady state, predicted by simulations with the population PK model developed for CIU patients, was estimated to be 24.3 days. The currently approved PI states that in asthma patients, mean half-life is 22 ± 8.2 days.</w:t>
      </w:r>
    </w:p>
    <w:p w:rsidR="007F33BE" w:rsidRPr="007F33BE" w:rsidRDefault="007F33BE" w:rsidP="00FA322C">
      <w:pPr>
        <w:pStyle w:val="Heading4"/>
      </w:pPr>
      <w:r w:rsidRPr="007F33BE">
        <w:lastRenderedPageBreak/>
        <w:t xml:space="preserve">Pharmacokinetics </w:t>
      </w:r>
      <w:r w:rsidRPr="00E735CD">
        <w:t>in special populations</w:t>
      </w:r>
    </w:p>
    <w:p w:rsidR="007F33BE" w:rsidRPr="00B51F1E" w:rsidRDefault="007F33BE" w:rsidP="00B51F1E">
      <w:r w:rsidRPr="006D15DE">
        <w:t xml:space="preserve">In the population PK analysis, both body weight and body mass index (BMI) were found to significantly affect omalizumab clearance. Body weight was also found to affect omalizumab volume of distribution. However, in a population PK/efficacy analysis, adjusting dosage according to weight did not improve efficacy in a clinically significant manner compared to a flat dosing regimen. The effects of other covariates (age, race, sex, presence of anti-FcεR1 antibodies, </w:t>
      </w:r>
      <w:r w:rsidR="00E6621F" w:rsidRPr="006D15DE">
        <w:t>and use</w:t>
      </w:r>
      <w:r w:rsidRPr="006D15DE">
        <w:t xml:space="preserve"> of H2 antihistamines) were not clinically significant.</w:t>
      </w:r>
    </w:p>
    <w:p w:rsidR="000E4E44" w:rsidRPr="00EF3814" w:rsidRDefault="00457325" w:rsidP="00EF3814">
      <w:r w:rsidRPr="00EF3814">
        <w:t>Comment</w:t>
      </w:r>
      <w:r w:rsidR="000E4E44" w:rsidRPr="00EF3814">
        <w:t>:</w:t>
      </w:r>
      <w:r w:rsidR="00B51F1E" w:rsidRPr="00EF3814">
        <w:t xml:space="preserve"> </w:t>
      </w:r>
      <w:r w:rsidR="000E4E44" w:rsidRPr="00EF3814">
        <w:t>The study design, conduct and analysis were satisfactory.</w:t>
      </w:r>
    </w:p>
    <w:p w:rsidR="007F33BE" w:rsidRPr="007F33BE" w:rsidRDefault="007F33BE" w:rsidP="00A750A5">
      <w:pPr>
        <w:pStyle w:val="Heading3"/>
      </w:pPr>
      <w:bookmarkStart w:id="27" w:name="_Toc425248995"/>
      <w:r w:rsidRPr="007F33BE">
        <w:t xml:space="preserve">Evaluator’s </w:t>
      </w:r>
      <w:r w:rsidRPr="00E735CD">
        <w:t>overall conclusions</w:t>
      </w:r>
      <w:r w:rsidRPr="007F33BE">
        <w:t xml:space="preserve"> on pharmacokinetics</w:t>
      </w:r>
      <w:bookmarkEnd w:id="27"/>
    </w:p>
    <w:p w:rsidR="007F33BE" w:rsidRDefault="007F33BE" w:rsidP="00BE10C7">
      <w:r w:rsidRPr="007F33BE">
        <w:t>The PK of omalizumab in CIU patients is similar to that in allergic asthma patients.</w:t>
      </w:r>
    </w:p>
    <w:p w:rsidR="00586F98" w:rsidRPr="00E735CD" w:rsidRDefault="00586F98" w:rsidP="00E735CD">
      <w:pPr>
        <w:pStyle w:val="Heading2"/>
      </w:pPr>
      <w:bookmarkStart w:id="28" w:name="_Toc425248996"/>
      <w:r w:rsidRPr="00E735CD">
        <w:t>Pharmacodynamics</w:t>
      </w:r>
      <w:bookmarkEnd w:id="28"/>
    </w:p>
    <w:p w:rsidR="00360244" w:rsidRPr="00E735CD" w:rsidRDefault="00360244" w:rsidP="00E735CD">
      <w:pPr>
        <w:pStyle w:val="Heading3"/>
      </w:pPr>
      <w:bookmarkStart w:id="29" w:name="_Toc425248997"/>
      <w:r w:rsidRPr="00E735CD">
        <w:t>Studies</w:t>
      </w:r>
      <w:r w:rsidR="0005235F" w:rsidRPr="00E735CD">
        <w:t xml:space="preserve"> providing </w:t>
      </w:r>
      <w:proofErr w:type="spellStart"/>
      <w:r w:rsidR="0005235F" w:rsidRPr="00E735CD">
        <w:t>pharmacodynamic</w:t>
      </w:r>
      <w:proofErr w:type="spellEnd"/>
      <w:r w:rsidR="0005235F" w:rsidRPr="00E735CD">
        <w:t xml:space="preserve"> data</w:t>
      </w:r>
      <w:bookmarkEnd w:id="29"/>
    </w:p>
    <w:p w:rsidR="00360244" w:rsidRPr="00B51F1E" w:rsidRDefault="00360244" w:rsidP="00B51F1E">
      <w:r w:rsidRPr="00B51F1E">
        <w:t xml:space="preserve">There were no studies in the current submission designed primarily to examine pharmacodynamic parameters. The three </w:t>
      </w:r>
      <w:r w:rsidR="00E37826">
        <w:t>Phase</w:t>
      </w:r>
      <w:r w:rsidRPr="00B51F1E">
        <w:t xml:space="preserve"> III studies measured levels of free </w:t>
      </w:r>
      <w:proofErr w:type="spellStart"/>
      <w:r w:rsidRPr="00B51F1E">
        <w:t>IgE</w:t>
      </w:r>
      <w:proofErr w:type="spellEnd"/>
      <w:r w:rsidRPr="00B51F1E">
        <w:t xml:space="preserve"> and total </w:t>
      </w:r>
      <w:proofErr w:type="spellStart"/>
      <w:r w:rsidRPr="00B51F1E">
        <w:t>IgE</w:t>
      </w:r>
      <w:proofErr w:type="spellEnd"/>
      <w:r w:rsidRPr="00B51F1E">
        <w:t xml:space="preserve"> (free </w:t>
      </w:r>
      <w:proofErr w:type="spellStart"/>
      <w:r w:rsidRPr="00B51F1E">
        <w:t>IgE</w:t>
      </w:r>
      <w:proofErr w:type="spellEnd"/>
      <w:r w:rsidRPr="00B51F1E">
        <w:t xml:space="preserve"> plus </w:t>
      </w:r>
      <w:proofErr w:type="spellStart"/>
      <w:r w:rsidRPr="00B51F1E">
        <w:t>omalizumab</w:t>
      </w:r>
      <w:proofErr w:type="spellEnd"/>
      <w:r w:rsidRPr="00B51F1E">
        <w:t>-bou</w:t>
      </w:r>
      <w:r w:rsidR="0005235F" w:rsidRPr="00B51F1E">
        <w:t xml:space="preserve">nd </w:t>
      </w:r>
      <w:proofErr w:type="spellStart"/>
      <w:r w:rsidR="0005235F" w:rsidRPr="00B51F1E">
        <w:t>IgE</w:t>
      </w:r>
      <w:proofErr w:type="spellEnd"/>
      <w:r w:rsidR="0005235F" w:rsidRPr="00B51F1E">
        <w:t>) at limited time points.</w:t>
      </w:r>
    </w:p>
    <w:p w:rsidR="00360244" w:rsidRPr="00E735CD" w:rsidRDefault="00360244" w:rsidP="00E735CD">
      <w:pPr>
        <w:pStyle w:val="Heading3"/>
      </w:pPr>
      <w:bookmarkStart w:id="30" w:name="_Toc425248998"/>
      <w:r w:rsidRPr="00E735CD">
        <w:t xml:space="preserve">Effects </w:t>
      </w:r>
      <w:r w:rsidR="0005235F" w:rsidRPr="00E735CD">
        <w:t xml:space="preserve">on serum free </w:t>
      </w:r>
      <w:proofErr w:type="spellStart"/>
      <w:r w:rsidR="0005235F" w:rsidRPr="00E735CD">
        <w:t>IgE</w:t>
      </w:r>
      <w:proofErr w:type="spellEnd"/>
      <w:r w:rsidR="0005235F" w:rsidRPr="00E735CD">
        <w:t xml:space="preserve"> and total </w:t>
      </w:r>
      <w:proofErr w:type="spellStart"/>
      <w:r w:rsidR="0005235F" w:rsidRPr="00E735CD">
        <w:t>IgE</w:t>
      </w:r>
      <w:bookmarkEnd w:id="30"/>
      <w:proofErr w:type="spellEnd"/>
    </w:p>
    <w:p w:rsidR="00360244" w:rsidRPr="00E735CD" w:rsidRDefault="0005235F" w:rsidP="00E735CD">
      <w:pPr>
        <w:pStyle w:val="Heading4"/>
      </w:pPr>
      <w:r w:rsidRPr="00E735CD">
        <w:t>Study 4881g</w:t>
      </w:r>
    </w:p>
    <w:p w:rsidR="00360244" w:rsidRPr="00766F70" w:rsidRDefault="00360244" w:rsidP="00101FDD">
      <w:r w:rsidRPr="00766F70">
        <w:t xml:space="preserve">The results for </w:t>
      </w:r>
      <w:r w:rsidR="00A12D97">
        <w:t>Study</w:t>
      </w:r>
      <w:r w:rsidRPr="00766F70">
        <w:t xml:space="preserve"> 4881g are shown in </w:t>
      </w:r>
      <w:r w:rsidR="00E37826">
        <w:t>Table 2</w:t>
      </w:r>
      <w:r w:rsidRPr="00766F70">
        <w:t xml:space="preserve">. Total </w:t>
      </w:r>
      <w:proofErr w:type="spellStart"/>
      <w:r w:rsidRPr="00766F70">
        <w:t>IgE</w:t>
      </w:r>
      <w:proofErr w:type="spellEnd"/>
      <w:r w:rsidRPr="00766F70">
        <w:t xml:space="preserve"> levels at baseline can be considered to be the same as for those for free </w:t>
      </w:r>
      <w:proofErr w:type="spellStart"/>
      <w:r w:rsidRPr="00766F70">
        <w:t>IgE</w:t>
      </w:r>
      <w:proofErr w:type="spellEnd"/>
      <w:r w:rsidRPr="00766F70">
        <w:t xml:space="preserve"> at baseline, since </w:t>
      </w:r>
      <w:proofErr w:type="spellStart"/>
      <w:r w:rsidRPr="00766F70">
        <w:t>omalizumab-IgE</w:t>
      </w:r>
      <w:proofErr w:type="spellEnd"/>
      <w:r w:rsidRPr="00766F70">
        <w:t xml:space="preserve"> complexes would not have formed prio</w:t>
      </w:r>
      <w:r w:rsidR="002F5F0B" w:rsidRPr="00766F70">
        <w:t>r to study drug administration.</w:t>
      </w:r>
    </w:p>
    <w:p w:rsidR="00AA4057" w:rsidRPr="00EF3814" w:rsidRDefault="009909F3" w:rsidP="00766F70">
      <w:r w:rsidRPr="00766F70">
        <w:t xml:space="preserve">Free </w:t>
      </w:r>
      <w:proofErr w:type="spellStart"/>
      <w:r w:rsidRPr="00766F70">
        <w:t>IgE</w:t>
      </w:r>
      <w:proofErr w:type="spellEnd"/>
      <w:r w:rsidRPr="00766F70">
        <w:t xml:space="preserve"> l</w:t>
      </w:r>
      <w:r w:rsidR="00360244" w:rsidRPr="00766F70">
        <w:t xml:space="preserve">evels fell in all omalizumab treatment groups. In the 300 mg group mean free </w:t>
      </w:r>
      <w:proofErr w:type="spellStart"/>
      <w:r w:rsidR="00360244" w:rsidRPr="00766F70">
        <w:t>IgE</w:t>
      </w:r>
      <w:proofErr w:type="spellEnd"/>
      <w:r w:rsidR="00360244" w:rsidRPr="00766F70">
        <w:t xml:space="preserve"> fell from 153 IU/mL at baseline to 9.01 IU/mL at </w:t>
      </w:r>
      <w:r w:rsidR="000E3BD7">
        <w:t xml:space="preserve">Week </w:t>
      </w:r>
      <w:r w:rsidR="00360244" w:rsidRPr="00766F70">
        <w:t xml:space="preserve">12 and 8.11 IU/mL at </w:t>
      </w:r>
      <w:r w:rsidR="000E3BD7">
        <w:t xml:space="preserve">Week </w:t>
      </w:r>
      <w:r w:rsidR="00360244" w:rsidRPr="00766F70">
        <w:t xml:space="preserve">24. There appeared to be dose-response effect with the 300 mg dose producing the lowest free </w:t>
      </w:r>
      <w:proofErr w:type="spellStart"/>
      <w:r w:rsidR="00FA322C">
        <w:t>IgE</w:t>
      </w:r>
      <w:proofErr w:type="spellEnd"/>
      <w:r w:rsidR="00FA322C">
        <w:t xml:space="preserve"> levels at weeks 12 and 24.</w:t>
      </w:r>
      <w:r w:rsidR="00EF3814">
        <w:t xml:space="preserve"> </w:t>
      </w:r>
      <w:r w:rsidR="00FA322C">
        <w:t xml:space="preserve">Total </w:t>
      </w:r>
      <w:proofErr w:type="spellStart"/>
      <w:r w:rsidR="00FA322C">
        <w:t>IgE</w:t>
      </w:r>
      <w:proofErr w:type="spellEnd"/>
      <w:r w:rsidR="00360244" w:rsidRPr="00766F70">
        <w:t xml:space="preserve"> levels increased with omalizumab treatment, reflecting the formation of complexes of</w:t>
      </w:r>
      <w:r w:rsidR="00360244" w:rsidRPr="00360244">
        <w:t xml:space="preserve"> </w:t>
      </w:r>
      <w:proofErr w:type="spellStart"/>
      <w:r w:rsidR="00360244" w:rsidRPr="00360244">
        <w:t>IgE</w:t>
      </w:r>
      <w:proofErr w:type="spellEnd"/>
      <w:r w:rsidR="00360244" w:rsidRPr="00360244">
        <w:t xml:space="preserve"> and </w:t>
      </w:r>
      <w:proofErr w:type="spellStart"/>
      <w:r w:rsidR="00360244" w:rsidRPr="00360244">
        <w:t>omalizumab</w:t>
      </w:r>
      <w:proofErr w:type="spellEnd"/>
      <w:r w:rsidR="00360244" w:rsidRPr="00360244">
        <w:t xml:space="preserve">. Levels returned to baseline values by </w:t>
      </w:r>
      <w:r w:rsidR="000E3BD7">
        <w:t xml:space="preserve">Week </w:t>
      </w:r>
      <w:r w:rsidR="00360244" w:rsidRPr="00360244">
        <w:t>40 (20 weeks after last dose).</w:t>
      </w:r>
    </w:p>
    <w:p w:rsidR="00AA4057" w:rsidRPr="00E735CD" w:rsidRDefault="00E37826" w:rsidP="00E735CD">
      <w:pPr>
        <w:pStyle w:val="Tabletitle"/>
      </w:pPr>
      <w:r w:rsidRPr="00E735CD">
        <w:lastRenderedPageBreak/>
        <w:t>Table 2</w:t>
      </w:r>
      <w:r w:rsidR="00AA4057" w:rsidRPr="00E735CD">
        <w:t xml:space="preserve"> - Study 4881g - Effects on </w:t>
      </w:r>
      <w:proofErr w:type="spellStart"/>
      <w:r w:rsidR="00AA4057" w:rsidRPr="00E735CD">
        <w:t>IgE</w:t>
      </w:r>
      <w:proofErr w:type="spellEnd"/>
      <w:r w:rsidR="00AA4057" w:rsidRPr="00E735CD">
        <w:t xml:space="preserve"> – mean (SD)</w:t>
      </w:r>
      <w:r w:rsidR="00EF3814" w:rsidRPr="00E735CD">
        <w:t>.</w:t>
      </w:r>
    </w:p>
    <w:p w:rsidR="00360244" w:rsidRDefault="00AA4057" w:rsidP="00360244">
      <w:r>
        <w:rPr>
          <w:noProof/>
          <w:lang w:eastAsia="en-AU"/>
        </w:rPr>
        <w:drawing>
          <wp:inline distT="0" distB="0" distL="0" distR="0" wp14:anchorId="3981B5F0" wp14:editId="402D82AB">
            <wp:extent cx="4834890" cy="3000375"/>
            <wp:effectExtent l="0" t="0" r="3810" b="9525"/>
            <wp:docPr id="6" name="Picture 6" descr="Table 2 - Study 4881g - Effects on IgE – mean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4890" cy="3000375"/>
                    </a:xfrm>
                    <a:prstGeom prst="rect">
                      <a:avLst/>
                    </a:prstGeom>
                    <a:noFill/>
                    <a:ln>
                      <a:noFill/>
                    </a:ln>
                  </pic:spPr>
                </pic:pic>
              </a:graphicData>
            </a:graphic>
          </wp:inline>
        </w:drawing>
      </w:r>
    </w:p>
    <w:p w:rsidR="00360244" w:rsidRPr="00E735CD" w:rsidRDefault="0005235F" w:rsidP="00E735CD">
      <w:pPr>
        <w:pStyle w:val="Heading4"/>
      </w:pPr>
      <w:r w:rsidRPr="00E735CD">
        <w:t>Study 4882g</w:t>
      </w:r>
    </w:p>
    <w:p w:rsidR="002222C1" w:rsidRPr="002222C1" w:rsidRDefault="00360244" w:rsidP="002222C1">
      <w:r w:rsidRPr="00766F70">
        <w:t xml:space="preserve">The results for </w:t>
      </w:r>
      <w:r w:rsidR="00A12D97">
        <w:t>Study</w:t>
      </w:r>
      <w:r w:rsidR="002222C1" w:rsidRPr="00766F70">
        <w:t xml:space="preserve"> 4881g </w:t>
      </w:r>
      <w:r w:rsidR="00A840A4">
        <w:t>were provided</w:t>
      </w:r>
      <w:r w:rsidRPr="00766F70">
        <w:t xml:space="preserve">. A similar pattern was observed with decreases in free </w:t>
      </w:r>
      <w:proofErr w:type="spellStart"/>
      <w:r w:rsidRPr="00766F70">
        <w:t>IgE</w:t>
      </w:r>
      <w:proofErr w:type="spellEnd"/>
      <w:r w:rsidRPr="00766F70">
        <w:t xml:space="preserve"> and increases in total </w:t>
      </w:r>
      <w:proofErr w:type="spellStart"/>
      <w:r w:rsidRPr="00766F70">
        <w:t>IgE</w:t>
      </w:r>
      <w:proofErr w:type="spellEnd"/>
      <w:r w:rsidRPr="00766F70">
        <w:t xml:space="preserve"> after 12 weeks of treatment. Levels returned to baseline values by </w:t>
      </w:r>
      <w:r w:rsidR="000E3BD7">
        <w:t xml:space="preserve">Week </w:t>
      </w:r>
      <w:r w:rsidR="002F23D0" w:rsidRPr="00766F70">
        <w:t>28 (20 weeks after last dose).</w:t>
      </w:r>
    </w:p>
    <w:p w:rsidR="00360244" w:rsidRPr="00E735CD" w:rsidRDefault="0005235F" w:rsidP="00E735CD">
      <w:pPr>
        <w:pStyle w:val="Heading4"/>
      </w:pPr>
      <w:r w:rsidRPr="00E735CD">
        <w:t>Study 4883g</w:t>
      </w:r>
    </w:p>
    <w:p w:rsidR="002F23D0" w:rsidRPr="002F23D0" w:rsidRDefault="00360244" w:rsidP="002F23D0">
      <w:r w:rsidRPr="00766F70">
        <w:t xml:space="preserve">Results for </w:t>
      </w:r>
      <w:r w:rsidR="00A12D97">
        <w:t>Study</w:t>
      </w:r>
      <w:r w:rsidRPr="00766F70">
        <w:t xml:space="preserve"> 4883g </w:t>
      </w:r>
      <w:r w:rsidR="00A840A4">
        <w:t>were provided</w:t>
      </w:r>
      <w:r w:rsidRPr="00766F70">
        <w:t>. The findings were simil</w:t>
      </w:r>
      <w:r w:rsidR="002B3747" w:rsidRPr="00766F70">
        <w:t>ar to those in 4881g and 4882g.</w:t>
      </w:r>
    </w:p>
    <w:p w:rsidR="00360244" w:rsidRPr="00E735CD" w:rsidRDefault="0005235F" w:rsidP="00E735CD">
      <w:pPr>
        <w:pStyle w:val="Heading4"/>
      </w:pPr>
      <w:r w:rsidRPr="00E735CD">
        <w:t>Study 4577g</w:t>
      </w:r>
    </w:p>
    <w:p w:rsidR="00360244" w:rsidRPr="00766F70" w:rsidRDefault="00A840A4" w:rsidP="00766F70">
      <w:r>
        <w:t>This was a P</w:t>
      </w:r>
      <w:r w:rsidR="00766F70">
        <w:t>hase II</w:t>
      </w:r>
      <w:r w:rsidR="00360244" w:rsidRPr="00766F70">
        <w:t xml:space="preserve"> dose-ranging study in which patients received single doses of om</w:t>
      </w:r>
      <w:r>
        <w:t>alizumab or placebo. As in the P</w:t>
      </w:r>
      <w:r w:rsidR="00360244" w:rsidRPr="00766F70">
        <w:t xml:space="preserve">hase III studies, omalizumab administration resulted in a reduction in free </w:t>
      </w:r>
      <w:proofErr w:type="spellStart"/>
      <w:r w:rsidR="00360244" w:rsidRPr="00766F70">
        <w:t>IgE</w:t>
      </w:r>
      <w:proofErr w:type="spellEnd"/>
      <w:r w:rsidR="00360244" w:rsidRPr="00766F70">
        <w:t xml:space="preserve"> and a</w:t>
      </w:r>
      <w:r w:rsidR="0005235F" w:rsidRPr="00766F70">
        <w:t xml:space="preserve">n increase in total </w:t>
      </w:r>
      <w:proofErr w:type="spellStart"/>
      <w:r w:rsidR="0005235F" w:rsidRPr="00766F70">
        <w:t>IgE</w:t>
      </w:r>
      <w:proofErr w:type="spellEnd"/>
      <w:r w:rsidR="0005235F" w:rsidRPr="00766F70">
        <w:t>.</w:t>
      </w:r>
    </w:p>
    <w:p w:rsidR="00360244" w:rsidRPr="00E735CD" w:rsidRDefault="00360244" w:rsidP="00E735CD">
      <w:pPr>
        <w:pStyle w:val="Heading3"/>
      </w:pPr>
      <w:bookmarkStart w:id="31" w:name="_Toc425248999"/>
      <w:r w:rsidRPr="00E735CD">
        <w:t xml:space="preserve">Evaluator’s overall </w:t>
      </w:r>
      <w:r w:rsidR="0005235F" w:rsidRPr="00E735CD">
        <w:t>conclusions on pharmacodynamics</w:t>
      </w:r>
      <w:bookmarkEnd w:id="31"/>
    </w:p>
    <w:p w:rsidR="00360244" w:rsidRPr="00A840A4" w:rsidRDefault="00360244" w:rsidP="00A840A4">
      <w:proofErr w:type="spellStart"/>
      <w:r w:rsidRPr="00A840A4">
        <w:t>Omalizumab</w:t>
      </w:r>
      <w:proofErr w:type="spellEnd"/>
      <w:r w:rsidRPr="00A840A4">
        <w:t xml:space="preserve"> administration in patients with CIU resulted in deceases in free </w:t>
      </w:r>
      <w:proofErr w:type="spellStart"/>
      <w:r w:rsidRPr="00A840A4">
        <w:t>IgE</w:t>
      </w:r>
      <w:proofErr w:type="spellEnd"/>
      <w:r w:rsidRPr="00A840A4">
        <w:t xml:space="preserve"> and increases in total </w:t>
      </w:r>
      <w:proofErr w:type="spellStart"/>
      <w:r w:rsidRPr="00A840A4">
        <w:t>IgE</w:t>
      </w:r>
      <w:proofErr w:type="spellEnd"/>
      <w:r w:rsidRPr="00A840A4">
        <w:t xml:space="preserve"> (complexes of </w:t>
      </w:r>
      <w:proofErr w:type="spellStart"/>
      <w:r w:rsidRPr="00A840A4">
        <w:t>omalizumab</w:t>
      </w:r>
      <w:proofErr w:type="spellEnd"/>
      <w:r w:rsidRPr="00A840A4">
        <w:t xml:space="preserve"> and </w:t>
      </w:r>
      <w:proofErr w:type="spellStart"/>
      <w:r w:rsidRPr="00A840A4">
        <w:t>IgE</w:t>
      </w:r>
      <w:proofErr w:type="spellEnd"/>
      <w:r w:rsidRPr="00A840A4">
        <w:t>). These findings are consistent with the known mechanism of action of omalizumab.</w:t>
      </w:r>
    </w:p>
    <w:p w:rsidR="00586F98" w:rsidRPr="00E735CD" w:rsidRDefault="00C22678" w:rsidP="00E735CD">
      <w:pPr>
        <w:pStyle w:val="Heading2"/>
      </w:pPr>
      <w:bookmarkStart w:id="32" w:name="_Toc425249000"/>
      <w:r w:rsidRPr="00E735CD">
        <w:t>Dosage selection for the pivotal studies</w:t>
      </w:r>
      <w:bookmarkEnd w:id="32"/>
    </w:p>
    <w:p w:rsidR="005403F9" w:rsidRPr="00A840A4" w:rsidRDefault="005403F9" w:rsidP="00A840A4">
      <w:r w:rsidRPr="00A840A4">
        <w:t xml:space="preserve">The sponsor elected to study flat dosage regimens for the CIU trials (as opposed to the regimen based on weight and </w:t>
      </w:r>
      <w:proofErr w:type="spellStart"/>
      <w:r w:rsidRPr="00A840A4">
        <w:t>IgE</w:t>
      </w:r>
      <w:proofErr w:type="spellEnd"/>
      <w:r w:rsidRPr="00A840A4">
        <w:t xml:space="preserve"> levels used in allergic asthma). The rationale for this approach was that that there was little information supporting a relationship between serum </w:t>
      </w:r>
      <w:proofErr w:type="spellStart"/>
      <w:r w:rsidRPr="00A840A4">
        <w:t>IgE</w:t>
      </w:r>
      <w:proofErr w:type="spellEnd"/>
      <w:r w:rsidRPr="00A840A4">
        <w:t xml:space="preserve"> levels and CIU, and serum </w:t>
      </w:r>
      <w:proofErr w:type="spellStart"/>
      <w:r w:rsidRPr="00A840A4">
        <w:t>IgE</w:t>
      </w:r>
      <w:proofErr w:type="spellEnd"/>
      <w:r w:rsidRPr="00A840A4">
        <w:t xml:space="preserve"> levels in the CIU population are low compared with </w:t>
      </w:r>
      <w:r w:rsidR="0005235F" w:rsidRPr="00A840A4">
        <w:t>the allergic asthma population.</w:t>
      </w:r>
    </w:p>
    <w:p w:rsidR="005403F9" w:rsidRPr="00A840A4" w:rsidRDefault="005403F9" w:rsidP="00A840A4">
      <w:r w:rsidRPr="00A840A4">
        <w:t>An initial single-dose, dose-ranging s</w:t>
      </w:r>
      <w:r w:rsidR="00BB0AA4" w:rsidRPr="00A840A4">
        <w:t>tudy was conducted (</w:t>
      </w:r>
      <w:r w:rsidR="00A12D97">
        <w:t>Study</w:t>
      </w:r>
      <w:r w:rsidR="00BB0AA4" w:rsidRPr="00A840A4">
        <w:t xml:space="preserve"> 4577g). </w:t>
      </w:r>
      <w:r w:rsidRPr="00A840A4">
        <w:t>This study evaluated doses of 75, 300 and 600 mg given SC every 4 weeks. It found that the 600 mg dose was no more efficacious than the 300 mg dose, and therefore 300 mg every 4 weeks was chosen as the maximum dose to be examined in the pivotal studies. The pivotal studies themselves also exami</w:t>
      </w:r>
      <w:r w:rsidR="00EF3814">
        <w:t>ned the use of two lower doses,</w:t>
      </w:r>
      <w:r w:rsidRPr="00A840A4">
        <w:t xml:space="preserve"> 75 </w:t>
      </w:r>
      <w:r w:rsidR="00672775">
        <w:t xml:space="preserve">and 150 mg every 4 weeks. The 4 </w:t>
      </w:r>
      <w:r w:rsidRPr="00A840A4">
        <w:t xml:space="preserve">week dosage interval </w:t>
      </w:r>
      <w:r w:rsidRPr="00A840A4">
        <w:lastRenderedPageBreak/>
        <w:t xml:space="preserve">was chosen for </w:t>
      </w:r>
      <w:r w:rsidR="00A12D97">
        <w:t>Study</w:t>
      </w:r>
      <w:r w:rsidRPr="00A840A4">
        <w:t xml:space="preserve"> 4577g on the basis of early investigator-initiated studies that showed duration o</w:t>
      </w:r>
      <w:r w:rsidR="0005235F" w:rsidRPr="00A840A4">
        <w:t>f effect lasting several weeks.</w:t>
      </w:r>
    </w:p>
    <w:p w:rsidR="0005235F" w:rsidRPr="00A840A4" w:rsidRDefault="005403F9" w:rsidP="00A840A4">
      <w:r w:rsidRPr="00A840A4">
        <w:t>After completion of the pivotal studies, the sponsor conducted various analyses to further justify the use of a flat dose regimen in preference to a regimen based on weig</w:t>
      </w:r>
      <w:r w:rsidR="00A840A4">
        <w:t xml:space="preserve">ht and serum </w:t>
      </w:r>
      <w:proofErr w:type="spellStart"/>
      <w:r w:rsidR="00A840A4">
        <w:t>IgE</w:t>
      </w:r>
      <w:proofErr w:type="spellEnd"/>
      <w:r w:rsidR="00A840A4">
        <w:t xml:space="preserve"> levels.</w:t>
      </w:r>
    </w:p>
    <w:p w:rsidR="00C22678" w:rsidRPr="00E735CD" w:rsidRDefault="00C22678" w:rsidP="00E735CD">
      <w:pPr>
        <w:pStyle w:val="Heading2"/>
      </w:pPr>
      <w:bookmarkStart w:id="33" w:name="_Toc425249001"/>
      <w:r w:rsidRPr="00E735CD">
        <w:t>Clinical efficacy</w:t>
      </w:r>
      <w:bookmarkEnd w:id="33"/>
    </w:p>
    <w:p w:rsidR="005403F9" w:rsidRPr="00E735CD" w:rsidRDefault="0005235F" w:rsidP="00E735CD">
      <w:pPr>
        <w:pStyle w:val="Heading3"/>
      </w:pPr>
      <w:bookmarkStart w:id="34" w:name="_Toc425249002"/>
      <w:r w:rsidRPr="00E735CD">
        <w:t>Pivotal efficacy studies</w:t>
      </w:r>
      <w:bookmarkEnd w:id="34"/>
    </w:p>
    <w:p w:rsidR="005403F9" w:rsidRPr="00E735CD" w:rsidRDefault="0005235F" w:rsidP="00E735CD">
      <w:pPr>
        <w:pStyle w:val="Heading4"/>
      </w:pPr>
      <w:r w:rsidRPr="00E735CD">
        <w:t>Study 4881g (‘ASTERIA I’)</w:t>
      </w:r>
    </w:p>
    <w:p w:rsidR="005403F9" w:rsidRPr="00E735CD" w:rsidRDefault="005403F9" w:rsidP="00E735CD">
      <w:pPr>
        <w:pStyle w:val="Heading5"/>
      </w:pPr>
      <w:r w:rsidRPr="00E735CD">
        <w:t xml:space="preserve">Study design, </w:t>
      </w:r>
      <w:r w:rsidR="0005235F" w:rsidRPr="00E735CD">
        <w:t>objectives, locations and dates</w:t>
      </w:r>
    </w:p>
    <w:p w:rsidR="005403F9" w:rsidRPr="00766F70" w:rsidRDefault="005403F9" w:rsidP="00766F70">
      <w:r w:rsidRPr="00766F70">
        <w:t>This study was a ra</w:t>
      </w:r>
      <w:r w:rsidR="00672775">
        <w:t xml:space="preserve">ndomised, double blind, placebo controlled, dose </w:t>
      </w:r>
      <w:r w:rsidRPr="00766F70">
        <w:t>ranging trial with four parallel groups. An overall study schema fo</w:t>
      </w:r>
      <w:r w:rsidR="00766F70">
        <w:t>r the trial is shown in Figure 1</w:t>
      </w:r>
      <w:r w:rsidRPr="00766F70">
        <w:t>. Patients attended the study clinic on days -</w:t>
      </w:r>
      <w:r w:rsidR="00EF3814">
        <w:t xml:space="preserve"> </w:t>
      </w:r>
      <w:r w:rsidRPr="00766F70">
        <w:t>14 and -</w:t>
      </w:r>
      <w:r w:rsidR="00EF3814">
        <w:t xml:space="preserve"> </w:t>
      </w:r>
      <w:r w:rsidRPr="00766F70">
        <w:t>7 during screening and then every 4 weeks during the t</w:t>
      </w:r>
      <w:r w:rsidR="00672775">
        <w:t xml:space="preserve">reatment and follow </w:t>
      </w:r>
      <w:r w:rsidR="0005235F" w:rsidRPr="00766F70">
        <w:t>up periods.</w:t>
      </w:r>
    </w:p>
    <w:p w:rsidR="00D238C2" w:rsidRPr="00E735CD" w:rsidRDefault="00D238C2" w:rsidP="00E735CD">
      <w:pPr>
        <w:pStyle w:val="FigureTitle"/>
      </w:pPr>
      <w:r w:rsidRPr="00E735CD">
        <w:t xml:space="preserve">Figure </w:t>
      </w:r>
      <w:r w:rsidR="00766F70" w:rsidRPr="00E735CD">
        <w:t>1</w:t>
      </w:r>
      <w:r w:rsidRPr="00E735CD">
        <w:t xml:space="preserve"> - Study 4881g – Study schema</w:t>
      </w:r>
      <w:r w:rsidR="003A2E0D" w:rsidRPr="00E735CD">
        <w:t>.</w:t>
      </w:r>
    </w:p>
    <w:p w:rsidR="0005235F" w:rsidRDefault="00D238C2" w:rsidP="0071283A">
      <w:r>
        <w:rPr>
          <w:noProof/>
          <w:lang w:eastAsia="en-AU"/>
        </w:rPr>
        <w:drawing>
          <wp:inline distT="0" distB="0" distL="0" distR="0" wp14:anchorId="2CFAA2BA" wp14:editId="264193C9">
            <wp:extent cx="4440326" cy="3160117"/>
            <wp:effectExtent l="0" t="0" r="0" b="2540"/>
            <wp:docPr id="8" name="Picture 8" descr="Figure 1 - Study 4881g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0326" cy="3160117"/>
                    </a:xfrm>
                    <a:prstGeom prst="rect">
                      <a:avLst/>
                    </a:prstGeom>
                    <a:noFill/>
                    <a:ln>
                      <a:noFill/>
                    </a:ln>
                  </pic:spPr>
                </pic:pic>
              </a:graphicData>
            </a:graphic>
          </wp:inline>
        </w:drawing>
      </w:r>
    </w:p>
    <w:p w:rsidR="005403F9" w:rsidRPr="00F9652C" w:rsidRDefault="00A840A4" w:rsidP="00F9652C">
      <w:r>
        <w:t xml:space="preserve">The </w:t>
      </w:r>
      <w:r w:rsidR="005403F9" w:rsidRPr="00F9652C">
        <w:t xml:space="preserve">primary </w:t>
      </w:r>
      <w:r w:rsidR="0005235F" w:rsidRPr="00F9652C">
        <w:t>objective</w:t>
      </w:r>
      <w:r w:rsidR="005403F9" w:rsidRPr="00F9652C">
        <w:t xml:space="preserve"> of the study was to evaluate the efficacy of omalizumab compared with placebo in patients with refractory CIU receiving concom</w:t>
      </w:r>
      <w:r w:rsidR="0005235F" w:rsidRPr="00F9652C">
        <w:t>itant H1 antihistamine therapy.</w:t>
      </w:r>
    </w:p>
    <w:p w:rsidR="005403F9" w:rsidRPr="00F9652C" w:rsidRDefault="00A840A4" w:rsidP="00F9652C">
      <w:r>
        <w:t xml:space="preserve">The </w:t>
      </w:r>
      <w:r w:rsidR="005403F9" w:rsidRPr="00F9652C">
        <w:t xml:space="preserve">secondary </w:t>
      </w:r>
      <w:r w:rsidR="0005235F" w:rsidRPr="00F9652C">
        <w:t>objectives</w:t>
      </w:r>
      <w:r w:rsidR="005403F9" w:rsidRPr="00F9652C">
        <w:t xml:space="preserve"> </w:t>
      </w:r>
      <w:r w:rsidR="0005235F" w:rsidRPr="00F9652C">
        <w:t>were:</w:t>
      </w:r>
    </w:p>
    <w:p w:rsidR="005403F9" w:rsidRPr="00F9652C" w:rsidRDefault="005403F9" w:rsidP="00F9652C">
      <w:pPr>
        <w:pStyle w:val="ListBullet"/>
      </w:pPr>
      <w:r w:rsidRPr="00F9652C">
        <w:t>To evaluate the safety of omalizumab therapy i</w:t>
      </w:r>
      <w:r w:rsidR="00535DAC">
        <w:t>n patients with refractory CIU</w:t>
      </w:r>
    </w:p>
    <w:p w:rsidR="005403F9" w:rsidRPr="00F9652C" w:rsidRDefault="005403F9" w:rsidP="00F9652C">
      <w:pPr>
        <w:pStyle w:val="ListBullet"/>
      </w:pPr>
      <w:r w:rsidRPr="00F9652C">
        <w:t>To evaluate onset of clinical effec</w:t>
      </w:r>
      <w:r w:rsidR="0005235F" w:rsidRPr="00F9652C">
        <w:t xml:space="preserve">t of </w:t>
      </w:r>
      <w:proofErr w:type="spellStart"/>
      <w:r w:rsidR="0005235F" w:rsidRPr="00F9652C">
        <w:t>omalizumab</w:t>
      </w:r>
      <w:proofErr w:type="spellEnd"/>
      <w:r w:rsidR="0005235F" w:rsidRPr="00F9652C">
        <w:t xml:space="preserve"> therapy in CI</w:t>
      </w:r>
      <w:r w:rsidR="00535DAC">
        <w:t>U</w:t>
      </w:r>
    </w:p>
    <w:p w:rsidR="005403F9" w:rsidRPr="00F9652C" w:rsidRDefault="005403F9" w:rsidP="00F9652C">
      <w:pPr>
        <w:pStyle w:val="ListBullet"/>
      </w:pPr>
      <w:r w:rsidRPr="00F9652C">
        <w:t>To evaluate the dose of omalizumab therapy i</w:t>
      </w:r>
      <w:r w:rsidR="00535DAC">
        <w:t>n patients with refractory CIU</w:t>
      </w:r>
    </w:p>
    <w:p w:rsidR="005403F9" w:rsidRPr="00F9652C" w:rsidRDefault="005403F9" w:rsidP="00F9652C">
      <w:pPr>
        <w:pStyle w:val="ListBullet"/>
      </w:pPr>
      <w:r w:rsidRPr="00F9652C">
        <w:t>To evaluate duration of response after withdrawal of omalizumab i</w:t>
      </w:r>
      <w:r w:rsidR="00535DAC">
        <w:t>n patients with refractory CIU</w:t>
      </w:r>
    </w:p>
    <w:p w:rsidR="005403F9" w:rsidRPr="00F9652C" w:rsidRDefault="005403F9" w:rsidP="00F9652C">
      <w:pPr>
        <w:pStyle w:val="ListBullet"/>
      </w:pPr>
      <w:r w:rsidRPr="00F9652C">
        <w:t>To e</w:t>
      </w:r>
      <w:r w:rsidR="00672775">
        <w:t xml:space="preserve">valuate the quality of </w:t>
      </w:r>
      <w:r w:rsidRPr="00F9652C">
        <w:t>life benefit of omalizumab therapy i</w:t>
      </w:r>
      <w:r w:rsidR="0005235F" w:rsidRPr="00F9652C">
        <w:t>n patients with refractory CIU.</w:t>
      </w:r>
    </w:p>
    <w:p w:rsidR="005403F9" w:rsidRPr="00F9652C" w:rsidRDefault="005403F9" w:rsidP="00F9652C">
      <w:r w:rsidRPr="00F9652C">
        <w:lastRenderedPageBreak/>
        <w:t xml:space="preserve">The study was conducted in 53 centres in 8 countries: the United States (35 centres), Germany (5), Poland (4), France (3), Spain (2), Denmark </w:t>
      </w:r>
      <w:r w:rsidR="0071283A" w:rsidRPr="00F9652C">
        <w:t>(2), Italy (1), and Turkey (1).</w:t>
      </w:r>
    </w:p>
    <w:p w:rsidR="005403F9" w:rsidRPr="00F9652C" w:rsidRDefault="005403F9" w:rsidP="00F9652C">
      <w:r w:rsidRPr="00F9652C">
        <w:t>The first patient was enrolled on 16 February 2011, and the last patient visit was on 17 October 2012. The study report was dated June 2013. The study does not appear to have been published other th</w:t>
      </w:r>
      <w:r w:rsidR="0071283A" w:rsidRPr="00F9652C">
        <w:t>an in conference abstract form.</w:t>
      </w:r>
    </w:p>
    <w:p w:rsidR="005403F9" w:rsidRPr="00E735CD" w:rsidRDefault="005403F9" w:rsidP="00E735CD">
      <w:pPr>
        <w:pStyle w:val="Heading5"/>
      </w:pPr>
      <w:r w:rsidRPr="00E735CD">
        <w:t>I</w:t>
      </w:r>
      <w:r w:rsidR="0071283A" w:rsidRPr="00E735CD">
        <w:t>nclusion and exclusion criteria</w:t>
      </w:r>
    </w:p>
    <w:p w:rsidR="00F9652C" w:rsidRDefault="005403F9" w:rsidP="00907FC0">
      <w:r>
        <w:t xml:space="preserve">The inclusion criteria for </w:t>
      </w:r>
      <w:r w:rsidR="00907FC0">
        <w:t xml:space="preserve">the study are </w:t>
      </w:r>
      <w:r w:rsidR="00E37826">
        <w:t>listed in Table 3</w:t>
      </w:r>
      <w:r>
        <w:t xml:space="preserve">, and the </w:t>
      </w:r>
      <w:r w:rsidR="0071283A">
        <w:t xml:space="preserve">exclusion criteria </w:t>
      </w:r>
      <w:r w:rsidR="00E37826">
        <w:t>in Table 4</w:t>
      </w:r>
      <w:r w:rsidR="0071283A" w:rsidRPr="0072628C">
        <w:t>.</w:t>
      </w:r>
    </w:p>
    <w:p w:rsidR="00934502" w:rsidRPr="00E735CD" w:rsidRDefault="00934502" w:rsidP="00E735CD">
      <w:pPr>
        <w:pStyle w:val="Tabletitle"/>
      </w:pPr>
      <w:r w:rsidRPr="00E735CD">
        <w:t xml:space="preserve">Table </w:t>
      </w:r>
      <w:r w:rsidR="00E37826" w:rsidRPr="00E735CD">
        <w:t>3</w:t>
      </w:r>
      <w:r w:rsidRPr="00E735CD">
        <w:t xml:space="preserve"> - Study 4881g - Inclusion criteria</w:t>
      </w:r>
      <w:r w:rsidR="003A2E0D" w:rsidRPr="00E735CD">
        <w:t>.</w:t>
      </w:r>
    </w:p>
    <w:p w:rsidR="00907FC0" w:rsidRDefault="00907FC0" w:rsidP="00907FC0">
      <w:pPr>
        <w:rPr>
          <w:spacing w:val="-5"/>
        </w:rPr>
      </w:pPr>
      <w:r>
        <w:rPr>
          <w:noProof/>
          <w:lang w:eastAsia="en-AU"/>
        </w:rPr>
        <w:drawing>
          <wp:inline distT="0" distB="0" distL="0" distR="0" wp14:anchorId="3CCF542C" wp14:editId="78DCE0C4">
            <wp:extent cx="4438650" cy="4050875"/>
            <wp:effectExtent l="0" t="0" r="0" b="6985"/>
            <wp:docPr id="39" name="Picture 39" descr="Table 3 - Study 4881g - In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3762" cy="4055540"/>
                    </a:xfrm>
                    <a:prstGeom prst="rect">
                      <a:avLst/>
                    </a:prstGeom>
                    <a:noFill/>
                    <a:ln>
                      <a:noFill/>
                    </a:ln>
                  </pic:spPr>
                </pic:pic>
              </a:graphicData>
            </a:graphic>
          </wp:inline>
        </w:drawing>
      </w:r>
    </w:p>
    <w:p w:rsidR="0072628C" w:rsidRPr="001B2728" w:rsidRDefault="0072628C" w:rsidP="001B2728">
      <w:pPr>
        <w:pStyle w:val="Tabletitle"/>
      </w:pPr>
      <w:r w:rsidRPr="001B2728">
        <w:lastRenderedPageBreak/>
        <w:t xml:space="preserve">Table </w:t>
      </w:r>
      <w:r w:rsidR="00E37826" w:rsidRPr="001B2728">
        <w:t>4</w:t>
      </w:r>
      <w:r w:rsidRPr="001B2728">
        <w:t xml:space="preserve"> - Study 4881g - Exclusion criteria</w:t>
      </w:r>
      <w:r w:rsidR="003A2E0D" w:rsidRPr="001B2728">
        <w:t>.</w:t>
      </w:r>
    </w:p>
    <w:p w:rsidR="004122E9" w:rsidRDefault="00E425A9" w:rsidP="006F527F">
      <w:r>
        <w:rPr>
          <w:noProof/>
          <w:lang w:eastAsia="en-AU"/>
        </w:rPr>
        <w:drawing>
          <wp:inline distT="0" distB="0" distL="0" distR="0" wp14:anchorId="4CA7B5AA" wp14:editId="58F11B57">
            <wp:extent cx="5010150" cy="7277100"/>
            <wp:effectExtent l="0" t="0" r="0" b="0"/>
            <wp:docPr id="4" name="Picture 4" descr="Table 4 - Study 4881g - Ex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0150" cy="7277100"/>
                    </a:xfrm>
                    <a:prstGeom prst="rect">
                      <a:avLst/>
                    </a:prstGeom>
                  </pic:spPr>
                </pic:pic>
              </a:graphicData>
            </a:graphic>
          </wp:inline>
        </w:drawing>
      </w:r>
    </w:p>
    <w:p w:rsidR="00E37826" w:rsidRPr="00E37826" w:rsidRDefault="00E37826" w:rsidP="00E735CD">
      <w:pPr>
        <w:pStyle w:val="Tabletitle"/>
      </w:pPr>
      <w:r w:rsidRPr="00E37826">
        <w:lastRenderedPageBreak/>
        <w:t>Table 4</w:t>
      </w:r>
      <w:r>
        <w:t xml:space="preserve"> (continued)</w:t>
      </w:r>
      <w:r w:rsidRPr="00E37826">
        <w:t xml:space="preserve"> - Study 4881g - Exclusion criteria</w:t>
      </w:r>
    </w:p>
    <w:p w:rsidR="0037674A" w:rsidRDefault="009E2454" w:rsidP="0037674A">
      <w:pPr>
        <w:pStyle w:val="Heading5"/>
        <w:numPr>
          <w:ilvl w:val="0"/>
          <w:numId w:val="0"/>
        </w:numPr>
        <w:ind w:left="227"/>
        <w:rPr>
          <w:i w:val="0"/>
        </w:rPr>
      </w:pPr>
      <w:r>
        <w:rPr>
          <w:noProof/>
          <w:lang w:eastAsia="en-AU"/>
        </w:rPr>
        <w:drawing>
          <wp:inline distT="0" distB="0" distL="0" distR="0" wp14:anchorId="34B2B79E" wp14:editId="473AE82A">
            <wp:extent cx="4962525" cy="4733925"/>
            <wp:effectExtent l="0" t="0" r="9525" b="9525"/>
            <wp:docPr id="5" name="Picture 5" descr="Table 4 (continued) - Study 4881g - Exclus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62525" cy="4733925"/>
                    </a:xfrm>
                    <a:prstGeom prst="rect">
                      <a:avLst/>
                    </a:prstGeom>
                  </pic:spPr>
                </pic:pic>
              </a:graphicData>
            </a:graphic>
          </wp:inline>
        </w:drawing>
      </w:r>
    </w:p>
    <w:p w:rsidR="005403F9" w:rsidRPr="00E735CD" w:rsidRDefault="0071283A" w:rsidP="00E735CD">
      <w:pPr>
        <w:pStyle w:val="Heading5"/>
      </w:pPr>
      <w:r w:rsidRPr="00E735CD">
        <w:t>Study treatments</w:t>
      </w:r>
    </w:p>
    <w:p w:rsidR="005403F9" w:rsidRPr="004122E9" w:rsidRDefault="005403F9" w:rsidP="004122E9">
      <w:r w:rsidRPr="004122E9">
        <w:t>Subjects were randomised (1:1:1:1) to receive one of</w:t>
      </w:r>
      <w:r w:rsidR="0071283A" w:rsidRPr="004122E9">
        <w:t xml:space="preserve"> the following four treatments:</w:t>
      </w:r>
    </w:p>
    <w:p w:rsidR="005403F9" w:rsidRPr="004122E9" w:rsidRDefault="005403F9" w:rsidP="004122E9">
      <w:pPr>
        <w:pStyle w:val="ListBullet"/>
      </w:pPr>
      <w:r w:rsidRPr="004122E9">
        <w:t>Oma</w:t>
      </w:r>
      <w:r w:rsidR="00535DAC">
        <w:t>lizumab 75 mg SC every 4 weeks</w:t>
      </w:r>
    </w:p>
    <w:p w:rsidR="005403F9" w:rsidRPr="004122E9" w:rsidRDefault="005403F9" w:rsidP="004122E9">
      <w:pPr>
        <w:pStyle w:val="ListBullet"/>
      </w:pPr>
      <w:r w:rsidRPr="004122E9">
        <w:t>Omalizumab 150 mg SC</w:t>
      </w:r>
      <w:r w:rsidR="00535DAC">
        <w:t xml:space="preserve"> every 4 weeks</w:t>
      </w:r>
    </w:p>
    <w:p w:rsidR="005403F9" w:rsidRPr="004122E9" w:rsidRDefault="005403F9" w:rsidP="004122E9">
      <w:pPr>
        <w:pStyle w:val="ListBullet"/>
      </w:pPr>
      <w:r w:rsidRPr="004122E9">
        <w:t>Omal</w:t>
      </w:r>
      <w:r w:rsidR="00535DAC">
        <w:t>izumab 300 mg SC every 4 weeks</w:t>
      </w:r>
    </w:p>
    <w:p w:rsidR="005403F9" w:rsidRPr="004122E9" w:rsidRDefault="005403F9" w:rsidP="004122E9">
      <w:pPr>
        <w:pStyle w:val="ListBullet"/>
      </w:pPr>
      <w:r w:rsidRPr="004122E9">
        <w:t>Placebo.</w:t>
      </w:r>
    </w:p>
    <w:p w:rsidR="005403F9" w:rsidRPr="009E2454" w:rsidRDefault="005403F9" w:rsidP="009E2454">
      <w:r w:rsidRPr="009E2454">
        <w:t>Placebo contained the same ingredients as the omalizumab for</w:t>
      </w:r>
      <w:r w:rsidR="00FC2649" w:rsidRPr="009E2454">
        <w:t>mulation, excluding omalizumab.</w:t>
      </w:r>
    </w:p>
    <w:p w:rsidR="005403F9" w:rsidRPr="009E2454" w:rsidRDefault="005403F9" w:rsidP="009E2454">
      <w:r w:rsidRPr="009E2454">
        <w:t>Treatment was continued for a total of 24 weeks (</w:t>
      </w:r>
      <w:r w:rsidR="001136E7">
        <w:t>that is,</w:t>
      </w:r>
      <w:r w:rsidRPr="009E2454">
        <w:t xml:space="preserve"> six administrations). Patients received two injections at each treatment visit, as injections were limited to no more than 150 mg per injection site. SC injections were administered into the deltoid </w:t>
      </w:r>
      <w:proofErr w:type="gramStart"/>
      <w:r w:rsidRPr="009E2454">
        <w:t>region,</w:t>
      </w:r>
      <w:proofErr w:type="gramEnd"/>
      <w:r w:rsidRPr="009E2454">
        <w:t xml:space="preserve"> or into the thigh if there were medical reasons tha</w:t>
      </w:r>
      <w:r w:rsidR="00FC2649" w:rsidRPr="009E2454">
        <w:t>t precluded use of the deltoid.</w:t>
      </w:r>
    </w:p>
    <w:p w:rsidR="005403F9" w:rsidRPr="009E2454" w:rsidRDefault="005403F9" w:rsidP="009E2454">
      <w:r w:rsidRPr="009E2454">
        <w:t>Patients were required to remain on a stable H1 antihistamine treatment regimen throughout the study period. Permitted H1 antihist</w:t>
      </w:r>
      <w:r w:rsidR="00FC2649" w:rsidRPr="009E2454">
        <w:t>amine regimens were as follows:</w:t>
      </w:r>
    </w:p>
    <w:p w:rsidR="005403F9" w:rsidRPr="004122E9" w:rsidRDefault="005403F9" w:rsidP="004122E9">
      <w:pPr>
        <w:pStyle w:val="ListBullet"/>
      </w:pPr>
      <w:r w:rsidRPr="004122E9">
        <w:t>Cetirizin</w:t>
      </w:r>
      <w:r w:rsidR="00FC2649" w:rsidRPr="004122E9">
        <w:t xml:space="preserve">e 5 or </w:t>
      </w:r>
      <w:r w:rsidR="00535DAC">
        <w:t>10 mg once per day (QD)</w:t>
      </w:r>
    </w:p>
    <w:p w:rsidR="005403F9" w:rsidRPr="004122E9" w:rsidRDefault="005403F9" w:rsidP="004122E9">
      <w:pPr>
        <w:pStyle w:val="ListBullet"/>
      </w:pPr>
      <w:proofErr w:type="spellStart"/>
      <w:r w:rsidRPr="004122E9">
        <w:t>Levocetirizine</w:t>
      </w:r>
      <w:proofErr w:type="spellEnd"/>
      <w:r w:rsidRPr="004122E9">
        <w:t xml:space="preserve"> </w:t>
      </w:r>
      <w:proofErr w:type="spellStart"/>
      <w:r w:rsidR="00535DAC">
        <w:t>dihydrochloride</w:t>
      </w:r>
      <w:proofErr w:type="spellEnd"/>
      <w:r w:rsidR="00535DAC">
        <w:t xml:space="preserve"> 2.5 or 5 mg QD</w:t>
      </w:r>
    </w:p>
    <w:p w:rsidR="005403F9" w:rsidRPr="004122E9" w:rsidRDefault="005403F9" w:rsidP="004122E9">
      <w:pPr>
        <w:pStyle w:val="ListBullet"/>
      </w:pPr>
      <w:r w:rsidRPr="004122E9">
        <w:t>Fexofenadine 60</w:t>
      </w:r>
      <w:r w:rsidR="00FC2649" w:rsidRPr="004122E9">
        <w:t xml:space="preserve"> mg twice per day or 180 mg QD</w:t>
      </w:r>
    </w:p>
    <w:p w:rsidR="005403F9" w:rsidRPr="004122E9" w:rsidRDefault="00535DAC" w:rsidP="004122E9">
      <w:pPr>
        <w:pStyle w:val="ListBullet"/>
      </w:pPr>
      <w:proofErr w:type="spellStart"/>
      <w:r>
        <w:t>Loratadine</w:t>
      </w:r>
      <w:proofErr w:type="spellEnd"/>
      <w:r>
        <w:t xml:space="preserve"> 10 mg QD</w:t>
      </w:r>
    </w:p>
    <w:p w:rsidR="005403F9" w:rsidRPr="004122E9" w:rsidRDefault="00535DAC" w:rsidP="004122E9">
      <w:pPr>
        <w:pStyle w:val="ListBullet"/>
      </w:pPr>
      <w:proofErr w:type="spellStart"/>
      <w:r>
        <w:lastRenderedPageBreak/>
        <w:t>Desloratadine</w:t>
      </w:r>
      <w:proofErr w:type="spellEnd"/>
      <w:r>
        <w:t xml:space="preserve"> 5 mg QD</w:t>
      </w:r>
    </w:p>
    <w:p w:rsidR="005403F9" w:rsidRPr="004122E9" w:rsidRDefault="00535DAC" w:rsidP="004122E9">
      <w:pPr>
        <w:pStyle w:val="ListBullet"/>
      </w:pPr>
      <w:proofErr w:type="spellStart"/>
      <w:r>
        <w:t>Ebastine</w:t>
      </w:r>
      <w:proofErr w:type="spellEnd"/>
      <w:r>
        <w:t xml:space="preserve"> 10 mg and 20 mg QD</w:t>
      </w:r>
    </w:p>
    <w:p w:rsidR="005F57E0" w:rsidRPr="004122E9" w:rsidRDefault="00535DAC" w:rsidP="004122E9">
      <w:pPr>
        <w:pStyle w:val="ListBullet"/>
      </w:pPr>
      <w:proofErr w:type="spellStart"/>
      <w:r>
        <w:t>Rupatadine</w:t>
      </w:r>
      <w:proofErr w:type="spellEnd"/>
      <w:r>
        <w:t xml:space="preserve"> 10 mg QD</w:t>
      </w:r>
    </w:p>
    <w:p w:rsidR="005F57E0" w:rsidRPr="004122E9" w:rsidRDefault="00535DAC" w:rsidP="004122E9">
      <w:pPr>
        <w:pStyle w:val="ListBullet"/>
      </w:pPr>
      <w:proofErr w:type="spellStart"/>
      <w:r>
        <w:t>Bilastine</w:t>
      </w:r>
      <w:proofErr w:type="spellEnd"/>
      <w:r>
        <w:t xml:space="preserve"> 20 mg QD</w:t>
      </w:r>
    </w:p>
    <w:p w:rsidR="005F57E0" w:rsidRPr="004122E9" w:rsidRDefault="005F57E0" w:rsidP="004122E9">
      <w:r w:rsidRPr="004122E9">
        <w:t>Patients were also provided diphenhydramine (</w:t>
      </w:r>
      <w:r w:rsidR="003D5343">
        <w:t xml:space="preserve">25 mg) for itch relief on an as </w:t>
      </w:r>
      <w:r w:rsidRPr="004122E9">
        <w:t>needed basis (up to a maxim</w:t>
      </w:r>
      <w:r w:rsidR="00FC2649" w:rsidRPr="004122E9">
        <w:t>um of three doses in 24 hours).</w:t>
      </w:r>
    </w:p>
    <w:p w:rsidR="005F57E0" w:rsidRPr="004122E9" w:rsidRDefault="003D5343" w:rsidP="004122E9">
      <w:r>
        <w:t>As shown in Table 4</w:t>
      </w:r>
      <w:r w:rsidR="005F57E0" w:rsidRPr="004122E9">
        <w:t>, subjects who were receiving any of several medications (corticosteroids, immunosuppressants etc.) were excluded from the study. Subjects who received any of these therapies after randomisation were discontinued from stud</w:t>
      </w:r>
      <w:r>
        <w:t>y treatment. Subjects taking H2 </w:t>
      </w:r>
      <w:r w:rsidR="005F57E0" w:rsidRPr="004122E9">
        <w:t>antihistamines or LTRAs for another condition (</w:t>
      </w:r>
      <w:r w:rsidR="001E0C79">
        <w:t>for example;</w:t>
      </w:r>
      <w:r w:rsidR="005F57E0" w:rsidRPr="004122E9">
        <w:t xml:space="preserve"> GORD or asthma) were permitted to conti</w:t>
      </w:r>
      <w:r w:rsidR="00FC2649" w:rsidRPr="004122E9">
        <w:t>nue their use during the study.</w:t>
      </w:r>
    </w:p>
    <w:p w:rsidR="005F57E0" w:rsidRPr="00E735CD" w:rsidRDefault="00FC2649" w:rsidP="00E735CD">
      <w:pPr>
        <w:pStyle w:val="Heading5"/>
        <w:rPr>
          <w:rFonts w:eastAsiaTheme="minorHAnsi"/>
        </w:rPr>
      </w:pPr>
      <w:r w:rsidRPr="00E735CD">
        <w:rPr>
          <w:rFonts w:eastAsiaTheme="minorHAnsi"/>
        </w:rPr>
        <w:t>Efficacy variables and outcomes</w:t>
      </w:r>
    </w:p>
    <w:p w:rsidR="005F57E0" w:rsidRPr="004122E9" w:rsidRDefault="005F57E0" w:rsidP="004122E9">
      <w:r w:rsidRPr="004122E9">
        <w:t>Most efficacy data were collected via use of an electronic patient diary (</w:t>
      </w:r>
      <w:proofErr w:type="spellStart"/>
      <w:r w:rsidRPr="004122E9">
        <w:t>eDiary</w:t>
      </w:r>
      <w:proofErr w:type="spellEnd"/>
      <w:r w:rsidRPr="004122E9">
        <w:t>). The variables recorded in the di</w:t>
      </w:r>
      <w:r w:rsidR="00E37826">
        <w:t>ary are summarised in Table 5</w:t>
      </w:r>
      <w:r w:rsidR="007D0200" w:rsidRPr="004122E9">
        <w:t>.</w:t>
      </w:r>
    </w:p>
    <w:p w:rsidR="007D0200" w:rsidRPr="00E735CD" w:rsidRDefault="007D0200" w:rsidP="00E735CD">
      <w:pPr>
        <w:pStyle w:val="Tabletitle"/>
      </w:pPr>
      <w:r w:rsidRPr="00E735CD">
        <w:lastRenderedPageBreak/>
        <w:t xml:space="preserve">Table </w:t>
      </w:r>
      <w:r w:rsidR="00E37826" w:rsidRPr="00E735CD">
        <w:t>5</w:t>
      </w:r>
      <w:r w:rsidRPr="00E735CD">
        <w:t xml:space="preserve"> - Study 4881g - Data collected in patient daily diary</w:t>
      </w:r>
    </w:p>
    <w:p w:rsidR="007E5553" w:rsidRPr="007E5553" w:rsidRDefault="00E543D4" w:rsidP="007E5553">
      <w:r>
        <w:rPr>
          <w:noProof/>
          <w:lang w:eastAsia="en-AU"/>
        </w:rPr>
        <w:drawing>
          <wp:inline distT="0" distB="0" distL="0" distR="0" wp14:anchorId="39E95CD7" wp14:editId="489B65D1">
            <wp:extent cx="4562475" cy="6265561"/>
            <wp:effectExtent l="0" t="0" r="0" b="1905"/>
            <wp:docPr id="30" name="Picture 30" descr="Table 5 - Study 4881g - Data collected in patient daily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64658" cy="6268558"/>
                    </a:xfrm>
                    <a:prstGeom prst="rect">
                      <a:avLst/>
                    </a:prstGeom>
                  </pic:spPr>
                </pic:pic>
              </a:graphicData>
            </a:graphic>
          </wp:inline>
        </w:drawing>
      </w:r>
    </w:p>
    <w:p w:rsidR="005F57E0" w:rsidRPr="00B258EE" w:rsidRDefault="005F57E0" w:rsidP="00B258EE">
      <w:r w:rsidRPr="00B258EE">
        <w:t>Th</w:t>
      </w:r>
      <w:r w:rsidR="00C50B36" w:rsidRPr="00B258EE">
        <w:t>e main efficacy variables were:</w:t>
      </w:r>
    </w:p>
    <w:p w:rsidR="00B258EE" w:rsidRDefault="005F57E0" w:rsidP="00B258EE">
      <w:pPr>
        <w:pStyle w:val="ListBullet"/>
      </w:pPr>
      <w:proofErr w:type="gramStart"/>
      <w:r w:rsidRPr="00B258EE">
        <w:t>Itch</w:t>
      </w:r>
      <w:proofErr w:type="gramEnd"/>
      <w:r w:rsidRPr="00B258EE">
        <w:t xml:space="preserve"> severity </w:t>
      </w:r>
      <w:r w:rsidR="00C50B36" w:rsidRPr="00B258EE">
        <w:t>score</w:t>
      </w:r>
      <w:r w:rsidRPr="00B258EE">
        <w:t xml:space="preserve">. Itch severity is recorded twice daily (morning and evening) in the patients’ </w:t>
      </w:r>
      <w:proofErr w:type="spellStart"/>
      <w:r w:rsidRPr="00B258EE">
        <w:t>eDiaries</w:t>
      </w:r>
      <w:proofErr w:type="spellEnd"/>
      <w:r w:rsidRPr="00B258EE">
        <w:t xml:space="preserve">, on a scale of 0 (none) to 3 (severe). A daily itch severity score is calculated as the average of the morning and evening scores. A weekly itch severity score is calculated as the sum of the seven daily itch severity scores. Possible scores range between 0 and </w:t>
      </w:r>
      <w:r w:rsidR="003A2E0D">
        <w:t>21.</w:t>
      </w:r>
    </w:p>
    <w:p w:rsidR="005F57E0" w:rsidRPr="00B258EE" w:rsidRDefault="005F57E0" w:rsidP="00B258EE">
      <w:pPr>
        <w:ind w:left="360"/>
      </w:pPr>
      <w:r w:rsidRPr="00B258EE">
        <w:t xml:space="preserve">A </w:t>
      </w:r>
      <w:r w:rsidR="00A53E2D" w:rsidRPr="00B258EE">
        <w:t>‘</w:t>
      </w:r>
      <w:r w:rsidRPr="00B258EE">
        <w:t>minimally important difference (MID) response</w:t>
      </w:r>
      <w:r w:rsidR="00A53E2D" w:rsidRPr="00B258EE">
        <w:t>’</w:t>
      </w:r>
      <w:r w:rsidRPr="00B258EE">
        <w:t xml:space="preserve"> was defined as reduction from baseline in weekly </w:t>
      </w:r>
      <w:r w:rsidR="00C50B36" w:rsidRPr="00B258EE">
        <w:t>itch score of a least 5 points.</w:t>
      </w:r>
    </w:p>
    <w:p w:rsidR="005F57E0" w:rsidRPr="00B258EE" w:rsidRDefault="005F57E0" w:rsidP="00B258EE">
      <w:pPr>
        <w:pStyle w:val="ListBullet"/>
      </w:pPr>
      <w:r w:rsidRPr="00B258EE">
        <w:t xml:space="preserve">Hives </w:t>
      </w:r>
      <w:r w:rsidR="00C50B36" w:rsidRPr="00B258EE">
        <w:t>score</w:t>
      </w:r>
      <w:r w:rsidRPr="00B258EE">
        <w:t>. The number of wheals (hives) is measured twice daily (morning and evening), on a scale of 0 (none) to 3 (</w:t>
      </w:r>
      <w:r w:rsidR="00B258EE">
        <w:t>&gt;</w:t>
      </w:r>
      <w:r w:rsidRPr="00B258EE">
        <w:t xml:space="preserve"> 12 hives). The daily hives score is the average of the morning and evening scores, and the weekly hives score is the sum of the daily hives scores over 7 days. Possible scores range between 0 and 21.</w:t>
      </w:r>
    </w:p>
    <w:p w:rsidR="005F57E0" w:rsidRDefault="001136E7" w:rsidP="00B258EE">
      <w:pPr>
        <w:pStyle w:val="ListBullet"/>
      </w:pPr>
      <w:r>
        <w:lastRenderedPageBreak/>
        <w:t>Urticaria Activity Score (UAS).</w:t>
      </w:r>
      <w:r w:rsidR="005F57E0" w:rsidRPr="00B258EE">
        <w:t xml:space="preserve"> The UAS is a composite score combining the above scores for a) itch and b) number of wheals (hiv</w:t>
      </w:r>
      <w:r w:rsidR="00C50B36" w:rsidRPr="00B258EE">
        <w:t>es) as per the following table</w:t>
      </w:r>
      <w:r w:rsidR="00E37826">
        <w:t xml:space="preserve"> (Table 6</w:t>
      </w:r>
      <w:r w:rsidR="00B258EE">
        <w:t>)</w:t>
      </w:r>
      <w:r w:rsidR="00C50B36" w:rsidRPr="00B258EE">
        <w:t>:</w:t>
      </w:r>
    </w:p>
    <w:p w:rsidR="00B258EE" w:rsidRPr="00E735CD" w:rsidRDefault="00E37826" w:rsidP="00E735CD">
      <w:pPr>
        <w:pStyle w:val="Tabletitle"/>
      </w:pPr>
      <w:proofErr w:type="gramStart"/>
      <w:r w:rsidRPr="00E735CD">
        <w:t>Table 6</w:t>
      </w:r>
      <w:r w:rsidR="00B258EE" w:rsidRPr="00E735CD">
        <w:t>.</w:t>
      </w:r>
      <w:proofErr w:type="gramEnd"/>
      <w:r w:rsidR="00B258EE" w:rsidRPr="00E735CD">
        <w:t xml:space="preserve"> </w:t>
      </w:r>
      <w:proofErr w:type="spellStart"/>
      <w:r w:rsidR="007823F7" w:rsidRPr="00E735CD">
        <w:t>Urticaria</w:t>
      </w:r>
      <w:proofErr w:type="spellEnd"/>
      <w:r w:rsidR="007823F7" w:rsidRPr="00E735CD">
        <w:t xml:space="preserve"> </w:t>
      </w:r>
      <w:r w:rsidR="00BF0185" w:rsidRPr="00E735CD">
        <w:t>a</w:t>
      </w:r>
      <w:r w:rsidR="007823F7" w:rsidRPr="00E735CD">
        <w:t xml:space="preserve">ctivity </w:t>
      </w:r>
      <w:r w:rsidR="00BF0185" w:rsidRPr="00E735CD">
        <w:t>s</w:t>
      </w:r>
      <w:r w:rsidR="007823F7" w:rsidRPr="00E735CD">
        <w:t>core basis.</w:t>
      </w:r>
    </w:p>
    <w:tbl>
      <w:tblPr>
        <w:tblStyle w:val="TableTGAblue"/>
        <w:tblW w:w="0" w:type="auto"/>
        <w:tblLook w:val="04A0" w:firstRow="1" w:lastRow="0" w:firstColumn="1" w:lastColumn="0" w:noHBand="0" w:noVBand="1"/>
      </w:tblPr>
      <w:tblGrid>
        <w:gridCol w:w="1242"/>
        <w:gridCol w:w="4395"/>
        <w:gridCol w:w="3260"/>
      </w:tblGrid>
      <w:tr w:rsidR="007E5553" w:rsidTr="006F52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rsidR="007E5553" w:rsidRDefault="007E5553" w:rsidP="009B52F0">
            <w:r>
              <w:t>Score</w:t>
            </w:r>
          </w:p>
        </w:tc>
        <w:tc>
          <w:tcPr>
            <w:tcW w:w="4395" w:type="dxa"/>
          </w:tcPr>
          <w:p w:rsidR="007E5553" w:rsidRDefault="007E5553" w:rsidP="009B52F0">
            <w:pPr>
              <w:cnfStyle w:val="100000000000" w:firstRow="1" w:lastRow="0" w:firstColumn="0" w:lastColumn="0" w:oddVBand="0" w:evenVBand="0" w:oddHBand="0" w:evenHBand="0" w:firstRowFirstColumn="0" w:firstRowLastColumn="0" w:lastRowFirstColumn="0" w:lastRowLastColumn="0"/>
            </w:pPr>
            <w:r>
              <w:t>Wheals (Hives)</w:t>
            </w:r>
          </w:p>
        </w:tc>
        <w:tc>
          <w:tcPr>
            <w:tcW w:w="3260" w:type="dxa"/>
          </w:tcPr>
          <w:p w:rsidR="007E5553" w:rsidRDefault="007E5553" w:rsidP="009B52F0">
            <w:pPr>
              <w:cnfStyle w:val="100000000000" w:firstRow="1" w:lastRow="0" w:firstColumn="0" w:lastColumn="0" w:oddVBand="0" w:evenVBand="0" w:oddHBand="0" w:evenHBand="0" w:firstRowFirstColumn="0" w:firstRowLastColumn="0" w:lastRowFirstColumn="0" w:lastRowLastColumn="0"/>
            </w:pPr>
            <w:proofErr w:type="spellStart"/>
            <w:r>
              <w:t>Puritis</w:t>
            </w:r>
            <w:proofErr w:type="spellEnd"/>
            <w:r>
              <w:t xml:space="preserve"> (Itch)</w:t>
            </w:r>
          </w:p>
        </w:tc>
      </w:tr>
      <w:tr w:rsidR="007E5553" w:rsidTr="00E543D4">
        <w:tc>
          <w:tcPr>
            <w:cnfStyle w:val="001000000000" w:firstRow="0" w:lastRow="0" w:firstColumn="1" w:lastColumn="0" w:oddVBand="0" w:evenVBand="0" w:oddHBand="0" w:evenHBand="0" w:firstRowFirstColumn="0" w:firstRowLastColumn="0" w:lastRowFirstColumn="0" w:lastRowLastColumn="0"/>
            <w:tcW w:w="1242" w:type="dxa"/>
          </w:tcPr>
          <w:p w:rsidR="007E5553" w:rsidRDefault="007E5553" w:rsidP="009B52F0">
            <w:r>
              <w:t>0</w:t>
            </w:r>
          </w:p>
        </w:tc>
        <w:tc>
          <w:tcPr>
            <w:tcW w:w="4395"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None</w:t>
            </w:r>
          </w:p>
        </w:tc>
        <w:tc>
          <w:tcPr>
            <w:tcW w:w="3260"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None</w:t>
            </w:r>
          </w:p>
        </w:tc>
      </w:tr>
      <w:tr w:rsidR="007E5553" w:rsidTr="00E543D4">
        <w:tc>
          <w:tcPr>
            <w:cnfStyle w:val="001000000000" w:firstRow="0" w:lastRow="0" w:firstColumn="1" w:lastColumn="0" w:oddVBand="0" w:evenVBand="0" w:oddHBand="0" w:evenHBand="0" w:firstRowFirstColumn="0" w:firstRowLastColumn="0" w:lastRowFirstColumn="0" w:lastRowLastColumn="0"/>
            <w:tcW w:w="1242" w:type="dxa"/>
          </w:tcPr>
          <w:p w:rsidR="007E5553" w:rsidRDefault="007E5553" w:rsidP="009B52F0">
            <w:r>
              <w:t>1</w:t>
            </w:r>
          </w:p>
        </w:tc>
        <w:tc>
          <w:tcPr>
            <w:tcW w:w="4395"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Mild (1 – 6 hives/ 12 hour)</w:t>
            </w:r>
          </w:p>
        </w:tc>
        <w:tc>
          <w:tcPr>
            <w:tcW w:w="3260"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Mild</w:t>
            </w:r>
          </w:p>
        </w:tc>
      </w:tr>
      <w:tr w:rsidR="007E5553" w:rsidTr="00E543D4">
        <w:tc>
          <w:tcPr>
            <w:cnfStyle w:val="001000000000" w:firstRow="0" w:lastRow="0" w:firstColumn="1" w:lastColumn="0" w:oddVBand="0" w:evenVBand="0" w:oddHBand="0" w:evenHBand="0" w:firstRowFirstColumn="0" w:firstRowLastColumn="0" w:lastRowFirstColumn="0" w:lastRowLastColumn="0"/>
            <w:tcW w:w="1242" w:type="dxa"/>
          </w:tcPr>
          <w:p w:rsidR="007E5553" w:rsidRDefault="007E5553" w:rsidP="009B52F0">
            <w:r>
              <w:t>2</w:t>
            </w:r>
          </w:p>
        </w:tc>
        <w:tc>
          <w:tcPr>
            <w:tcW w:w="4395"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Moderate (7 – 12 hives/ 12 hour)</w:t>
            </w:r>
          </w:p>
        </w:tc>
        <w:tc>
          <w:tcPr>
            <w:tcW w:w="3260"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Moderate</w:t>
            </w:r>
          </w:p>
        </w:tc>
      </w:tr>
      <w:tr w:rsidR="007E5553" w:rsidTr="00E543D4">
        <w:tc>
          <w:tcPr>
            <w:cnfStyle w:val="001000000000" w:firstRow="0" w:lastRow="0" w:firstColumn="1" w:lastColumn="0" w:oddVBand="0" w:evenVBand="0" w:oddHBand="0" w:evenHBand="0" w:firstRowFirstColumn="0" w:firstRowLastColumn="0" w:lastRowFirstColumn="0" w:lastRowLastColumn="0"/>
            <w:tcW w:w="1242" w:type="dxa"/>
          </w:tcPr>
          <w:p w:rsidR="007E5553" w:rsidRDefault="007E5553" w:rsidP="009B52F0">
            <w:r>
              <w:t>3</w:t>
            </w:r>
          </w:p>
        </w:tc>
        <w:tc>
          <w:tcPr>
            <w:tcW w:w="4395"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Intense (&gt; 12 hives/ 12 hour)</w:t>
            </w:r>
          </w:p>
        </w:tc>
        <w:tc>
          <w:tcPr>
            <w:tcW w:w="3260" w:type="dxa"/>
          </w:tcPr>
          <w:p w:rsidR="007E5553" w:rsidRDefault="007E5553" w:rsidP="009B52F0">
            <w:pPr>
              <w:cnfStyle w:val="000000000000" w:firstRow="0" w:lastRow="0" w:firstColumn="0" w:lastColumn="0" w:oddVBand="0" w:evenVBand="0" w:oddHBand="0" w:evenHBand="0" w:firstRowFirstColumn="0" w:firstRowLastColumn="0" w:lastRowFirstColumn="0" w:lastRowLastColumn="0"/>
            </w:pPr>
            <w:r>
              <w:t>Severe</w:t>
            </w:r>
          </w:p>
        </w:tc>
      </w:tr>
    </w:tbl>
    <w:p w:rsidR="005F57E0" w:rsidRPr="007E5553" w:rsidRDefault="005F57E0" w:rsidP="007E5553">
      <w:r w:rsidRPr="007E5553">
        <w:t>The scores for each are measured twice daily and daily UAS is the average of the morning and evening scores and has a possible range of 0 to 6. The weekly UAS (UAS7) is the sum of the seven daily UAS scores wi</w:t>
      </w:r>
      <w:r w:rsidR="00C50B36" w:rsidRPr="007E5553">
        <w:t>th a possible range of 0 to 42.</w:t>
      </w:r>
    </w:p>
    <w:p w:rsidR="005F57E0" w:rsidRPr="00B258EE" w:rsidRDefault="005F57E0" w:rsidP="00B258EE">
      <w:pPr>
        <w:pStyle w:val="ListBullet"/>
      </w:pPr>
      <w:r w:rsidRPr="00B258EE">
        <w:t>The largest hive score. The largest hive score is measured twice daily, on a scale of 0 (none) to 3 (&gt; 2.5 cm). The daily largest hive score is the average of the morning and evening scores, and the weekly largest hive score is the sum of the daily scores over 7 days. Possible</w:t>
      </w:r>
      <w:r w:rsidR="00C50B36" w:rsidRPr="00B258EE">
        <w:t xml:space="preserve"> scores range between 0 and 21.</w:t>
      </w:r>
    </w:p>
    <w:p w:rsidR="005F57E0" w:rsidRPr="00B258EE" w:rsidRDefault="005F57E0" w:rsidP="00B258EE">
      <w:pPr>
        <w:pStyle w:val="ListBullet"/>
      </w:pPr>
      <w:r w:rsidRPr="00B258EE">
        <w:t>The Dermatology Life Quality Index (DLQI). The DLQI is a validated and widely used quality-of-life instrument specific to dermatological disorders. In consists of 10 items covering six domains (symptoms and feelings, daily activities, leisure activities, work or school, personal relationships and treatment). Subjects are asked to rate the degree to which the skin condition has affected each item over the preceding week, from ‘not at all’ (0) to ‘very much’ (3). The range of possible scores is 0 to 30, with higher scores indicating a poorer quality of life. The minimally important difference (MID) in patients with CIU has been estimated to be in the range of 2.24 to 3.10 points</w:t>
      </w:r>
      <w:r w:rsidR="001136E7">
        <w:t xml:space="preserve"> </w:t>
      </w:r>
      <w:r w:rsidRPr="00B258EE">
        <w:rPr>
          <w:vertAlign w:val="superscript"/>
        </w:rPr>
        <w:t>(9)</w:t>
      </w:r>
      <w:r w:rsidRPr="00B258EE">
        <w:t>. The DLQI was administered at clinic visit</w:t>
      </w:r>
      <w:r w:rsidR="00C50B36" w:rsidRPr="00B258EE">
        <w:t>s at weeks 0, 4, 12, 24 and 40.</w:t>
      </w:r>
    </w:p>
    <w:p w:rsidR="005F57E0" w:rsidRPr="00B258EE" w:rsidRDefault="005F57E0" w:rsidP="00B258EE">
      <w:r w:rsidRPr="00B258EE">
        <w:t xml:space="preserve">The primary efficacy </w:t>
      </w:r>
      <w:r w:rsidR="00C50B36" w:rsidRPr="00B258EE">
        <w:t>endpoint</w:t>
      </w:r>
      <w:r w:rsidRPr="00B258EE">
        <w:t xml:space="preserve"> was the change from baseline in the weekly itch severity score at Week 12; defined as the </w:t>
      </w:r>
      <w:r w:rsidR="000E3BD7">
        <w:t xml:space="preserve">Week </w:t>
      </w:r>
      <w:r w:rsidRPr="00B258EE">
        <w:t>12 weekly itch severity score minus the basel</w:t>
      </w:r>
      <w:r w:rsidR="00C50B36" w:rsidRPr="00B258EE">
        <w:t xml:space="preserve">ine weekly </w:t>
      </w:r>
      <w:proofErr w:type="gramStart"/>
      <w:r w:rsidR="00C50B36" w:rsidRPr="00B258EE">
        <w:t>itch</w:t>
      </w:r>
      <w:proofErr w:type="gramEnd"/>
      <w:r w:rsidR="00C50B36" w:rsidRPr="00B258EE">
        <w:t xml:space="preserve"> severity score.</w:t>
      </w:r>
    </w:p>
    <w:p w:rsidR="005F57E0" w:rsidRPr="00B258EE" w:rsidRDefault="005F57E0" w:rsidP="00B258EE">
      <w:r w:rsidRPr="00B258EE">
        <w:t xml:space="preserve">Secondary efficacy </w:t>
      </w:r>
      <w:r w:rsidR="00C50B36" w:rsidRPr="00B258EE">
        <w:t>endpoints</w:t>
      </w:r>
      <w:r w:rsidRPr="00B258EE">
        <w:t xml:space="preserve"> </w:t>
      </w:r>
      <w:r w:rsidR="00C50B36" w:rsidRPr="00B258EE">
        <w:t>were:</w:t>
      </w:r>
    </w:p>
    <w:p w:rsidR="005F57E0" w:rsidRPr="00B258EE" w:rsidRDefault="005F57E0" w:rsidP="00B258EE">
      <w:pPr>
        <w:pStyle w:val="Numberbullet0"/>
      </w:pPr>
      <w:r w:rsidRPr="00B258EE">
        <w:t>The change fr</w:t>
      </w:r>
      <w:r w:rsidR="00C50B36" w:rsidRPr="00B258EE">
        <w:t xml:space="preserve">om baseline in UAS7 at </w:t>
      </w:r>
      <w:r w:rsidR="000E3BD7">
        <w:t xml:space="preserve">Week </w:t>
      </w:r>
      <w:r w:rsidR="00535DAC">
        <w:t>12</w:t>
      </w:r>
    </w:p>
    <w:p w:rsidR="005F57E0" w:rsidRPr="00B258EE" w:rsidRDefault="005F57E0" w:rsidP="00B258EE">
      <w:pPr>
        <w:pStyle w:val="Numberbullet0"/>
      </w:pPr>
      <w:r w:rsidRPr="00B258EE">
        <w:t>The change from baseline in weekly hives score a</w:t>
      </w:r>
      <w:r w:rsidR="00C50B36" w:rsidRPr="00B258EE">
        <w:t xml:space="preserve">t </w:t>
      </w:r>
      <w:r w:rsidR="000E3BD7">
        <w:t xml:space="preserve">Week </w:t>
      </w:r>
      <w:r w:rsidR="00535DAC">
        <w:t>12</w:t>
      </w:r>
    </w:p>
    <w:p w:rsidR="005F57E0" w:rsidRPr="00B258EE" w:rsidRDefault="005F57E0" w:rsidP="00B258EE">
      <w:pPr>
        <w:pStyle w:val="Numberbullet0"/>
      </w:pPr>
      <w:r w:rsidRPr="00B258EE">
        <w:t>Time (in weeks) to a MID response</w:t>
      </w:r>
      <w:r w:rsidR="00535DAC">
        <w:t xml:space="preserve"> in weekly itch severity score</w:t>
      </w:r>
    </w:p>
    <w:p w:rsidR="005F57E0" w:rsidRPr="00B258EE" w:rsidRDefault="005F57E0" w:rsidP="00B258EE">
      <w:pPr>
        <w:pStyle w:val="Numberbullet0"/>
      </w:pPr>
      <w:r w:rsidRPr="00B258EE">
        <w:t>The proportion of subjects</w:t>
      </w:r>
      <w:r w:rsidR="00C50B36" w:rsidRPr="00B258EE">
        <w:t xml:space="preserve"> with a UAS7 of ≤ 6 at </w:t>
      </w:r>
      <w:r w:rsidR="000E3BD7">
        <w:t xml:space="preserve">Week </w:t>
      </w:r>
      <w:r w:rsidR="00535DAC">
        <w:t>12</w:t>
      </w:r>
    </w:p>
    <w:p w:rsidR="005F57E0" w:rsidRPr="00B258EE" w:rsidRDefault="005F57E0" w:rsidP="00B258EE">
      <w:pPr>
        <w:pStyle w:val="Numberbullet0"/>
      </w:pPr>
      <w:r w:rsidRPr="00B258EE">
        <w:t xml:space="preserve">The proportion of subjects with a MID response in weekly </w:t>
      </w:r>
      <w:r w:rsidR="00C50B36" w:rsidRPr="00B258EE">
        <w:t xml:space="preserve">itch severity score at </w:t>
      </w:r>
      <w:r w:rsidR="000E3BD7">
        <w:t xml:space="preserve">Week </w:t>
      </w:r>
      <w:r w:rsidR="00535DAC">
        <w:t>12</w:t>
      </w:r>
    </w:p>
    <w:p w:rsidR="005F57E0" w:rsidRPr="00B258EE" w:rsidRDefault="005F57E0" w:rsidP="00B258EE">
      <w:pPr>
        <w:pStyle w:val="Numberbullet0"/>
      </w:pPr>
      <w:r w:rsidRPr="00B258EE">
        <w:t>The change from baseline in the weekly</w:t>
      </w:r>
      <w:r w:rsidR="00C50B36" w:rsidRPr="00B258EE">
        <w:t xml:space="preserve"> largest hive score at </w:t>
      </w:r>
      <w:r w:rsidR="000E3BD7">
        <w:t xml:space="preserve">Week </w:t>
      </w:r>
      <w:r w:rsidR="00535DAC">
        <w:t>12</w:t>
      </w:r>
    </w:p>
    <w:p w:rsidR="005F57E0" w:rsidRPr="00B258EE" w:rsidRDefault="005F57E0" w:rsidP="00B258EE">
      <w:pPr>
        <w:pStyle w:val="Numberbullet0"/>
      </w:pPr>
      <w:r w:rsidRPr="00B258EE">
        <w:t>Change from baseline in health-related quality-of-life as m</w:t>
      </w:r>
      <w:r w:rsidR="00C50B36" w:rsidRPr="00B258EE">
        <w:t>easured by the DLQI at Week 12</w:t>
      </w:r>
    </w:p>
    <w:p w:rsidR="005F57E0" w:rsidRPr="00B258EE" w:rsidRDefault="005F57E0" w:rsidP="00B258EE">
      <w:pPr>
        <w:pStyle w:val="Numberbullet0"/>
      </w:pPr>
      <w:r w:rsidRPr="00B258EE">
        <w:t>The proportion of angioedema-free days from Week 4 to Week 12 of ther</w:t>
      </w:r>
      <w:r w:rsidR="00535DAC">
        <w:t>apy</w:t>
      </w:r>
    </w:p>
    <w:p w:rsidR="005F57E0" w:rsidRPr="00B258EE" w:rsidRDefault="005F57E0" w:rsidP="00B258EE">
      <w:pPr>
        <w:pStyle w:val="Numberbullet0"/>
      </w:pPr>
      <w:r w:rsidRPr="00B258EE">
        <w:t>The proportion of subjects with a UAS7 = 0 (c</w:t>
      </w:r>
      <w:r w:rsidR="007E5553">
        <w:t xml:space="preserve">omplete responders) at </w:t>
      </w:r>
      <w:r w:rsidR="000E3BD7">
        <w:t xml:space="preserve">Week </w:t>
      </w:r>
      <w:r w:rsidR="007E5553">
        <w:t>12.</w:t>
      </w:r>
    </w:p>
    <w:p w:rsidR="005F57E0" w:rsidRPr="00B258EE" w:rsidRDefault="005F57E0" w:rsidP="00B258EE">
      <w:r w:rsidRPr="00B258EE">
        <w:t xml:space="preserve">The study protocol and statistical analysis plan listed another 22 exploratory efficacy </w:t>
      </w:r>
      <w:r w:rsidR="00B53C70" w:rsidRPr="00B258EE">
        <w:t>endpoints</w:t>
      </w:r>
      <w:r w:rsidRPr="00B258EE">
        <w:t xml:space="preserve">. These included several of the above efficacy variables at </w:t>
      </w:r>
      <w:r w:rsidR="000E3BD7">
        <w:t xml:space="preserve">Week </w:t>
      </w:r>
      <w:r w:rsidRPr="00B258EE">
        <w:t xml:space="preserve">24 (as opposed to </w:t>
      </w:r>
      <w:r w:rsidR="000E3BD7">
        <w:t xml:space="preserve">Week </w:t>
      </w:r>
      <w:r w:rsidRPr="00B258EE">
        <w:t xml:space="preserve">12), time to relapse in </w:t>
      </w:r>
      <w:r w:rsidR="000E3BD7">
        <w:t xml:space="preserve">Week </w:t>
      </w:r>
      <w:r w:rsidRPr="00B258EE">
        <w:t xml:space="preserve">24 responders and a number of other patient reported outcomes (EQ-5D </w:t>
      </w:r>
      <w:proofErr w:type="spellStart"/>
      <w:r w:rsidRPr="00B258EE">
        <w:t>QoL</w:t>
      </w:r>
      <w:proofErr w:type="spellEnd"/>
      <w:r w:rsidRPr="00B258EE">
        <w:t xml:space="preserve"> </w:t>
      </w:r>
      <w:r w:rsidRPr="00B258EE">
        <w:lastRenderedPageBreak/>
        <w:t xml:space="preserve">score, Medical Outcomes Study [MOS] Sleep Score, Chronic </w:t>
      </w:r>
      <w:proofErr w:type="spellStart"/>
      <w:r w:rsidRPr="00B258EE">
        <w:t>Urticaria</w:t>
      </w:r>
      <w:proofErr w:type="spellEnd"/>
      <w:r w:rsidRPr="00B258EE">
        <w:t xml:space="preserve"> </w:t>
      </w:r>
      <w:proofErr w:type="spellStart"/>
      <w:r w:rsidRPr="00B258EE">
        <w:t>QoL</w:t>
      </w:r>
      <w:proofErr w:type="spellEnd"/>
      <w:r w:rsidRPr="00B258EE">
        <w:t xml:space="preserve"> Questionnaire [CU-Q2oL]). The sponsor is proposing to include some of the 24-week results in the PI and these results will therefore be reviewed in this report. The other exploratory en</w:t>
      </w:r>
      <w:r w:rsidR="00C50B36" w:rsidRPr="00B258EE">
        <w:t>dpoints will not be considered.</w:t>
      </w:r>
    </w:p>
    <w:p w:rsidR="005F57E0" w:rsidRPr="00457325" w:rsidRDefault="00457325" w:rsidP="00457325">
      <w:pPr>
        <w:ind w:left="1021" w:hanging="1021"/>
      </w:pPr>
      <w:r w:rsidRPr="00457325">
        <w:t>Comment</w:t>
      </w:r>
      <w:r w:rsidR="005F57E0" w:rsidRPr="00457325">
        <w:t>: The 2009 consensus guideline recommends the UAS as a validated measure of assessing disease severity. The decision to use the itch component of the UAS as the primary efficacy endpoint was made following discussions with the FDA and EMA.</w:t>
      </w:r>
    </w:p>
    <w:p w:rsidR="00C03C30" w:rsidRPr="004778FF" w:rsidRDefault="00C03C30" w:rsidP="004778FF">
      <w:pPr>
        <w:pStyle w:val="Heading5"/>
      </w:pPr>
      <w:r w:rsidRPr="004778FF">
        <w:t>Randomisa</w:t>
      </w:r>
      <w:r w:rsidR="00C50B36" w:rsidRPr="004778FF">
        <w:t>tion and blinding methods</w:t>
      </w:r>
    </w:p>
    <w:p w:rsidR="00C03C30" w:rsidRDefault="00C03C30" w:rsidP="00C50B36">
      <w:r>
        <w:t>Patients were randomised in a 1:1:1:1 ratio to one of the four treatment groups using a hierarchical dynamic randomization scheme and an Interactive Voice and Web Response System. Randomisation was stratified by baseline weekly itch severity score (&lt;</w:t>
      </w:r>
      <w:r w:rsidR="007E5553">
        <w:t xml:space="preserve"> </w:t>
      </w:r>
      <w:r>
        <w:t xml:space="preserve">13 </w:t>
      </w:r>
      <w:r w:rsidR="001136E7">
        <w:t>versus</w:t>
      </w:r>
      <w:r>
        <w:t xml:space="preserve"> ≥ 13), baseline weight (&lt;</w:t>
      </w:r>
      <w:r w:rsidR="007E5553">
        <w:t xml:space="preserve"> </w:t>
      </w:r>
      <w:r>
        <w:t>80 k</w:t>
      </w:r>
      <w:r w:rsidR="00C50B36">
        <w:t xml:space="preserve">g </w:t>
      </w:r>
      <w:r w:rsidR="001136E7">
        <w:t>versus</w:t>
      </w:r>
      <w:r w:rsidR="00C50B36">
        <w:t xml:space="preserve"> ≥ 80 kg), and study site.</w:t>
      </w:r>
    </w:p>
    <w:p w:rsidR="00C03C30" w:rsidRDefault="00C03C30" w:rsidP="00C50B36">
      <w:r>
        <w:t>Blinding was achieved through the use of a placebo that was identical to the active apart from the presence of omalizumab. The sponsor, all patients, study personnel and evaluating physicians were b</w:t>
      </w:r>
      <w:r w:rsidR="00C50B36">
        <w:t>linded to treatment assignment.</w:t>
      </w:r>
    </w:p>
    <w:p w:rsidR="00C03C30" w:rsidRPr="004778FF" w:rsidRDefault="00C50B36" w:rsidP="004778FF">
      <w:pPr>
        <w:pStyle w:val="Heading5"/>
      </w:pPr>
      <w:r w:rsidRPr="004778FF">
        <w:t>Analysis populations</w:t>
      </w:r>
    </w:p>
    <w:p w:rsidR="00C03C30" w:rsidRPr="001831C1" w:rsidRDefault="00C03C30" w:rsidP="001831C1">
      <w:r w:rsidRPr="001831C1">
        <w:t xml:space="preserve">The randomized </w:t>
      </w:r>
      <w:r w:rsidR="00C50B36" w:rsidRPr="001831C1">
        <w:t>population</w:t>
      </w:r>
      <w:r w:rsidRPr="001831C1">
        <w:t xml:space="preserve"> included all randomized patients regardless of whether they received any study drug. Treatment groups for this population were defined according to the treatment assigned at randomization.</w:t>
      </w:r>
    </w:p>
    <w:p w:rsidR="00C03C30" w:rsidRPr="001831C1" w:rsidRDefault="00C03C30" w:rsidP="001831C1">
      <w:r w:rsidRPr="001831C1">
        <w:t>The modified intention to treat (</w:t>
      </w:r>
      <w:proofErr w:type="spellStart"/>
      <w:r w:rsidRPr="001831C1">
        <w:t>mITT</w:t>
      </w:r>
      <w:proofErr w:type="spellEnd"/>
      <w:r w:rsidRPr="001831C1">
        <w:t xml:space="preserve">) </w:t>
      </w:r>
      <w:r w:rsidR="00C50B36" w:rsidRPr="001831C1">
        <w:t>population</w:t>
      </w:r>
      <w:r w:rsidRPr="001831C1">
        <w:t xml:space="preserve"> included all patients randomized in the study who received at least one dose of study drug. The treatment group for this population was defined according to the treatment assigned at randomization. This population was to</w:t>
      </w:r>
      <w:r w:rsidR="00C50B36" w:rsidRPr="001831C1">
        <w:t xml:space="preserve"> be used for efficacy analysis.</w:t>
      </w:r>
    </w:p>
    <w:p w:rsidR="00C03C30" w:rsidRPr="001831C1" w:rsidRDefault="00C03C30" w:rsidP="001831C1">
      <w:r w:rsidRPr="001831C1">
        <w:t xml:space="preserve">The safety </w:t>
      </w:r>
      <w:r w:rsidR="00C50B36" w:rsidRPr="001831C1">
        <w:t>population</w:t>
      </w:r>
      <w:r w:rsidRPr="001831C1">
        <w:t xml:space="preserve"> included patients who received at least one dose of study drug. Treatment groups for this population were defined according to the actual treatment receiv</w:t>
      </w:r>
      <w:r w:rsidR="00C50B36" w:rsidRPr="001831C1">
        <w:t>ed during the treatment period.</w:t>
      </w:r>
    </w:p>
    <w:p w:rsidR="00C03C30" w:rsidRPr="001831C1" w:rsidRDefault="00C03C30" w:rsidP="001831C1">
      <w:r w:rsidRPr="001831C1">
        <w:t xml:space="preserve">A PK evaluable </w:t>
      </w:r>
      <w:r w:rsidR="00E4586A" w:rsidRPr="001831C1">
        <w:t>population</w:t>
      </w:r>
      <w:r w:rsidRPr="001831C1">
        <w:t xml:space="preserve"> was also defined as including all randomized patients who received at least one dose of study drug and provided at least one serum sample for determination of omalizumab concentration. The PK data collected in this study contributed to a pop</w:t>
      </w:r>
      <w:r w:rsidR="004A1C8E" w:rsidRPr="001831C1">
        <w:t>ula</w:t>
      </w:r>
      <w:r w:rsidR="001831C1">
        <w:t>tion PK analysis</w:t>
      </w:r>
      <w:r w:rsidR="00C50B36" w:rsidRPr="001831C1">
        <w:t>.</w:t>
      </w:r>
    </w:p>
    <w:p w:rsidR="00B53C70" w:rsidRPr="001831C1" w:rsidRDefault="00457325" w:rsidP="00457325">
      <w:pPr>
        <w:rPr>
          <w:b/>
        </w:rPr>
      </w:pPr>
      <w:r w:rsidRPr="00457325">
        <w:t>Comment</w:t>
      </w:r>
      <w:r w:rsidR="00B53C70" w:rsidRPr="00457325">
        <w:t>:</w:t>
      </w:r>
      <w:r w:rsidR="001831C1">
        <w:rPr>
          <w:b/>
        </w:rPr>
        <w:t xml:space="preserve"> </w:t>
      </w:r>
      <w:r w:rsidR="00B53C70" w:rsidRPr="001831C1">
        <w:t>The study design, conduct and analysis were satisfactory.</w:t>
      </w:r>
    </w:p>
    <w:p w:rsidR="00C03C30" w:rsidRPr="004778FF" w:rsidRDefault="00C50B36" w:rsidP="004778FF">
      <w:pPr>
        <w:pStyle w:val="Heading5"/>
      </w:pPr>
      <w:r w:rsidRPr="004778FF">
        <w:t>Sample size</w:t>
      </w:r>
    </w:p>
    <w:p w:rsidR="00C03C30" w:rsidRPr="001831C1" w:rsidRDefault="00C03C30" w:rsidP="001831C1">
      <w:r w:rsidRPr="001831C1">
        <w:t xml:space="preserve">Based on earlier studies, it was assumed that the mean change from baseline in the weekly itch severity score at </w:t>
      </w:r>
      <w:r w:rsidR="000E3BD7">
        <w:t xml:space="preserve">Week </w:t>
      </w:r>
      <w:r w:rsidRPr="001831C1">
        <w:t>12 would be 9 points for the omalizumab groups and 3.5 points for the placebo group, with a standard deviation of 6 points for both. Also based on earlier studies it was assumed that there would be a 15% rate</w:t>
      </w:r>
      <w:r w:rsidR="00344BCB" w:rsidRPr="001831C1">
        <w:t xml:space="preserve"> of discontinuation at </w:t>
      </w:r>
      <w:r w:rsidR="000E3BD7">
        <w:t xml:space="preserve">Week </w:t>
      </w:r>
      <w:r w:rsidR="00344BCB" w:rsidRPr="001831C1">
        <w:t>12.</w:t>
      </w:r>
    </w:p>
    <w:p w:rsidR="005403F9" w:rsidRPr="001831C1" w:rsidRDefault="00C03C30" w:rsidP="001831C1">
      <w:r w:rsidRPr="001831C1">
        <w:t>It was calculated that a total of 300 patients (randomised 1:1:1:1 with 75 patients in each treatment group) would yield approximately 98% power to detect a difference in treatment effect in the primary endpoint at the 0.05 level for any omalizumab group.</w:t>
      </w:r>
    </w:p>
    <w:p w:rsidR="00C03C30" w:rsidRPr="004778FF" w:rsidRDefault="000A34F6" w:rsidP="004778FF">
      <w:pPr>
        <w:pStyle w:val="Heading5"/>
      </w:pPr>
      <w:r w:rsidRPr="004778FF">
        <w:t>Statistical methods</w:t>
      </w:r>
    </w:p>
    <w:p w:rsidR="00C03C30" w:rsidRPr="001831C1" w:rsidRDefault="00C03C30" w:rsidP="001831C1">
      <w:r w:rsidRPr="001831C1">
        <w:t xml:space="preserve">The primary analysis was planned to take place when all patients had completed their </w:t>
      </w:r>
      <w:r w:rsidR="000E3BD7">
        <w:t xml:space="preserve">Week </w:t>
      </w:r>
      <w:r w:rsidRPr="001831C1">
        <w:t>40 visit. The null hypothesis was that there was no difference between pla</w:t>
      </w:r>
      <w:r w:rsidR="00E4586A" w:rsidRPr="001831C1">
        <w:t>cebo and each omalizumab group.</w:t>
      </w:r>
    </w:p>
    <w:p w:rsidR="00C03C30" w:rsidRPr="001831C1" w:rsidRDefault="00C03C30" w:rsidP="001831C1">
      <w:r w:rsidRPr="001831C1">
        <w:t xml:space="preserve">For the primary endpoint (weekly itch severity score at </w:t>
      </w:r>
      <w:r w:rsidR="000E3BD7">
        <w:t xml:space="preserve">Week </w:t>
      </w:r>
      <w:r w:rsidRPr="001831C1">
        <w:t xml:space="preserve">12) treatment comparisons between each of the omalizumab groups and the placebo group were undertaken using analysis </w:t>
      </w:r>
      <w:r w:rsidRPr="001831C1">
        <w:lastRenderedPageBreak/>
        <w:t>of covariance (ANCOVA), controlling for baseline weekly itch severity score (&lt;</w:t>
      </w:r>
      <w:r w:rsidR="001D3DAC">
        <w:t xml:space="preserve"> </w:t>
      </w:r>
      <w:r w:rsidRPr="001831C1">
        <w:t>1</w:t>
      </w:r>
      <w:r w:rsidR="001831C1">
        <w:t xml:space="preserve"> </w:t>
      </w:r>
      <w:r w:rsidRPr="001831C1">
        <w:t xml:space="preserve">3 </w:t>
      </w:r>
      <w:r w:rsidR="001136E7">
        <w:t>versus</w:t>
      </w:r>
      <w:r w:rsidRPr="001831C1">
        <w:t xml:space="preserve"> </w:t>
      </w:r>
      <w:r w:rsidR="001831C1">
        <w:t xml:space="preserve">≥ </w:t>
      </w:r>
      <w:r w:rsidRPr="001831C1">
        <w:t>13), and baseli</w:t>
      </w:r>
      <w:r w:rsidR="00E4586A" w:rsidRPr="001831C1">
        <w:t>ne weight (&lt;</w:t>
      </w:r>
      <w:r w:rsidR="001831C1">
        <w:t xml:space="preserve"> </w:t>
      </w:r>
      <w:r w:rsidR="00E4586A" w:rsidRPr="001831C1">
        <w:t xml:space="preserve">80 kg </w:t>
      </w:r>
      <w:r w:rsidR="001136E7">
        <w:t>versus</w:t>
      </w:r>
      <w:r w:rsidR="00E4586A" w:rsidRPr="001831C1">
        <w:t xml:space="preserve"> </w:t>
      </w:r>
      <w:r w:rsidR="001831C1">
        <w:t>≥</w:t>
      </w:r>
      <w:r w:rsidR="00E4586A" w:rsidRPr="001831C1">
        <w:t xml:space="preserve"> 80 kg).</w:t>
      </w:r>
    </w:p>
    <w:p w:rsidR="00C03C30" w:rsidRPr="001831C1" w:rsidRDefault="00C03C30" w:rsidP="001831C1">
      <w:r w:rsidRPr="001831C1">
        <w:t>A separate analysis was undertaken for each omalizumab dose group versus placebo. The least squares means (LSM) and the corresponding 95% confidence intervals (CIs) of the differences between each of the omalizumab groups and the placebo group were presented along with the p-values for treatment differences r</w:t>
      </w:r>
      <w:r w:rsidR="00E4586A" w:rsidRPr="001831C1">
        <w:t>esulting from the ANCOVA model.</w:t>
      </w:r>
    </w:p>
    <w:p w:rsidR="00C03C30" w:rsidRPr="001D3DAC" w:rsidRDefault="00C03C30" w:rsidP="001D3DAC">
      <w:r w:rsidRPr="001D3DAC">
        <w:t>In order to maintain an overall</w:t>
      </w:r>
      <w:r w:rsidR="00DD09E4">
        <w:t xml:space="preserve"> type I error rate of 0.05 (two </w:t>
      </w:r>
      <w:r w:rsidRPr="001D3DAC">
        <w:t>sided) across the three omalizumab dose levels, the testing of the primary endpoint was conducted in the following hierarchi</w:t>
      </w:r>
      <w:r w:rsidR="00E4586A" w:rsidRPr="001D3DAC">
        <w:t>cal order:</w:t>
      </w:r>
    </w:p>
    <w:p w:rsidR="00C03C30" w:rsidRPr="001831C1" w:rsidRDefault="001831C1" w:rsidP="001831C1">
      <w:pPr>
        <w:pStyle w:val="ListBullet"/>
      </w:pPr>
      <w:r>
        <w:t xml:space="preserve">Stage 1: Omalizumab 300 </w:t>
      </w:r>
      <w:r w:rsidR="00C03C30" w:rsidRPr="001831C1">
        <w:t xml:space="preserve">mg group </w:t>
      </w:r>
      <w:r w:rsidR="001136E7">
        <w:t>versus</w:t>
      </w:r>
      <w:r w:rsidR="00C03C30" w:rsidRPr="001831C1">
        <w:t xml:space="preserve"> placebo. If no statistically significant difference was found between the omalizumab 300</w:t>
      </w:r>
      <w:r>
        <w:t xml:space="preserve"> </w:t>
      </w:r>
      <w:r w:rsidR="00C03C30" w:rsidRPr="001831C1">
        <w:t>mg group and the placebo group at the significance level of 0.05, then the test for the next stage would not be considered statistically signifi</w:t>
      </w:r>
      <w:r w:rsidR="00E4586A" w:rsidRPr="001831C1">
        <w:t>cant regardless of the p-value.</w:t>
      </w:r>
    </w:p>
    <w:p w:rsidR="00C03C30" w:rsidRPr="001831C1" w:rsidRDefault="001831C1" w:rsidP="001831C1">
      <w:pPr>
        <w:pStyle w:val="ListBullet"/>
      </w:pPr>
      <w:r>
        <w:t xml:space="preserve">Stage 2: Omalizumab 150 </w:t>
      </w:r>
      <w:r w:rsidR="00C03C30" w:rsidRPr="001831C1">
        <w:t xml:space="preserve">mg group </w:t>
      </w:r>
      <w:r w:rsidR="001136E7">
        <w:t>versus</w:t>
      </w:r>
      <w:r w:rsidR="00C03C30" w:rsidRPr="001831C1">
        <w:t xml:space="preserve"> placebo. If there was no statistically significant difference found between the omalizumab 150 mg group and the placebo group at the significance level of 0.05, then the test for the next stage would not be considered statistically signifi</w:t>
      </w:r>
      <w:r w:rsidR="00E4586A" w:rsidRPr="001831C1">
        <w:t>cant regardless of the p-value.</w:t>
      </w:r>
    </w:p>
    <w:p w:rsidR="00C03C30" w:rsidRPr="001831C1" w:rsidRDefault="001831C1" w:rsidP="001831C1">
      <w:pPr>
        <w:pStyle w:val="ListBullet"/>
      </w:pPr>
      <w:r>
        <w:t xml:space="preserve">Stage 3: Omalizumab 75 </w:t>
      </w:r>
      <w:r w:rsidR="00C03C30" w:rsidRPr="001831C1">
        <w:t xml:space="preserve">mg group </w:t>
      </w:r>
      <w:r w:rsidR="001136E7">
        <w:t>versus</w:t>
      </w:r>
      <w:r w:rsidR="00C03C30" w:rsidRPr="001831C1">
        <w:t xml:space="preserve"> placebo. The statistical test will be conducted a</w:t>
      </w:r>
      <w:r w:rsidR="00E4586A" w:rsidRPr="001831C1">
        <w:t>t a significance level of 0.05.</w:t>
      </w:r>
    </w:p>
    <w:p w:rsidR="00C03C30" w:rsidRPr="001831C1" w:rsidRDefault="00C03C30" w:rsidP="001831C1">
      <w:r w:rsidRPr="001831C1">
        <w:t xml:space="preserve">Missing </w:t>
      </w:r>
      <w:r w:rsidR="000E3BD7">
        <w:t xml:space="preserve">Week </w:t>
      </w:r>
      <w:r w:rsidRPr="001831C1">
        <w:t>12 weekly itch severity scores were imputed by carrying forward the basel</w:t>
      </w:r>
      <w:r w:rsidR="00E4586A" w:rsidRPr="001831C1">
        <w:t>ine weekly itch severity score.</w:t>
      </w:r>
    </w:p>
    <w:p w:rsidR="00C03C30" w:rsidRPr="001831C1" w:rsidRDefault="00C03C30" w:rsidP="001831C1">
      <w:r w:rsidRPr="001831C1">
        <w:t xml:space="preserve">The statistical methods used for the analysis of the secondary </w:t>
      </w:r>
      <w:r w:rsidR="00A00B51" w:rsidRPr="001831C1">
        <w:t xml:space="preserve">endpoints </w:t>
      </w:r>
      <w:r w:rsidR="00E37826">
        <w:t>are summarised in Table 7</w:t>
      </w:r>
      <w:r w:rsidRPr="001831C1">
        <w:t>. The analysis of the secondary endpoints was also conducted in a hierarchical order (the order sh</w:t>
      </w:r>
      <w:r w:rsidR="00E37826">
        <w:t>own in Table 7</w:t>
      </w:r>
      <w:r w:rsidRPr="001831C1">
        <w:t>), to maintain an overall</w:t>
      </w:r>
      <w:r w:rsidR="00DD09E4">
        <w:t xml:space="preserve"> type I error rate of 0.05 (two </w:t>
      </w:r>
      <w:r w:rsidRPr="001831C1">
        <w:t>sided). There were nine stages to the analysis, with the nine stages corresponding to the nine secondary endpoints. A p-value that was less than 0.05 could only be claimed as statistically significant if statistical significance had been demonstrated at the previous stage.</w:t>
      </w:r>
    </w:p>
    <w:p w:rsidR="001016E0" w:rsidRPr="004778FF" w:rsidRDefault="001016E0" w:rsidP="004778FF">
      <w:pPr>
        <w:pStyle w:val="Tabletitle"/>
      </w:pPr>
      <w:r w:rsidRPr="004778FF">
        <w:lastRenderedPageBreak/>
        <w:t xml:space="preserve">Table </w:t>
      </w:r>
      <w:r w:rsidR="00E37826" w:rsidRPr="004778FF">
        <w:t>7</w:t>
      </w:r>
      <w:r w:rsidRPr="004778FF">
        <w:t xml:space="preserve"> – Study 4881g – Statistical methods for secondary endpoints</w:t>
      </w:r>
    </w:p>
    <w:p w:rsidR="001016E0" w:rsidRPr="001016E0" w:rsidRDefault="001016E0" w:rsidP="001016E0">
      <w:r>
        <w:rPr>
          <w:noProof/>
          <w:lang w:eastAsia="en-AU"/>
        </w:rPr>
        <w:drawing>
          <wp:inline distT="0" distB="0" distL="0" distR="0" wp14:anchorId="0C9DE83B" wp14:editId="20E2E917">
            <wp:extent cx="4292600" cy="5544534"/>
            <wp:effectExtent l="0" t="0" r="0" b="0"/>
            <wp:docPr id="23" name="Picture 23" descr="Table 7 – Study 4881g – Statistical methods for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2143" cy="5543944"/>
                    </a:xfrm>
                    <a:prstGeom prst="rect">
                      <a:avLst/>
                    </a:prstGeom>
                    <a:noFill/>
                    <a:ln>
                      <a:noFill/>
                    </a:ln>
                  </pic:spPr>
                </pic:pic>
              </a:graphicData>
            </a:graphic>
          </wp:inline>
        </w:drawing>
      </w:r>
    </w:p>
    <w:p w:rsidR="00FB747D" w:rsidRPr="004778FF" w:rsidRDefault="000A34F6" w:rsidP="004778FF">
      <w:pPr>
        <w:pStyle w:val="Heading5"/>
      </w:pPr>
      <w:r w:rsidRPr="004778FF">
        <w:t>Participant flow</w:t>
      </w:r>
    </w:p>
    <w:p w:rsidR="00FB747D" w:rsidRPr="001831C1" w:rsidRDefault="00FB747D" w:rsidP="001831C1">
      <w:r w:rsidRPr="001831C1">
        <w:t>A total of 483 subjects were screened for inclusion in the study, 319 were enrolled and 318 were treated. The most frequent reasons for screening failures were:</w:t>
      </w:r>
    </w:p>
    <w:p w:rsidR="00FB747D" w:rsidRPr="001831C1" w:rsidRDefault="00FB747D" w:rsidP="001831C1">
      <w:pPr>
        <w:pStyle w:val="ListBullet"/>
      </w:pPr>
      <w:r w:rsidRPr="001831C1">
        <w:t>Patient unwilling to give written informed consent, adhere to the visit schedules and m</w:t>
      </w:r>
      <w:r w:rsidR="00535DAC">
        <w:t>eet study requirements (14.0%)</w:t>
      </w:r>
    </w:p>
    <w:p w:rsidR="00FB747D" w:rsidRPr="001831C1" w:rsidRDefault="00FB747D" w:rsidP="001831C1">
      <w:pPr>
        <w:pStyle w:val="ListBullet"/>
      </w:pPr>
      <w:r w:rsidRPr="001831C1">
        <w:t>Patient not diagnosed as having CIU refractory to H1 antihistamines at the tim</w:t>
      </w:r>
      <w:r w:rsidR="00535DAC">
        <w:t xml:space="preserve">e of randomization (10.5%) </w:t>
      </w:r>
      <w:r w:rsidR="003A2E0D">
        <w:t>and</w:t>
      </w:r>
    </w:p>
    <w:p w:rsidR="00FB747D" w:rsidRPr="001831C1" w:rsidRDefault="000A34F6" w:rsidP="001831C1">
      <w:pPr>
        <w:pStyle w:val="ListBullet"/>
      </w:pPr>
      <w:r w:rsidRPr="001831C1">
        <w:t>Other - not defined (27.5%).</w:t>
      </w:r>
    </w:p>
    <w:p w:rsidR="00FB747D" w:rsidRPr="00447366" w:rsidRDefault="00FB747D" w:rsidP="00447366">
      <w:r w:rsidRPr="00447366">
        <w:t>Of the 319 subjects randomised, 265 (83.1%) completed the 24 weeks of treatment and 262 (82.1%) completed the entire 40 weeks of the study. The reasons for withdrawal from the s</w:t>
      </w:r>
      <w:r w:rsidR="001D3DAC">
        <w:t>tudy (</w:t>
      </w:r>
      <w:r w:rsidR="001136E7">
        <w:t>that is,</w:t>
      </w:r>
      <w:r w:rsidR="001D3DAC">
        <w:t xml:space="preserve"> prior to </w:t>
      </w:r>
      <w:r w:rsidR="000E3BD7">
        <w:t xml:space="preserve">Week </w:t>
      </w:r>
      <w:r w:rsidR="001D3DAC">
        <w:t>40) were provided</w:t>
      </w:r>
      <w:r w:rsidRPr="00447366">
        <w:t>. Reasons for withdrawal of treatment (</w:t>
      </w:r>
      <w:r w:rsidR="001136E7">
        <w:t>that is,</w:t>
      </w:r>
      <w:r w:rsidRPr="00447366">
        <w:t xml:space="preserve"> prior to </w:t>
      </w:r>
      <w:r w:rsidR="000E3BD7">
        <w:t xml:space="preserve">Week </w:t>
      </w:r>
      <w:r w:rsidRPr="00447366">
        <w:t xml:space="preserve">24) </w:t>
      </w:r>
      <w:r w:rsidR="001D3DAC">
        <w:t>were provided</w:t>
      </w:r>
      <w:r w:rsidRPr="00447366">
        <w:t xml:space="preserve">. The analysis populations are shown in </w:t>
      </w:r>
      <w:r w:rsidR="00765B3C">
        <w:t>Table 8</w:t>
      </w:r>
      <w:r w:rsidRPr="00447366">
        <w:t>.</w:t>
      </w:r>
    </w:p>
    <w:p w:rsidR="00D1089B" w:rsidRPr="004778FF" w:rsidRDefault="00D1089B" w:rsidP="004778FF">
      <w:pPr>
        <w:pStyle w:val="Tabletitle"/>
      </w:pPr>
      <w:proofErr w:type="gramStart"/>
      <w:r w:rsidRPr="004778FF">
        <w:lastRenderedPageBreak/>
        <w:t xml:space="preserve">Table </w:t>
      </w:r>
      <w:r w:rsidR="00765B3C" w:rsidRPr="004778FF">
        <w:t>8</w:t>
      </w:r>
      <w:r w:rsidR="00DD09E4" w:rsidRPr="004778FF">
        <w:t>.</w:t>
      </w:r>
      <w:proofErr w:type="gramEnd"/>
      <w:r w:rsidRPr="004778FF">
        <w:t xml:space="preserve"> - Study 4881g - Analysis populations</w:t>
      </w:r>
      <w:r w:rsidR="00DD09E4" w:rsidRPr="004778FF">
        <w:t>.</w:t>
      </w:r>
    </w:p>
    <w:p w:rsidR="00DD09E4" w:rsidRDefault="00D1089B" w:rsidP="000A34F6">
      <w:r>
        <w:rPr>
          <w:noProof/>
          <w:lang w:eastAsia="en-AU"/>
        </w:rPr>
        <w:drawing>
          <wp:inline distT="0" distB="0" distL="0" distR="0" wp14:anchorId="3C14E009" wp14:editId="07E39A75">
            <wp:extent cx="4608830" cy="4023360"/>
            <wp:effectExtent l="0" t="0" r="1270" b="0"/>
            <wp:docPr id="25" name="Picture 25" descr="Table 8 - Study 4881g -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4023360"/>
                    </a:xfrm>
                    <a:prstGeom prst="rect">
                      <a:avLst/>
                    </a:prstGeom>
                    <a:noFill/>
                    <a:ln>
                      <a:noFill/>
                    </a:ln>
                  </pic:spPr>
                </pic:pic>
              </a:graphicData>
            </a:graphic>
          </wp:inline>
        </w:drawing>
      </w:r>
    </w:p>
    <w:p w:rsidR="00557013" w:rsidRPr="004778FF" w:rsidRDefault="00557013" w:rsidP="004778FF">
      <w:pPr>
        <w:pStyle w:val="Heading5"/>
      </w:pPr>
      <w:r w:rsidRPr="004778FF">
        <w:t>Major</w:t>
      </w:r>
      <w:r w:rsidR="000A34F6" w:rsidRPr="004778FF">
        <w:t xml:space="preserve"> protocol violations/deviations</w:t>
      </w:r>
    </w:p>
    <w:p w:rsidR="00557013" w:rsidRPr="00447366" w:rsidRDefault="00557013" w:rsidP="00447366">
      <w:r w:rsidRPr="00447366">
        <w:t>Major protocol violati</w:t>
      </w:r>
      <w:r w:rsidR="000A34F6" w:rsidRPr="00447366">
        <w:t>ons were defined as those that:</w:t>
      </w:r>
    </w:p>
    <w:p w:rsidR="00557013" w:rsidRPr="00447366" w:rsidRDefault="00557013" w:rsidP="00447366">
      <w:pPr>
        <w:pStyle w:val="ListBullet"/>
      </w:pPr>
      <w:r w:rsidRPr="00447366">
        <w:t>Increased the risk or decre</w:t>
      </w:r>
      <w:r w:rsidR="00535DAC">
        <w:t>ased the benefits of the study</w:t>
      </w:r>
    </w:p>
    <w:p w:rsidR="00557013" w:rsidRPr="00447366" w:rsidRDefault="00557013" w:rsidP="00447366">
      <w:pPr>
        <w:pStyle w:val="ListBullet"/>
      </w:pPr>
      <w:r w:rsidRPr="00447366">
        <w:t>Affected the validity of the data or information resulting from the completion of th</w:t>
      </w:r>
      <w:r w:rsidR="00535DAC">
        <w:t>e approved protocol</w:t>
      </w:r>
    </w:p>
    <w:p w:rsidR="00557013" w:rsidRPr="00447366" w:rsidRDefault="00557013" w:rsidP="00447366">
      <w:pPr>
        <w:pStyle w:val="ListBullet"/>
      </w:pPr>
      <w:r w:rsidRPr="00447366">
        <w:t>Affected the scientific soundness of the investiga</w:t>
      </w:r>
      <w:r w:rsidR="000A34F6" w:rsidRPr="00447366">
        <w:t>tional plan or protocol and/or</w:t>
      </w:r>
    </w:p>
    <w:p w:rsidR="00557013" w:rsidRPr="00447366" w:rsidRDefault="00557013" w:rsidP="00447366">
      <w:pPr>
        <w:pStyle w:val="ListBullet"/>
      </w:pPr>
      <w:r w:rsidRPr="00447366">
        <w:t>Affected the patie</w:t>
      </w:r>
      <w:r w:rsidR="000A34F6" w:rsidRPr="00447366">
        <w:t>nt’s rights, safety or welfare.</w:t>
      </w:r>
    </w:p>
    <w:p w:rsidR="00557013" w:rsidRPr="00447366" w:rsidRDefault="00557013" w:rsidP="00447366">
      <w:r w:rsidRPr="00447366">
        <w:t xml:space="preserve">A major protocol violation included violations of informed consent and eligibility criteria, as well as violations that occur </w:t>
      </w:r>
      <w:r w:rsidR="000A34F6" w:rsidRPr="00447366">
        <w:t>during the course of the study.</w:t>
      </w:r>
    </w:p>
    <w:p w:rsidR="00557013" w:rsidRPr="00447366" w:rsidRDefault="00557013" w:rsidP="00447366">
      <w:r w:rsidRPr="00447366">
        <w:t>The types of major protocol violations that occ</w:t>
      </w:r>
      <w:r w:rsidR="00765B3C">
        <w:t>urred are summarised in Table 9</w:t>
      </w:r>
      <w:r w:rsidRPr="00447366">
        <w:t xml:space="preserve">. Only one protocol violator was excluded from the </w:t>
      </w:r>
      <w:proofErr w:type="spellStart"/>
      <w:r w:rsidRPr="00447366">
        <w:t>mITT</w:t>
      </w:r>
      <w:proofErr w:type="spellEnd"/>
      <w:r w:rsidRPr="00447366">
        <w:t xml:space="preserve"> and safety analyses. This patient had been randomised </w:t>
      </w:r>
      <w:r w:rsidR="000A34F6" w:rsidRPr="00447366">
        <w:t>but did not receive study drug.</w:t>
      </w:r>
    </w:p>
    <w:p w:rsidR="00557013" w:rsidRPr="00457325" w:rsidRDefault="00457325" w:rsidP="00457325">
      <w:pPr>
        <w:ind w:left="1021" w:hanging="1021"/>
      </w:pPr>
      <w:r w:rsidRPr="00457325">
        <w:t>Comment</w:t>
      </w:r>
      <w:r w:rsidR="00557013" w:rsidRPr="00457325">
        <w:t>: Although the frequency of major deviations was high they were distributed evenly across the four treatment groups. It is unlikely that the deviations would</w:t>
      </w:r>
      <w:r w:rsidR="000A34F6" w:rsidRPr="00457325">
        <w:t xml:space="preserve"> bias the results of the study.</w:t>
      </w:r>
    </w:p>
    <w:p w:rsidR="00BF0185" w:rsidRDefault="00BF0185">
      <w:pPr>
        <w:spacing w:before="0" w:after="200" w:line="0" w:lineRule="auto"/>
        <w:rPr>
          <w:rFonts w:cstheme="minorBidi"/>
          <w:b/>
        </w:rPr>
      </w:pPr>
      <w:r>
        <w:br w:type="page"/>
      </w:r>
    </w:p>
    <w:p w:rsidR="008658CB" w:rsidRPr="004778FF" w:rsidRDefault="00765B3C" w:rsidP="004778FF">
      <w:pPr>
        <w:pStyle w:val="Tabletitle"/>
      </w:pPr>
      <w:proofErr w:type="gramStart"/>
      <w:r w:rsidRPr="004778FF">
        <w:lastRenderedPageBreak/>
        <w:t>Table 9</w:t>
      </w:r>
      <w:r w:rsidR="00DD09E4" w:rsidRPr="004778FF">
        <w:t>.</w:t>
      </w:r>
      <w:proofErr w:type="gramEnd"/>
      <w:r w:rsidR="008658CB" w:rsidRPr="004778FF">
        <w:t xml:space="preserve"> - Study 4881g - Major protocol violations</w:t>
      </w:r>
      <w:r w:rsidR="00DD09E4" w:rsidRPr="004778FF">
        <w:t>.</w:t>
      </w:r>
    </w:p>
    <w:tbl>
      <w:tblPr>
        <w:tblStyle w:val="TableTGAblue"/>
        <w:tblW w:w="8615" w:type="dxa"/>
        <w:tblLayout w:type="fixed"/>
        <w:tblLook w:val="01E0" w:firstRow="1" w:lastRow="1" w:firstColumn="1" w:lastColumn="1" w:noHBand="0" w:noVBand="0"/>
      </w:tblPr>
      <w:tblGrid>
        <w:gridCol w:w="1893"/>
        <w:gridCol w:w="1342"/>
        <w:gridCol w:w="1346"/>
        <w:gridCol w:w="1342"/>
        <w:gridCol w:w="1346"/>
        <w:gridCol w:w="1346"/>
      </w:tblGrid>
      <w:tr w:rsidR="008658CB" w:rsidRPr="00447366" w:rsidTr="006F527F">
        <w:trPr>
          <w:cnfStyle w:val="100000000000" w:firstRow="1" w:lastRow="0" w:firstColumn="0" w:lastColumn="0" w:oddVBand="0" w:evenVBand="0" w:oddHBand="0" w:evenHBand="0" w:firstRowFirstColumn="0" w:firstRowLastColumn="0" w:lastRowFirstColumn="0" w:lastRowLastColumn="0"/>
          <w:trHeight w:hRule="exact" w:val="1672"/>
          <w:tblHeader/>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p>
        </w:tc>
        <w:tc>
          <w:tcPr>
            <w:tcW w:w="1342" w:type="dxa"/>
          </w:tcPr>
          <w:p w:rsidR="008658CB" w:rsidRPr="00447366" w:rsidRDefault="008658CB" w:rsidP="009B52F0">
            <w:pPr>
              <w:ind w:left="0"/>
              <w:cnfStyle w:val="100000000000" w:firstRow="1" w:lastRow="0" w:firstColumn="0" w:lastColumn="0" w:oddVBand="0" w:evenVBand="0" w:oddHBand="0" w:evenHBand="0" w:firstRowFirstColumn="0" w:firstRowLastColumn="0" w:lastRowFirstColumn="0" w:lastRowLastColumn="0"/>
            </w:pPr>
            <w:r w:rsidRPr="00447366">
              <w:t>Placebo</w:t>
            </w:r>
            <w:r w:rsidR="007823F7">
              <w:t xml:space="preserve"> </w:t>
            </w:r>
            <w:r w:rsidRPr="00447366">
              <w:t>(n=80)</w:t>
            </w:r>
          </w:p>
        </w:tc>
        <w:tc>
          <w:tcPr>
            <w:tcW w:w="1346" w:type="dxa"/>
          </w:tcPr>
          <w:p w:rsidR="008658CB" w:rsidRPr="00447366" w:rsidRDefault="004778FF" w:rsidP="009B52F0">
            <w:pPr>
              <w:ind w:left="26"/>
              <w:cnfStyle w:val="100000000000" w:firstRow="1" w:lastRow="0" w:firstColumn="0" w:lastColumn="0" w:oddVBand="0" w:evenVBand="0" w:oddHBand="0" w:evenHBand="0" w:firstRowFirstColumn="0" w:firstRowLastColumn="0" w:lastRowFirstColumn="0" w:lastRowLastColumn="0"/>
            </w:pPr>
            <w:proofErr w:type="spellStart"/>
            <w:r>
              <w:t>Omalizumab</w:t>
            </w:r>
            <w:proofErr w:type="spellEnd"/>
            <w:r>
              <w:br/>
            </w:r>
            <w:r w:rsidR="008658CB" w:rsidRPr="00447366">
              <w:t>7</w:t>
            </w:r>
            <w:r w:rsidR="003966D2">
              <w:t>5 mg</w:t>
            </w:r>
            <w:r w:rsidR="008658CB" w:rsidRPr="00447366">
              <w:t xml:space="preserve"> (n=78)</w:t>
            </w:r>
          </w:p>
        </w:tc>
        <w:tc>
          <w:tcPr>
            <w:tcW w:w="1342" w:type="dxa"/>
          </w:tcPr>
          <w:p w:rsidR="008658CB" w:rsidRPr="00447366" w:rsidRDefault="004778FF" w:rsidP="009B52F0">
            <w:pPr>
              <w:ind w:left="0"/>
              <w:cnfStyle w:val="100000000000" w:firstRow="1" w:lastRow="0" w:firstColumn="0" w:lastColumn="0" w:oddVBand="0" w:evenVBand="0" w:oddHBand="0" w:evenHBand="0" w:firstRowFirstColumn="0" w:firstRowLastColumn="0" w:lastRowFirstColumn="0" w:lastRowLastColumn="0"/>
            </w:pPr>
            <w:proofErr w:type="spellStart"/>
            <w:r>
              <w:t>Omalizumab</w:t>
            </w:r>
            <w:proofErr w:type="spellEnd"/>
            <w:r>
              <w:br/>
            </w:r>
            <w:r w:rsidR="008658CB" w:rsidRPr="00447366">
              <w:t>15</w:t>
            </w:r>
            <w:r w:rsidR="003966D2">
              <w:t>0 mg</w:t>
            </w:r>
            <w:r w:rsidR="008658CB" w:rsidRPr="00447366">
              <w:t xml:space="preserve"> (n=80)</w:t>
            </w:r>
          </w:p>
        </w:tc>
        <w:tc>
          <w:tcPr>
            <w:tcW w:w="1346" w:type="dxa"/>
          </w:tcPr>
          <w:p w:rsidR="008658CB" w:rsidRPr="00447366" w:rsidRDefault="004778FF" w:rsidP="009B52F0">
            <w:pPr>
              <w:ind w:left="31"/>
              <w:cnfStyle w:val="100000000000" w:firstRow="1" w:lastRow="0" w:firstColumn="0" w:lastColumn="0" w:oddVBand="0" w:evenVBand="0" w:oddHBand="0" w:evenHBand="0" w:firstRowFirstColumn="0" w:firstRowLastColumn="0" w:lastRowFirstColumn="0" w:lastRowLastColumn="0"/>
            </w:pPr>
            <w:proofErr w:type="spellStart"/>
            <w:r>
              <w:t>Omalizumab</w:t>
            </w:r>
            <w:proofErr w:type="spellEnd"/>
            <w:r>
              <w:br/>
            </w:r>
            <w:r w:rsidR="008658CB" w:rsidRPr="00447366">
              <w:t>30</w:t>
            </w:r>
            <w:r w:rsidR="003966D2">
              <w:t>0 mg</w:t>
            </w:r>
            <w:r w:rsidR="008658CB" w:rsidRPr="00447366">
              <w:t xml:space="preserve"> (n=81)</w:t>
            </w:r>
          </w:p>
        </w:tc>
        <w:tc>
          <w:tcPr>
            <w:tcW w:w="1346" w:type="dxa"/>
          </w:tcPr>
          <w:p w:rsidR="008658CB" w:rsidRPr="00447366" w:rsidRDefault="008658CB" w:rsidP="009B52F0">
            <w:pPr>
              <w:ind w:left="0"/>
              <w:cnfStyle w:val="100000000000" w:firstRow="1" w:lastRow="0" w:firstColumn="0" w:lastColumn="0" w:oddVBand="0" w:evenVBand="0" w:oddHBand="0" w:evenHBand="0" w:firstRowFirstColumn="0" w:firstRowLastColumn="0" w:lastRowFirstColumn="0" w:lastRowLastColumn="0"/>
            </w:pPr>
            <w:r w:rsidRPr="00447366">
              <w:t>All Patients</w:t>
            </w:r>
            <w:r w:rsidR="007823F7">
              <w:t xml:space="preserve"> </w:t>
            </w:r>
            <w:r w:rsidRPr="00447366">
              <w:t>(n=319)</w:t>
            </w:r>
          </w:p>
        </w:tc>
      </w:tr>
      <w:tr w:rsidR="008658CB" w:rsidRPr="00447366" w:rsidTr="00DD09E4">
        <w:trPr>
          <w:trHeight w:hRule="exact" w:val="765"/>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r w:rsidRPr="00447366">
              <w:t>Any deviations</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20 (25.0%)</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16 (20.5%)</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16 (20.0%)</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21 (25.9%)</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73 (22.9%)</w:t>
            </w:r>
          </w:p>
        </w:tc>
      </w:tr>
      <w:tr w:rsidR="008658CB" w:rsidRPr="00447366" w:rsidTr="00DD09E4">
        <w:trPr>
          <w:trHeight w:hRule="exact" w:val="1216"/>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r w:rsidRPr="00447366">
              <w:t>Concomitant Medication Criteria</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18 (22.5%)</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11 (14.1%)</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11 (13.8%)</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15 (18.5%)</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55 (17.2%)</w:t>
            </w:r>
          </w:p>
        </w:tc>
      </w:tr>
      <w:tr w:rsidR="008658CB" w:rsidRPr="00447366" w:rsidTr="00DD09E4">
        <w:trPr>
          <w:trHeight w:hRule="exact" w:val="1139"/>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r w:rsidRPr="00447366">
              <w:t>Eligibility and Entry Criteria</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2 (2.5%)</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6 (7.7%)</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5 (6.3%)</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5 (6.2%)</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18 (5.6%)</w:t>
            </w:r>
          </w:p>
        </w:tc>
      </w:tr>
      <w:tr w:rsidR="008658CB" w:rsidRPr="00447366" w:rsidTr="00DD09E4">
        <w:trPr>
          <w:trHeight w:hRule="exact" w:val="644"/>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r w:rsidRPr="00447366">
              <w:t>Investigational Product Compliance</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(0.0%)</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(1.3%)</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(1.3%)</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(1.2%)</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3 (0.9%)</w:t>
            </w:r>
          </w:p>
        </w:tc>
      </w:tr>
      <w:tr w:rsidR="008658CB" w:rsidRPr="00447366" w:rsidTr="00DD09E4">
        <w:trPr>
          <w:trHeight w:hRule="exact" w:val="644"/>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r w:rsidRPr="00447366">
              <w:t>Informed Consent</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(1.3%)</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(0.0%)</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(0.0%)</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(1.2%)</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2 (0.6%)</w:t>
            </w:r>
          </w:p>
        </w:tc>
      </w:tr>
      <w:tr w:rsidR="008658CB" w:rsidRPr="00447366" w:rsidTr="00DD09E4">
        <w:trPr>
          <w:trHeight w:hRule="exact" w:val="644"/>
        </w:trPr>
        <w:tc>
          <w:tcPr>
            <w:cnfStyle w:val="001000000000" w:firstRow="0" w:lastRow="0" w:firstColumn="1" w:lastColumn="0" w:oddVBand="0" w:evenVBand="0" w:oddHBand="0" w:evenHBand="0" w:firstRowFirstColumn="0" w:firstRowLastColumn="0" w:lastRowFirstColumn="0" w:lastRowLastColumn="0"/>
            <w:tcW w:w="1893" w:type="dxa"/>
          </w:tcPr>
          <w:p w:rsidR="008658CB" w:rsidRPr="00447366" w:rsidRDefault="008658CB" w:rsidP="009B52F0">
            <w:pPr>
              <w:ind w:left="0"/>
            </w:pPr>
            <w:r w:rsidRPr="00447366">
              <w:t>Study Procedures Criteria</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(0.0%)</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(0.0%)</w:t>
            </w:r>
          </w:p>
        </w:tc>
        <w:tc>
          <w:tcPr>
            <w:tcW w:w="1342"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(1.3%)</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(0.0%)</w:t>
            </w:r>
          </w:p>
        </w:tc>
        <w:tc>
          <w:tcPr>
            <w:tcW w:w="1346" w:type="dxa"/>
          </w:tcPr>
          <w:p w:rsidR="008658CB" w:rsidRPr="00447366" w:rsidRDefault="008658CB" w:rsidP="007823F7">
            <w:pPr>
              <w:cnfStyle w:val="000000000000" w:firstRow="0" w:lastRow="0" w:firstColumn="0" w:lastColumn="0" w:oddVBand="0" w:evenVBand="0" w:oddHBand="0" w:evenHBand="0" w:firstRowFirstColumn="0" w:firstRowLastColumn="0" w:lastRowFirstColumn="0" w:lastRowLastColumn="0"/>
            </w:pPr>
            <w:r w:rsidRPr="00447366">
              <w:t>1 (0.3%)</w:t>
            </w:r>
          </w:p>
        </w:tc>
      </w:tr>
    </w:tbl>
    <w:p w:rsidR="00557013" w:rsidRPr="004778FF" w:rsidRDefault="000A34F6" w:rsidP="004778FF">
      <w:pPr>
        <w:pStyle w:val="Heading5"/>
      </w:pPr>
      <w:r w:rsidRPr="004778FF">
        <w:t>Baseline data</w:t>
      </w:r>
    </w:p>
    <w:p w:rsidR="00B72061" w:rsidRDefault="00557013" w:rsidP="00447366">
      <w:r w:rsidRPr="00447366">
        <w:t xml:space="preserve">Baseline demographic </w:t>
      </w:r>
      <w:r w:rsidR="00DD09E4" w:rsidRPr="00447366">
        <w:t>characteristics</w:t>
      </w:r>
      <w:r w:rsidRPr="00447366">
        <w:t xml:space="preserve"> and baseline disease characteristics </w:t>
      </w:r>
      <w:r w:rsidR="00B72061">
        <w:t>are shown in Table 10 below</w:t>
      </w:r>
      <w:r w:rsidR="00D03CA2">
        <w:t>.</w:t>
      </w:r>
    </w:p>
    <w:p w:rsidR="00557013" w:rsidRPr="004778FF" w:rsidRDefault="00B72061" w:rsidP="004778FF">
      <w:pPr>
        <w:pStyle w:val="Tabletitle"/>
      </w:pPr>
      <w:proofErr w:type="gramStart"/>
      <w:r w:rsidRPr="004778FF">
        <w:lastRenderedPageBreak/>
        <w:t>Table 10</w:t>
      </w:r>
      <w:r w:rsidR="00DD09E4" w:rsidRPr="004778FF">
        <w:t>.</w:t>
      </w:r>
      <w:proofErr w:type="gramEnd"/>
      <w:r w:rsidR="00DD09E4" w:rsidRPr="004778FF">
        <w:t xml:space="preserve"> S</w:t>
      </w:r>
      <w:r w:rsidRPr="004778FF">
        <w:t>tudy 4881g Baseline demographic characteristics (</w:t>
      </w:r>
      <w:proofErr w:type="spellStart"/>
      <w:r w:rsidRPr="004778FF">
        <w:t>mITT</w:t>
      </w:r>
      <w:proofErr w:type="spellEnd"/>
      <w:r w:rsidRPr="004778FF">
        <w:t xml:space="preserve"> population)</w:t>
      </w:r>
      <w:r w:rsidR="00DD09E4" w:rsidRPr="004778FF">
        <w:t>.</w:t>
      </w:r>
    </w:p>
    <w:p w:rsidR="00B72061" w:rsidRDefault="00B72061" w:rsidP="00447366">
      <w:r>
        <w:rPr>
          <w:noProof/>
          <w:lang w:eastAsia="en-AU"/>
        </w:rPr>
        <w:drawing>
          <wp:inline distT="0" distB="0" distL="0" distR="0" wp14:anchorId="41A91E2C" wp14:editId="0FF74325">
            <wp:extent cx="5339782" cy="5227092"/>
            <wp:effectExtent l="0" t="0" r="0" b="0"/>
            <wp:docPr id="21" name="Picture 21" descr="Table 10 study 4881g Baseline demographic characteristic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9270" cy="5226590"/>
                    </a:xfrm>
                    <a:prstGeom prst="rect">
                      <a:avLst/>
                    </a:prstGeom>
                  </pic:spPr>
                </pic:pic>
              </a:graphicData>
            </a:graphic>
          </wp:inline>
        </w:drawing>
      </w:r>
    </w:p>
    <w:p w:rsidR="00B72061" w:rsidRPr="004778FF" w:rsidRDefault="00B72061" w:rsidP="004778FF">
      <w:pPr>
        <w:pStyle w:val="Tabletitle"/>
      </w:pPr>
      <w:r w:rsidRPr="004778FF">
        <w:lastRenderedPageBreak/>
        <w:t>Table 10 continued</w:t>
      </w:r>
    </w:p>
    <w:p w:rsidR="00B72061" w:rsidRDefault="00B72061" w:rsidP="00447366">
      <w:r>
        <w:rPr>
          <w:noProof/>
          <w:lang w:eastAsia="en-AU"/>
        </w:rPr>
        <w:drawing>
          <wp:inline distT="0" distB="0" distL="0" distR="0" wp14:anchorId="1BD7AF05" wp14:editId="3C621EB8">
            <wp:extent cx="4930955" cy="6646460"/>
            <wp:effectExtent l="0" t="0" r="3175" b="2540"/>
            <wp:docPr id="22" name="Picture 22" descr="Table 10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30557" cy="6645923"/>
                    </a:xfrm>
                    <a:prstGeom prst="rect">
                      <a:avLst/>
                    </a:prstGeom>
                  </pic:spPr>
                </pic:pic>
              </a:graphicData>
            </a:graphic>
          </wp:inline>
        </w:drawing>
      </w:r>
    </w:p>
    <w:p w:rsidR="00B72061" w:rsidRPr="005D6D61" w:rsidRDefault="00B72061" w:rsidP="006F527F">
      <w:pPr>
        <w:pStyle w:val="Tabletext"/>
        <w:tabs>
          <w:tab w:val="left" w:pos="7563"/>
        </w:tabs>
      </w:pPr>
      <w:proofErr w:type="spellStart"/>
      <w:proofErr w:type="gramStart"/>
      <w:r w:rsidRPr="005D6D61">
        <w:t>mITT</w:t>
      </w:r>
      <w:proofErr w:type="spellEnd"/>
      <w:proofErr w:type="gramEnd"/>
      <w:r w:rsidRPr="005D6D61">
        <w:t>: All patients randomised in the study who received at least one dose of study drug.</w:t>
      </w:r>
      <w:r w:rsidR="006F527F">
        <w:tab/>
      </w:r>
    </w:p>
    <w:p w:rsidR="00B72061" w:rsidRPr="005D6D61" w:rsidRDefault="00B72061" w:rsidP="005D6D61">
      <w:pPr>
        <w:pStyle w:val="Tabletext"/>
      </w:pPr>
      <w:r w:rsidRPr="005D6D61">
        <w:t xml:space="preserve">^Baseline in-clinic UAS is defined as the largest value among the Day -14 screening visit, Day -7 screening visit and Day 1 visit. * Based on data collected in patient daily </w:t>
      </w:r>
      <w:proofErr w:type="spellStart"/>
      <w:r w:rsidRPr="005D6D61">
        <w:t>eDiary</w:t>
      </w:r>
      <w:proofErr w:type="spellEnd"/>
      <w:r w:rsidRPr="005D6D61">
        <w:t xml:space="preserve"> in the week before randomisation.</w:t>
      </w:r>
    </w:p>
    <w:p w:rsidR="00557013" w:rsidRPr="00457325" w:rsidRDefault="00457325" w:rsidP="00457325">
      <w:pPr>
        <w:ind w:left="1021" w:hanging="1021"/>
      </w:pPr>
      <w:r w:rsidRPr="00457325">
        <w:t>Comment</w:t>
      </w:r>
      <w:r w:rsidR="00557013" w:rsidRPr="00457325">
        <w:t>: The four treatment groups were reasonably well balanced with respect to baseline characteristics. The population was predominantly female (72.6%) with a median age of 41.0 years. Median duration of CIU was 3.7 years, and the median number of previous medications used was 4.0, suggesti</w:t>
      </w:r>
      <w:r w:rsidR="00DD09E4">
        <w:t xml:space="preserve">ng that the population had long standing, treatment </w:t>
      </w:r>
      <w:r w:rsidR="00557013" w:rsidRPr="00457325">
        <w:t xml:space="preserve">resistant disease. Baseline median UAS7 was 31.5 (out of a possible 42) and baseline median weekly itch severity score was 14.0 (out of a possible 21), </w:t>
      </w:r>
      <w:r w:rsidR="00557013" w:rsidRPr="00457325">
        <w:lastRenderedPageBreak/>
        <w:t>suggesting moderate to severe disease. Angioedema was present at</w:t>
      </w:r>
      <w:r w:rsidR="000A34F6" w:rsidRPr="00457325">
        <w:t xml:space="preserve"> baseline in 47.5% of subjects.</w:t>
      </w:r>
    </w:p>
    <w:p w:rsidR="00F9533D" w:rsidRPr="00457325" w:rsidRDefault="00557013" w:rsidP="00457325">
      <w:pPr>
        <w:ind w:left="1021"/>
      </w:pPr>
      <w:r w:rsidRPr="00457325">
        <w:t>The study report included tabulations of concurrent diseases and previous treatments. These were similar ac</w:t>
      </w:r>
      <w:r w:rsidR="000A34F6" w:rsidRPr="00457325">
        <w:t>ross the four treatment groups.</w:t>
      </w:r>
    </w:p>
    <w:p w:rsidR="00557013" w:rsidRPr="004778FF" w:rsidRDefault="00557013" w:rsidP="004778FF">
      <w:pPr>
        <w:pStyle w:val="Heading5"/>
      </w:pPr>
      <w:r w:rsidRPr="004778FF">
        <w:t>Results for the primary e</w:t>
      </w:r>
      <w:r w:rsidR="000A34F6" w:rsidRPr="004778FF">
        <w:t>fficacy outcome</w:t>
      </w:r>
    </w:p>
    <w:p w:rsidR="00557013" w:rsidRPr="00140F85" w:rsidRDefault="00557013" w:rsidP="00140F85">
      <w:r w:rsidRPr="00140F85">
        <w:t xml:space="preserve">The results for the primary efficacy endpoint (change from baseline in weekly itch severity score at </w:t>
      </w:r>
      <w:r w:rsidR="000E3BD7" w:rsidRPr="00140F85">
        <w:t xml:space="preserve">Week </w:t>
      </w:r>
      <w:r w:rsidR="00BA16FE" w:rsidRPr="00140F85">
        <w:t xml:space="preserve">12) are summarised in Table </w:t>
      </w:r>
      <w:r w:rsidR="00B72061" w:rsidRPr="00140F85">
        <w:t>11</w:t>
      </w:r>
      <w:r w:rsidRPr="00140F85">
        <w:t>. All three doses of omalizumab were associated with statistically significant improvements compared to placebo.</w:t>
      </w:r>
    </w:p>
    <w:p w:rsidR="000A34F6" w:rsidRPr="00457325" w:rsidRDefault="00457325" w:rsidP="00457325">
      <w:pPr>
        <w:ind w:left="1021" w:hanging="1021"/>
      </w:pPr>
      <w:r w:rsidRPr="00457325">
        <w:t>Comment</w:t>
      </w:r>
      <w:r w:rsidR="00557013" w:rsidRPr="00457325">
        <w:t xml:space="preserve">: Weekly score at baseline </w:t>
      </w:r>
      <w:r w:rsidR="0048647B">
        <w:t xml:space="preserve">was approximately 14.0. Placebo </w:t>
      </w:r>
      <w:r w:rsidR="00557013" w:rsidRPr="00457325">
        <w:t>corrected improvements in 75 and 150 mg omalizumab were modest (-</w:t>
      </w:r>
      <w:r w:rsidR="005D6D61">
        <w:t xml:space="preserve"> </w:t>
      </w:r>
      <w:r w:rsidR="00557013" w:rsidRPr="00457325">
        <w:t>2.96 and -</w:t>
      </w:r>
      <w:r w:rsidR="005D6D61">
        <w:t xml:space="preserve"> </w:t>
      </w:r>
      <w:r w:rsidR="009B52F0">
        <w:t xml:space="preserve">2.95 points respectively). </w:t>
      </w:r>
      <w:r w:rsidR="00557013" w:rsidRPr="00457325">
        <w:t xml:space="preserve">The placebo corrected improvement in the 300 mg omalizumab group was notably </w:t>
      </w:r>
      <w:r w:rsidR="000A34F6" w:rsidRPr="00457325">
        <w:t>better (-</w:t>
      </w:r>
      <w:r w:rsidR="005D6D61">
        <w:t xml:space="preserve"> </w:t>
      </w:r>
      <w:r w:rsidR="000A34F6" w:rsidRPr="00457325">
        <w:t>5.80 points).</w:t>
      </w:r>
    </w:p>
    <w:p w:rsidR="00F9533D" w:rsidRPr="00447366" w:rsidRDefault="00557013" w:rsidP="00447366">
      <w:r w:rsidRPr="00447366">
        <w:t>The change in weekly itch severity score over the course of the st</w:t>
      </w:r>
      <w:r w:rsidR="00BA16FE" w:rsidRPr="00447366">
        <w:t xml:space="preserve">udy is illustrated </w:t>
      </w:r>
      <w:r w:rsidR="001923B1">
        <w:t>in Figure 2</w:t>
      </w:r>
      <w:r w:rsidR="000A34F6" w:rsidRPr="00447366">
        <w:t>.</w:t>
      </w:r>
    </w:p>
    <w:p w:rsidR="00EA3F05" w:rsidRPr="004778FF" w:rsidRDefault="00EA3F05" w:rsidP="004778FF">
      <w:pPr>
        <w:pStyle w:val="Tabletitle"/>
      </w:pPr>
      <w:proofErr w:type="gramStart"/>
      <w:r w:rsidRPr="004778FF">
        <w:t xml:space="preserve">Table </w:t>
      </w:r>
      <w:r w:rsidR="00B72061" w:rsidRPr="004778FF">
        <w:t>11</w:t>
      </w:r>
      <w:r w:rsidR="0048647B" w:rsidRPr="004778FF">
        <w:t>.</w:t>
      </w:r>
      <w:proofErr w:type="gramEnd"/>
      <w:r w:rsidRPr="004778FF">
        <w:t xml:space="preserve"> - Study 4881g – Change in weekly itch severity score at </w:t>
      </w:r>
      <w:r w:rsidR="000E3BD7" w:rsidRPr="004778FF">
        <w:t xml:space="preserve">Week </w:t>
      </w:r>
      <w:r w:rsidRPr="004778FF">
        <w:t>12 (Primary endpoint)</w:t>
      </w:r>
      <w:r w:rsidR="003A2E0D" w:rsidRPr="004778FF">
        <w:t>.</w:t>
      </w:r>
    </w:p>
    <w:p w:rsidR="00EA3F05" w:rsidRPr="00EA3F05" w:rsidRDefault="00EA3F05" w:rsidP="00EA3F05">
      <w:r>
        <w:rPr>
          <w:noProof/>
          <w:lang w:eastAsia="en-AU"/>
        </w:rPr>
        <w:drawing>
          <wp:inline distT="0" distB="0" distL="0" distR="0" wp14:anchorId="1B4152C3" wp14:editId="3410B51E">
            <wp:extent cx="5069205" cy="3928110"/>
            <wp:effectExtent l="0" t="0" r="0" b="0"/>
            <wp:docPr id="33" name="Picture 33" descr="Table 11 - Study 4881g – Change in weekly itch severity score at Week 1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69205" cy="3928110"/>
                    </a:xfrm>
                    <a:prstGeom prst="rect">
                      <a:avLst/>
                    </a:prstGeom>
                    <a:noFill/>
                    <a:ln>
                      <a:noFill/>
                    </a:ln>
                  </pic:spPr>
                </pic:pic>
              </a:graphicData>
            </a:graphic>
          </wp:inline>
        </w:drawing>
      </w:r>
    </w:p>
    <w:p w:rsidR="004778FF" w:rsidRDefault="004778FF">
      <w:pPr>
        <w:spacing w:before="0" w:after="200" w:line="0" w:lineRule="auto"/>
        <w:rPr>
          <w:b/>
        </w:rPr>
      </w:pPr>
      <w:r>
        <w:br w:type="page"/>
      </w:r>
    </w:p>
    <w:p w:rsidR="00931B8A" w:rsidRPr="004778FF" w:rsidRDefault="00BA16FE" w:rsidP="004778FF">
      <w:pPr>
        <w:pStyle w:val="FigureTitle"/>
      </w:pPr>
      <w:proofErr w:type="gramStart"/>
      <w:r w:rsidRPr="004778FF">
        <w:lastRenderedPageBreak/>
        <w:t xml:space="preserve">Figure </w:t>
      </w:r>
      <w:r w:rsidR="001923B1" w:rsidRPr="004778FF">
        <w:t>2</w:t>
      </w:r>
      <w:r w:rsidR="0048647B" w:rsidRPr="004778FF">
        <w:t>.</w:t>
      </w:r>
      <w:proofErr w:type="gramEnd"/>
      <w:r w:rsidRPr="004778FF">
        <w:t xml:space="preserve"> - Study 4881g - Mean Change from Baseline in Weekly Itch Severity Score (by Study Week)</w:t>
      </w:r>
      <w:r w:rsidR="003A2E0D" w:rsidRPr="004778FF">
        <w:t>.</w:t>
      </w:r>
    </w:p>
    <w:p w:rsidR="00931B8A" w:rsidRDefault="001923B1" w:rsidP="006F527F">
      <w:pPr>
        <w:rPr>
          <w:spacing w:val="-3"/>
        </w:rPr>
      </w:pPr>
      <w:r>
        <w:rPr>
          <w:noProof/>
          <w:lang w:eastAsia="en-AU"/>
        </w:rPr>
        <w:drawing>
          <wp:inline distT="0" distB="0" distL="0" distR="0" wp14:anchorId="0001152C" wp14:editId="4495E139">
            <wp:extent cx="5577312" cy="3200400"/>
            <wp:effectExtent l="0" t="0" r="4445" b="0"/>
            <wp:docPr id="3" name="Picture 3" descr="Figure 2 - Study 4881g - Mean Change from Baseline in Weekly Itch Severity Score (by Stud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79925" cy="3201899"/>
                    </a:xfrm>
                    <a:prstGeom prst="rect">
                      <a:avLst/>
                    </a:prstGeom>
                  </pic:spPr>
                </pic:pic>
              </a:graphicData>
            </a:graphic>
          </wp:inline>
        </w:drawing>
      </w:r>
    </w:p>
    <w:p w:rsidR="00EA3F05" w:rsidRDefault="00EA3F05">
      <w:pPr>
        <w:spacing w:before="0" w:after="200" w:line="0" w:lineRule="auto"/>
        <w:rPr>
          <w:rFonts w:eastAsia="Times New Roman"/>
          <w:b/>
          <w:bCs/>
          <w:color w:val="001523"/>
          <w:szCs w:val="21"/>
        </w:rPr>
      </w:pPr>
    </w:p>
    <w:p w:rsidR="00557013" w:rsidRPr="004778FF" w:rsidRDefault="00557013" w:rsidP="004778FF">
      <w:pPr>
        <w:pStyle w:val="Heading5"/>
      </w:pPr>
      <w:r w:rsidRPr="004778FF">
        <w:t xml:space="preserve">Results </w:t>
      </w:r>
      <w:r w:rsidR="000A34F6" w:rsidRPr="004778FF">
        <w:t>for secondary efficacy outcomes</w:t>
      </w:r>
    </w:p>
    <w:p w:rsidR="00557013" w:rsidRPr="00447366" w:rsidRDefault="00557013" w:rsidP="00447366">
      <w:r w:rsidRPr="00447366">
        <w:t>Results for the secondary endp</w:t>
      </w:r>
      <w:r w:rsidR="009F5524" w:rsidRPr="00447366">
        <w:t xml:space="preserve">oints </w:t>
      </w:r>
      <w:r w:rsidR="000A7A2B">
        <w:t xml:space="preserve">were </w:t>
      </w:r>
      <w:r w:rsidR="000A7A2B" w:rsidRPr="000A7A2B">
        <w:t>provided</w:t>
      </w:r>
      <w:r w:rsidRPr="000A7A2B">
        <w:t xml:space="preserve">. A statistically </w:t>
      </w:r>
      <w:r w:rsidRPr="00447366">
        <w:t>significant benefit compared to placebo was demonstrated on all nine secondary endpoints for the omalizumab 300 mg group, for 6/9 endpoints for the omalizumab 150 mg group, and only 2/9 endpoints for the omalizumab 75 mg group. Notable findings from the secondary endp</w:t>
      </w:r>
      <w:r w:rsidR="000A34F6" w:rsidRPr="00447366">
        <w:t>oints included the following:</w:t>
      </w:r>
    </w:p>
    <w:p w:rsidR="00557013" w:rsidRPr="00447366" w:rsidRDefault="00557013" w:rsidP="00447366">
      <w:pPr>
        <w:pStyle w:val="ListBullet"/>
      </w:pPr>
      <w:r w:rsidRPr="00447366">
        <w:t>Although differences between active arms were not subjected to statistical analysis, the magnitude of the benefit obtained was generally greater in the 300 mg group compare</w:t>
      </w:r>
      <w:r w:rsidR="000A34F6" w:rsidRPr="00447366">
        <w:t>d to the other two active arms.</w:t>
      </w:r>
    </w:p>
    <w:p w:rsidR="00557013" w:rsidRPr="00447366" w:rsidRDefault="00557013" w:rsidP="00447366">
      <w:pPr>
        <w:pStyle w:val="ListBullet"/>
      </w:pPr>
      <w:r w:rsidRPr="00447366">
        <w:t xml:space="preserve">The time to a MID response in itch score was shorter in the 300 mg group (median = 1.0 week) compared to the 150 mg (2.0 weeks) and 75 mg (3.0 weeks) suggesting a more rapid onset </w:t>
      </w:r>
      <w:r w:rsidR="000A34F6" w:rsidRPr="00447366">
        <w:t>of action with the higher dose.</w:t>
      </w:r>
    </w:p>
    <w:p w:rsidR="00557013" w:rsidRPr="00447366" w:rsidRDefault="00557013" w:rsidP="00447366">
      <w:pPr>
        <w:pStyle w:val="ListBullet"/>
      </w:pPr>
      <w:r w:rsidRPr="00447366">
        <w:t xml:space="preserve">Baseline mean DLQI scores were in the range of 12.8 </w:t>
      </w:r>
      <w:r w:rsidR="00A12D97">
        <w:t>to</w:t>
      </w:r>
      <w:r w:rsidRPr="00447366">
        <w:t xml:space="preserve"> 14.0 (out of a possible 30). The 75 and 150 mg omalizumab groups did not have a significant improvement in DLQI compared to placebo at </w:t>
      </w:r>
      <w:r w:rsidR="000E3BD7">
        <w:t xml:space="preserve">Week </w:t>
      </w:r>
      <w:r w:rsidRPr="00447366">
        <w:t>12. The (placebo-corrected) improvement in DLQI in the 300 mg group was approximately 4 points, which is greater than the minimally important di</w:t>
      </w:r>
      <w:r w:rsidR="000A34F6" w:rsidRPr="00447366">
        <w:t>fference (2.24 to 3.10 points).</w:t>
      </w:r>
    </w:p>
    <w:p w:rsidR="00557013" w:rsidRPr="00447366" w:rsidRDefault="00557013" w:rsidP="00447366">
      <w:pPr>
        <w:pStyle w:val="ListBullet"/>
      </w:pPr>
      <w:r w:rsidRPr="00447366">
        <w:t>A complete response (UAS7</w:t>
      </w:r>
      <w:r w:rsidR="00A12D97">
        <w:t xml:space="preserve"> </w:t>
      </w:r>
      <w:r w:rsidRPr="00447366">
        <w:t>=</w:t>
      </w:r>
      <w:r w:rsidR="00A12D97">
        <w:t xml:space="preserve"> </w:t>
      </w:r>
      <w:r w:rsidRPr="00447366">
        <w:t xml:space="preserve">0, </w:t>
      </w:r>
      <w:r w:rsidR="001136E7">
        <w:t>that is,</w:t>
      </w:r>
      <w:r w:rsidRPr="00447366">
        <w:t xml:space="preserve"> no hives, no itch) was obtained in 35.8% of subjects in the 300 mg group, compare</w:t>
      </w:r>
      <w:r w:rsidR="000A34F6" w:rsidRPr="00447366">
        <w:t>d to 8.8% in the placebo group.</w:t>
      </w:r>
    </w:p>
    <w:p w:rsidR="00557013" w:rsidRPr="004778FF" w:rsidRDefault="00557013" w:rsidP="004778FF">
      <w:pPr>
        <w:pStyle w:val="Heading5"/>
        <w:rPr>
          <w:rFonts w:eastAsiaTheme="minorHAnsi"/>
        </w:rPr>
      </w:pPr>
      <w:r w:rsidRPr="004778FF">
        <w:t>Results for exploratory efficacy outcomes</w:t>
      </w:r>
    </w:p>
    <w:p w:rsidR="00557013" w:rsidRPr="00BC46A0" w:rsidRDefault="00557013" w:rsidP="00447366">
      <w:r w:rsidRPr="00447366">
        <w:t xml:space="preserve">The study included a large number of exploratory endpoints. Several </w:t>
      </w:r>
      <w:r w:rsidR="00A12D97">
        <w:t>of these looked at efficacy at Week 24, as opposed to W</w:t>
      </w:r>
      <w:r w:rsidRPr="00447366">
        <w:t>eek 12. A selection of th</w:t>
      </w:r>
      <w:r w:rsidR="009F5524" w:rsidRPr="00447366">
        <w:t xml:space="preserve">ese </w:t>
      </w:r>
      <w:r w:rsidR="001923B1">
        <w:t xml:space="preserve">were summarised and </w:t>
      </w:r>
      <w:r w:rsidR="001923B1" w:rsidRPr="00BC46A0">
        <w:t>provided</w:t>
      </w:r>
      <w:r w:rsidR="0040056D" w:rsidRPr="00BC46A0">
        <w:t xml:space="preserve"> </w:t>
      </w:r>
      <w:r w:rsidR="00BC46A0" w:rsidRPr="00BC46A0">
        <w:t>in T</w:t>
      </w:r>
      <w:r w:rsidR="0040056D" w:rsidRPr="00BC46A0">
        <w:t xml:space="preserve">able </w:t>
      </w:r>
      <w:r w:rsidR="00BC46A0" w:rsidRPr="00BC46A0">
        <w:t>12</w:t>
      </w:r>
      <w:r w:rsidR="0040056D" w:rsidRPr="00BC46A0">
        <w:t>.</w:t>
      </w:r>
    </w:p>
    <w:p w:rsidR="00557013" w:rsidRDefault="00457325" w:rsidP="00457325">
      <w:pPr>
        <w:ind w:left="1021" w:hanging="1021"/>
      </w:pPr>
      <w:r w:rsidRPr="00457325">
        <w:t>Comment</w:t>
      </w:r>
      <w:r w:rsidR="00557013" w:rsidRPr="00457325">
        <w:t>: It should be noted that no adjustment for multiple comparisons was made for the exploratory endpoints. However, the results suggest that significant efficacy is maintained out to 24 weeks with the 300 mg dose, but not with lower doses. The sponsor is proposing to include some of these d</w:t>
      </w:r>
      <w:r w:rsidR="000A34F6" w:rsidRPr="00457325">
        <w:t>ata in the product information.</w:t>
      </w:r>
    </w:p>
    <w:p w:rsidR="0040056D" w:rsidRPr="004778FF" w:rsidRDefault="0040056D" w:rsidP="004778FF">
      <w:pPr>
        <w:pStyle w:val="Tabletitle"/>
      </w:pPr>
      <w:proofErr w:type="gramStart"/>
      <w:r w:rsidRPr="004778FF">
        <w:lastRenderedPageBreak/>
        <w:t xml:space="preserve">Table </w:t>
      </w:r>
      <w:r w:rsidR="00BC46A0" w:rsidRPr="004778FF">
        <w:t>12</w:t>
      </w:r>
      <w:r w:rsidR="000A7A2B" w:rsidRPr="004778FF">
        <w:t>.</w:t>
      </w:r>
      <w:proofErr w:type="gramEnd"/>
      <w:r w:rsidRPr="004778FF">
        <w:t xml:space="preserve"> Study </w:t>
      </w:r>
      <w:r w:rsidR="000A7A2B" w:rsidRPr="004778FF">
        <w:t>4881g.</w:t>
      </w:r>
      <w:r w:rsidRPr="004778FF">
        <w:t xml:space="preserve"> </w:t>
      </w:r>
      <w:proofErr w:type="gramStart"/>
      <w:r w:rsidRPr="004778FF">
        <w:t>Exploratory endpoints (at week 24)</w:t>
      </w:r>
      <w:r w:rsidR="00BC46A0" w:rsidRPr="004778FF">
        <w:t>.</w:t>
      </w:r>
      <w:proofErr w:type="gramEnd"/>
    </w:p>
    <w:p w:rsidR="0040056D" w:rsidRDefault="0040056D" w:rsidP="0040056D">
      <w:r>
        <w:rPr>
          <w:noProof/>
          <w:lang w:eastAsia="en-AU"/>
        </w:rPr>
        <w:drawing>
          <wp:inline distT="0" distB="0" distL="0" distR="0" wp14:anchorId="44EE0FF0" wp14:editId="7BE655C8">
            <wp:extent cx="4791075" cy="6276975"/>
            <wp:effectExtent l="0" t="0" r="9525" b="9525"/>
            <wp:docPr id="26" name="Picture 26" descr="Table 12 – Study 4881g – Exploratory endpoints (at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91075" cy="6276975"/>
                    </a:xfrm>
                    <a:prstGeom prst="rect">
                      <a:avLst/>
                    </a:prstGeom>
                  </pic:spPr>
                </pic:pic>
              </a:graphicData>
            </a:graphic>
          </wp:inline>
        </w:drawing>
      </w:r>
    </w:p>
    <w:p w:rsidR="0040056D" w:rsidRDefault="0040056D" w:rsidP="006F527F">
      <w:pPr>
        <w:pStyle w:val="TableDescription"/>
      </w:pPr>
      <w:r>
        <w:t xml:space="preserve">BOCF – baseline carried forward. </w:t>
      </w:r>
      <w:proofErr w:type="gramStart"/>
      <w:r>
        <w:t>MOS – Medical Outcomes Study.</w:t>
      </w:r>
      <w:proofErr w:type="gramEnd"/>
      <w:r>
        <w:t xml:space="preserve"> UAS7 – urticarial activity score over 7 days.</w:t>
      </w:r>
    </w:p>
    <w:p w:rsidR="0040056D" w:rsidRDefault="0040056D" w:rsidP="006F527F">
      <w:pPr>
        <w:pStyle w:val="TableDescription"/>
      </w:pPr>
      <w:r w:rsidRPr="0040056D">
        <w:rPr>
          <w:vertAlign w:val="superscript"/>
        </w:rPr>
        <w:t>a</w:t>
      </w:r>
      <w:r w:rsidR="000E10D1">
        <w:rPr>
          <w:vertAlign w:val="superscript"/>
        </w:rPr>
        <w:t>.</w:t>
      </w:r>
      <w:r>
        <w:t xml:space="preserve"> Weekly </w:t>
      </w:r>
      <w:proofErr w:type="gramStart"/>
      <w:r>
        <w:t>itch</w:t>
      </w:r>
      <w:proofErr w:type="gramEnd"/>
      <w:r>
        <w:t xml:space="preserve"> severity score is a component of the UAS7. Daily itch severity scores is the average of the morning and evening scores with use of a scale of o (none) to 3 (severe). Weekly itch severity score is the sum of the daily scores over 7 days; thus the weekly score represents </w:t>
      </w:r>
      <w:proofErr w:type="spellStart"/>
      <w:r>
        <w:t>puritis</w:t>
      </w:r>
      <w:proofErr w:type="spellEnd"/>
      <w:r>
        <w:t xml:space="preserve"> (itch) severity on a scale of 0 (minimum) to 21 (maximum).</w:t>
      </w:r>
    </w:p>
    <w:p w:rsidR="0040056D" w:rsidRDefault="0040056D" w:rsidP="006F527F">
      <w:pPr>
        <w:pStyle w:val="TableDescription"/>
      </w:pPr>
      <w:r w:rsidRPr="000E10D1">
        <w:rPr>
          <w:vertAlign w:val="superscript"/>
        </w:rPr>
        <w:t xml:space="preserve">b. </w:t>
      </w:r>
      <w:r w:rsidR="000E10D1">
        <w:t xml:space="preserve">The UAS is a composite of recorded score with numeric severity intensity ratings on a scale of 0 to 3 (0 = none to 3 = intense/severe) for 1) the number of wheals (hives): and 2) the intensity of the itch, measured twice daily (morning and evening). Daily UAS is the average </w:t>
      </w:r>
      <w:r w:rsidR="00652101">
        <w:t xml:space="preserve">of </w:t>
      </w:r>
      <w:r w:rsidR="000E10D1">
        <w:t>morning and evening scores (range 0 to 6 points/day) and the UAS7 is the sum of the daily UAS scores over 7 days (range 0 to 42)</w:t>
      </w:r>
      <w:r w:rsidR="00BD2229">
        <w:t>.</w:t>
      </w:r>
    </w:p>
    <w:p w:rsidR="000E10D1" w:rsidRDefault="000E10D1" w:rsidP="006F527F">
      <w:pPr>
        <w:pStyle w:val="TableDescription"/>
      </w:pPr>
      <w:r w:rsidRPr="000E10D1">
        <w:rPr>
          <w:vertAlign w:val="superscript"/>
        </w:rPr>
        <w:lastRenderedPageBreak/>
        <w:t>c.</w:t>
      </w:r>
      <w:r>
        <w:t xml:space="preserve"> Number of hives is measured twice </w:t>
      </w:r>
      <w:r w:rsidR="00652101">
        <w:t>daily</w:t>
      </w:r>
      <w:r>
        <w:t xml:space="preserve"> (morning and evening) on a scale from 0 (none) to 3 (&gt; 12 hivers per 12 hours). Daily hives score is the average of morning and evening scores, and the weekly hives score is the sum of the daily hives scores over 7 days (range 0 to 21).</w:t>
      </w:r>
    </w:p>
    <w:p w:rsidR="000E10D1" w:rsidRDefault="000E10D1" w:rsidP="006F527F">
      <w:pPr>
        <w:pStyle w:val="TableDescription"/>
      </w:pPr>
      <w:r w:rsidRPr="000E10D1">
        <w:rPr>
          <w:vertAlign w:val="superscript"/>
        </w:rPr>
        <w:t>d.</w:t>
      </w:r>
      <w:r>
        <w:t xml:space="preserve"> Measured twice daily, on a scale of 0 (none) to 3 (&gt;2.5 cm). Daily larges hive score is the average of the morning and evening scores, and the weekly larges hive score is the sum of the daily scores over 7 days (range 0 to 21)</w:t>
      </w:r>
      <w:r w:rsidR="00BD2229">
        <w:t>.</w:t>
      </w:r>
    </w:p>
    <w:p w:rsidR="0040056D" w:rsidRPr="00457325" w:rsidRDefault="000E10D1" w:rsidP="006F527F">
      <w:pPr>
        <w:pStyle w:val="TableDescription"/>
      </w:pPr>
      <w:r w:rsidRPr="000E10D1">
        <w:rPr>
          <w:vertAlign w:val="superscript"/>
        </w:rPr>
        <w:t>e.</w:t>
      </w:r>
      <w:r>
        <w:t xml:space="preserve"> The proportion of itch free days is defined by the number of days a patient has a </w:t>
      </w:r>
      <w:r w:rsidR="00652101">
        <w:t>daily</w:t>
      </w:r>
      <w:r>
        <w:t xml:space="preserve"> itch score of 0 over the number of days in Week 12.</w:t>
      </w:r>
    </w:p>
    <w:p w:rsidR="00557013" w:rsidRPr="004778FF" w:rsidRDefault="00557013" w:rsidP="004778FF">
      <w:pPr>
        <w:pStyle w:val="Heading5"/>
      </w:pPr>
      <w:bookmarkStart w:id="35" w:name="Table_21_–_Study_4881g_–_Exploratory_end"/>
      <w:bookmarkStart w:id="36" w:name="_bookmark32"/>
      <w:bookmarkEnd w:id="35"/>
      <w:bookmarkEnd w:id="36"/>
      <w:r w:rsidRPr="004778FF">
        <w:t xml:space="preserve">Other </w:t>
      </w:r>
      <w:r w:rsidR="000A34F6" w:rsidRPr="004778FF">
        <w:t>analyses</w:t>
      </w:r>
    </w:p>
    <w:p w:rsidR="00557013" w:rsidRPr="00A12D97" w:rsidRDefault="00557013" w:rsidP="00A12D97">
      <w:r w:rsidRPr="00A12D97">
        <w:t xml:space="preserve">Subgroup </w:t>
      </w:r>
      <w:r w:rsidR="000A34F6" w:rsidRPr="00A12D97">
        <w:t>analyses</w:t>
      </w:r>
      <w:r w:rsidRPr="00A12D97">
        <w:t xml:space="preserve"> were conducted for the primary endpoint. The results for the comparison of the 300 mg </w:t>
      </w:r>
      <w:r w:rsidR="001136E7" w:rsidRPr="00A12D97">
        <w:t>versus</w:t>
      </w:r>
      <w:r w:rsidRPr="00A12D97">
        <w:t xml:space="preserve"> placebo </w:t>
      </w:r>
      <w:r w:rsidR="001923B1" w:rsidRPr="00A12D97">
        <w:t>were provided</w:t>
      </w:r>
      <w:r w:rsidRPr="00A12D97">
        <w:t>. The drug appeared to be effective in all subgroups analysed, as the point estimate for the LSM difference between omalizumab and placebo was consistently less than zero. Similar results were seen in subgroup analyses of the 1</w:t>
      </w:r>
      <w:r w:rsidR="00E36628" w:rsidRPr="00A12D97">
        <w:t>50 and 75 mg omalizumab groups.</w:t>
      </w:r>
    </w:p>
    <w:p w:rsidR="00E376F6" w:rsidRPr="00A12D97" w:rsidRDefault="00557013" w:rsidP="00A12D97">
      <w:r w:rsidRPr="00A12D97">
        <w:t>The study re</w:t>
      </w:r>
      <w:r w:rsidR="001923B1" w:rsidRPr="00A12D97">
        <w:t xml:space="preserve">port also presented data on the </w:t>
      </w:r>
      <w:r w:rsidRPr="00A12D97">
        <w:t>completion of the patient daily diary. Compliance was high with the mean proportion of days a patient recorded at least one diary entry was &gt;</w:t>
      </w:r>
      <w:r w:rsidR="00A12D97">
        <w:t> </w:t>
      </w:r>
      <w:r w:rsidRPr="00A12D97">
        <w:t>96% for each treatment group during the first 12 weeks of the treatment period and &gt;</w:t>
      </w:r>
      <w:r w:rsidR="00A12D97">
        <w:t> </w:t>
      </w:r>
      <w:r w:rsidRPr="00A12D97">
        <w:t>95% during the entire 24</w:t>
      </w:r>
      <w:r w:rsidR="00A12D97">
        <w:t xml:space="preserve"> </w:t>
      </w:r>
      <w:r w:rsidRPr="00A12D97">
        <w:t>week treatment period.</w:t>
      </w:r>
    </w:p>
    <w:p w:rsidR="00557013" w:rsidRPr="004778FF" w:rsidRDefault="003A7DA7" w:rsidP="004778FF">
      <w:pPr>
        <w:pStyle w:val="Heading4"/>
      </w:pPr>
      <w:r w:rsidRPr="004778FF">
        <w:t>Study 4882g (‘ASTERIA II’)</w:t>
      </w:r>
    </w:p>
    <w:p w:rsidR="00557013" w:rsidRPr="004778FF" w:rsidRDefault="00557013" w:rsidP="004778FF">
      <w:pPr>
        <w:pStyle w:val="Heading5"/>
      </w:pPr>
      <w:r w:rsidRPr="004778FF">
        <w:t xml:space="preserve"> Study design, </w:t>
      </w:r>
      <w:r w:rsidR="003A7DA7" w:rsidRPr="004778FF">
        <w:t>objectives, locations and dates</w:t>
      </w:r>
    </w:p>
    <w:p w:rsidR="00557013" w:rsidRPr="00A12D97" w:rsidRDefault="00557013" w:rsidP="00A12D97">
      <w:r w:rsidRPr="00A12D97">
        <w:t xml:space="preserve">The study design was identical to that of </w:t>
      </w:r>
      <w:r w:rsidR="00A12D97">
        <w:t>Study</w:t>
      </w:r>
      <w:r w:rsidRPr="00A12D97">
        <w:t xml:space="preserve"> 4881g, except that the duration of treatment was 12 weeks instead of 24 weeks. An overall study schema for the trial is</w:t>
      </w:r>
      <w:r w:rsidR="00E36628" w:rsidRPr="00A12D97">
        <w:t xml:space="preserve"> shown in Figure </w:t>
      </w:r>
      <w:r w:rsidR="001923B1" w:rsidRPr="00A12D97">
        <w:t>3</w:t>
      </w:r>
      <w:r w:rsidRPr="00A12D97">
        <w:t>. Patient</w:t>
      </w:r>
      <w:r w:rsidR="000E3BD7">
        <w:t>s attended the study clinic on D</w:t>
      </w:r>
      <w:r w:rsidRPr="00A12D97">
        <w:t>ays -</w:t>
      </w:r>
      <w:r w:rsidR="00A12D97">
        <w:t xml:space="preserve"> </w:t>
      </w:r>
      <w:r w:rsidRPr="00A12D97">
        <w:t>14 and -</w:t>
      </w:r>
      <w:r w:rsidR="00A12D97">
        <w:t xml:space="preserve"> </w:t>
      </w:r>
      <w:r w:rsidRPr="00A12D97">
        <w:t>7 during screening and then every 4 weeks during the treatment and follow-up periods.</w:t>
      </w:r>
    </w:p>
    <w:p w:rsidR="00BE5B73" w:rsidRPr="004778FF" w:rsidRDefault="001923B1" w:rsidP="004778FF">
      <w:pPr>
        <w:pStyle w:val="FigureTitle"/>
      </w:pPr>
      <w:proofErr w:type="gramStart"/>
      <w:r w:rsidRPr="004778FF">
        <w:t>Figure 3</w:t>
      </w:r>
      <w:r w:rsidR="009C3D11" w:rsidRPr="004778FF">
        <w:t>.</w:t>
      </w:r>
      <w:proofErr w:type="gramEnd"/>
      <w:r w:rsidR="009C3D11" w:rsidRPr="004778FF">
        <w:t xml:space="preserve"> </w:t>
      </w:r>
      <w:r w:rsidR="00BE5B73" w:rsidRPr="004778FF">
        <w:t>Study 4882g</w:t>
      </w:r>
      <w:r w:rsidR="009C3D11" w:rsidRPr="004778FF">
        <w:t>.</w:t>
      </w:r>
      <w:r w:rsidR="00BE5B73" w:rsidRPr="004778FF">
        <w:t xml:space="preserve"> Study schema</w:t>
      </w:r>
      <w:r w:rsidRPr="004778FF">
        <w:t>.</w:t>
      </w:r>
    </w:p>
    <w:p w:rsidR="00BE5B73" w:rsidRDefault="00BE5B73" w:rsidP="00BE5B73">
      <w:pPr>
        <w:spacing w:before="51"/>
        <w:ind w:left="140" w:right="985"/>
        <w:rPr>
          <w:rFonts w:cs="Cambria"/>
        </w:rPr>
      </w:pPr>
      <w:r>
        <w:rPr>
          <w:noProof/>
          <w:lang w:eastAsia="en-AU"/>
        </w:rPr>
        <w:drawing>
          <wp:inline distT="0" distB="0" distL="0" distR="0" wp14:anchorId="4E75D390" wp14:editId="19422989">
            <wp:extent cx="4813402" cy="2794295"/>
            <wp:effectExtent l="0" t="0" r="6350" b="6350"/>
            <wp:docPr id="169" name="Picture 169" descr="Figure 3 - Study 4882g –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3324" cy="2794250"/>
                    </a:xfrm>
                    <a:prstGeom prst="rect">
                      <a:avLst/>
                    </a:prstGeom>
                    <a:noFill/>
                    <a:ln>
                      <a:noFill/>
                    </a:ln>
                  </pic:spPr>
                </pic:pic>
              </a:graphicData>
            </a:graphic>
          </wp:inline>
        </w:drawing>
      </w:r>
    </w:p>
    <w:p w:rsidR="00E52536" w:rsidRPr="00AB55D9" w:rsidRDefault="005E69A6" w:rsidP="00AB55D9">
      <w:r w:rsidRPr="00AB55D9">
        <w:t xml:space="preserve">The objectives </w:t>
      </w:r>
      <w:r w:rsidR="00E52536" w:rsidRPr="00AB55D9">
        <w:t>of the st</w:t>
      </w:r>
      <w:r w:rsidR="00A12D97">
        <w:t>udy were identical to those of S</w:t>
      </w:r>
      <w:r w:rsidR="00E52536" w:rsidRPr="00AB55D9">
        <w:t>tu</w:t>
      </w:r>
      <w:r w:rsidR="00791145" w:rsidRPr="00AB55D9">
        <w:t>dy 4881g.</w:t>
      </w:r>
    </w:p>
    <w:p w:rsidR="00E52536" w:rsidRPr="00AB55D9" w:rsidRDefault="00E52536" w:rsidP="00AB55D9">
      <w:r w:rsidRPr="00AB55D9">
        <w:t>The study was conducted in 55 centres in 8 countries: the United States (34 centres), Germany (5), Poland (5), Turkey (4), France (2), Denmark</w:t>
      </w:r>
      <w:r w:rsidR="003A7DA7" w:rsidRPr="00AB55D9">
        <w:t xml:space="preserve"> (2), Italy (2), and Spain (1).</w:t>
      </w:r>
    </w:p>
    <w:p w:rsidR="00E52536" w:rsidRPr="00AB55D9" w:rsidRDefault="00E52536" w:rsidP="00AB55D9">
      <w:r w:rsidRPr="00AB55D9">
        <w:t>The first patient was randomised on 10 March 2011, and the last patient visit was on 27 June 2012. The study report was dated June 201</w:t>
      </w:r>
      <w:r w:rsidR="00AB55D9">
        <w:t>3. The study has been published.</w:t>
      </w:r>
      <w:r w:rsidR="001923B1">
        <w:t xml:space="preserve"> </w:t>
      </w:r>
      <w:r w:rsidRPr="00AB55D9">
        <w:rPr>
          <w:vertAlign w:val="superscript"/>
        </w:rPr>
        <w:t>(10)</w:t>
      </w:r>
    </w:p>
    <w:p w:rsidR="00E52536" w:rsidRPr="004778FF" w:rsidRDefault="00E52536" w:rsidP="004778FF">
      <w:pPr>
        <w:pStyle w:val="Heading5"/>
      </w:pPr>
      <w:r w:rsidRPr="004778FF">
        <w:lastRenderedPageBreak/>
        <w:t>I</w:t>
      </w:r>
      <w:r w:rsidR="003A7DA7" w:rsidRPr="004778FF">
        <w:t>nclusion and exclusion criteria</w:t>
      </w:r>
    </w:p>
    <w:p w:rsidR="00E52536" w:rsidRPr="00AB55D9" w:rsidRDefault="00E52536" w:rsidP="00AB55D9">
      <w:r w:rsidRPr="00AB55D9">
        <w:t>The inclusion and exclusion criteria w</w:t>
      </w:r>
      <w:r w:rsidR="00A12D97">
        <w:t>ere identical to those used in S</w:t>
      </w:r>
      <w:r w:rsidRPr="00AB55D9">
        <w:t>tudy 488</w:t>
      </w:r>
      <w:r w:rsidR="001923B1">
        <w:t>1g (see Table 4 and Table 5</w:t>
      </w:r>
      <w:r w:rsidR="003A7DA7" w:rsidRPr="00AB55D9">
        <w:t>).</w:t>
      </w:r>
    </w:p>
    <w:p w:rsidR="00E52536" w:rsidRPr="004778FF" w:rsidRDefault="003A7DA7" w:rsidP="004778FF">
      <w:pPr>
        <w:pStyle w:val="Heading5"/>
      </w:pPr>
      <w:r w:rsidRPr="004778FF">
        <w:t>Study treatments</w:t>
      </w:r>
    </w:p>
    <w:p w:rsidR="00E52536" w:rsidRPr="00AB55D9" w:rsidRDefault="00E52536" w:rsidP="00AB55D9">
      <w:r w:rsidRPr="00AB55D9">
        <w:t>Study treatments were identical to those used in study 4881g except that treatment was continued for onl</w:t>
      </w:r>
      <w:r w:rsidR="003A7DA7" w:rsidRPr="00AB55D9">
        <w:t>y 12 weeks (3 administrations).</w:t>
      </w:r>
    </w:p>
    <w:p w:rsidR="00E52536" w:rsidRPr="004778FF" w:rsidRDefault="0064116A" w:rsidP="004778FF">
      <w:pPr>
        <w:pStyle w:val="Heading5"/>
      </w:pPr>
      <w:r w:rsidRPr="004778FF">
        <w:t>Efficacy variables and outcomes</w:t>
      </w:r>
    </w:p>
    <w:p w:rsidR="00E52536" w:rsidRPr="00AB55D9" w:rsidRDefault="00E52536" w:rsidP="00AB55D9">
      <w:r w:rsidRPr="00AB55D9">
        <w:t xml:space="preserve">The </w:t>
      </w:r>
      <w:r w:rsidR="0064116A" w:rsidRPr="00AB55D9">
        <w:t xml:space="preserve">primary efficacy </w:t>
      </w:r>
      <w:r w:rsidRPr="00AB55D9">
        <w:t>endpoint</w:t>
      </w:r>
      <w:r w:rsidR="0064116A" w:rsidRPr="00AB55D9">
        <w:t xml:space="preserve"> w</w:t>
      </w:r>
      <w:r w:rsidR="00A12D97">
        <w:t>as the same as that used in S</w:t>
      </w:r>
      <w:r w:rsidRPr="00AB55D9">
        <w:t>tudy 4881g (change from baseline in the weekly itch severi</w:t>
      </w:r>
      <w:r w:rsidR="003A7DA7" w:rsidRPr="00AB55D9">
        <w:t xml:space="preserve">ty score at </w:t>
      </w:r>
      <w:r w:rsidR="000E3BD7">
        <w:t xml:space="preserve">Week </w:t>
      </w:r>
      <w:r w:rsidR="003A7DA7" w:rsidRPr="00AB55D9">
        <w:t>12).</w:t>
      </w:r>
    </w:p>
    <w:p w:rsidR="00E52536" w:rsidRPr="00AB55D9" w:rsidRDefault="00E52536" w:rsidP="00AB55D9">
      <w:r w:rsidRPr="00AB55D9">
        <w:t>The secondary efficacy endpoints w</w:t>
      </w:r>
      <w:r w:rsidR="00A12D97">
        <w:t>ere identical to those used in S</w:t>
      </w:r>
      <w:r w:rsidRPr="00AB55D9">
        <w:t xml:space="preserve">tudy 4881g, except that the proportion of subjects with a UAS7 equal to zero (complete responders) at </w:t>
      </w:r>
      <w:r w:rsidR="000E3BD7">
        <w:t xml:space="preserve">Week </w:t>
      </w:r>
      <w:r w:rsidRPr="00AB55D9">
        <w:t>12 was not used as an endpoint. This study therefore only had eight secon</w:t>
      </w:r>
      <w:r w:rsidR="003A7DA7" w:rsidRPr="00AB55D9">
        <w:t>dary endpoints instead of nine.</w:t>
      </w:r>
    </w:p>
    <w:p w:rsidR="00E52536" w:rsidRPr="004778FF" w:rsidRDefault="00E52536" w:rsidP="004778FF">
      <w:pPr>
        <w:pStyle w:val="Heading5"/>
      </w:pPr>
      <w:r w:rsidRPr="004778FF">
        <w:t>Ran</w:t>
      </w:r>
      <w:r w:rsidR="003A7DA7" w:rsidRPr="004778FF">
        <w:t>domisation and blinding methods</w:t>
      </w:r>
    </w:p>
    <w:p w:rsidR="00E52536" w:rsidRPr="00AB55D9" w:rsidRDefault="00E52536" w:rsidP="00AB55D9">
      <w:r w:rsidRPr="00AB55D9">
        <w:t xml:space="preserve">Randomisation and blinding methods were identical to those used in </w:t>
      </w:r>
      <w:r w:rsidR="00A12D97">
        <w:t>Study</w:t>
      </w:r>
      <w:r w:rsidR="003A7DA7" w:rsidRPr="00AB55D9">
        <w:t xml:space="preserve"> </w:t>
      </w:r>
      <w:r w:rsidR="005B3862" w:rsidRPr="00AB55D9">
        <w:t>4881g</w:t>
      </w:r>
      <w:r w:rsidR="003A7DA7" w:rsidRPr="00AB55D9">
        <w:t>.</w:t>
      </w:r>
    </w:p>
    <w:p w:rsidR="00E52536" w:rsidRPr="004778FF" w:rsidRDefault="003A7DA7" w:rsidP="004778FF">
      <w:pPr>
        <w:pStyle w:val="Heading5"/>
      </w:pPr>
      <w:r w:rsidRPr="004778FF">
        <w:t>Analysis populations</w:t>
      </w:r>
    </w:p>
    <w:p w:rsidR="00E52536" w:rsidRPr="00AB55D9" w:rsidRDefault="00E52536" w:rsidP="00AB55D9">
      <w:r w:rsidRPr="00AB55D9">
        <w:t xml:space="preserve">The analysis populations defined were identical to those in </w:t>
      </w:r>
      <w:r w:rsidR="00A12D97">
        <w:t>Study</w:t>
      </w:r>
      <w:r w:rsidR="005B3862" w:rsidRPr="00AB55D9">
        <w:t xml:space="preserve"> 4881g</w:t>
      </w:r>
      <w:r w:rsidR="003A7DA7" w:rsidRPr="00AB55D9">
        <w:t>.</w:t>
      </w:r>
    </w:p>
    <w:p w:rsidR="00E52536" w:rsidRPr="004778FF" w:rsidRDefault="003A7DA7" w:rsidP="004778FF">
      <w:pPr>
        <w:pStyle w:val="Heading5"/>
      </w:pPr>
      <w:r w:rsidRPr="004778FF">
        <w:t>Sample size</w:t>
      </w:r>
    </w:p>
    <w:p w:rsidR="00E52536" w:rsidRPr="00AB55D9" w:rsidRDefault="00E52536" w:rsidP="00AB55D9">
      <w:r w:rsidRPr="00AB55D9">
        <w:t xml:space="preserve">The sample size calculations were identical to those used in </w:t>
      </w:r>
      <w:r w:rsidR="00A12D97">
        <w:t>Study</w:t>
      </w:r>
      <w:r w:rsidRPr="00AB55D9">
        <w:t xml:space="preserve"> 4881g. A sample size of 300 subjects was planned w</w:t>
      </w:r>
      <w:r w:rsidR="003A7DA7" w:rsidRPr="00AB55D9">
        <w:t>ith 75 in each treatment group.</w:t>
      </w:r>
    </w:p>
    <w:p w:rsidR="00E52536" w:rsidRPr="004778FF" w:rsidRDefault="003A7DA7" w:rsidP="004778FF">
      <w:pPr>
        <w:pStyle w:val="Heading5"/>
      </w:pPr>
      <w:r w:rsidRPr="004778FF">
        <w:t>Statistical methods</w:t>
      </w:r>
    </w:p>
    <w:p w:rsidR="00E52536" w:rsidRPr="00AB55D9" w:rsidRDefault="00E52536" w:rsidP="00AB55D9">
      <w:r w:rsidRPr="00AB55D9">
        <w:t xml:space="preserve">The statistical methods used were identical to those used in </w:t>
      </w:r>
      <w:r w:rsidR="00A12D97">
        <w:t>Study</w:t>
      </w:r>
      <w:r w:rsidRPr="00AB55D9">
        <w:t xml:space="preserve"> 48</w:t>
      </w:r>
      <w:r w:rsidR="005B3862" w:rsidRPr="00AB55D9">
        <w:t>81g</w:t>
      </w:r>
      <w:r w:rsidRPr="00AB55D9">
        <w:t>. The primary analysis was planned to take place when all patients had</w:t>
      </w:r>
      <w:r w:rsidR="000E3BD7">
        <w:t xml:space="preserve"> completed their W</w:t>
      </w:r>
      <w:r w:rsidR="003A7DA7" w:rsidRPr="00AB55D9">
        <w:t>eek 28 visit.</w:t>
      </w:r>
    </w:p>
    <w:p w:rsidR="00E52536" w:rsidRPr="004778FF" w:rsidRDefault="003A7DA7" w:rsidP="004778FF">
      <w:pPr>
        <w:pStyle w:val="Heading5"/>
      </w:pPr>
      <w:r w:rsidRPr="004778FF">
        <w:t>Participant flow</w:t>
      </w:r>
    </w:p>
    <w:p w:rsidR="00E52536" w:rsidRPr="00AB55D9" w:rsidRDefault="00E52536" w:rsidP="00AB55D9">
      <w:r w:rsidRPr="00AB55D9">
        <w:t xml:space="preserve">A total of 466 subjects were screened for inclusion in the </w:t>
      </w:r>
      <w:r w:rsidR="00A12D97">
        <w:t>study</w:t>
      </w:r>
      <w:r w:rsidRPr="00AB55D9">
        <w:t>, and 323 were randomised and 322 were treated. The most frequent reaso</w:t>
      </w:r>
      <w:r w:rsidR="003A7DA7" w:rsidRPr="00AB55D9">
        <w:t>ns for screening failures were:</w:t>
      </w:r>
    </w:p>
    <w:p w:rsidR="00E52536" w:rsidRPr="00AB55D9" w:rsidRDefault="00E52536" w:rsidP="00AB55D9">
      <w:pPr>
        <w:pStyle w:val="ListBullet"/>
      </w:pPr>
      <w:r w:rsidRPr="00AB55D9">
        <w:t>Evidence of current</w:t>
      </w:r>
      <w:r w:rsidR="00535DAC">
        <w:t xml:space="preserve"> drug or alcohol abuse (14.4%)</w:t>
      </w:r>
    </w:p>
    <w:p w:rsidR="00E52536" w:rsidRPr="00AB55D9" w:rsidRDefault="00E52536" w:rsidP="00AB55D9">
      <w:pPr>
        <w:pStyle w:val="ListBullet"/>
      </w:pPr>
      <w:r w:rsidRPr="00AB55D9">
        <w:t xml:space="preserve">Contraindications </w:t>
      </w:r>
      <w:r w:rsidR="003A7DA7" w:rsidRPr="00AB55D9">
        <w:t>to diphenhydramine (12.3%) and</w:t>
      </w:r>
    </w:p>
    <w:p w:rsidR="00E52536" w:rsidRPr="00AB55D9" w:rsidRDefault="00E52536" w:rsidP="00AB55D9">
      <w:pPr>
        <w:pStyle w:val="ListBullet"/>
      </w:pPr>
      <w:r w:rsidRPr="00AB55D9">
        <w:t>Other (not specified) (32.2%)</w:t>
      </w:r>
      <w:r w:rsidR="003A7DA7" w:rsidRPr="00AB55D9">
        <w:t>.</w:t>
      </w:r>
    </w:p>
    <w:p w:rsidR="00E52536" w:rsidRPr="00457C69" w:rsidRDefault="00E52536" w:rsidP="00457C69">
      <w:r w:rsidRPr="00457C69">
        <w:t>Of the 323 subjects randomised, 304 (94.1%) completed the 12 weeks of treatment and 290 (89.8%) completed the entire 28 weeks of the study. The reasons for withdrawal from the study (</w:t>
      </w:r>
      <w:r w:rsidR="001136E7" w:rsidRPr="00457C69">
        <w:t>that is,</w:t>
      </w:r>
      <w:r w:rsidRPr="00457C69">
        <w:t xml:space="preserve"> prior t</w:t>
      </w:r>
      <w:r w:rsidR="00845861" w:rsidRPr="00457C69">
        <w:t xml:space="preserve">o </w:t>
      </w:r>
      <w:r w:rsidR="000E3BD7" w:rsidRPr="00457C69">
        <w:t xml:space="preserve">Week </w:t>
      </w:r>
      <w:r w:rsidR="00845861" w:rsidRPr="00457C69">
        <w:t>28) are shown in Figur</w:t>
      </w:r>
      <w:r w:rsidR="004E075F" w:rsidRPr="00457C69">
        <w:t>e 4</w:t>
      </w:r>
      <w:r w:rsidRPr="00457C69">
        <w:t>. Reasons for withdrawal of treatment (</w:t>
      </w:r>
      <w:r w:rsidR="001136E7" w:rsidRPr="00457C69">
        <w:t>that is,</w:t>
      </w:r>
      <w:r w:rsidRPr="00457C69">
        <w:t xml:space="preserve"> prior t</w:t>
      </w:r>
      <w:r w:rsidR="00BA7DF8" w:rsidRPr="00457C69">
        <w:t xml:space="preserve">o </w:t>
      </w:r>
      <w:r w:rsidR="000E3BD7" w:rsidRPr="00457C69">
        <w:t xml:space="preserve">Week </w:t>
      </w:r>
      <w:r w:rsidR="00BA7DF8" w:rsidRPr="00457C69">
        <w:t>12</w:t>
      </w:r>
      <w:r w:rsidR="003C37C1" w:rsidRPr="00457C69">
        <w:t>were provided</w:t>
      </w:r>
      <w:r w:rsidRPr="00457C69">
        <w:t>. The analysis p</w:t>
      </w:r>
      <w:r w:rsidR="003C37C1" w:rsidRPr="00457C69">
        <w:t>opulation</w:t>
      </w:r>
      <w:r w:rsidR="00BA7DF8" w:rsidRPr="00457C69">
        <w:t xml:space="preserve"> </w:t>
      </w:r>
      <w:r w:rsidR="003C37C1" w:rsidRPr="00457C69">
        <w:t>was described</w:t>
      </w:r>
      <w:r w:rsidRPr="00457C69">
        <w:t>.</w:t>
      </w:r>
    </w:p>
    <w:p w:rsidR="004778FF" w:rsidRDefault="004778FF">
      <w:pPr>
        <w:spacing w:before="0" w:after="200" w:line="0" w:lineRule="auto"/>
        <w:rPr>
          <w:b/>
        </w:rPr>
      </w:pPr>
      <w:r>
        <w:br w:type="page"/>
      </w:r>
    </w:p>
    <w:p w:rsidR="0072056C" w:rsidRPr="004778FF" w:rsidRDefault="0072056C" w:rsidP="004778FF">
      <w:pPr>
        <w:pStyle w:val="FigureTitle"/>
      </w:pPr>
      <w:proofErr w:type="gramStart"/>
      <w:r w:rsidRPr="004778FF">
        <w:lastRenderedPageBreak/>
        <w:t xml:space="preserve">Figure </w:t>
      </w:r>
      <w:r w:rsidR="004E075F" w:rsidRPr="004778FF">
        <w:t>4</w:t>
      </w:r>
      <w:r w:rsidR="009C3D11" w:rsidRPr="004778FF">
        <w:t>.</w:t>
      </w:r>
      <w:proofErr w:type="gramEnd"/>
      <w:r w:rsidRPr="004778FF">
        <w:t xml:space="preserve"> Study 4882g</w:t>
      </w:r>
      <w:r w:rsidR="009C3D11" w:rsidRPr="004778FF">
        <w:t xml:space="preserve">. </w:t>
      </w:r>
      <w:proofErr w:type="gramStart"/>
      <w:r w:rsidRPr="004778FF">
        <w:t>Participant flow</w:t>
      </w:r>
      <w:r w:rsidR="00457C69" w:rsidRPr="004778FF">
        <w:t>.</w:t>
      </w:r>
      <w:proofErr w:type="gramEnd"/>
    </w:p>
    <w:p w:rsidR="004E075F" w:rsidRDefault="004E075F" w:rsidP="006F527F">
      <w:r>
        <w:rPr>
          <w:noProof/>
          <w:lang w:eastAsia="en-AU"/>
        </w:rPr>
        <w:drawing>
          <wp:inline distT="0" distB="0" distL="0" distR="0" wp14:anchorId="1A4027AA" wp14:editId="2A3E75C2">
            <wp:extent cx="5572125" cy="5534025"/>
            <wp:effectExtent l="0" t="0" r="9525" b="9525"/>
            <wp:docPr id="17" name="Picture 17" descr="Figure 4. Study 4882g.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72125" cy="5534025"/>
                    </a:xfrm>
                    <a:prstGeom prst="rect">
                      <a:avLst/>
                    </a:prstGeom>
                  </pic:spPr>
                </pic:pic>
              </a:graphicData>
            </a:graphic>
          </wp:inline>
        </w:drawing>
      </w:r>
    </w:p>
    <w:p w:rsidR="004E075F" w:rsidRDefault="004E075F" w:rsidP="006F527F">
      <w:pPr>
        <w:pStyle w:val="FigureDescription"/>
      </w:pPr>
      <w:r>
        <w:t>Note: Percentages are based on the</w:t>
      </w:r>
      <w:r w:rsidR="009C3D11">
        <w:t xml:space="preserve"> number of randomised patients.</w:t>
      </w:r>
    </w:p>
    <w:p w:rsidR="004E075F" w:rsidRDefault="003C37C1" w:rsidP="006F527F">
      <w:pPr>
        <w:pStyle w:val="FigureDescription"/>
      </w:pPr>
      <w:r>
        <w:t>a. One patient (randomised to omalizumab 150 mg) did not rec</w:t>
      </w:r>
      <w:r w:rsidR="00457C69">
        <w:t>eive study drug as a result of p</w:t>
      </w:r>
      <w:r>
        <w:t xml:space="preserve">atient’s decision to withdraw, and was therefore not included in the </w:t>
      </w:r>
      <w:proofErr w:type="spellStart"/>
      <w:r>
        <w:t>mITT</w:t>
      </w:r>
      <w:proofErr w:type="spellEnd"/>
      <w:r>
        <w:t xml:space="preserve"> population.</w:t>
      </w:r>
    </w:p>
    <w:p w:rsidR="0072056C" w:rsidRPr="003C37C1" w:rsidRDefault="003C37C1" w:rsidP="006F527F">
      <w:pPr>
        <w:pStyle w:val="FigureDescription"/>
      </w:pPr>
      <w:r>
        <w:t>b. Defined as either worsening of or no improvement of the patient’s disease.</w:t>
      </w:r>
    </w:p>
    <w:p w:rsidR="00E302E5" w:rsidRPr="004778FF" w:rsidRDefault="00E302E5" w:rsidP="004778FF">
      <w:pPr>
        <w:pStyle w:val="Heading5"/>
      </w:pPr>
      <w:r w:rsidRPr="004778FF">
        <w:t>Major</w:t>
      </w:r>
      <w:r w:rsidR="003A7DA7" w:rsidRPr="004778FF">
        <w:t xml:space="preserve"> protocol violations/deviations</w:t>
      </w:r>
    </w:p>
    <w:p w:rsidR="00E302E5" w:rsidRPr="00AB55D9" w:rsidRDefault="00E302E5" w:rsidP="00AB55D9">
      <w:r w:rsidRPr="00AB55D9">
        <w:t>The definition of a major protocol violation was identic</w:t>
      </w:r>
      <w:r w:rsidR="005B3862" w:rsidRPr="00AB55D9">
        <w:t xml:space="preserve">al to that used for </w:t>
      </w:r>
      <w:r w:rsidR="00A12D97">
        <w:t>Study</w:t>
      </w:r>
      <w:r w:rsidR="005B3862" w:rsidRPr="00AB55D9">
        <w:t xml:space="preserve"> 4881g</w:t>
      </w:r>
      <w:r w:rsidRPr="00AB55D9">
        <w:t xml:space="preserve">. The types of major protocol violations that occurred in </w:t>
      </w:r>
      <w:r w:rsidR="00A12D97">
        <w:t>Study</w:t>
      </w:r>
      <w:r w:rsidRPr="00AB55D9">
        <w:t xml:space="preserve"> </w:t>
      </w:r>
      <w:r w:rsidR="001F39C2" w:rsidRPr="00AB55D9">
        <w:t>488</w:t>
      </w:r>
      <w:r w:rsidR="009B4B67" w:rsidRPr="00AB55D9">
        <w:t xml:space="preserve">2g </w:t>
      </w:r>
      <w:r w:rsidR="00595229">
        <w:t>were provided</w:t>
      </w:r>
      <w:r w:rsidRPr="00AB55D9">
        <w:t xml:space="preserve">. None of the violations led to exclusion of patients from the </w:t>
      </w:r>
      <w:proofErr w:type="spellStart"/>
      <w:r w:rsidRPr="00AB55D9">
        <w:t>mITT</w:t>
      </w:r>
      <w:proofErr w:type="spellEnd"/>
      <w:r w:rsidRPr="00AB55D9">
        <w:t xml:space="preserve"> popul</w:t>
      </w:r>
      <w:r w:rsidR="003A7DA7" w:rsidRPr="00AB55D9">
        <w:t>ation or the safety population.</w:t>
      </w:r>
    </w:p>
    <w:p w:rsidR="00E302E5" w:rsidRPr="00457325" w:rsidRDefault="00457325" w:rsidP="00457325">
      <w:pPr>
        <w:ind w:left="1021" w:hanging="1021"/>
      </w:pPr>
      <w:r w:rsidRPr="00457325">
        <w:t>Comment</w:t>
      </w:r>
      <w:r w:rsidR="00E302E5" w:rsidRPr="00457325">
        <w:t>: Major protocol violations occurred more commonly in the 75 mg dose group (18.3%) compared to</w:t>
      </w:r>
      <w:r w:rsidR="00457C69">
        <w:t xml:space="preserve"> the other groups (5.1 to</w:t>
      </w:r>
      <w:r w:rsidR="003A7DA7" w:rsidRPr="00457325">
        <w:t xml:space="preserve"> 9.6%).</w:t>
      </w:r>
    </w:p>
    <w:p w:rsidR="00E302E5" w:rsidRPr="004778FF" w:rsidRDefault="003A7DA7" w:rsidP="004778FF">
      <w:pPr>
        <w:pStyle w:val="Heading5"/>
      </w:pPr>
      <w:r w:rsidRPr="004778FF">
        <w:t>Baseline data</w:t>
      </w:r>
    </w:p>
    <w:p w:rsidR="00E302E5" w:rsidRPr="00AB55D9" w:rsidRDefault="00E302E5" w:rsidP="00AB55D9">
      <w:r w:rsidRPr="00AB55D9">
        <w:t>Baseline demographic characteri</w:t>
      </w:r>
      <w:r w:rsidR="0027606C" w:rsidRPr="00AB55D9">
        <w:t xml:space="preserve">stics </w:t>
      </w:r>
      <w:r w:rsidRPr="00AB55D9">
        <w:t>and baseline disease characterist</w:t>
      </w:r>
      <w:r w:rsidR="0027606C" w:rsidRPr="00AB55D9">
        <w:t xml:space="preserve">ics </w:t>
      </w:r>
      <w:r w:rsidR="00595229">
        <w:t>were provided.</w:t>
      </w:r>
    </w:p>
    <w:p w:rsidR="00E302E5" w:rsidRPr="00457325" w:rsidRDefault="00457325" w:rsidP="00457325">
      <w:pPr>
        <w:ind w:left="1021" w:hanging="1021"/>
      </w:pPr>
      <w:r w:rsidRPr="00457325">
        <w:t>Comment</w:t>
      </w:r>
      <w:r w:rsidR="00E302E5" w:rsidRPr="00457325">
        <w:t xml:space="preserve">: The four treatment groups were reasonably well balanced with respect to baseline characteristics, although the 75 mg group was younger (median age 36.0) than the other groups (median age 43.0) </w:t>
      </w:r>
      <w:r w:rsidR="00457C69">
        <w:t>and had a higher proportion of B</w:t>
      </w:r>
      <w:r w:rsidR="00E302E5" w:rsidRPr="00457325">
        <w:t xml:space="preserve">lack subjects </w:t>
      </w:r>
      <w:r w:rsidR="00E302E5" w:rsidRPr="00457325">
        <w:lastRenderedPageBreak/>
        <w:t xml:space="preserve">(14.6% </w:t>
      </w:r>
      <w:r w:rsidR="001136E7">
        <w:t>versus</w:t>
      </w:r>
      <w:r w:rsidR="00457C69">
        <w:t xml:space="preserve"> 5.1 to</w:t>
      </w:r>
      <w:r w:rsidR="00E302E5" w:rsidRPr="00457325">
        <w:t xml:space="preserve"> 8.9%). As in </w:t>
      </w:r>
      <w:r w:rsidR="00A12D97">
        <w:t>Study</w:t>
      </w:r>
      <w:r w:rsidR="00E302E5" w:rsidRPr="00457325">
        <w:t xml:space="preserve"> 4881g, the population was predominantly female (75.</w:t>
      </w:r>
      <w:r w:rsidR="003A7DA7" w:rsidRPr="00457325">
        <w:t>8%). Median age was 42.0 years.</w:t>
      </w:r>
    </w:p>
    <w:p w:rsidR="00E302E5" w:rsidRPr="00AB55D9" w:rsidRDefault="00E302E5" w:rsidP="00457325">
      <w:pPr>
        <w:ind w:left="1021"/>
      </w:pPr>
      <w:r w:rsidRPr="00AB55D9">
        <w:t xml:space="preserve">Baseline disease characteristics were also very similar to those observed in </w:t>
      </w:r>
      <w:r w:rsidR="00A12D97">
        <w:t>Study</w:t>
      </w:r>
      <w:r w:rsidRPr="00AB55D9">
        <w:t xml:space="preserve"> 4881g, with median duration of CIU was 3.3 years, and the median number of previous medications used was 4.0. Baseline median UAS7 was 31.0 (out of a possible 42) and baseline median weekly itch severity score was 13.5 (out of a possible 21), suggesting moderate to severe disease. Angioedema was present at</w:t>
      </w:r>
      <w:r w:rsidR="003A7DA7" w:rsidRPr="00AB55D9">
        <w:t xml:space="preserve"> baseline in 40.7% of subjects.</w:t>
      </w:r>
    </w:p>
    <w:p w:rsidR="00AB55D9" w:rsidRDefault="00E302E5" w:rsidP="00AB55D9">
      <w:r>
        <w:t xml:space="preserve">The study report included tabulations of concurrent diseases and previous treatments. These were similar across the four treatment groups. In terms of concomitant medications used during the study there was a higher incidence of change in antihistamine treatment in the 75 mg </w:t>
      </w:r>
      <w:r w:rsidR="00035389" w:rsidRPr="00035389">
        <w:t>dose group</w:t>
      </w:r>
      <w:r w:rsidRPr="00035389">
        <w:t>.</w:t>
      </w:r>
      <w:r>
        <w:t xml:space="preserve"> Otherwise use of concomitant medications was evenly balanc</w:t>
      </w:r>
      <w:r w:rsidR="003A7DA7">
        <w:t>ed across the treatment groups</w:t>
      </w:r>
      <w:r w:rsidR="00BD2229">
        <w:t>.</w:t>
      </w:r>
    </w:p>
    <w:p w:rsidR="00E302E5" w:rsidRPr="004778FF" w:rsidRDefault="00E302E5" w:rsidP="004778FF">
      <w:pPr>
        <w:pStyle w:val="Heading5"/>
      </w:pPr>
      <w:r w:rsidRPr="004778FF">
        <w:t>Results f</w:t>
      </w:r>
      <w:r w:rsidR="00092E71" w:rsidRPr="004778FF">
        <w:t>or the primary efficacy outcome</w:t>
      </w:r>
    </w:p>
    <w:p w:rsidR="00E302E5" w:rsidRPr="00AB55D9" w:rsidRDefault="00E302E5" w:rsidP="00AB55D9">
      <w:r w:rsidRPr="00AB55D9">
        <w:t>The results for the primar</w:t>
      </w:r>
      <w:r w:rsidR="00BC46A0">
        <w:t>y endpoint are shown in Table 13</w:t>
      </w:r>
      <w:r w:rsidRPr="00AB55D9">
        <w:t>. In this study, the 75 mg dose did not demonstrate superiority over placebo. The 150 and 300 mg doses both produced a statistically significant reduction in itch. The change in weekly itch severity score over the course of the st</w:t>
      </w:r>
      <w:r w:rsidR="00092E71" w:rsidRPr="00AB55D9">
        <w:t xml:space="preserve">udy is illustrated in Figure </w:t>
      </w:r>
      <w:r w:rsidR="003B2B8B">
        <w:t>5</w:t>
      </w:r>
      <w:r w:rsidR="00092E71" w:rsidRPr="00AB55D9">
        <w:t>.</w:t>
      </w:r>
    </w:p>
    <w:p w:rsidR="00E302E5" w:rsidRPr="00457325" w:rsidRDefault="00457325" w:rsidP="00457325">
      <w:pPr>
        <w:ind w:left="1021" w:hanging="1021"/>
      </w:pPr>
      <w:r w:rsidRPr="00457325">
        <w:t>C</w:t>
      </w:r>
      <w:r w:rsidR="00E302E5" w:rsidRPr="00457325">
        <w:t xml:space="preserve">omment: The magnitude of the difference between active and placebo for the 150 and 300 mg dose groups was comparable to that seen in </w:t>
      </w:r>
      <w:r w:rsidR="00A12D97">
        <w:t>Study</w:t>
      </w:r>
      <w:r w:rsidR="00E302E5" w:rsidRPr="00457325">
        <w:t xml:space="preserve"> 4881g, despite the treatment </w:t>
      </w:r>
      <w:r w:rsidR="00D67125" w:rsidRPr="00457325">
        <w:t>d</w:t>
      </w:r>
      <w:r w:rsidR="003B2B8B" w:rsidRPr="00457325">
        <w:t>uration being shorter. Figure 5</w:t>
      </w:r>
      <w:r w:rsidR="00E302E5" w:rsidRPr="00457325">
        <w:t xml:space="preserve"> shows that after omalizumab withdrawal, the itch scores return to a level above that seen in the placebo group, suggesting the p</w:t>
      </w:r>
      <w:r w:rsidR="00092E71" w:rsidRPr="00457325">
        <w:t>ossibility of a rebound effect.</w:t>
      </w:r>
    </w:p>
    <w:p w:rsidR="008C4A3E" w:rsidRPr="004778FF" w:rsidRDefault="008C4A3E" w:rsidP="004778FF">
      <w:pPr>
        <w:pStyle w:val="Tabletitle"/>
      </w:pPr>
      <w:proofErr w:type="gramStart"/>
      <w:r w:rsidRPr="004778FF">
        <w:t xml:space="preserve">Table </w:t>
      </w:r>
      <w:r w:rsidR="00BC46A0" w:rsidRPr="004778FF">
        <w:t>13</w:t>
      </w:r>
      <w:r w:rsidR="009C3D11" w:rsidRPr="004778FF">
        <w:t>.</w:t>
      </w:r>
      <w:proofErr w:type="gramEnd"/>
      <w:r w:rsidRPr="004778FF">
        <w:t xml:space="preserve"> Study 4882g</w:t>
      </w:r>
      <w:r w:rsidR="009C3D11" w:rsidRPr="004778FF">
        <w:t>.</w:t>
      </w:r>
      <w:r w:rsidRPr="004778FF">
        <w:t xml:space="preserve"> Change in weekly itch severity score at </w:t>
      </w:r>
      <w:r w:rsidR="000E3BD7" w:rsidRPr="004778FF">
        <w:t xml:space="preserve">Week </w:t>
      </w:r>
      <w:r w:rsidRPr="004778FF">
        <w:t>12 (Primary endpoint)</w:t>
      </w:r>
      <w:r w:rsidR="00BD2229" w:rsidRPr="004778FF">
        <w:t>.</w:t>
      </w:r>
    </w:p>
    <w:p w:rsidR="008C4A3E" w:rsidRDefault="008C4A3E" w:rsidP="00D67125">
      <w:r>
        <w:rPr>
          <w:noProof/>
          <w:lang w:eastAsia="en-AU"/>
        </w:rPr>
        <w:drawing>
          <wp:inline distT="0" distB="0" distL="0" distR="0" wp14:anchorId="39385484" wp14:editId="410F18E8">
            <wp:extent cx="4418381" cy="3411995"/>
            <wp:effectExtent l="0" t="0" r="1270" b="0"/>
            <wp:docPr id="46" name="Picture 46" descr="Table 13. Study 4882g. Change in weekly itch severity score at Week 1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8464" cy="3412059"/>
                    </a:xfrm>
                    <a:prstGeom prst="rect">
                      <a:avLst/>
                    </a:prstGeom>
                    <a:noFill/>
                    <a:ln>
                      <a:noFill/>
                    </a:ln>
                  </pic:spPr>
                </pic:pic>
              </a:graphicData>
            </a:graphic>
          </wp:inline>
        </w:drawing>
      </w:r>
    </w:p>
    <w:p w:rsidR="004778FF" w:rsidRDefault="004778FF">
      <w:pPr>
        <w:spacing w:before="0" w:after="200" w:line="0" w:lineRule="auto"/>
        <w:rPr>
          <w:b/>
        </w:rPr>
      </w:pPr>
      <w:r>
        <w:br w:type="page"/>
      </w:r>
    </w:p>
    <w:p w:rsidR="00223E51" w:rsidRPr="00457C69" w:rsidRDefault="003B2B8B" w:rsidP="004778FF">
      <w:pPr>
        <w:pStyle w:val="FigureTitle"/>
      </w:pPr>
      <w:proofErr w:type="gramStart"/>
      <w:r>
        <w:lastRenderedPageBreak/>
        <w:t>Figure 5</w:t>
      </w:r>
      <w:r w:rsidR="009C3D11">
        <w:t>.</w:t>
      </w:r>
      <w:proofErr w:type="gramEnd"/>
      <w:r w:rsidR="009C3D11">
        <w:t xml:space="preserve"> </w:t>
      </w:r>
      <w:r w:rsidR="00BD2229">
        <w:t>Study 4882g.</w:t>
      </w:r>
      <w:r w:rsidR="00223E51" w:rsidRPr="00223E51">
        <w:t xml:space="preserve"> Mean Change from Baseline in Weekly Itch Severity Score (by Study Week)</w:t>
      </w:r>
      <w:r w:rsidR="00BD2229">
        <w:t>.</w:t>
      </w:r>
    </w:p>
    <w:p w:rsidR="00223E51" w:rsidRDefault="00223E51" w:rsidP="008C4A3E">
      <w:r>
        <w:rPr>
          <w:noProof/>
          <w:lang w:eastAsia="en-AU"/>
        </w:rPr>
        <w:drawing>
          <wp:inline distT="0" distB="0" distL="0" distR="0" wp14:anchorId="7B3B44A9" wp14:editId="2BC5F311">
            <wp:extent cx="5731510" cy="3266838"/>
            <wp:effectExtent l="0" t="0" r="2540" b="0"/>
            <wp:docPr id="18" name="Picture 18" descr="Figure 5. Study 4882g. Mean Change from Baseline in Weekly Itch Severity Score (by Stud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66838"/>
                    </a:xfrm>
                    <a:prstGeom prst="rect">
                      <a:avLst/>
                    </a:prstGeom>
                  </pic:spPr>
                </pic:pic>
              </a:graphicData>
            </a:graphic>
          </wp:inline>
        </w:drawing>
      </w:r>
    </w:p>
    <w:p w:rsidR="00E302E5" w:rsidRPr="004778FF" w:rsidRDefault="00E302E5" w:rsidP="004778FF">
      <w:pPr>
        <w:pStyle w:val="Heading5"/>
      </w:pPr>
      <w:r w:rsidRPr="004778FF">
        <w:t xml:space="preserve">Results </w:t>
      </w:r>
      <w:r w:rsidR="00B90CCB" w:rsidRPr="004778FF">
        <w:t>for secondary efficacy outcomes</w:t>
      </w:r>
    </w:p>
    <w:p w:rsidR="00E302E5" w:rsidRPr="00D36993" w:rsidRDefault="00E302E5" w:rsidP="00D36993">
      <w:r w:rsidRPr="00D36993">
        <w:t>The results for the secondary e</w:t>
      </w:r>
      <w:r w:rsidR="006E02D7" w:rsidRPr="00D36993">
        <w:t xml:space="preserve">ndpoints are summarised Table </w:t>
      </w:r>
      <w:r w:rsidR="00BC46A0">
        <w:t>14</w:t>
      </w:r>
      <w:r w:rsidRPr="00D36993">
        <w:t xml:space="preserve">. A statistically significant benefit was demonstrated on all eight endpoints for the 300 mg dose, and on 7/8 endpoints for the 150 mg </w:t>
      </w:r>
      <w:r w:rsidR="00C41320" w:rsidRPr="00D36993">
        <w:t xml:space="preserve">dose. A significant benefit was not </w:t>
      </w:r>
      <w:r w:rsidRPr="00D36993">
        <w:t>demonstrated on any endpoint for the 75 mg dose. Notable findings from the secondary en</w:t>
      </w:r>
      <w:r w:rsidR="00157BBF" w:rsidRPr="00D36993">
        <w:t>dpoints included the following:</w:t>
      </w:r>
    </w:p>
    <w:p w:rsidR="00E302E5" w:rsidRPr="00D36993" w:rsidRDefault="00E302E5" w:rsidP="00D36993">
      <w:pPr>
        <w:pStyle w:val="ListBullet"/>
      </w:pPr>
      <w:r w:rsidRPr="00D36993">
        <w:t>Although differences between active arms were not subjected to statistical analysis, the magnitude of the benefit obtained was generally greater in the 300 mg grou</w:t>
      </w:r>
      <w:r w:rsidR="003B2B8B">
        <w:t>p compared to the 150 mg group.</w:t>
      </w:r>
    </w:p>
    <w:p w:rsidR="00E302E5" w:rsidRPr="00D36993" w:rsidRDefault="00E302E5" w:rsidP="00D36993">
      <w:pPr>
        <w:pStyle w:val="ListBullet"/>
      </w:pPr>
      <w:r w:rsidRPr="00D36993">
        <w:t xml:space="preserve">The time to a MID response in itch score was shorter in the 300 mg group (median = 1.0 week) compared to the 150 mg (2.0 weeks) suggesting a more rapid onset </w:t>
      </w:r>
      <w:r w:rsidR="003B2B8B">
        <w:t>of action with the higher dose.</w:t>
      </w:r>
    </w:p>
    <w:p w:rsidR="00E302E5" w:rsidRDefault="00E302E5" w:rsidP="00D36993">
      <w:pPr>
        <w:pStyle w:val="ListBullet"/>
      </w:pPr>
      <w:r w:rsidRPr="00D36993">
        <w:t>Baseline mean DLQI sc</w:t>
      </w:r>
      <w:r w:rsidR="00457C69">
        <w:t>ores were in the range of 12.6 to</w:t>
      </w:r>
      <w:r w:rsidRPr="00D36993">
        <w:t xml:space="preserve"> 13.0 (out of a possible 30). The (placebo-corrected) improvement in DLQI in the 300 mg group was approximately 3.8 points, which is greater than the minimally important difference (2.24 to 3.10 points). The (placebo- corrected) improvement in DLQI in the 150 mg group was approximately 2.5 points.</w:t>
      </w:r>
    </w:p>
    <w:p w:rsidR="00D67125" w:rsidRPr="004778FF" w:rsidRDefault="00BC46A0" w:rsidP="004778FF">
      <w:pPr>
        <w:pStyle w:val="Tabletitle"/>
      </w:pPr>
      <w:proofErr w:type="gramStart"/>
      <w:r w:rsidRPr="004778FF">
        <w:lastRenderedPageBreak/>
        <w:t>Table 14</w:t>
      </w:r>
      <w:r w:rsidR="009C3D11" w:rsidRPr="004778FF">
        <w:t>.</w:t>
      </w:r>
      <w:proofErr w:type="gramEnd"/>
      <w:r w:rsidR="009C3D11" w:rsidRPr="004778FF">
        <w:t xml:space="preserve"> Study 4882g. </w:t>
      </w:r>
      <w:proofErr w:type="gramStart"/>
      <w:r w:rsidR="009C3D11" w:rsidRPr="004778FF">
        <w:t>R</w:t>
      </w:r>
      <w:r w:rsidR="00D67125" w:rsidRPr="004778FF">
        <w:t>esults for secondary endpoints.</w:t>
      </w:r>
      <w:proofErr w:type="gramEnd"/>
    </w:p>
    <w:p w:rsidR="00D67125" w:rsidRPr="00D67125" w:rsidRDefault="00D67125" w:rsidP="00D67125">
      <w:r>
        <w:rPr>
          <w:noProof/>
          <w:lang w:eastAsia="en-AU"/>
        </w:rPr>
        <w:drawing>
          <wp:inline distT="0" distB="0" distL="0" distR="0" wp14:anchorId="640AADC3" wp14:editId="08B902D6">
            <wp:extent cx="5086350" cy="6255059"/>
            <wp:effectExtent l="0" t="0" r="0" b="0"/>
            <wp:docPr id="19" name="Picture 19" descr="Table 14. Study 4882g. Results for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86320" cy="6255023"/>
                    </a:xfrm>
                    <a:prstGeom prst="rect">
                      <a:avLst/>
                    </a:prstGeom>
                  </pic:spPr>
                </pic:pic>
              </a:graphicData>
            </a:graphic>
          </wp:inline>
        </w:drawing>
      </w:r>
    </w:p>
    <w:p w:rsidR="00E302E5" w:rsidRPr="004778FF" w:rsidRDefault="00E302E5" w:rsidP="004778FF">
      <w:pPr>
        <w:pStyle w:val="Heading5"/>
      </w:pPr>
      <w:bookmarkStart w:id="37" w:name="Table_29_–_Study_4882g_–_Results_for_sec"/>
      <w:bookmarkStart w:id="38" w:name="_bookmark44"/>
      <w:bookmarkEnd w:id="37"/>
      <w:bookmarkEnd w:id="38"/>
      <w:r w:rsidRPr="004778FF">
        <w:t>Results for exploratory efficacy outcomes</w:t>
      </w:r>
    </w:p>
    <w:p w:rsidR="00223E51" w:rsidRPr="00173CFE" w:rsidRDefault="00E302E5" w:rsidP="00173CFE">
      <w:r w:rsidRPr="00D36993">
        <w:t>One of the exploratory endpoints used in this study was the proportion of patients with a UAS7 ≤ 6 at</w:t>
      </w:r>
      <w:r w:rsidR="00C41320" w:rsidRPr="00D36993">
        <w:t xml:space="preserve"> </w:t>
      </w:r>
      <w:r w:rsidR="000E3BD7">
        <w:t xml:space="preserve">Week </w:t>
      </w:r>
      <w:r w:rsidRPr="00D36993">
        <w:t>28 (</w:t>
      </w:r>
      <w:r w:rsidR="001136E7">
        <w:t>that is,</w:t>
      </w:r>
      <w:r w:rsidRPr="00D36993">
        <w:t xml:space="preserve"> in the follow-up period). The results </w:t>
      </w:r>
      <w:r w:rsidR="00173CFE">
        <w:t>were provided</w:t>
      </w:r>
      <w:r w:rsidRPr="00D36993">
        <w:t xml:space="preserve">. Although the proportion of patients with a UAS7 ≤ 6 at </w:t>
      </w:r>
      <w:r w:rsidR="000E3BD7">
        <w:t xml:space="preserve">Week </w:t>
      </w:r>
      <w:r w:rsidRPr="00D36993">
        <w:t xml:space="preserve">28 was numerically higher in the placebo arm, the differences with </w:t>
      </w:r>
      <w:r w:rsidR="00C41320" w:rsidRPr="00D36993">
        <w:t xml:space="preserve">the omalizumab </w:t>
      </w:r>
      <w:r w:rsidRPr="00D36993">
        <w:t xml:space="preserve">arms were not statistically significant. This suggests that any rebound effect seen in this study was unlikely to be important. Weekly itch severity score at </w:t>
      </w:r>
      <w:r w:rsidR="000E3BD7">
        <w:t xml:space="preserve">Week </w:t>
      </w:r>
      <w:r w:rsidR="00173CFE">
        <w:t>28 was not a study endpoint.</w:t>
      </w:r>
    </w:p>
    <w:p w:rsidR="00E302E5" w:rsidRPr="004778FF" w:rsidRDefault="00E302E5" w:rsidP="004778FF">
      <w:pPr>
        <w:pStyle w:val="Heading5"/>
      </w:pPr>
      <w:bookmarkStart w:id="39" w:name="7.1.2.15._Other_analyses"/>
      <w:bookmarkEnd w:id="39"/>
      <w:r w:rsidRPr="004778FF">
        <w:t>Other analyses</w:t>
      </w:r>
    </w:p>
    <w:p w:rsidR="00E302E5" w:rsidRDefault="00E302E5" w:rsidP="00173CFE">
      <w:r w:rsidRPr="00173CFE">
        <w:t>Subgroup analyses</w:t>
      </w:r>
      <w:r w:rsidR="00D36993" w:rsidRPr="00173CFE">
        <w:t xml:space="preserve"> </w:t>
      </w:r>
      <w:r w:rsidRPr="00173CFE">
        <w:t xml:space="preserve">were conducted for the primary endpoint. The results for the comparison of the 300 mg dose </w:t>
      </w:r>
      <w:r w:rsidR="001136E7">
        <w:t>versus</w:t>
      </w:r>
      <w:r w:rsidRPr="00173CFE">
        <w:t xml:space="preserve"> placebo </w:t>
      </w:r>
      <w:r w:rsidR="009D4E07">
        <w:t>are shown in Figure 6</w:t>
      </w:r>
      <w:r w:rsidRPr="00173CFE">
        <w:t>. The drug appeared to be effective in most subgroups analysed, as the point estimate for the LSM difference between omalizumab and placebo was generally less than zero. Point estimates were greater</w:t>
      </w:r>
      <w:r w:rsidR="00D36993" w:rsidRPr="00173CFE">
        <w:t xml:space="preserve"> tha</w:t>
      </w:r>
      <w:r w:rsidRPr="00173CFE">
        <w:t xml:space="preserve">n zero for patients </w:t>
      </w:r>
      <w:r w:rsidRPr="00173CFE">
        <w:lastRenderedPageBreak/>
        <w:t>aged &gt;</w:t>
      </w:r>
      <w:r w:rsidR="003B2B8B">
        <w:t> 65 years and B</w:t>
      </w:r>
      <w:r w:rsidRPr="00173CFE">
        <w:t xml:space="preserve">lack </w:t>
      </w:r>
      <w:proofErr w:type="gramStart"/>
      <w:r w:rsidRPr="00173CFE">
        <w:t>patients,</w:t>
      </w:r>
      <w:proofErr w:type="gramEnd"/>
      <w:r w:rsidRPr="00173CFE">
        <w:t xml:space="preserve"> however the numbers in these subgroups were very small. Similar results were seen in subgroup analyses of the 150 mg omalizumab group.</w:t>
      </w:r>
    </w:p>
    <w:p w:rsidR="009D4E07" w:rsidRPr="004778FF" w:rsidRDefault="008F22A8" w:rsidP="004778FF">
      <w:pPr>
        <w:pStyle w:val="FigureTitle"/>
      </w:pPr>
      <w:proofErr w:type="gramStart"/>
      <w:r w:rsidRPr="004778FF">
        <w:t>Figure 6.</w:t>
      </w:r>
      <w:proofErr w:type="gramEnd"/>
      <w:r w:rsidRPr="004778FF">
        <w:t xml:space="preserve"> </w:t>
      </w:r>
      <w:r w:rsidR="009C3D11" w:rsidRPr="004778FF">
        <w:t>Study 4882g. S</w:t>
      </w:r>
      <w:r w:rsidR="009D4E07" w:rsidRPr="004778FF">
        <w:t xml:space="preserve">ubgroup analysis of change from baseline in weekly itch severity score at Week 12 (BOCF Method) </w:t>
      </w:r>
      <w:proofErr w:type="spellStart"/>
      <w:r w:rsidR="009D4E07" w:rsidRPr="004778FF">
        <w:t>omalizumab</w:t>
      </w:r>
      <w:proofErr w:type="spellEnd"/>
      <w:r w:rsidR="009D4E07" w:rsidRPr="004778FF">
        <w:t xml:space="preserve"> 300 mg</w:t>
      </w:r>
      <w:r w:rsidRPr="004778FF">
        <w:t xml:space="preserve"> versus placebo, </w:t>
      </w:r>
      <w:proofErr w:type="spellStart"/>
      <w:r w:rsidRPr="004778FF">
        <w:t>mITT</w:t>
      </w:r>
      <w:proofErr w:type="spellEnd"/>
      <w:r w:rsidRPr="004778FF">
        <w:t xml:space="preserve"> patients.</w:t>
      </w:r>
    </w:p>
    <w:p w:rsidR="009D4E07" w:rsidRPr="00173CFE" w:rsidRDefault="009D4E07" w:rsidP="00173CFE">
      <w:r>
        <w:rPr>
          <w:noProof/>
          <w:lang w:eastAsia="en-AU"/>
        </w:rPr>
        <w:drawing>
          <wp:inline distT="0" distB="0" distL="0" distR="0" wp14:anchorId="3CAE7BEC" wp14:editId="0CD4DEB6">
            <wp:extent cx="5596742" cy="4783540"/>
            <wp:effectExtent l="0" t="0" r="4445" b="0"/>
            <wp:docPr id="24" name="Picture 24" descr="Figure 6. Study 4882g. Subgroup analysis of change from baseline in weekly itch severity score at Week 12 (BOCF Method) omalizumab 300 mg versus placebo, mIT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96205" cy="4783081"/>
                    </a:xfrm>
                    <a:prstGeom prst="rect">
                      <a:avLst/>
                    </a:prstGeom>
                  </pic:spPr>
                </pic:pic>
              </a:graphicData>
            </a:graphic>
          </wp:inline>
        </w:drawing>
      </w:r>
    </w:p>
    <w:p w:rsidR="00E302E5" w:rsidRPr="003B2B8B" w:rsidRDefault="00E302E5" w:rsidP="003B2B8B">
      <w:r w:rsidRPr="003B2B8B">
        <w:t xml:space="preserve">Data were presented on the completion of the patient </w:t>
      </w:r>
      <w:r w:rsidR="00EF377D" w:rsidRPr="003B2B8B">
        <w:t>daily diary.</w:t>
      </w:r>
      <w:r w:rsidRPr="003B2B8B">
        <w:t xml:space="preserve"> The mean proportion of days a patient recorded at least one diary entry was &gt; 97% for each treatment group during the 12-</w:t>
      </w:r>
      <w:r w:rsidR="000E3BD7">
        <w:t xml:space="preserve">Week </w:t>
      </w:r>
      <w:r w:rsidRPr="003B2B8B">
        <w:t>treatment period.</w:t>
      </w:r>
    </w:p>
    <w:p w:rsidR="00E302E5" w:rsidRPr="004778FF" w:rsidRDefault="00E302E5" w:rsidP="004778FF">
      <w:pPr>
        <w:pStyle w:val="Heading3"/>
      </w:pPr>
      <w:bookmarkStart w:id="40" w:name="_Toc425249003"/>
      <w:r w:rsidRPr="004778FF">
        <w:t>Other efficacy studies</w:t>
      </w:r>
      <w:bookmarkEnd w:id="40"/>
    </w:p>
    <w:p w:rsidR="00E302E5" w:rsidRPr="004778FF" w:rsidRDefault="00E302E5" w:rsidP="004778FF">
      <w:pPr>
        <w:pStyle w:val="Heading4"/>
      </w:pPr>
      <w:bookmarkStart w:id="41" w:name="7.2.1._Study_4883g_(‘GLACIAL’)"/>
      <w:bookmarkEnd w:id="41"/>
      <w:r w:rsidRPr="004778FF">
        <w:t>Study 4883g (‘GLACIAL’)</w:t>
      </w:r>
    </w:p>
    <w:p w:rsidR="00E302E5" w:rsidRPr="004778FF" w:rsidRDefault="00E302E5" w:rsidP="004778FF">
      <w:pPr>
        <w:pStyle w:val="Heading5"/>
      </w:pPr>
      <w:bookmarkStart w:id="42" w:name="7.2.1.1._Study_design,_objectives,_locat"/>
      <w:bookmarkEnd w:id="42"/>
      <w:r w:rsidRPr="004778FF">
        <w:t>Study design, objectives, locations and dates</w:t>
      </w:r>
    </w:p>
    <w:p w:rsidR="00E302E5" w:rsidRPr="00BE23F7" w:rsidRDefault="00E302E5" w:rsidP="00BE23F7">
      <w:r w:rsidRPr="00BE23F7">
        <w:t>Study 4883g was a Phase III, random</w:t>
      </w:r>
      <w:r w:rsidR="009C3D11">
        <w:t xml:space="preserve">ised, double blind, and placebo </w:t>
      </w:r>
      <w:r w:rsidRPr="00BE23F7">
        <w:t>controlled trial with two parallel groups. A study schema is shown</w:t>
      </w:r>
      <w:r w:rsidR="009D4E07">
        <w:t xml:space="preserve"> in Figure 7</w:t>
      </w:r>
      <w:r w:rsidRPr="00BE23F7">
        <w:t>. Patient</w:t>
      </w:r>
      <w:r w:rsidR="00417E58">
        <w:t>s attended the study clinic on D</w:t>
      </w:r>
      <w:r w:rsidRPr="00BE23F7">
        <w:t>ays -</w:t>
      </w:r>
      <w:r w:rsidR="003B2B8B">
        <w:t xml:space="preserve"> </w:t>
      </w:r>
      <w:r w:rsidRPr="00BE23F7">
        <w:t>14 and -</w:t>
      </w:r>
      <w:r w:rsidR="003B2B8B">
        <w:t xml:space="preserve"> </w:t>
      </w:r>
      <w:r w:rsidRPr="00BE23F7">
        <w:t>7 during screening and then every 4 weeks during the treatment and follow-up periods.</w:t>
      </w:r>
    </w:p>
    <w:p w:rsidR="00E302E5" w:rsidRPr="00BE23F7" w:rsidRDefault="00E302E5" w:rsidP="00BE23F7">
      <w:r w:rsidRPr="00BE23F7">
        <w:t xml:space="preserve">The </w:t>
      </w:r>
      <w:r w:rsidR="00157BBF" w:rsidRPr="00BE23F7">
        <w:t>p</w:t>
      </w:r>
      <w:r w:rsidRPr="00BE23F7">
        <w:t xml:space="preserve">rimary </w:t>
      </w:r>
      <w:r w:rsidR="00157BBF" w:rsidRPr="00BE23F7">
        <w:t>objective of</w:t>
      </w:r>
      <w:r w:rsidRPr="00BE23F7">
        <w:t xml:space="preserve"> the study was to evaluate the safety of omalizumab compared with placebo in patients with refractory CIU receiving concomitant therapy including H1 antihistamines at increased doses (up to four times the approved dose), and/or H2 blockers and/or LTRAs.</w:t>
      </w:r>
    </w:p>
    <w:p w:rsidR="00E302E5" w:rsidRPr="00BE23F7" w:rsidRDefault="00E302E5" w:rsidP="00BE23F7">
      <w:r w:rsidRPr="00BE23F7">
        <w:t>The</w:t>
      </w:r>
      <w:r w:rsidR="00157BBF" w:rsidRPr="00BE23F7">
        <w:t xml:space="preserve"> secondary</w:t>
      </w:r>
      <w:r w:rsidRPr="00BE23F7">
        <w:t xml:space="preserve"> </w:t>
      </w:r>
      <w:r w:rsidR="00157BBF" w:rsidRPr="00BE23F7">
        <w:t>objectives</w:t>
      </w:r>
      <w:r w:rsidR="00D36993" w:rsidRPr="00BE23F7">
        <w:t xml:space="preserve"> </w:t>
      </w:r>
      <w:r w:rsidRPr="00BE23F7">
        <w:t>for this study were:</w:t>
      </w:r>
    </w:p>
    <w:p w:rsidR="00E302E5" w:rsidRPr="00D36993" w:rsidRDefault="00E302E5" w:rsidP="00D36993">
      <w:pPr>
        <w:pStyle w:val="ListBullet"/>
      </w:pPr>
      <w:r w:rsidRPr="00D36993">
        <w:lastRenderedPageBreak/>
        <w:t>To evaluate the efficacy of omalizumab compared</w:t>
      </w:r>
      <w:r w:rsidR="00535DAC">
        <w:t xml:space="preserve"> with placebo in these patients</w:t>
      </w:r>
    </w:p>
    <w:p w:rsidR="00E302E5" w:rsidRPr="00D36993" w:rsidRDefault="00E302E5" w:rsidP="00D36993">
      <w:pPr>
        <w:pStyle w:val="ListBullet"/>
      </w:pPr>
      <w:r w:rsidRPr="00D36993">
        <w:t>To evaluate onset of clinical effect of omali</w:t>
      </w:r>
      <w:r w:rsidR="00535DAC">
        <w:t>zumab therapy in these patients</w:t>
      </w:r>
    </w:p>
    <w:p w:rsidR="00E302E5" w:rsidRPr="00D36993" w:rsidRDefault="00E302E5" w:rsidP="00D36993">
      <w:pPr>
        <w:pStyle w:val="ListBullet"/>
      </w:pPr>
      <w:r w:rsidRPr="00D36993">
        <w:t>To evaluate the quality-of-life benefits of omalizumab therapy in these patients.</w:t>
      </w:r>
    </w:p>
    <w:p w:rsidR="00E302E5" w:rsidRPr="00D36993" w:rsidRDefault="00E302E5" w:rsidP="00D36993">
      <w:r w:rsidRPr="00D36993">
        <w:t>The study was conducted in 65 centres in 7 countries - the United States (39 centres), Germany (9), Australia (5), Great Britain (4), Poland (3), New Zealand (3), and Singapore (2).</w:t>
      </w:r>
    </w:p>
    <w:p w:rsidR="00E302E5" w:rsidRPr="00D36993" w:rsidRDefault="00E302E5" w:rsidP="00D36993">
      <w:r w:rsidRPr="00D36993">
        <w:t>The first patient was randomised on 21 February 2011 and the last patient visit was on 22 November 2012. The study report was dated June 2013. The study has been published</w:t>
      </w:r>
      <w:r w:rsidR="00BD2229">
        <w:t>.</w:t>
      </w:r>
      <w:r w:rsidR="00BD2229" w:rsidRPr="00D36993">
        <w:rPr>
          <w:vertAlign w:val="superscript"/>
        </w:rPr>
        <w:t xml:space="preserve"> (</w:t>
      </w:r>
      <w:r w:rsidRPr="00D36993">
        <w:rPr>
          <w:vertAlign w:val="superscript"/>
        </w:rPr>
        <w:t>11)</w:t>
      </w:r>
    </w:p>
    <w:p w:rsidR="00E302E5" w:rsidRPr="00457325" w:rsidRDefault="00457325" w:rsidP="00457325">
      <w:pPr>
        <w:ind w:left="1021" w:hanging="1021"/>
      </w:pPr>
      <w:r w:rsidRPr="00457325">
        <w:t>Comment</w:t>
      </w:r>
      <w:r w:rsidR="00157BBF" w:rsidRPr="00457325">
        <w:t>: A</w:t>
      </w:r>
      <w:r w:rsidR="00E302E5" w:rsidRPr="00457325">
        <w:t xml:space="preserve">lthough this study was a </w:t>
      </w:r>
      <w:r w:rsidR="00D36993" w:rsidRPr="00457325">
        <w:t>well-designed</w:t>
      </w:r>
      <w:r w:rsidR="00E302E5" w:rsidRPr="00457325">
        <w:t>, Phase III, randomised, double blind, placebo- controlled trial, the evaluation of efficacy was only a secondary objective. Also, the patient population enrolled in this study was different to that being proposed for registration in that subjects were not been treated with H1 antihistamines alone. It is therefore considered to be a supportive trial, rather than a pivotal one.</w:t>
      </w:r>
    </w:p>
    <w:p w:rsidR="00FE7BA0" w:rsidRPr="004778FF" w:rsidRDefault="00FE7BA0" w:rsidP="004778FF">
      <w:pPr>
        <w:pStyle w:val="FigureTitle"/>
      </w:pPr>
      <w:proofErr w:type="gramStart"/>
      <w:r w:rsidRPr="004778FF">
        <w:t xml:space="preserve">Figure </w:t>
      </w:r>
      <w:r w:rsidR="009D4E07" w:rsidRPr="004778FF">
        <w:t>7</w:t>
      </w:r>
      <w:r w:rsidR="009C3D11" w:rsidRPr="004778FF">
        <w:t>.</w:t>
      </w:r>
      <w:proofErr w:type="gramEnd"/>
      <w:r w:rsidRPr="004778FF">
        <w:t xml:space="preserve"> Study 4883g</w:t>
      </w:r>
      <w:r w:rsidR="009C3D11" w:rsidRPr="004778FF">
        <w:t xml:space="preserve">. </w:t>
      </w:r>
      <w:r w:rsidRPr="004778FF">
        <w:t>Study schema</w:t>
      </w:r>
      <w:r w:rsidR="00417E58" w:rsidRPr="004778FF">
        <w:t>.</w:t>
      </w:r>
    </w:p>
    <w:p w:rsidR="00FE7BA0" w:rsidRDefault="00FE7BA0" w:rsidP="006F527F">
      <w:r>
        <w:rPr>
          <w:noProof/>
          <w:lang w:eastAsia="en-AU"/>
        </w:rPr>
        <w:drawing>
          <wp:inline distT="0" distB="0" distL="0" distR="0" wp14:anchorId="5D7094A7" wp14:editId="4303AEC6">
            <wp:extent cx="4059936" cy="2464836"/>
            <wp:effectExtent l="0" t="0" r="0" b="0"/>
            <wp:docPr id="29" name="Picture 29" descr="Figure 7. Study 4883g.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2768" cy="2466555"/>
                    </a:xfrm>
                    <a:prstGeom prst="rect">
                      <a:avLst/>
                    </a:prstGeom>
                    <a:noFill/>
                    <a:ln>
                      <a:noFill/>
                    </a:ln>
                  </pic:spPr>
                </pic:pic>
              </a:graphicData>
            </a:graphic>
          </wp:inline>
        </w:drawing>
      </w:r>
    </w:p>
    <w:p w:rsidR="006801D5" w:rsidRPr="004778FF" w:rsidRDefault="006801D5" w:rsidP="004778FF">
      <w:pPr>
        <w:pStyle w:val="Heading5"/>
      </w:pPr>
      <w:r w:rsidRPr="004778FF">
        <w:t>I</w:t>
      </w:r>
      <w:r w:rsidR="00157BBF" w:rsidRPr="004778FF">
        <w:t>nclusion and exclusion criteria</w:t>
      </w:r>
    </w:p>
    <w:p w:rsidR="006801D5" w:rsidRPr="00D36993" w:rsidRDefault="006801D5" w:rsidP="00D36993">
      <w:r w:rsidRPr="00D36993">
        <w:t xml:space="preserve">The inclusion criteria for </w:t>
      </w:r>
      <w:r w:rsidR="00402DFE" w:rsidRPr="00D36993">
        <w:t xml:space="preserve">the study </w:t>
      </w:r>
      <w:r w:rsidR="005526F5">
        <w:t>were provided</w:t>
      </w:r>
      <w:r w:rsidR="008E0680">
        <w:t>.</w:t>
      </w:r>
    </w:p>
    <w:p w:rsidR="006801D5" w:rsidRPr="00457325" w:rsidRDefault="00457325" w:rsidP="00457325">
      <w:pPr>
        <w:ind w:left="1021" w:hanging="1021"/>
      </w:pPr>
      <w:r w:rsidRPr="00457325">
        <w:t>Comment</w:t>
      </w:r>
      <w:r w:rsidR="006801D5" w:rsidRPr="00457325">
        <w:t>: The inclusion criteria are similar to those used in the pivotal studies. However, this study enrolled a more treatment-resistant CIU population in that all patients were require to have failed tr</w:t>
      </w:r>
      <w:r w:rsidR="00417E58">
        <w:t>eatment with H1 antihistamines and</w:t>
      </w:r>
      <w:r w:rsidR="006801D5" w:rsidRPr="00457325">
        <w:t xml:space="preserve"> at least one of the following – a H2 antihistamine (</w:t>
      </w:r>
      <w:r w:rsidR="001E0C79">
        <w:t>for example;</w:t>
      </w:r>
      <w:r w:rsidR="006801D5" w:rsidRPr="00457325">
        <w:t xml:space="preserve"> famotidine, ranitidine) or a leukotriene receptor antagonist (</w:t>
      </w:r>
      <w:r w:rsidR="001E0C79">
        <w:t>for example;</w:t>
      </w:r>
      <w:r w:rsidR="006801D5" w:rsidRPr="00457325">
        <w:t xml:space="preserve"> </w:t>
      </w:r>
      <w:proofErr w:type="spellStart"/>
      <w:r w:rsidR="006801D5" w:rsidRPr="00457325">
        <w:t>montelukast</w:t>
      </w:r>
      <w:proofErr w:type="spellEnd"/>
      <w:r w:rsidR="006801D5" w:rsidRPr="00457325">
        <w:t xml:space="preserve"> or </w:t>
      </w:r>
      <w:proofErr w:type="spellStart"/>
      <w:r w:rsidR="006801D5" w:rsidRPr="00457325">
        <w:t>zafirlukast</w:t>
      </w:r>
      <w:proofErr w:type="spellEnd"/>
      <w:r w:rsidR="006801D5" w:rsidRPr="00457325">
        <w:t xml:space="preserve">). None of these agents are registered for the treatment of </w:t>
      </w:r>
      <w:r w:rsidR="00362FED" w:rsidRPr="00457325">
        <w:t>chronic urticaria in Australia.</w:t>
      </w:r>
    </w:p>
    <w:p w:rsidR="006801D5" w:rsidRPr="00BE23F7" w:rsidRDefault="006801D5" w:rsidP="00457325">
      <w:pPr>
        <w:ind w:left="1021"/>
      </w:pPr>
      <w:r w:rsidRPr="00BE23F7">
        <w:t xml:space="preserve">The exclusion criteria were identical to those used in the pivotal studies, except that recent use of H2 antihistamines, LTRAs or greater than approved doses of H1 antihistamines </w:t>
      </w:r>
      <w:r w:rsidR="00362FED" w:rsidRPr="00BE23F7">
        <w:t>were not reasons for exclusion.</w:t>
      </w:r>
    </w:p>
    <w:p w:rsidR="006801D5" w:rsidRPr="004778FF" w:rsidRDefault="00362FED" w:rsidP="004778FF">
      <w:pPr>
        <w:pStyle w:val="Heading5"/>
      </w:pPr>
      <w:r w:rsidRPr="004778FF">
        <w:t>Study treatments</w:t>
      </w:r>
    </w:p>
    <w:p w:rsidR="006801D5" w:rsidRPr="00BE23F7" w:rsidRDefault="006801D5" w:rsidP="00BE23F7">
      <w:r w:rsidRPr="00BE23F7">
        <w:t>Subjects were randomised (3:1) to receive one of</w:t>
      </w:r>
      <w:r w:rsidR="00362FED" w:rsidRPr="00BE23F7">
        <w:t xml:space="preserve"> the following four treatments:</w:t>
      </w:r>
    </w:p>
    <w:p w:rsidR="006801D5" w:rsidRPr="00BE23F7" w:rsidRDefault="006801D5" w:rsidP="00BE23F7">
      <w:pPr>
        <w:pStyle w:val="ListBullet"/>
      </w:pPr>
      <w:r w:rsidRPr="00BE23F7">
        <w:t>Omal</w:t>
      </w:r>
      <w:r w:rsidR="00535DAC">
        <w:t>izumab 300 mg SC every 4 weeks</w:t>
      </w:r>
    </w:p>
    <w:p w:rsidR="006801D5" w:rsidRPr="00BE23F7" w:rsidRDefault="00362FED" w:rsidP="00BE23F7">
      <w:pPr>
        <w:pStyle w:val="ListBullet"/>
      </w:pPr>
      <w:r w:rsidRPr="00BE23F7">
        <w:t>Placebo.</w:t>
      </w:r>
    </w:p>
    <w:p w:rsidR="006801D5" w:rsidRPr="00BE23F7" w:rsidRDefault="006801D5" w:rsidP="00BE23F7">
      <w:r w:rsidRPr="00BE23F7">
        <w:t>Placebo contained the same ingredients as the omalizumab for</w:t>
      </w:r>
      <w:r w:rsidR="00362FED" w:rsidRPr="00BE23F7">
        <w:t>mulation, excluding omalizumab.</w:t>
      </w:r>
    </w:p>
    <w:p w:rsidR="006801D5" w:rsidRPr="005526F5" w:rsidRDefault="006801D5" w:rsidP="005526F5">
      <w:r w:rsidRPr="005526F5">
        <w:lastRenderedPageBreak/>
        <w:t>Treatment was continued for a total of 24 weeks (</w:t>
      </w:r>
      <w:r w:rsidR="001136E7">
        <w:t>that is,</w:t>
      </w:r>
      <w:r w:rsidRPr="005526F5">
        <w:t xml:space="preserve"> six administrations). Patients received two injections at each treatment visit, as injections were limited to no more than 150 mg per injection site. SC injections were administered into the deltoid </w:t>
      </w:r>
      <w:r w:rsidR="005526F5" w:rsidRPr="005526F5">
        <w:t>region</w:t>
      </w:r>
      <w:r w:rsidRPr="005526F5">
        <w:t xml:space="preserve"> or into the thigh if there were medical reasons that preclu</w:t>
      </w:r>
      <w:r w:rsidR="00362FED" w:rsidRPr="005526F5">
        <w:t>ded use of the deltoid.</w:t>
      </w:r>
    </w:p>
    <w:p w:rsidR="006801D5" w:rsidRPr="00BE23F7" w:rsidRDefault="006801D5" w:rsidP="00BE23F7">
      <w:r w:rsidRPr="00BE23F7">
        <w:t>Patients were required to remain on a stable regimen of H1 antihistamine and either a H2 antihistamine or an LTRA throughout the study. Patients could also receive all three</w:t>
      </w:r>
      <w:r w:rsidR="00362FED" w:rsidRPr="00BE23F7">
        <w:t xml:space="preserve"> classes of drug concomitantly.</w:t>
      </w:r>
    </w:p>
    <w:p w:rsidR="006801D5" w:rsidRPr="00BE23F7" w:rsidRDefault="006801D5" w:rsidP="00BE23F7">
      <w:r w:rsidRPr="00BE23F7">
        <w:t>H1 antihistamines that were permitted du</w:t>
      </w:r>
      <w:r w:rsidR="00362FED" w:rsidRPr="00BE23F7">
        <w:t>ring the study were as follows:</w:t>
      </w:r>
    </w:p>
    <w:p w:rsidR="006801D5" w:rsidRPr="00BE23F7" w:rsidRDefault="006801D5" w:rsidP="00BE23F7">
      <w:pPr>
        <w:pStyle w:val="ListBullet"/>
      </w:pPr>
      <w:r w:rsidRPr="00BE23F7">
        <w:t>Cetirizin</w:t>
      </w:r>
      <w:r w:rsidR="00535DAC">
        <w:t>e 5 or 10 mg once per day (QD)</w:t>
      </w:r>
    </w:p>
    <w:p w:rsidR="006801D5" w:rsidRPr="00BE23F7" w:rsidRDefault="006801D5" w:rsidP="00BE23F7">
      <w:pPr>
        <w:pStyle w:val="ListBullet"/>
      </w:pPr>
      <w:proofErr w:type="spellStart"/>
      <w:r w:rsidRPr="00BE23F7">
        <w:t>Levocetirizine</w:t>
      </w:r>
      <w:proofErr w:type="spellEnd"/>
      <w:r w:rsidRPr="00BE23F7">
        <w:t xml:space="preserve"> </w:t>
      </w:r>
      <w:proofErr w:type="spellStart"/>
      <w:r w:rsidR="00535DAC">
        <w:t>dihydrochloride</w:t>
      </w:r>
      <w:proofErr w:type="spellEnd"/>
      <w:r w:rsidR="00535DAC">
        <w:t xml:space="preserve"> 2.5 or 5 mg QD</w:t>
      </w:r>
    </w:p>
    <w:p w:rsidR="006801D5" w:rsidRPr="00BE23F7" w:rsidRDefault="006801D5" w:rsidP="00BE23F7">
      <w:pPr>
        <w:pStyle w:val="ListBullet"/>
      </w:pPr>
      <w:r w:rsidRPr="00BE23F7">
        <w:t>Fexofenadine 60</w:t>
      </w:r>
      <w:r w:rsidR="00362FED" w:rsidRPr="00BE23F7">
        <w:t xml:space="preserve"> mg twice</w:t>
      </w:r>
      <w:r w:rsidR="00535DAC">
        <w:t xml:space="preserve"> per day or 180 mg QD</w:t>
      </w:r>
    </w:p>
    <w:p w:rsidR="006801D5" w:rsidRPr="00BE23F7" w:rsidRDefault="00535DAC" w:rsidP="00BE23F7">
      <w:pPr>
        <w:pStyle w:val="ListBullet"/>
      </w:pPr>
      <w:proofErr w:type="spellStart"/>
      <w:r>
        <w:t>Loratadine</w:t>
      </w:r>
      <w:proofErr w:type="spellEnd"/>
      <w:r>
        <w:t xml:space="preserve"> 10 mg QD</w:t>
      </w:r>
    </w:p>
    <w:p w:rsidR="006801D5" w:rsidRPr="00BE23F7" w:rsidRDefault="00535DAC" w:rsidP="00BE23F7">
      <w:pPr>
        <w:pStyle w:val="ListBullet"/>
      </w:pPr>
      <w:proofErr w:type="spellStart"/>
      <w:r>
        <w:t>Desloratadine</w:t>
      </w:r>
      <w:proofErr w:type="spellEnd"/>
      <w:r>
        <w:t xml:space="preserve"> 5 mg QD</w:t>
      </w:r>
    </w:p>
    <w:p w:rsidR="006801D5" w:rsidRPr="00BE23F7" w:rsidRDefault="006801D5" w:rsidP="00BE23F7">
      <w:pPr>
        <w:pStyle w:val="ListBullet"/>
      </w:pPr>
      <w:proofErr w:type="spellStart"/>
      <w:r w:rsidRPr="00BE23F7">
        <w:t>Ebastine</w:t>
      </w:r>
      <w:proofErr w:type="spellEnd"/>
      <w:r w:rsidRPr="00BE23F7">
        <w:t xml:space="preserve"> 10 mg and 20 </w:t>
      </w:r>
      <w:r w:rsidR="00535DAC">
        <w:t>mg QD</w:t>
      </w:r>
    </w:p>
    <w:p w:rsidR="006801D5" w:rsidRPr="00BE23F7" w:rsidRDefault="00535DAC" w:rsidP="00BE23F7">
      <w:pPr>
        <w:pStyle w:val="ListBullet"/>
      </w:pPr>
      <w:proofErr w:type="spellStart"/>
      <w:r>
        <w:t>Rupatadine</w:t>
      </w:r>
      <w:proofErr w:type="spellEnd"/>
      <w:r>
        <w:t xml:space="preserve"> 10 mg QD</w:t>
      </w:r>
    </w:p>
    <w:p w:rsidR="006801D5" w:rsidRPr="00BE23F7" w:rsidRDefault="00362FED" w:rsidP="00BE23F7">
      <w:pPr>
        <w:pStyle w:val="ListBullet"/>
      </w:pPr>
      <w:proofErr w:type="spellStart"/>
      <w:r w:rsidRPr="00BE23F7">
        <w:t>Bilastine</w:t>
      </w:r>
      <w:proofErr w:type="spellEnd"/>
      <w:r w:rsidRPr="00BE23F7">
        <w:t xml:space="preserve"> 20 mg QD.</w:t>
      </w:r>
    </w:p>
    <w:p w:rsidR="006801D5" w:rsidRPr="00BE23F7" w:rsidRDefault="006801D5" w:rsidP="00BE23F7">
      <w:r w:rsidRPr="00BE23F7">
        <w:t>The above doses were the approved dosage regimens for these drugs. In this study, subjects were permitted to use up t</w:t>
      </w:r>
      <w:r w:rsidR="00362FED" w:rsidRPr="00BE23F7">
        <w:t>o four times the approved dose.</w:t>
      </w:r>
    </w:p>
    <w:p w:rsidR="006801D5" w:rsidRPr="00BE23F7" w:rsidRDefault="006801D5" w:rsidP="00BE23F7">
      <w:r w:rsidRPr="00BE23F7">
        <w:t>Permitted H2 antihistamine regimens during the study w</w:t>
      </w:r>
      <w:r w:rsidR="00362FED" w:rsidRPr="00BE23F7">
        <w:t>ere as follows:</w:t>
      </w:r>
    </w:p>
    <w:p w:rsidR="006801D5" w:rsidRPr="00BE23F7" w:rsidRDefault="006801D5" w:rsidP="00BE23F7">
      <w:pPr>
        <w:pStyle w:val="ListBullet"/>
      </w:pPr>
      <w:r w:rsidRPr="00BE23F7">
        <w:t>Cime</w:t>
      </w:r>
      <w:r w:rsidR="00535DAC">
        <w:t>tidine 800 mg BD or 400 mg QID</w:t>
      </w:r>
    </w:p>
    <w:p w:rsidR="006801D5" w:rsidRPr="00BE23F7" w:rsidRDefault="006801D5" w:rsidP="00BE23F7">
      <w:pPr>
        <w:pStyle w:val="ListBullet"/>
      </w:pPr>
      <w:r w:rsidRPr="00BE23F7">
        <w:t>Famotid</w:t>
      </w:r>
      <w:r w:rsidR="00535DAC">
        <w:t>ine 40 mg QD or 20 mg QD or BD</w:t>
      </w:r>
    </w:p>
    <w:p w:rsidR="006801D5" w:rsidRPr="00BE23F7" w:rsidRDefault="00535DAC" w:rsidP="00BE23F7">
      <w:pPr>
        <w:pStyle w:val="ListBullet"/>
      </w:pPr>
      <w:proofErr w:type="spellStart"/>
      <w:r>
        <w:t>Nizatidine</w:t>
      </w:r>
      <w:proofErr w:type="spellEnd"/>
      <w:r>
        <w:t xml:space="preserve"> 150 mg QD</w:t>
      </w:r>
    </w:p>
    <w:p w:rsidR="006801D5" w:rsidRPr="00BE23F7" w:rsidRDefault="00362FED" w:rsidP="00BE23F7">
      <w:pPr>
        <w:pStyle w:val="ListBullet"/>
      </w:pPr>
      <w:r w:rsidRPr="00BE23F7">
        <w:t>Ranitidine 150 mg BD.</w:t>
      </w:r>
    </w:p>
    <w:p w:rsidR="006801D5" w:rsidRPr="00BE23F7" w:rsidRDefault="006801D5" w:rsidP="00BE23F7">
      <w:r w:rsidRPr="00BE23F7">
        <w:t>Permitted LTRA regimens du</w:t>
      </w:r>
      <w:r w:rsidR="00362FED" w:rsidRPr="00BE23F7">
        <w:t>ring the study were as follows:</w:t>
      </w:r>
    </w:p>
    <w:p w:rsidR="006801D5" w:rsidRPr="00BE23F7" w:rsidRDefault="00362FED" w:rsidP="00BE23F7">
      <w:pPr>
        <w:pStyle w:val="ListBullet"/>
      </w:pPr>
      <w:proofErr w:type="spellStart"/>
      <w:r w:rsidRPr="00BE23F7">
        <w:t>Montelukast</w:t>
      </w:r>
      <w:proofErr w:type="spellEnd"/>
      <w:r w:rsidRPr="00BE23F7">
        <w:t xml:space="preserve"> 10 mg QD</w:t>
      </w:r>
    </w:p>
    <w:p w:rsidR="006801D5" w:rsidRPr="00BE23F7" w:rsidRDefault="00362FED" w:rsidP="00BE23F7">
      <w:pPr>
        <w:pStyle w:val="ListBullet"/>
      </w:pPr>
      <w:proofErr w:type="spellStart"/>
      <w:r w:rsidRPr="00BE23F7">
        <w:t>Zafirlukast</w:t>
      </w:r>
      <w:proofErr w:type="spellEnd"/>
      <w:r w:rsidRPr="00BE23F7">
        <w:t xml:space="preserve"> 20 mg BD</w:t>
      </w:r>
      <w:r w:rsidR="005526F5">
        <w:t>.</w:t>
      </w:r>
    </w:p>
    <w:p w:rsidR="006801D5" w:rsidRPr="00BE23F7" w:rsidRDefault="006801D5" w:rsidP="00BE23F7">
      <w:r w:rsidRPr="00BE23F7">
        <w:t>Patients were also provided diphenhydramine (25 mg) for itch relief on an as</w:t>
      </w:r>
      <w:r w:rsidR="008E0680">
        <w:t xml:space="preserve"> </w:t>
      </w:r>
      <w:r w:rsidRPr="00BE23F7">
        <w:t>needed basis (up to a maximum of three doses in 24 hours).</w:t>
      </w:r>
    </w:p>
    <w:p w:rsidR="00254351" w:rsidRPr="005526F5" w:rsidRDefault="005526F5" w:rsidP="005526F5">
      <w:r>
        <w:t>S</w:t>
      </w:r>
      <w:r w:rsidR="00254351" w:rsidRPr="005526F5">
        <w:t>ubjects who were receiving any of several medications (corticosteroids, immunosuppressants etc.) were excluded from the study. Subjects who received any of these therapies after randomisation were dis</w:t>
      </w:r>
      <w:r w:rsidR="00362FED" w:rsidRPr="005526F5">
        <w:t>continued from study treatment.</w:t>
      </w:r>
    </w:p>
    <w:p w:rsidR="00254351" w:rsidRPr="004778FF" w:rsidRDefault="00362FED" w:rsidP="004778FF">
      <w:pPr>
        <w:pStyle w:val="Heading5"/>
      </w:pPr>
      <w:r w:rsidRPr="004778FF">
        <w:t>Efficacy variables and outcomes</w:t>
      </w:r>
    </w:p>
    <w:p w:rsidR="00254351" w:rsidRPr="00BE23F7" w:rsidRDefault="00254351" w:rsidP="00BE23F7">
      <w:r w:rsidRPr="00BE23F7">
        <w:t>Efficacy data were collected using the same patient daily diary used in t</w:t>
      </w:r>
      <w:r w:rsidR="00DD36C8" w:rsidRPr="00BE23F7">
        <w:t>he pivotal studies</w:t>
      </w:r>
      <w:r w:rsidRPr="00BE23F7">
        <w:t xml:space="preserve">. The efficacy endpoints used were the same as the 1 primary and 9 secondary endpoints used in </w:t>
      </w:r>
      <w:r w:rsidR="00A12D97">
        <w:t>Study</w:t>
      </w:r>
      <w:r w:rsidRPr="00BE23F7">
        <w:t xml:space="preserve"> 4881g. However, in this study there was no designated primary endpoint. Weekly itch severity score at </w:t>
      </w:r>
      <w:r w:rsidR="000E3BD7">
        <w:t xml:space="preserve">Week </w:t>
      </w:r>
      <w:r w:rsidRPr="00BE23F7">
        <w:t>12 (the primary endpoint in the pivotal studies) was referred t</w:t>
      </w:r>
      <w:r w:rsidR="00362FED" w:rsidRPr="00BE23F7">
        <w:t>o as a ‘key’ efficacy endpoint.</w:t>
      </w:r>
    </w:p>
    <w:p w:rsidR="00254351" w:rsidRPr="00BE23F7" w:rsidRDefault="00254351" w:rsidP="00BE23F7">
      <w:r w:rsidRPr="00BE23F7">
        <w:t>A further 14 exploratory endpoints were defined in</w:t>
      </w:r>
      <w:r w:rsidR="00362FED" w:rsidRPr="00BE23F7">
        <w:t xml:space="preserve"> the statistical analysis plan.</w:t>
      </w:r>
    </w:p>
    <w:p w:rsidR="00254351" w:rsidRPr="004778FF" w:rsidRDefault="00254351" w:rsidP="004778FF">
      <w:pPr>
        <w:pStyle w:val="Heading5"/>
      </w:pPr>
      <w:r w:rsidRPr="004778FF">
        <w:t>Ran</w:t>
      </w:r>
      <w:r w:rsidR="00D24CB0" w:rsidRPr="004778FF">
        <w:t>domisation and blinding methods</w:t>
      </w:r>
    </w:p>
    <w:p w:rsidR="00254351" w:rsidRPr="00BE23F7" w:rsidRDefault="00254351" w:rsidP="00BE23F7">
      <w:r w:rsidRPr="00BE23F7">
        <w:t xml:space="preserve">Patients were randomised in a 3:1 ratio to omalizumab or placebo. As in the pivotal studies, a hierarchical dynamic randomization scheme and an Interactive Voice and Web Response </w:t>
      </w:r>
      <w:r w:rsidRPr="00BE23F7">
        <w:lastRenderedPageBreak/>
        <w:t>System was used and randomisation was stratified by baseline weekly itch severity score (&lt;</w:t>
      </w:r>
      <w:r w:rsidR="005526F5">
        <w:t xml:space="preserve"> </w:t>
      </w:r>
      <w:r w:rsidRPr="00BE23F7">
        <w:t xml:space="preserve">13 </w:t>
      </w:r>
      <w:r w:rsidR="001136E7">
        <w:t>versus</w:t>
      </w:r>
      <w:r w:rsidRPr="00BE23F7">
        <w:t xml:space="preserve"> ≥ 13), baseline weight (&lt;</w:t>
      </w:r>
      <w:r w:rsidR="005526F5">
        <w:t xml:space="preserve"> </w:t>
      </w:r>
      <w:r w:rsidRPr="00BE23F7">
        <w:t xml:space="preserve">80 kg </w:t>
      </w:r>
      <w:r w:rsidR="001136E7">
        <w:t>versus</w:t>
      </w:r>
      <w:r w:rsidRPr="00BE23F7">
        <w:t xml:space="preserve"> ≥ 80</w:t>
      </w:r>
      <w:r w:rsidR="00D24CB0" w:rsidRPr="00BE23F7">
        <w:t xml:space="preserve"> kg), and study site.</w:t>
      </w:r>
    </w:p>
    <w:p w:rsidR="00254351" w:rsidRPr="00BE23F7" w:rsidRDefault="00254351" w:rsidP="00BE23F7">
      <w:r w:rsidRPr="00BE23F7">
        <w:t>Blinding methods were identical to tho</w:t>
      </w:r>
      <w:r w:rsidR="00D24CB0" w:rsidRPr="00BE23F7">
        <w:t>se used in the pivotal studies.</w:t>
      </w:r>
    </w:p>
    <w:p w:rsidR="00254351" w:rsidRPr="004778FF" w:rsidRDefault="00D24CB0" w:rsidP="004778FF">
      <w:pPr>
        <w:pStyle w:val="Heading5"/>
      </w:pPr>
      <w:r w:rsidRPr="004778FF">
        <w:t>Analysis populations</w:t>
      </w:r>
    </w:p>
    <w:p w:rsidR="00254351" w:rsidRPr="00BE23F7" w:rsidRDefault="00254351" w:rsidP="00BE23F7">
      <w:r w:rsidRPr="00BE23F7">
        <w:t>The analysis populations were identical to those defined for the pivotal studies.</w:t>
      </w:r>
    </w:p>
    <w:p w:rsidR="00254351" w:rsidRPr="004778FF" w:rsidRDefault="00D24CB0" w:rsidP="004778FF">
      <w:pPr>
        <w:pStyle w:val="Heading5"/>
      </w:pPr>
      <w:r w:rsidRPr="004778FF">
        <w:t>Sample size</w:t>
      </w:r>
    </w:p>
    <w:p w:rsidR="00254351" w:rsidRPr="00BE23F7" w:rsidRDefault="00254351" w:rsidP="00BE23F7">
      <w:r w:rsidRPr="00BE23F7">
        <w:t>The sample size was based on safety considerations</w:t>
      </w:r>
      <w:r w:rsidR="00D24CB0" w:rsidRPr="00BE23F7">
        <w:t>, and not on efficacy criteria.</w:t>
      </w:r>
    </w:p>
    <w:p w:rsidR="00254351" w:rsidRPr="00BE23F7" w:rsidRDefault="00254351" w:rsidP="00BE23F7">
      <w:r w:rsidRPr="00BE23F7">
        <w:t>Approximately 320 patients were planned for randomizatio</w:t>
      </w:r>
      <w:r w:rsidR="005526F5">
        <w:t>n to either the omalizumab (300 </w:t>
      </w:r>
      <w:r w:rsidRPr="00BE23F7">
        <w:t>mg) or placebo treatment groups in a 3:1 ratio. With this sample size, the probability of observing one or more instances of an adverse event over the period of this study, assuming a background rate of 2% or 3%, was above 0.99 in the omalizumab group, and 0.80 and 0.91 in t</w:t>
      </w:r>
      <w:r w:rsidR="00D24CB0" w:rsidRPr="00BE23F7">
        <w:t>he placebo group, respectively.</w:t>
      </w:r>
    </w:p>
    <w:p w:rsidR="00254351" w:rsidRPr="004778FF" w:rsidRDefault="00D24CB0" w:rsidP="004778FF">
      <w:pPr>
        <w:pStyle w:val="Heading5"/>
      </w:pPr>
      <w:r w:rsidRPr="004778FF">
        <w:t>Statistical methods</w:t>
      </w:r>
    </w:p>
    <w:p w:rsidR="00254351" w:rsidRDefault="00254351" w:rsidP="00BE23F7">
      <w:r w:rsidRPr="00BE23F7">
        <w:t>The statistical methods used to analyse the 10 efficacy endpoints were identic</w:t>
      </w:r>
      <w:r w:rsidR="00B66078" w:rsidRPr="00BE23F7">
        <w:t xml:space="preserve">al to those used in </w:t>
      </w:r>
      <w:r w:rsidR="00A12D97">
        <w:t>Study</w:t>
      </w:r>
      <w:r w:rsidR="00B66078" w:rsidRPr="00BE23F7">
        <w:t xml:space="preserve"> 4881g. </w:t>
      </w:r>
      <w:r w:rsidRPr="00BE23F7">
        <w:t>All statistical tests were to be conducted at a 0.05 significance level. The analysis of the efficacy endpoints was conducted in a hierarchical or</w:t>
      </w:r>
      <w:r w:rsidR="00A23D8E" w:rsidRPr="00BE23F7">
        <w:t>der</w:t>
      </w:r>
      <w:r w:rsidRPr="00BE23F7">
        <w:t>, to maintain an overall type I error rate of 0.05 (two-sided). A p-value that was less than 0.05 would only be claimed statistically significant if statistical significance has been demonstrated for the previous endpoint in the hier</w:t>
      </w:r>
      <w:r w:rsidR="00D24CB0" w:rsidRPr="00BE23F7">
        <w:t>archy.</w:t>
      </w:r>
    </w:p>
    <w:p w:rsidR="00254351" w:rsidRPr="004778FF" w:rsidRDefault="00D24CB0" w:rsidP="004778FF">
      <w:pPr>
        <w:pStyle w:val="Heading5"/>
      </w:pPr>
      <w:r w:rsidRPr="004778FF">
        <w:t>Participant flow</w:t>
      </w:r>
    </w:p>
    <w:p w:rsidR="00254351" w:rsidRPr="006A35BD" w:rsidRDefault="00254351" w:rsidP="006A35BD">
      <w:r w:rsidRPr="006A35BD">
        <w:t>A total of 480 subjects were screened for inclusion in the study, 336 were randomised and 335 were treated. The most frequent reaso</w:t>
      </w:r>
      <w:r w:rsidR="00D24CB0" w:rsidRPr="006A35BD">
        <w:t>ns for screening failures were:</w:t>
      </w:r>
    </w:p>
    <w:p w:rsidR="00254351" w:rsidRPr="006A35BD" w:rsidRDefault="00254351" w:rsidP="006A35BD">
      <w:pPr>
        <w:pStyle w:val="ListBullet"/>
      </w:pPr>
      <w:r w:rsidRPr="006A35BD">
        <w:t xml:space="preserve">Missing </w:t>
      </w:r>
      <w:proofErr w:type="spellStart"/>
      <w:r w:rsidRPr="006A35BD">
        <w:t>eDiary</w:t>
      </w:r>
      <w:proofErr w:type="spellEnd"/>
      <w:r w:rsidRPr="006A35BD">
        <w:t xml:space="preserve"> entries in the 7 days prior to randomisation (15.3%</w:t>
      </w:r>
      <w:r w:rsidR="00535DAC">
        <w:t>)</w:t>
      </w:r>
    </w:p>
    <w:p w:rsidR="00254351" w:rsidRPr="006A35BD" w:rsidRDefault="00254351" w:rsidP="006A35BD">
      <w:pPr>
        <w:pStyle w:val="ListBullet"/>
      </w:pPr>
      <w:r w:rsidRPr="006A35BD">
        <w:t>Not diagnosed as having CIU refractory to H1 antihistamines, and/or H2 blockers and/or LTRAs at th</w:t>
      </w:r>
      <w:r w:rsidR="00535DAC">
        <w:t>e time of randomization (7.6%)</w:t>
      </w:r>
    </w:p>
    <w:p w:rsidR="00254351" w:rsidRPr="006A35BD" w:rsidRDefault="00D24CB0" w:rsidP="006A35BD">
      <w:pPr>
        <w:pStyle w:val="ListBullet"/>
      </w:pPr>
      <w:r w:rsidRPr="006A35BD">
        <w:t>Other (not defined) (36.8%).</w:t>
      </w:r>
    </w:p>
    <w:p w:rsidR="00254351" w:rsidRPr="006A35BD" w:rsidRDefault="00254351" w:rsidP="006A35BD">
      <w:r w:rsidRPr="006A35BD">
        <w:t>Of the 336 subjects randomised, 284 (84.5%) completed the 12 weeks of treatment and 290 (86.3%) completed the 40 weeks of the study. The reasons for withdrawal from the study (</w:t>
      </w:r>
      <w:r w:rsidR="001136E7">
        <w:t>that is,</w:t>
      </w:r>
      <w:r w:rsidRPr="006A35BD">
        <w:t xml:space="preserve"> prior to </w:t>
      </w:r>
      <w:r w:rsidR="000E3BD7">
        <w:t xml:space="preserve">Week </w:t>
      </w:r>
      <w:r w:rsidRPr="006A35BD">
        <w:t xml:space="preserve">40) are shown in </w:t>
      </w:r>
      <w:r w:rsidR="009D4E07">
        <w:t>Figure 8</w:t>
      </w:r>
      <w:r w:rsidRPr="006A35BD">
        <w:t>. Reasons for withdrawal of treatment (</w:t>
      </w:r>
      <w:r w:rsidR="001136E7">
        <w:t>that is,</w:t>
      </w:r>
      <w:r w:rsidRPr="006A35BD">
        <w:t xml:space="preserve"> prior to </w:t>
      </w:r>
      <w:r w:rsidR="000E3BD7">
        <w:t xml:space="preserve">Week </w:t>
      </w:r>
      <w:r w:rsidRPr="006A35BD">
        <w:t xml:space="preserve">24) </w:t>
      </w:r>
      <w:r w:rsidR="001E5194">
        <w:t>and description of t</w:t>
      </w:r>
      <w:r w:rsidRPr="006A35BD">
        <w:t>he analysis p</w:t>
      </w:r>
      <w:r w:rsidR="003314FE" w:rsidRPr="006A35BD">
        <w:t xml:space="preserve">opulations </w:t>
      </w:r>
      <w:r w:rsidR="001E5194">
        <w:t>were provided</w:t>
      </w:r>
      <w:r w:rsidRPr="006A35BD">
        <w:t>.</w:t>
      </w:r>
    </w:p>
    <w:p w:rsidR="004778FF" w:rsidRDefault="004778FF">
      <w:pPr>
        <w:spacing w:before="0" w:after="200" w:line="0" w:lineRule="auto"/>
        <w:rPr>
          <w:b/>
        </w:rPr>
      </w:pPr>
      <w:r>
        <w:br w:type="page"/>
      </w:r>
    </w:p>
    <w:p w:rsidR="00A23D8E" w:rsidRPr="004778FF" w:rsidRDefault="00A23D8E" w:rsidP="004778FF">
      <w:pPr>
        <w:pStyle w:val="FigureTitle"/>
      </w:pPr>
      <w:proofErr w:type="gramStart"/>
      <w:r w:rsidRPr="004778FF">
        <w:lastRenderedPageBreak/>
        <w:t xml:space="preserve">Figure </w:t>
      </w:r>
      <w:r w:rsidR="009D4E07" w:rsidRPr="004778FF">
        <w:t>8</w:t>
      </w:r>
      <w:r w:rsidR="00346A17" w:rsidRPr="004778FF">
        <w:t>.</w:t>
      </w:r>
      <w:proofErr w:type="gramEnd"/>
      <w:r w:rsidRPr="004778FF">
        <w:t xml:space="preserve"> Study 4883g</w:t>
      </w:r>
      <w:r w:rsidR="00346A17" w:rsidRPr="004778FF">
        <w:t xml:space="preserve">. </w:t>
      </w:r>
      <w:proofErr w:type="gramStart"/>
      <w:r w:rsidRPr="004778FF">
        <w:t>Participant flow</w:t>
      </w:r>
      <w:r w:rsidR="00BD2229" w:rsidRPr="004778FF">
        <w:t>.</w:t>
      </w:r>
      <w:proofErr w:type="gramEnd"/>
    </w:p>
    <w:p w:rsidR="00A04DFD" w:rsidRDefault="00A04DFD" w:rsidP="006F527F">
      <w:r>
        <w:rPr>
          <w:noProof/>
          <w:lang w:eastAsia="en-AU"/>
        </w:rPr>
        <w:drawing>
          <wp:inline distT="0" distB="0" distL="0" distR="0" wp14:anchorId="7F54AF2D" wp14:editId="6ED15BF6">
            <wp:extent cx="4637837" cy="4992774"/>
            <wp:effectExtent l="0" t="0" r="0" b="0"/>
            <wp:docPr id="14" name="Picture 14" descr="Figure 8. Study 4883g.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38344" cy="4993320"/>
                    </a:xfrm>
                    <a:prstGeom prst="rect">
                      <a:avLst/>
                    </a:prstGeom>
                  </pic:spPr>
                </pic:pic>
              </a:graphicData>
            </a:graphic>
          </wp:inline>
        </w:drawing>
      </w:r>
    </w:p>
    <w:p w:rsidR="00254351" w:rsidRPr="004778FF" w:rsidRDefault="00254351" w:rsidP="004778FF">
      <w:pPr>
        <w:pStyle w:val="Heading5"/>
      </w:pPr>
      <w:r w:rsidRPr="004778FF">
        <w:t>Major</w:t>
      </w:r>
      <w:r w:rsidR="00D24CB0" w:rsidRPr="004778FF">
        <w:t xml:space="preserve"> protocol violations/deviations</w:t>
      </w:r>
    </w:p>
    <w:p w:rsidR="00254351" w:rsidRPr="006A35BD" w:rsidRDefault="00254351" w:rsidP="006A35BD">
      <w:r w:rsidRPr="006A35BD">
        <w:t>A major protocol violation was defined in the same manner as in the pivotal studies. The types of violations that occur</w:t>
      </w:r>
      <w:r w:rsidR="004F3A92" w:rsidRPr="006A35BD">
        <w:t xml:space="preserve">red </w:t>
      </w:r>
      <w:r w:rsidR="001E5194">
        <w:t>were provided</w:t>
      </w:r>
      <w:r w:rsidR="00D24CB0" w:rsidRPr="006A35BD">
        <w:t>.</w:t>
      </w:r>
    </w:p>
    <w:p w:rsidR="00254351" w:rsidRPr="00457325" w:rsidRDefault="00457325" w:rsidP="00457325">
      <w:pPr>
        <w:ind w:left="1021" w:hanging="1021"/>
      </w:pPr>
      <w:r w:rsidRPr="00457325">
        <w:t>Comment</w:t>
      </w:r>
      <w:r w:rsidR="00254351" w:rsidRPr="00457325">
        <w:t>: The various types of protocol violation occurred at comparable frequencies in the two treatment groups. It is unlikely that they would have caused any significant bias in t</w:t>
      </w:r>
      <w:r w:rsidR="00D24CB0" w:rsidRPr="00457325">
        <w:t>he interpretation of the study.</w:t>
      </w:r>
    </w:p>
    <w:p w:rsidR="00254351" w:rsidRPr="004778FF" w:rsidRDefault="00D24CB0" w:rsidP="004778FF">
      <w:pPr>
        <w:pStyle w:val="Heading5"/>
      </w:pPr>
      <w:r w:rsidRPr="004778FF">
        <w:t>Baseline data</w:t>
      </w:r>
    </w:p>
    <w:p w:rsidR="00254351" w:rsidRPr="006A35BD" w:rsidRDefault="001E5194" w:rsidP="006A35BD">
      <w:r>
        <w:t>Baseline demographics we</w:t>
      </w:r>
      <w:r w:rsidR="00254351" w:rsidRPr="006A35BD">
        <w:t>re summarised</w:t>
      </w:r>
      <w:r>
        <w:t xml:space="preserve"> and provided,</w:t>
      </w:r>
      <w:r w:rsidR="00254351" w:rsidRPr="006A35BD">
        <w:t xml:space="preserve"> and baseline disease characteristics </w:t>
      </w:r>
      <w:r>
        <w:t>were provided</w:t>
      </w:r>
      <w:r w:rsidR="00D24CB0" w:rsidRPr="006A35BD">
        <w:t>.</w:t>
      </w:r>
    </w:p>
    <w:p w:rsidR="00254351" w:rsidRPr="00457325" w:rsidRDefault="00457325" w:rsidP="00457325">
      <w:pPr>
        <w:ind w:left="1021" w:hanging="1021"/>
      </w:pPr>
      <w:r w:rsidRPr="00457325">
        <w:t>Comment</w:t>
      </w:r>
      <w:r w:rsidR="00254351" w:rsidRPr="00457325">
        <w:t>: The two treatment groups were well balanced with respect to baseline characteristics. Subjects in this study had tried a larger number of CIU medications (median = 6.0) compared to subjects enrolled in the pivotal studies (median = 4.0). Otherwise the baseline characteristics were very si</w:t>
      </w:r>
      <w:r w:rsidR="00D24CB0" w:rsidRPr="00457325">
        <w:t>milar across the three studies.</w:t>
      </w:r>
    </w:p>
    <w:p w:rsidR="00254351" w:rsidRPr="006A35BD" w:rsidRDefault="00254351" w:rsidP="00457325">
      <w:pPr>
        <w:ind w:left="1021"/>
      </w:pPr>
      <w:r w:rsidRPr="006A35BD">
        <w:t>Concurrent and previous treatments and previous diseases were simil</w:t>
      </w:r>
      <w:r w:rsidR="00D24CB0" w:rsidRPr="006A35BD">
        <w:t>ar in the two treatment groups.</w:t>
      </w:r>
    </w:p>
    <w:p w:rsidR="00254351" w:rsidRPr="004778FF" w:rsidRDefault="00254351" w:rsidP="004778FF">
      <w:pPr>
        <w:pStyle w:val="Heading5"/>
      </w:pPr>
      <w:r w:rsidRPr="004778FF">
        <w:t>Re</w:t>
      </w:r>
      <w:r w:rsidR="00D24CB0" w:rsidRPr="004778FF">
        <w:t>sults for the efficacy outcomes</w:t>
      </w:r>
    </w:p>
    <w:p w:rsidR="00254351" w:rsidRPr="006A35BD" w:rsidRDefault="00254351" w:rsidP="006A35BD">
      <w:r w:rsidRPr="006A35BD">
        <w:t>Results for the efficacy out</w:t>
      </w:r>
      <w:r w:rsidR="005C6B7B">
        <w:t>comes a</w:t>
      </w:r>
      <w:r w:rsidR="00BC46A0">
        <w:t>re summarised in Table 15</w:t>
      </w:r>
      <w:r w:rsidRPr="006A35BD">
        <w:t xml:space="preserve">. Omalizumab treatment was associated with a statistically significant benefit on all ten efficacy endpoints tested. Results for </w:t>
      </w:r>
      <w:r w:rsidRPr="006A35BD">
        <w:lastRenderedPageBreak/>
        <w:t xml:space="preserve">the ‘key’ efficacy endpoint of weekly itch severity score at </w:t>
      </w:r>
      <w:r w:rsidR="000E3BD7">
        <w:t xml:space="preserve">Week </w:t>
      </w:r>
      <w:r w:rsidRPr="006A35BD">
        <w:t xml:space="preserve">12 (the primary endpoint in the </w:t>
      </w:r>
      <w:r w:rsidR="005C6B7B">
        <w:t>pivotal studies) were provided in detail</w:t>
      </w:r>
      <w:r w:rsidRPr="006A35BD">
        <w:t>. The results for weekly itch severity score over the entire course of th</w:t>
      </w:r>
      <w:r w:rsidR="00D24CB0" w:rsidRPr="006A35BD">
        <w:t xml:space="preserve">e study are shown </w:t>
      </w:r>
      <w:r w:rsidR="009D4E07">
        <w:t>in Figure 9</w:t>
      </w:r>
      <w:r w:rsidR="00D24CB0" w:rsidRPr="006A35BD">
        <w:t>.</w:t>
      </w:r>
    </w:p>
    <w:p w:rsidR="00254351" w:rsidRPr="00457325" w:rsidRDefault="00457325" w:rsidP="00457325">
      <w:pPr>
        <w:ind w:left="1021" w:hanging="1021"/>
      </w:pPr>
      <w:r w:rsidRPr="00457325">
        <w:t>Comment</w:t>
      </w:r>
      <w:r w:rsidR="00254351" w:rsidRPr="00457325">
        <w:t xml:space="preserve">: The efficacy findings in this study were consistent </w:t>
      </w:r>
      <w:r w:rsidR="00574D50">
        <w:t>with those observed for the 300 </w:t>
      </w:r>
      <w:r w:rsidR="00254351" w:rsidRPr="00457325">
        <w:t>mg dose of omalizu</w:t>
      </w:r>
      <w:r w:rsidR="00D24CB0" w:rsidRPr="00457325">
        <w:t>mab in the two pivotal studies.</w:t>
      </w:r>
    </w:p>
    <w:p w:rsidR="00B35B86" w:rsidRPr="004778FF" w:rsidRDefault="00B35B86" w:rsidP="004778FF">
      <w:pPr>
        <w:pStyle w:val="Tabletitle"/>
      </w:pPr>
      <w:proofErr w:type="gramStart"/>
      <w:r w:rsidRPr="004778FF">
        <w:t xml:space="preserve">Table </w:t>
      </w:r>
      <w:r w:rsidR="00BC46A0" w:rsidRPr="004778FF">
        <w:t>15</w:t>
      </w:r>
      <w:r w:rsidR="00A04DFD" w:rsidRPr="004778FF">
        <w:t>.</w:t>
      </w:r>
      <w:proofErr w:type="gramEnd"/>
      <w:r w:rsidRPr="004778FF">
        <w:t xml:space="preserve"> Study 4883g</w:t>
      </w:r>
      <w:r w:rsidR="00A04DFD" w:rsidRPr="004778FF">
        <w:t xml:space="preserve">. </w:t>
      </w:r>
      <w:proofErr w:type="gramStart"/>
      <w:r w:rsidRPr="004778FF">
        <w:t>Results for efficacy endpoints</w:t>
      </w:r>
      <w:r w:rsidR="00BD2229" w:rsidRPr="004778FF">
        <w:t>.</w:t>
      </w:r>
      <w:proofErr w:type="gramEnd"/>
    </w:p>
    <w:p w:rsidR="00B35B86" w:rsidRDefault="00B35B86" w:rsidP="00B35B86">
      <w:r>
        <w:rPr>
          <w:noProof/>
          <w:lang w:eastAsia="en-AU"/>
        </w:rPr>
        <w:drawing>
          <wp:inline distT="0" distB="0" distL="0" distR="0" wp14:anchorId="70C1EDEA" wp14:editId="5AD12C75">
            <wp:extent cx="4382855" cy="5925312"/>
            <wp:effectExtent l="0" t="0" r="0" b="0"/>
            <wp:docPr id="64" name="Picture 64" descr="Table 15. Study 4883g. Results for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2855" cy="5925312"/>
                    </a:xfrm>
                    <a:prstGeom prst="rect">
                      <a:avLst/>
                    </a:prstGeom>
                    <a:noFill/>
                    <a:ln>
                      <a:noFill/>
                    </a:ln>
                  </pic:spPr>
                </pic:pic>
              </a:graphicData>
            </a:graphic>
          </wp:inline>
        </w:drawing>
      </w:r>
    </w:p>
    <w:p w:rsidR="004778FF" w:rsidRDefault="004778FF">
      <w:pPr>
        <w:spacing w:before="0" w:after="200" w:line="0" w:lineRule="auto"/>
        <w:rPr>
          <w:b/>
        </w:rPr>
      </w:pPr>
      <w:r>
        <w:br w:type="page"/>
      </w:r>
    </w:p>
    <w:p w:rsidR="005C6B7B" w:rsidRDefault="008F22A8" w:rsidP="004778FF">
      <w:pPr>
        <w:pStyle w:val="FigureTitle"/>
      </w:pPr>
      <w:proofErr w:type="gramStart"/>
      <w:r>
        <w:lastRenderedPageBreak/>
        <w:t xml:space="preserve">Figure </w:t>
      </w:r>
      <w:r w:rsidR="009D4E07">
        <w:t>9</w:t>
      </w:r>
      <w:r w:rsidR="00A04DFD">
        <w:t>.</w:t>
      </w:r>
      <w:proofErr w:type="gramEnd"/>
      <w:r w:rsidR="005C6B7B" w:rsidRPr="005C6B7B">
        <w:t xml:space="preserve"> Study 4883g</w:t>
      </w:r>
      <w:r w:rsidR="00A04DFD">
        <w:t xml:space="preserve">. </w:t>
      </w:r>
      <w:r w:rsidR="005C6B7B" w:rsidRPr="005C6B7B">
        <w:t xml:space="preserve">Mean </w:t>
      </w:r>
      <w:r w:rsidR="00C03E21">
        <w:t>c</w:t>
      </w:r>
      <w:r w:rsidR="005C6B7B" w:rsidRPr="005C6B7B">
        <w:t xml:space="preserve">hange from </w:t>
      </w:r>
      <w:r w:rsidR="00C03E21">
        <w:t>b</w:t>
      </w:r>
      <w:r w:rsidR="005C6B7B" w:rsidRPr="005C6B7B">
        <w:t xml:space="preserve">aseline in </w:t>
      </w:r>
      <w:r w:rsidR="00C03E21">
        <w:t>w</w:t>
      </w:r>
      <w:r w:rsidR="005C6B7B" w:rsidRPr="005C6B7B">
        <w:t xml:space="preserve">eekly </w:t>
      </w:r>
      <w:r w:rsidR="00C03E21">
        <w:t>i</w:t>
      </w:r>
      <w:r w:rsidR="005C6B7B" w:rsidRPr="005C6B7B">
        <w:t xml:space="preserve">tch </w:t>
      </w:r>
      <w:r w:rsidR="00C03E21">
        <w:t>s</w:t>
      </w:r>
      <w:r w:rsidR="005C6B7B" w:rsidRPr="005C6B7B">
        <w:t xml:space="preserve">everity </w:t>
      </w:r>
      <w:r w:rsidR="00C03E21">
        <w:t>s</w:t>
      </w:r>
      <w:r w:rsidR="005C6B7B" w:rsidRPr="005C6B7B">
        <w:t>core by Study Week</w:t>
      </w:r>
      <w:r>
        <w:t>.</w:t>
      </w:r>
    </w:p>
    <w:p w:rsidR="005C6B7B" w:rsidRDefault="005C6B7B" w:rsidP="00B35B86">
      <w:r>
        <w:rPr>
          <w:noProof/>
          <w:lang w:eastAsia="en-AU"/>
        </w:rPr>
        <w:drawing>
          <wp:inline distT="0" distB="0" distL="0" distR="0" wp14:anchorId="25A3677C" wp14:editId="08C5D7DE">
            <wp:extent cx="5570550" cy="3262580"/>
            <wp:effectExtent l="0" t="0" r="0" b="0"/>
            <wp:docPr id="15" name="Picture 15" descr="Figure 9. Study 4883g. Mean Change from Baseline in Weekly Itch Severity Score by Stud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69181" cy="3261778"/>
                    </a:xfrm>
                    <a:prstGeom prst="rect">
                      <a:avLst/>
                    </a:prstGeom>
                  </pic:spPr>
                </pic:pic>
              </a:graphicData>
            </a:graphic>
          </wp:inline>
        </w:drawing>
      </w:r>
    </w:p>
    <w:p w:rsidR="00254351" w:rsidRPr="004778FF" w:rsidRDefault="00254351" w:rsidP="004778FF">
      <w:pPr>
        <w:pStyle w:val="Heading5"/>
      </w:pPr>
      <w:r w:rsidRPr="004778FF">
        <w:t>Results fo</w:t>
      </w:r>
      <w:r w:rsidR="00D24CB0" w:rsidRPr="004778FF">
        <w:t>r exploratory efficacy outcomes</w:t>
      </w:r>
    </w:p>
    <w:p w:rsidR="00254351" w:rsidRPr="006A35BD" w:rsidRDefault="00254351" w:rsidP="006A35BD">
      <w:r w:rsidRPr="006A35BD">
        <w:t xml:space="preserve">The study included a large number of exploratory endpoints. Several of these looked at efficacy at </w:t>
      </w:r>
      <w:r w:rsidR="000E3BD7">
        <w:t xml:space="preserve">Week </w:t>
      </w:r>
      <w:r w:rsidRPr="006A35BD">
        <w:t xml:space="preserve">24, as opposed to </w:t>
      </w:r>
      <w:r w:rsidR="000E3BD7">
        <w:t xml:space="preserve">Week </w:t>
      </w:r>
      <w:r w:rsidRPr="006A35BD">
        <w:t xml:space="preserve">12. A selection of these are summarised </w:t>
      </w:r>
      <w:r w:rsidR="00BC46A0">
        <w:t>in Table 16</w:t>
      </w:r>
      <w:r w:rsidR="00D24CB0" w:rsidRPr="006A35BD">
        <w:t>.</w:t>
      </w:r>
    </w:p>
    <w:p w:rsidR="00254351" w:rsidRPr="00574D50" w:rsidRDefault="00457325" w:rsidP="00574D50">
      <w:pPr>
        <w:ind w:left="1021" w:hanging="1021"/>
      </w:pPr>
      <w:r w:rsidRPr="00574D50">
        <w:t>Comment</w:t>
      </w:r>
      <w:r w:rsidR="00254351" w:rsidRPr="00574D50">
        <w:t>: As with the pivotal studies, no adjustment for multiple comparisons was made for the exploratory endpoin</w:t>
      </w:r>
      <w:r w:rsidR="006A35BD" w:rsidRPr="00574D50">
        <w:t>ts. However, t</w:t>
      </w:r>
      <w:r w:rsidR="00254351" w:rsidRPr="00574D50">
        <w:t>he results suggest that significant efficacy is maintained out to 24 weeks with the 300 mg dose. The sponsor is proposing to include some of the 24-week d</w:t>
      </w:r>
      <w:r w:rsidR="00D24CB0" w:rsidRPr="00574D50">
        <w:t>ata in the product information.</w:t>
      </w:r>
    </w:p>
    <w:p w:rsidR="002E4023" w:rsidRPr="004778FF" w:rsidRDefault="002E4023" w:rsidP="004778FF">
      <w:pPr>
        <w:pStyle w:val="Tabletitle"/>
      </w:pPr>
      <w:proofErr w:type="gramStart"/>
      <w:r w:rsidRPr="004778FF">
        <w:lastRenderedPageBreak/>
        <w:t xml:space="preserve">Table </w:t>
      </w:r>
      <w:r w:rsidR="00BC46A0" w:rsidRPr="004778FF">
        <w:t>16</w:t>
      </w:r>
      <w:r w:rsidR="00A04DFD" w:rsidRPr="004778FF">
        <w:t>.</w:t>
      </w:r>
      <w:proofErr w:type="gramEnd"/>
      <w:r w:rsidRPr="004778FF">
        <w:t xml:space="preserve"> Study 4883g</w:t>
      </w:r>
      <w:r w:rsidR="00A04DFD" w:rsidRPr="004778FF">
        <w:t>.</w:t>
      </w:r>
      <w:r w:rsidRPr="004778FF">
        <w:t xml:space="preserve"> </w:t>
      </w:r>
      <w:proofErr w:type="gramStart"/>
      <w:r w:rsidRPr="004778FF">
        <w:t xml:space="preserve">Exploratory endpoints (at </w:t>
      </w:r>
      <w:r w:rsidR="000E3BD7" w:rsidRPr="004778FF">
        <w:t xml:space="preserve">Week </w:t>
      </w:r>
      <w:r w:rsidRPr="004778FF">
        <w:t>24)</w:t>
      </w:r>
      <w:r w:rsidR="00A04DFD" w:rsidRPr="004778FF">
        <w:t>.</w:t>
      </w:r>
      <w:proofErr w:type="gramEnd"/>
    </w:p>
    <w:p w:rsidR="005C6B7B" w:rsidRPr="002E4023" w:rsidRDefault="005C6B7B" w:rsidP="002E4023">
      <w:r>
        <w:rPr>
          <w:noProof/>
          <w:lang w:eastAsia="en-AU"/>
        </w:rPr>
        <w:drawing>
          <wp:inline distT="0" distB="0" distL="0" distR="0" wp14:anchorId="28F70EA1" wp14:editId="28F90C0F">
            <wp:extent cx="3942893" cy="5548727"/>
            <wp:effectExtent l="0" t="0" r="635" b="0"/>
            <wp:docPr id="16" name="Picture 16" descr="Table 16. Study 4883g. Exploratory endpoints (at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945852" cy="5552891"/>
                    </a:xfrm>
                    <a:prstGeom prst="rect">
                      <a:avLst/>
                    </a:prstGeom>
                  </pic:spPr>
                </pic:pic>
              </a:graphicData>
            </a:graphic>
          </wp:inline>
        </w:drawing>
      </w:r>
    </w:p>
    <w:p w:rsidR="00254351" w:rsidRPr="004778FF" w:rsidRDefault="00D24CB0" w:rsidP="004778FF">
      <w:pPr>
        <w:pStyle w:val="Heading4"/>
      </w:pPr>
      <w:r w:rsidRPr="004778FF">
        <w:t>Study ADE05 (‘X-QUISITE’)</w:t>
      </w:r>
    </w:p>
    <w:p w:rsidR="00254351" w:rsidRPr="006A35BD" w:rsidRDefault="00254351" w:rsidP="006A35BD">
      <w:r w:rsidRPr="006A35BD">
        <w:t>Study ADE05 was the earliest study of omalizumab conducted by the sponsor in patients with chronic urticaria. It was conducted between May 2007 and April 2009 in 16 centre</w:t>
      </w:r>
      <w:r w:rsidR="001C4BC7">
        <w:t>s in Germany. It was a small P</w:t>
      </w:r>
      <w:r w:rsidRPr="006A35BD">
        <w:t xml:space="preserve">hase </w:t>
      </w:r>
      <w:proofErr w:type="spellStart"/>
      <w:r w:rsidRPr="006A35BD">
        <w:t>IIIb</w:t>
      </w:r>
      <w:proofErr w:type="spellEnd"/>
      <w:r w:rsidRPr="006A35BD">
        <w:t>, randomised, double blind, and placebo-controlled trial with two parallel groups. The study report stated that it was a proof-of-concept tria</w:t>
      </w:r>
      <w:r w:rsidR="006A35BD">
        <w:t>l. The study has been published.</w:t>
      </w:r>
      <w:r w:rsidR="001C4BC7">
        <w:t xml:space="preserve"> </w:t>
      </w:r>
      <w:r w:rsidRPr="006A35BD">
        <w:rPr>
          <w:vertAlign w:val="superscript"/>
        </w:rPr>
        <w:t>(12)</w:t>
      </w:r>
    </w:p>
    <w:p w:rsidR="00254351" w:rsidRPr="006A35BD" w:rsidRDefault="00254351" w:rsidP="006A35BD">
      <w:r w:rsidRPr="006A35BD">
        <w:t>Patients included were aged 18</w:t>
      </w:r>
      <w:r w:rsidR="001C4BC7">
        <w:t xml:space="preserve"> </w:t>
      </w:r>
      <w:r w:rsidR="003828DB">
        <w:t>to</w:t>
      </w:r>
      <w:r w:rsidR="001C4BC7">
        <w:t xml:space="preserve"> </w:t>
      </w:r>
      <w:r w:rsidRPr="006A35BD">
        <w:t xml:space="preserve">70 years, with a diagnosis of moderate to severe chronic urticaria that was unresponsive to the approved dose of a marketed antihistamine given for at least two weeks. Subjects were required to have a total serum </w:t>
      </w:r>
      <w:proofErr w:type="spellStart"/>
      <w:r w:rsidRPr="006A35BD">
        <w:t>Ig</w:t>
      </w:r>
      <w:r w:rsidR="001C4BC7">
        <w:t>E</w:t>
      </w:r>
      <w:proofErr w:type="spellEnd"/>
      <w:r w:rsidR="001C4BC7">
        <w:t xml:space="preserve"> level of ≥ 30 IU/mL and ≤ 700 </w:t>
      </w:r>
      <w:r w:rsidRPr="006A35BD">
        <w:t xml:space="preserve">IU/mL at baseline. They were also required to have a specific </w:t>
      </w:r>
      <w:proofErr w:type="spellStart"/>
      <w:r w:rsidRPr="006A35BD">
        <w:t>IgE</w:t>
      </w:r>
      <w:proofErr w:type="spellEnd"/>
      <w:r w:rsidRPr="006A35BD">
        <w:t xml:space="preserve"> directed against </w:t>
      </w:r>
      <w:proofErr w:type="spellStart"/>
      <w:r w:rsidRPr="006A35BD">
        <w:t>thyroperoxidsae</w:t>
      </w:r>
      <w:proofErr w:type="spellEnd"/>
      <w:r w:rsidRPr="006A35BD">
        <w:t xml:space="preserve"> (TPO) at a serum level of ≥ 8.0 IU/</w:t>
      </w:r>
      <w:proofErr w:type="spellStart"/>
      <w:r w:rsidRPr="006A35BD">
        <w:t>mL.</w:t>
      </w:r>
      <w:proofErr w:type="spellEnd"/>
    </w:p>
    <w:p w:rsidR="00254351" w:rsidRPr="00574D50" w:rsidRDefault="00457325" w:rsidP="00574D50">
      <w:pPr>
        <w:ind w:left="1021" w:hanging="1021"/>
      </w:pPr>
      <w:r w:rsidRPr="00574D50">
        <w:t>Comment</w:t>
      </w:r>
      <w:r w:rsidR="00254351" w:rsidRPr="00574D50">
        <w:t xml:space="preserve">: </w:t>
      </w:r>
      <w:proofErr w:type="spellStart"/>
      <w:r w:rsidR="00254351" w:rsidRPr="00574D50">
        <w:t>Thyroperoxidase</w:t>
      </w:r>
      <w:proofErr w:type="spellEnd"/>
      <w:r w:rsidR="00254351" w:rsidRPr="00574D50">
        <w:t xml:space="preserve"> (TPO) is an enzyme expressed by the thyroid gland. Anti-TPO antibodies are commonly found in patients with autoimmune thyroid disease, such as Hashimoto’s thyroiditis. Thyroid disease and chronic urti</w:t>
      </w:r>
      <w:r w:rsidR="006A35BD" w:rsidRPr="00574D50">
        <w:t>caria are frequently associated.</w:t>
      </w:r>
      <w:r w:rsidR="001C4BC7" w:rsidRPr="00574D50">
        <w:t xml:space="preserve"> </w:t>
      </w:r>
      <w:r w:rsidR="00254351" w:rsidRPr="00574D50">
        <w:t xml:space="preserve">(3) By requiring subjects to have anti-TPO antibodies, the trial may have </w:t>
      </w:r>
      <w:r w:rsidR="00254351" w:rsidRPr="00574D50">
        <w:lastRenderedPageBreak/>
        <w:t>selected subjects that were more likely to have an autoimmune basis for their urticaria. Patients with physical urticaria were not expl</w:t>
      </w:r>
      <w:r w:rsidR="00252820" w:rsidRPr="00574D50">
        <w:t>icitly excluded from the trial.</w:t>
      </w:r>
    </w:p>
    <w:p w:rsidR="00254351" w:rsidRPr="006A35BD" w:rsidRDefault="00254351" w:rsidP="006A35BD">
      <w:r w:rsidRPr="006A35BD">
        <w:t>Subjects were randomised to receive omalizumab or placebo. Dosage was dependent on the patient’s weight an</w:t>
      </w:r>
      <w:r w:rsidR="0038012B" w:rsidRPr="006A35BD">
        <w:t xml:space="preserve">d </w:t>
      </w:r>
      <w:proofErr w:type="spellStart"/>
      <w:r w:rsidR="0038012B" w:rsidRPr="006A35BD">
        <w:t>IgE</w:t>
      </w:r>
      <w:proofErr w:type="spellEnd"/>
      <w:r w:rsidR="0038012B" w:rsidRPr="006A35BD">
        <w:t xml:space="preserve"> level</w:t>
      </w:r>
      <w:r w:rsidRPr="006A35BD">
        <w:t>, similar to the currently approved regimen for allergic asthma. Treatment wa</w:t>
      </w:r>
      <w:r w:rsidR="00252820" w:rsidRPr="006A35BD">
        <w:t>s continued for 24 weeks.</w:t>
      </w:r>
    </w:p>
    <w:p w:rsidR="00254351" w:rsidRPr="00574D50" w:rsidRDefault="00457325" w:rsidP="00574D50">
      <w:pPr>
        <w:ind w:left="1021" w:hanging="1021"/>
      </w:pPr>
      <w:r w:rsidRPr="00574D50">
        <w:t>Comment</w:t>
      </w:r>
      <w:r w:rsidR="00254351" w:rsidRPr="00574D50">
        <w:t>: The dosage regimen is different to that being proposed for registration for CIU in Australia. In this study the dose administered c</w:t>
      </w:r>
      <w:r w:rsidR="00FB4E94">
        <w:t xml:space="preserve">ould be as high as 750 mg per 4 </w:t>
      </w:r>
      <w:r w:rsidR="00254351" w:rsidRPr="00574D50">
        <w:t>week period, whereas the maximum proposed dose for CIU is</w:t>
      </w:r>
      <w:r w:rsidR="00FB4E94">
        <w:t xml:space="preserve"> 300 mg per 4 </w:t>
      </w:r>
      <w:r w:rsidR="00252820" w:rsidRPr="00574D50">
        <w:t>week period.</w:t>
      </w:r>
    </w:p>
    <w:p w:rsidR="00254351" w:rsidRPr="006A35BD" w:rsidRDefault="00254351" w:rsidP="00574D50">
      <w:pPr>
        <w:ind w:left="1021"/>
      </w:pPr>
      <w:r w:rsidRPr="006A35BD">
        <w:t xml:space="preserve">The primary endpoint for the study was the change from baseline to </w:t>
      </w:r>
      <w:r w:rsidR="000E3BD7">
        <w:t xml:space="preserve">Week </w:t>
      </w:r>
      <w:r w:rsidRPr="006A35BD">
        <w:t>24 (visit 8) in UAS7. A variety of seconda</w:t>
      </w:r>
      <w:r w:rsidR="00252820" w:rsidRPr="006A35BD">
        <w:t>ry endpoints were also studied.</w:t>
      </w:r>
    </w:p>
    <w:p w:rsidR="00254351" w:rsidRPr="006A35BD" w:rsidRDefault="00254351" w:rsidP="006A35BD">
      <w:r w:rsidRPr="006A35BD">
        <w:t xml:space="preserve">A total of 49 subjects were randomised, 27 to omalizumab and 22 to placebo. A total of 42 subjects (85.7%) completed the trial. Baseline demographics and disease severity were similar in the two groups. In the omalizumab group 11/27 subjects (41%) received an average </w:t>
      </w:r>
      <w:r w:rsidR="00252820" w:rsidRPr="006A35BD">
        <w:t>monthly dose that was &gt; 300 mg.</w:t>
      </w:r>
    </w:p>
    <w:p w:rsidR="00254351" w:rsidRPr="006A35BD" w:rsidRDefault="00254351" w:rsidP="006A35BD">
      <w:r w:rsidRPr="006A35BD">
        <w:t>Results for the primar</w:t>
      </w:r>
      <w:r w:rsidR="00A63395" w:rsidRPr="006A35BD">
        <w:t xml:space="preserve">y endpoint </w:t>
      </w:r>
      <w:r w:rsidR="001C4BC7">
        <w:t>were provided</w:t>
      </w:r>
      <w:r w:rsidRPr="006A35BD">
        <w:t xml:space="preserve">. Omalizumab treatment was associated with a statistically significant greater improvement in UAS7 at </w:t>
      </w:r>
      <w:r w:rsidR="000E3BD7">
        <w:t xml:space="preserve">Week </w:t>
      </w:r>
      <w:r w:rsidRPr="006A35BD">
        <w:t>24 compared to placebo (p</w:t>
      </w:r>
      <w:r w:rsidR="006A35BD">
        <w:t> </w:t>
      </w:r>
      <w:r w:rsidRPr="006A35BD">
        <w:t>=</w:t>
      </w:r>
      <w:r w:rsidR="001C4BC7">
        <w:t> </w:t>
      </w:r>
      <w:r w:rsidRPr="006A35BD">
        <w:t>0.0089). For the secondary endpoints, differences between omalizumab and placebo were not analysed for statistical significance. The daily UAS score over the course of t</w:t>
      </w:r>
      <w:r w:rsidR="009D4E07">
        <w:t>he study is shown in Figure 10.</w:t>
      </w:r>
    </w:p>
    <w:p w:rsidR="00676966" w:rsidRPr="004778FF" w:rsidRDefault="00676966" w:rsidP="004778FF">
      <w:pPr>
        <w:pStyle w:val="FigureTitle"/>
      </w:pPr>
      <w:proofErr w:type="gramStart"/>
      <w:r w:rsidRPr="004778FF">
        <w:t xml:space="preserve">Figure </w:t>
      </w:r>
      <w:r w:rsidR="009D4E07" w:rsidRPr="004778FF">
        <w:t>10</w:t>
      </w:r>
      <w:r w:rsidR="00FB4E94" w:rsidRPr="004778FF">
        <w:t>.</w:t>
      </w:r>
      <w:proofErr w:type="gramEnd"/>
      <w:r w:rsidRPr="004778FF">
        <w:t xml:space="preserve"> Study ADE05</w:t>
      </w:r>
      <w:r w:rsidR="00FB4E94" w:rsidRPr="004778FF">
        <w:t xml:space="preserve">. </w:t>
      </w:r>
      <w:r w:rsidRPr="004778FF">
        <w:t>Daily UAS score over time</w:t>
      </w:r>
      <w:r w:rsidR="00FB4E94" w:rsidRPr="004778FF">
        <w:t>.</w:t>
      </w:r>
    </w:p>
    <w:p w:rsidR="00676966" w:rsidRDefault="00676966" w:rsidP="006F527F">
      <w:r>
        <w:rPr>
          <w:noProof/>
          <w:lang w:eastAsia="en-AU"/>
        </w:rPr>
        <w:drawing>
          <wp:inline distT="0" distB="0" distL="0" distR="0" wp14:anchorId="75505F8E" wp14:editId="276ECF10">
            <wp:extent cx="5731510" cy="3934441"/>
            <wp:effectExtent l="0" t="0" r="2540" b="9525"/>
            <wp:docPr id="132" name="Picture 132" descr="Figure 10. Study ADE05. Daily UAS scor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934441"/>
                    </a:xfrm>
                    <a:prstGeom prst="rect">
                      <a:avLst/>
                    </a:prstGeom>
                    <a:noFill/>
                    <a:ln>
                      <a:noFill/>
                    </a:ln>
                  </pic:spPr>
                </pic:pic>
              </a:graphicData>
            </a:graphic>
          </wp:inline>
        </w:drawing>
      </w:r>
    </w:p>
    <w:p w:rsidR="00254351" w:rsidRPr="004778FF" w:rsidRDefault="00C51695" w:rsidP="004778FF">
      <w:pPr>
        <w:pStyle w:val="Heading4"/>
      </w:pPr>
      <w:r w:rsidRPr="004778FF">
        <w:t>Study 4577g (‘MYSTIQUE’)</w:t>
      </w:r>
    </w:p>
    <w:p w:rsidR="00254351" w:rsidRPr="006A35BD" w:rsidRDefault="001C4BC7" w:rsidP="006A35BD">
      <w:r>
        <w:t>Study 4577g was a P</w:t>
      </w:r>
      <w:r w:rsidR="00254351" w:rsidRPr="006A35BD">
        <w:t>hase II, ra</w:t>
      </w:r>
      <w:r w:rsidR="00FB4E94">
        <w:t xml:space="preserve">ndomised, double blind, placebo controlled, </w:t>
      </w:r>
      <w:proofErr w:type="gramStart"/>
      <w:r w:rsidR="00FB4E94">
        <w:t>dose</w:t>
      </w:r>
      <w:proofErr w:type="gramEnd"/>
      <w:r w:rsidR="00FB4E94">
        <w:t xml:space="preserve"> </w:t>
      </w:r>
      <w:r w:rsidR="00254351" w:rsidRPr="006A35BD">
        <w:t>ranging study with four parallel groups. It was the second study in chronic urticaria conducted by the sponsor, taking place between March 2009 and January 2010 in a total of 26 ce</w:t>
      </w:r>
      <w:r w:rsidR="00A12D97">
        <w:t>ntres,</w:t>
      </w:r>
      <w:r w:rsidR="00254351" w:rsidRPr="006A35BD">
        <w:t xml:space="preserve"> 22 in the USA and 4 in German</w:t>
      </w:r>
      <w:r w:rsidR="006A35BD">
        <w:t>y. The study has been published</w:t>
      </w:r>
      <w:proofErr w:type="gramStart"/>
      <w:r w:rsidR="006A35BD">
        <w:t>.</w:t>
      </w:r>
      <w:r w:rsidR="00254351" w:rsidRPr="006A35BD">
        <w:rPr>
          <w:vertAlign w:val="superscript"/>
        </w:rPr>
        <w:t>(</w:t>
      </w:r>
      <w:proofErr w:type="gramEnd"/>
      <w:r w:rsidR="00254351" w:rsidRPr="006A35BD">
        <w:rPr>
          <w:vertAlign w:val="superscript"/>
        </w:rPr>
        <w:t>13)</w:t>
      </w:r>
    </w:p>
    <w:p w:rsidR="00254351" w:rsidRPr="006A35BD" w:rsidRDefault="00254351" w:rsidP="006A35BD">
      <w:r w:rsidRPr="006A35BD">
        <w:lastRenderedPageBreak/>
        <w:t xml:space="preserve">The primary objective of the study was to examine efficacy of the drug in CIU patients already receiving H1 antihistamines. Secondary objectives were to evaluate the safety and efficacy of different doses, to evaluate effects on quality of life and to evaluate the PK and PD of omalizumab in CIU patients. The PK data from this study </w:t>
      </w:r>
      <w:r w:rsidR="001C4BC7">
        <w:t>were provided</w:t>
      </w:r>
      <w:r w:rsidR="00C51695" w:rsidRPr="006A35BD">
        <w:t>.</w:t>
      </w:r>
    </w:p>
    <w:p w:rsidR="00254351" w:rsidRPr="006A35BD" w:rsidRDefault="00254351" w:rsidP="006A35BD">
      <w:r w:rsidRPr="006A35BD">
        <w:t>Included patients were aged 12</w:t>
      </w:r>
      <w:r w:rsidR="003828DB">
        <w:t>to</w:t>
      </w:r>
      <w:r w:rsidRPr="006A35BD">
        <w:t>75, with a diagnosis of moderate to severe CIU despite treatment with a H1 antihistamine and a CIU diagnosis for at least 3 months. Patients with physical urticaria w</w:t>
      </w:r>
      <w:r w:rsidR="00C51695" w:rsidRPr="006A35BD">
        <w:t>ere not eligible for enrolment.</w:t>
      </w:r>
    </w:p>
    <w:p w:rsidR="00BD49CD" w:rsidRPr="001E0C79" w:rsidRDefault="00457325" w:rsidP="001E0C79">
      <w:r w:rsidRPr="001E0C79">
        <w:t>Comment</w:t>
      </w:r>
      <w:r w:rsidR="00BD49CD" w:rsidRPr="001E0C79">
        <w:t>: The study design, conduct and analysis were satisfactory.</w:t>
      </w:r>
    </w:p>
    <w:p w:rsidR="00254351" w:rsidRPr="006A35BD" w:rsidRDefault="00254351" w:rsidP="006A35BD">
      <w:r w:rsidRPr="006A35BD">
        <w:t>Patients were randomised (1:1:1:1) to receive a single dose of one of</w:t>
      </w:r>
      <w:r w:rsidR="00C51695" w:rsidRPr="006A35BD">
        <w:t xml:space="preserve"> the following four treatments:</w:t>
      </w:r>
    </w:p>
    <w:p w:rsidR="00254351" w:rsidRPr="006A35BD" w:rsidRDefault="00254351" w:rsidP="006A35BD">
      <w:pPr>
        <w:pStyle w:val="ListBullet"/>
      </w:pPr>
      <w:r w:rsidRPr="006A35BD">
        <w:t>P</w:t>
      </w:r>
      <w:r w:rsidR="00535DAC">
        <w:t>lacebo</w:t>
      </w:r>
    </w:p>
    <w:p w:rsidR="00254351" w:rsidRPr="006A35BD" w:rsidRDefault="00535DAC" w:rsidP="006A35BD">
      <w:pPr>
        <w:pStyle w:val="ListBullet"/>
      </w:pPr>
      <w:proofErr w:type="spellStart"/>
      <w:r>
        <w:t>Omalizumab</w:t>
      </w:r>
      <w:proofErr w:type="spellEnd"/>
      <w:r>
        <w:t xml:space="preserve"> 75 mg SC</w:t>
      </w:r>
    </w:p>
    <w:p w:rsidR="00254351" w:rsidRPr="006A35BD" w:rsidRDefault="00535DAC" w:rsidP="006A35BD">
      <w:pPr>
        <w:pStyle w:val="ListBullet"/>
      </w:pPr>
      <w:proofErr w:type="spellStart"/>
      <w:r>
        <w:t>Omalizumab</w:t>
      </w:r>
      <w:proofErr w:type="spellEnd"/>
      <w:r>
        <w:t xml:space="preserve"> 300 mg SC</w:t>
      </w:r>
    </w:p>
    <w:p w:rsidR="00254351" w:rsidRPr="006A35BD" w:rsidRDefault="00535DAC" w:rsidP="006A35BD">
      <w:pPr>
        <w:pStyle w:val="ListBullet"/>
      </w:pPr>
      <w:proofErr w:type="spellStart"/>
      <w:r>
        <w:t>Omalizumab</w:t>
      </w:r>
      <w:proofErr w:type="spellEnd"/>
      <w:r>
        <w:t xml:space="preserve"> 600 mg SC</w:t>
      </w:r>
    </w:p>
    <w:p w:rsidR="00254351" w:rsidRPr="006A35BD" w:rsidRDefault="00254351" w:rsidP="006A35BD">
      <w:r w:rsidRPr="006A35BD">
        <w:t>Randomisation was stratified by weight (&lt;</w:t>
      </w:r>
      <w:r w:rsidR="001C4BC7">
        <w:t xml:space="preserve"> </w:t>
      </w:r>
      <w:r w:rsidR="00C51695" w:rsidRPr="006A35BD">
        <w:t xml:space="preserve">80 kg </w:t>
      </w:r>
      <w:r w:rsidR="001136E7">
        <w:t>versus</w:t>
      </w:r>
      <w:r w:rsidR="00C51695" w:rsidRPr="006A35BD">
        <w:t xml:space="preserve"> ≥ 80 kg).</w:t>
      </w:r>
    </w:p>
    <w:p w:rsidR="00E302E5" w:rsidRPr="006A35BD" w:rsidRDefault="00254351" w:rsidP="006A35BD">
      <w:r w:rsidRPr="006A35BD">
        <w:t xml:space="preserve">The sponsor justified the use of flat doses (as opposed to the regimen based on weight and </w:t>
      </w:r>
      <w:proofErr w:type="spellStart"/>
      <w:r w:rsidRPr="006A35BD">
        <w:t>IgE</w:t>
      </w:r>
      <w:proofErr w:type="spellEnd"/>
      <w:r w:rsidRPr="006A35BD">
        <w:t xml:space="preserve"> levels used in allergic asthma) on the grounds that there was little information supporting a relationship between serum </w:t>
      </w:r>
      <w:proofErr w:type="spellStart"/>
      <w:r w:rsidRPr="006A35BD">
        <w:t>IgE</w:t>
      </w:r>
      <w:proofErr w:type="spellEnd"/>
      <w:r w:rsidRPr="006A35BD">
        <w:t xml:space="preserve"> levels and CIU, and serum </w:t>
      </w:r>
      <w:proofErr w:type="spellStart"/>
      <w:r w:rsidRPr="006A35BD">
        <w:t>IgE</w:t>
      </w:r>
      <w:proofErr w:type="spellEnd"/>
      <w:r w:rsidRPr="006A35BD">
        <w:t xml:space="preserve"> levels in the CIU population are low compared with the allergic asthma population.</w:t>
      </w:r>
    </w:p>
    <w:p w:rsidR="00254351" w:rsidRPr="006A35BD" w:rsidRDefault="00254351" w:rsidP="006A35BD">
      <w:r w:rsidRPr="006A35BD">
        <w:t>Subjects were required to continue treatment with the approved dose of a marketed H1 antihistamine for the duration of the study. Subjects were reviewed in the clinic on a weekly basis for the first 4 weeks</w:t>
      </w:r>
      <w:r w:rsidR="00FB4E94">
        <w:t xml:space="preserve"> after treatment, and then at 4 </w:t>
      </w:r>
      <w:r w:rsidRPr="006A35BD">
        <w:t xml:space="preserve">weekly intervals until </w:t>
      </w:r>
      <w:r w:rsidR="00A12D97">
        <w:t>the end of the study (W</w:t>
      </w:r>
      <w:r w:rsidR="00F31412" w:rsidRPr="006A35BD">
        <w:t>eek 16).</w:t>
      </w:r>
    </w:p>
    <w:p w:rsidR="00254351" w:rsidRPr="006A35BD" w:rsidRDefault="00254351" w:rsidP="006A35BD">
      <w:r w:rsidRPr="006A35BD">
        <w:t>The primary efficacy endpoint was change in the UAS7 f</w:t>
      </w:r>
      <w:r w:rsidR="004A448A">
        <w:t xml:space="preserve">rom baseline to </w:t>
      </w:r>
      <w:r w:rsidR="000E3BD7">
        <w:t xml:space="preserve">Week </w:t>
      </w:r>
      <w:r w:rsidR="004A448A">
        <w:t xml:space="preserve">4 (Days 21 to </w:t>
      </w:r>
      <w:r w:rsidRPr="006A35BD">
        <w:t xml:space="preserve">27). Secondary efficacy endpoints were: the changes from baseline to </w:t>
      </w:r>
      <w:r w:rsidR="000E3BD7">
        <w:t xml:space="preserve">Week </w:t>
      </w:r>
      <w:r w:rsidRPr="006A35BD">
        <w:t xml:space="preserve">4 in: the weekly pruritus score, the weekly score for number of hives, a weekly score for sleep interference and in the amount of rescue medication (diphenhydramine 25 mg). The weekly scores for pruritus, number of hives and sleep disturbance were calculated by rating each of these daily on a scale of 0 to 3, and then summing the 7 daily scores. For each of these endpoints possible </w:t>
      </w:r>
      <w:r w:rsidR="00F31412" w:rsidRPr="006A35BD">
        <w:t>scores ranged between 0 and 21.</w:t>
      </w:r>
    </w:p>
    <w:p w:rsidR="00254351" w:rsidRPr="006A35BD" w:rsidRDefault="00254351" w:rsidP="006A35BD">
      <w:r w:rsidRPr="006A35BD">
        <w:t>A total of 90 patient</w:t>
      </w:r>
      <w:r w:rsidR="00A12D97">
        <w:t>s were randomised in the study;</w:t>
      </w:r>
      <w:r w:rsidRPr="006A35BD">
        <w:t xml:space="preserve"> 21 to placebo, 23 to 75 mg, 25 to 300 mg and 21 to 600 mg. The four groups were reasonably well balanced with respect to baseline demogr</w:t>
      </w:r>
      <w:r w:rsidR="00F31412" w:rsidRPr="006A35BD">
        <w:t>aphics and disease severity.</w:t>
      </w:r>
    </w:p>
    <w:p w:rsidR="00254351" w:rsidRPr="004A448A" w:rsidRDefault="00254351" w:rsidP="004A448A">
      <w:r w:rsidRPr="004A448A">
        <w:t>Results for the primary efficac</w:t>
      </w:r>
      <w:r w:rsidR="004C12BA" w:rsidRPr="004A448A">
        <w:t xml:space="preserve">y endpoint </w:t>
      </w:r>
      <w:r w:rsidR="00566579">
        <w:t>were provided</w:t>
      </w:r>
      <w:r w:rsidRPr="004A448A">
        <w:t>. The change in UAS7 over the first 4 weeks after</w:t>
      </w:r>
      <w:r w:rsidR="00566579">
        <w:t xml:space="preserve"> treatment is shown in Figure</w:t>
      </w:r>
      <w:r w:rsidR="009D4E07">
        <w:t xml:space="preserve"> 11</w:t>
      </w:r>
      <w:r w:rsidRPr="004A448A">
        <w:t>. Results for the secondary endpoi</w:t>
      </w:r>
      <w:r w:rsidR="00CE0875" w:rsidRPr="004A448A">
        <w:t xml:space="preserve">nts </w:t>
      </w:r>
      <w:r w:rsidR="00566579">
        <w:t>were provided</w:t>
      </w:r>
      <w:r w:rsidR="00F31412" w:rsidRPr="004A448A">
        <w:t>.</w:t>
      </w:r>
    </w:p>
    <w:p w:rsidR="00254351" w:rsidRPr="001E0C79" w:rsidRDefault="00457325" w:rsidP="001E0C79">
      <w:pPr>
        <w:ind w:left="1021" w:hanging="1021"/>
      </w:pPr>
      <w:r w:rsidRPr="001E0C79">
        <w:t>Comment</w:t>
      </w:r>
      <w:r w:rsidR="00254351" w:rsidRPr="001E0C79">
        <w:t>: For the primary endpoint of UAS7, and the secondary endpoints examining itch and number of hives, the 300 mg dose produced an efficacy benefit that was consistently significantly superior to placebo. The differences between the 600 mg dose and placebo were of borderline statistical significance and the efficacy results with the 300 mg dose were numerically superior to those obtained with the 600 mg dose. As there did not appear to be an added benefit with the 600 mg dose compared to the 300 mg dose, the 300 mg dose was chosen as the maximum dose for th</w:t>
      </w:r>
      <w:r w:rsidR="00566579" w:rsidRPr="001E0C79">
        <w:t>e subsequent P</w:t>
      </w:r>
      <w:r w:rsidR="00F31412" w:rsidRPr="001E0C79">
        <w:t>hase III studies.</w:t>
      </w:r>
    </w:p>
    <w:p w:rsidR="004778FF" w:rsidRDefault="004778FF">
      <w:pPr>
        <w:spacing w:before="0" w:after="200" w:line="0" w:lineRule="auto"/>
        <w:rPr>
          <w:b/>
        </w:rPr>
      </w:pPr>
      <w:r>
        <w:br w:type="page"/>
      </w:r>
    </w:p>
    <w:p w:rsidR="00CE0875" w:rsidRPr="004778FF" w:rsidRDefault="00CE0875" w:rsidP="004778FF">
      <w:pPr>
        <w:pStyle w:val="FigureTitle"/>
      </w:pPr>
      <w:proofErr w:type="gramStart"/>
      <w:r w:rsidRPr="004778FF">
        <w:lastRenderedPageBreak/>
        <w:t xml:space="preserve">Figure </w:t>
      </w:r>
      <w:r w:rsidR="009D4E07" w:rsidRPr="004778FF">
        <w:t>11</w:t>
      </w:r>
      <w:r w:rsidR="00FB4E94" w:rsidRPr="004778FF">
        <w:t>.</w:t>
      </w:r>
      <w:proofErr w:type="gramEnd"/>
      <w:r w:rsidRPr="004778FF">
        <w:t xml:space="preserve"> Study 4577g</w:t>
      </w:r>
      <w:r w:rsidR="00FB4E94" w:rsidRPr="004778FF">
        <w:t xml:space="preserve">. </w:t>
      </w:r>
      <w:r w:rsidRPr="004778FF">
        <w:t>Weekly mean change in UAS7 from baseline</w:t>
      </w:r>
      <w:r w:rsidR="008F22A8" w:rsidRPr="004778FF">
        <w:t>.</w:t>
      </w:r>
    </w:p>
    <w:p w:rsidR="00033552" w:rsidRPr="00566579" w:rsidRDefault="00CE0875" w:rsidP="006F527F">
      <w:r>
        <w:rPr>
          <w:noProof/>
          <w:lang w:eastAsia="en-AU"/>
        </w:rPr>
        <w:drawing>
          <wp:inline distT="0" distB="0" distL="0" distR="0" wp14:anchorId="610A51AE" wp14:editId="63EC7B3E">
            <wp:extent cx="4257446" cy="2801573"/>
            <wp:effectExtent l="0" t="0" r="0" b="0"/>
            <wp:docPr id="137" name="Picture 137" descr="Figure 11. Study 4577g. Weekly mean change in UAS7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53986" cy="2799296"/>
                    </a:xfrm>
                    <a:prstGeom prst="rect">
                      <a:avLst/>
                    </a:prstGeom>
                    <a:noFill/>
                    <a:ln>
                      <a:noFill/>
                    </a:ln>
                  </pic:spPr>
                </pic:pic>
              </a:graphicData>
            </a:graphic>
          </wp:inline>
        </w:drawing>
      </w:r>
    </w:p>
    <w:p w:rsidR="001226F4" w:rsidRPr="004778FF" w:rsidRDefault="001226F4" w:rsidP="004778FF">
      <w:pPr>
        <w:pStyle w:val="Heading3"/>
      </w:pPr>
      <w:bookmarkStart w:id="43" w:name="_Toc425249004"/>
      <w:r w:rsidRPr="004778FF">
        <w:t>Analyses performed across trials (pooled analyses and meta-analyses)</w:t>
      </w:r>
      <w:bookmarkEnd w:id="43"/>
    </w:p>
    <w:p w:rsidR="001226F4" w:rsidRPr="004A448A" w:rsidRDefault="001226F4" w:rsidP="001226F4">
      <w:r w:rsidRPr="004A448A">
        <w:t xml:space="preserve">In the Summary of Clinical Efficacy, the sponsor presented analyses of pooled efficacy data from the two pivotal studies 4881g and 4882g. The results for the primary endpoint of change in weekly itch severity score at </w:t>
      </w:r>
      <w:r w:rsidR="000E3BD7">
        <w:t xml:space="preserve">Week </w:t>
      </w:r>
      <w:r w:rsidRPr="004A448A">
        <w:t xml:space="preserve">12 are shown in Table </w:t>
      </w:r>
      <w:r w:rsidR="00BC46A0">
        <w:t>17</w:t>
      </w:r>
      <w:r w:rsidRPr="004A448A">
        <w:t>.</w:t>
      </w:r>
    </w:p>
    <w:p w:rsidR="001226F4" w:rsidRPr="001E0C79" w:rsidRDefault="00457325" w:rsidP="001E0C79">
      <w:pPr>
        <w:ind w:left="1021" w:hanging="1021"/>
      </w:pPr>
      <w:r w:rsidRPr="001E0C79">
        <w:t>Comment</w:t>
      </w:r>
      <w:r w:rsidR="001226F4" w:rsidRPr="001E0C79">
        <w:t>: The results from the pooled efficacy analysis are consistent with the results of the individual studies. In the pooled analysis the 75 mg dose produced a statistically significant benefit compared to placebo, whereas the results for this dose in the individual studies were conflicting.</w:t>
      </w:r>
    </w:p>
    <w:p w:rsidR="001226F4" w:rsidRPr="004A448A" w:rsidRDefault="001226F4" w:rsidP="001226F4">
      <w:r w:rsidRPr="004A448A">
        <w:t>Analyses of the secondary endpoints using the pooled data were also presented, and similar results were obtained. No adjustments for multiple comparisons were made for these analyses. Subgroup analyses based on the pooled data also gave results consistent with the individual studies.</w:t>
      </w:r>
    </w:p>
    <w:p w:rsidR="001226F4" w:rsidRPr="004778FF" w:rsidRDefault="001226F4" w:rsidP="004778FF">
      <w:pPr>
        <w:pStyle w:val="Tabletitle"/>
      </w:pPr>
      <w:proofErr w:type="gramStart"/>
      <w:r w:rsidRPr="004778FF">
        <w:t xml:space="preserve">Table </w:t>
      </w:r>
      <w:r w:rsidR="00BC46A0" w:rsidRPr="004778FF">
        <w:t>17</w:t>
      </w:r>
      <w:r w:rsidR="00FB4E94" w:rsidRPr="004778FF">
        <w:t>.</w:t>
      </w:r>
      <w:proofErr w:type="gramEnd"/>
      <w:r w:rsidR="00FB4E94" w:rsidRPr="004778FF">
        <w:t xml:space="preserve"> </w:t>
      </w:r>
      <w:r w:rsidRPr="004778FF">
        <w:t xml:space="preserve">Pooled efficacy data </w:t>
      </w:r>
      <w:r w:rsidR="00FB4E94" w:rsidRPr="004778FF">
        <w:t>(S</w:t>
      </w:r>
      <w:r w:rsidRPr="004778FF">
        <w:t xml:space="preserve">tudies 4881g and </w:t>
      </w:r>
      <w:r w:rsidR="00FB4E94" w:rsidRPr="004778FF">
        <w:t xml:space="preserve">4882g). </w:t>
      </w:r>
      <w:r w:rsidRPr="004778FF">
        <w:t xml:space="preserve">Change in weekly itch severity score at </w:t>
      </w:r>
      <w:r w:rsidR="00BF024F" w:rsidRPr="004778FF">
        <w:t>w</w:t>
      </w:r>
      <w:r w:rsidR="000E3BD7" w:rsidRPr="004778FF">
        <w:t xml:space="preserve">eek </w:t>
      </w:r>
      <w:r w:rsidRPr="004778FF">
        <w:t>12</w:t>
      </w:r>
      <w:r w:rsidR="00A44C58" w:rsidRPr="004778FF">
        <w:t>.</w:t>
      </w:r>
    </w:p>
    <w:p w:rsidR="001226F4" w:rsidRPr="00E14A4B" w:rsidRDefault="001226F4" w:rsidP="001226F4">
      <w:r>
        <w:rPr>
          <w:noProof/>
          <w:lang w:eastAsia="en-AU"/>
        </w:rPr>
        <w:drawing>
          <wp:inline distT="0" distB="0" distL="0" distR="0" wp14:anchorId="0240DD1B" wp14:editId="0D6F17A6">
            <wp:extent cx="5544820" cy="1653540"/>
            <wp:effectExtent l="0" t="0" r="0" b="3810"/>
            <wp:docPr id="139" name="Picture 139" descr="Table 17. Pooled efficacy data (Studies 4881g and 4882g). Change in weekly itch severity scor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4820" cy="1653540"/>
                    </a:xfrm>
                    <a:prstGeom prst="rect">
                      <a:avLst/>
                    </a:prstGeom>
                    <a:noFill/>
                    <a:ln>
                      <a:noFill/>
                    </a:ln>
                  </pic:spPr>
                </pic:pic>
              </a:graphicData>
            </a:graphic>
          </wp:inline>
        </w:drawing>
      </w:r>
    </w:p>
    <w:p w:rsidR="00254351" w:rsidRPr="004778FF" w:rsidRDefault="00254351" w:rsidP="004778FF">
      <w:pPr>
        <w:pStyle w:val="Heading3"/>
      </w:pPr>
      <w:bookmarkStart w:id="44" w:name="_Toc425249005"/>
      <w:r w:rsidRPr="004778FF">
        <w:t>Evaluator’s conclusions on clinical efficacy for CIU</w:t>
      </w:r>
      <w:bookmarkEnd w:id="44"/>
    </w:p>
    <w:p w:rsidR="00254351" w:rsidRPr="00566579" w:rsidRDefault="00254351" w:rsidP="00566579">
      <w:r w:rsidRPr="00566579">
        <w:t xml:space="preserve">The two pivotal studies have demonstrated that omalizumab treatment produces improvements in disease activity that </w:t>
      </w:r>
      <w:r w:rsidR="003334B2">
        <w:t>is</w:t>
      </w:r>
      <w:r w:rsidR="003334B2" w:rsidRPr="00566579">
        <w:t xml:space="preserve"> </w:t>
      </w:r>
      <w:r w:rsidRPr="00566579">
        <w:t>statistically significantly greater than those produced with placebo. Superior efficacy compared to placebo was also demonstrated i</w:t>
      </w:r>
      <w:r w:rsidR="00F31412" w:rsidRPr="00566579">
        <w:t>n three supportive studies.</w:t>
      </w:r>
    </w:p>
    <w:p w:rsidR="00254351" w:rsidRPr="004A448A" w:rsidRDefault="00254351" w:rsidP="004A448A">
      <w:r w:rsidRPr="004A448A">
        <w:lastRenderedPageBreak/>
        <w:t>The demonstrated efficacy benefits are con</w:t>
      </w:r>
      <w:r w:rsidR="00F31412" w:rsidRPr="004A448A">
        <w:t>sidered clinically significant.</w:t>
      </w:r>
    </w:p>
    <w:p w:rsidR="00254351" w:rsidRPr="004A448A" w:rsidRDefault="00254351" w:rsidP="004A448A">
      <w:pPr>
        <w:pStyle w:val="ListBullet"/>
      </w:pPr>
      <w:r w:rsidRPr="004A448A">
        <w:t xml:space="preserve">Based on </w:t>
      </w:r>
      <w:r w:rsidR="00A12D97">
        <w:t>Study</w:t>
      </w:r>
      <w:r w:rsidRPr="004A448A">
        <w:t xml:space="preserve"> 4577g, the minimally important difference (MID) in weekly itch improvement score was estimated to be i</w:t>
      </w:r>
      <w:r w:rsidR="004A448A">
        <w:t>n the r</w:t>
      </w:r>
      <w:r w:rsidR="00574D50">
        <w:t>ange of 4.5 to</w:t>
      </w:r>
      <w:r w:rsidR="004A448A">
        <w:t xml:space="preserve"> 5.0 points. </w:t>
      </w:r>
      <w:r w:rsidRPr="004A448A">
        <w:rPr>
          <w:vertAlign w:val="superscript"/>
        </w:rPr>
        <w:t>(14)</w:t>
      </w:r>
      <w:r w:rsidRPr="004A448A">
        <w:t xml:space="preserve"> For the 300 mg dose, the (placebo-corrected) improvements in studies 4881g and 4882g were 5.8 and 4.8 points respective</w:t>
      </w:r>
      <w:r w:rsidR="003605BA" w:rsidRPr="004A448A">
        <w:t>ly</w:t>
      </w:r>
      <w:r w:rsidR="00F31412" w:rsidRPr="004A448A">
        <w:t>).</w:t>
      </w:r>
    </w:p>
    <w:p w:rsidR="00254351" w:rsidRPr="004A448A" w:rsidRDefault="00254351" w:rsidP="004A448A">
      <w:pPr>
        <w:pStyle w:val="ListBullet"/>
      </w:pPr>
      <w:r w:rsidRPr="004A448A">
        <w:t xml:space="preserve">For UAS7, the MID was estimated to be in the range of 9.5 to 10.5 </w:t>
      </w:r>
      <w:r w:rsidR="004A448A" w:rsidRPr="004A448A">
        <w:t xml:space="preserve">points. </w:t>
      </w:r>
      <w:r w:rsidRPr="004A448A">
        <w:rPr>
          <w:vertAlign w:val="superscript"/>
        </w:rPr>
        <w:t>(14)</w:t>
      </w:r>
      <w:r w:rsidRPr="004A448A">
        <w:t xml:space="preserve"> For the 300 mg dose, the (placebo-corrected) improvements in UAS7 in studies 4881g and 4882g were 12.8 and 12.4 points respectively.</w:t>
      </w:r>
    </w:p>
    <w:p w:rsidR="00254351" w:rsidRPr="004A448A" w:rsidRDefault="00254351" w:rsidP="004A448A">
      <w:pPr>
        <w:pStyle w:val="ListBullet"/>
      </w:pPr>
      <w:r w:rsidRPr="004A448A">
        <w:t xml:space="preserve">Similarly, the placebo-corrected improvement in DLQI exceeded the MID of 2.24 to 3.10 points in </w:t>
      </w:r>
      <w:r w:rsidR="00A12D97">
        <w:t>Study</w:t>
      </w:r>
      <w:r w:rsidRPr="004A448A">
        <w:t xml:space="preserve"> 4881g and was within this range in </w:t>
      </w:r>
      <w:r w:rsidR="00A12D97">
        <w:t>Study</w:t>
      </w:r>
      <w:r w:rsidR="00F31412" w:rsidRPr="004A448A">
        <w:t xml:space="preserve"> 4882g</w:t>
      </w:r>
      <w:r w:rsidR="004E117B" w:rsidRPr="004A448A">
        <w:t>.</w:t>
      </w:r>
    </w:p>
    <w:p w:rsidR="00254351" w:rsidRPr="004A448A" w:rsidRDefault="00254351" w:rsidP="004A448A">
      <w:pPr>
        <w:pStyle w:val="ListBullet"/>
      </w:pPr>
      <w:r w:rsidRPr="004A448A">
        <w:t xml:space="preserve">In </w:t>
      </w:r>
      <w:r w:rsidR="00A12D97">
        <w:t>Study</w:t>
      </w:r>
      <w:r w:rsidRPr="004A448A">
        <w:t xml:space="preserve"> 4881g the (placebo-corrected) proportion of patients who achieved complete resolution of itch and hives (</w:t>
      </w:r>
      <w:r w:rsidR="001136E7">
        <w:t>that is,</w:t>
      </w:r>
      <w:r w:rsidRPr="004A448A">
        <w:t xml:space="preserve"> UAS7</w:t>
      </w:r>
      <w:r w:rsidR="004A448A">
        <w:t xml:space="preserve"> </w:t>
      </w:r>
      <w:r w:rsidRPr="004A448A">
        <w:t>=</w:t>
      </w:r>
      <w:r w:rsidR="004A448A">
        <w:t xml:space="preserve"> </w:t>
      </w:r>
      <w:r w:rsidRPr="004A448A">
        <w:t xml:space="preserve">0) at </w:t>
      </w:r>
      <w:r w:rsidR="000E3BD7">
        <w:t xml:space="preserve">Week </w:t>
      </w:r>
      <w:r w:rsidRPr="004A448A">
        <w:t xml:space="preserve">12 was 27%. This figure rose to 35.6% at </w:t>
      </w:r>
      <w:r w:rsidR="000E3BD7">
        <w:t xml:space="preserve">Week </w:t>
      </w:r>
      <w:r w:rsidRPr="004A448A">
        <w:t xml:space="preserve">24. In the supportive </w:t>
      </w:r>
      <w:r w:rsidR="00A12D97">
        <w:t>Study</w:t>
      </w:r>
      <w:r w:rsidRPr="004A448A">
        <w:t xml:space="preserve"> 4883g, the proportion was 28.9% at </w:t>
      </w:r>
      <w:r w:rsidR="000E3BD7">
        <w:t xml:space="preserve">Week </w:t>
      </w:r>
      <w:r w:rsidRPr="004A448A">
        <w:t xml:space="preserve">12 and 38.9% at </w:t>
      </w:r>
      <w:r w:rsidR="000E3BD7">
        <w:t xml:space="preserve">Week </w:t>
      </w:r>
      <w:r w:rsidRPr="004A448A">
        <w:t>24. Complete resolution of itch and hives is a clinically significant outcome, and these data suggest that it can be achieved in a substantial proportion of patients.</w:t>
      </w:r>
    </w:p>
    <w:p w:rsidR="00254351" w:rsidRPr="00A750A5" w:rsidRDefault="00254351" w:rsidP="00A750A5">
      <w:r w:rsidRPr="00A750A5">
        <w:t>The recommended dose of 300 mg every 4 weeks is adequately supported by the submitted data. Results obtained with the 300 mg dose were consistently numerically superior to those obtained with the 150 mg dose. Onset of benefit was more rapid with the 300 mg dose and a statistically significant benefit was maintained out to 24 weeks with the 300 mg dose, but not with the 150 mg dose. It is noted that the draft PI indicates that the 150 mg dose may be effective in some patients. Results with the 75 mg dose were inconsistent and genera</w:t>
      </w:r>
      <w:r w:rsidR="008B4FCC" w:rsidRPr="00A750A5">
        <w:t>lly not clinically significant.</w:t>
      </w:r>
    </w:p>
    <w:p w:rsidR="00254351" w:rsidRPr="00A750A5" w:rsidRDefault="00254351" w:rsidP="00A750A5">
      <w:r w:rsidRPr="00A750A5">
        <w:t xml:space="preserve">Retrospective analysis suggested that a dosing regimen based on baseline </w:t>
      </w:r>
      <w:proofErr w:type="spellStart"/>
      <w:r w:rsidRPr="00A750A5">
        <w:t>IgE</w:t>
      </w:r>
      <w:proofErr w:type="spellEnd"/>
      <w:r w:rsidRPr="00A750A5">
        <w:t xml:space="preserve"> levels and weight (as per the currently approved asthma regimen) would result in greater variability in efficacy than the proposed flat-dose regimen</w:t>
      </w:r>
      <w:r w:rsidR="004422A9">
        <w:t xml:space="preserve"> </w:t>
      </w:r>
      <w:r w:rsidR="00DE3E44" w:rsidRPr="00943021">
        <w:t>(</w:t>
      </w:r>
      <w:r w:rsidR="00DA6723" w:rsidRPr="00943021">
        <w:t>Figure 12 an</w:t>
      </w:r>
      <w:r w:rsidR="00943021" w:rsidRPr="00943021">
        <w:t>d</w:t>
      </w:r>
      <w:r w:rsidR="00DA6723" w:rsidRPr="00943021">
        <w:t xml:space="preserve"> 13</w:t>
      </w:r>
      <w:r w:rsidR="00DE3E44" w:rsidRPr="00943021">
        <w:t>)</w:t>
      </w:r>
      <w:r w:rsidR="00943021">
        <w:t>.</w:t>
      </w:r>
      <w:r w:rsidRPr="00943021">
        <w:t xml:space="preserve"> </w:t>
      </w:r>
      <w:r w:rsidRPr="00A750A5">
        <w:t>Although a weight-based regimen would result in some decrease in variability in efficacy, the difference was not considered clinical significant.</w:t>
      </w:r>
      <w:r w:rsidR="00566579">
        <w:t xml:space="preserve"> Another retrospective analysis</w:t>
      </w:r>
      <w:r w:rsidR="00DE3E44">
        <w:t xml:space="preserve"> </w:t>
      </w:r>
      <w:r w:rsidR="00DE3E44" w:rsidRPr="004422A9">
        <w:t>(</w:t>
      </w:r>
      <w:r w:rsidR="004422A9" w:rsidRPr="004422A9">
        <w:t>Figure 14</w:t>
      </w:r>
      <w:r w:rsidR="00DE3E44" w:rsidRPr="004422A9">
        <w:t>)</w:t>
      </w:r>
      <w:r w:rsidRPr="004422A9">
        <w:t xml:space="preserve"> </w:t>
      </w:r>
      <w:r w:rsidRPr="00A750A5">
        <w:t>suggested that extending the dosage interval to 5 or 6 weeks would be associated with a greater proportion of p</w:t>
      </w:r>
      <w:r w:rsidR="008B4FCC" w:rsidRPr="00A750A5">
        <w:t>atients losing disease control.</w:t>
      </w:r>
    </w:p>
    <w:p w:rsidR="00254351" w:rsidRDefault="00254351" w:rsidP="00A750A5">
      <w:r w:rsidRPr="00A750A5">
        <w:t>Overall the evidence submitted to support the efficacy of omalizumab in CIU is considered adequate.</w:t>
      </w:r>
    </w:p>
    <w:p w:rsidR="004778FF" w:rsidRDefault="004778FF">
      <w:pPr>
        <w:spacing w:before="0" w:after="200" w:line="0" w:lineRule="auto"/>
        <w:rPr>
          <w:b/>
        </w:rPr>
      </w:pPr>
      <w:r>
        <w:br w:type="page"/>
      </w:r>
    </w:p>
    <w:p w:rsidR="00DA6723" w:rsidRPr="004778FF" w:rsidRDefault="00DA6723" w:rsidP="004778FF">
      <w:pPr>
        <w:pStyle w:val="FigureTitle"/>
      </w:pPr>
      <w:proofErr w:type="gramStart"/>
      <w:r w:rsidRPr="004778FF">
        <w:lastRenderedPageBreak/>
        <w:t>Figure 12</w:t>
      </w:r>
      <w:r w:rsidR="00FB4E94" w:rsidRPr="004778FF">
        <w:t>.</w:t>
      </w:r>
      <w:proofErr w:type="gramEnd"/>
      <w:r w:rsidRPr="004778FF">
        <w:t xml:space="preserve"> Simulated mean itch improvement at week 12, for subject quartiles in weight, BMI and baseline </w:t>
      </w:r>
      <w:proofErr w:type="spellStart"/>
      <w:r w:rsidRPr="004778FF">
        <w:t>IgE</w:t>
      </w:r>
      <w:proofErr w:type="spellEnd"/>
      <w:r w:rsidRPr="004778FF">
        <w:t>, for three different dosing regimens.</w:t>
      </w:r>
    </w:p>
    <w:p w:rsidR="00943021" w:rsidRDefault="00DA6723" w:rsidP="006F527F">
      <w:pPr>
        <w:pStyle w:val="FigureDescription"/>
      </w:pPr>
      <w:r w:rsidRPr="00943021">
        <w:t xml:space="preserve">An </w:t>
      </w:r>
      <w:proofErr w:type="spellStart"/>
      <w:r w:rsidRPr="00943021">
        <w:t>E</w:t>
      </w:r>
      <w:r w:rsidRPr="00943021">
        <w:rPr>
          <w:vertAlign w:val="subscript"/>
        </w:rPr>
        <w:t>max</w:t>
      </w:r>
      <w:proofErr w:type="spellEnd"/>
      <w:r w:rsidRPr="00943021">
        <w:t xml:space="preserve"> model was constructed for the relationship between itch improvement and omalizumab concentration at week 12. The model adequately predicted the observed data from the third study, Q4883g. Using this model, itch improvements were estimated using two alternate dosage regimens (weight-adjusted or weight and baseline </w:t>
      </w:r>
      <w:proofErr w:type="spellStart"/>
      <w:r w:rsidRPr="00943021">
        <w:t>IgE</w:t>
      </w:r>
      <w:proofErr w:type="spellEnd"/>
      <w:r w:rsidRPr="00943021">
        <w:t xml:space="preserve">-adjusted). A weight-based regimen was found to reduce the variability in itch improvement, compared to the proposed flat dosing regimen. However, the reduction in variability was small (less than 1 point on a scale of 0-21) and was not considered clinically relevant. A regimen adjusted for both weight and baseline </w:t>
      </w:r>
      <w:proofErr w:type="spellStart"/>
      <w:r w:rsidRPr="00943021">
        <w:t>IgE</w:t>
      </w:r>
      <w:proofErr w:type="spellEnd"/>
      <w:r w:rsidRPr="00943021">
        <w:t xml:space="preserve"> resulted in increased variability in itch improvement, with subjects with lower baseline </w:t>
      </w:r>
      <w:proofErr w:type="spellStart"/>
      <w:r w:rsidRPr="00943021">
        <w:t>IgE</w:t>
      </w:r>
      <w:proofErr w:type="spellEnd"/>
      <w:r w:rsidRPr="00943021">
        <w:t xml:space="preserve"> levels achieving less itch improvement (as shown </w:t>
      </w:r>
      <w:r w:rsidR="00943021">
        <w:t>below</w:t>
      </w:r>
      <w:r w:rsidRPr="00943021">
        <w:t>)</w:t>
      </w:r>
      <w:r w:rsidR="00A44C58">
        <w:t>.</w:t>
      </w:r>
    </w:p>
    <w:p w:rsidR="00DA6723" w:rsidRDefault="00975AAA" w:rsidP="006F527F">
      <w:r>
        <w:rPr>
          <w:noProof/>
          <w:lang w:eastAsia="en-AU"/>
        </w:rPr>
        <w:drawing>
          <wp:inline distT="0" distB="0" distL="0" distR="0" wp14:anchorId="79EAEFAE" wp14:editId="44F9D5C7">
            <wp:extent cx="5731510" cy="1862741"/>
            <wp:effectExtent l="0" t="0" r="2540" b="4445"/>
            <wp:docPr id="31" name="Picture 31" descr="Figure 12. Simulated mean itch improvement at week 12, for subject quartiles in weight, BMI and baseline IgE, for three different dosing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1862741"/>
                    </a:xfrm>
                    <a:prstGeom prst="rect">
                      <a:avLst/>
                    </a:prstGeom>
                  </pic:spPr>
                </pic:pic>
              </a:graphicData>
            </a:graphic>
          </wp:inline>
        </w:drawing>
      </w:r>
    </w:p>
    <w:p w:rsidR="00943021" w:rsidRPr="00943021" w:rsidRDefault="00943021" w:rsidP="006F527F">
      <w:pPr>
        <w:pStyle w:val="FigureDescription"/>
      </w:pPr>
      <w:r w:rsidRPr="00943021">
        <w:t xml:space="preserve">Points in the panels represent the simulated mean itch improvement at Week 12 for 300 mg-equivalent q4w regimens (flat, weight-based or weight- and </w:t>
      </w:r>
      <w:proofErr w:type="spellStart"/>
      <w:r w:rsidRPr="00943021">
        <w:t>IgE</w:t>
      </w:r>
      <w:proofErr w:type="spellEnd"/>
      <w:r w:rsidRPr="00943021">
        <w:t xml:space="preserve">-based) stratified by weight (left), BMI (middle), or baseline </w:t>
      </w:r>
      <w:proofErr w:type="spellStart"/>
      <w:r w:rsidRPr="00943021">
        <w:t>IgE</w:t>
      </w:r>
      <w:proofErr w:type="spellEnd"/>
      <w:r w:rsidRPr="00943021">
        <w:t xml:space="preserve"> (right) quartile. Points are offset on the abscissa for clarity. Vertical lines are 95% confidence intervals representing model uncertainty. The horizontal dashed line represents the simulated mean itch</w:t>
      </w:r>
      <w:r>
        <w:t xml:space="preserve"> </w:t>
      </w:r>
      <w:r w:rsidRPr="00943021">
        <w:t>improvement of the overall population for the 300 mg flat dose.</w:t>
      </w:r>
    </w:p>
    <w:p w:rsidR="00DA6723" w:rsidRPr="004778FF" w:rsidRDefault="00DA6723" w:rsidP="004778FF">
      <w:pPr>
        <w:pStyle w:val="FigureTitle"/>
      </w:pPr>
      <w:proofErr w:type="gramStart"/>
      <w:r w:rsidRPr="004778FF">
        <w:t>Figure 13.</w:t>
      </w:r>
      <w:proofErr w:type="gramEnd"/>
      <w:r w:rsidRPr="004778FF">
        <w:t xml:space="preserve"> </w:t>
      </w:r>
      <w:proofErr w:type="gramStart"/>
      <w:r w:rsidRPr="004778FF">
        <w:t>Simulated complet</w:t>
      </w:r>
      <w:r w:rsidR="00FB4E94" w:rsidRPr="004778FF">
        <w:t>e UAS7 responder percentage at W</w:t>
      </w:r>
      <w:r w:rsidRPr="004778FF">
        <w:t xml:space="preserve">eek 12, for subject quartiles in weight, BMI and baseline </w:t>
      </w:r>
      <w:proofErr w:type="spellStart"/>
      <w:r w:rsidRPr="004778FF">
        <w:t>IgE</w:t>
      </w:r>
      <w:proofErr w:type="spellEnd"/>
      <w:r w:rsidRPr="004778FF">
        <w:t>, for three different dosing regimens</w:t>
      </w:r>
      <w:r w:rsidR="00A44C58" w:rsidRPr="004778FF">
        <w:t>.</w:t>
      </w:r>
      <w:proofErr w:type="gramEnd"/>
    </w:p>
    <w:p w:rsidR="00DA6723" w:rsidRDefault="00DA6723" w:rsidP="006F527F">
      <w:pPr>
        <w:pStyle w:val="FigureDescription"/>
      </w:pPr>
      <w:r w:rsidRPr="00943021">
        <w:t xml:space="preserve">Another </w:t>
      </w:r>
      <w:proofErr w:type="spellStart"/>
      <w:r w:rsidRPr="00943021">
        <w:t>E</w:t>
      </w:r>
      <w:r w:rsidRPr="00943021">
        <w:rPr>
          <w:vertAlign w:val="subscript"/>
        </w:rPr>
        <w:t>max</w:t>
      </w:r>
      <w:proofErr w:type="spellEnd"/>
      <w:r w:rsidRPr="00943021">
        <w:t xml:space="preserve"> model was constructed for the relationship between UAS7 complete response (i.e. UAS7=0) and omalizumab concentration at week 12. In this model a weight-based regimen and a regimen adjusted for both weight and baseline </w:t>
      </w:r>
      <w:proofErr w:type="spellStart"/>
      <w:r w:rsidRPr="00943021">
        <w:t>IgE</w:t>
      </w:r>
      <w:proofErr w:type="spellEnd"/>
      <w:r w:rsidRPr="00943021">
        <w:t xml:space="preserve"> both resulted in increased variability in UAS7 complete response, compared to t</w:t>
      </w:r>
      <w:r w:rsidR="00975AAA" w:rsidRPr="00943021">
        <w:t xml:space="preserve">he proposed flat dosing regimen (as shown </w:t>
      </w:r>
      <w:r w:rsidR="00943021">
        <w:t>below</w:t>
      </w:r>
      <w:r w:rsidR="00975AAA" w:rsidRPr="00943021">
        <w:t>)</w:t>
      </w:r>
      <w:r w:rsidR="00AB5D7A">
        <w:t>.</w:t>
      </w:r>
    </w:p>
    <w:p w:rsidR="00DA6723" w:rsidRPr="00DA6723" w:rsidRDefault="00975AAA" w:rsidP="006F527F">
      <w:r>
        <w:rPr>
          <w:noProof/>
          <w:lang w:eastAsia="en-AU"/>
        </w:rPr>
        <w:drawing>
          <wp:inline distT="0" distB="0" distL="0" distR="0" wp14:anchorId="3F8B1EF7" wp14:editId="572FC43E">
            <wp:extent cx="5731510" cy="1934997"/>
            <wp:effectExtent l="0" t="0" r="2540" b="8255"/>
            <wp:docPr id="28" name="Picture 28" descr="Figure 13. Simulated complete UAS7 responder percentage at Week 12, for subject quartiles in weight, BMI and baseline IgE, for three different dosing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1934997"/>
                    </a:xfrm>
                    <a:prstGeom prst="rect">
                      <a:avLst/>
                    </a:prstGeom>
                  </pic:spPr>
                </pic:pic>
              </a:graphicData>
            </a:graphic>
          </wp:inline>
        </w:drawing>
      </w:r>
    </w:p>
    <w:p w:rsidR="00943021" w:rsidRDefault="00943021" w:rsidP="006F527F">
      <w:pPr>
        <w:pStyle w:val="FigureDescription"/>
      </w:pPr>
      <w:r>
        <w:t>Points in the</w:t>
      </w:r>
      <w:r w:rsidRPr="00943021">
        <w:t xml:space="preserve"> panels represent the simulated complete responder percentages </w:t>
      </w:r>
      <w:r>
        <w:t xml:space="preserve">at Week 12 for 300 mg equivalent </w:t>
      </w:r>
      <w:r w:rsidRPr="00943021">
        <w:t xml:space="preserve">q4w regimens (flat, weight-based or weight- and </w:t>
      </w:r>
      <w:proofErr w:type="spellStart"/>
      <w:r w:rsidRPr="00943021">
        <w:t>IgE</w:t>
      </w:r>
      <w:proofErr w:type="spellEnd"/>
      <w:r w:rsidRPr="00943021">
        <w:t>-based) s</w:t>
      </w:r>
      <w:r>
        <w:t xml:space="preserve">tratified by weight (left), BMI </w:t>
      </w:r>
      <w:r w:rsidRPr="00943021">
        <w:t xml:space="preserve">(middle), or baseline </w:t>
      </w:r>
      <w:proofErr w:type="spellStart"/>
      <w:r w:rsidRPr="00943021">
        <w:t>IgE</w:t>
      </w:r>
      <w:proofErr w:type="spellEnd"/>
      <w:r w:rsidRPr="00943021">
        <w:t xml:space="preserve"> (right) quartile. Points are offset on the abscissa for clarity. Vertical lin</w:t>
      </w:r>
      <w:r>
        <w:t xml:space="preserve">es are 95% </w:t>
      </w:r>
      <w:r w:rsidRPr="00943021">
        <w:t>confidence intervals representing model uncertainty. The horizontal dashe</w:t>
      </w:r>
      <w:r>
        <w:t xml:space="preserve">d line represents the simulated </w:t>
      </w:r>
      <w:r w:rsidRPr="00943021">
        <w:t>responder percentage of the overall population for the 300 mg flat dose.</w:t>
      </w:r>
    </w:p>
    <w:p w:rsidR="004778FF" w:rsidRDefault="004778FF">
      <w:pPr>
        <w:spacing w:before="0" w:after="200" w:line="0" w:lineRule="auto"/>
        <w:rPr>
          <w:b/>
        </w:rPr>
      </w:pPr>
      <w:r>
        <w:br w:type="page"/>
      </w:r>
    </w:p>
    <w:p w:rsidR="00DA6723" w:rsidRPr="004778FF" w:rsidRDefault="004422A9" w:rsidP="004778FF">
      <w:pPr>
        <w:pStyle w:val="FigureTitle"/>
      </w:pPr>
      <w:proofErr w:type="gramStart"/>
      <w:r w:rsidRPr="004778FF">
        <w:lastRenderedPageBreak/>
        <w:t>Figure 14.</w:t>
      </w:r>
      <w:proofErr w:type="gramEnd"/>
      <w:r w:rsidRPr="004778FF">
        <w:t xml:space="preserve"> Population PK/Efficacy time course analysis: Summary – effect of extending the dose interval</w:t>
      </w:r>
      <w:r w:rsidR="00B45140" w:rsidRPr="004778FF">
        <w:t xml:space="preserve"> –simulation of responder rates for different 300 mg dosing frequencies</w:t>
      </w:r>
      <w:r w:rsidRPr="004778FF">
        <w:t>.</w:t>
      </w:r>
    </w:p>
    <w:p w:rsidR="004422A9" w:rsidRDefault="004422A9" w:rsidP="006F527F">
      <w:r>
        <w:rPr>
          <w:noProof/>
          <w:lang w:eastAsia="en-AU"/>
        </w:rPr>
        <w:drawing>
          <wp:inline distT="0" distB="0" distL="0" distR="0" wp14:anchorId="5E88688C" wp14:editId="321F9D86">
            <wp:extent cx="5731510" cy="3182948"/>
            <wp:effectExtent l="0" t="0" r="2540" b="0"/>
            <wp:docPr id="32" name="Picture 32" descr="Figure 14. Population PK/Efficacy time course analysis: Summary – effect of extending the dose interval –simulation of responder rates for different 300 mg dosing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3182948"/>
                    </a:xfrm>
                    <a:prstGeom prst="rect">
                      <a:avLst/>
                    </a:prstGeom>
                  </pic:spPr>
                </pic:pic>
              </a:graphicData>
            </a:graphic>
          </wp:inline>
        </w:drawing>
      </w:r>
    </w:p>
    <w:p w:rsidR="004422A9" w:rsidRPr="004422A9" w:rsidRDefault="004422A9" w:rsidP="006F527F">
      <w:pPr>
        <w:pStyle w:val="FigureDescription"/>
      </w:pPr>
      <w:r w:rsidRPr="004422A9">
        <w:t>Red arrows indicate injection of 300 mg omalizumab. The line and band indicate the medians and</w:t>
      </w:r>
      <w:r>
        <w:t xml:space="preserve"> </w:t>
      </w:r>
      <w:r w:rsidRPr="004422A9">
        <w:t>95% intervals for the predictions based on 200 randomly sampled gr</w:t>
      </w:r>
      <w:r>
        <w:t xml:space="preserve">oups of 200 patients drawn from </w:t>
      </w:r>
      <w:r w:rsidRPr="004422A9">
        <w:t>the 632</w:t>
      </w:r>
      <w:r w:rsidR="00B45140">
        <w:t xml:space="preserve"> (treated patients from studies Q4881g, Q4882g and Q4883g)</w:t>
      </w:r>
      <w:r w:rsidRPr="004422A9">
        <w:t>. The anticipated responder rates due to the placebo effec</w:t>
      </w:r>
      <w:r>
        <w:t xml:space="preserve">t only are shown in grey with a </w:t>
      </w:r>
      <w:r w:rsidRPr="004422A9">
        <w:t>dotted line for the median. Well-controlled and complete resp</w:t>
      </w:r>
      <w:r>
        <w:t>onses are defined as UAS7</w:t>
      </w:r>
      <w:r w:rsidR="00B45140">
        <w:t xml:space="preserve"> </w:t>
      </w:r>
      <w:r>
        <w:t>≤</w:t>
      </w:r>
      <w:r w:rsidR="00B45140">
        <w:t xml:space="preserve"> </w:t>
      </w:r>
      <w:r>
        <w:t xml:space="preserve">6 and </w:t>
      </w:r>
      <w:r w:rsidRPr="004422A9">
        <w:t>UAS</w:t>
      </w:r>
      <w:r w:rsidR="00B45140">
        <w:t xml:space="preserve"> </w:t>
      </w:r>
      <w:r w:rsidRPr="004422A9">
        <w:t>&lt;</w:t>
      </w:r>
      <w:r w:rsidR="00B45140">
        <w:t xml:space="preserve"> </w:t>
      </w:r>
      <w:r w:rsidRPr="004422A9">
        <w:t>1 for the simulations. Lunar months are 4 week intervals.</w:t>
      </w:r>
    </w:p>
    <w:p w:rsidR="00C22678" w:rsidRPr="004778FF" w:rsidRDefault="00C22678" w:rsidP="004778FF">
      <w:pPr>
        <w:pStyle w:val="Heading2"/>
      </w:pPr>
      <w:bookmarkStart w:id="45" w:name="_Toc425249006"/>
      <w:r w:rsidRPr="004778FF">
        <w:t>Clinical safety</w:t>
      </w:r>
      <w:bookmarkEnd w:id="45"/>
    </w:p>
    <w:p w:rsidR="00AD1721" w:rsidRPr="00A750A5" w:rsidRDefault="00AD1721" w:rsidP="00A750A5">
      <w:bookmarkStart w:id="46" w:name="Phase_III_studies_(4881g,_4882g_and_4883"/>
      <w:bookmarkStart w:id="47" w:name="8.1._Studies_providing_evaluable_safety_"/>
      <w:bookmarkStart w:id="48" w:name="8._CLINICAL_SAFETY"/>
      <w:bookmarkEnd w:id="46"/>
      <w:bookmarkEnd w:id="47"/>
      <w:bookmarkEnd w:id="48"/>
      <w:proofErr w:type="spellStart"/>
      <w:r w:rsidRPr="00A750A5">
        <w:t>Omalizumab</w:t>
      </w:r>
      <w:proofErr w:type="spellEnd"/>
      <w:r w:rsidRPr="00A750A5">
        <w:t xml:space="preserve"> has previously been associated with hypersensitivity reactions, including anaphylaxis and serum sickness, and precautionary statements on these issues are included in the current PI.</w:t>
      </w:r>
    </w:p>
    <w:p w:rsidR="00AD1721" w:rsidRPr="00A750A5" w:rsidRDefault="00AD1721" w:rsidP="00A750A5">
      <w:r w:rsidRPr="00A750A5">
        <w:t xml:space="preserve">The drug has also been associated with </w:t>
      </w:r>
      <w:proofErr w:type="spellStart"/>
      <w:r w:rsidRPr="00A750A5">
        <w:t>thrombocytopaenia</w:t>
      </w:r>
      <w:proofErr w:type="spellEnd"/>
      <w:r w:rsidRPr="00A750A5">
        <w:t xml:space="preserve"> in animal studies, but not in human clinical trials. However, the current PI lists ‘idiopathic severe </w:t>
      </w:r>
      <w:proofErr w:type="spellStart"/>
      <w:r w:rsidRPr="00A750A5">
        <w:t>thrombocytopaenia</w:t>
      </w:r>
      <w:proofErr w:type="spellEnd"/>
      <w:r w:rsidRPr="00A750A5">
        <w:t>’ as an adverse reaction identified through spontaneous post-market reporting.</w:t>
      </w:r>
    </w:p>
    <w:p w:rsidR="00AD1721" w:rsidRPr="00A750A5" w:rsidRDefault="00AD1721" w:rsidP="00A750A5">
      <w:r w:rsidRPr="00A750A5">
        <w:t xml:space="preserve">In the clinical trials submitted to support registration in asthma, there were an excess number of cases of malignancy with omalizumab compared to placebo (0.5% </w:t>
      </w:r>
      <w:r w:rsidR="001136E7">
        <w:t>versus</w:t>
      </w:r>
      <w:r w:rsidRPr="00A750A5">
        <w:t xml:space="preserve"> 0.2%). A precautionary statement on this issue is included in the current PI. A subsequent published analysis of a larger number of randomised placebo-controlled trials found no significant increase in the risk of malignancy</w:t>
      </w:r>
      <w:r w:rsidR="00A750A5">
        <w:t>.</w:t>
      </w:r>
      <w:r w:rsidR="00F66B76">
        <w:t xml:space="preserve"> </w:t>
      </w:r>
      <w:r w:rsidRPr="00A750A5">
        <w:rPr>
          <w:vertAlign w:val="superscript"/>
        </w:rPr>
        <w:t>(15)</w:t>
      </w:r>
    </w:p>
    <w:p w:rsidR="00AD1721" w:rsidRPr="00A750A5" w:rsidRDefault="00AD1721" w:rsidP="00A750A5">
      <w:r w:rsidRPr="00A750A5">
        <w:t>In 2009 the FDA announced that it was conducting a safety review of omalizumab</w:t>
      </w:r>
      <w:r w:rsidR="00F66B76">
        <w:t xml:space="preserve"> </w:t>
      </w:r>
      <w:r w:rsidR="00A750A5" w:rsidRPr="00A750A5">
        <w:rPr>
          <w:vertAlign w:val="superscript"/>
        </w:rPr>
        <w:t>(16)</w:t>
      </w:r>
      <w:r w:rsidRPr="00A750A5">
        <w:t xml:space="preserve">. An interim analysis of a large ongoing non-randomised study in asthma patients (the EXCELS study) had suggested an increased incidence of serious cardiovascular adverse events. However, no action </w:t>
      </w:r>
      <w:r w:rsidR="003334B2">
        <w:t>has</w:t>
      </w:r>
      <w:r w:rsidRPr="00A750A5">
        <w:t xml:space="preserve"> been taken by the FDA on this issue since that time.</w:t>
      </w:r>
    </w:p>
    <w:p w:rsidR="002D2A4D" w:rsidRPr="004778FF" w:rsidRDefault="002D2A4D" w:rsidP="004778FF">
      <w:pPr>
        <w:pStyle w:val="Heading3"/>
      </w:pPr>
      <w:bookmarkStart w:id="49" w:name="_Toc425249007"/>
      <w:r w:rsidRPr="004778FF">
        <w:t>Studies providing evaluable safety data</w:t>
      </w:r>
      <w:bookmarkEnd w:id="49"/>
    </w:p>
    <w:p w:rsidR="002D2A4D" w:rsidRPr="002D2A4D" w:rsidRDefault="002D2A4D" w:rsidP="008B4FCC">
      <w:r w:rsidRPr="002D2A4D">
        <w:rPr>
          <w:spacing w:val="-2"/>
        </w:rPr>
        <w:t>The</w:t>
      </w:r>
      <w:r w:rsidRPr="002D2A4D">
        <w:rPr>
          <w:spacing w:val="-3"/>
        </w:rPr>
        <w:t xml:space="preserve"> </w:t>
      </w:r>
      <w:r w:rsidRPr="002D2A4D">
        <w:t>following studies</w:t>
      </w:r>
      <w:r w:rsidRPr="002D2A4D">
        <w:rPr>
          <w:spacing w:val="-4"/>
        </w:rPr>
        <w:t xml:space="preserve"> </w:t>
      </w:r>
      <w:r w:rsidRPr="002D2A4D">
        <w:rPr>
          <w:spacing w:val="-2"/>
        </w:rPr>
        <w:t>provided</w:t>
      </w:r>
      <w:r w:rsidRPr="002D2A4D">
        <w:rPr>
          <w:spacing w:val="1"/>
        </w:rPr>
        <w:t xml:space="preserve"> </w:t>
      </w:r>
      <w:r w:rsidRPr="002D2A4D">
        <w:rPr>
          <w:spacing w:val="-3"/>
        </w:rPr>
        <w:t xml:space="preserve">evaluable </w:t>
      </w:r>
      <w:r w:rsidRPr="002D2A4D">
        <w:t>safety</w:t>
      </w:r>
      <w:r w:rsidRPr="002D2A4D">
        <w:rPr>
          <w:spacing w:val="-2"/>
        </w:rPr>
        <w:t xml:space="preserve"> </w:t>
      </w:r>
      <w:r w:rsidRPr="002D2A4D">
        <w:t>data:</w:t>
      </w:r>
    </w:p>
    <w:p w:rsidR="002D2A4D" w:rsidRPr="003B2441" w:rsidRDefault="002D2A4D" w:rsidP="003B2441">
      <w:r w:rsidRPr="003B2441">
        <w:t>Phase III studies (4881g, 4882g and 4883g)</w:t>
      </w:r>
      <w:r w:rsidR="00AB5D7A">
        <w:t>.</w:t>
      </w:r>
    </w:p>
    <w:p w:rsidR="002D2A4D" w:rsidRPr="002D2A4D" w:rsidRDefault="002D2A4D" w:rsidP="008B4FCC">
      <w:r w:rsidRPr="002D2A4D">
        <w:t>In</w:t>
      </w:r>
      <w:r w:rsidRPr="002D2A4D">
        <w:rPr>
          <w:spacing w:val="1"/>
        </w:rPr>
        <w:t xml:space="preserve"> </w:t>
      </w:r>
      <w:r w:rsidRPr="002D2A4D">
        <w:t>the</w:t>
      </w:r>
      <w:r w:rsidRPr="002D2A4D">
        <w:rPr>
          <w:spacing w:val="-3"/>
        </w:rPr>
        <w:t xml:space="preserve"> </w:t>
      </w:r>
      <w:r w:rsidRPr="002D2A4D">
        <w:rPr>
          <w:spacing w:val="-2"/>
        </w:rPr>
        <w:t>three</w:t>
      </w:r>
      <w:r w:rsidRPr="002D2A4D">
        <w:rPr>
          <w:spacing w:val="-3"/>
        </w:rPr>
        <w:t xml:space="preserve"> </w:t>
      </w:r>
      <w:r w:rsidR="00F66B76">
        <w:t>P</w:t>
      </w:r>
      <w:r w:rsidRPr="002D2A4D">
        <w:t>hase</w:t>
      </w:r>
      <w:r w:rsidRPr="002D2A4D">
        <w:rPr>
          <w:spacing w:val="-3"/>
        </w:rPr>
        <w:t xml:space="preserve"> </w:t>
      </w:r>
      <w:r w:rsidRPr="002D2A4D">
        <w:t>III studies,</w:t>
      </w:r>
      <w:r w:rsidRPr="002D2A4D">
        <w:rPr>
          <w:spacing w:val="-3"/>
        </w:rPr>
        <w:t xml:space="preserve"> </w:t>
      </w:r>
      <w:r w:rsidRPr="002D2A4D">
        <w:t>the</w:t>
      </w:r>
      <w:r w:rsidRPr="002D2A4D">
        <w:rPr>
          <w:spacing w:val="-3"/>
        </w:rPr>
        <w:t xml:space="preserve"> </w:t>
      </w:r>
      <w:r w:rsidRPr="002D2A4D">
        <w:t xml:space="preserve">following </w:t>
      </w:r>
      <w:r w:rsidRPr="002D2A4D">
        <w:rPr>
          <w:spacing w:val="-2"/>
        </w:rPr>
        <w:t xml:space="preserve">safety </w:t>
      </w:r>
      <w:r w:rsidRPr="002D2A4D">
        <w:t>data</w:t>
      </w:r>
      <w:r w:rsidRPr="002D2A4D">
        <w:rPr>
          <w:spacing w:val="-3"/>
        </w:rPr>
        <w:t xml:space="preserve"> were </w:t>
      </w:r>
      <w:r w:rsidRPr="002D2A4D">
        <w:t>collected:</w:t>
      </w:r>
    </w:p>
    <w:p w:rsidR="002D2A4D" w:rsidRPr="003B2441" w:rsidRDefault="002D2A4D" w:rsidP="003B2441">
      <w:pPr>
        <w:pStyle w:val="ListBullet"/>
      </w:pPr>
      <w:r w:rsidRPr="003B2441">
        <w:lastRenderedPageBreak/>
        <w:t>General adverse events (AEs) were assessed at each clinic visit and were coded using MEDRA terminology. The following were nominated as AEs of special interest:</w:t>
      </w:r>
    </w:p>
    <w:p w:rsidR="002D2A4D" w:rsidRPr="003B2441" w:rsidRDefault="002D2A4D" w:rsidP="003B2441">
      <w:pPr>
        <w:pStyle w:val="ListBullet2"/>
      </w:pPr>
      <w:r w:rsidRPr="003B2441">
        <w:t>Anaphylaxis</w:t>
      </w:r>
    </w:p>
    <w:p w:rsidR="002D2A4D" w:rsidRPr="003B2441" w:rsidRDefault="002D2A4D" w:rsidP="003B2441">
      <w:pPr>
        <w:pStyle w:val="ListBullet2"/>
      </w:pPr>
      <w:proofErr w:type="spellStart"/>
      <w:r w:rsidRPr="003B2441">
        <w:t>Churg</w:t>
      </w:r>
      <w:proofErr w:type="spellEnd"/>
      <w:r w:rsidRPr="003B2441">
        <w:t>-Strauss syndrome</w:t>
      </w:r>
    </w:p>
    <w:p w:rsidR="002D2A4D" w:rsidRPr="003B2441" w:rsidRDefault="002D2A4D" w:rsidP="003B2441">
      <w:pPr>
        <w:pStyle w:val="ListBullet2"/>
      </w:pPr>
      <w:r w:rsidRPr="003B2441">
        <w:t>Hypersensitivity</w:t>
      </w:r>
    </w:p>
    <w:p w:rsidR="002D2A4D" w:rsidRPr="003B2441" w:rsidRDefault="002D2A4D" w:rsidP="003B2441">
      <w:pPr>
        <w:pStyle w:val="ListBullet2"/>
      </w:pPr>
      <w:r w:rsidRPr="003B2441">
        <w:t>Injection-site reactions</w:t>
      </w:r>
    </w:p>
    <w:p w:rsidR="002D2A4D" w:rsidRPr="003B2441" w:rsidRDefault="002D2A4D" w:rsidP="003B2441">
      <w:pPr>
        <w:pStyle w:val="ListBullet2"/>
      </w:pPr>
      <w:r w:rsidRPr="003B2441">
        <w:t>Malignancy</w:t>
      </w:r>
    </w:p>
    <w:p w:rsidR="002D2A4D" w:rsidRPr="003B2441" w:rsidRDefault="002D2A4D" w:rsidP="003B2441">
      <w:pPr>
        <w:pStyle w:val="ListBullet2"/>
      </w:pPr>
      <w:r w:rsidRPr="003B2441">
        <w:t>Serum sickness syndrome</w:t>
      </w:r>
    </w:p>
    <w:p w:rsidR="002D2A4D" w:rsidRPr="003B2441" w:rsidRDefault="002D2A4D" w:rsidP="003B2441">
      <w:pPr>
        <w:pStyle w:val="ListBullet2"/>
      </w:pPr>
      <w:r w:rsidRPr="003B2441">
        <w:t>Skin rash</w:t>
      </w:r>
    </w:p>
    <w:p w:rsidR="002D2A4D" w:rsidRPr="003B2441" w:rsidRDefault="002D2A4D" w:rsidP="003B2441">
      <w:pPr>
        <w:pStyle w:val="ListBullet2"/>
      </w:pPr>
      <w:r w:rsidRPr="003B2441">
        <w:t>Thrombocytopenia and bleeding-related disorders</w:t>
      </w:r>
    </w:p>
    <w:p w:rsidR="002D2A4D" w:rsidRPr="003B2441" w:rsidRDefault="002D2A4D" w:rsidP="003B2441">
      <w:pPr>
        <w:pStyle w:val="ListBullet2"/>
      </w:pPr>
      <w:r w:rsidRPr="003B2441">
        <w:t xml:space="preserve">Hematopoietic </w:t>
      </w:r>
      <w:proofErr w:type="spellStart"/>
      <w:r w:rsidRPr="003B2441">
        <w:t>cytopaenias</w:t>
      </w:r>
      <w:proofErr w:type="spellEnd"/>
    </w:p>
    <w:p w:rsidR="002D2A4D" w:rsidRPr="003B2441" w:rsidRDefault="002D2A4D" w:rsidP="003B2441">
      <w:pPr>
        <w:pStyle w:val="ListBullet2"/>
      </w:pPr>
      <w:r w:rsidRPr="003B2441">
        <w:t>Arterial thrombotic events</w:t>
      </w:r>
    </w:p>
    <w:p w:rsidR="002D2A4D" w:rsidRPr="003B2441" w:rsidRDefault="002D2A4D" w:rsidP="003B2441">
      <w:pPr>
        <w:pStyle w:val="ListBullet2"/>
      </w:pPr>
      <w:r w:rsidRPr="003B2441">
        <w:t>Asthma/bronchospasm</w:t>
      </w:r>
    </w:p>
    <w:p w:rsidR="002D2A4D" w:rsidRPr="003B2441" w:rsidRDefault="002D2A4D" w:rsidP="003B2441">
      <w:pPr>
        <w:pStyle w:val="ListBullet2"/>
      </w:pPr>
      <w:r w:rsidRPr="003B2441">
        <w:t>Liver-related investigations, signs or symptoms.</w:t>
      </w:r>
    </w:p>
    <w:p w:rsidR="002D2A4D" w:rsidRPr="003B2441" w:rsidRDefault="002D2A4D" w:rsidP="003B2441">
      <w:pPr>
        <w:pStyle w:val="ListBullet"/>
      </w:pPr>
      <w:r w:rsidRPr="003B2441">
        <w:t>Haematology tests were conducted every 4 weeks during t</w:t>
      </w:r>
      <w:r w:rsidR="00D72A73">
        <w:t xml:space="preserve">he treatment period and every 8 weeks during the follow </w:t>
      </w:r>
      <w:r w:rsidRPr="003B2441">
        <w:t>up period. Tests done were: haemoglobin, haematocrit, platelet count, RBC count, WBC count, per cent, and absolute differential count (neutrophils, bands, eosinophils, lymphocytes, monocytes, basophils, other cells).</w:t>
      </w:r>
    </w:p>
    <w:p w:rsidR="002D2A4D" w:rsidRPr="003B2441" w:rsidRDefault="002D2A4D" w:rsidP="003B2441">
      <w:r w:rsidRPr="003B2441">
        <w:t>Blood biochemistry and urinalysis were only conducted at baseline.</w:t>
      </w:r>
    </w:p>
    <w:p w:rsidR="002D2A4D" w:rsidRPr="002D2A4D" w:rsidRDefault="002D2A4D" w:rsidP="008B4FCC">
      <w:r w:rsidRPr="00B94A9E">
        <w:t>The Summary of Clinical Safety in Module 2 of the submission included an analysis of safety based</w:t>
      </w:r>
      <w:r w:rsidR="00F66B76">
        <w:t xml:space="preserve"> on pooled data from the three P</w:t>
      </w:r>
      <w:r w:rsidRPr="00B94A9E">
        <w:t>hase III studies</w:t>
      </w:r>
      <w:r w:rsidRPr="002D2A4D">
        <w:t>. This analysis forms the main basis of the review of safety in this evaluation report.</w:t>
      </w:r>
    </w:p>
    <w:p w:rsidR="002D2A4D" w:rsidRPr="004778FF" w:rsidRDefault="002D2A4D" w:rsidP="004778FF">
      <w:pPr>
        <w:pStyle w:val="Heading5"/>
      </w:pPr>
      <w:r w:rsidRPr="004778FF">
        <w:t>Pivotal studies that assessed safety as a primary outcome</w:t>
      </w:r>
    </w:p>
    <w:p w:rsidR="002D2A4D" w:rsidRPr="003B2441" w:rsidRDefault="002D2A4D" w:rsidP="003B2441">
      <w:r w:rsidRPr="003B2441">
        <w:t xml:space="preserve">The primary objective of </w:t>
      </w:r>
      <w:r w:rsidR="00A12D97">
        <w:t>Study</w:t>
      </w:r>
      <w:r w:rsidRPr="003B2441">
        <w:t xml:space="preserve"> 4883g was to examine the safety of omalizumab compared to placebo. However, the safety findings from this study are reviewed as part of the pooled safety analysis.</w:t>
      </w:r>
    </w:p>
    <w:p w:rsidR="002D2A4D" w:rsidRPr="004778FF" w:rsidRDefault="002D2A4D" w:rsidP="004778FF">
      <w:pPr>
        <w:pStyle w:val="Heading5"/>
        <w:rPr>
          <w:rFonts w:eastAsiaTheme="minorHAnsi"/>
        </w:rPr>
      </w:pPr>
      <w:r w:rsidRPr="004778FF">
        <w:rPr>
          <w:rFonts w:eastAsiaTheme="minorHAnsi"/>
        </w:rPr>
        <w:t>Dose-response and non-pivotal efficacy studies</w:t>
      </w:r>
    </w:p>
    <w:p w:rsidR="002D2A4D" w:rsidRPr="003B2441" w:rsidRDefault="000D61B2" w:rsidP="003B2441">
      <w:r w:rsidRPr="003B2441">
        <w:t xml:space="preserve">In </w:t>
      </w:r>
      <w:r w:rsidR="002D2A4D" w:rsidRPr="003B2441">
        <w:t>Study ADE05 data on AEs were collected at each study visit (</w:t>
      </w:r>
      <w:r w:rsidR="001136E7">
        <w:t>that is,</w:t>
      </w:r>
      <w:r w:rsidR="00D72A73">
        <w:t xml:space="preserve"> every 4 weeks) over the 24 </w:t>
      </w:r>
      <w:r w:rsidR="002D2A4D" w:rsidRPr="003B2441">
        <w:t xml:space="preserve">week period of the study. Central laboratory testing (haematology and biochemistry) was only conducted at screening and at </w:t>
      </w:r>
      <w:r w:rsidR="000E3BD7">
        <w:t xml:space="preserve">Week </w:t>
      </w:r>
      <w:r w:rsidR="002D2A4D" w:rsidRPr="003B2441">
        <w:t>24.</w:t>
      </w:r>
    </w:p>
    <w:p w:rsidR="002D2A4D" w:rsidRPr="00F66B76" w:rsidRDefault="000D61B2" w:rsidP="00F66B76">
      <w:r w:rsidRPr="00F66B76">
        <w:t xml:space="preserve">In </w:t>
      </w:r>
      <w:r w:rsidR="00A12D97">
        <w:t>Study</w:t>
      </w:r>
      <w:r w:rsidRPr="00F66B76">
        <w:t xml:space="preserve"> 4577g</w:t>
      </w:r>
      <w:r w:rsidR="002D2A4D" w:rsidRPr="00F66B76">
        <w:t xml:space="preserve"> data on AEs were collected weekly for the first 4 weeks after the single dose of treatment and then every 4 weeks until </w:t>
      </w:r>
      <w:r w:rsidR="000E3BD7">
        <w:t xml:space="preserve">Week </w:t>
      </w:r>
      <w:r w:rsidR="002D2A4D" w:rsidRPr="00F66B76">
        <w:t>16. Haematology was tested at the same times. Blood biochemistry and urinalysis were only conducted at baseline.</w:t>
      </w:r>
      <w:r w:rsidR="00D72A73">
        <w:t xml:space="preserve"> Vital signs were measured at 4 </w:t>
      </w:r>
      <w:r w:rsidR="002D2A4D" w:rsidRPr="00F66B76">
        <w:t>weekly intervals</w:t>
      </w:r>
      <w:r w:rsidR="00EC71C0">
        <w:t>.</w:t>
      </w:r>
    </w:p>
    <w:p w:rsidR="002D2A4D" w:rsidRPr="004778FF" w:rsidRDefault="002D2A4D" w:rsidP="004778FF">
      <w:pPr>
        <w:pStyle w:val="Heading3"/>
      </w:pPr>
      <w:bookmarkStart w:id="50" w:name="_Toc425249008"/>
      <w:r w:rsidRPr="004778FF">
        <w:t>Patient exposure</w:t>
      </w:r>
      <w:bookmarkEnd w:id="50"/>
    </w:p>
    <w:p w:rsidR="002D2A4D" w:rsidRPr="003B2441" w:rsidRDefault="002D2A4D" w:rsidP="003B2441">
      <w:r w:rsidRPr="003B2441">
        <w:t>The five clinical studies in the submission, included at total of 1114 subjects. Of these, 829 received omalizumab and 285 received placebo.</w:t>
      </w:r>
      <w:r w:rsidR="00BC46A0">
        <w:t xml:space="preserve"> This is summarised in Table 18</w:t>
      </w:r>
      <w:r w:rsidR="00F01456">
        <w:t>.</w:t>
      </w:r>
    </w:p>
    <w:p w:rsidR="00BF024F" w:rsidRDefault="00BF024F">
      <w:pPr>
        <w:spacing w:before="0" w:after="200" w:line="0" w:lineRule="auto"/>
        <w:rPr>
          <w:rFonts w:cstheme="minorBidi"/>
          <w:b/>
        </w:rPr>
      </w:pPr>
      <w:r>
        <w:br w:type="page"/>
      </w:r>
    </w:p>
    <w:p w:rsidR="002D2A4D" w:rsidRPr="004778FF" w:rsidRDefault="00BC46A0" w:rsidP="004778FF">
      <w:pPr>
        <w:pStyle w:val="Tabletitle"/>
      </w:pPr>
      <w:proofErr w:type="gramStart"/>
      <w:r w:rsidRPr="004778FF">
        <w:lastRenderedPageBreak/>
        <w:t>Table 18</w:t>
      </w:r>
      <w:r w:rsidR="00D72A73" w:rsidRPr="004778FF">
        <w:t>.</w:t>
      </w:r>
      <w:proofErr w:type="gramEnd"/>
      <w:r w:rsidR="00D72A73" w:rsidRPr="004778FF">
        <w:t xml:space="preserve"> </w:t>
      </w:r>
      <w:proofErr w:type="gramStart"/>
      <w:r w:rsidR="002D2A4D" w:rsidRPr="004778FF">
        <w:t xml:space="preserve">Exposure to </w:t>
      </w:r>
      <w:proofErr w:type="spellStart"/>
      <w:r w:rsidR="002D2A4D" w:rsidRPr="004778FF">
        <w:t>Omalizumab</w:t>
      </w:r>
      <w:proofErr w:type="spellEnd"/>
      <w:r w:rsidR="002D2A4D" w:rsidRPr="004778FF">
        <w:t xml:space="preserve"> and placebo in clinical studies.</w:t>
      </w:r>
      <w:proofErr w:type="gramEnd"/>
    </w:p>
    <w:tbl>
      <w:tblPr>
        <w:tblStyle w:val="TableTGAblue"/>
        <w:tblW w:w="9072" w:type="dxa"/>
        <w:tblLayout w:type="fixed"/>
        <w:tblLook w:val="01E0" w:firstRow="1" w:lastRow="1" w:firstColumn="1" w:lastColumn="1" w:noHBand="0" w:noVBand="0"/>
      </w:tblPr>
      <w:tblGrid>
        <w:gridCol w:w="1384"/>
        <w:gridCol w:w="1276"/>
        <w:gridCol w:w="1134"/>
        <w:gridCol w:w="1134"/>
        <w:gridCol w:w="1134"/>
        <w:gridCol w:w="992"/>
        <w:gridCol w:w="992"/>
        <w:gridCol w:w="1026"/>
      </w:tblGrid>
      <w:tr w:rsidR="002A0F05" w:rsidRPr="003B2441" w:rsidTr="009B5E7B">
        <w:trPr>
          <w:cnfStyle w:val="100000000000" w:firstRow="1" w:lastRow="0" w:firstColumn="0" w:lastColumn="0" w:oddVBand="0" w:evenVBand="0" w:oddHBand="0" w:evenHBand="0" w:firstRowFirstColumn="0" w:firstRowLastColumn="0" w:lastRowFirstColumn="0" w:lastRowLastColumn="0"/>
          <w:trHeight w:hRule="exact" w:val="911"/>
          <w:tblHeader/>
        </w:trPr>
        <w:tc>
          <w:tcPr>
            <w:cnfStyle w:val="001000000000" w:firstRow="0" w:lastRow="0" w:firstColumn="1" w:lastColumn="0" w:oddVBand="0" w:evenVBand="0" w:oddHBand="0" w:evenHBand="0" w:firstRowFirstColumn="0" w:firstRowLastColumn="0" w:lastRowFirstColumn="0" w:lastRowLastColumn="0"/>
            <w:tcW w:w="1384" w:type="dxa"/>
            <w:vAlign w:val="center"/>
          </w:tcPr>
          <w:p w:rsidR="002A0F05" w:rsidRPr="003B2441" w:rsidRDefault="003B2441" w:rsidP="009B5E7B">
            <w:r>
              <w:t>Study</w:t>
            </w:r>
          </w:p>
        </w:tc>
        <w:tc>
          <w:tcPr>
            <w:tcW w:w="1276" w:type="dxa"/>
            <w:vAlign w:val="center"/>
          </w:tcPr>
          <w:p w:rsidR="002A0F05" w:rsidRPr="003B2441" w:rsidRDefault="009B5E7B" w:rsidP="009B5E7B">
            <w:pPr>
              <w:tabs>
                <w:tab w:val="left" w:pos="884"/>
              </w:tabs>
              <w:ind w:left="-6"/>
              <w:cnfStyle w:val="100000000000" w:firstRow="1" w:lastRow="0" w:firstColumn="0" w:lastColumn="0" w:oddVBand="0" w:evenVBand="0" w:oddHBand="0" w:evenHBand="0" w:firstRowFirstColumn="0" w:firstRowLastColumn="0" w:lastRowFirstColumn="0" w:lastRowLastColumn="0"/>
            </w:pPr>
            <w:r>
              <w:t>Placeb</w:t>
            </w:r>
            <w:r w:rsidR="002A0F05" w:rsidRPr="003B2441">
              <w:t>o</w:t>
            </w:r>
          </w:p>
        </w:tc>
        <w:tc>
          <w:tcPr>
            <w:tcW w:w="5386" w:type="dxa"/>
            <w:gridSpan w:val="5"/>
            <w:vAlign w:val="center"/>
          </w:tcPr>
          <w:p w:rsidR="002A0F05" w:rsidRPr="003B2441" w:rsidRDefault="002A0F05" w:rsidP="009B5E7B">
            <w:pPr>
              <w:cnfStyle w:val="100000000000" w:firstRow="1" w:lastRow="0" w:firstColumn="0" w:lastColumn="0" w:oddVBand="0" w:evenVBand="0" w:oddHBand="0" w:evenHBand="0" w:firstRowFirstColumn="0" w:firstRowLastColumn="0" w:lastRowFirstColumn="0" w:lastRowLastColumn="0"/>
            </w:pPr>
            <w:r w:rsidRPr="003B2441">
              <w:t>Omalizumab</w:t>
            </w:r>
          </w:p>
        </w:tc>
        <w:tc>
          <w:tcPr>
            <w:tcW w:w="1026" w:type="dxa"/>
            <w:vAlign w:val="center"/>
          </w:tcPr>
          <w:p w:rsidR="002A0F05" w:rsidRPr="003B2441" w:rsidRDefault="002A0F05" w:rsidP="009B5E7B">
            <w:pPr>
              <w:ind w:left="0"/>
              <w:cnfStyle w:val="100000000000" w:firstRow="1" w:lastRow="0" w:firstColumn="0" w:lastColumn="0" w:oddVBand="0" w:evenVBand="0" w:oddHBand="0" w:evenHBand="0" w:firstRowFirstColumn="0" w:firstRowLastColumn="0" w:lastRowFirstColumn="0" w:lastRowLastColumn="0"/>
            </w:pPr>
            <w:r w:rsidRPr="003B2441">
              <w:t>Total</w:t>
            </w:r>
          </w:p>
        </w:tc>
      </w:tr>
      <w:tr w:rsidR="00F01456" w:rsidRPr="00F01456" w:rsidTr="009B5E7B">
        <w:trPr>
          <w:trHeight w:hRule="exact" w:val="661"/>
        </w:trPr>
        <w:tc>
          <w:tcPr>
            <w:cnfStyle w:val="001000000000" w:firstRow="0" w:lastRow="0" w:firstColumn="1" w:lastColumn="0" w:oddVBand="0" w:evenVBand="0" w:oddHBand="0" w:evenHBand="0" w:firstRowFirstColumn="0" w:firstRowLastColumn="0" w:lastRowFirstColumn="0" w:lastRowLastColumn="0"/>
            <w:tcW w:w="1384" w:type="dxa"/>
            <w:shd w:val="clear" w:color="auto" w:fill="006DA7" w:themeFill="accent3"/>
          </w:tcPr>
          <w:p w:rsidR="002A0F05" w:rsidRPr="00F01456" w:rsidRDefault="002A0F05" w:rsidP="009B5E7B"/>
        </w:tc>
        <w:tc>
          <w:tcPr>
            <w:tcW w:w="1276" w:type="dxa"/>
            <w:shd w:val="clear" w:color="auto" w:fill="006DA7" w:themeFill="accent3"/>
          </w:tcPr>
          <w:p w:rsidR="002A0F05" w:rsidRPr="00F01456" w:rsidRDefault="002A0F05" w:rsidP="009B5E7B">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006DA7" w:themeFill="accent3"/>
          </w:tcPr>
          <w:p w:rsidR="002A0F05" w:rsidRPr="006F527F" w:rsidRDefault="002A0F05" w:rsidP="009B5E7B">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6F527F">
              <w:rPr>
                <w:color w:val="FFFFFF" w:themeColor="background1"/>
              </w:rPr>
              <w:t>75 mg</w:t>
            </w:r>
          </w:p>
        </w:tc>
        <w:tc>
          <w:tcPr>
            <w:tcW w:w="1134" w:type="dxa"/>
            <w:shd w:val="clear" w:color="auto" w:fill="006DA7" w:themeFill="accent3"/>
          </w:tcPr>
          <w:p w:rsidR="002A0F05" w:rsidRPr="006F527F" w:rsidRDefault="002A0F05" w:rsidP="009B5E7B">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6F527F">
              <w:rPr>
                <w:color w:val="FFFFFF" w:themeColor="background1"/>
              </w:rPr>
              <w:t>150 mg</w:t>
            </w:r>
          </w:p>
        </w:tc>
        <w:tc>
          <w:tcPr>
            <w:tcW w:w="1134" w:type="dxa"/>
            <w:shd w:val="clear" w:color="auto" w:fill="006DA7" w:themeFill="accent3"/>
          </w:tcPr>
          <w:p w:rsidR="002A0F05" w:rsidRPr="006F527F" w:rsidRDefault="002A0F05" w:rsidP="009B5E7B">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6F527F">
              <w:rPr>
                <w:color w:val="FFFFFF" w:themeColor="background1"/>
              </w:rPr>
              <w:t>300</w:t>
            </w:r>
            <w:r w:rsidR="009D33CF" w:rsidRPr="006F527F">
              <w:rPr>
                <w:color w:val="FFFFFF" w:themeColor="background1"/>
              </w:rPr>
              <w:t xml:space="preserve"> </w:t>
            </w:r>
            <w:r w:rsidRPr="006F527F">
              <w:rPr>
                <w:color w:val="FFFFFF" w:themeColor="background1"/>
              </w:rPr>
              <w:t>mg</w:t>
            </w:r>
          </w:p>
        </w:tc>
        <w:tc>
          <w:tcPr>
            <w:tcW w:w="992" w:type="dxa"/>
            <w:shd w:val="clear" w:color="auto" w:fill="006DA7" w:themeFill="accent3"/>
          </w:tcPr>
          <w:p w:rsidR="002A0F05" w:rsidRPr="006F527F" w:rsidRDefault="002A0F05" w:rsidP="00793187">
            <w:pPr>
              <w:ind w:left="34"/>
              <w:cnfStyle w:val="000000000000" w:firstRow="0" w:lastRow="0" w:firstColumn="0" w:lastColumn="0" w:oddVBand="0" w:evenVBand="0" w:oddHBand="0" w:evenHBand="0" w:firstRowFirstColumn="0" w:firstRowLastColumn="0" w:lastRowFirstColumn="0" w:lastRowLastColumn="0"/>
              <w:rPr>
                <w:color w:val="FFFFFF" w:themeColor="background1"/>
              </w:rPr>
            </w:pPr>
            <w:r w:rsidRPr="006F527F">
              <w:rPr>
                <w:color w:val="FFFFFF" w:themeColor="background1"/>
              </w:rPr>
              <w:t>Other</w:t>
            </w:r>
          </w:p>
        </w:tc>
        <w:tc>
          <w:tcPr>
            <w:tcW w:w="992" w:type="dxa"/>
            <w:shd w:val="clear" w:color="auto" w:fill="006DA7" w:themeFill="accent3"/>
          </w:tcPr>
          <w:p w:rsidR="002A0F05" w:rsidRPr="006F527F" w:rsidRDefault="002A0F05" w:rsidP="00793187">
            <w:pPr>
              <w:ind w:left="0"/>
              <w:cnfStyle w:val="000000000000" w:firstRow="0" w:lastRow="0" w:firstColumn="0" w:lastColumn="0" w:oddVBand="0" w:evenVBand="0" w:oddHBand="0" w:evenHBand="0" w:firstRowFirstColumn="0" w:firstRowLastColumn="0" w:lastRowFirstColumn="0" w:lastRowLastColumn="0"/>
              <w:rPr>
                <w:color w:val="FFFFFF" w:themeColor="background1"/>
              </w:rPr>
            </w:pPr>
            <w:r w:rsidRPr="006F527F">
              <w:rPr>
                <w:color w:val="FFFFFF" w:themeColor="background1"/>
              </w:rPr>
              <w:t>Total</w:t>
            </w:r>
          </w:p>
        </w:tc>
        <w:tc>
          <w:tcPr>
            <w:tcW w:w="1026" w:type="dxa"/>
            <w:shd w:val="clear" w:color="auto" w:fill="006DA7" w:themeFill="accent3"/>
          </w:tcPr>
          <w:p w:rsidR="002A0F05" w:rsidRPr="00F01456" w:rsidRDefault="002A0F05" w:rsidP="009B5E7B">
            <w:pPr>
              <w:cnfStyle w:val="000000000000" w:firstRow="0" w:lastRow="0" w:firstColumn="0" w:lastColumn="0" w:oddVBand="0" w:evenVBand="0" w:oddHBand="0" w:evenHBand="0" w:firstRowFirstColumn="0" w:firstRowLastColumn="0" w:lastRowFirstColumn="0" w:lastRowLastColumn="0"/>
            </w:pPr>
          </w:p>
        </w:tc>
      </w:tr>
      <w:tr w:rsidR="002A0F05" w:rsidRPr="003B2441" w:rsidTr="009B5E7B">
        <w:trPr>
          <w:trHeight w:hRule="exact" w:val="480"/>
        </w:trPr>
        <w:tc>
          <w:tcPr>
            <w:cnfStyle w:val="001000000000" w:firstRow="0" w:lastRow="0" w:firstColumn="1" w:lastColumn="0" w:oddVBand="0" w:evenVBand="0" w:oddHBand="0" w:evenHBand="0" w:firstRowFirstColumn="0" w:firstRowLastColumn="0" w:lastRowFirstColumn="0" w:lastRowLastColumn="0"/>
            <w:tcW w:w="1384" w:type="dxa"/>
          </w:tcPr>
          <w:p w:rsidR="002A0F05" w:rsidRPr="003B2441" w:rsidRDefault="002A0F05" w:rsidP="009B5E7B">
            <w:r w:rsidRPr="003B2441">
              <w:t>ADE05</w:t>
            </w:r>
          </w:p>
        </w:tc>
        <w:tc>
          <w:tcPr>
            <w:tcW w:w="127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22</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27*</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27</w:t>
            </w:r>
          </w:p>
        </w:tc>
        <w:tc>
          <w:tcPr>
            <w:tcW w:w="102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49</w:t>
            </w:r>
          </w:p>
        </w:tc>
      </w:tr>
      <w:tr w:rsidR="002A0F05" w:rsidRPr="003B2441" w:rsidTr="009B5E7B">
        <w:trPr>
          <w:trHeight w:hRule="exact" w:val="480"/>
        </w:trPr>
        <w:tc>
          <w:tcPr>
            <w:cnfStyle w:val="001000000000" w:firstRow="0" w:lastRow="0" w:firstColumn="1" w:lastColumn="0" w:oddVBand="0" w:evenVBand="0" w:oddHBand="0" w:evenHBand="0" w:firstRowFirstColumn="0" w:firstRowLastColumn="0" w:lastRowFirstColumn="0" w:lastRowLastColumn="0"/>
            <w:tcW w:w="1384" w:type="dxa"/>
          </w:tcPr>
          <w:p w:rsidR="002A0F05" w:rsidRPr="003B2441" w:rsidRDefault="002A0F05" w:rsidP="009B5E7B">
            <w:r w:rsidRPr="003B2441">
              <w:t>4577g</w:t>
            </w:r>
          </w:p>
        </w:tc>
        <w:tc>
          <w:tcPr>
            <w:tcW w:w="127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21</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23</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25</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21*</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69</w:t>
            </w:r>
          </w:p>
        </w:tc>
        <w:tc>
          <w:tcPr>
            <w:tcW w:w="102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90</w:t>
            </w:r>
          </w:p>
        </w:tc>
      </w:tr>
      <w:tr w:rsidR="002A0F05" w:rsidRPr="003B2441" w:rsidTr="00793187">
        <w:trPr>
          <w:trHeight w:hRule="exact" w:val="772"/>
        </w:trPr>
        <w:tc>
          <w:tcPr>
            <w:cnfStyle w:val="001000000000" w:firstRow="0" w:lastRow="0" w:firstColumn="1" w:lastColumn="0" w:oddVBand="0" w:evenVBand="0" w:oddHBand="0" w:evenHBand="0" w:firstRowFirstColumn="0" w:firstRowLastColumn="0" w:lastRowFirstColumn="0" w:lastRowLastColumn="0"/>
            <w:tcW w:w="1384" w:type="dxa"/>
          </w:tcPr>
          <w:p w:rsidR="002A0F05" w:rsidRPr="003B2441" w:rsidRDefault="002A0F05" w:rsidP="009B5E7B">
            <w:r w:rsidRPr="003B2441">
              <w:t>Phase III studies</w:t>
            </w:r>
          </w:p>
        </w:tc>
        <w:tc>
          <w:tcPr>
            <w:tcW w:w="127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242</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146</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175</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412</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733</w:t>
            </w:r>
          </w:p>
        </w:tc>
        <w:tc>
          <w:tcPr>
            <w:tcW w:w="102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975</w:t>
            </w:r>
          </w:p>
        </w:tc>
      </w:tr>
      <w:tr w:rsidR="002A0F05" w:rsidRPr="003B2441" w:rsidTr="009B5E7B">
        <w:trPr>
          <w:trHeight w:hRule="exact" w:val="625"/>
        </w:trPr>
        <w:tc>
          <w:tcPr>
            <w:cnfStyle w:val="001000000000" w:firstRow="0" w:lastRow="0" w:firstColumn="1" w:lastColumn="0" w:oddVBand="0" w:evenVBand="0" w:oddHBand="0" w:evenHBand="0" w:firstRowFirstColumn="0" w:firstRowLastColumn="0" w:lastRowFirstColumn="0" w:lastRowLastColumn="0"/>
            <w:tcW w:w="1384" w:type="dxa"/>
          </w:tcPr>
          <w:p w:rsidR="002A0F05" w:rsidRPr="003B2441" w:rsidRDefault="002A0F05" w:rsidP="009B5E7B">
            <w:r w:rsidRPr="003B2441">
              <w:t>Totals</w:t>
            </w:r>
          </w:p>
        </w:tc>
        <w:tc>
          <w:tcPr>
            <w:tcW w:w="1276"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285</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169</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175</w:t>
            </w:r>
          </w:p>
        </w:tc>
        <w:tc>
          <w:tcPr>
            <w:tcW w:w="1134"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437</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48</w:t>
            </w:r>
          </w:p>
        </w:tc>
        <w:tc>
          <w:tcPr>
            <w:tcW w:w="992" w:type="dxa"/>
          </w:tcPr>
          <w:p w:rsidR="002A0F05" w:rsidRPr="003B2441" w:rsidRDefault="002A0F05" w:rsidP="009B5E7B">
            <w:pPr>
              <w:cnfStyle w:val="000000000000" w:firstRow="0" w:lastRow="0" w:firstColumn="0" w:lastColumn="0" w:oddVBand="0" w:evenVBand="0" w:oddHBand="0" w:evenHBand="0" w:firstRowFirstColumn="0" w:firstRowLastColumn="0" w:lastRowFirstColumn="0" w:lastRowLastColumn="0"/>
            </w:pPr>
            <w:r w:rsidRPr="003B2441">
              <w:t>829</w:t>
            </w:r>
          </w:p>
        </w:tc>
        <w:tc>
          <w:tcPr>
            <w:tcW w:w="1026" w:type="dxa"/>
          </w:tcPr>
          <w:p w:rsidR="002A0F05" w:rsidRPr="003B2441" w:rsidRDefault="002A0F05" w:rsidP="00793187">
            <w:pPr>
              <w:ind w:left="34"/>
              <w:cnfStyle w:val="000000000000" w:firstRow="0" w:lastRow="0" w:firstColumn="0" w:lastColumn="0" w:oddVBand="0" w:evenVBand="0" w:oddHBand="0" w:evenHBand="0" w:firstRowFirstColumn="0" w:firstRowLastColumn="0" w:lastRowFirstColumn="0" w:lastRowLastColumn="0"/>
            </w:pPr>
            <w:r w:rsidRPr="003B2441">
              <w:t>1114</w:t>
            </w:r>
          </w:p>
        </w:tc>
      </w:tr>
    </w:tbl>
    <w:p w:rsidR="002A0F05" w:rsidRPr="003B2441" w:rsidRDefault="002A0F05" w:rsidP="006F527F">
      <w:pPr>
        <w:pStyle w:val="TableDescription"/>
      </w:pPr>
      <w:r w:rsidRPr="003B2441">
        <w:t xml:space="preserve">*In ADE05 27 subjects were treated with a dosage regimen adjusted for weight and baseline </w:t>
      </w:r>
      <w:proofErr w:type="spellStart"/>
      <w:r w:rsidRPr="003B2441">
        <w:t>IgE</w:t>
      </w:r>
      <w:proofErr w:type="spellEnd"/>
      <w:r w:rsidRPr="003B2441">
        <w:t xml:space="preserve"> level. In 4577g 21 subjects were treated with a 600 mg dose.</w:t>
      </w:r>
    </w:p>
    <w:p w:rsidR="002A0F05" w:rsidRPr="003B2441" w:rsidRDefault="002A0F05" w:rsidP="003B2441">
      <w:r w:rsidRPr="003B2441">
        <w:t xml:space="preserve">In the pooled </w:t>
      </w:r>
      <w:r w:rsidR="00F01456">
        <w:t>safety database from the three P</w:t>
      </w:r>
      <w:r w:rsidRPr="003B2441">
        <w:t xml:space="preserve">hase III studies, 733 subjects received omalizumab and 242 received placebo. Duration of exposure in these studies is summarised in Table </w:t>
      </w:r>
      <w:r w:rsidR="00BC46A0">
        <w:t>19</w:t>
      </w:r>
      <w:r w:rsidRPr="003B2441">
        <w:t>. The maximum planned duration of treatment with omalizumab in the stu</w:t>
      </w:r>
      <w:r w:rsidR="00F01456">
        <w:t>dies was 24 </w:t>
      </w:r>
      <w:r w:rsidRPr="003B2441">
        <w:t>weeks. The mean (±</w:t>
      </w:r>
      <w:r w:rsidR="00F01456">
        <w:t xml:space="preserve"> </w:t>
      </w:r>
      <w:r w:rsidRPr="003B2441">
        <w:t>SD) duration of treatment for patient</w:t>
      </w:r>
      <w:r w:rsidR="00F01456">
        <w:t>s who received the proposed 300 </w:t>
      </w:r>
      <w:r w:rsidRPr="003B2441">
        <w:t>mg dose was 20.3 (± 6.0) weeks.</w:t>
      </w:r>
    </w:p>
    <w:p w:rsidR="00AB4D1F" w:rsidRPr="004778FF" w:rsidRDefault="00AB4D1F" w:rsidP="004778FF">
      <w:pPr>
        <w:pStyle w:val="Tabletitle"/>
      </w:pPr>
      <w:proofErr w:type="gramStart"/>
      <w:r w:rsidRPr="004778FF">
        <w:t xml:space="preserve">Table </w:t>
      </w:r>
      <w:r w:rsidR="00BC46A0" w:rsidRPr="004778FF">
        <w:t>19</w:t>
      </w:r>
      <w:r w:rsidR="00D72A73" w:rsidRPr="004778FF">
        <w:t>.</w:t>
      </w:r>
      <w:proofErr w:type="gramEnd"/>
      <w:r w:rsidRPr="004778FF">
        <w:t xml:space="preserve"> </w:t>
      </w:r>
      <w:proofErr w:type="gramStart"/>
      <w:r w:rsidRPr="004778FF">
        <w:t>Pooled safety data – Extent of exposure</w:t>
      </w:r>
      <w:r w:rsidR="00D72A73" w:rsidRPr="004778FF">
        <w:t>.</w:t>
      </w:r>
      <w:proofErr w:type="gramEnd"/>
    </w:p>
    <w:p w:rsidR="00AB4D1F" w:rsidRDefault="00AB4D1F" w:rsidP="00510977">
      <w:r>
        <w:rPr>
          <w:noProof/>
          <w:lang w:eastAsia="en-AU"/>
        </w:rPr>
        <w:drawing>
          <wp:inline distT="0" distB="0" distL="0" distR="0" wp14:anchorId="01EAEF48" wp14:editId="2CEA4937">
            <wp:extent cx="4622800" cy="4322514"/>
            <wp:effectExtent l="0" t="0" r="6350" b="1905"/>
            <wp:docPr id="140" name="Picture 140" descr="Table 19. Pooled safety data –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4506" cy="4324109"/>
                    </a:xfrm>
                    <a:prstGeom prst="rect">
                      <a:avLst/>
                    </a:prstGeom>
                    <a:noFill/>
                    <a:ln>
                      <a:noFill/>
                    </a:ln>
                  </pic:spPr>
                </pic:pic>
              </a:graphicData>
            </a:graphic>
          </wp:inline>
        </w:drawing>
      </w:r>
    </w:p>
    <w:p w:rsidR="002A0F05" w:rsidRPr="004778FF" w:rsidRDefault="002A0F05" w:rsidP="004778FF">
      <w:pPr>
        <w:pStyle w:val="Heading3"/>
      </w:pPr>
      <w:bookmarkStart w:id="51" w:name="_TOC_250060"/>
      <w:bookmarkStart w:id="52" w:name="_Toc425249009"/>
      <w:r w:rsidRPr="004778FF">
        <w:lastRenderedPageBreak/>
        <w:t>Adverse events (AEs)</w:t>
      </w:r>
      <w:bookmarkEnd w:id="51"/>
      <w:bookmarkEnd w:id="52"/>
    </w:p>
    <w:p w:rsidR="002A0F05" w:rsidRPr="00BA2C86" w:rsidRDefault="002A0F05" w:rsidP="00BA2C86">
      <w:r w:rsidRPr="00BA2C86">
        <w:t xml:space="preserve">The overall AE profile in the pooled safety database is summarised in </w:t>
      </w:r>
      <w:r w:rsidRPr="00F01456">
        <w:t xml:space="preserve">Table </w:t>
      </w:r>
      <w:r w:rsidR="00BC46A0">
        <w:t>20</w:t>
      </w:r>
      <w:r w:rsidRPr="00F01456">
        <w:t>.</w:t>
      </w:r>
    </w:p>
    <w:p w:rsidR="00CF247C" w:rsidRPr="004778FF" w:rsidRDefault="00BC46A0" w:rsidP="004778FF">
      <w:pPr>
        <w:pStyle w:val="Tabletitle"/>
      </w:pPr>
      <w:proofErr w:type="gramStart"/>
      <w:r w:rsidRPr="004778FF">
        <w:t>Table 20</w:t>
      </w:r>
      <w:r w:rsidR="00D72A73" w:rsidRPr="004778FF">
        <w:t>.</w:t>
      </w:r>
      <w:proofErr w:type="gramEnd"/>
      <w:r w:rsidR="00CF247C" w:rsidRPr="004778FF">
        <w:t xml:space="preserve"> Pooled safety data – Overall AE profile</w:t>
      </w:r>
      <w:r w:rsidR="00EC71C0" w:rsidRPr="004778FF">
        <w:t>.</w:t>
      </w:r>
    </w:p>
    <w:p w:rsidR="00272FEF" w:rsidRDefault="00272FEF" w:rsidP="00272FEF">
      <w:r>
        <w:rPr>
          <w:noProof/>
          <w:lang w:eastAsia="en-AU"/>
        </w:rPr>
        <w:drawing>
          <wp:inline distT="0" distB="0" distL="0" distR="0" wp14:anchorId="33079555" wp14:editId="44F899E6">
            <wp:extent cx="5687198" cy="1858061"/>
            <wp:effectExtent l="0" t="0" r="8890" b="8890"/>
            <wp:docPr id="20" name="Picture 20" descr="Table 20. Pooled safety data – Overall A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83700" cy="1856918"/>
                    </a:xfrm>
                    <a:prstGeom prst="rect">
                      <a:avLst/>
                    </a:prstGeom>
                  </pic:spPr>
                </pic:pic>
              </a:graphicData>
            </a:graphic>
          </wp:inline>
        </w:drawing>
      </w:r>
      <w:bookmarkStart w:id="53" w:name="_TOC_250059"/>
    </w:p>
    <w:p w:rsidR="002A0F05" w:rsidRPr="004778FF" w:rsidRDefault="002A0F05" w:rsidP="004778FF">
      <w:pPr>
        <w:pStyle w:val="Heading4"/>
      </w:pPr>
      <w:r w:rsidRPr="004778FF">
        <w:t>All adverse events (irrespective of relationship to study treatment)</w:t>
      </w:r>
      <w:bookmarkEnd w:id="53"/>
    </w:p>
    <w:p w:rsidR="002A0F05" w:rsidRPr="004778FF" w:rsidRDefault="002A0F05" w:rsidP="004778FF">
      <w:pPr>
        <w:pStyle w:val="Heading5"/>
        <w:rPr>
          <w:rFonts w:eastAsia="Arial"/>
        </w:rPr>
      </w:pPr>
      <w:bookmarkStart w:id="54" w:name="8.3.1.1._Pooled_safety_database"/>
      <w:bookmarkStart w:id="55" w:name="_TOC_250058"/>
      <w:bookmarkEnd w:id="54"/>
      <w:r w:rsidRPr="004778FF">
        <w:t>Pooled safety database</w:t>
      </w:r>
      <w:bookmarkEnd w:id="55"/>
    </w:p>
    <w:p w:rsidR="002A0F05" w:rsidRPr="00BA2C86" w:rsidRDefault="002A0F05" w:rsidP="00BA2C86">
      <w:r w:rsidRPr="00BA2C86">
        <w:t>For the pooled safety data, the sponsor presented various analyses. The ‘core’ safety anal</w:t>
      </w:r>
      <w:r w:rsidR="00DE3E44">
        <w:t>ysis was of AEs occurring from D</w:t>
      </w:r>
      <w:r w:rsidRPr="00BA2C86">
        <w:t xml:space="preserve">ay 1 to </w:t>
      </w:r>
      <w:r w:rsidR="000E3BD7">
        <w:t xml:space="preserve">Week </w:t>
      </w:r>
      <w:r w:rsidRPr="00BA2C86">
        <w:t xml:space="preserve">12, as all three </w:t>
      </w:r>
      <w:r w:rsidR="00E37826">
        <w:t>Phase</w:t>
      </w:r>
      <w:r w:rsidRPr="00BA2C86">
        <w:t xml:space="preserve"> III studies were of at least this duration.</w:t>
      </w:r>
    </w:p>
    <w:p w:rsidR="002A0F05" w:rsidRPr="00BA2C86" w:rsidRDefault="002A0F05" w:rsidP="00BA2C86">
      <w:r w:rsidRPr="00BA2C86">
        <w:t xml:space="preserve">The sponsor also presented an ‘extended’ safety </w:t>
      </w:r>
      <w:r w:rsidR="00DE3E44">
        <w:t>analysis of AEs occurring from D</w:t>
      </w:r>
      <w:r w:rsidRPr="00BA2C86">
        <w:t xml:space="preserve">ay 1 to </w:t>
      </w:r>
      <w:r w:rsidR="000E3BD7">
        <w:t xml:space="preserve">Week </w:t>
      </w:r>
      <w:r w:rsidR="00DE3E44">
        <w:t>24 in S</w:t>
      </w:r>
      <w:r w:rsidRPr="00BA2C86">
        <w:t>tudies 4881g and 4883g.</w:t>
      </w:r>
    </w:p>
    <w:p w:rsidR="002A0F05" w:rsidRPr="00406F46" w:rsidRDefault="002A0F05" w:rsidP="00406F46">
      <w:r w:rsidRPr="00406F46">
        <w:t xml:space="preserve">Up to </w:t>
      </w:r>
      <w:r w:rsidR="000E3BD7">
        <w:t xml:space="preserve">Week </w:t>
      </w:r>
      <w:r w:rsidRPr="00406F46">
        <w:t xml:space="preserve">12, the overall incidence of any AE in the four treatment groups was: 42.6% (placebo), 42.5% (75 mg), 54.3% (150 mg) and 50.2% (300 mg). Individual AEs that occurred with a frequency of at least 1% (in any of the treatment groups) are summarised in Table </w:t>
      </w:r>
      <w:r w:rsidR="00BC46A0">
        <w:t>21</w:t>
      </w:r>
      <w:r w:rsidRPr="00406F46">
        <w:t>.</w:t>
      </w:r>
    </w:p>
    <w:p w:rsidR="002A0F05" w:rsidRPr="001E0C79" w:rsidRDefault="00457325" w:rsidP="001E0C79">
      <w:pPr>
        <w:ind w:left="1021" w:hanging="1021"/>
      </w:pPr>
      <w:r w:rsidRPr="001E0C79">
        <w:t>Comment</w:t>
      </w:r>
      <w:r w:rsidR="00BA2C86" w:rsidRPr="001E0C79">
        <w:t xml:space="preserve">: </w:t>
      </w:r>
      <w:r w:rsidR="002A0F05" w:rsidRPr="001E0C79">
        <w:t>For most of the individual AE terms, the differences in incidence between the placebo and omalizumab groups were small, and there was no evidence of increasing incidence with increasing omalizumab dose. AEs that did show some evidence of being related to dose were:</w:t>
      </w:r>
    </w:p>
    <w:p w:rsidR="002A0F05" w:rsidRPr="001E0C79" w:rsidRDefault="003966D2" w:rsidP="001E0C79">
      <w:pPr>
        <w:pStyle w:val="ListBullet"/>
        <w:ind w:left="1378" w:hanging="357"/>
      </w:pPr>
      <w:r>
        <w:t xml:space="preserve">Arthralgia </w:t>
      </w:r>
      <w:r w:rsidR="002A0F05" w:rsidRPr="001E0C79">
        <w:t xml:space="preserve">0.4% (placebo) </w:t>
      </w:r>
      <w:r w:rsidR="001136E7">
        <w:t>versus</w:t>
      </w:r>
      <w:r w:rsidR="002A0F05" w:rsidRPr="001E0C79">
        <w:t xml:space="preserve"> 0.7% (7</w:t>
      </w:r>
      <w:r>
        <w:t>5 mg</w:t>
      </w:r>
      <w:r w:rsidR="002A0F05" w:rsidRPr="001E0C79">
        <w:t xml:space="preserve">) </w:t>
      </w:r>
      <w:r w:rsidR="001136E7">
        <w:t>versus</w:t>
      </w:r>
      <w:r w:rsidR="002A0F05" w:rsidRPr="001E0C79">
        <w:t xml:space="preserve"> 2.9% (150 mg) </w:t>
      </w:r>
      <w:r w:rsidR="001136E7">
        <w:t>versus</w:t>
      </w:r>
      <w:r w:rsidR="002A0F05" w:rsidRPr="001E0C79">
        <w:t xml:space="preserve"> 2.9% (30</w:t>
      </w:r>
      <w:r>
        <w:t>0 mg</w:t>
      </w:r>
      <w:r w:rsidR="00535DAC">
        <w:t>)</w:t>
      </w:r>
    </w:p>
    <w:p w:rsidR="002A0F05" w:rsidRPr="001E0C79" w:rsidRDefault="003966D2" w:rsidP="001E0C79">
      <w:pPr>
        <w:pStyle w:val="ListBullet"/>
        <w:ind w:left="1378" w:hanging="357"/>
      </w:pPr>
      <w:r>
        <w:t xml:space="preserve">Headache </w:t>
      </w:r>
      <w:r w:rsidR="002A0F05" w:rsidRPr="001E0C79">
        <w:t xml:space="preserve">2.9% </w:t>
      </w:r>
      <w:r w:rsidR="001136E7">
        <w:t>versus</w:t>
      </w:r>
      <w:r w:rsidR="002A0F05" w:rsidRPr="001E0C79">
        <w:t xml:space="preserve"> 2.7% </w:t>
      </w:r>
      <w:r w:rsidR="001136E7">
        <w:t>versus</w:t>
      </w:r>
      <w:r w:rsidR="002A0F05" w:rsidRPr="001E0C79">
        <w:t xml:space="preserve"> 12.0% </w:t>
      </w:r>
      <w:r w:rsidR="001136E7">
        <w:t>versus</w:t>
      </w:r>
      <w:r w:rsidR="00535DAC">
        <w:t xml:space="preserve"> 6.1%</w:t>
      </w:r>
    </w:p>
    <w:p w:rsidR="002A0F05" w:rsidRPr="001E0C79" w:rsidRDefault="003966D2" w:rsidP="001E0C79">
      <w:pPr>
        <w:pStyle w:val="ListBullet"/>
        <w:ind w:left="1378" w:hanging="357"/>
      </w:pPr>
      <w:r>
        <w:t xml:space="preserve">Asthma </w:t>
      </w:r>
      <w:r w:rsidR="002A0F05" w:rsidRPr="001E0C79">
        <w:t xml:space="preserve">0.4% </w:t>
      </w:r>
      <w:r w:rsidR="001136E7">
        <w:t>versus</w:t>
      </w:r>
      <w:r w:rsidR="002A0F05" w:rsidRPr="001E0C79">
        <w:t xml:space="preserve"> 0.0% </w:t>
      </w:r>
      <w:r w:rsidR="001136E7">
        <w:t>versus</w:t>
      </w:r>
      <w:r w:rsidR="002A0F05" w:rsidRPr="001E0C79">
        <w:t xml:space="preserve"> 0.6% </w:t>
      </w:r>
      <w:r w:rsidR="001136E7">
        <w:t>versus</w:t>
      </w:r>
      <w:r w:rsidR="00535DAC">
        <w:t xml:space="preserve"> 1.2%</w:t>
      </w:r>
    </w:p>
    <w:p w:rsidR="002A0F05" w:rsidRPr="001E0C79" w:rsidRDefault="003966D2" w:rsidP="001E0C79">
      <w:pPr>
        <w:pStyle w:val="ListBullet"/>
        <w:ind w:left="1378" w:hanging="357"/>
      </w:pPr>
      <w:r>
        <w:t xml:space="preserve">Injection site reactions: </w:t>
      </w:r>
      <w:r w:rsidR="002A0F05" w:rsidRPr="001E0C79">
        <w:t xml:space="preserve">0.4% </w:t>
      </w:r>
      <w:r w:rsidR="001136E7">
        <w:t>versus</w:t>
      </w:r>
      <w:r w:rsidR="002A0F05" w:rsidRPr="001E0C79">
        <w:t xml:space="preserve"> 0.0% </w:t>
      </w:r>
      <w:r w:rsidR="001136E7">
        <w:t>versus</w:t>
      </w:r>
      <w:r w:rsidR="002A0F05" w:rsidRPr="001E0C79">
        <w:t xml:space="preserve"> 0.6% </w:t>
      </w:r>
      <w:r w:rsidR="001136E7">
        <w:t>versus</w:t>
      </w:r>
      <w:r w:rsidR="00535DAC">
        <w:t xml:space="preserve"> 1.9%</w:t>
      </w:r>
    </w:p>
    <w:p w:rsidR="002A0F05" w:rsidRPr="00BA2C86" w:rsidRDefault="002A0F05" w:rsidP="00BA2C86">
      <w:r w:rsidRPr="00BA2C86">
        <w:t xml:space="preserve">In the extended </w:t>
      </w:r>
      <w:r w:rsidR="00AE52B6" w:rsidRPr="00BA2C86">
        <w:t>analysis</w:t>
      </w:r>
      <w:r w:rsidR="00BA2C86">
        <w:t xml:space="preserve"> </w:t>
      </w:r>
      <w:r w:rsidRPr="00BA2C86">
        <w:t xml:space="preserve">(up to </w:t>
      </w:r>
      <w:r w:rsidR="000E3BD7">
        <w:t xml:space="preserve">Week </w:t>
      </w:r>
      <w:r w:rsidRPr="00BA2C86">
        <w:t>24 in 4881g and 4883g), the overall incidence of any AE in the four treatment groups was: 57.7% (placebo), 58.6% (75 mg), 69.0% (150 mg) and 63.1% (300 mg). The pattern of individual</w:t>
      </w:r>
      <w:r w:rsidR="00D72A73">
        <w:t xml:space="preserve"> AE terms was similar to the 12 </w:t>
      </w:r>
      <w:r w:rsidRPr="00BA2C86">
        <w:t>week analysis.</w:t>
      </w:r>
    </w:p>
    <w:p w:rsidR="005011C5" w:rsidRPr="004778FF" w:rsidRDefault="005011C5" w:rsidP="004778FF">
      <w:pPr>
        <w:pStyle w:val="Tabletitle"/>
      </w:pPr>
      <w:proofErr w:type="gramStart"/>
      <w:r w:rsidRPr="004778FF">
        <w:lastRenderedPageBreak/>
        <w:t xml:space="preserve">Table </w:t>
      </w:r>
      <w:r w:rsidR="00BC46A0" w:rsidRPr="004778FF">
        <w:t>21</w:t>
      </w:r>
      <w:r w:rsidR="00D72A73" w:rsidRPr="004778FF">
        <w:t>.</w:t>
      </w:r>
      <w:proofErr w:type="gramEnd"/>
      <w:r w:rsidRPr="004778FF">
        <w:t xml:space="preserve"> </w:t>
      </w:r>
      <w:proofErr w:type="gramStart"/>
      <w:r w:rsidRPr="004778FF">
        <w:t>Pooled safety data</w:t>
      </w:r>
      <w:r w:rsidR="00D72A73" w:rsidRPr="004778FF">
        <w:t>.</w:t>
      </w:r>
      <w:proofErr w:type="gramEnd"/>
      <w:r w:rsidRPr="004778FF">
        <w:t xml:space="preserve"> AEs occurring in &gt; 1% of subjects in any group</w:t>
      </w:r>
    </w:p>
    <w:p w:rsidR="005011C5" w:rsidRDefault="005011C5" w:rsidP="006F527F">
      <w:r>
        <w:rPr>
          <w:noProof/>
          <w:lang w:eastAsia="en-AU"/>
        </w:rPr>
        <w:drawing>
          <wp:inline distT="0" distB="0" distL="0" distR="0" wp14:anchorId="1034D2FE" wp14:editId="558F03DC">
            <wp:extent cx="5073650" cy="6127750"/>
            <wp:effectExtent l="0" t="0" r="0" b="6350"/>
            <wp:docPr id="142" name="Picture 142" descr="Table 21. Pooled safety data. AEs occurring in &gt; 1% of subjects in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74842" cy="6129190"/>
                    </a:xfrm>
                    <a:prstGeom prst="rect">
                      <a:avLst/>
                    </a:prstGeom>
                    <a:noFill/>
                    <a:ln>
                      <a:noFill/>
                    </a:ln>
                  </pic:spPr>
                </pic:pic>
              </a:graphicData>
            </a:graphic>
          </wp:inline>
        </w:drawing>
      </w:r>
    </w:p>
    <w:p w:rsidR="00EC71C0" w:rsidRPr="00EC71C0" w:rsidRDefault="00EC71C0" w:rsidP="004778FF">
      <w:pPr>
        <w:pStyle w:val="Tabletitle"/>
      </w:pPr>
      <w:r w:rsidRPr="00EC71C0">
        <w:lastRenderedPageBreak/>
        <w:t>Table 21</w:t>
      </w:r>
      <w:r>
        <w:t>(continued)</w:t>
      </w:r>
      <w:r w:rsidR="00D72A73">
        <w:t xml:space="preserve">. </w:t>
      </w:r>
      <w:proofErr w:type="gramStart"/>
      <w:r w:rsidRPr="00EC71C0">
        <w:t>Pooled safety data</w:t>
      </w:r>
      <w:r w:rsidR="00D72A73">
        <w:t>.</w:t>
      </w:r>
      <w:proofErr w:type="gramEnd"/>
      <w:r w:rsidR="00D72A73">
        <w:t xml:space="preserve"> </w:t>
      </w:r>
      <w:r w:rsidRPr="00EC71C0">
        <w:t>AEs occurring in &gt; 1% of subjects in any group</w:t>
      </w:r>
    </w:p>
    <w:p w:rsidR="005011C5" w:rsidRDefault="005011C5" w:rsidP="00FA322C">
      <w:pPr>
        <w:pStyle w:val="Heading4"/>
        <w:numPr>
          <w:ilvl w:val="0"/>
          <w:numId w:val="0"/>
        </w:numPr>
        <w:ind w:left="1134"/>
      </w:pPr>
      <w:bookmarkStart w:id="56" w:name="8.3.1.2._Other_studies"/>
      <w:bookmarkStart w:id="57" w:name="_TOC_250057"/>
      <w:bookmarkEnd w:id="56"/>
      <w:r>
        <w:rPr>
          <w:noProof/>
          <w:lang w:eastAsia="en-AU"/>
        </w:rPr>
        <w:drawing>
          <wp:inline distT="0" distB="0" distL="0" distR="0" wp14:anchorId="6A93E17E" wp14:editId="463E7F0E">
            <wp:extent cx="4095750" cy="4354991"/>
            <wp:effectExtent l="0" t="0" r="0" b="7620"/>
            <wp:docPr id="144" name="Picture 144" descr="Table 21(continued). Pooled safety data. AEs occurring in &gt; 1% of subjects in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6279" cy="4355553"/>
                    </a:xfrm>
                    <a:prstGeom prst="rect">
                      <a:avLst/>
                    </a:prstGeom>
                    <a:noFill/>
                    <a:ln>
                      <a:noFill/>
                    </a:ln>
                  </pic:spPr>
                </pic:pic>
              </a:graphicData>
            </a:graphic>
          </wp:inline>
        </w:drawing>
      </w:r>
    </w:p>
    <w:p w:rsidR="002A0F05" w:rsidRPr="004778FF" w:rsidRDefault="002A0F05" w:rsidP="004778FF">
      <w:pPr>
        <w:pStyle w:val="Heading5"/>
      </w:pPr>
      <w:r w:rsidRPr="004778FF">
        <w:t>Other studies</w:t>
      </w:r>
      <w:bookmarkEnd w:id="57"/>
    </w:p>
    <w:p w:rsidR="002A0F05" w:rsidRPr="00BA2C86" w:rsidRDefault="002A0F05" w:rsidP="00BA2C86">
      <w:r w:rsidRPr="00BA2C86">
        <w:t xml:space="preserve">In </w:t>
      </w:r>
      <w:r w:rsidR="00A12D97">
        <w:t>Study</w:t>
      </w:r>
      <w:r w:rsidRPr="00BA2C86">
        <w:t xml:space="preserve"> ADE05, the incidence of AEs was comparabl</w:t>
      </w:r>
      <w:r w:rsidR="00B11C95">
        <w:t xml:space="preserve">e in the two treatment groups, </w:t>
      </w:r>
      <w:r w:rsidRPr="00BA2C86">
        <w:t>81.5% in the</w:t>
      </w:r>
      <w:r w:rsidR="00FD1BCE" w:rsidRPr="00BA2C86">
        <w:t xml:space="preserve"> </w:t>
      </w:r>
      <w:r w:rsidRPr="00BA2C86">
        <w:t xml:space="preserve">omalizumab arm </w:t>
      </w:r>
      <w:r w:rsidR="001136E7">
        <w:t>versus</w:t>
      </w:r>
      <w:r w:rsidRPr="00BA2C86">
        <w:t xml:space="preserve"> 86.4% in the placebo arm. AEs that occurred in at least 2</w:t>
      </w:r>
      <w:r w:rsidR="00B11C95">
        <w:t xml:space="preserve"> subjects in the omalizumab arm</w:t>
      </w:r>
      <w:r w:rsidRPr="00BA2C86">
        <w:t xml:space="preserve"> and </w:t>
      </w:r>
      <w:r w:rsidR="003334B2">
        <w:t xml:space="preserve">which occurred </w:t>
      </w:r>
      <w:r w:rsidRPr="00BA2C86">
        <w:t xml:space="preserve">more commonly than in the placebo </w:t>
      </w:r>
      <w:proofErr w:type="gramStart"/>
      <w:r w:rsidRPr="00BA2C86">
        <w:t>arm,</w:t>
      </w:r>
      <w:proofErr w:type="gramEnd"/>
      <w:r w:rsidRPr="00BA2C86">
        <w:t xml:space="preserve"> are shown in </w:t>
      </w:r>
      <w:r w:rsidR="00BA2C86">
        <w:t xml:space="preserve">Table </w:t>
      </w:r>
      <w:r w:rsidR="00BC46A0">
        <w:t>22</w:t>
      </w:r>
      <w:r w:rsidR="00BA2C86">
        <w:t>.</w:t>
      </w:r>
    </w:p>
    <w:p w:rsidR="005E7D24" w:rsidRPr="004778FF" w:rsidRDefault="005E7D24" w:rsidP="004778FF">
      <w:pPr>
        <w:pStyle w:val="Tabletitle"/>
      </w:pPr>
      <w:proofErr w:type="gramStart"/>
      <w:r w:rsidRPr="004778FF">
        <w:t xml:space="preserve">Table </w:t>
      </w:r>
      <w:r w:rsidR="00BC46A0" w:rsidRPr="004778FF">
        <w:t>22</w:t>
      </w:r>
      <w:r w:rsidR="00406F46" w:rsidRPr="004778FF">
        <w:t>.</w:t>
      </w:r>
      <w:proofErr w:type="gramEnd"/>
      <w:r w:rsidRPr="004778FF">
        <w:t xml:space="preserve"> Study ADE05</w:t>
      </w:r>
      <w:r w:rsidR="0083662E" w:rsidRPr="004778FF">
        <w:t xml:space="preserve">. </w:t>
      </w:r>
      <w:proofErr w:type="gramStart"/>
      <w:r w:rsidRPr="004778FF">
        <w:t>Incidence of adverse events (% of patients)</w:t>
      </w:r>
      <w:r w:rsidR="0083662E" w:rsidRPr="004778FF">
        <w:t>.</w:t>
      </w:r>
      <w:proofErr w:type="gramEnd"/>
    </w:p>
    <w:tbl>
      <w:tblPr>
        <w:tblStyle w:val="TableTGAblue"/>
        <w:tblW w:w="0" w:type="auto"/>
        <w:tblLayout w:type="fixed"/>
        <w:tblLook w:val="01E0" w:firstRow="1" w:lastRow="1" w:firstColumn="1" w:lastColumn="1" w:noHBand="0" w:noVBand="0"/>
      </w:tblPr>
      <w:tblGrid>
        <w:gridCol w:w="4080"/>
        <w:gridCol w:w="2218"/>
        <w:gridCol w:w="2222"/>
      </w:tblGrid>
      <w:tr w:rsidR="005E7D24" w:rsidRPr="00BF024F" w:rsidTr="0079318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tc>
        <w:tc>
          <w:tcPr>
            <w:tcW w:w="2218" w:type="dxa"/>
          </w:tcPr>
          <w:p w:rsidR="005E7D24" w:rsidRPr="00BF024F" w:rsidRDefault="005E7D24" w:rsidP="00BF024F">
            <w:pPr>
              <w:cnfStyle w:val="100000000000" w:firstRow="1" w:lastRow="0" w:firstColumn="0" w:lastColumn="0" w:oddVBand="0" w:evenVBand="0" w:oddHBand="0" w:evenHBand="0" w:firstRowFirstColumn="0" w:firstRowLastColumn="0" w:lastRowFirstColumn="0" w:lastRowLastColumn="0"/>
              <w:rPr>
                <w:rFonts w:cs="Cambria"/>
                <w:szCs w:val="20"/>
              </w:rPr>
            </w:pPr>
            <w:r w:rsidRPr="00BF024F">
              <w:rPr>
                <w:spacing w:val="-2"/>
              </w:rPr>
              <w:t>Omalizumab</w:t>
            </w:r>
            <w:r w:rsidRPr="00BF024F">
              <w:rPr>
                <w:spacing w:val="21"/>
              </w:rPr>
              <w:t xml:space="preserve"> </w:t>
            </w:r>
            <w:r w:rsidRPr="00BF024F">
              <w:rPr>
                <w:spacing w:val="-1"/>
              </w:rPr>
              <w:t>(n=27)</w:t>
            </w:r>
          </w:p>
        </w:tc>
        <w:tc>
          <w:tcPr>
            <w:tcW w:w="2222" w:type="dxa"/>
          </w:tcPr>
          <w:p w:rsidR="005E7D24" w:rsidRPr="00BF024F" w:rsidRDefault="005E7D24" w:rsidP="00BF024F">
            <w:pPr>
              <w:cnfStyle w:val="100000000000" w:firstRow="1" w:lastRow="0" w:firstColumn="0" w:lastColumn="0" w:oddVBand="0" w:evenVBand="0" w:oddHBand="0" w:evenHBand="0" w:firstRowFirstColumn="0" w:firstRowLastColumn="0" w:lastRowFirstColumn="0" w:lastRowLastColumn="0"/>
              <w:rPr>
                <w:rFonts w:cs="Cambria"/>
                <w:szCs w:val="20"/>
              </w:rPr>
            </w:pPr>
            <w:r w:rsidRPr="00BF024F">
              <w:rPr>
                <w:spacing w:val="-2"/>
              </w:rPr>
              <w:t>Placebo</w:t>
            </w:r>
            <w:r w:rsidRPr="00BF024F">
              <w:rPr>
                <w:spacing w:val="16"/>
              </w:rPr>
              <w:t xml:space="preserve"> </w:t>
            </w:r>
            <w:r w:rsidRPr="00BF024F">
              <w:rPr>
                <w:spacing w:val="-1"/>
              </w:rPr>
              <w:t>(n=22)</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3"/>
              </w:rPr>
              <w:t>Any</w:t>
            </w:r>
            <w:r w:rsidRPr="00BF024F">
              <w:rPr>
                <w:spacing w:val="-2"/>
              </w:rPr>
              <w:t xml:space="preserve"> </w:t>
            </w:r>
            <w:r w:rsidRPr="00BF024F">
              <w:rPr>
                <w:spacing w:val="-3"/>
              </w:rPr>
              <w:t>adverse</w:t>
            </w:r>
            <w:r w:rsidRPr="00BF024F">
              <w:rPr>
                <w:spacing w:val="-4"/>
              </w:rPr>
              <w:t xml:space="preserve"> </w:t>
            </w:r>
            <w:r w:rsidRPr="00BF024F">
              <w:rPr>
                <w:spacing w:val="-2"/>
              </w:rPr>
              <w:t>event</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81.5%</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86.4%</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3"/>
              </w:rPr>
              <w:t xml:space="preserve">Total </w:t>
            </w:r>
            <w:r w:rsidRPr="00BF024F">
              <w:rPr>
                <w:spacing w:val="-2"/>
              </w:rPr>
              <w:t>no.</w:t>
            </w:r>
            <w:r w:rsidRPr="00BF024F">
              <w:rPr>
                <w:spacing w:val="1"/>
              </w:rPr>
              <w:t xml:space="preserve"> </w:t>
            </w:r>
            <w:r w:rsidRPr="00BF024F">
              <w:rPr>
                <w:spacing w:val="-1"/>
              </w:rPr>
              <w:t>of</w:t>
            </w:r>
            <w:r w:rsidRPr="00BF024F">
              <w:t xml:space="preserve"> </w:t>
            </w:r>
            <w:r w:rsidRPr="00BF024F">
              <w:rPr>
                <w:spacing w:val="-1"/>
              </w:rPr>
              <w:t>AEs</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76</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67</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1"/>
              </w:rPr>
              <w:t>Headache</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37.0%</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27.3%</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2"/>
              </w:rPr>
              <w:t>Diarrhoea</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14.8%</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9.1%</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t>GIT</w:t>
            </w:r>
            <w:r w:rsidRPr="00BF024F">
              <w:rPr>
                <w:spacing w:val="-6"/>
              </w:rPr>
              <w:t xml:space="preserve"> </w:t>
            </w:r>
            <w:r w:rsidRPr="00BF024F">
              <w:rPr>
                <w:spacing w:val="-1"/>
              </w:rPr>
              <w:t>infection</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11.1%</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9.1%</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1"/>
              </w:rPr>
              <w:t>Sinusitis</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11.1%</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0.0%</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2"/>
              </w:rPr>
              <w:lastRenderedPageBreak/>
              <w:t>Arthralgia</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11.1%</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4.5%</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1"/>
              </w:rPr>
              <w:t>Insomnia</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7.4%</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0.0%</w:t>
            </w:r>
          </w:p>
        </w:tc>
      </w:tr>
      <w:tr w:rsidR="005E7D24" w:rsidRPr="00BF024F" w:rsidTr="00793187">
        <w:trPr>
          <w:trHeight w:val="567"/>
        </w:trPr>
        <w:tc>
          <w:tcPr>
            <w:cnfStyle w:val="001000000000" w:firstRow="0" w:lastRow="0" w:firstColumn="1" w:lastColumn="0" w:oddVBand="0" w:evenVBand="0" w:oddHBand="0" w:evenHBand="0" w:firstRowFirstColumn="0" w:firstRowLastColumn="0" w:lastRowFirstColumn="0" w:lastRowLastColumn="0"/>
            <w:tcW w:w="4080" w:type="dxa"/>
          </w:tcPr>
          <w:p w:rsidR="005E7D24" w:rsidRPr="00BF024F" w:rsidRDefault="005E7D24" w:rsidP="00BF024F">
            <w:pPr>
              <w:rPr>
                <w:rFonts w:cs="Cambria"/>
                <w:szCs w:val="20"/>
              </w:rPr>
            </w:pPr>
            <w:r w:rsidRPr="00BF024F">
              <w:rPr>
                <w:spacing w:val="-1"/>
              </w:rPr>
              <w:t>Cough</w:t>
            </w:r>
          </w:p>
        </w:tc>
        <w:tc>
          <w:tcPr>
            <w:tcW w:w="2218"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7.4%</w:t>
            </w:r>
          </w:p>
        </w:tc>
        <w:tc>
          <w:tcPr>
            <w:tcW w:w="2222" w:type="dxa"/>
          </w:tcPr>
          <w:p w:rsidR="005E7D24" w:rsidRPr="00BF024F" w:rsidRDefault="005E7D24" w:rsidP="00BF024F">
            <w:pPr>
              <w:cnfStyle w:val="000000000000" w:firstRow="0" w:lastRow="0" w:firstColumn="0" w:lastColumn="0" w:oddVBand="0" w:evenVBand="0" w:oddHBand="0" w:evenHBand="0" w:firstRowFirstColumn="0" w:firstRowLastColumn="0" w:lastRowFirstColumn="0" w:lastRowLastColumn="0"/>
              <w:rPr>
                <w:rFonts w:cs="Cambria"/>
                <w:szCs w:val="20"/>
              </w:rPr>
            </w:pPr>
            <w:r w:rsidRPr="00BF024F">
              <w:rPr>
                <w:spacing w:val="-2"/>
              </w:rPr>
              <w:t>0.0%</w:t>
            </w:r>
          </w:p>
        </w:tc>
      </w:tr>
    </w:tbl>
    <w:p w:rsidR="00406F46" w:rsidRDefault="002A0F05" w:rsidP="00406F46">
      <w:r w:rsidRPr="00BA2C86">
        <w:t xml:space="preserve">In </w:t>
      </w:r>
      <w:r w:rsidR="00A12D97">
        <w:t>Study</w:t>
      </w:r>
      <w:r w:rsidRPr="00BA2C86">
        <w:t xml:space="preserve"> 4577g, the overall incidence of adverse events was comparable in the placebo (47.6%) and omalizumab (34.8 </w:t>
      </w:r>
      <w:r w:rsidR="00BA2C86">
        <w:t>to</w:t>
      </w:r>
      <w:r w:rsidRPr="00BA2C86">
        <w:t xml:space="preserve"> 48.0%) groups. AEs that occurred in at least 5% of subjects in any group </w:t>
      </w:r>
      <w:r w:rsidR="00406F46">
        <w:t>were provided</w:t>
      </w:r>
      <w:r w:rsidRPr="00BA2C86">
        <w:t xml:space="preserve">. There was no identifiable pattern of </w:t>
      </w:r>
      <w:bookmarkStart w:id="58" w:name="_TOC_250056"/>
      <w:r w:rsidR="00406F46">
        <w:t>AEs attributable to omalizumab.</w:t>
      </w:r>
    </w:p>
    <w:p w:rsidR="002A0F05" w:rsidRPr="004778FF" w:rsidRDefault="002A0F05" w:rsidP="004778FF">
      <w:pPr>
        <w:pStyle w:val="Heading4"/>
      </w:pPr>
      <w:r w:rsidRPr="004778FF">
        <w:t>Severe adverse events</w:t>
      </w:r>
      <w:bookmarkEnd w:id="58"/>
    </w:p>
    <w:p w:rsidR="002A0F05" w:rsidRPr="004778FF" w:rsidRDefault="002A0F05" w:rsidP="004778FF">
      <w:pPr>
        <w:pStyle w:val="Heading5"/>
        <w:rPr>
          <w:rFonts w:eastAsia="Arial"/>
        </w:rPr>
      </w:pPr>
      <w:bookmarkStart w:id="59" w:name="8.3.2.1._Pooled_safety_database"/>
      <w:bookmarkStart w:id="60" w:name="_TOC_250055"/>
      <w:bookmarkEnd w:id="59"/>
      <w:r w:rsidRPr="004778FF">
        <w:t>Pooled safety database</w:t>
      </w:r>
      <w:bookmarkEnd w:id="60"/>
    </w:p>
    <w:p w:rsidR="00717F4E" w:rsidRPr="00BA2C86" w:rsidRDefault="0083662E" w:rsidP="00BA2C86">
      <w:r>
        <w:t xml:space="preserve">In the 12 </w:t>
      </w:r>
      <w:r w:rsidR="002A0F05" w:rsidRPr="00BA2C86">
        <w:t>week analysis</w:t>
      </w:r>
      <w:r w:rsidR="00BA2C86" w:rsidRPr="00BA2C86">
        <w:t xml:space="preserve"> </w:t>
      </w:r>
      <w:r w:rsidR="002A0F05" w:rsidRPr="00BA2C86">
        <w:t>the incidence of severe AEs was higher in the placebo group (6.2%) than</w:t>
      </w:r>
      <w:r w:rsidR="003828DB">
        <w:t xml:space="preserve"> in the omalizumab groups (1.7 to</w:t>
      </w:r>
      <w:r w:rsidR="00B11C95">
        <w:t xml:space="preserve"> 5.3%,</w:t>
      </w:r>
      <w:r w:rsidR="002A0F05" w:rsidRPr="00BA2C86">
        <w:t xml:space="preserve"> see</w:t>
      </w:r>
      <w:r w:rsidR="00BC46A0">
        <w:t xml:space="preserve"> Table 23</w:t>
      </w:r>
      <w:r w:rsidR="002A0F05" w:rsidRPr="00BA2C86">
        <w:t>). This was also true of the extended</w:t>
      </w:r>
      <w:r w:rsidR="000F66DC" w:rsidRPr="00BA2C86">
        <w:t xml:space="preserve"> analysis</w:t>
      </w:r>
      <w:r w:rsidR="003828DB">
        <w:t xml:space="preserve"> (9.2% </w:t>
      </w:r>
      <w:r w:rsidR="001136E7">
        <w:t>versus</w:t>
      </w:r>
      <w:r w:rsidR="003828DB">
        <w:t xml:space="preserve"> 5.7 to </w:t>
      </w:r>
      <w:r w:rsidR="002A0F05" w:rsidRPr="00BA2C86">
        <w:t>8.4%).</w:t>
      </w:r>
      <w:bookmarkStart w:id="61" w:name="8.3.2.2._Other_studies"/>
      <w:bookmarkStart w:id="62" w:name="_TOC_250054"/>
      <w:bookmarkEnd w:id="61"/>
    </w:p>
    <w:p w:rsidR="006C3B0F" w:rsidRPr="004778FF" w:rsidRDefault="006C3B0F" w:rsidP="004778FF">
      <w:pPr>
        <w:pStyle w:val="Tabletitle"/>
      </w:pPr>
      <w:proofErr w:type="gramStart"/>
      <w:r w:rsidRPr="004778FF">
        <w:t xml:space="preserve">Table </w:t>
      </w:r>
      <w:r w:rsidR="00F04434" w:rsidRPr="004778FF">
        <w:t>2</w:t>
      </w:r>
      <w:r w:rsidR="00BC46A0" w:rsidRPr="004778FF">
        <w:t>3</w:t>
      </w:r>
      <w:r w:rsidR="0083662E" w:rsidRPr="004778FF">
        <w:t>.</w:t>
      </w:r>
      <w:proofErr w:type="gramEnd"/>
      <w:r w:rsidRPr="004778FF">
        <w:t xml:space="preserve"> </w:t>
      </w:r>
      <w:proofErr w:type="gramStart"/>
      <w:r w:rsidRPr="004778FF">
        <w:t>Pooled safety data</w:t>
      </w:r>
      <w:r w:rsidR="0083662E" w:rsidRPr="004778FF">
        <w:t>.</w:t>
      </w:r>
      <w:proofErr w:type="gramEnd"/>
      <w:r w:rsidRPr="004778FF">
        <w:t xml:space="preserve"> </w:t>
      </w:r>
      <w:proofErr w:type="gramStart"/>
      <w:r w:rsidRPr="004778FF">
        <w:t xml:space="preserve">Severe AEs (up to </w:t>
      </w:r>
      <w:r w:rsidR="000E3BD7" w:rsidRPr="004778FF">
        <w:t xml:space="preserve">Week </w:t>
      </w:r>
      <w:r w:rsidRPr="004778FF">
        <w:t>12)</w:t>
      </w:r>
      <w:r w:rsidR="00B11C95" w:rsidRPr="004778FF">
        <w:t>.</w:t>
      </w:r>
      <w:proofErr w:type="gramEnd"/>
    </w:p>
    <w:p w:rsidR="006C3B0F" w:rsidRDefault="00EC71C0" w:rsidP="00717F4E">
      <w:r>
        <w:rPr>
          <w:noProof/>
          <w:lang w:eastAsia="en-AU"/>
        </w:rPr>
        <w:drawing>
          <wp:inline distT="0" distB="0" distL="0" distR="0" wp14:anchorId="669D2595" wp14:editId="35B7BBBE">
            <wp:extent cx="5000072" cy="4552950"/>
            <wp:effectExtent l="0" t="0" r="0" b="0"/>
            <wp:docPr id="27" name="Picture 27" descr="Table 23. Pooled safety data. Severe AEs (up to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999383" cy="4552323"/>
                    </a:xfrm>
                    <a:prstGeom prst="rect">
                      <a:avLst/>
                    </a:prstGeom>
                  </pic:spPr>
                </pic:pic>
              </a:graphicData>
            </a:graphic>
          </wp:inline>
        </w:drawing>
      </w:r>
    </w:p>
    <w:p w:rsidR="002A0F05" w:rsidRPr="004778FF" w:rsidRDefault="002A0F05" w:rsidP="004778FF">
      <w:pPr>
        <w:pStyle w:val="Heading5"/>
        <w:rPr>
          <w:rFonts w:eastAsia="Arial"/>
        </w:rPr>
      </w:pPr>
      <w:r w:rsidRPr="004778FF">
        <w:t>Other studies</w:t>
      </w:r>
      <w:bookmarkEnd w:id="62"/>
    </w:p>
    <w:p w:rsidR="002A0F05" w:rsidRPr="00BA2C86" w:rsidRDefault="002A0F05" w:rsidP="00BA2C86">
      <w:r w:rsidRPr="00BA2C86">
        <w:t xml:space="preserve">In </w:t>
      </w:r>
      <w:r w:rsidR="00A12D97">
        <w:t>Study</w:t>
      </w:r>
      <w:r w:rsidRPr="00BA2C86">
        <w:t xml:space="preserve"> ADE05, no patient in the omalizumab group experienced a severe AE, whereas two subjects treated with placebo did.</w:t>
      </w:r>
    </w:p>
    <w:p w:rsidR="002A0F05" w:rsidRPr="00BA2C86" w:rsidRDefault="002A0F05" w:rsidP="00BA2C86">
      <w:r w:rsidRPr="00BA2C86">
        <w:lastRenderedPageBreak/>
        <w:t xml:space="preserve">In </w:t>
      </w:r>
      <w:r w:rsidR="00A12D97">
        <w:t>Study</w:t>
      </w:r>
      <w:r w:rsidRPr="00BA2C86">
        <w:t xml:space="preserve"> 4577g, severe AEs were reported in one patient each in the omalizumab 75 mg (pregnancy), omalizumab 300 mg (dry mouth), and omalizumab 600 mg (headache) groups. There were no severe adverse events in the placebo group.</w:t>
      </w:r>
    </w:p>
    <w:p w:rsidR="002A0F05" w:rsidRDefault="002A0F05" w:rsidP="004778FF">
      <w:pPr>
        <w:pStyle w:val="Heading4"/>
      </w:pPr>
      <w:bookmarkStart w:id="63" w:name="8.3.3._Treatment-related_adverse_events_"/>
      <w:bookmarkStart w:id="64" w:name="_TOC_250053"/>
      <w:bookmarkEnd w:id="63"/>
      <w:r w:rsidRPr="00BA2C86">
        <w:t>Treatment</w:t>
      </w:r>
      <w:r w:rsidR="0083662E">
        <w:t xml:space="preserve"> </w:t>
      </w:r>
      <w:r w:rsidRPr="00717F4E">
        <w:t xml:space="preserve">related </w:t>
      </w:r>
      <w:r>
        <w:t>adverse</w:t>
      </w:r>
      <w:r w:rsidRPr="00717F4E">
        <w:t xml:space="preserve"> </w:t>
      </w:r>
      <w:r>
        <w:t>events</w:t>
      </w:r>
      <w:r w:rsidRPr="00717F4E">
        <w:t xml:space="preserve"> </w:t>
      </w:r>
      <w:r>
        <w:t>(adverse</w:t>
      </w:r>
      <w:r w:rsidRPr="00717F4E">
        <w:t xml:space="preserve"> </w:t>
      </w:r>
      <w:r>
        <w:t>drug</w:t>
      </w:r>
      <w:r w:rsidRPr="00717F4E">
        <w:t xml:space="preserve"> </w:t>
      </w:r>
      <w:r>
        <w:t>reactions)</w:t>
      </w:r>
      <w:bookmarkEnd w:id="64"/>
    </w:p>
    <w:p w:rsidR="002A0F05" w:rsidRPr="004778FF" w:rsidRDefault="002A0F05" w:rsidP="004778FF">
      <w:pPr>
        <w:pStyle w:val="Heading5"/>
        <w:rPr>
          <w:rFonts w:eastAsia="Arial"/>
        </w:rPr>
      </w:pPr>
      <w:bookmarkStart w:id="65" w:name="8.3.3.1._Pooled_safety_database"/>
      <w:bookmarkStart w:id="66" w:name="_TOC_250052"/>
      <w:bookmarkEnd w:id="65"/>
      <w:r w:rsidRPr="004778FF">
        <w:t>Pooled safety database</w:t>
      </w:r>
      <w:bookmarkEnd w:id="66"/>
    </w:p>
    <w:p w:rsidR="002A0F05" w:rsidRPr="00F04434" w:rsidRDefault="002A0F05" w:rsidP="00F04434">
      <w:r w:rsidRPr="00F04434">
        <w:t>The</w:t>
      </w:r>
      <w:r w:rsidR="0083662E">
        <w:t xml:space="preserve"> overall incidence of treatment </w:t>
      </w:r>
      <w:r w:rsidRPr="00F04434">
        <w:t xml:space="preserve">related AEs up to </w:t>
      </w:r>
      <w:r w:rsidR="000E3BD7">
        <w:t xml:space="preserve">Week </w:t>
      </w:r>
      <w:r w:rsidRPr="00F04434">
        <w:t>12</w:t>
      </w:r>
      <w:r w:rsidR="007767A1" w:rsidRPr="00F04434">
        <w:t xml:space="preserve"> </w:t>
      </w:r>
      <w:r w:rsidRPr="00F04434">
        <w:t xml:space="preserve">in the four treatment groups was: 5.8% (placebo), 7.5% (75 mg), 8.6% (150 mg) and 9.0% (300 mg). Individual treatment-related AEs are summarised in Table </w:t>
      </w:r>
      <w:r w:rsidR="00BC46A0">
        <w:t>24</w:t>
      </w:r>
      <w:r w:rsidRPr="00F04434">
        <w:t>.</w:t>
      </w:r>
    </w:p>
    <w:p w:rsidR="008B55DD" w:rsidRPr="004778FF" w:rsidRDefault="008B55DD" w:rsidP="004778FF">
      <w:pPr>
        <w:pStyle w:val="Tabletitle"/>
      </w:pPr>
      <w:proofErr w:type="gramStart"/>
      <w:r w:rsidRPr="004778FF">
        <w:t xml:space="preserve">Table </w:t>
      </w:r>
      <w:r w:rsidR="00BC46A0" w:rsidRPr="004778FF">
        <w:t>24</w:t>
      </w:r>
      <w:r w:rsidR="0083662E" w:rsidRPr="004778FF">
        <w:t>.</w:t>
      </w:r>
      <w:proofErr w:type="gramEnd"/>
      <w:r w:rsidRPr="004778FF">
        <w:t xml:space="preserve"> </w:t>
      </w:r>
      <w:proofErr w:type="gramStart"/>
      <w:r w:rsidRPr="004778FF">
        <w:t>Pooled safety data</w:t>
      </w:r>
      <w:r w:rsidR="0083662E" w:rsidRPr="004778FF">
        <w:t>.</w:t>
      </w:r>
      <w:proofErr w:type="gramEnd"/>
      <w:r w:rsidRPr="004778FF">
        <w:t xml:space="preserve"> </w:t>
      </w:r>
      <w:proofErr w:type="gramStart"/>
      <w:r w:rsidRPr="004778FF">
        <w:t xml:space="preserve">Treatment-related AEs (up to </w:t>
      </w:r>
      <w:r w:rsidR="000E3BD7" w:rsidRPr="004778FF">
        <w:t xml:space="preserve">Week </w:t>
      </w:r>
      <w:r w:rsidRPr="004778FF">
        <w:t>12)</w:t>
      </w:r>
      <w:r w:rsidR="00EC71C0" w:rsidRPr="004778FF">
        <w:t>.</w:t>
      </w:r>
      <w:proofErr w:type="gramEnd"/>
    </w:p>
    <w:p w:rsidR="00F04434" w:rsidRPr="008B55DD" w:rsidRDefault="008B55DD" w:rsidP="008B55DD">
      <w:r>
        <w:rPr>
          <w:noProof/>
          <w:lang w:eastAsia="en-AU"/>
        </w:rPr>
        <w:drawing>
          <wp:inline distT="0" distB="0" distL="0" distR="0" wp14:anchorId="64AA301A" wp14:editId="70044B9B">
            <wp:extent cx="4678857" cy="3892550"/>
            <wp:effectExtent l="0" t="0" r="7620" b="0"/>
            <wp:docPr id="148" name="Picture 148" descr="Table 24. Pooled safety data. Treatment-related AEs (up to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8316" cy="3892100"/>
                    </a:xfrm>
                    <a:prstGeom prst="rect">
                      <a:avLst/>
                    </a:prstGeom>
                    <a:noFill/>
                    <a:ln>
                      <a:noFill/>
                    </a:ln>
                  </pic:spPr>
                </pic:pic>
              </a:graphicData>
            </a:graphic>
          </wp:inline>
        </w:drawing>
      </w:r>
    </w:p>
    <w:p w:rsidR="002A0F05" w:rsidRPr="007767A1" w:rsidRDefault="002A0F05" w:rsidP="007767A1">
      <w:r w:rsidRPr="007767A1">
        <w:t xml:space="preserve">In the extended </w:t>
      </w:r>
      <w:r w:rsidR="00717F4E" w:rsidRPr="007767A1">
        <w:t>analysis</w:t>
      </w:r>
      <w:r w:rsidRPr="007767A1">
        <w:t>, the overall incidence of any AE in the four treatment groups was: 8.6% (placebo), 7.1% (75 mg), 9.2% (150 mg) and 11.7% (300 mg). The pattern of individual</w:t>
      </w:r>
      <w:r w:rsidR="0083662E">
        <w:t xml:space="preserve"> AE terms was similar to the 12 </w:t>
      </w:r>
      <w:r w:rsidRPr="007767A1">
        <w:t>week analysis.</w:t>
      </w:r>
    </w:p>
    <w:p w:rsidR="002A0F05" w:rsidRPr="007767A1" w:rsidRDefault="002A0F05" w:rsidP="007767A1">
      <w:r w:rsidRPr="007767A1">
        <w:t>The Summary of Clinical Safety also presented an analysis of ‘Adverse Reaction (AR) candidates’. AR candidates were those AEs that: a) occurred in at least 1% of subjects and b) occurred at a ≥ 2% higher rate in either the 150 mg or 300 mg groups than in the placebo group. The A</w:t>
      </w:r>
      <w:r w:rsidR="0083662E">
        <w:t xml:space="preserve">R candidates observed in the 12 </w:t>
      </w:r>
      <w:r w:rsidRPr="007767A1">
        <w:t xml:space="preserve">week analysis are shown in Table </w:t>
      </w:r>
      <w:r w:rsidR="00BC46A0">
        <w:t>25</w:t>
      </w:r>
      <w:r w:rsidRPr="007767A1">
        <w:t>, and those observed in the extend</w:t>
      </w:r>
      <w:r w:rsidR="00F04434">
        <w:t>e</w:t>
      </w:r>
      <w:r w:rsidR="00BC46A0">
        <w:t>d analysis are shown in Table 26</w:t>
      </w:r>
      <w:r w:rsidRPr="007767A1">
        <w:t>. The sponsor did not consider that toothache, fungal infection or anxiety could be adverse reactions to omalizumab. The other candidate ARs are included in the draft PI as adverse reactions to the drug.</w:t>
      </w:r>
    </w:p>
    <w:p w:rsidR="00E361CB" w:rsidRPr="004778FF" w:rsidRDefault="00E361CB" w:rsidP="004778FF">
      <w:pPr>
        <w:pStyle w:val="Tabletitle"/>
      </w:pPr>
      <w:proofErr w:type="gramStart"/>
      <w:r w:rsidRPr="004778FF">
        <w:lastRenderedPageBreak/>
        <w:t xml:space="preserve">Table </w:t>
      </w:r>
      <w:r w:rsidR="00BC46A0" w:rsidRPr="004778FF">
        <w:t>25</w:t>
      </w:r>
      <w:r w:rsidR="0083662E" w:rsidRPr="004778FF">
        <w:t>.</w:t>
      </w:r>
      <w:proofErr w:type="gramEnd"/>
      <w:r w:rsidRPr="004778FF">
        <w:t xml:space="preserve"> </w:t>
      </w:r>
      <w:proofErr w:type="gramStart"/>
      <w:r w:rsidRPr="004778FF">
        <w:t>Pooled safety data</w:t>
      </w:r>
      <w:r w:rsidR="0083662E" w:rsidRPr="004778FF">
        <w:t>.</w:t>
      </w:r>
      <w:proofErr w:type="gramEnd"/>
      <w:r w:rsidRPr="004778FF">
        <w:t xml:space="preserve"> </w:t>
      </w:r>
      <w:proofErr w:type="gramStart"/>
      <w:r w:rsidRPr="004778FF">
        <w:t xml:space="preserve">‘Candidate’ adverse reactions (up to </w:t>
      </w:r>
      <w:r w:rsidR="000E3BD7" w:rsidRPr="004778FF">
        <w:t xml:space="preserve">Week </w:t>
      </w:r>
      <w:r w:rsidRPr="004778FF">
        <w:t>12)</w:t>
      </w:r>
      <w:r w:rsidR="00EC71C0" w:rsidRPr="004778FF">
        <w:t>.</w:t>
      </w:r>
      <w:proofErr w:type="gramEnd"/>
    </w:p>
    <w:p w:rsidR="00BE31A3" w:rsidRDefault="0099168A" w:rsidP="00717F4E">
      <w:r>
        <w:rPr>
          <w:noProof/>
          <w:lang w:eastAsia="en-AU"/>
        </w:rPr>
        <w:drawing>
          <wp:inline distT="0" distB="0" distL="0" distR="0" wp14:anchorId="6FD5644E" wp14:editId="6875ECDC">
            <wp:extent cx="5295265" cy="2202815"/>
            <wp:effectExtent l="0" t="0" r="635" b="6985"/>
            <wp:docPr id="149" name="Picture 149" descr="Table 25. Pooled safety data. ‘Candidate’ adverse reactions (up to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5265" cy="2202815"/>
                    </a:xfrm>
                    <a:prstGeom prst="rect">
                      <a:avLst/>
                    </a:prstGeom>
                    <a:noFill/>
                    <a:ln>
                      <a:noFill/>
                    </a:ln>
                  </pic:spPr>
                </pic:pic>
              </a:graphicData>
            </a:graphic>
          </wp:inline>
        </w:drawing>
      </w:r>
    </w:p>
    <w:p w:rsidR="00837FD3" w:rsidRPr="004778FF" w:rsidRDefault="00837FD3" w:rsidP="004778FF">
      <w:pPr>
        <w:pStyle w:val="Tabletitle"/>
      </w:pPr>
      <w:proofErr w:type="gramStart"/>
      <w:r w:rsidRPr="004778FF">
        <w:t xml:space="preserve">Table </w:t>
      </w:r>
      <w:r w:rsidR="00BC46A0" w:rsidRPr="004778FF">
        <w:t>26</w:t>
      </w:r>
      <w:r w:rsidR="0083662E" w:rsidRPr="004778FF">
        <w:t>.</w:t>
      </w:r>
      <w:proofErr w:type="gramEnd"/>
      <w:r w:rsidRPr="004778FF">
        <w:t xml:space="preserve"> </w:t>
      </w:r>
      <w:proofErr w:type="gramStart"/>
      <w:r w:rsidRPr="004778FF">
        <w:t>Pooled safety data</w:t>
      </w:r>
      <w:r w:rsidR="0083662E" w:rsidRPr="004778FF">
        <w:t>.</w:t>
      </w:r>
      <w:proofErr w:type="gramEnd"/>
      <w:r w:rsidRPr="004778FF">
        <w:t xml:space="preserve"> </w:t>
      </w:r>
      <w:proofErr w:type="gramStart"/>
      <w:r w:rsidRPr="004778FF">
        <w:t xml:space="preserve">‘Candidate’ adverse reactions (up to </w:t>
      </w:r>
      <w:r w:rsidR="000E3BD7" w:rsidRPr="004778FF">
        <w:t xml:space="preserve">Week </w:t>
      </w:r>
      <w:r w:rsidRPr="004778FF">
        <w:t>24)</w:t>
      </w:r>
      <w:r w:rsidR="0083662E" w:rsidRPr="004778FF">
        <w:t>.</w:t>
      </w:r>
      <w:proofErr w:type="gramEnd"/>
    </w:p>
    <w:p w:rsidR="00F04434" w:rsidRDefault="00837FD3" w:rsidP="00717F4E">
      <w:r>
        <w:rPr>
          <w:noProof/>
          <w:lang w:eastAsia="en-AU"/>
        </w:rPr>
        <w:drawing>
          <wp:inline distT="0" distB="0" distL="0" distR="0" wp14:anchorId="0F0C9CC0" wp14:editId="71E629A5">
            <wp:extent cx="4597400" cy="3231409"/>
            <wp:effectExtent l="0" t="0" r="0" b="7620"/>
            <wp:docPr id="150" name="Picture 150" descr="Table 26. Pooled safety data. ‘Candidate’ adverse reactions (up to We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5490" cy="3237096"/>
                    </a:xfrm>
                    <a:prstGeom prst="rect">
                      <a:avLst/>
                    </a:prstGeom>
                    <a:noFill/>
                    <a:ln>
                      <a:noFill/>
                    </a:ln>
                  </pic:spPr>
                </pic:pic>
              </a:graphicData>
            </a:graphic>
          </wp:inline>
        </w:drawing>
      </w:r>
    </w:p>
    <w:p w:rsidR="002A0F05" w:rsidRPr="004778FF" w:rsidRDefault="002A0F05" w:rsidP="004778FF">
      <w:pPr>
        <w:pStyle w:val="Heading5"/>
        <w:rPr>
          <w:rFonts w:eastAsia="Arial"/>
        </w:rPr>
      </w:pPr>
      <w:bookmarkStart w:id="67" w:name="8.3.3.2._Other_studies"/>
      <w:bookmarkStart w:id="68" w:name="_TOC_250051"/>
      <w:bookmarkEnd w:id="67"/>
      <w:r w:rsidRPr="004778FF">
        <w:t>Other studies</w:t>
      </w:r>
      <w:bookmarkEnd w:id="68"/>
    </w:p>
    <w:p w:rsidR="002A0F05" w:rsidRPr="007767A1" w:rsidRDefault="002A0F05" w:rsidP="007767A1">
      <w:r w:rsidRPr="007767A1">
        <w:t xml:space="preserve">In </w:t>
      </w:r>
      <w:r w:rsidR="00A12D97">
        <w:t>Study</w:t>
      </w:r>
      <w:r w:rsidRPr="007767A1">
        <w:t xml:space="preserve"> AD</w:t>
      </w:r>
      <w:r w:rsidR="0083662E">
        <w:t xml:space="preserve">E05, the incidence of treatment </w:t>
      </w:r>
      <w:r w:rsidRPr="007767A1">
        <w:t>related AEs was 22.2% in the omalizumab arm and 22.7% in the placebo arm. There were no notable differences in the incidence of individual AE terms.</w:t>
      </w:r>
    </w:p>
    <w:p w:rsidR="002A0F05" w:rsidRPr="007767A1" w:rsidRDefault="002A0F05" w:rsidP="007767A1">
      <w:r w:rsidRPr="007767A1">
        <w:t xml:space="preserve">In </w:t>
      </w:r>
      <w:r w:rsidR="00A12D97">
        <w:t>Study</w:t>
      </w:r>
      <w:r w:rsidR="0083662E">
        <w:t xml:space="preserve"> 4577g, treatment </w:t>
      </w:r>
      <w:r w:rsidRPr="007767A1">
        <w:t>related AEs occurred in 3 subjects in the placebo arm (14.3%), one subject (4.3%) in the 75 mg arm (flatulence) and 1 subject (4.3%) in the 300 mg arm (chest pain).</w:t>
      </w:r>
    </w:p>
    <w:p w:rsidR="002A0F05" w:rsidRPr="004778FF" w:rsidRDefault="002A0F05" w:rsidP="004778FF">
      <w:pPr>
        <w:pStyle w:val="Heading4"/>
      </w:pPr>
      <w:bookmarkStart w:id="69" w:name="8.3.4._Deaths_and_other_serious_adverse_"/>
      <w:bookmarkStart w:id="70" w:name="_TOC_250050"/>
      <w:bookmarkEnd w:id="69"/>
      <w:r w:rsidRPr="004778FF">
        <w:t>Deaths and other serious adverse events</w:t>
      </w:r>
      <w:bookmarkEnd w:id="70"/>
    </w:p>
    <w:p w:rsidR="002A0F05" w:rsidRPr="004778FF" w:rsidRDefault="002A0F05" w:rsidP="004778FF">
      <w:pPr>
        <w:pStyle w:val="Heading5"/>
        <w:rPr>
          <w:rFonts w:eastAsia="Arial"/>
        </w:rPr>
      </w:pPr>
      <w:bookmarkStart w:id="71" w:name="8.3.4.1._Pooled_safety_database"/>
      <w:bookmarkStart w:id="72" w:name="_TOC_250049"/>
      <w:bookmarkEnd w:id="71"/>
      <w:r w:rsidRPr="004778FF">
        <w:t>Pooled safety database</w:t>
      </w:r>
      <w:bookmarkEnd w:id="72"/>
    </w:p>
    <w:p w:rsidR="001100B3" w:rsidRPr="001100B3" w:rsidRDefault="00F04434" w:rsidP="001100B3">
      <w:r>
        <w:t xml:space="preserve">There were no deaths in the Phase III studies. In the </w:t>
      </w:r>
      <w:r w:rsidR="002A0F05" w:rsidRPr="007767A1">
        <w:t>12-week analysis</w:t>
      </w:r>
      <w:r w:rsidR="0051028A" w:rsidRPr="007767A1">
        <w:t xml:space="preserve"> t</w:t>
      </w:r>
      <w:r w:rsidR="002A0F05" w:rsidRPr="007767A1">
        <w:t>he incidence of serious AEs was higher in the placebo group (3.3%) than in the omal</w:t>
      </w:r>
      <w:r>
        <w:t xml:space="preserve">izumab groups (0.6 </w:t>
      </w:r>
      <w:r w:rsidR="003828DB">
        <w:t>to</w:t>
      </w:r>
      <w:r>
        <w:t xml:space="preserve"> 1.2%</w:t>
      </w:r>
      <w:r w:rsidR="002A0F05" w:rsidRPr="007767A1">
        <w:t>). This was also true of the</w:t>
      </w:r>
      <w:r w:rsidR="00E85952" w:rsidRPr="007767A1">
        <w:t xml:space="preserve"> </w:t>
      </w:r>
      <w:r w:rsidR="002A0F05" w:rsidRPr="007767A1">
        <w:t>extended analysis</w:t>
      </w:r>
      <w:r w:rsidR="0051028A" w:rsidRPr="007767A1">
        <w:t xml:space="preserve"> (</w:t>
      </w:r>
      <w:r w:rsidR="002A0F05" w:rsidRPr="007767A1">
        <w:t xml:space="preserve">4.3% </w:t>
      </w:r>
      <w:r w:rsidR="001136E7">
        <w:t>versus</w:t>
      </w:r>
      <w:r w:rsidR="002A0F05" w:rsidRPr="007767A1">
        <w:t xml:space="preserve"> 2.1 </w:t>
      </w:r>
      <w:r w:rsidR="003828DB">
        <w:t>to</w:t>
      </w:r>
      <w:r w:rsidR="002A0F05" w:rsidRPr="007767A1">
        <w:t xml:space="preserve"> 3.4%). The pattern of individual AE term</w:t>
      </w:r>
      <w:r>
        <w:t>s was similar in both analyses.</w:t>
      </w:r>
    </w:p>
    <w:p w:rsidR="002A0F05" w:rsidRPr="004778FF" w:rsidRDefault="002A0F05" w:rsidP="004778FF">
      <w:pPr>
        <w:pStyle w:val="Heading5"/>
        <w:rPr>
          <w:rFonts w:eastAsia="Arial"/>
        </w:rPr>
      </w:pPr>
      <w:bookmarkStart w:id="73" w:name="8.3.4.2._Other_studies"/>
      <w:bookmarkStart w:id="74" w:name="_TOC_250048"/>
      <w:bookmarkEnd w:id="73"/>
      <w:r w:rsidRPr="004778FF">
        <w:lastRenderedPageBreak/>
        <w:t>Other studies</w:t>
      </w:r>
      <w:bookmarkEnd w:id="74"/>
    </w:p>
    <w:p w:rsidR="002A0F05" w:rsidRPr="007767A1" w:rsidRDefault="002A0F05" w:rsidP="007767A1">
      <w:r w:rsidRPr="007767A1">
        <w:t xml:space="preserve">There were no deaths in </w:t>
      </w:r>
      <w:r w:rsidR="00A12D97">
        <w:t>Study</w:t>
      </w:r>
      <w:r w:rsidRPr="007767A1">
        <w:t xml:space="preserve"> ADE05. There were no serious AEs in the omalizumab arm and two (9.1%) in the placebo arm.</w:t>
      </w:r>
    </w:p>
    <w:p w:rsidR="00717F4E" w:rsidRPr="007767A1" w:rsidRDefault="002A0F05" w:rsidP="007767A1">
      <w:r w:rsidRPr="007767A1">
        <w:t xml:space="preserve">There were no deaths in </w:t>
      </w:r>
      <w:r w:rsidR="00A12D97">
        <w:t>Study</w:t>
      </w:r>
      <w:r w:rsidRPr="007767A1">
        <w:t xml:space="preserve"> 4577</w:t>
      </w:r>
      <w:r w:rsidR="00BF2CCC">
        <w:t>g. There was only 1 serious AE,</w:t>
      </w:r>
      <w:r w:rsidRPr="007767A1">
        <w:t xml:space="preserve"> a cas</w:t>
      </w:r>
      <w:r w:rsidR="0083662E">
        <w:t xml:space="preserve">e of chest pain occurring in 39 </w:t>
      </w:r>
      <w:r w:rsidRPr="007767A1">
        <w:t>year old female hospitalised on day 101 after receiving a single dose of 300 mg of omalizumab. ECG and cardiac enzymes were normal. The discharge diagnosis was musculoskeletal</w:t>
      </w:r>
      <w:r w:rsidR="009E22D7" w:rsidRPr="007767A1">
        <w:t xml:space="preserve"> </w:t>
      </w:r>
      <w:r w:rsidRPr="007767A1">
        <w:t>pain.</w:t>
      </w:r>
      <w:bookmarkStart w:id="75" w:name="8.3.5._Discontinuation_due_to_adverse_ev"/>
      <w:bookmarkStart w:id="76" w:name="_TOC_250047"/>
      <w:bookmarkEnd w:id="75"/>
    </w:p>
    <w:p w:rsidR="002A0F05" w:rsidRPr="004778FF" w:rsidRDefault="002A0F05" w:rsidP="004778FF">
      <w:pPr>
        <w:pStyle w:val="Heading4"/>
      </w:pPr>
      <w:r w:rsidRPr="004778FF">
        <w:t>Discontinuation due to adverse events</w:t>
      </w:r>
      <w:bookmarkEnd w:id="76"/>
    </w:p>
    <w:p w:rsidR="002A0F05" w:rsidRPr="004778FF" w:rsidRDefault="002A0F05" w:rsidP="004778FF">
      <w:pPr>
        <w:pStyle w:val="Heading5"/>
        <w:rPr>
          <w:rFonts w:eastAsia="Arial"/>
        </w:rPr>
      </w:pPr>
      <w:bookmarkStart w:id="77" w:name="8.3.5.1._Pooled_safety_database"/>
      <w:bookmarkStart w:id="78" w:name="_TOC_250046"/>
      <w:bookmarkEnd w:id="77"/>
      <w:r w:rsidRPr="004778FF">
        <w:t>Pooled safety database</w:t>
      </w:r>
      <w:bookmarkEnd w:id="78"/>
    </w:p>
    <w:p w:rsidR="002A0F05" w:rsidRPr="007767A1" w:rsidRDefault="002A0F05" w:rsidP="007767A1">
      <w:r w:rsidRPr="007767A1">
        <w:t>A total of 38 subjects had an AE leading to permanent withdrawal of treatment. The incidence of discontinuation was highest in the placebo group: 5.4% (pla</w:t>
      </w:r>
      <w:r w:rsidR="00BF2CCC">
        <w:t>cebo), 3.4%% (75 mg), 3.4% (150 </w:t>
      </w:r>
      <w:r w:rsidRPr="007767A1">
        <w:t xml:space="preserve">mg) and 3.4%% (300 mg). Individual AEs leading to discontinuation in more than 1 subject </w:t>
      </w:r>
      <w:r w:rsidR="00C71A0E">
        <w:t>were provided</w:t>
      </w:r>
      <w:r w:rsidRPr="007767A1">
        <w:t>. Urticaria was an AE that led to discontinuation in 20 of the 38 subjects. In the omalizumab groups, small numbers of patients were discontinued due to arthralgia, joint problems and headache, whereas there were no discontinuations for these events in the placebo group.</w:t>
      </w:r>
    </w:p>
    <w:p w:rsidR="002A0F05" w:rsidRPr="004778FF" w:rsidRDefault="002A0F05" w:rsidP="004778FF">
      <w:pPr>
        <w:pStyle w:val="Heading5"/>
        <w:rPr>
          <w:rFonts w:eastAsia="Arial"/>
        </w:rPr>
      </w:pPr>
      <w:bookmarkStart w:id="79" w:name="8.3.5.2._Other_studies"/>
      <w:bookmarkStart w:id="80" w:name="_TOC_250045"/>
      <w:bookmarkEnd w:id="79"/>
      <w:r w:rsidRPr="004778FF">
        <w:t>Other studies</w:t>
      </w:r>
      <w:bookmarkEnd w:id="80"/>
    </w:p>
    <w:p w:rsidR="002A0F05" w:rsidRPr="007767A1" w:rsidRDefault="002A0F05" w:rsidP="007767A1">
      <w:r w:rsidRPr="007767A1">
        <w:t xml:space="preserve">In </w:t>
      </w:r>
      <w:r w:rsidR="00A12D97">
        <w:t>Study</w:t>
      </w:r>
      <w:r w:rsidRPr="007767A1">
        <w:t xml:space="preserve"> ADE05, there were no discontinuations due to AEs in the omalizumab arm and one (4.5%) in the placebo arm.</w:t>
      </w:r>
    </w:p>
    <w:p w:rsidR="002A0F05" w:rsidRPr="007767A1" w:rsidRDefault="002A0F05" w:rsidP="007767A1">
      <w:r w:rsidRPr="007767A1">
        <w:t xml:space="preserve">In </w:t>
      </w:r>
      <w:r w:rsidR="00A12D97">
        <w:t>Study</w:t>
      </w:r>
      <w:r w:rsidRPr="007767A1">
        <w:t xml:space="preserve"> 4577g, three subjects in the 75 mg arm withdrew from the study due to pregnancy, asthma and pruritus respectively. One subject withdrew from the 600 mg group due to urticaria.</w:t>
      </w:r>
    </w:p>
    <w:p w:rsidR="002A0F05" w:rsidRPr="004778FF" w:rsidRDefault="002A0F05" w:rsidP="004778FF">
      <w:pPr>
        <w:pStyle w:val="Heading4"/>
      </w:pPr>
      <w:bookmarkStart w:id="81" w:name="_TOC_250044"/>
      <w:r w:rsidRPr="004778FF">
        <w:t>Adverse events of special interest</w:t>
      </w:r>
      <w:bookmarkEnd w:id="81"/>
    </w:p>
    <w:p w:rsidR="002A0F05" w:rsidRPr="007767A1" w:rsidRDefault="002A0F05" w:rsidP="007767A1">
      <w:r w:rsidRPr="007767A1">
        <w:t xml:space="preserve">AEs of special interest occurring in the pooled safety database </w:t>
      </w:r>
      <w:r w:rsidR="00C71A0E">
        <w:t>were provided</w:t>
      </w:r>
      <w:r w:rsidRPr="007767A1">
        <w:t>. In summary:</w:t>
      </w:r>
    </w:p>
    <w:p w:rsidR="002A0F05" w:rsidRPr="007767A1" w:rsidRDefault="002A0F05" w:rsidP="007767A1">
      <w:pPr>
        <w:pStyle w:val="ListBullet"/>
      </w:pPr>
      <w:r w:rsidRPr="007767A1">
        <w:t>There were no cases of anaphylaxis or serum sickness. Other hypersensitivity events were slightly more frequent in the 300 mg arm than in the placebo arm. Hypersensitivity reactions are</w:t>
      </w:r>
      <w:r w:rsidR="00535DAC">
        <w:t xml:space="preserve"> known to occur with </w:t>
      </w:r>
      <w:proofErr w:type="spellStart"/>
      <w:r w:rsidR="00535DAC">
        <w:t>omalizumab</w:t>
      </w:r>
      <w:proofErr w:type="spellEnd"/>
    </w:p>
    <w:p w:rsidR="002A0F05" w:rsidRPr="007767A1" w:rsidRDefault="002A0F05" w:rsidP="007767A1">
      <w:pPr>
        <w:pStyle w:val="ListBullet"/>
      </w:pPr>
      <w:r w:rsidRPr="007767A1">
        <w:t xml:space="preserve">There were no cases </w:t>
      </w:r>
      <w:r w:rsidR="00535DAC">
        <w:t xml:space="preserve">of </w:t>
      </w:r>
      <w:proofErr w:type="spellStart"/>
      <w:r w:rsidR="00535DAC">
        <w:t>Churg</w:t>
      </w:r>
      <w:proofErr w:type="spellEnd"/>
      <w:r w:rsidR="00535DAC">
        <w:t>-Strauss syndrome</w:t>
      </w:r>
    </w:p>
    <w:p w:rsidR="002A0F05" w:rsidRPr="007767A1" w:rsidRDefault="002A0F05" w:rsidP="007767A1">
      <w:pPr>
        <w:pStyle w:val="ListBullet"/>
      </w:pPr>
      <w:r w:rsidRPr="007767A1">
        <w:t>Injection site reactions, which are known to be associated with omalizumab, were slightly increased in the 300 mg group compared to the placebo g</w:t>
      </w:r>
      <w:r w:rsidR="00535DAC">
        <w:t>roup</w:t>
      </w:r>
    </w:p>
    <w:p w:rsidR="002A0F05" w:rsidRPr="00BF2CCC" w:rsidRDefault="002A0F05" w:rsidP="00BF2CCC">
      <w:pPr>
        <w:pStyle w:val="ListBullet"/>
      </w:pPr>
      <w:r w:rsidRPr="00BF2CCC">
        <w:t xml:space="preserve">There was no increase in the incidence of </w:t>
      </w:r>
      <w:proofErr w:type="spellStart"/>
      <w:r w:rsidRPr="00BF2CCC">
        <w:t>thrombocytopaenia</w:t>
      </w:r>
      <w:proofErr w:type="spellEnd"/>
      <w:r w:rsidRPr="00BF2CCC">
        <w:t>. One subject in the 300 mg group who had a baseline platelet count of 158 x 10</w:t>
      </w:r>
      <w:r w:rsidR="007767A1" w:rsidRPr="00BF2CCC">
        <w:rPr>
          <w:vertAlign w:val="superscript"/>
        </w:rPr>
        <w:t>9</w:t>
      </w:r>
      <w:r w:rsidRPr="00BF2CCC">
        <w:t xml:space="preserve">/L developed </w:t>
      </w:r>
      <w:proofErr w:type="spellStart"/>
      <w:r w:rsidRPr="00BF2CCC">
        <w:t>thrombocytopaenia</w:t>
      </w:r>
      <w:proofErr w:type="spellEnd"/>
      <w:r w:rsidRPr="00BF2CCC">
        <w:t xml:space="preserve"> (89 x 10</w:t>
      </w:r>
      <w:r w:rsidR="00B72AF0" w:rsidRPr="00BF2CCC">
        <w:rPr>
          <w:vertAlign w:val="superscript"/>
        </w:rPr>
        <w:t>9</w:t>
      </w:r>
      <w:r w:rsidRPr="00BF2CCC">
        <w:t>/L) at</w:t>
      </w:r>
      <w:r w:rsidR="00717F4E" w:rsidRPr="00BF2CCC">
        <w:t xml:space="preserve"> </w:t>
      </w:r>
      <w:r w:rsidR="000E3BD7" w:rsidRPr="00BF2CCC">
        <w:t xml:space="preserve">Week </w:t>
      </w:r>
      <w:r w:rsidRPr="00BF2CCC">
        <w:t xml:space="preserve">4 and was discontinued. The </w:t>
      </w:r>
      <w:proofErr w:type="spellStart"/>
      <w:r w:rsidRPr="00BF2CCC">
        <w:t>thrombocytopaenia</w:t>
      </w:r>
      <w:proofErr w:type="spellEnd"/>
      <w:r w:rsidRPr="00BF2CCC">
        <w:t xml:space="preserve"> persisted and worsened after withdrawal and the subject was diagnosed with idiop</w:t>
      </w:r>
      <w:r w:rsidR="0083662E">
        <w:t xml:space="preserve">athic </w:t>
      </w:r>
      <w:proofErr w:type="spellStart"/>
      <w:r w:rsidR="0083662E">
        <w:t>thrombocy</w:t>
      </w:r>
      <w:r w:rsidR="00535DAC">
        <w:t>topaenic</w:t>
      </w:r>
      <w:proofErr w:type="spellEnd"/>
      <w:r w:rsidR="00535DAC">
        <w:t xml:space="preserve"> purpure</w:t>
      </w:r>
    </w:p>
    <w:p w:rsidR="002A0F05" w:rsidRPr="007767A1" w:rsidRDefault="002A0F05" w:rsidP="007767A1">
      <w:pPr>
        <w:pStyle w:val="ListBullet"/>
      </w:pPr>
      <w:r w:rsidRPr="007767A1">
        <w:t xml:space="preserve">Other </w:t>
      </w:r>
      <w:proofErr w:type="spellStart"/>
      <w:r w:rsidRPr="007767A1">
        <w:t>cytopaenias</w:t>
      </w:r>
      <w:proofErr w:type="spellEnd"/>
      <w:r w:rsidRPr="007767A1">
        <w:t xml:space="preserve"> were slightly increased in the 150 and 300 mg groups compared to placebo. However most of these abnormalities were mild and resolved without treatment. There was no pattern that suggested</w:t>
      </w:r>
      <w:r w:rsidR="00535DAC">
        <w:t xml:space="preserve"> a relationship with </w:t>
      </w:r>
      <w:proofErr w:type="spellStart"/>
      <w:r w:rsidR="00535DAC">
        <w:t>omalizumab</w:t>
      </w:r>
      <w:proofErr w:type="spellEnd"/>
    </w:p>
    <w:p w:rsidR="002A0F05" w:rsidRPr="007767A1" w:rsidRDefault="002A0F05" w:rsidP="007767A1">
      <w:pPr>
        <w:pStyle w:val="ListBullet"/>
      </w:pPr>
      <w:r w:rsidRPr="007767A1">
        <w:t>There was no increase in the incidence of malignancy or arterial thrombotic events compared to placebo</w:t>
      </w:r>
    </w:p>
    <w:p w:rsidR="002A0F05" w:rsidRPr="007767A1" w:rsidRDefault="002A0F05" w:rsidP="007767A1">
      <w:pPr>
        <w:pStyle w:val="ListBullet"/>
      </w:pPr>
      <w:r w:rsidRPr="007767A1">
        <w:t>For skin rash, the most commonly reported terms were pruritus, erythema and rash. Although more common with omalizumab than with placebo, there was no re</w:t>
      </w:r>
      <w:r w:rsidR="00535DAC">
        <w:t xml:space="preserve">lationship with </w:t>
      </w:r>
      <w:proofErr w:type="spellStart"/>
      <w:r w:rsidR="00535DAC">
        <w:t>omalizumab</w:t>
      </w:r>
      <w:proofErr w:type="spellEnd"/>
      <w:r w:rsidR="00535DAC">
        <w:t xml:space="preserve"> dose</w:t>
      </w:r>
    </w:p>
    <w:p w:rsidR="002A0F05" w:rsidRPr="007767A1" w:rsidRDefault="002A0F05" w:rsidP="007767A1">
      <w:pPr>
        <w:pStyle w:val="ListBullet"/>
      </w:pPr>
      <w:r w:rsidRPr="007767A1">
        <w:t>The incidence of asthma as an AE was comparable across the four treatment groups. All subjects had a prior history of asthma. There were no s</w:t>
      </w:r>
      <w:r w:rsidR="00535DAC">
        <w:t>evere asthma AEs reported</w:t>
      </w:r>
    </w:p>
    <w:p w:rsidR="002A0F05" w:rsidRPr="007767A1" w:rsidRDefault="002A0F05" w:rsidP="007767A1">
      <w:pPr>
        <w:pStyle w:val="ListBullet"/>
      </w:pPr>
      <w:r w:rsidRPr="007767A1">
        <w:lastRenderedPageBreak/>
        <w:t xml:space="preserve">One subject in the 300 mg group developed moderate elevation of transaminases and hepatic </w:t>
      </w:r>
      <w:proofErr w:type="spellStart"/>
      <w:r w:rsidRPr="007767A1">
        <w:t>steatosis</w:t>
      </w:r>
      <w:proofErr w:type="spellEnd"/>
      <w:r w:rsidRPr="007767A1">
        <w:t xml:space="preserve"> 108 days after the last dose of omalizumab. These were not conside</w:t>
      </w:r>
      <w:r w:rsidR="00535DAC">
        <w:t>red to be related to study drug</w:t>
      </w:r>
    </w:p>
    <w:p w:rsidR="002A0F05" w:rsidRPr="004778FF" w:rsidRDefault="002A0F05" w:rsidP="004778FF">
      <w:pPr>
        <w:pStyle w:val="Heading3"/>
      </w:pPr>
      <w:bookmarkStart w:id="82" w:name="8.4._Laboratory_tests"/>
      <w:bookmarkStart w:id="83" w:name="_TOC_250043"/>
      <w:bookmarkStart w:id="84" w:name="_Toc425249010"/>
      <w:bookmarkEnd w:id="82"/>
      <w:r w:rsidRPr="004778FF">
        <w:t>Laboratory tests</w:t>
      </w:r>
      <w:bookmarkEnd w:id="83"/>
      <w:bookmarkEnd w:id="84"/>
    </w:p>
    <w:p w:rsidR="002A0F05" w:rsidRPr="004778FF" w:rsidRDefault="002A0F05" w:rsidP="004778FF">
      <w:pPr>
        <w:pStyle w:val="Heading4"/>
      </w:pPr>
      <w:bookmarkStart w:id="85" w:name="8.4.1._Liver_function"/>
      <w:bookmarkStart w:id="86" w:name="_TOC_250042"/>
      <w:bookmarkEnd w:id="85"/>
      <w:r w:rsidRPr="004778FF">
        <w:t>Liver function</w:t>
      </w:r>
      <w:bookmarkEnd w:id="86"/>
    </w:p>
    <w:p w:rsidR="002A0F05" w:rsidRPr="004778FF" w:rsidRDefault="002A0F05" w:rsidP="004778FF">
      <w:pPr>
        <w:pStyle w:val="Heading5"/>
        <w:rPr>
          <w:rFonts w:eastAsia="Arial"/>
        </w:rPr>
      </w:pPr>
      <w:bookmarkStart w:id="87" w:name="8.4.1.1._Pooled_safety_database"/>
      <w:bookmarkStart w:id="88" w:name="_TOC_250041"/>
      <w:bookmarkEnd w:id="87"/>
      <w:r w:rsidRPr="004778FF">
        <w:t>Pooled safety database</w:t>
      </w:r>
      <w:bookmarkEnd w:id="88"/>
    </w:p>
    <w:p w:rsidR="002A0F05" w:rsidRDefault="002A0F05" w:rsidP="00717F4E">
      <w:r>
        <w:rPr>
          <w:spacing w:val="-4"/>
        </w:rPr>
        <w:t>LFTs</w:t>
      </w:r>
      <w:r>
        <w:t xml:space="preserve"> </w:t>
      </w:r>
      <w:r>
        <w:rPr>
          <w:spacing w:val="-3"/>
        </w:rPr>
        <w:t xml:space="preserve">were </w:t>
      </w:r>
      <w:r>
        <w:t>not</w:t>
      </w:r>
      <w:r>
        <w:rPr>
          <w:spacing w:val="1"/>
        </w:rPr>
        <w:t xml:space="preserve"> </w:t>
      </w:r>
      <w:r>
        <w:rPr>
          <w:spacing w:val="-2"/>
        </w:rPr>
        <w:t>monitored</w:t>
      </w:r>
      <w:r>
        <w:rPr>
          <w:spacing w:val="1"/>
        </w:rPr>
        <w:t xml:space="preserve"> </w:t>
      </w:r>
      <w:r>
        <w:rPr>
          <w:spacing w:val="-2"/>
        </w:rPr>
        <w:t>in</w:t>
      </w:r>
      <w:r>
        <w:rPr>
          <w:spacing w:val="1"/>
        </w:rPr>
        <w:t xml:space="preserve"> </w:t>
      </w:r>
      <w:r>
        <w:t>the</w:t>
      </w:r>
      <w:r>
        <w:rPr>
          <w:spacing w:val="-3"/>
        </w:rPr>
        <w:t xml:space="preserve"> </w:t>
      </w:r>
      <w:r w:rsidR="00C71A0E">
        <w:t>P</w:t>
      </w:r>
      <w:r>
        <w:t>hase</w:t>
      </w:r>
      <w:r>
        <w:rPr>
          <w:spacing w:val="-3"/>
        </w:rPr>
        <w:t xml:space="preserve"> </w:t>
      </w:r>
      <w:r>
        <w:t>III studies.</w:t>
      </w:r>
    </w:p>
    <w:p w:rsidR="002A0F05" w:rsidRPr="004778FF" w:rsidRDefault="002A0F05" w:rsidP="004778FF">
      <w:pPr>
        <w:pStyle w:val="Heading5"/>
        <w:rPr>
          <w:rFonts w:eastAsia="Arial"/>
        </w:rPr>
      </w:pPr>
      <w:bookmarkStart w:id="89" w:name="8.4.1.2._Other_studies"/>
      <w:bookmarkStart w:id="90" w:name="_TOC_250040"/>
      <w:bookmarkEnd w:id="89"/>
      <w:r w:rsidRPr="004778FF">
        <w:t>Other studies</w:t>
      </w:r>
      <w:bookmarkEnd w:id="90"/>
    </w:p>
    <w:p w:rsidR="002A0F05" w:rsidRPr="00B72AF0" w:rsidRDefault="002A0F05" w:rsidP="00B72AF0">
      <w:r w:rsidRPr="00B72AF0">
        <w:t xml:space="preserve">In </w:t>
      </w:r>
      <w:r w:rsidR="00A12D97">
        <w:t>Study</w:t>
      </w:r>
      <w:r w:rsidRPr="00B72AF0">
        <w:t xml:space="preserve"> ADE05 there were no subjects with notable changes in LFTs after 24 weeks treatment. LFTs were not monitored in </w:t>
      </w:r>
      <w:r w:rsidR="00A12D97">
        <w:t>Study</w:t>
      </w:r>
      <w:r w:rsidRPr="00B72AF0">
        <w:t xml:space="preserve"> 4577g.</w:t>
      </w:r>
    </w:p>
    <w:p w:rsidR="002A0F05" w:rsidRPr="004778FF" w:rsidRDefault="002A0F05" w:rsidP="004778FF">
      <w:pPr>
        <w:pStyle w:val="Heading4"/>
      </w:pPr>
      <w:bookmarkStart w:id="91" w:name="8.4.2._Kidney_function"/>
      <w:bookmarkStart w:id="92" w:name="_TOC_250039"/>
      <w:bookmarkEnd w:id="91"/>
      <w:r w:rsidRPr="004778FF">
        <w:t>Kidney function</w:t>
      </w:r>
      <w:bookmarkEnd w:id="92"/>
    </w:p>
    <w:p w:rsidR="002A0F05" w:rsidRPr="004778FF" w:rsidRDefault="002A0F05" w:rsidP="004778FF">
      <w:pPr>
        <w:pStyle w:val="Heading5"/>
        <w:rPr>
          <w:rFonts w:eastAsia="Arial"/>
        </w:rPr>
      </w:pPr>
      <w:bookmarkStart w:id="93" w:name="8.4.2.1._Pooled_safety_database"/>
      <w:bookmarkStart w:id="94" w:name="_TOC_250038"/>
      <w:bookmarkEnd w:id="93"/>
      <w:r w:rsidRPr="004778FF">
        <w:t>Pooled safety database</w:t>
      </w:r>
      <w:bookmarkEnd w:id="94"/>
    </w:p>
    <w:p w:rsidR="002A0F05" w:rsidRPr="00B72AF0" w:rsidRDefault="002A0F05" w:rsidP="00B72AF0">
      <w:r w:rsidRPr="00B72AF0">
        <w:t>Renal function t</w:t>
      </w:r>
      <w:r w:rsidR="00C71A0E">
        <w:t>ests were not monitored in the P</w:t>
      </w:r>
      <w:r w:rsidRPr="00B72AF0">
        <w:t>hase III studies.</w:t>
      </w:r>
    </w:p>
    <w:p w:rsidR="002A0F05" w:rsidRPr="004778FF" w:rsidRDefault="002A0F05" w:rsidP="004778FF">
      <w:pPr>
        <w:pStyle w:val="Heading5"/>
      </w:pPr>
      <w:bookmarkStart w:id="95" w:name="8.4.2.2._Other_studies"/>
      <w:bookmarkStart w:id="96" w:name="_TOC_250037"/>
      <w:bookmarkEnd w:id="95"/>
      <w:r w:rsidRPr="004778FF">
        <w:t>Other studies</w:t>
      </w:r>
      <w:bookmarkEnd w:id="96"/>
    </w:p>
    <w:p w:rsidR="002A0F05" w:rsidRPr="00B72AF0" w:rsidRDefault="002A0F05" w:rsidP="00B72AF0">
      <w:r w:rsidRPr="00B72AF0">
        <w:t xml:space="preserve">In </w:t>
      </w:r>
      <w:r w:rsidR="00A12D97">
        <w:t>Study</w:t>
      </w:r>
      <w:r w:rsidRPr="00B72AF0">
        <w:t xml:space="preserve"> ADE05 there were no cases of significant elevation of creatinine after 24 weeks treatment. Renal function tests were not monitored in </w:t>
      </w:r>
      <w:r w:rsidR="00A12D97">
        <w:t>Study</w:t>
      </w:r>
      <w:r w:rsidRPr="00B72AF0">
        <w:t xml:space="preserve"> 4577g.</w:t>
      </w:r>
    </w:p>
    <w:p w:rsidR="002A0F05" w:rsidRPr="004778FF" w:rsidRDefault="002A0F05" w:rsidP="004778FF">
      <w:pPr>
        <w:pStyle w:val="Heading4"/>
      </w:pPr>
      <w:bookmarkStart w:id="97" w:name="8.4.3._Other_clinical_chemistry"/>
      <w:bookmarkStart w:id="98" w:name="_TOC_250036"/>
      <w:bookmarkEnd w:id="97"/>
      <w:r w:rsidRPr="004778FF">
        <w:t>Other clinical chemistry</w:t>
      </w:r>
      <w:bookmarkEnd w:id="98"/>
    </w:p>
    <w:p w:rsidR="002A0F05" w:rsidRPr="004778FF" w:rsidRDefault="002A0F05" w:rsidP="004778FF">
      <w:pPr>
        <w:pStyle w:val="Heading5"/>
        <w:rPr>
          <w:rFonts w:eastAsia="Arial"/>
        </w:rPr>
      </w:pPr>
      <w:bookmarkStart w:id="99" w:name="8.4.3.1._Pooled_safety_database"/>
      <w:bookmarkStart w:id="100" w:name="_TOC_250035"/>
      <w:bookmarkEnd w:id="99"/>
      <w:r w:rsidRPr="004778FF">
        <w:t>Pooled safety database</w:t>
      </w:r>
      <w:bookmarkEnd w:id="100"/>
    </w:p>
    <w:p w:rsidR="002A0F05" w:rsidRPr="00B72AF0" w:rsidRDefault="002A0F05" w:rsidP="00B72AF0">
      <w:r w:rsidRPr="00B72AF0">
        <w:t>Blood biochemistry t</w:t>
      </w:r>
      <w:r w:rsidR="00C71A0E">
        <w:t>ests were not monitored in the P</w:t>
      </w:r>
      <w:r w:rsidRPr="00B72AF0">
        <w:t>hase III studies.</w:t>
      </w:r>
    </w:p>
    <w:p w:rsidR="002A0F05" w:rsidRPr="00B72AF0" w:rsidRDefault="002A0F05" w:rsidP="004778FF">
      <w:pPr>
        <w:pStyle w:val="Heading5"/>
        <w:rPr>
          <w:rFonts w:eastAsia="Arial"/>
        </w:rPr>
      </w:pPr>
      <w:bookmarkStart w:id="101" w:name="8.4.3.2._Other_studies"/>
      <w:bookmarkStart w:id="102" w:name="_TOC_250034"/>
      <w:bookmarkEnd w:id="101"/>
      <w:r w:rsidRPr="00B72AF0">
        <w:t>Other studies</w:t>
      </w:r>
      <w:bookmarkEnd w:id="102"/>
    </w:p>
    <w:p w:rsidR="002A0F05" w:rsidRPr="00B72AF0" w:rsidRDefault="002A0F05" w:rsidP="00B72AF0">
      <w:r w:rsidRPr="00B72AF0">
        <w:t xml:space="preserve">In </w:t>
      </w:r>
      <w:r w:rsidR="00A12D97">
        <w:t>Study</w:t>
      </w:r>
      <w:r w:rsidRPr="00B72AF0">
        <w:t xml:space="preserve"> ADE05 elevated</w:t>
      </w:r>
      <w:r w:rsidR="0019425C" w:rsidRPr="00B72AF0">
        <w:t xml:space="preserve"> glucose</w:t>
      </w:r>
      <w:r w:rsidRPr="00B72AF0">
        <w:t xml:space="preserve"> was observed in two subjects (7.4%) in the omalizumab arm and none in the placebo arm. There were no other remarkable changes in biochemistry parameters.</w:t>
      </w:r>
    </w:p>
    <w:p w:rsidR="002A0F05" w:rsidRPr="00B72AF0" w:rsidRDefault="002A0F05" w:rsidP="00B72AF0">
      <w:r w:rsidRPr="00B72AF0">
        <w:t xml:space="preserve">Blood biochemistry was not monitored in </w:t>
      </w:r>
      <w:r w:rsidR="00A12D97">
        <w:t>Study</w:t>
      </w:r>
      <w:r w:rsidRPr="00B72AF0">
        <w:t xml:space="preserve"> 4577g.</w:t>
      </w:r>
    </w:p>
    <w:p w:rsidR="002A0F05" w:rsidRPr="004778FF" w:rsidRDefault="002A0F05" w:rsidP="004778FF">
      <w:pPr>
        <w:pStyle w:val="Heading4"/>
      </w:pPr>
      <w:bookmarkStart w:id="103" w:name="8.4.4._Haematology"/>
      <w:bookmarkStart w:id="104" w:name="_TOC_250033"/>
      <w:bookmarkEnd w:id="103"/>
      <w:r w:rsidRPr="004778FF">
        <w:t>Haematology</w:t>
      </w:r>
      <w:bookmarkEnd w:id="104"/>
    </w:p>
    <w:p w:rsidR="002A0F05" w:rsidRPr="004778FF" w:rsidRDefault="002A0F05" w:rsidP="004778FF">
      <w:pPr>
        <w:pStyle w:val="Heading5"/>
        <w:rPr>
          <w:rFonts w:eastAsia="Arial"/>
        </w:rPr>
      </w:pPr>
      <w:bookmarkStart w:id="105" w:name="8.4.4.1._Pooled_safety_database"/>
      <w:bookmarkStart w:id="106" w:name="_TOC_250032"/>
      <w:bookmarkEnd w:id="105"/>
      <w:r w:rsidRPr="004778FF">
        <w:t>Pooled safety database</w:t>
      </w:r>
      <w:bookmarkEnd w:id="106"/>
    </w:p>
    <w:p w:rsidR="002A0F05" w:rsidRPr="00B72AF0" w:rsidRDefault="002A0F05" w:rsidP="00B72AF0">
      <w:r w:rsidRPr="00B72AF0">
        <w:t>There were no notable differences in the incidence of abnormal haematology values between the four treatment groups.</w:t>
      </w:r>
    </w:p>
    <w:p w:rsidR="002A0F05" w:rsidRPr="00B72AF0" w:rsidRDefault="002A0F05" w:rsidP="00B72AF0">
      <w:r w:rsidRPr="00B72AF0">
        <w:rPr>
          <w:noProof/>
          <w:lang w:eastAsia="en-AU"/>
        </w:rPr>
        <mc:AlternateContent>
          <mc:Choice Requires="wps">
            <w:drawing>
              <wp:anchor distT="0" distB="0" distL="114300" distR="114300" simplePos="0" relativeHeight="251659264" behindDoc="1" locked="0" layoutInCell="1" allowOverlap="1" wp14:anchorId="25D88C1D" wp14:editId="7F840109">
                <wp:simplePos x="0" y="0"/>
                <wp:positionH relativeFrom="page">
                  <wp:posOffset>5535295</wp:posOffset>
                </wp:positionH>
                <wp:positionV relativeFrom="paragraph">
                  <wp:posOffset>30480</wp:posOffset>
                </wp:positionV>
                <wp:extent cx="49530" cy="88900"/>
                <wp:effectExtent l="127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7B" w:rsidRDefault="002B697B" w:rsidP="002A0F05">
                            <w:pPr>
                              <w:spacing w:line="139" w:lineRule="exact"/>
                              <w:rPr>
                                <w:rFonts w:cs="Cambria"/>
                                <w:sz w:val="14"/>
                                <w:szCs w:val="14"/>
                              </w:rPr>
                            </w:pPr>
                            <w:r>
                              <w:rPr>
                                <w:sz w:val="1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35.85pt;margin-top:2.4pt;width:3.9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" filled="f" stroked="f">
                <v:textbox inset="0,0,0,0">
                  <w:txbxContent>
                    <w:p w:rsidR="002B697B" w:rsidRDefault="002B697B" w:rsidP="002A0F05">
                      <w:pPr>
                        <w:spacing w:line="139" w:lineRule="exact"/>
                        <w:rPr>
                          <w:rFonts w:cs="Cambria"/>
                          <w:sz w:val="14"/>
                          <w:szCs w:val="14"/>
                        </w:rPr>
                      </w:pPr>
                      <w:r>
                        <w:rPr>
                          <w:sz w:val="14"/>
                        </w:rPr>
                        <w:t>9</w:t>
                      </w:r>
                    </w:p>
                  </w:txbxContent>
                </v:textbox>
                <w10:wrap anchorx="page"/>
              </v:shape>
            </w:pict>
          </mc:Fallback>
        </mc:AlternateContent>
      </w:r>
      <w:r w:rsidRPr="00B72AF0">
        <w:t xml:space="preserve">A clinically significant decrease in platelet count was defined </w:t>
      </w:r>
      <w:r w:rsidR="000468CD">
        <w:t>as being &lt;</w:t>
      </w:r>
      <w:r w:rsidR="00C71A0E">
        <w:t xml:space="preserve"> </w:t>
      </w:r>
      <w:r w:rsidR="000468CD">
        <w:t>75×10</w:t>
      </w:r>
      <w:r w:rsidR="000468CD" w:rsidRPr="000468CD">
        <w:rPr>
          <w:vertAlign w:val="superscript"/>
        </w:rPr>
        <w:t>9</w:t>
      </w:r>
      <w:r w:rsidR="000468CD">
        <w:t>/L</w:t>
      </w:r>
      <w:r w:rsidRPr="00B72AF0">
        <w:t>, or a ≥</w:t>
      </w:r>
      <w:r w:rsidR="000468CD">
        <w:t xml:space="preserve"> </w:t>
      </w:r>
      <w:r w:rsidRPr="00B72AF0">
        <w:t>50% decrease from baseline. The incidence of such decreases was comparable across treatment arms: Placebo - 2/242 (0.8%), 75 mg - 1/146 patients (0.6%), 150 mg - 1/175 patients (0.6%), and omalizumab 300 mg - 3/412 (0.7%).</w:t>
      </w:r>
    </w:p>
    <w:p w:rsidR="002A0F05" w:rsidRPr="004778FF" w:rsidRDefault="002A0F05" w:rsidP="004778FF">
      <w:pPr>
        <w:pStyle w:val="Heading5"/>
        <w:rPr>
          <w:rFonts w:eastAsia="Arial"/>
        </w:rPr>
      </w:pPr>
      <w:bookmarkStart w:id="107" w:name="8.4.4.2._Other_studies"/>
      <w:bookmarkStart w:id="108" w:name="_TOC_250031"/>
      <w:bookmarkEnd w:id="107"/>
      <w:r w:rsidRPr="004778FF">
        <w:t>Other studies</w:t>
      </w:r>
      <w:bookmarkEnd w:id="108"/>
    </w:p>
    <w:p w:rsidR="002A0F05" w:rsidRPr="000468CD" w:rsidRDefault="002A0F05" w:rsidP="000468CD">
      <w:r w:rsidRPr="000468CD">
        <w:t>The incidence of ‘notable’ changes in haematology parameters</w:t>
      </w:r>
      <w:r w:rsidR="003334B2">
        <w:t xml:space="preserve"> noted</w:t>
      </w:r>
      <w:r w:rsidRPr="000468CD">
        <w:t xml:space="preserve"> at </w:t>
      </w:r>
      <w:r w:rsidR="000E3BD7">
        <w:t xml:space="preserve">Week </w:t>
      </w:r>
      <w:r w:rsidRPr="000468CD">
        <w:t xml:space="preserve">24 in </w:t>
      </w:r>
      <w:r w:rsidR="00A12D97">
        <w:t>Study</w:t>
      </w:r>
      <w:r w:rsidRPr="000468CD">
        <w:t xml:space="preserve"> ADE05 </w:t>
      </w:r>
      <w:r w:rsidR="003334B2">
        <w:t xml:space="preserve">was </w:t>
      </w:r>
      <w:r w:rsidR="00C71A0E">
        <w:t>provided</w:t>
      </w:r>
      <w:r w:rsidRPr="000468CD">
        <w:t>. Elevated haemoglobin/haematocrit values were more frequent in the omalizumab group.</w:t>
      </w:r>
    </w:p>
    <w:p w:rsidR="002A0F05" w:rsidRPr="000468CD" w:rsidRDefault="002A0F05" w:rsidP="000468CD">
      <w:r w:rsidRPr="000468CD">
        <w:t xml:space="preserve">In </w:t>
      </w:r>
      <w:r w:rsidR="00A12D97">
        <w:t>Study</w:t>
      </w:r>
      <w:r w:rsidRPr="000468CD">
        <w:t xml:space="preserve"> 4577g, there was no discernible pattern in the incidence of abnormal haematology values to suggest an adverse effect of omalizumab. In particular the incidence of platelet count reductions did not increase with increasing dose.</w:t>
      </w:r>
    </w:p>
    <w:p w:rsidR="002A0F05" w:rsidRPr="004778FF" w:rsidRDefault="002A0F05" w:rsidP="004778FF">
      <w:pPr>
        <w:pStyle w:val="Heading4"/>
      </w:pPr>
      <w:bookmarkStart w:id="109" w:name="8.4.5._Anti-omalizumab_antibodies"/>
      <w:bookmarkStart w:id="110" w:name="_TOC_250030"/>
      <w:bookmarkEnd w:id="109"/>
      <w:r w:rsidRPr="004778FF">
        <w:lastRenderedPageBreak/>
        <w:t>Anti-</w:t>
      </w:r>
      <w:proofErr w:type="spellStart"/>
      <w:r w:rsidRPr="004778FF">
        <w:t>omalizumab</w:t>
      </w:r>
      <w:proofErr w:type="spellEnd"/>
      <w:r w:rsidRPr="004778FF">
        <w:t xml:space="preserve"> antibodies</w:t>
      </w:r>
      <w:bookmarkEnd w:id="110"/>
    </w:p>
    <w:p w:rsidR="002A0F05" w:rsidRPr="000468CD" w:rsidRDefault="002A0F05" w:rsidP="000468CD">
      <w:r w:rsidRPr="000468CD">
        <w:t xml:space="preserve">Subjects were </w:t>
      </w:r>
      <w:r w:rsidR="0083662E">
        <w:t xml:space="preserve">tested for the presence of anti </w:t>
      </w:r>
      <w:r w:rsidRPr="000468CD">
        <w:t>omalizumab antibodies at baseline and at study completion in all the submitted studies. No cases of antibody development were detected.</w:t>
      </w:r>
    </w:p>
    <w:p w:rsidR="002A0F05" w:rsidRPr="004778FF" w:rsidRDefault="002A0F05" w:rsidP="004778FF">
      <w:pPr>
        <w:pStyle w:val="Heading4"/>
      </w:pPr>
      <w:bookmarkStart w:id="111" w:name="8.4.6._Vital_signs"/>
      <w:bookmarkStart w:id="112" w:name="_TOC_250029"/>
      <w:bookmarkEnd w:id="111"/>
      <w:r w:rsidRPr="004778FF">
        <w:t>Vital signs</w:t>
      </w:r>
      <w:bookmarkEnd w:id="112"/>
    </w:p>
    <w:p w:rsidR="002A0F05" w:rsidRPr="004778FF" w:rsidRDefault="002A0F05" w:rsidP="004778FF">
      <w:pPr>
        <w:pStyle w:val="Heading5"/>
        <w:rPr>
          <w:rFonts w:eastAsia="Arial"/>
        </w:rPr>
      </w:pPr>
      <w:bookmarkStart w:id="113" w:name="8.4.6.1._Pooled_safety_database"/>
      <w:bookmarkStart w:id="114" w:name="_TOC_250028"/>
      <w:bookmarkEnd w:id="113"/>
      <w:r w:rsidRPr="004778FF">
        <w:t>Pooled safety database</w:t>
      </w:r>
      <w:bookmarkEnd w:id="114"/>
    </w:p>
    <w:p w:rsidR="002A0F05" w:rsidRPr="000468CD" w:rsidRDefault="002A0F05" w:rsidP="000468CD">
      <w:r w:rsidRPr="000468CD">
        <w:t>There were no significant changes in average values for systolic or diastolic blood pressure or pulse rate.</w:t>
      </w:r>
    </w:p>
    <w:p w:rsidR="002A0F05" w:rsidRPr="004778FF" w:rsidRDefault="002A0F05" w:rsidP="004778FF">
      <w:pPr>
        <w:pStyle w:val="Heading5"/>
        <w:rPr>
          <w:rFonts w:eastAsia="Arial"/>
        </w:rPr>
      </w:pPr>
      <w:bookmarkStart w:id="115" w:name="8.4.6.2._Other_studies"/>
      <w:bookmarkStart w:id="116" w:name="_TOC_250027"/>
      <w:bookmarkEnd w:id="115"/>
      <w:r w:rsidRPr="004778FF">
        <w:t>Other studies</w:t>
      </w:r>
      <w:bookmarkEnd w:id="116"/>
    </w:p>
    <w:p w:rsidR="002A0F05" w:rsidRPr="000468CD" w:rsidRDefault="002A0F05" w:rsidP="000468CD">
      <w:r w:rsidRPr="000468CD">
        <w:t xml:space="preserve">For </w:t>
      </w:r>
      <w:r w:rsidR="00A12D97">
        <w:t>Study</w:t>
      </w:r>
      <w:r w:rsidRPr="000468CD">
        <w:t xml:space="preserve"> ADE05 the study report stated that there were no clinically relevant differences in vital signs between the treatment groups.</w:t>
      </w:r>
    </w:p>
    <w:p w:rsidR="002A0F05" w:rsidRPr="000468CD" w:rsidRDefault="002A0F05" w:rsidP="000468CD">
      <w:r w:rsidRPr="000468CD">
        <w:t xml:space="preserve">In </w:t>
      </w:r>
      <w:r w:rsidR="00A12D97">
        <w:t>Study</w:t>
      </w:r>
      <w:r w:rsidRPr="000468CD">
        <w:t xml:space="preserve"> 4577g, the incidences of abnormal values for blood pressure and pulse were comparable across the four treatment groups.</w:t>
      </w:r>
    </w:p>
    <w:p w:rsidR="002A0F05" w:rsidRPr="004778FF" w:rsidRDefault="002A0F05" w:rsidP="004778FF">
      <w:pPr>
        <w:pStyle w:val="Heading3"/>
      </w:pPr>
      <w:bookmarkStart w:id="117" w:name="8.5._Post-marketing_experience"/>
      <w:bookmarkStart w:id="118" w:name="_TOC_250026"/>
      <w:bookmarkStart w:id="119" w:name="_Toc425249011"/>
      <w:bookmarkEnd w:id="117"/>
      <w:r w:rsidRPr="004778FF">
        <w:t>Post-marketing experience</w:t>
      </w:r>
      <w:bookmarkEnd w:id="118"/>
      <w:bookmarkEnd w:id="119"/>
    </w:p>
    <w:p w:rsidR="002A0F05" w:rsidRPr="000468CD" w:rsidRDefault="002A0F05" w:rsidP="000468CD">
      <w:r w:rsidRPr="000468CD">
        <w:t>No post-marketing data were included in Module 5 of the submission.</w:t>
      </w:r>
    </w:p>
    <w:p w:rsidR="002A0F05" w:rsidRPr="004778FF" w:rsidRDefault="002A0F05" w:rsidP="004778FF">
      <w:pPr>
        <w:pStyle w:val="Heading3"/>
      </w:pPr>
      <w:bookmarkStart w:id="120" w:name="8.6._Safety_issues_with_the_potential_fo"/>
      <w:bookmarkStart w:id="121" w:name="_TOC_250025"/>
      <w:bookmarkStart w:id="122" w:name="_Toc425249012"/>
      <w:bookmarkEnd w:id="120"/>
      <w:r w:rsidRPr="004778FF">
        <w:t>Safety issues with the potential for major regulatory impact</w:t>
      </w:r>
      <w:bookmarkEnd w:id="121"/>
      <w:bookmarkEnd w:id="122"/>
    </w:p>
    <w:p w:rsidR="002A0F05" w:rsidRPr="004778FF" w:rsidRDefault="002A0F05" w:rsidP="004778FF">
      <w:pPr>
        <w:pStyle w:val="Heading4"/>
      </w:pPr>
      <w:bookmarkStart w:id="123" w:name="8.6.1._Liver_toxicity"/>
      <w:bookmarkStart w:id="124" w:name="_TOC_250024"/>
      <w:bookmarkEnd w:id="123"/>
      <w:r w:rsidRPr="004778FF">
        <w:t>Liver toxicity</w:t>
      </w:r>
      <w:bookmarkEnd w:id="124"/>
    </w:p>
    <w:p w:rsidR="002A0F05" w:rsidRPr="000468CD" w:rsidRDefault="002A0F05" w:rsidP="000468CD">
      <w:r w:rsidRPr="000468CD">
        <w:t>Liver function tests were generally not monitored in the submitted studies. Omalizumab has not previously been associated with liver toxicity.</w:t>
      </w:r>
    </w:p>
    <w:p w:rsidR="002A0F05" w:rsidRPr="004778FF" w:rsidRDefault="002A0F05" w:rsidP="004778FF">
      <w:pPr>
        <w:pStyle w:val="Heading4"/>
      </w:pPr>
      <w:bookmarkStart w:id="125" w:name="8.6.2._Haematological_toxicity"/>
      <w:bookmarkStart w:id="126" w:name="_TOC_250023"/>
      <w:bookmarkEnd w:id="125"/>
      <w:r w:rsidRPr="004778FF">
        <w:t>Haematological toxicity</w:t>
      </w:r>
      <w:bookmarkEnd w:id="126"/>
    </w:p>
    <w:p w:rsidR="002A0F05" w:rsidRDefault="002A0F05" w:rsidP="005F713B">
      <w:r>
        <w:rPr>
          <w:spacing w:val="-3"/>
        </w:rPr>
        <w:t>There</w:t>
      </w:r>
      <w:r>
        <w:rPr>
          <w:spacing w:val="2"/>
        </w:rPr>
        <w:t xml:space="preserve"> </w:t>
      </w:r>
      <w:r>
        <w:rPr>
          <w:spacing w:val="-2"/>
        </w:rPr>
        <w:t>was</w:t>
      </w:r>
      <w:r>
        <w:t xml:space="preserve"> no</w:t>
      </w:r>
      <w:r>
        <w:rPr>
          <w:spacing w:val="-3"/>
        </w:rPr>
        <w:t xml:space="preserve"> </w:t>
      </w:r>
      <w:r>
        <w:t>evidence</w:t>
      </w:r>
      <w:r>
        <w:rPr>
          <w:spacing w:val="-3"/>
        </w:rPr>
        <w:t xml:space="preserve"> </w:t>
      </w:r>
      <w:r>
        <w:t xml:space="preserve">of </w:t>
      </w:r>
      <w:r>
        <w:rPr>
          <w:spacing w:val="-3"/>
        </w:rPr>
        <w:t>any</w:t>
      </w:r>
      <w:r>
        <w:rPr>
          <w:spacing w:val="-2"/>
        </w:rPr>
        <w:t xml:space="preserve"> clinically </w:t>
      </w:r>
      <w:r>
        <w:rPr>
          <w:spacing w:val="-3"/>
        </w:rPr>
        <w:t>relevant</w:t>
      </w:r>
      <w:r>
        <w:rPr>
          <w:spacing w:val="1"/>
        </w:rPr>
        <w:t xml:space="preserve"> </w:t>
      </w:r>
      <w:r>
        <w:t>effect</w:t>
      </w:r>
      <w:r>
        <w:rPr>
          <w:spacing w:val="1"/>
        </w:rPr>
        <w:t xml:space="preserve"> </w:t>
      </w:r>
      <w:r>
        <w:t xml:space="preserve">of </w:t>
      </w:r>
      <w:r>
        <w:rPr>
          <w:spacing w:val="-2"/>
        </w:rPr>
        <w:t xml:space="preserve">omalizumab </w:t>
      </w:r>
      <w:r>
        <w:t>on</w:t>
      </w:r>
      <w:r>
        <w:rPr>
          <w:spacing w:val="1"/>
        </w:rPr>
        <w:t xml:space="preserve"> </w:t>
      </w:r>
      <w:r>
        <w:t>haematology</w:t>
      </w:r>
      <w:r>
        <w:rPr>
          <w:spacing w:val="-2"/>
        </w:rPr>
        <w:t xml:space="preserve"> parameters</w:t>
      </w:r>
      <w:r>
        <w:rPr>
          <w:spacing w:val="83"/>
        </w:rPr>
        <w:t xml:space="preserve"> </w:t>
      </w:r>
      <w:r>
        <w:t>in</w:t>
      </w:r>
      <w:r>
        <w:rPr>
          <w:spacing w:val="1"/>
        </w:rPr>
        <w:t xml:space="preserve"> </w:t>
      </w:r>
      <w:r>
        <w:t>the</w:t>
      </w:r>
      <w:r>
        <w:rPr>
          <w:spacing w:val="-3"/>
        </w:rPr>
        <w:t xml:space="preserve"> </w:t>
      </w:r>
      <w:r>
        <w:t>submitted</w:t>
      </w:r>
      <w:r>
        <w:rPr>
          <w:spacing w:val="1"/>
        </w:rPr>
        <w:t xml:space="preserve"> </w:t>
      </w:r>
      <w:r>
        <w:t>studies.</w:t>
      </w:r>
    </w:p>
    <w:p w:rsidR="002A0F05" w:rsidRPr="004778FF" w:rsidRDefault="002A0F05" w:rsidP="004778FF">
      <w:pPr>
        <w:pStyle w:val="Heading4"/>
      </w:pPr>
      <w:bookmarkStart w:id="127" w:name="8.6.3._Serious_skin_reactions"/>
      <w:bookmarkStart w:id="128" w:name="_TOC_250022"/>
      <w:bookmarkEnd w:id="127"/>
      <w:r w:rsidRPr="004778FF">
        <w:t>Serious skin reactions</w:t>
      </w:r>
      <w:bookmarkEnd w:id="128"/>
    </w:p>
    <w:p w:rsidR="002A0F05" w:rsidRPr="00A00B1B" w:rsidRDefault="002A0F05" w:rsidP="00A00B1B">
      <w:r w:rsidRPr="00A00B1B">
        <w:t>There were no reports of serious skin toxicity (</w:t>
      </w:r>
      <w:r w:rsidR="001E0C79">
        <w:t>for example;</w:t>
      </w:r>
      <w:r w:rsidRPr="00A00B1B">
        <w:t xml:space="preserve"> </w:t>
      </w:r>
      <w:proofErr w:type="gramStart"/>
      <w:r w:rsidRPr="00A00B1B">
        <w:t>Stevens-Johnson Syndrome</w:t>
      </w:r>
      <w:proofErr w:type="gramEnd"/>
      <w:r w:rsidRPr="00A00B1B">
        <w:t xml:space="preserve"> or Toxic Epidermal </w:t>
      </w:r>
      <w:proofErr w:type="spellStart"/>
      <w:r w:rsidRPr="00A00B1B">
        <w:t>Necrolysis</w:t>
      </w:r>
      <w:proofErr w:type="spellEnd"/>
      <w:r w:rsidRPr="00A00B1B">
        <w:t>) in the submitted studies.</w:t>
      </w:r>
    </w:p>
    <w:p w:rsidR="002A0F05" w:rsidRPr="004778FF" w:rsidRDefault="002A0F05" w:rsidP="004778FF">
      <w:pPr>
        <w:pStyle w:val="Heading4"/>
      </w:pPr>
      <w:bookmarkStart w:id="129" w:name="8.6.4._Cardiovascular_safety"/>
      <w:bookmarkStart w:id="130" w:name="_TOC_250021"/>
      <w:bookmarkEnd w:id="129"/>
      <w:r w:rsidRPr="004778FF">
        <w:t>Cardiovascular safety</w:t>
      </w:r>
      <w:bookmarkEnd w:id="130"/>
    </w:p>
    <w:p w:rsidR="002A0F05" w:rsidRPr="000468CD" w:rsidRDefault="002A0F05" w:rsidP="000468CD">
      <w:r w:rsidRPr="000468CD">
        <w:t>In the submitted studies, there was no evidence of any increase in cardiovascular toxicity compared to placebo.</w:t>
      </w:r>
    </w:p>
    <w:p w:rsidR="002A0F05" w:rsidRPr="004778FF" w:rsidRDefault="002A0F05" w:rsidP="004778FF">
      <w:pPr>
        <w:pStyle w:val="Heading4"/>
      </w:pPr>
      <w:bookmarkStart w:id="131" w:name="8.6.5._Unwanted_immunological_events"/>
      <w:bookmarkStart w:id="132" w:name="_TOC_250020"/>
      <w:bookmarkEnd w:id="131"/>
      <w:r w:rsidRPr="004778FF">
        <w:t>Unwanted immunological events</w:t>
      </w:r>
      <w:bookmarkEnd w:id="132"/>
    </w:p>
    <w:p w:rsidR="002A0F05" w:rsidRPr="000468CD" w:rsidRDefault="002A0F05" w:rsidP="000468CD">
      <w:proofErr w:type="spellStart"/>
      <w:r w:rsidRPr="000468CD">
        <w:t>Omalizumab</w:t>
      </w:r>
      <w:proofErr w:type="spellEnd"/>
      <w:r w:rsidRPr="000468CD">
        <w:t xml:space="preserve"> is known to be associated with hypersensitivity events (</w:t>
      </w:r>
      <w:r w:rsidR="001E0C79">
        <w:t>for example;</w:t>
      </w:r>
      <w:r w:rsidRPr="000468CD">
        <w:t xml:space="preserve"> anaphylaxis) and the current PI contains precautionary statements along these lines. In the pooled safety analysis there was a slight excess of hypersensitivity events in the 300 mg group compared to the placebo group.</w:t>
      </w:r>
    </w:p>
    <w:p w:rsidR="002A0F05" w:rsidRPr="000468CD" w:rsidRDefault="002A0F05" w:rsidP="000468CD">
      <w:r w:rsidRPr="000468CD">
        <w:t>There were no cases of antibody development to omalizumab.</w:t>
      </w:r>
    </w:p>
    <w:p w:rsidR="002A0F05" w:rsidRPr="004778FF" w:rsidRDefault="002A0F05" w:rsidP="004778FF">
      <w:pPr>
        <w:pStyle w:val="Heading3"/>
      </w:pPr>
      <w:bookmarkStart w:id="133" w:name="_TOC_250019"/>
      <w:bookmarkStart w:id="134" w:name="_Toc425249013"/>
      <w:r w:rsidRPr="004778FF">
        <w:t>Evaluator’s overall conclusions on clinical safety</w:t>
      </w:r>
      <w:bookmarkEnd w:id="133"/>
      <w:bookmarkEnd w:id="134"/>
    </w:p>
    <w:p w:rsidR="000468CD" w:rsidRDefault="002A0F05" w:rsidP="000468CD">
      <w:r w:rsidRPr="000468CD">
        <w:t xml:space="preserve">Compared to placebo, </w:t>
      </w:r>
      <w:proofErr w:type="spellStart"/>
      <w:r w:rsidRPr="000468CD">
        <w:t>omalizumab</w:t>
      </w:r>
      <w:proofErr w:type="spellEnd"/>
      <w:r w:rsidRPr="000468CD">
        <w:t xml:space="preserve"> was associated with a modest increase in the incidence of AEs. Specific AEs that may be increased by omalizumab administration include headache, arthralgia and injection site reactions. However, compared to placebo, there was no increased risk of severe AEs, serious AEs or discontinuations due to AEs. No new safety issues have arisen in the new patient population.</w:t>
      </w:r>
    </w:p>
    <w:p w:rsidR="002A0F05" w:rsidRPr="000468CD" w:rsidRDefault="002A0F05" w:rsidP="000468CD">
      <w:r w:rsidRPr="000468CD">
        <w:t>The overall safety profile of omalizumab in CIU is considered acceptable.</w:t>
      </w:r>
    </w:p>
    <w:p w:rsidR="00C22678" w:rsidRPr="004778FF" w:rsidRDefault="00C22678" w:rsidP="004778FF">
      <w:pPr>
        <w:pStyle w:val="Heading2"/>
      </w:pPr>
      <w:bookmarkStart w:id="135" w:name="_Toc425249014"/>
      <w:r w:rsidRPr="004778FF">
        <w:lastRenderedPageBreak/>
        <w:t>First round benefit-risk assessment</w:t>
      </w:r>
      <w:bookmarkEnd w:id="135"/>
    </w:p>
    <w:p w:rsidR="00230773" w:rsidRPr="004778FF" w:rsidRDefault="00230773" w:rsidP="004778FF">
      <w:pPr>
        <w:pStyle w:val="Heading3"/>
      </w:pPr>
      <w:bookmarkStart w:id="136" w:name="_TOC_250017"/>
      <w:bookmarkStart w:id="137" w:name="_Toc425249015"/>
      <w:r w:rsidRPr="004778FF">
        <w:t>First round assessment of benefits</w:t>
      </w:r>
      <w:bookmarkEnd w:id="136"/>
      <w:bookmarkEnd w:id="137"/>
    </w:p>
    <w:p w:rsidR="00230773" w:rsidRPr="000468CD" w:rsidRDefault="00230773" w:rsidP="000468CD">
      <w:r w:rsidRPr="000468CD">
        <w:t xml:space="preserve">The benefits of </w:t>
      </w:r>
      <w:proofErr w:type="spellStart"/>
      <w:r w:rsidRPr="000468CD">
        <w:t>omalizumab</w:t>
      </w:r>
      <w:proofErr w:type="spellEnd"/>
      <w:r w:rsidRPr="000468CD">
        <w:t xml:space="preserve"> in the treatment of CIU are:</w:t>
      </w:r>
    </w:p>
    <w:p w:rsidR="00230773" w:rsidRPr="000468CD" w:rsidRDefault="00230773" w:rsidP="000468CD">
      <w:pPr>
        <w:pStyle w:val="ListBullet"/>
      </w:pPr>
      <w:r w:rsidRPr="000468CD">
        <w:t>A significant reduction in the degree of itch and the number of hives present. The magnitude of these effects is considered clinically significant, and in a proportion of subjects, complete reso</w:t>
      </w:r>
      <w:r w:rsidR="00535DAC">
        <w:t>lution of itch and hives occurs</w:t>
      </w:r>
    </w:p>
    <w:p w:rsidR="00230773" w:rsidRPr="000468CD" w:rsidRDefault="00230773" w:rsidP="000468CD">
      <w:pPr>
        <w:pStyle w:val="ListBullet"/>
      </w:pPr>
      <w:r w:rsidRPr="000468CD">
        <w:t xml:space="preserve">A modest reduction in the number of </w:t>
      </w:r>
      <w:r w:rsidR="00535DAC">
        <w:t>days that angioedema is present</w:t>
      </w:r>
    </w:p>
    <w:p w:rsidR="000468CD" w:rsidRDefault="00230773" w:rsidP="000468CD">
      <w:pPr>
        <w:pStyle w:val="ListBullet"/>
      </w:pPr>
      <w:r w:rsidRPr="000468CD">
        <w:t>A modest improvement in quality of life</w:t>
      </w:r>
      <w:bookmarkStart w:id="138" w:name="9.2._First_round_assessment_of_risks"/>
      <w:bookmarkStart w:id="139" w:name="_TOC_250016"/>
      <w:bookmarkEnd w:id="138"/>
    </w:p>
    <w:p w:rsidR="00230773" w:rsidRPr="004778FF" w:rsidRDefault="00230773" w:rsidP="004778FF">
      <w:pPr>
        <w:pStyle w:val="Heading3"/>
      </w:pPr>
      <w:bookmarkStart w:id="140" w:name="_Toc425249016"/>
      <w:r w:rsidRPr="004778FF">
        <w:t>First round assessment of risks</w:t>
      </w:r>
      <w:bookmarkEnd w:id="139"/>
      <w:bookmarkEnd w:id="140"/>
    </w:p>
    <w:p w:rsidR="00230773" w:rsidRPr="000468CD" w:rsidRDefault="00230773" w:rsidP="000468CD">
      <w:r w:rsidRPr="000468CD">
        <w:t xml:space="preserve">The risks of </w:t>
      </w:r>
      <w:proofErr w:type="spellStart"/>
      <w:r w:rsidRPr="000468CD">
        <w:t>omalizumab</w:t>
      </w:r>
      <w:proofErr w:type="spellEnd"/>
      <w:r w:rsidRPr="000468CD">
        <w:t xml:space="preserve"> in the treatment of CIU are:</w:t>
      </w:r>
    </w:p>
    <w:p w:rsidR="00230773" w:rsidRPr="000468CD" w:rsidRDefault="00230773" w:rsidP="000468CD">
      <w:pPr>
        <w:pStyle w:val="ListBullet"/>
      </w:pPr>
      <w:r w:rsidRPr="000468CD">
        <w:t>An increased risk of some AEs such as headache, arthralgia and injection reactions. Thes</w:t>
      </w:r>
      <w:r w:rsidR="00535DAC">
        <w:t>e AEs are not severe or serious</w:t>
      </w:r>
    </w:p>
    <w:p w:rsidR="00230773" w:rsidRPr="000468CD" w:rsidRDefault="00230773" w:rsidP="000468CD">
      <w:pPr>
        <w:pStyle w:val="ListBullet"/>
      </w:pPr>
      <w:r w:rsidRPr="000468CD">
        <w:t>An increased risk of hypersensitivity reactions. An increased risk of severe reactions, such as anaphylaxis, was not seen in the submitted studies but has been docu</w:t>
      </w:r>
      <w:r w:rsidR="00535DAC">
        <w:t>mented with the drug previously</w:t>
      </w:r>
    </w:p>
    <w:p w:rsidR="00B41D55" w:rsidRPr="000468CD" w:rsidRDefault="00B41D55" w:rsidP="004778FF">
      <w:pPr>
        <w:pStyle w:val="Heading3"/>
      </w:pPr>
      <w:bookmarkStart w:id="141" w:name="9.3._First_round_assessment_of_benefit-r"/>
      <w:bookmarkStart w:id="142" w:name="_Toc425249017"/>
      <w:bookmarkEnd w:id="141"/>
      <w:r w:rsidRPr="000468CD">
        <w:t>First round assessment of benefit-risk balance</w:t>
      </w:r>
      <w:bookmarkEnd w:id="142"/>
    </w:p>
    <w:p w:rsidR="00B41D55" w:rsidRPr="000468CD" w:rsidRDefault="00B41D55" w:rsidP="000468CD">
      <w:r w:rsidRPr="000468CD">
        <w:t>The benefit-risk balance of omalizumab, given the proposed usage, is favourable.</w:t>
      </w:r>
    </w:p>
    <w:p w:rsidR="00C22678" w:rsidRPr="004778FF" w:rsidRDefault="00C22678" w:rsidP="004778FF">
      <w:pPr>
        <w:pStyle w:val="Heading2"/>
      </w:pPr>
      <w:bookmarkStart w:id="143" w:name="_Toc425249018"/>
      <w:r w:rsidRPr="004778FF">
        <w:t>First round recommendation regarding authorisation</w:t>
      </w:r>
      <w:bookmarkEnd w:id="143"/>
    </w:p>
    <w:p w:rsidR="00332939" w:rsidRPr="007F4D14" w:rsidRDefault="00332939" w:rsidP="007F4D14">
      <w:r w:rsidRPr="007F4D14">
        <w:t>It is recommended that the application be approved.</w:t>
      </w:r>
    </w:p>
    <w:p w:rsidR="00C22678" w:rsidRPr="004778FF" w:rsidRDefault="00C22678" w:rsidP="004778FF">
      <w:pPr>
        <w:pStyle w:val="Heading2"/>
      </w:pPr>
      <w:bookmarkStart w:id="144" w:name="_Toc425249019"/>
      <w:r w:rsidRPr="004778FF">
        <w:t>Clinical questions</w:t>
      </w:r>
      <w:bookmarkEnd w:id="144"/>
    </w:p>
    <w:p w:rsidR="00332939" w:rsidRDefault="00332939" w:rsidP="00332939">
      <w:pPr>
        <w:pStyle w:val="BodyText"/>
        <w:spacing w:before="130"/>
        <w:ind w:right="985"/>
      </w:pPr>
      <w:r w:rsidRPr="00332939">
        <w:rPr>
          <w:b w:val="0"/>
        </w:rPr>
        <w:t>There are no clinical questions for the sponsor</w:t>
      </w:r>
      <w:r>
        <w:rPr>
          <w:spacing w:val="-3"/>
        </w:rPr>
        <w:t>.</w:t>
      </w:r>
    </w:p>
    <w:p w:rsidR="00C618F7" w:rsidRPr="004778FF" w:rsidRDefault="00C618F7" w:rsidP="004778FF">
      <w:pPr>
        <w:pStyle w:val="Heading2"/>
      </w:pPr>
      <w:bookmarkStart w:id="145" w:name="_Toc425249020"/>
      <w:r w:rsidRPr="004778FF">
        <w:t>Second round evaluation of clinical data submitted in response to questions</w:t>
      </w:r>
      <w:bookmarkEnd w:id="145"/>
    </w:p>
    <w:p w:rsidR="00332939" w:rsidRPr="007F4D14" w:rsidRDefault="00705DDF" w:rsidP="007F4D14">
      <w:r w:rsidRPr="007F4D14">
        <w:t>No</w:t>
      </w:r>
      <w:r w:rsidR="00B519C4" w:rsidRPr="007F4D14">
        <w:t xml:space="preserve">t applicable due to </w:t>
      </w:r>
      <w:proofErr w:type="gramStart"/>
      <w:r w:rsidR="00B519C4" w:rsidRPr="007F4D14">
        <w:t>no</w:t>
      </w:r>
      <w:proofErr w:type="gramEnd"/>
      <w:r w:rsidR="00B519C4" w:rsidRPr="007F4D14">
        <w:t xml:space="preserve"> second round evaluation</w:t>
      </w:r>
      <w:r w:rsidRPr="007F4D14">
        <w:t>.</w:t>
      </w:r>
    </w:p>
    <w:p w:rsidR="00C618F7" w:rsidRPr="004778FF" w:rsidRDefault="00C618F7" w:rsidP="004778FF">
      <w:pPr>
        <w:pStyle w:val="Heading2"/>
      </w:pPr>
      <w:bookmarkStart w:id="146" w:name="_Toc425249021"/>
      <w:r w:rsidRPr="004778FF">
        <w:t>Second round benefit-risk assessment</w:t>
      </w:r>
      <w:bookmarkEnd w:id="146"/>
    </w:p>
    <w:p w:rsidR="00705DDF" w:rsidRPr="007F4D14" w:rsidRDefault="00B519C4" w:rsidP="007F4D14">
      <w:r w:rsidRPr="007F4D14">
        <w:t xml:space="preserve">Not applicable due to </w:t>
      </w:r>
      <w:proofErr w:type="gramStart"/>
      <w:r w:rsidRPr="007F4D14">
        <w:t>no</w:t>
      </w:r>
      <w:proofErr w:type="gramEnd"/>
      <w:r w:rsidRPr="007F4D14">
        <w:t xml:space="preserve"> second round evaluation</w:t>
      </w:r>
      <w:r w:rsidR="00705DDF" w:rsidRPr="007F4D14">
        <w:t>.</w:t>
      </w:r>
    </w:p>
    <w:p w:rsidR="00C618F7" w:rsidRPr="004778FF" w:rsidRDefault="00C618F7" w:rsidP="004778FF">
      <w:pPr>
        <w:pStyle w:val="Heading2"/>
      </w:pPr>
      <w:bookmarkStart w:id="147" w:name="_Toc425249022"/>
      <w:r w:rsidRPr="004778FF">
        <w:t>Second round recommendation regarding authorisation</w:t>
      </w:r>
      <w:bookmarkEnd w:id="147"/>
    </w:p>
    <w:p w:rsidR="00705DDF" w:rsidRPr="007F4D14" w:rsidRDefault="00B519C4" w:rsidP="007F4D14">
      <w:r w:rsidRPr="007F4D14">
        <w:t xml:space="preserve">Not applicable due to </w:t>
      </w:r>
      <w:proofErr w:type="gramStart"/>
      <w:r w:rsidRPr="007F4D14">
        <w:t>no</w:t>
      </w:r>
      <w:proofErr w:type="gramEnd"/>
      <w:r w:rsidRPr="007F4D14">
        <w:t xml:space="preserve"> second round evaluation</w:t>
      </w:r>
      <w:r w:rsidR="00705DDF" w:rsidRPr="007F4D14">
        <w:t>.</w:t>
      </w:r>
    </w:p>
    <w:p w:rsidR="00C618F7" w:rsidRPr="004778FF" w:rsidRDefault="00C618F7" w:rsidP="004778FF">
      <w:pPr>
        <w:pStyle w:val="Heading2"/>
      </w:pPr>
      <w:bookmarkStart w:id="148" w:name="_Toc425249023"/>
      <w:r w:rsidRPr="004778FF">
        <w:lastRenderedPageBreak/>
        <w:t>References</w:t>
      </w:r>
      <w:bookmarkEnd w:id="148"/>
    </w:p>
    <w:p w:rsidR="00332939" w:rsidRPr="007F4D14" w:rsidRDefault="00332939" w:rsidP="007F4D14">
      <w:pPr>
        <w:pStyle w:val="Numberbullet0"/>
        <w:numPr>
          <w:ilvl w:val="0"/>
          <w:numId w:val="27"/>
        </w:numPr>
      </w:pPr>
      <w:proofErr w:type="spellStart"/>
      <w:r w:rsidRPr="007F4D14">
        <w:t>Kupa</w:t>
      </w:r>
      <w:proofErr w:type="spellEnd"/>
      <w:r w:rsidRPr="007F4D14">
        <w:t xml:space="preserve"> A. Recurrent urticaria and angioedema. In: Bradley J and </w:t>
      </w:r>
      <w:proofErr w:type="spellStart"/>
      <w:r w:rsidRPr="007F4D14">
        <w:t>McCluskey</w:t>
      </w:r>
      <w:proofErr w:type="spellEnd"/>
      <w:r w:rsidRPr="007F4D14">
        <w:t xml:space="preserve"> J (</w:t>
      </w:r>
      <w:proofErr w:type="spellStart"/>
      <w:proofErr w:type="gramStart"/>
      <w:r w:rsidRPr="007F4D14">
        <w:t>eds</w:t>
      </w:r>
      <w:proofErr w:type="spellEnd"/>
      <w:proofErr w:type="gramEnd"/>
      <w:r w:rsidRPr="007F4D14">
        <w:t xml:space="preserve">). </w:t>
      </w:r>
      <w:r w:rsidRPr="007F4D14">
        <w:rPr>
          <w:i/>
        </w:rPr>
        <w:t>Clinical Immunology.</w:t>
      </w:r>
      <w:r w:rsidRPr="007F4D14">
        <w:t>1st ed. Oxford: Oxford University Press, 1997, pp</w:t>
      </w:r>
      <w:r w:rsidR="007F4D14" w:rsidRPr="007F4D14">
        <w:t xml:space="preserve"> </w:t>
      </w:r>
      <w:r w:rsidRPr="007F4D14">
        <w:t>123-137.</w:t>
      </w:r>
    </w:p>
    <w:p w:rsidR="00332939" w:rsidRPr="007F4D14" w:rsidRDefault="00332939" w:rsidP="007F4D14">
      <w:pPr>
        <w:pStyle w:val="Numberbullet0"/>
        <w:numPr>
          <w:ilvl w:val="0"/>
          <w:numId w:val="27"/>
        </w:numPr>
      </w:pPr>
      <w:r w:rsidRPr="007F4D14">
        <w:t xml:space="preserve">Kaplan AP and Greaves M. Pathogenesis of chronic urticaria. </w:t>
      </w:r>
      <w:proofErr w:type="spellStart"/>
      <w:r w:rsidRPr="007F4D14">
        <w:rPr>
          <w:i/>
        </w:rPr>
        <w:t>Clin</w:t>
      </w:r>
      <w:proofErr w:type="spellEnd"/>
      <w:r w:rsidRPr="007F4D14">
        <w:rPr>
          <w:i/>
        </w:rPr>
        <w:t xml:space="preserve"> </w:t>
      </w:r>
      <w:proofErr w:type="spellStart"/>
      <w:r w:rsidRPr="007F4D14">
        <w:rPr>
          <w:i/>
        </w:rPr>
        <w:t>Exp</w:t>
      </w:r>
      <w:proofErr w:type="spellEnd"/>
      <w:r w:rsidRPr="007F4D14">
        <w:rPr>
          <w:i/>
        </w:rPr>
        <w:t xml:space="preserve"> Allergy</w:t>
      </w:r>
      <w:r w:rsidRPr="007F4D14">
        <w:t>; 2009; 39 (6): 777-787.</w:t>
      </w:r>
    </w:p>
    <w:p w:rsidR="00332939" w:rsidRPr="007F4D14" w:rsidRDefault="00332939" w:rsidP="007F4D14">
      <w:pPr>
        <w:pStyle w:val="Numberbullet0"/>
        <w:numPr>
          <w:ilvl w:val="0"/>
          <w:numId w:val="27"/>
        </w:numPr>
      </w:pPr>
      <w:r w:rsidRPr="007F4D14">
        <w:t xml:space="preserve">Greaves MW. Chronic idiopathic urticaria. </w:t>
      </w:r>
      <w:proofErr w:type="spellStart"/>
      <w:r w:rsidRPr="007F4D14">
        <w:rPr>
          <w:i/>
        </w:rPr>
        <w:t>Curr</w:t>
      </w:r>
      <w:proofErr w:type="spellEnd"/>
      <w:r w:rsidRPr="007F4D14">
        <w:rPr>
          <w:i/>
        </w:rPr>
        <w:t xml:space="preserve"> </w:t>
      </w:r>
      <w:proofErr w:type="spellStart"/>
      <w:r w:rsidRPr="007F4D14">
        <w:rPr>
          <w:i/>
        </w:rPr>
        <w:t>Opin</w:t>
      </w:r>
      <w:proofErr w:type="spellEnd"/>
      <w:r w:rsidRPr="007F4D14">
        <w:rPr>
          <w:i/>
        </w:rPr>
        <w:t xml:space="preserve"> Allergy </w:t>
      </w:r>
      <w:proofErr w:type="spellStart"/>
      <w:r w:rsidRPr="007F4D14">
        <w:rPr>
          <w:i/>
        </w:rPr>
        <w:t>Clin</w:t>
      </w:r>
      <w:proofErr w:type="spellEnd"/>
      <w:r w:rsidRPr="007F4D14">
        <w:rPr>
          <w:i/>
        </w:rPr>
        <w:t xml:space="preserve"> </w:t>
      </w:r>
      <w:proofErr w:type="spellStart"/>
      <w:r w:rsidRPr="007F4D14">
        <w:rPr>
          <w:i/>
        </w:rPr>
        <w:t>Immunol</w:t>
      </w:r>
      <w:proofErr w:type="spellEnd"/>
      <w:r w:rsidRPr="007F4D14">
        <w:t>; 2003; 3: 363-368.</w:t>
      </w:r>
    </w:p>
    <w:p w:rsidR="00332939" w:rsidRPr="007F4D14" w:rsidRDefault="00332939" w:rsidP="007F4D14">
      <w:pPr>
        <w:pStyle w:val="Numberbullet0"/>
        <w:numPr>
          <w:ilvl w:val="0"/>
          <w:numId w:val="27"/>
        </w:numPr>
      </w:pPr>
      <w:r w:rsidRPr="007F4D14">
        <w:rPr>
          <w:noProof/>
          <w:lang w:eastAsia="en-AU"/>
        </w:rPr>
        <mc:AlternateContent>
          <mc:Choice Requires="wps">
            <w:drawing>
              <wp:anchor distT="0" distB="0" distL="114300" distR="114300" simplePos="0" relativeHeight="251661312" behindDoc="1" locked="0" layoutInCell="1" allowOverlap="1" wp14:anchorId="0628A192" wp14:editId="5FCB15B6">
                <wp:simplePos x="0" y="0"/>
                <wp:positionH relativeFrom="page">
                  <wp:posOffset>4276090</wp:posOffset>
                </wp:positionH>
                <wp:positionV relativeFrom="paragraph">
                  <wp:posOffset>23495</wp:posOffset>
                </wp:positionV>
                <wp:extent cx="45720" cy="82550"/>
                <wp:effectExtent l="0" t="0" r="254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7B" w:rsidRDefault="002B697B" w:rsidP="00332939">
                            <w:pPr>
                              <w:spacing w:line="130" w:lineRule="exact"/>
                              <w:rPr>
                                <w:rFonts w:cs="Cambria"/>
                                <w:sz w:val="13"/>
                                <w:szCs w:val="13"/>
                              </w:rPr>
                            </w:pPr>
                            <w:r>
                              <w:rPr>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336.7pt;margin-top:1.85pt;width:3.6pt;height: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" filled="f" stroked="f">
                <v:textbox inset="0,0,0,0">
                  <w:txbxContent>
                    <w:p w:rsidR="002B697B" w:rsidRDefault="002B697B" w:rsidP="00332939">
                      <w:pPr>
                        <w:spacing w:line="130" w:lineRule="exact"/>
                        <w:rPr>
                          <w:rFonts w:cs="Cambria"/>
                          <w:sz w:val="13"/>
                          <w:szCs w:val="13"/>
                        </w:rPr>
                      </w:pPr>
                      <w:r>
                        <w:rPr>
                          <w:sz w:val="13"/>
                        </w:rPr>
                        <w:t>2</w:t>
                      </w:r>
                    </w:p>
                  </w:txbxContent>
                </v:textbox>
                <w10:wrap anchorx="page"/>
              </v:shape>
            </w:pict>
          </mc:Fallback>
        </mc:AlternateContent>
      </w:r>
      <w:proofErr w:type="spellStart"/>
      <w:r w:rsidRPr="007F4D14">
        <w:t>Zuberbier</w:t>
      </w:r>
      <w:proofErr w:type="spellEnd"/>
      <w:r w:rsidRPr="007F4D14">
        <w:t xml:space="preserve"> T, </w:t>
      </w:r>
      <w:proofErr w:type="spellStart"/>
      <w:r w:rsidRPr="007F4D14">
        <w:t>Asero</w:t>
      </w:r>
      <w:proofErr w:type="spellEnd"/>
      <w:r w:rsidRPr="007F4D14">
        <w:t xml:space="preserve"> R, </w:t>
      </w:r>
      <w:proofErr w:type="spellStart"/>
      <w:r w:rsidRPr="007F4D14">
        <w:t>Bindslev</w:t>
      </w:r>
      <w:proofErr w:type="spellEnd"/>
      <w:r w:rsidRPr="007F4D14">
        <w:t>-Jensen C et al. EAACI/GA</w:t>
      </w:r>
      <w:r w:rsidR="007F4D14" w:rsidRPr="007F4D14">
        <w:rPr>
          <w:vertAlign w:val="superscript"/>
        </w:rPr>
        <w:t>2</w:t>
      </w:r>
      <w:r w:rsidRPr="007F4D14">
        <w:t xml:space="preserve">LEN/EDF/WAO guideline: definition, classification and diagnosis of urticaria. </w:t>
      </w:r>
      <w:r w:rsidRPr="007F4D14">
        <w:rPr>
          <w:i/>
        </w:rPr>
        <w:t>Allergy</w:t>
      </w:r>
      <w:r w:rsidRPr="007F4D14">
        <w:t>; 2009; 64: 1417–1426.</w:t>
      </w:r>
    </w:p>
    <w:p w:rsidR="00332939" w:rsidRPr="007F4D14" w:rsidRDefault="00332939" w:rsidP="007F4D14">
      <w:pPr>
        <w:pStyle w:val="Numberbullet0"/>
        <w:numPr>
          <w:ilvl w:val="0"/>
          <w:numId w:val="27"/>
        </w:numPr>
      </w:pPr>
      <w:r w:rsidRPr="007F4D14">
        <w:rPr>
          <w:noProof/>
          <w:lang w:eastAsia="en-AU"/>
        </w:rPr>
        <mc:AlternateContent>
          <mc:Choice Requires="wps">
            <w:drawing>
              <wp:anchor distT="0" distB="0" distL="114300" distR="114300" simplePos="0" relativeHeight="251662336" behindDoc="1" locked="0" layoutInCell="1" allowOverlap="1" wp14:anchorId="0D0CBF63" wp14:editId="3D16EB64">
                <wp:simplePos x="0" y="0"/>
                <wp:positionH relativeFrom="page">
                  <wp:posOffset>4304030</wp:posOffset>
                </wp:positionH>
                <wp:positionV relativeFrom="paragraph">
                  <wp:posOffset>23495</wp:posOffset>
                </wp:positionV>
                <wp:extent cx="45720" cy="82550"/>
                <wp:effectExtent l="0" t="2540" r="317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97B" w:rsidRDefault="002B697B" w:rsidP="00332939">
                            <w:pPr>
                              <w:spacing w:line="130" w:lineRule="exact"/>
                              <w:rPr>
                                <w:rFonts w:cs="Cambria"/>
                                <w:sz w:val="13"/>
                                <w:szCs w:val="13"/>
                              </w:rPr>
                            </w:pPr>
                            <w:r>
                              <w:rPr>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338.9pt;margin-top:1.85pt;width:3.6pt;height: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QLrwIAAK8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" filled="f" stroked="f">
                <v:textbox inset="0,0,0,0">
                  <w:txbxContent>
                    <w:p w:rsidR="002B697B" w:rsidRDefault="002B697B" w:rsidP="00332939">
                      <w:pPr>
                        <w:spacing w:line="130" w:lineRule="exact"/>
                        <w:rPr>
                          <w:rFonts w:cs="Cambria"/>
                          <w:sz w:val="13"/>
                          <w:szCs w:val="13"/>
                        </w:rPr>
                      </w:pPr>
                      <w:r>
                        <w:rPr>
                          <w:sz w:val="13"/>
                        </w:rPr>
                        <w:t>2</w:t>
                      </w:r>
                    </w:p>
                  </w:txbxContent>
                </v:textbox>
                <w10:wrap anchorx="page"/>
              </v:shape>
            </w:pict>
          </mc:Fallback>
        </mc:AlternateContent>
      </w:r>
      <w:proofErr w:type="spellStart"/>
      <w:r w:rsidRPr="007F4D14">
        <w:t>Zuberbier</w:t>
      </w:r>
      <w:proofErr w:type="spellEnd"/>
      <w:r w:rsidRPr="007F4D14">
        <w:t xml:space="preserve"> T, et al. EAACI/GA</w:t>
      </w:r>
      <w:r w:rsidR="007F4D14" w:rsidRPr="007F4D14">
        <w:rPr>
          <w:vertAlign w:val="superscript"/>
        </w:rPr>
        <w:t>2</w:t>
      </w:r>
      <w:r w:rsidRPr="007F4D14">
        <w:t>LEN/EDF/WAO guideline: management of</w:t>
      </w:r>
      <w:r w:rsidR="009250B5" w:rsidRPr="007F4D14">
        <w:t xml:space="preserve"> </w:t>
      </w:r>
      <w:r w:rsidRPr="007F4D14">
        <w:t xml:space="preserve">urticaria. </w:t>
      </w:r>
      <w:r w:rsidRPr="007F4D14">
        <w:rPr>
          <w:i/>
        </w:rPr>
        <w:t>Allergy</w:t>
      </w:r>
      <w:r w:rsidRPr="007F4D14">
        <w:t>; 2009: 64: 1427-43</w:t>
      </w:r>
      <w:r w:rsidR="007B2E9D">
        <w:t>.</w:t>
      </w:r>
    </w:p>
    <w:p w:rsidR="00332939" w:rsidRPr="007F4D14" w:rsidRDefault="00332939" w:rsidP="007F4D14">
      <w:pPr>
        <w:pStyle w:val="Numberbullet0"/>
        <w:numPr>
          <w:ilvl w:val="0"/>
          <w:numId w:val="27"/>
        </w:numPr>
      </w:pPr>
      <w:r w:rsidRPr="007F4D14">
        <w:t xml:space="preserve">Spector SL and Tan RA. Effect of omalizumab on patients with chronic urticaria. </w:t>
      </w:r>
      <w:r w:rsidRPr="007F4D14">
        <w:rPr>
          <w:i/>
        </w:rPr>
        <w:t xml:space="preserve">Ann Allergy Asthma </w:t>
      </w:r>
      <w:proofErr w:type="spellStart"/>
      <w:r w:rsidRPr="007F4D14">
        <w:rPr>
          <w:i/>
        </w:rPr>
        <w:t>Immunol</w:t>
      </w:r>
      <w:proofErr w:type="spellEnd"/>
      <w:r w:rsidRPr="007F4D14">
        <w:t>; 2007; 99(2): 190-3.</w:t>
      </w:r>
    </w:p>
    <w:p w:rsidR="00332939" w:rsidRPr="007F4D14" w:rsidRDefault="00332939" w:rsidP="007F4D14">
      <w:pPr>
        <w:pStyle w:val="Numberbullet0"/>
        <w:numPr>
          <w:ilvl w:val="0"/>
          <w:numId w:val="27"/>
        </w:numPr>
      </w:pPr>
      <w:proofErr w:type="spellStart"/>
      <w:r w:rsidRPr="007F4D14">
        <w:t>Gober</w:t>
      </w:r>
      <w:proofErr w:type="spellEnd"/>
      <w:r w:rsidRPr="007F4D14">
        <w:t xml:space="preserve"> LM, </w:t>
      </w:r>
      <w:proofErr w:type="spellStart"/>
      <w:r w:rsidRPr="007F4D14">
        <w:t>Sterba</w:t>
      </w:r>
      <w:proofErr w:type="spellEnd"/>
      <w:r w:rsidRPr="007F4D14">
        <w:t xml:space="preserve"> PM, </w:t>
      </w:r>
      <w:proofErr w:type="spellStart"/>
      <w:r w:rsidRPr="007F4D14">
        <w:t>Eckman</w:t>
      </w:r>
      <w:proofErr w:type="spellEnd"/>
      <w:r w:rsidRPr="007F4D14">
        <w:t xml:space="preserve"> JA, et al. Effect of anti-</w:t>
      </w:r>
      <w:proofErr w:type="spellStart"/>
      <w:r w:rsidRPr="007F4D14">
        <w:t>IgE</w:t>
      </w:r>
      <w:proofErr w:type="spellEnd"/>
      <w:r w:rsidRPr="007F4D14">
        <w:t xml:space="preserve"> (</w:t>
      </w:r>
      <w:proofErr w:type="spellStart"/>
      <w:r w:rsidRPr="007F4D14">
        <w:t>omalizumab</w:t>
      </w:r>
      <w:proofErr w:type="spellEnd"/>
      <w:r w:rsidRPr="007F4D14">
        <w:t xml:space="preserve">) in chronic idiopathic urticaria (CIU) patients. </w:t>
      </w:r>
      <w:r w:rsidRPr="007F4D14">
        <w:rPr>
          <w:i/>
        </w:rPr>
        <w:t xml:space="preserve">J Allergy </w:t>
      </w:r>
      <w:proofErr w:type="spellStart"/>
      <w:r w:rsidRPr="007F4D14">
        <w:rPr>
          <w:i/>
        </w:rPr>
        <w:t>Clin</w:t>
      </w:r>
      <w:proofErr w:type="spellEnd"/>
      <w:r w:rsidRPr="007F4D14">
        <w:rPr>
          <w:i/>
        </w:rPr>
        <w:t xml:space="preserve"> </w:t>
      </w:r>
      <w:proofErr w:type="spellStart"/>
      <w:r w:rsidRPr="007F4D14">
        <w:rPr>
          <w:i/>
        </w:rPr>
        <w:t>Immunol</w:t>
      </w:r>
      <w:proofErr w:type="spellEnd"/>
      <w:r w:rsidRPr="007F4D14">
        <w:t>; 2008; 121 (2): S147</w:t>
      </w:r>
      <w:r w:rsidR="007B2E9D">
        <w:t>.</w:t>
      </w:r>
    </w:p>
    <w:p w:rsidR="00332939" w:rsidRPr="007F4D14" w:rsidRDefault="00332939" w:rsidP="007F4D14">
      <w:pPr>
        <w:pStyle w:val="Numberbullet0"/>
        <w:numPr>
          <w:ilvl w:val="0"/>
          <w:numId w:val="27"/>
        </w:numPr>
      </w:pPr>
      <w:r w:rsidRPr="007F4D14">
        <w:t xml:space="preserve">Kaplan AP, Joseph K, </w:t>
      </w:r>
      <w:proofErr w:type="spellStart"/>
      <w:r w:rsidRPr="007F4D14">
        <w:t>Maykut</w:t>
      </w:r>
      <w:proofErr w:type="spellEnd"/>
      <w:r w:rsidRPr="007F4D14">
        <w:t xml:space="preserve"> RJ et al. Treatment of chronic autoimmune urticaria with omalizumab. </w:t>
      </w:r>
      <w:r w:rsidRPr="007F4D14">
        <w:rPr>
          <w:i/>
        </w:rPr>
        <w:t xml:space="preserve">J Allergy </w:t>
      </w:r>
      <w:proofErr w:type="spellStart"/>
      <w:r w:rsidRPr="007F4D14">
        <w:rPr>
          <w:i/>
        </w:rPr>
        <w:t>Clin</w:t>
      </w:r>
      <w:proofErr w:type="spellEnd"/>
      <w:r w:rsidRPr="007F4D14">
        <w:rPr>
          <w:i/>
        </w:rPr>
        <w:t xml:space="preserve"> </w:t>
      </w:r>
      <w:proofErr w:type="spellStart"/>
      <w:r w:rsidRPr="007F4D14">
        <w:rPr>
          <w:i/>
        </w:rPr>
        <w:t>Immunol</w:t>
      </w:r>
      <w:proofErr w:type="spellEnd"/>
      <w:r w:rsidRPr="007F4D14">
        <w:t>. 2008; 122: 569-73.</w:t>
      </w:r>
    </w:p>
    <w:p w:rsidR="00332939" w:rsidRPr="007F4D14" w:rsidRDefault="00332939" w:rsidP="007F4D14">
      <w:pPr>
        <w:pStyle w:val="Numberbullet0"/>
        <w:numPr>
          <w:ilvl w:val="0"/>
          <w:numId w:val="27"/>
        </w:numPr>
      </w:pPr>
      <w:proofErr w:type="spellStart"/>
      <w:r w:rsidRPr="007F4D14">
        <w:t>Shikiar</w:t>
      </w:r>
      <w:proofErr w:type="spellEnd"/>
      <w:r w:rsidRPr="007F4D14">
        <w:t xml:space="preserve"> R, Harding G, Leahy M, et al. Minimal Important Difference (MID) of the Dermatology Life Quality Index (DLQI): Results from patients with chronic idiopathic urticaria. </w:t>
      </w:r>
      <w:r w:rsidRPr="007F4D14">
        <w:rPr>
          <w:i/>
        </w:rPr>
        <w:t>Health Qual Life Outcomes</w:t>
      </w:r>
      <w:r w:rsidRPr="007F4D14">
        <w:t>; 2005; 3:36-41.</w:t>
      </w:r>
    </w:p>
    <w:p w:rsidR="00332939" w:rsidRPr="007F4D14" w:rsidRDefault="00332939" w:rsidP="007F4D14">
      <w:pPr>
        <w:pStyle w:val="Numberbullet0"/>
        <w:numPr>
          <w:ilvl w:val="0"/>
          <w:numId w:val="27"/>
        </w:numPr>
      </w:pPr>
      <w:r w:rsidRPr="007F4D14">
        <w:t xml:space="preserve">Maurer M, Rosen K, Hsieh HJ et al. Omalizumab for the treatment of chronic idiopathic or spontaneous urticaria. </w:t>
      </w:r>
      <w:r w:rsidRPr="007F4D14">
        <w:rPr>
          <w:i/>
        </w:rPr>
        <w:t xml:space="preserve">N </w:t>
      </w:r>
      <w:proofErr w:type="spellStart"/>
      <w:r w:rsidRPr="007F4D14">
        <w:rPr>
          <w:i/>
        </w:rPr>
        <w:t>Engl</w:t>
      </w:r>
      <w:proofErr w:type="spellEnd"/>
      <w:r w:rsidRPr="007F4D14">
        <w:rPr>
          <w:i/>
        </w:rPr>
        <w:t xml:space="preserve"> J Med</w:t>
      </w:r>
      <w:r w:rsidRPr="007F4D14">
        <w:t>; 2013; 368(10): 924-935.</w:t>
      </w:r>
    </w:p>
    <w:p w:rsidR="00332939" w:rsidRPr="007F4D14" w:rsidRDefault="00332939" w:rsidP="007F4D14">
      <w:pPr>
        <w:pStyle w:val="Numberbullet0"/>
        <w:numPr>
          <w:ilvl w:val="0"/>
          <w:numId w:val="27"/>
        </w:numPr>
      </w:pPr>
      <w:r w:rsidRPr="007F4D14">
        <w:t xml:space="preserve">Kaplan A, Ledford D, Ashby M et al. Omalizumab in patients with symptomatic chronic idiopathic/spontaneous urticaria despite standard combination therapy. J Allergy </w:t>
      </w:r>
      <w:proofErr w:type="spellStart"/>
      <w:r w:rsidRPr="007F4D14">
        <w:t>Clin</w:t>
      </w:r>
      <w:proofErr w:type="spellEnd"/>
      <w:r w:rsidRPr="007F4D14">
        <w:t xml:space="preserve"> </w:t>
      </w:r>
      <w:proofErr w:type="spellStart"/>
      <w:r w:rsidRPr="007F4D14">
        <w:t>Immunol</w:t>
      </w:r>
      <w:proofErr w:type="spellEnd"/>
      <w:r w:rsidRPr="007F4D14">
        <w:t>; 2013; 132 (1):101-9.</w:t>
      </w:r>
    </w:p>
    <w:p w:rsidR="00332939" w:rsidRPr="007F4D14" w:rsidRDefault="00332939" w:rsidP="007F4D14">
      <w:pPr>
        <w:pStyle w:val="Numberbullet0"/>
        <w:numPr>
          <w:ilvl w:val="0"/>
          <w:numId w:val="27"/>
        </w:numPr>
      </w:pPr>
      <w:r w:rsidRPr="007F4D14">
        <w:t xml:space="preserve">Maurer M, </w:t>
      </w:r>
      <w:proofErr w:type="spellStart"/>
      <w:r w:rsidRPr="007F4D14">
        <w:t>Altrichter</w:t>
      </w:r>
      <w:proofErr w:type="spellEnd"/>
      <w:r w:rsidRPr="007F4D14">
        <w:t xml:space="preserve"> S, Bieber T et al. Efficacy and safety of omalizumab in patients with chronic </w:t>
      </w:r>
      <w:proofErr w:type="spellStart"/>
      <w:r w:rsidRPr="007F4D14">
        <w:t>urticaria</w:t>
      </w:r>
      <w:proofErr w:type="spellEnd"/>
      <w:r w:rsidRPr="007F4D14">
        <w:t xml:space="preserve"> who exhibit </w:t>
      </w:r>
      <w:proofErr w:type="spellStart"/>
      <w:r w:rsidRPr="007F4D14">
        <w:t>IgE</w:t>
      </w:r>
      <w:proofErr w:type="spellEnd"/>
      <w:r w:rsidRPr="007F4D14">
        <w:t xml:space="preserve"> against </w:t>
      </w:r>
      <w:proofErr w:type="spellStart"/>
      <w:r w:rsidRPr="007F4D14">
        <w:t>thyroperoxidase</w:t>
      </w:r>
      <w:proofErr w:type="spellEnd"/>
      <w:r w:rsidRPr="007F4D14">
        <w:t xml:space="preserve">. </w:t>
      </w:r>
      <w:r w:rsidRPr="007F4D14">
        <w:rPr>
          <w:i/>
        </w:rPr>
        <w:t xml:space="preserve">J Allergy </w:t>
      </w:r>
      <w:proofErr w:type="spellStart"/>
      <w:r w:rsidRPr="007F4D14">
        <w:rPr>
          <w:i/>
        </w:rPr>
        <w:t>Clin</w:t>
      </w:r>
      <w:proofErr w:type="spellEnd"/>
      <w:r w:rsidRPr="007F4D14">
        <w:rPr>
          <w:i/>
        </w:rPr>
        <w:t xml:space="preserve"> </w:t>
      </w:r>
      <w:proofErr w:type="spellStart"/>
      <w:r w:rsidRPr="007F4D14">
        <w:rPr>
          <w:i/>
        </w:rPr>
        <w:t>Immunol</w:t>
      </w:r>
      <w:proofErr w:type="spellEnd"/>
      <w:r w:rsidRPr="007F4D14">
        <w:t>; 2011 128(1): 202-209.</w:t>
      </w:r>
    </w:p>
    <w:p w:rsidR="00332939" w:rsidRPr="007F4D14" w:rsidRDefault="00332939" w:rsidP="007F4D14">
      <w:pPr>
        <w:pStyle w:val="Numberbullet0"/>
        <w:numPr>
          <w:ilvl w:val="0"/>
          <w:numId w:val="27"/>
        </w:numPr>
      </w:pPr>
      <w:r w:rsidRPr="007F4D14">
        <w:t xml:space="preserve">Saini S, Rosen KE, Hsieh HJ et al. A randomized, placebo-controlled, dose ranging study of single-dose omalizumab in patients with H1-antihistamine-refractory chronic idiopathic urticaria. </w:t>
      </w:r>
      <w:r w:rsidRPr="007F4D14">
        <w:rPr>
          <w:i/>
        </w:rPr>
        <w:t xml:space="preserve">J Allergy </w:t>
      </w:r>
      <w:proofErr w:type="spellStart"/>
      <w:r w:rsidRPr="007F4D14">
        <w:rPr>
          <w:i/>
        </w:rPr>
        <w:t>Clin</w:t>
      </w:r>
      <w:proofErr w:type="spellEnd"/>
      <w:r w:rsidRPr="007F4D14">
        <w:rPr>
          <w:i/>
        </w:rPr>
        <w:t xml:space="preserve"> </w:t>
      </w:r>
      <w:proofErr w:type="spellStart"/>
      <w:r w:rsidRPr="007F4D14">
        <w:rPr>
          <w:i/>
        </w:rPr>
        <w:t>Immunol</w:t>
      </w:r>
      <w:proofErr w:type="spellEnd"/>
      <w:r w:rsidRPr="007F4D14">
        <w:t>; 2011: 128(3): 567-</w:t>
      </w:r>
      <w:r w:rsidR="007B2E9D">
        <w:t>5</w:t>
      </w:r>
      <w:r w:rsidRPr="007F4D14">
        <w:t>73.</w:t>
      </w:r>
    </w:p>
    <w:p w:rsidR="00332939" w:rsidRPr="007F4D14" w:rsidRDefault="00332939" w:rsidP="007F4D14">
      <w:pPr>
        <w:pStyle w:val="Numberbullet0"/>
        <w:numPr>
          <w:ilvl w:val="0"/>
          <w:numId w:val="27"/>
        </w:numPr>
      </w:pPr>
      <w:r w:rsidRPr="007F4D14">
        <w:t xml:space="preserve">Mathias S, Crosby R, </w:t>
      </w:r>
      <w:proofErr w:type="spellStart"/>
      <w:r w:rsidRPr="007F4D14">
        <w:t>Zazzali</w:t>
      </w:r>
      <w:proofErr w:type="spellEnd"/>
      <w:r w:rsidRPr="007F4D14">
        <w:t xml:space="preserve"> J, et al. </w:t>
      </w:r>
      <w:proofErr w:type="gramStart"/>
      <w:r w:rsidRPr="007F4D14">
        <w:t>Evaluating</w:t>
      </w:r>
      <w:proofErr w:type="gramEnd"/>
      <w:r w:rsidRPr="007F4D14">
        <w:t xml:space="preserve"> the minimally important difference of the urticaria activity score and other measures of disease activity in patients with chronic idiopathic urticaria. </w:t>
      </w:r>
      <w:r w:rsidRPr="007F4D14">
        <w:rPr>
          <w:i/>
        </w:rPr>
        <w:t xml:space="preserve">Ann Allergy Asthma </w:t>
      </w:r>
      <w:proofErr w:type="spellStart"/>
      <w:r w:rsidRPr="007F4D14">
        <w:rPr>
          <w:i/>
        </w:rPr>
        <w:t>Immunol</w:t>
      </w:r>
      <w:proofErr w:type="spellEnd"/>
      <w:r w:rsidRPr="007F4D14">
        <w:t>; 2012: 108: 20-24.</w:t>
      </w:r>
    </w:p>
    <w:p w:rsidR="00332939" w:rsidRPr="007F4D14" w:rsidRDefault="00332939" w:rsidP="007F4D14">
      <w:pPr>
        <w:pStyle w:val="Numberbullet0"/>
        <w:numPr>
          <w:ilvl w:val="0"/>
          <w:numId w:val="27"/>
        </w:numPr>
      </w:pPr>
      <w:proofErr w:type="spellStart"/>
      <w:r w:rsidRPr="007F4D14">
        <w:t>Busse</w:t>
      </w:r>
      <w:proofErr w:type="spellEnd"/>
      <w:r w:rsidRPr="007F4D14">
        <w:t xml:space="preserve"> W, Buhl R, Fernandez </w:t>
      </w:r>
      <w:proofErr w:type="spellStart"/>
      <w:r w:rsidRPr="007F4D14">
        <w:t>Vidaurre</w:t>
      </w:r>
      <w:proofErr w:type="spellEnd"/>
      <w:r w:rsidRPr="007F4D14">
        <w:t xml:space="preserve"> C et al. Omalizumab and the risk of malignancy: results from a pooled analysis. </w:t>
      </w:r>
      <w:r w:rsidRPr="007F4D14">
        <w:rPr>
          <w:i/>
        </w:rPr>
        <w:t xml:space="preserve">J Allergy </w:t>
      </w:r>
      <w:proofErr w:type="spellStart"/>
      <w:r w:rsidRPr="007F4D14">
        <w:rPr>
          <w:i/>
        </w:rPr>
        <w:t>Clin</w:t>
      </w:r>
      <w:proofErr w:type="spellEnd"/>
      <w:r w:rsidRPr="007F4D14">
        <w:rPr>
          <w:i/>
        </w:rPr>
        <w:t xml:space="preserve"> </w:t>
      </w:r>
      <w:proofErr w:type="spellStart"/>
      <w:r w:rsidRPr="007F4D14">
        <w:rPr>
          <w:i/>
        </w:rPr>
        <w:t>Immunol</w:t>
      </w:r>
      <w:proofErr w:type="spellEnd"/>
      <w:r w:rsidRPr="007F4D14">
        <w:t>; 2012: 129(4): 983-</w:t>
      </w:r>
      <w:r w:rsidR="007B2E9D">
        <w:t>98</w:t>
      </w:r>
      <w:r w:rsidRPr="007F4D14">
        <w:t>9.</w:t>
      </w:r>
    </w:p>
    <w:p w:rsidR="00135C8E" w:rsidRDefault="00332939" w:rsidP="00A301B7">
      <w:pPr>
        <w:pStyle w:val="Numberbullet0"/>
        <w:numPr>
          <w:ilvl w:val="0"/>
          <w:numId w:val="27"/>
        </w:numPr>
      </w:pPr>
      <w:r w:rsidRPr="007F4D14">
        <w:t xml:space="preserve">Food and Drug Administration. Early Communication about an Ongoing Safety Review of Omalizumab (marketed as Xolair). 2009. Available </w:t>
      </w:r>
      <w:r w:rsidR="007F4D14">
        <w:t>from:</w:t>
      </w:r>
      <w:r w:rsidR="00793187">
        <w:t xml:space="preserve"> </w:t>
      </w:r>
      <w:r w:rsidRPr="007F4D14">
        <w:t xml:space="preserve">http://www.fda.gov/Drugs/DrugSafety/PostmarketDrugSafetyInformationforPatientsandProviders/ </w:t>
      </w:r>
      <w:proofErr w:type="spellStart"/>
      <w:r w:rsidRPr="007F4D14">
        <w:t>DrugSafetyInformationforHeathcareProfessionals</w:t>
      </w:r>
      <w:proofErr w:type="spellEnd"/>
      <w:r w:rsidRPr="007F4D14">
        <w:t>/ucm172218.htm</w:t>
      </w:r>
    </w:p>
    <w:p w:rsidR="00A301B7" w:rsidRDefault="00A301B7" w:rsidP="00A301B7">
      <w:pPr>
        <w:pStyle w:val="Numberbullet0"/>
        <w:numPr>
          <w:ilvl w:val="0"/>
          <w:numId w:val="0"/>
        </w:numPr>
        <w:ind w:left="425" w:hanging="425"/>
      </w:pPr>
    </w:p>
    <w:p w:rsidR="00A301B7" w:rsidRPr="001D043B" w:rsidRDefault="00A301B7" w:rsidP="00A301B7">
      <w:pPr>
        <w:pStyle w:val="Numberbullet0"/>
        <w:numPr>
          <w:ilvl w:val="0"/>
          <w:numId w:val="0"/>
        </w:numPr>
        <w:sectPr w:rsidR="00A301B7" w:rsidRPr="001D043B" w:rsidSect="00793187">
          <w:headerReference w:type="even" r:id="rId57"/>
          <w:headerReference w:type="default" r:id="rId58"/>
          <w:headerReference w:type="first" r:id="rId59"/>
          <w:footerReference w:type="first" r:id="rId60"/>
          <w:pgSz w:w="11906" w:h="16838" w:code="9"/>
          <w:pgMar w:top="1440" w:right="1440" w:bottom="1276"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5403F9">
        <w:trPr>
          <w:trHeight w:hRule="exact" w:val="564"/>
        </w:trPr>
        <w:tc>
          <w:tcPr>
            <w:tcW w:w="9175" w:type="dxa"/>
          </w:tcPr>
          <w:bookmarkEnd w:id="1"/>
          <w:bookmarkEnd w:id="0"/>
          <w:bookmarkEnd w:id="2"/>
          <w:p w:rsidR="00B3567E" w:rsidRPr="00487162" w:rsidRDefault="00B3567E" w:rsidP="005403F9">
            <w:pPr>
              <w:pStyle w:val="TGASignoff"/>
            </w:pPr>
            <w:r w:rsidRPr="00487162">
              <w:lastRenderedPageBreak/>
              <w:t>Therapeutic Goods Administration</w:t>
            </w:r>
          </w:p>
        </w:tc>
      </w:tr>
      <w:tr w:rsidR="00B3567E" w:rsidRPr="00487162" w:rsidTr="005403F9">
        <w:trPr>
          <w:trHeight w:val="1221"/>
        </w:trPr>
        <w:tc>
          <w:tcPr>
            <w:tcW w:w="9175" w:type="dxa"/>
            <w:tcMar>
              <w:top w:w="28" w:type="dxa"/>
            </w:tcMar>
          </w:tcPr>
          <w:p w:rsidR="00B3567E" w:rsidRPr="00487162" w:rsidRDefault="00B3567E" w:rsidP="005403F9">
            <w:pPr>
              <w:pStyle w:val="Address"/>
            </w:pPr>
            <w:r w:rsidRPr="00487162">
              <w:t>PO Box 100 Woden ACT 2606 Australia</w:t>
            </w:r>
          </w:p>
          <w:p w:rsidR="00B3567E" w:rsidRPr="00487162" w:rsidRDefault="00B3567E" w:rsidP="005403F9">
            <w:pPr>
              <w:pStyle w:val="Address"/>
            </w:pPr>
            <w:r w:rsidRPr="00487162">
              <w:t xml:space="preserve">Email: </w:t>
            </w:r>
            <w:hyperlink r:id="rId61" w:history="1">
              <w:r w:rsidRPr="008D770F">
                <w:rPr>
                  <w:rStyle w:val="Hyperlink"/>
                </w:rPr>
                <w:t>info@tga.gov.au</w:t>
              </w:r>
            </w:hyperlink>
            <w:r w:rsidRPr="00487162">
              <w:t xml:space="preserve">  Phone: 1800 020 653  Fax: 02 6232 8605</w:t>
            </w:r>
          </w:p>
          <w:p w:rsidR="00B3567E" w:rsidRPr="008D770F" w:rsidRDefault="00001DF8" w:rsidP="005403F9">
            <w:pPr>
              <w:pStyle w:val="Address"/>
              <w:spacing w:line="260" w:lineRule="atLeast"/>
              <w:rPr>
                <w:b/>
                <w:color w:val="0000FF"/>
                <w:u w:val="single"/>
              </w:rPr>
            </w:pPr>
            <w:hyperlink r:id="rId62" w:history="1">
              <w:r w:rsidR="00E979F4" w:rsidRPr="00FE02B1">
                <w:rPr>
                  <w:rStyle w:val="Hyperlink"/>
                  <w:b/>
                </w:rPr>
                <w:t>https://www.tga.gov.au</w:t>
              </w:r>
            </w:hyperlink>
          </w:p>
        </w:tc>
      </w:tr>
    </w:tbl>
    <w:p w:rsidR="00774E1D" w:rsidRPr="008A5E0B" w:rsidRDefault="00774E1D" w:rsidP="00001DF8">
      <w:bookmarkStart w:id="149" w:name="_GoBack"/>
      <w:bookmarkEnd w:id="149"/>
    </w:p>
    <w:sectPr w:rsidR="00774E1D" w:rsidRPr="008A5E0B" w:rsidSect="00001DF8">
      <w:headerReference w:type="even" r:id="rId63"/>
      <w:headerReference w:type="default" r:id="rId64"/>
      <w:footerReference w:type="default" r:id="rId65"/>
      <w:headerReference w:type="first" r:id="rId66"/>
      <w:footerReference w:type="first" r:id="rId67"/>
      <w:pgSz w:w="11906" w:h="16838" w:code="9"/>
      <w:pgMar w:top="13467" w:right="1440" w:bottom="426" w:left="1440"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97B" w:rsidRDefault="002B697B" w:rsidP="00C40A36">
      <w:pPr>
        <w:spacing w:after="0"/>
      </w:pPr>
      <w:r>
        <w:separator/>
      </w:r>
    </w:p>
  </w:endnote>
  <w:endnote w:type="continuationSeparator" w:id="0">
    <w:p w:rsidR="002B697B" w:rsidRDefault="002B697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2B697B" w:rsidRPr="00487162" w:rsidTr="00E543D4">
      <w:trPr>
        <w:trHeight w:val="269"/>
      </w:trPr>
      <w:tc>
        <w:tcPr>
          <w:tcW w:w="7655" w:type="dxa"/>
          <w:tcMar>
            <w:top w:w="142" w:type="dxa"/>
            <w:bottom w:w="0" w:type="dxa"/>
          </w:tcMar>
        </w:tcPr>
        <w:p w:rsidR="002B697B" w:rsidRPr="00487162" w:rsidRDefault="002B697B" w:rsidP="00B81392">
          <w:pPr>
            <w:pStyle w:val="Footer"/>
          </w:pPr>
          <w:r>
            <w:t>Submission</w:t>
          </w:r>
          <w:r w:rsidRPr="00487162">
            <w:t xml:space="preserve"> PM-20</w:t>
          </w:r>
          <w:r>
            <w:t xml:space="preserve">13-03254-1-4 Extract from the Clinical Evaluation Report for </w:t>
          </w:r>
          <w:proofErr w:type="spellStart"/>
          <w:r>
            <w:t>Xolair</w:t>
          </w:r>
          <w:proofErr w:type="spellEnd"/>
          <w:r>
            <w:t xml:space="preserve"> </w:t>
          </w:r>
          <w:proofErr w:type="spellStart"/>
          <w:r>
            <w:t>omalizumab</w:t>
          </w:r>
          <w:proofErr w:type="spellEnd"/>
          <w:r>
            <w:t xml:space="preserve"> (</w:t>
          </w:r>
          <w:proofErr w:type="spellStart"/>
          <w:r>
            <w:t>rch</w:t>
          </w:r>
          <w:proofErr w:type="spellEnd"/>
          <w:r>
            <w:t>)</w:t>
          </w:r>
        </w:p>
      </w:tc>
      <w:tc>
        <w:tcPr>
          <w:tcW w:w="1206" w:type="dxa"/>
          <w:tcMar>
            <w:top w:w="142" w:type="dxa"/>
            <w:bottom w:w="0" w:type="dxa"/>
          </w:tcMar>
        </w:tcPr>
        <w:p w:rsidR="002B697B" w:rsidRPr="00981D66" w:rsidRDefault="002B697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01DF8">
            <w:rPr>
              <w:noProof/>
            </w:rPr>
            <w:t>61</w:t>
          </w:r>
          <w:r w:rsidRPr="00981D66">
            <w:fldChar w:fldCharType="end"/>
          </w:r>
          <w:r w:rsidRPr="00981D66">
            <w:t xml:space="preserve"> of </w:t>
          </w:r>
          <w:fldSimple w:instr=" NUMPAGES  \* Arabic  \* MERGEFORMAT ">
            <w:r w:rsidR="00001DF8">
              <w:rPr>
                <w:noProof/>
              </w:rPr>
              <w:t>63</w:t>
            </w:r>
          </w:fldSimple>
        </w:p>
      </w:tc>
    </w:tr>
  </w:tbl>
  <w:p w:rsidR="002B697B" w:rsidRDefault="002B697B" w:rsidP="0064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B697B" w:rsidRPr="00487162" w:rsidTr="00E45619">
      <w:trPr>
        <w:trHeight w:val="269"/>
      </w:trPr>
      <w:tc>
        <w:tcPr>
          <w:tcW w:w="4519" w:type="dxa"/>
          <w:tcBorders>
            <w:top w:val="single" w:sz="4" w:space="0" w:color="auto"/>
          </w:tcBorders>
          <w:tcMar>
            <w:top w:w="142" w:type="dxa"/>
            <w:bottom w:w="0" w:type="dxa"/>
          </w:tcMar>
        </w:tcPr>
        <w:p w:rsidR="002B697B" w:rsidRPr="00487162" w:rsidRDefault="002B697B" w:rsidP="00FE1DEE">
          <w:pPr>
            <w:pStyle w:val="Footer"/>
          </w:pPr>
          <w:r w:rsidRPr="00487162">
            <w:t>Document title, Part #, Section # - Section title</w:t>
          </w:r>
        </w:p>
        <w:p w:rsidR="002B697B" w:rsidRPr="00487162" w:rsidRDefault="002B697B" w:rsidP="00FE1DEE">
          <w:pPr>
            <w:pStyle w:val="Footer"/>
          </w:pPr>
          <w:r w:rsidRPr="00487162">
            <w:t>V1.0 October 2010</w:t>
          </w:r>
        </w:p>
      </w:tc>
      <w:tc>
        <w:tcPr>
          <w:tcW w:w="4342" w:type="dxa"/>
          <w:tcBorders>
            <w:top w:val="single" w:sz="4" w:space="0" w:color="auto"/>
          </w:tcBorders>
          <w:tcMar>
            <w:top w:w="142" w:type="dxa"/>
            <w:bottom w:w="0" w:type="dxa"/>
          </w:tcMar>
        </w:tcPr>
        <w:p w:rsidR="002B697B" w:rsidRPr="00487162" w:rsidRDefault="002B697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74</w:t>
          </w:r>
          <w:r>
            <w:rPr>
              <w:noProof/>
            </w:rPr>
            <w:fldChar w:fldCharType="end"/>
          </w:r>
        </w:p>
      </w:tc>
    </w:tr>
  </w:tbl>
  <w:p w:rsidR="002B697B" w:rsidRDefault="002B697B">
    <w:pPr>
      <w:pStyle w:val="Footer"/>
    </w:pPr>
  </w:p>
  <w:p w:rsidR="002B697B" w:rsidRDefault="002B697B"/>
  <w:p w:rsidR="002B697B" w:rsidRDefault="002B697B"/>
  <w:p w:rsidR="002B697B" w:rsidRDefault="002B69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B697B" w:rsidRPr="00487162" w:rsidTr="00E45619">
      <w:trPr>
        <w:trHeight w:val="269"/>
      </w:trPr>
      <w:tc>
        <w:tcPr>
          <w:tcW w:w="4519" w:type="dxa"/>
          <w:tcBorders>
            <w:top w:val="single" w:sz="4" w:space="0" w:color="auto"/>
          </w:tcBorders>
          <w:tcMar>
            <w:top w:w="142" w:type="dxa"/>
            <w:bottom w:w="0" w:type="dxa"/>
          </w:tcMar>
        </w:tcPr>
        <w:p w:rsidR="002B697B" w:rsidRPr="00487162" w:rsidRDefault="002B697B" w:rsidP="00FE1DEE">
          <w:pPr>
            <w:pStyle w:val="Footer"/>
          </w:pPr>
          <w:r w:rsidRPr="00487162">
            <w:t>Document title, Part #, Section # - Section title</w:t>
          </w:r>
        </w:p>
        <w:p w:rsidR="002B697B" w:rsidRPr="00487162" w:rsidRDefault="002B697B" w:rsidP="00FE1DEE">
          <w:pPr>
            <w:pStyle w:val="Footer"/>
          </w:pPr>
          <w:r w:rsidRPr="00487162">
            <w:t>V1.0 October 2010</w:t>
          </w:r>
        </w:p>
      </w:tc>
      <w:tc>
        <w:tcPr>
          <w:tcW w:w="4342" w:type="dxa"/>
          <w:tcBorders>
            <w:top w:val="single" w:sz="4" w:space="0" w:color="auto"/>
          </w:tcBorders>
          <w:tcMar>
            <w:top w:w="142" w:type="dxa"/>
            <w:bottom w:w="0" w:type="dxa"/>
          </w:tcMar>
        </w:tcPr>
        <w:p w:rsidR="002B697B" w:rsidRPr="00487162" w:rsidRDefault="002B697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2B697B" w:rsidRDefault="002B69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B697B" w:rsidTr="0010601F">
      <w:trPr>
        <w:trHeight w:val="108"/>
      </w:trPr>
      <w:tc>
        <w:tcPr>
          <w:tcW w:w="8875" w:type="dxa"/>
          <w:gridSpan w:val="2"/>
          <w:tcBorders>
            <w:bottom w:val="single" w:sz="4" w:space="0" w:color="auto"/>
          </w:tcBorders>
          <w:tcMar>
            <w:right w:w="284" w:type="dxa"/>
          </w:tcMar>
        </w:tcPr>
        <w:p w:rsidR="002B697B" w:rsidRDefault="002B697B" w:rsidP="00A750A5">
          <w:pPr>
            <w:pStyle w:val="Heading3"/>
          </w:pPr>
          <w:r>
            <w:t>Copyright</w:t>
          </w:r>
        </w:p>
        <w:p w:rsidR="002B697B" w:rsidRDefault="002B697B" w:rsidP="006E08B3">
          <w:r>
            <w:rPr>
              <w:rFonts w:cs="Arial"/>
            </w:rPr>
            <w:t>©</w:t>
          </w:r>
          <w:r>
            <w:t xml:space="preserve"> Commonwealth of Australia [add year]</w:t>
          </w:r>
        </w:p>
        <w:p w:rsidR="002B697B" w:rsidRDefault="002B697B" w:rsidP="006E08B3"/>
        <w:p w:rsidR="002B697B" w:rsidRDefault="002B697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B697B" w:rsidRDefault="002B697B" w:rsidP="006E08B3"/>
        <w:p w:rsidR="002B697B" w:rsidRDefault="002B697B" w:rsidP="00A750A5">
          <w:pPr>
            <w:pStyle w:val="Heading3"/>
          </w:pPr>
          <w:r>
            <w:t>Confidentiality</w:t>
          </w:r>
        </w:p>
        <w:p w:rsidR="002B697B" w:rsidRDefault="002B697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B697B" w:rsidRDefault="002B697B" w:rsidP="006E08B3"/>
        <w:p w:rsidR="002B697B" w:rsidRDefault="002B697B" w:rsidP="006E08B3">
          <w:r>
            <w:t>For submission made by individuals, all personal details, other than your name, will be removed from your submission before it is published on the TGA’s Internet site.</w:t>
          </w:r>
        </w:p>
        <w:p w:rsidR="002B697B" w:rsidRDefault="002B697B" w:rsidP="006E08B3"/>
        <w:p w:rsidR="002B697B" w:rsidRDefault="002B697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B697B" w:rsidTr="0010601F">
      <w:trPr>
        <w:trHeight w:val="417"/>
      </w:trPr>
      <w:tc>
        <w:tcPr>
          <w:tcW w:w="4519" w:type="dxa"/>
          <w:tcBorders>
            <w:top w:val="single" w:sz="4" w:space="0" w:color="auto"/>
          </w:tcBorders>
          <w:tcMar>
            <w:top w:w="142" w:type="dxa"/>
            <w:bottom w:w="0" w:type="dxa"/>
          </w:tcMar>
        </w:tcPr>
        <w:p w:rsidR="002B697B" w:rsidRDefault="002B697B" w:rsidP="006E08B3">
          <w:r>
            <w:t>Document title, Part #, Section # - Section title</w:t>
          </w:r>
        </w:p>
        <w:p w:rsidR="002B697B" w:rsidRDefault="002B697B" w:rsidP="006E08B3">
          <w:r>
            <w:t>V1.0 October 2010</w:t>
          </w:r>
        </w:p>
      </w:tc>
      <w:tc>
        <w:tcPr>
          <w:tcW w:w="4356" w:type="dxa"/>
          <w:tcBorders>
            <w:top w:val="single" w:sz="4" w:space="0" w:color="auto"/>
          </w:tcBorders>
          <w:tcMar>
            <w:top w:w="142" w:type="dxa"/>
            <w:bottom w:w="0" w:type="dxa"/>
          </w:tcMar>
        </w:tcPr>
        <w:p w:rsidR="002B697B" w:rsidRDefault="002B697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74</w:t>
          </w:r>
          <w:r>
            <w:rPr>
              <w:noProof/>
            </w:rPr>
            <w:fldChar w:fldCharType="end"/>
          </w:r>
          <w:r>
            <w:t xml:space="preserve">  </w:t>
          </w:r>
        </w:p>
      </w:tc>
    </w:tr>
  </w:tbl>
  <w:p w:rsidR="002B697B" w:rsidRDefault="002B69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97B" w:rsidRDefault="002B697B" w:rsidP="00C40A36">
      <w:pPr>
        <w:spacing w:after="0"/>
      </w:pPr>
      <w:r>
        <w:separator/>
      </w:r>
    </w:p>
  </w:footnote>
  <w:footnote w:type="continuationSeparator" w:id="0">
    <w:p w:rsidR="002B697B" w:rsidRDefault="002B697B"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rsidP="00E45619">
    <w:pPr>
      <w:pStyle w:val="Header"/>
    </w:pPr>
    <w:r>
      <w:t>Therapeutic Goods Administration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rsidP="008D770F">
    <w:pPr>
      <w:pStyle w:val="HeaderNoLi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rsidP="006E08B3">
    <w:r>
      <w:t>Therapeutic Goods Administration</w:t>
    </w:r>
  </w:p>
  <w:p w:rsidR="002B697B" w:rsidRDefault="002B697B" w:rsidP="006D03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rPr>
        <w:noProof/>
        <w:lang w:eastAsia="en-AU"/>
      </w:rPr>
    </w:pPr>
    <w:r w:rsidRPr="002D545C">
      <w:rPr>
        <w:noProof/>
        <w:lang w:eastAsia="en-AU"/>
      </w:rPr>
      <w:drawing>
        <wp:anchor distT="0" distB="0" distL="114300" distR="114300" simplePos="0" relativeHeight="251659264" behindDoc="1" locked="0" layoutInCell="1" allowOverlap="1" wp14:anchorId="2601F5CB" wp14:editId="343F3B1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2B697B" w:rsidRDefault="002B697B"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p>
  <w:p w:rsidR="002B697B" w:rsidRDefault="002B697B"/>
  <w:p w:rsidR="002B697B" w:rsidRDefault="002B697B"/>
  <w:p w:rsidR="002B697B" w:rsidRDefault="002B697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r>
      <w:t>Therapeutic Goods Administration</w:t>
    </w:r>
  </w:p>
  <w:p w:rsidR="002B697B" w:rsidRDefault="002B697B"/>
  <w:p w:rsidR="002B697B" w:rsidRDefault="002B697B"/>
  <w:p w:rsidR="002B697B" w:rsidRDefault="002B697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r>
      <w:t>Therapeutic Goods Administration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r>
      <w:t>Therapeutic Goods Administration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7B" w:rsidRDefault="002B69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CD6ABD"/>
    <w:multiLevelType w:val="multilevel"/>
    <w:tmpl w:val="4308E1E2"/>
    <w:lvl w:ilvl="0">
      <w:start w:val="8"/>
      <w:numFmt w:val="decimal"/>
      <w:lvlText w:val="%1"/>
      <w:lvlJc w:val="left"/>
      <w:pPr>
        <w:ind w:left="1272" w:hanging="1133"/>
      </w:pPr>
      <w:rPr>
        <w:rFonts w:hint="default"/>
      </w:rPr>
    </w:lvl>
    <w:lvl w:ilvl="1">
      <w:start w:val="4"/>
      <w:numFmt w:val="decimal"/>
      <w:lvlText w:val="%1.%2"/>
      <w:lvlJc w:val="left"/>
      <w:pPr>
        <w:ind w:left="1272" w:hanging="1133"/>
      </w:pPr>
      <w:rPr>
        <w:rFonts w:hint="default"/>
      </w:rPr>
    </w:lvl>
    <w:lvl w:ilvl="2">
      <w:start w:val="5"/>
      <w:numFmt w:val="decimal"/>
      <w:lvlText w:val="%1.%2.%3."/>
      <w:lvlJc w:val="left"/>
      <w:pPr>
        <w:ind w:left="1272" w:hanging="1133"/>
      </w:pPr>
      <w:rPr>
        <w:rFonts w:ascii="Arial" w:eastAsia="Arial" w:hAnsi="Arial" w:hint="default"/>
        <w:b/>
        <w:bCs/>
        <w:sz w:val="24"/>
        <w:szCs w:val="24"/>
      </w:rPr>
    </w:lvl>
    <w:lvl w:ilvl="3">
      <w:start w:val="1"/>
      <w:numFmt w:val="decimal"/>
      <w:lvlText w:val="%1.%2.%3.%4."/>
      <w:lvlJc w:val="left"/>
      <w:pPr>
        <w:ind w:left="1556" w:hanging="1416"/>
      </w:pPr>
      <w:rPr>
        <w:rFonts w:ascii="Arial" w:eastAsia="Arial" w:hAnsi="Arial" w:hint="default"/>
        <w:b/>
        <w:bCs/>
        <w:spacing w:val="2"/>
        <w:sz w:val="22"/>
        <w:szCs w:val="22"/>
      </w:rPr>
    </w:lvl>
    <w:lvl w:ilvl="4">
      <w:start w:val="1"/>
      <w:numFmt w:val="bullet"/>
      <w:lvlText w:val="•"/>
      <w:lvlJc w:val="left"/>
      <w:pPr>
        <w:ind w:left="4245" w:hanging="1416"/>
      </w:pPr>
      <w:rPr>
        <w:rFonts w:hint="default"/>
      </w:rPr>
    </w:lvl>
    <w:lvl w:ilvl="5">
      <w:start w:val="1"/>
      <w:numFmt w:val="bullet"/>
      <w:lvlText w:val="•"/>
      <w:lvlJc w:val="left"/>
      <w:pPr>
        <w:ind w:left="5141" w:hanging="1416"/>
      </w:pPr>
      <w:rPr>
        <w:rFonts w:hint="default"/>
      </w:rPr>
    </w:lvl>
    <w:lvl w:ilvl="6">
      <w:start w:val="1"/>
      <w:numFmt w:val="bullet"/>
      <w:lvlText w:val="•"/>
      <w:lvlJc w:val="left"/>
      <w:pPr>
        <w:ind w:left="6038" w:hanging="1416"/>
      </w:pPr>
      <w:rPr>
        <w:rFonts w:hint="default"/>
      </w:rPr>
    </w:lvl>
    <w:lvl w:ilvl="7">
      <w:start w:val="1"/>
      <w:numFmt w:val="bullet"/>
      <w:lvlText w:val="•"/>
      <w:lvlJc w:val="left"/>
      <w:pPr>
        <w:ind w:left="6934" w:hanging="1416"/>
      </w:pPr>
      <w:rPr>
        <w:rFonts w:hint="default"/>
      </w:rPr>
    </w:lvl>
    <w:lvl w:ilvl="8">
      <w:start w:val="1"/>
      <w:numFmt w:val="bullet"/>
      <w:lvlText w:val="•"/>
      <w:lvlJc w:val="left"/>
      <w:pPr>
        <w:ind w:left="7831" w:hanging="1416"/>
      </w:pPr>
      <w:rPr>
        <w:rFonts w:hint="default"/>
      </w:rPr>
    </w:lvl>
  </w:abstractNum>
  <w:abstractNum w:abstractNumId="3">
    <w:nsid w:val="325F2321"/>
    <w:multiLevelType w:val="multilevel"/>
    <w:tmpl w:val="535411EA"/>
    <w:lvl w:ilvl="0">
      <w:start w:val="8"/>
      <w:numFmt w:val="decimal"/>
      <w:lvlText w:val="%1"/>
      <w:lvlJc w:val="left"/>
      <w:pPr>
        <w:ind w:left="989" w:hanging="850"/>
      </w:pPr>
      <w:rPr>
        <w:rFonts w:hint="default"/>
      </w:rPr>
    </w:lvl>
    <w:lvl w:ilvl="1">
      <w:start w:val="5"/>
      <w:numFmt w:val="decimal"/>
      <w:lvlText w:val="%1.%2."/>
      <w:lvlJc w:val="left"/>
      <w:pPr>
        <w:ind w:left="989" w:hanging="850"/>
      </w:pPr>
      <w:rPr>
        <w:rFonts w:ascii="Arial" w:eastAsia="Arial" w:hAnsi="Arial" w:hint="default"/>
        <w:b/>
        <w:bCs/>
        <w:sz w:val="24"/>
        <w:szCs w:val="24"/>
      </w:rPr>
    </w:lvl>
    <w:lvl w:ilvl="2">
      <w:start w:val="1"/>
      <w:numFmt w:val="decimal"/>
      <w:lvlText w:val="%1.%2.%3."/>
      <w:lvlJc w:val="left"/>
      <w:pPr>
        <w:ind w:left="1272" w:hanging="1133"/>
      </w:pPr>
      <w:rPr>
        <w:rFonts w:ascii="Arial" w:eastAsia="Arial" w:hAnsi="Arial" w:hint="default"/>
        <w:b/>
        <w:bCs/>
        <w:sz w:val="24"/>
        <w:szCs w:val="24"/>
      </w:rPr>
    </w:lvl>
    <w:lvl w:ilvl="3">
      <w:start w:val="1"/>
      <w:numFmt w:val="bullet"/>
      <w:lvlText w:val="•"/>
      <w:lvlJc w:val="left"/>
      <w:pPr>
        <w:ind w:left="3128" w:hanging="1133"/>
      </w:pPr>
      <w:rPr>
        <w:rFonts w:hint="default"/>
      </w:rPr>
    </w:lvl>
    <w:lvl w:ilvl="4">
      <w:start w:val="1"/>
      <w:numFmt w:val="bullet"/>
      <w:lvlText w:val="•"/>
      <w:lvlJc w:val="left"/>
      <w:pPr>
        <w:ind w:left="4056" w:hanging="1133"/>
      </w:pPr>
      <w:rPr>
        <w:rFonts w:hint="default"/>
      </w:rPr>
    </w:lvl>
    <w:lvl w:ilvl="5">
      <w:start w:val="1"/>
      <w:numFmt w:val="bullet"/>
      <w:lvlText w:val="•"/>
      <w:lvlJc w:val="left"/>
      <w:pPr>
        <w:ind w:left="4984" w:hanging="1133"/>
      </w:pPr>
      <w:rPr>
        <w:rFonts w:hint="default"/>
      </w:rPr>
    </w:lvl>
    <w:lvl w:ilvl="6">
      <w:start w:val="1"/>
      <w:numFmt w:val="bullet"/>
      <w:lvlText w:val="•"/>
      <w:lvlJc w:val="left"/>
      <w:pPr>
        <w:ind w:left="5912" w:hanging="1133"/>
      </w:pPr>
      <w:rPr>
        <w:rFonts w:hint="default"/>
      </w:rPr>
    </w:lvl>
    <w:lvl w:ilvl="7">
      <w:start w:val="1"/>
      <w:numFmt w:val="bullet"/>
      <w:lvlText w:val="•"/>
      <w:lvlJc w:val="left"/>
      <w:pPr>
        <w:ind w:left="6840" w:hanging="1133"/>
      </w:pPr>
      <w:rPr>
        <w:rFonts w:hint="default"/>
      </w:rPr>
    </w:lvl>
    <w:lvl w:ilvl="8">
      <w:start w:val="1"/>
      <w:numFmt w:val="bullet"/>
      <w:lvlText w:val="•"/>
      <w:lvlJc w:val="left"/>
      <w:pPr>
        <w:ind w:left="7768" w:hanging="1133"/>
      </w:pPr>
      <w:rPr>
        <w:rFonts w:hint="default"/>
      </w:rPr>
    </w:lvl>
  </w:abstractNum>
  <w:abstractNum w:abstractNumId="4">
    <w:nsid w:val="369F2985"/>
    <w:multiLevelType w:val="multilevel"/>
    <w:tmpl w:val="2E12EBF8"/>
    <w:lvl w:ilvl="0">
      <w:start w:val="8"/>
      <w:numFmt w:val="decimal"/>
      <w:lvlText w:val="%1."/>
      <w:lvlJc w:val="left"/>
      <w:pPr>
        <w:ind w:left="706" w:hanging="567"/>
      </w:pPr>
      <w:rPr>
        <w:rFonts w:ascii="Arial" w:eastAsia="Arial" w:hAnsi="Arial" w:hint="default"/>
        <w:b/>
        <w:bCs/>
        <w:spacing w:val="-2"/>
        <w:w w:val="99"/>
        <w:sz w:val="28"/>
        <w:szCs w:val="28"/>
      </w:rPr>
    </w:lvl>
    <w:lvl w:ilvl="1">
      <w:start w:val="1"/>
      <w:numFmt w:val="decimal"/>
      <w:lvlText w:val="%1.%2."/>
      <w:lvlJc w:val="left"/>
      <w:pPr>
        <w:ind w:left="989" w:hanging="850"/>
        <w:jc w:val="right"/>
      </w:pPr>
      <w:rPr>
        <w:rFonts w:ascii="Arial" w:eastAsia="Arial" w:hAnsi="Arial" w:hint="default"/>
        <w:b/>
        <w:bCs/>
        <w:sz w:val="24"/>
        <w:szCs w:val="24"/>
      </w:rPr>
    </w:lvl>
    <w:lvl w:ilvl="2">
      <w:start w:val="1"/>
      <w:numFmt w:val="bullet"/>
      <w:lvlText w:val=""/>
      <w:lvlJc w:val="left"/>
      <w:pPr>
        <w:ind w:left="503" w:hanging="284"/>
      </w:pPr>
      <w:rPr>
        <w:rFonts w:ascii="Symbol" w:eastAsia="Symbol" w:hAnsi="Symbol" w:hint="default"/>
        <w:w w:val="76"/>
        <w:sz w:val="22"/>
        <w:szCs w:val="22"/>
      </w:rPr>
    </w:lvl>
    <w:lvl w:ilvl="3">
      <w:start w:val="1"/>
      <w:numFmt w:val="bullet"/>
      <w:lvlText w:val="-"/>
      <w:lvlJc w:val="left"/>
      <w:pPr>
        <w:ind w:left="786" w:hanging="284"/>
      </w:pPr>
      <w:rPr>
        <w:rFonts w:ascii="Arial" w:eastAsia="Arial" w:hAnsi="Arial" w:hint="default"/>
        <w:sz w:val="22"/>
        <w:szCs w:val="22"/>
      </w:rPr>
    </w:lvl>
    <w:lvl w:ilvl="4">
      <w:start w:val="1"/>
      <w:numFmt w:val="bullet"/>
      <w:lvlText w:val="•"/>
      <w:lvlJc w:val="left"/>
      <w:pPr>
        <w:ind w:left="2223" w:hanging="284"/>
      </w:pPr>
      <w:rPr>
        <w:rFonts w:hint="default"/>
      </w:rPr>
    </w:lvl>
    <w:lvl w:ilvl="5">
      <w:start w:val="1"/>
      <w:numFmt w:val="bullet"/>
      <w:lvlText w:val="•"/>
      <w:lvlJc w:val="left"/>
      <w:pPr>
        <w:ind w:left="3456" w:hanging="284"/>
      </w:pPr>
      <w:rPr>
        <w:rFonts w:hint="default"/>
      </w:rPr>
    </w:lvl>
    <w:lvl w:ilvl="6">
      <w:start w:val="1"/>
      <w:numFmt w:val="bullet"/>
      <w:lvlText w:val="•"/>
      <w:lvlJc w:val="left"/>
      <w:pPr>
        <w:ind w:left="4690" w:hanging="284"/>
      </w:pPr>
      <w:rPr>
        <w:rFonts w:hint="default"/>
      </w:rPr>
    </w:lvl>
    <w:lvl w:ilvl="7">
      <w:start w:val="1"/>
      <w:numFmt w:val="bullet"/>
      <w:lvlText w:val="•"/>
      <w:lvlJc w:val="left"/>
      <w:pPr>
        <w:ind w:left="5923" w:hanging="284"/>
      </w:pPr>
      <w:rPr>
        <w:rFonts w:hint="default"/>
      </w:rPr>
    </w:lvl>
    <w:lvl w:ilvl="8">
      <w:start w:val="1"/>
      <w:numFmt w:val="bullet"/>
      <w:lvlText w:val="•"/>
      <w:lvlJc w:val="left"/>
      <w:pPr>
        <w:ind w:left="7157" w:hanging="284"/>
      </w:pPr>
      <w:rPr>
        <w:rFonts w:hint="default"/>
      </w:rPr>
    </w:lvl>
  </w:abstractNum>
  <w:abstractNum w:abstractNumId="5">
    <w:nsid w:val="4ACE0AD4"/>
    <w:multiLevelType w:val="hybridMultilevel"/>
    <w:tmpl w:val="34E4602E"/>
    <w:lvl w:ilvl="0" w:tplc="5F8AB022">
      <w:start w:val="1"/>
      <w:numFmt w:val="bullet"/>
      <w:lvlText w:val=""/>
      <w:lvlJc w:val="left"/>
      <w:pPr>
        <w:ind w:left="706" w:hanging="567"/>
      </w:pPr>
      <w:rPr>
        <w:rFonts w:ascii="Symbol" w:eastAsia="Symbol" w:hAnsi="Symbol" w:hint="default"/>
        <w:w w:val="76"/>
        <w:sz w:val="22"/>
        <w:szCs w:val="22"/>
      </w:rPr>
    </w:lvl>
    <w:lvl w:ilvl="1" w:tplc="75548678">
      <w:start w:val="1"/>
      <w:numFmt w:val="bullet"/>
      <w:lvlText w:val="•"/>
      <w:lvlJc w:val="left"/>
      <w:pPr>
        <w:ind w:left="1598" w:hanging="567"/>
      </w:pPr>
      <w:rPr>
        <w:rFonts w:hint="default"/>
      </w:rPr>
    </w:lvl>
    <w:lvl w:ilvl="2" w:tplc="14D81022">
      <w:start w:val="1"/>
      <w:numFmt w:val="bullet"/>
      <w:lvlText w:val="•"/>
      <w:lvlJc w:val="left"/>
      <w:pPr>
        <w:ind w:left="2490" w:hanging="567"/>
      </w:pPr>
      <w:rPr>
        <w:rFonts w:hint="default"/>
      </w:rPr>
    </w:lvl>
    <w:lvl w:ilvl="3" w:tplc="64C8C60A">
      <w:start w:val="1"/>
      <w:numFmt w:val="bullet"/>
      <w:lvlText w:val="•"/>
      <w:lvlJc w:val="left"/>
      <w:pPr>
        <w:ind w:left="3381" w:hanging="567"/>
      </w:pPr>
      <w:rPr>
        <w:rFonts w:hint="default"/>
      </w:rPr>
    </w:lvl>
    <w:lvl w:ilvl="4" w:tplc="EBCCA192">
      <w:start w:val="1"/>
      <w:numFmt w:val="bullet"/>
      <w:lvlText w:val="•"/>
      <w:lvlJc w:val="left"/>
      <w:pPr>
        <w:ind w:left="4273" w:hanging="567"/>
      </w:pPr>
      <w:rPr>
        <w:rFonts w:hint="default"/>
      </w:rPr>
    </w:lvl>
    <w:lvl w:ilvl="5" w:tplc="F64A1D62">
      <w:start w:val="1"/>
      <w:numFmt w:val="bullet"/>
      <w:lvlText w:val="•"/>
      <w:lvlJc w:val="left"/>
      <w:pPr>
        <w:ind w:left="5165" w:hanging="567"/>
      </w:pPr>
      <w:rPr>
        <w:rFonts w:hint="default"/>
      </w:rPr>
    </w:lvl>
    <w:lvl w:ilvl="6" w:tplc="C3DEB736">
      <w:start w:val="1"/>
      <w:numFmt w:val="bullet"/>
      <w:lvlText w:val="•"/>
      <w:lvlJc w:val="left"/>
      <w:pPr>
        <w:ind w:left="6057" w:hanging="567"/>
      </w:pPr>
      <w:rPr>
        <w:rFonts w:hint="default"/>
      </w:rPr>
    </w:lvl>
    <w:lvl w:ilvl="7" w:tplc="02ACFE26">
      <w:start w:val="1"/>
      <w:numFmt w:val="bullet"/>
      <w:lvlText w:val="•"/>
      <w:lvlJc w:val="left"/>
      <w:pPr>
        <w:ind w:left="6948" w:hanging="567"/>
      </w:pPr>
      <w:rPr>
        <w:rFonts w:hint="default"/>
      </w:rPr>
    </w:lvl>
    <w:lvl w:ilvl="8" w:tplc="B980F7FE">
      <w:start w:val="1"/>
      <w:numFmt w:val="bullet"/>
      <w:lvlText w:val="•"/>
      <w:lvlJc w:val="left"/>
      <w:pPr>
        <w:ind w:left="7840" w:hanging="567"/>
      </w:pPr>
      <w:rPr>
        <w:rFonts w:hint="default"/>
      </w:rPr>
    </w:lvl>
  </w:abstractNum>
  <w:abstractNum w:abstractNumId="6">
    <w:nsid w:val="4C9E0F55"/>
    <w:multiLevelType w:val="hybridMultilevel"/>
    <w:tmpl w:val="BFDE42BA"/>
    <w:lvl w:ilvl="0" w:tplc="2F7880C4">
      <w:start w:val="1"/>
      <w:numFmt w:val="decimal"/>
      <w:lvlText w:val="%1."/>
      <w:lvlJc w:val="left"/>
      <w:pPr>
        <w:ind w:left="706" w:hanging="567"/>
      </w:pPr>
      <w:rPr>
        <w:rFonts w:ascii="Cambria" w:eastAsia="Cambria" w:hAnsi="Cambria" w:hint="default"/>
        <w:spacing w:val="-2"/>
        <w:sz w:val="20"/>
        <w:szCs w:val="20"/>
      </w:rPr>
    </w:lvl>
    <w:lvl w:ilvl="1" w:tplc="5EFEB196">
      <w:start w:val="1"/>
      <w:numFmt w:val="bullet"/>
      <w:lvlText w:val="•"/>
      <w:lvlJc w:val="left"/>
      <w:pPr>
        <w:ind w:left="1598" w:hanging="567"/>
      </w:pPr>
      <w:rPr>
        <w:rFonts w:hint="default"/>
      </w:rPr>
    </w:lvl>
    <w:lvl w:ilvl="2" w:tplc="34AE5FA6">
      <w:start w:val="1"/>
      <w:numFmt w:val="bullet"/>
      <w:lvlText w:val="•"/>
      <w:lvlJc w:val="left"/>
      <w:pPr>
        <w:ind w:left="2489" w:hanging="567"/>
      </w:pPr>
      <w:rPr>
        <w:rFonts w:hint="default"/>
      </w:rPr>
    </w:lvl>
    <w:lvl w:ilvl="3" w:tplc="BECE58FA">
      <w:start w:val="1"/>
      <w:numFmt w:val="bullet"/>
      <w:lvlText w:val="•"/>
      <w:lvlJc w:val="left"/>
      <w:pPr>
        <w:ind w:left="3381" w:hanging="567"/>
      </w:pPr>
      <w:rPr>
        <w:rFonts w:hint="default"/>
      </w:rPr>
    </w:lvl>
    <w:lvl w:ilvl="4" w:tplc="D5108528">
      <w:start w:val="1"/>
      <w:numFmt w:val="bullet"/>
      <w:lvlText w:val="•"/>
      <w:lvlJc w:val="left"/>
      <w:pPr>
        <w:ind w:left="4273" w:hanging="567"/>
      </w:pPr>
      <w:rPr>
        <w:rFonts w:hint="default"/>
      </w:rPr>
    </w:lvl>
    <w:lvl w:ilvl="5" w:tplc="F6000D24">
      <w:start w:val="1"/>
      <w:numFmt w:val="bullet"/>
      <w:lvlText w:val="•"/>
      <w:lvlJc w:val="left"/>
      <w:pPr>
        <w:ind w:left="5165" w:hanging="567"/>
      </w:pPr>
      <w:rPr>
        <w:rFonts w:hint="default"/>
      </w:rPr>
    </w:lvl>
    <w:lvl w:ilvl="6" w:tplc="5FA46A2E">
      <w:start w:val="1"/>
      <w:numFmt w:val="bullet"/>
      <w:lvlText w:val="•"/>
      <w:lvlJc w:val="left"/>
      <w:pPr>
        <w:ind w:left="6056" w:hanging="567"/>
      </w:pPr>
      <w:rPr>
        <w:rFonts w:hint="default"/>
      </w:rPr>
    </w:lvl>
    <w:lvl w:ilvl="7" w:tplc="E2EE5E74">
      <w:start w:val="1"/>
      <w:numFmt w:val="bullet"/>
      <w:lvlText w:val="•"/>
      <w:lvlJc w:val="left"/>
      <w:pPr>
        <w:ind w:left="6948" w:hanging="567"/>
      </w:pPr>
      <w:rPr>
        <w:rFonts w:hint="default"/>
      </w:rPr>
    </w:lvl>
    <w:lvl w:ilvl="8" w:tplc="22927D04">
      <w:start w:val="1"/>
      <w:numFmt w:val="bullet"/>
      <w:lvlText w:val="•"/>
      <w:lvlJc w:val="left"/>
      <w:pPr>
        <w:ind w:left="7840" w:hanging="567"/>
      </w:pPr>
      <w:rPr>
        <w:rFonts w:hint="default"/>
      </w:rPr>
    </w:lvl>
  </w:abstractNum>
  <w:abstractNum w:abstractNumId="7">
    <w:nsid w:val="51EA3E11"/>
    <w:multiLevelType w:val="multilevel"/>
    <w:tmpl w:val="D9DC4460"/>
    <w:lvl w:ilvl="0">
      <w:start w:val="8"/>
      <w:numFmt w:val="decimal"/>
      <w:lvlText w:val="%1"/>
      <w:lvlJc w:val="left"/>
      <w:pPr>
        <w:ind w:left="1272" w:hanging="1133"/>
      </w:pPr>
      <w:rPr>
        <w:rFonts w:hint="default"/>
      </w:rPr>
    </w:lvl>
    <w:lvl w:ilvl="1">
      <w:start w:val="4"/>
      <w:numFmt w:val="decimal"/>
      <w:lvlText w:val="%1.%2"/>
      <w:lvlJc w:val="left"/>
      <w:pPr>
        <w:ind w:left="1272" w:hanging="1133"/>
      </w:pPr>
      <w:rPr>
        <w:rFonts w:hint="default"/>
      </w:rPr>
    </w:lvl>
    <w:lvl w:ilvl="2">
      <w:start w:val="2"/>
      <w:numFmt w:val="decimal"/>
      <w:lvlText w:val="%1.%2.%3."/>
      <w:lvlJc w:val="left"/>
      <w:pPr>
        <w:ind w:left="1272" w:hanging="1133"/>
      </w:pPr>
      <w:rPr>
        <w:rFonts w:ascii="Arial" w:eastAsia="Arial" w:hAnsi="Arial" w:hint="default"/>
        <w:b/>
        <w:bCs/>
        <w:sz w:val="24"/>
        <w:szCs w:val="24"/>
      </w:rPr>
    </w:lvl>
    <w:lvl w:ilvl="3">
      <w:start w:val="1"/>
      <w:numFmt w:val="decimal"/>
      <w:lvlText w:val="%1.%2.%3.%4."/>
      <w:lvlJc w:val="left"/>
      <w:pPr>
        <w:ind w:left="1556" w:hanging="1416"/>
      </w:pPr>
      <w:rPr>
        <w:rFonts w:ascii="Arial" w:eastAsia="Arial" w:hAnsi="Arial" w:hint="default"/>
        <w:b/>
        <w:bCs/>
        <w:spacing w:val="2"/>
        <w:sz w:val="22"/>
        <w:szCs w:val="22"/>
      </w:rPr>
    </w:lvl>
    <w:lvl w:ilvl="4">
      <w:start w:val="1"/>
      <w:numFmt w:val="bullet"/>
      <w:lvlText w:val="•"/>
      <w:lvlJc w:val="left"/>
      <w:pPr>
        <w:ind w:left="4245" w:hanging="1416"/>
      </w:pPr>
      <w:rPr>
        <w:rFonts w:hint="default"/>
      </w:rPr>
    </w:lvl>
    <w:lvl w:ilvl="5">
      <w:start w:val="1"/>
      <w:numFmt w:val="bullet"/>
      <w:lvlText w:val="•"/>
      <w:lvlJc w:val="left"/>
      <w:pPr>
        <w:ind w:left="5141" w:hanging="1416"/>
      </w:pPr>
      <w:rPr>
        <w:rFonts w:hint="default"/>
      </w:rPr>
    </w:lvl>
    <w:lvl w:ilvl="6">
      <w:start w:val="1"/>
      <w:numFmt w:val="bullet"/>
      <w:lvlText w:val="•"/>
      <w:lvlJc w:val="left"/>
      <w:pPr>
        <w:ind w:left="6038" w:hanging="1416"/>
      </w:pPr>
      <w:rPr>
        <w:rFonts w:hint="default"/>
      </w:rPr>
    </w:lvl>
    <w:lvl w:ilvl="7">
      <w:start w:val="1"/>
      <w:numFmt w:val="bullet"/>
      <w:lvlText w:val="•"/>
      <w:lvlJc w:val="left"/>
      <w:pPr>
        <w:ind w:left="6934" w:hanging="1416"/>
      </w:pPr>
      <w:rPr>
        <w:rFonts w:hint="default"/>
      </w:rPr>
    </w:lvl>
    <w:lvl w:ilvl="8">
      <w:start w:val="1"/>
      <w:numFmt w:val="bullet"/>
      <w:lvlText w:val="•"/>
      <w:lvlJc w:val="left"/>
      <w:pPr>
        <w:ind w:left="7831" w:hanging="1416"/>
      </w:pPr>
      <w:rPr>
        <w:rFonts w:hint="default"/>
      </w:rPr>
    </w:lvl>
  </w:abstractNum>
  <w:abstractNum w:abstractNumId="8">
    <w:nsid w:val="56955DC3"/>
    <w:multiLevelType w:val="hybridMultilevel"/>
    <w:tmpl w:val="918AD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B84F34"/>
    <w:multiLevelType w:val="multilevel"/>
    <w:tmpl w:val="ECBCA33A"/>
    <w:lvl w:ilvl="0">
      <w:start w:val="8"/>
      <w:numFmt w:val="decimal"/>
      <w:lvlText w:val="%1"/>
      <w:lvlJc w:val="left"/>
      <w:pPr>
        <w:ind w:left="1272" w:hanging="1133"/>
      </w:pPr>
      <w:rPr>
        <w:rFonts w:hint="default"/>
      </w:rPr>
    </w:lvl>
    <w:lvl w:ilvl="1">
      <w:start w:val="4"/>
      <w:numFmt w:val="decimal"/>
      <w:lvlText w:val="%1.%2"/>
      <w:lvlJc w:val="left"/>
      <w:pPr>
        <w:ind w:left="1272" w:hanging="1133"/>
      </w:pPr>
      <w:rPr>
        <w:rFonts w:hint="default"/>
      </w:rPr>
    </w:lvl>
    <w:lvl w:ilvl="2">
      <w:start w:val="4"/>
      <w:numFmt w:val="decimal"/>
      <w:lvlText w:val="%1.%2.%3."/>
      <w:lvlJc w:val="left"/>
      <w:pPr>
        <w:ind w:left="1272" w:hanging="1133"/>
      </w:pPr>
      <w:rPr>
        <w:rFonts w:ascii="Arial" w:eastAsia="Arial" w:hAnsi="Arial" w:hint="default"/>
        <w:b/>
        <w:bCs/>
        <w:sz w:val="24"/>
        <w:szCs w:val="24"/>
      </w:rPr>
    </w:lvl>
    <w:lvl w:ilvl="3">
      <w:start w:val="1"/>
      <w:numFmt w:val="decimal"/>
      <w:lvlText w:val="%1.%2.%3.%4."/>
      <w:lvlJc w:val="left"/>
      <w:pPr>
        <w:ind w:left="1556" w:hanging="1416"/>
      </w:pPr>
      <w:rPr>
        <w:rFonts w:ascii="Arial" w:eastAsia="Arial" w:hAnsi="Arial" w:hint="default"/>
        <w:b/>
        <w:bCs/>
        <w:spacing w:val="2"/>
        <w:sz w:val="22"/>
        <w:szCs w:val="22"/>
      </w:rPr>
    </w:lvl>
    <w:lvl w:ilvl="4">
      <w:start w:val="1"/>
      <w:numFmt w:val="bullet"/>
      <w:lvlText w:val="•"/>
      <w:lvlJc w:val="left"/>
      <w:pPr>
        <w:ind w:left="4245" w:hanging="1416"/>
      </w:pPr>
      <w:rPr>
        <w:rFonts w:hint="default"/>
      </w:rPr>
    </w:lvl>
    <w:lvl w:ilvl="5">
      <w:start w:val="1"/>
      <w:numFmt w:val="bullet"/>
      <w:lvlText w:val="•"/>
      <w:lvlJc w:val="left"/>
      <w:pPr>
        <w:ind w:left="5141" w:hanging="1416"/>
      </w:pPr>
      <w:rPr>
        <w:rFonts w:hint="default"/>
      </w:rPr>
    </w:lvl>
    <w:lvl w:ilvl="6">
      <w:start w:val="1"/>
      <w:numFmt w:val="bullet"/>
      <w:lvlText w:val="•"/>
      <w:lvlJc w:val="left"/>
      <w:pPr>
        <w:ind w:left="6038" w:hanging="1416"/>
      </w:pPr>
      <w:rPr>
        <w:rFonts w:hint="default"/>
      </w:rPr>
    </w:lvl>
    <w:lvl w:ilvl="7">
      <w:start w:val="1"/>
      <w:numFmt w:val="bullet"/>
      <w:lvlText w:val="•"/>
      <w:lvlJc w:val="left"/>
      <w:pPr>
        <w:ind w:left="6934" w:hanging="1416"/>
      </w:pPr>
      <w:rPr>
        <w:rFonts w:hint="default"/>
      </w:rPr>
    </w:lvl>
    <w:lvl w:ilvl="8">
      <w:start w:val="1"/>
      <w:numFmt w:val="bullet"/>
      <w:lvlText w:val="•"/>
      <w:lvlJc w:val="left"/>
      <w:pPr>
        <w:ind w:left="7831" w:hanging="1416"/>
      </w:pPr>
      <w:rPr>
        <w:rFonts w:hint="default"/>
      </w:rPr>
    </w:lvl>
  </w:abstractNum>
  <w:abstractNum w:abstractNumId="10">
    <w:nsid w:val="6D0B1B75"/>
    <w:multiLevelType w:val="multilevel"/>
    <w:tmpl w:val="E01405FE"/>
    <w:lvl w:ilvl="0">
      <w:start w:val="1"/>
      <w:numFmt w:val="decimal"/>
      <w:pStyle w:val="Heading2"/>
      <w:lvlText w:val="%1."/>
      <w:lvlJc w:val="left"/>
      <w:pPr>
        <w:tabs>
          <w:tab w:val="num" w:pos="851"/>
        </w:tabs>
        <w:ind w:left="851" w:hanging="567"/>
      </w:pPr>
      <w:rPr>
        <w:rFonts w:hint="default"/>
      </w:rPr>
    </w:lvl>
    <w:lvl w:ilvl="1">
      <w:start w:val="1"/>
      <w:numFmt w:val="decimal"/>
      <w:pStyle w:val="Heading3"/>
      <w:lvlText w:val="%1.%2."/>
      <w:lvlJc w:val="left"/>
      <w:pPr>
        <w:tabs>
          <w:tab w:val="num" w:pos="6409"/>
        </w:tabs>
        <w:ind w:left="6409" w:hanging="1022"/>
      </w:pPr>
      <w:rPr>
        <w:rFonts w:hint="default"/>
      </w:rPr>
    </w:lvl>
    <w:lvl w:ilvl="2">
      <w:start w:val="1"/>
      <w:numFmt w:val="decimal"/>
      <w:pStyle w:val="Heading4"/>
      <w:lvlText w:val="%1.%2.%3."/>
      <w:lvlJc w:val="left"/>
      <w:pPr>
        <w:tabs>
          <w:tab w:val="num" w:pos="1106"/>
        </w:tabs>
        <w:ind w:left="1106" w:hanging="9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2893"/>
        </w:tabs>
        <w:ind w:left="2893" w:hanging="1191"/>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7DDF3318"/>
    <w:multiLevelType w:val="hybridMultilevel"/>
    <w:tmpl w:val="BEF6982E"/>
    <w:lvl w:ilvl="0" w:tplc="817CF662">
      <w:start w:val="1"/>
      <w:numFmt w:val="bullet"/>
      <w:lvlText w:val=""/>
      <w:lvlJc w:val="left"/>
      <w:pPr>
        <w:ind w:left="567" w:hanging="428"/>
      </w:pPr>
      <w:rPr>
        <w:rFonts w:ascii="Symbol" w:eastAsia="Symbol" w:hAnsi="Symbol" w:hint="default"/>
        <w:w w:val="77"/>
        <w:sz w:val="20"/>
        <w:szCs w:val="20"/>
      </w:rPr>
    </w:lvl>
    <w:lvl w:ilvl="1" w:tplc="A41EB860">
      <w:start w:val="1"/>
      <w:numFmt w:val="bullet"/>
      <w:lvlText w:val="•"/>
      <w:lvlJc w:val="left"/>
      <w:pPr>
        <w:ind w:left="1472" w:hanging="428"/>
      </w:pPr>
      <w:rPr>
        <w:rFonts w:hint="default"/>
      </w:rPr>
    </w:lvl>
    <w:lvl w:ilvl="2" w:tplc="B2249A26">
      <w:start w:val="1"/>
      <w:numFmt w:val="bullet"/>
      <w:lvlText w:val="•"/>
      <w:lvlJc w:val="left"/>
      <w:pPr>
        <w:ind w:left="2378" w:hanging="428"/>
      </w:pPr>
      <w:rPr>
        <w:rFonts w:hint="default"/>
      </w:rPr>
    </w:lvl>
    <w:lvl w:ilvl="3" w:tplc="50C61972">
      <w:start w:val="1"/>
      <w:numFmt w:val="bullet"/>
      <w:lvlText w:val="•"/>
      <w:lvlJc w:val="left"/>
      <w:pPr>
        <w:ind w:left="3284" w:hanging="428"/>
      </w:pPr>
      <w:rPr>
        <w:rFonts w:hint="default"/>
      </w:rPr>
    </w:lvl>
    <w:lvl w:ilvl="4" w:tplc="A060F4CC">
      <w:start w:val="1"/>
      <w:numFmt w:val="bullet"/>
      <w:lvlText w:val="•"/>
      <w:lvlJc w:val="left"/>
      <w:pPr>
        <w:ind w:left="4189" w:hanging="428"/>
      </w:pPr>
      <w:rPr>
        <w:rFonts w:hint="default"/>
      </w:rPr>
    </w:lvl>
    <w:lvl w:ilvl="5" w:tplc="FA9E25C0">
      <w:start w:val="1"/>
      <w:numFmt w:val="bullet"/>
      <w:lvlText w:val="•"/>
      <w:lvlJc w:val="left"/>
      <w:pPr>
        <w:ind w:left="5095" w:hanging="428"/>
      </w:pPr>
      <w:rPr>
        <w:rFonts w:hint="default"/>
      </w:rPr>
    </w:lvl>
    <w:lvl w:ilvl="6" w:tplc="8192313A">
      <w:start w:val="1"/>
      <w:numFmt w:val="bullet"/>
      <w:lvlText w:val="•"/>
      <w:lvlJc w:val="left"/>
      <w:pPr>
        <w:ind w:left="6001" w:hanging="428"/>
      </w:pPr>
      <w:rPr>
        <w:rFonts w:hint="default"/>
      </w:rPr>
    </w:lvl>
    <w:lvl w:ilvl="7" w:tplc="0C522494">
      <w:start w:val="1"/>
      <w:numFmt w:val="bullet"/>
      <w:lvlText w:val="•"/>
      <w:lvlJc w:val="left"/>
      <w:pPr>
        <w:ind w:left="6906" w:hanging="428"/>
      </w:pPr>
      <w:rPr>
        <w:rFonts w:hint="default"/>
      </w:rPr>
    </w:lvl>
    <w:lvl w:ilvl="8" w:tplc="A3C8DFB0">
      <w:start w:val="1"/>
      <w:numFmt w:val="bullet"/>
      <w:lvlText w:val="•"/>
      <w:lvlJc w:val="left"/>
      <w:pPr>
        <w:ind w:left="7812" w:hanging="428"/>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3"/>
  </w:num>
  <w:num w:numId="8">
    <w:abstractNumId w:val="2"/>
  </w:num>
  <w:num w:numId="9">
    <w:abstractNumId w:val="9"/>
  </w:num>
  <w:num w:numId="10">
    <w:abstractNumId w:val="7"/>
  </w:num>
  <w:num w:numId="11">
    <w:abstractNumId w:val="6"/>
  </w:num>
  <w:num w:numId="12">
    <w:abstractNumId w:val="10"/>
  </w:num>
  <w:num w:numId="13">
    <w:abstractNumId w:val="10"/>
  </w:num>
  <w:num w:numId="14">
    <w:abstractNumId w:val="10"/>
  </w:num>
  <w:num w:numId="15">
    <w:abstractNumId w:val="5"/>
  </w:num>
  <w:num w:numId="16">
    <w:abstractNumId w:val="4"/>
  </w:num>
  <w:num w:numId="17">
    <w:abstractNumId w:val="10"/>
  </w:num>
  <w:num w:numId="18">
    <w:abstractNumId w:val="10"/>
  </w:num>
  <w:num w:numId="19">
    <w:abstractNumId w:val="10"/>
  </w:num>
  <w:num w:numId="20">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1"/>
  </w:num>
  <w:num w:numId="22">
    <w:abstractNumId w:val="10"/>
  </w:num>
  <w:num w:numId="23">
    <w:abstractNumId w:val="10"/>
  </w:num>
  <w:num w:numId="24">
    <w:abstractNumId w:val="10"/>
  </w:num>
  <w:num w:numId="25">
    <w:abstractNumId w:val="10"/>
  </w:num>
  <w:num w:numId="26">
    <w:abstractNumId w:val="10"/>
  </w:num>
  <w:num w:numId="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D31"/>
    <w:rsid w:val="00001DF8"/>
    <w:rsid w:val="00002031"/>
    <w:rsid w:val="00004734"/>
    <w:rsid w:val="00004E22"/>
    <w:rsid w:val="00006B22"/>
    <w:rsid w:val="00007E1B"/>
    <w:rsid w:val="0001276A"/>
    <w:rsid w:val="000246AE"/>
    <w:rsid w:val="00025C67"/>
    <w:rsid w:val="00033552"/>
    <w:rsid w:val="00035389"/>
    <w:rsid w:val="00040550"/>
    <w:rsid w:val="00040ACB"/>
    <w:rsid w:val="000468CD"/>
    <w:rsid w:val="0005235F"/>
    <w:rsid w:val="0005559E"/>
    <w:rsid w:val="00077775"/>
    <w:rsid w:val="00083861"/>
    <w:rsid w:val="00090471"/>
    <w:rsid w:val="00092E71"/>
    <w:rsid w:val="000A34F6"/>
    <w:rsid w:val="000A3AED"/>
    <w:rsid w:val="000A590F"/>
    <w:rsid w:val="000A63AF"/>
    <w:rsid w:val="000A7A2B"/>
    <w:rsid w:val="000B3532"/>
    <w:rsid w:val="000B3A75"/>
    <w:rsid w:val="000B54D7"/>
    <w:rsid w:val="000C690F"/>
    <w:rsid w:val="000D1295"/>
    <w:rsid w:val="000D260D"/>
    <w:rsid w:val="000D391B"/>
    <w:rsid w:val="000D3D6D"/>
    <w:rsid w:val="000D40E4"/>
    <w:rsid w:val="000D4FC7"/>
    <w:rsid w:val="000D5DC9"/>
    <w:rsid w:val="000D61B2"/>
    <w:rsid w:val="000E10D1"/>
    <w:rsid w:val="000E3BD7"/>
    <w:rsid w:val="000E4E44"/>
    <w:rsid w:val="000F02F9"/>
    <w:rsid w:val="000F094D"/>
    <w:rsid w:val="000F4869"/>
    <w:rsid w:val="000F5B42"/>
    <w:rsid w:val="000F66DC"/>
    <w:rsid w:val="000F6E6F"/>
    <w:rsid w:val="001016E0"/>
    <w:rsid w:val="0010193C"/>
    <w:rsid w:val="00101FDD"/>
    <w:rsid w:val="00104613"/>
    <w:rsid w:val="001047B3"/>
    <w:rsid w:val="00105EE9"/>
    <w:rsid w:val="0010601F"/>
    <w:rsid w:val="0010788A"/>
    <w:rsid w:val="00107A31"/>
    <w:rsid w:val="001100B3"/>
    <w:rsid w:val="00110EA5"/>
    <w:rsid w:val="00112F56"/>
    <w:rsid w:val="001136E7"/>
    <w:rsid w:val="00115E6A"/>
    <w:rsid w:val="001226F4"/>
    <w:rsid w:val="00125318"/>
    <w:rsid w:val="00126856"/>
    <w:rsid w:val="001305A2"/>
    <w:rsid w:val="00133238"/>
    <w:rsid w:val="00133982"/>
    <w:rsid w:val="00135C8E"/>
    <w:rsid w:val="00140F85"/>
    <w:rsid w:val="0014197B"/>
    <w:rsid w:val="00142197"/>
    <w:rsid w:val="00143029"/>
    <w:rsid w:val="001447CD"/>
    <w:rsid w:val="001516B1"/>
    <w:rsid w:val="00154EBB"/>
    <w:rsid w:val="00156316"/>
    <w:rsid w:val="00157BBF"/>
    <w:rsid w:val="001619A4"/>
    <w:rsid w:val="0016439A"/>
    <w:rsid w:val="00165389"/>
    <w:rsid w:val="00167160"/>
    <w:rsid w:val="0017078F"/>
    <w:rsid w:val="00173CFE"/>
    <w:rsid w:val="0017693F"/>
    <w:rsid w:val="0018110E"/>
    <w:rsid w:val="00181684"/>
    <w:rsid w:val="0018206A"/>
    <w:rsid w:val="001831C1"/>
    <w:rsid w:val="001843C6"/>
    <w:rsid w:val="001850E0"/>
    <w:rsid w:val="001923B1"/>
    <w:rsid w:val="0019425C"/>
    <w:rsid w:val="00197270"/>
    <w:rsid w:val="001A2158"/>
    <w:rsid w:val="001A525F"/>
    <w:rsid w:val="001B09F9"/>
    <w:rsid w:val="001B0F19"/>
    <w:rsid w:val="001B2728"/>
    <w:rsid w:val="001B5D98"/>
    <w:rsid w:val="001B6448"/>
    <w:rsid w:val="001C4BC7"/>
    <w:rsid w:val="001C7F3A"/>
    <w:rsid w:val="001D0681"/>
    <w:rsid w:val="001D2356"/>
    <w:rsid w:val="001D3DAC"/>
    <w:rsid w:val="001D4A61"/>
    <w:rsid w:val="001E07CF"/>
    <w:rsid w:val="001E0C79"/>
    <w:rsid w:val="001E5194"/>
    <w:rsid w:val="001E5752"/>
    <w:rsid w:val="001E59F1"/>
    <w:rsid w:val="001F39C2"/>
    <w:rsid w:val="001F49EB"/>
    <w:rsid w:val="001F6CBA"/>
    <w:rsid w:val="00200D46"/>
    <w:rsid w:val="00201463"/>
    <w:rsid w:val="00201D4E"/>
    <w:rsid w:val="00204EA3"/>
    <w:rsid w:val="002076C9"/>
    <w:rsid w:val="00215FF5"/>
    <w:rsid w:val="00220B8A"/>
    <w:rsid w:val="002222C1"/>
    <w:rsid w:val="00222BA3"/>
    <w:rsid w:val="00223E51"/>
    <w:rsid w:val="002257F3"/>
    <w:rsid w:val="00230773"/>
    <w:rsid w:val="00233456"/>
    <w:rsid w:val="002339A5"/>
    <w:rsid w:val="00252820"/>
    <w:rsid w:val="0025306D"/>
    <w:rsid w:val="00254351"/>
    <w:rsid w:val="00257848"/>
    <w:rsid w:val="00261B4B"/>
    <w:rsid w:val="00262059"/>
    <w:rsid w:val="002666AC"/>
    <w:rsid w:val="0027084A"/>
    <w:rsid w:val="00272FEF"/>
    <w:rsid w:val="0027606C"/>
    <w:rsid w:val="0028588D"/>
    <w:rsid w:val="00286434"/>
    <w:rsid w:val="00286C59"/>
    <w:rsid w:val="002904C6"/>
    <w:rsid w:val="00292113"/>
    <w:rsid w:val="002942D1"/>
    <w:rsid w:val="0029501A"/>
    <w:rsid w:val="00295101"/>
    <w:rsid w:val="002A0F05"/>
    <w:rsid w:val="002A2F0D"/>
    <w:rsid w:val="002B1638"/>
    <w:rsid w:val="002B3747"/>
    <w:rsid w:val="002B5964"/>
    <w:rsid w:val="002B697B"/>
    <w:rsid w:val="002B6EC7"/>
    <w:rsid w:val="002B7213"/>
    <w:rsid w:val="002C0D19"/>
    <w:rsid w:val="002C63ED"/>
    <w:rsid w:val="002D2A4D"/>
    <w:rsid w:val="002D4AFD"/>
    <w:rsid w:val="002D545C"/>
    <w:rsid w:val="002D54CB"/>
    <w:rsid w:val="002D6161"/>
    <w:rsid w:val="002E4023"/>
    <w:rsid w:val="002E4C9A"/>
    <w:rsid w:val="002E5C31"/>
    <w:rsid w:val="002E76B2"/>
    <w:rsid w:val="002F11F8"/>
    <w:rsid w:val="002F23D0"/>
    <w:rsid w:val="002F3F56"/>
    <w:rsid w:val="002F44B5"/>
    <w:rsid w:val="002F5F0B"/>
    <w:rsid w:val="003011C7"/>
    <w:rsid w:val="00302344"/>
    <w:rsid w:val="00305A80"/>
    <w:rsid w:val="00311455"/>
    <w:rsid w:val="00311AC0"/>
    <w:rsid w:val="003121A2"/>
    <w:rsid w:val="003125DB"/>
    <w:rsid w:val="00315514"/>
    <w:rsid w:val="0032583B"/>
    <w:rsid w:val="00327883"/>
    <w:rsid w:val="003314FE"/>
    <w:rsid w:val="00332939"/>
    <w:rsid w:val="003334B2"/>
    <w:rsid w:val="00335504"/>
    <w:rsid w:val="00342151"/>
    <w:rsid w:val="00344BCB"/>
    <w:rsid w:val="00346A17"/>
    <w:rsid w:val="00350FF0"/>
    <w:rsid w:val="003521E8"/>
    <w:rsid w:val="00354A1B"/>
    <w:rsid w:val="00355E0F"/>
    <w:rsid w:val="00360244"/>
    <w:rsid w:val="003605BA"/>
    <w:rsid w:val="00361E36"/>
    <w:rsid w:val="00362FED"/>
    <w:rsid w:val="00364B73"/>
    <w:rsid w:val="003728F3"/>
    <w:rsid w:val="0037496E"/>
    <w:rsid w:val="00374A5D"/>
    <w:rsid w:val="00375C9E"/>
    <w:rsid w:val="0037623D"/>
    <w:rsid w:val="0037674A"/>
    <w:rsid w:val="0038012B"/>
    <w:rsid w:val="00381D14"/>
    <w:rsid w:val="003828DB"/>
    <w:rsid w:val="00386150"/>
    <w:rsid w:val="003874CE"/>
    <w:rsid w:val="00390900"/>
    <w:rsid w:val="003966D2"/>
    <w:rsid w:val="00396C92"/>
    <w:rsid w:val="00397D39"/>
    <w:rsid w:val="003A063E"/>
    <w:rsid w:val="003A2E0D"/>
    <w:rsid w:val="003A7DA7"/>
    <w:rsid w:val="003A7F6C"/>
    <w:rsid w:val="003B1113"/>
    <w:rsid w:val="003B1224"/>
    <w:rsid w:val="003B2441"/>
    <w:rsid w:val="003B2B8B"/>
    <w:rsid w:val="003B4584"/>
    <w:rsid w:val="003B4D60"/>
    <w:rsid w:val="003B634F"/>
    <w:rsid w:val="003B7E39"/>
    <w:rsid w:val="003C37C1"/>
    <w:rsid w:val="003C444B"/>
    <w:rsid w:val="003C4D95"/>
    <w:rsid w:val="003C58DC"/>
    <w:rsid w:val="003D0A3B"/>
    <w:rsid w:val="003D1E62"/>
    <w:rsid w:val="003D5343"/>
    <w:rsid w:val="003E2486"/>
    <w:rsid w:val="003E3208"/>
    <w:rsid w:val="003F0B04"/>
    <w:rsid w:val="003F1176"/>
    <w:rsid w:val="003F41B0"/>
    <w:rsid w:val="0040056D"/>
    <w:rsid w:val="0040134E"/>
    <w:rsid w:val="00402DFE"/>
    <w:rsid w:val="00406F46"/>
    <w:rsid w:val="00407A06"/>
    <w:rsid w:val="004122E9"/>
    <w:rsid w:val="00415D59"/>
    <w:rsid w:val="00417E58"/>
    <w:rsid w:val="004210A8"/>
    <w:rsid w:val="004233C8"/>
    <w:rsid w:val="00424F21"/>
    <w:rsid w:val="00425285"/>
    <w:rsid w:val="00432C01"/>
    <w:rsid w:val="00434F65"/>
    <w:rsid w:val="0043797D"/>
    <w:rsid w:val="00440A2D"/>
    <w:rsid w:val="004422A9"/>
    <w:rsid w:val="00445CF8"/>
    <w:rsid w:val="00447366"/>
    <w:rsid w:val="00450D50"/>
    <w:rsid w:val="004554C0"/>
    <w:rsid w:val="004564A7"/>
    <w:rsid w:val="00457325"/>
    <w:rsid w:val="00457C69"/>
    <w:rsid w:val="004617BF"/>
    <w:rsid w:val="0046253A"/>
    <w:rsid w:val="00463658"/>
    <w:rsid w:val="0047039F"/>
    <w:rsid w:val="004722CC"/>
    <w:rsid w:val="004778FF"/>
    <w:rsid w:val="00480A57"/>
    <w:rsid w:val="00482CE6"/>
    <w:rsid w:val="0048647B"/>
    <w:rsid w:val="00491843"/>
    <w:rsid w:val="004936E4"/>
    <w:rsid w:val="00494E60"/>
    <w:rsid w:val="00497487"/>
    <w:rsid w:val="004A128A"/>
    <w:rsid w:val="004A1B78"/>
    <w:rsid w:val="004A1C8E"/>
    <w:rsid w:val="004A2DEF"/>
    <w:rsid w:val="004A3D47"/>
    <w:rsid w:val="004A448A"/>
    <w:rsid w:val="004A7E13"/>
    <w:rsid w:val="004B7B76"/>
    <w:rsid w:val="004C0CB6"/>
    <w:rsid w:val="004C1286"/>
    <w:rsid w:val="004C12BA"/>
    <w:rsid w:val="004C256C"/>
    <w:rsid w:val="004C2DCA"/>
    <w:rsid w:val="004C62EE"/>
    <w:rsid w:val="004E075F"/>
    <w:rsid w:val="004E117B"/>
    <w:rsid w:val="004E493C"/>
    <w:rsid w:val="004E6D8A"/>
    <w:rsid w:val="004F0F38"/>
    <w:rsid w:val="004F3A92"/>
    <w:rsid w:val="004F4AF5"/>
    <w:rsid w:val="005011C5"/>
    <w:rsid w:val="00501921"/>
    <w:rsid w:val="00507294"/>
    <w:rsid w:val="0051028A"/>
    <w:rsid w:val="00510977"/>
    <w:rsid w:val="00513F8A"/>
    <w:rsid w:val="00517EE4"/>
    <w:rsid w:val="0053023B"/>
    <w:rsid w:val="00530354"/>
    <w:rsid w:val="00534AC5"/>
    <w:rsid w:val="00535DAC"/>
    <w:rsid w:val="0053625B"/>
    <w:rsid w:val="005403F9"/>
    <w:rsid w:val="005434C6"/>
    <w:rsid w:val="00543B39"/>
    <w:rsid w:val="005453E7"/>
    <w:rsid w:val="00550096"/>
    <w:rsid w:val="005526F5"/>
    <w:rsid w:val="00557013"/>
    <w:rsid w:val="00557FF9"/>
    <w:rsid w:val="00566579"/>
    <w:rsid w:val="00574D50"/>
    <w:rsid w:val="00576378"/>
    <w:rsid w:val="00577945"/>
    <w:rsid w:val="00577E38"/>
    <w:rsid w:val="00585322"/>
    <w:rsid w:val="005857C6"/>
    <w:rsid w:val="00586F98"/>
    <w:rsid w:val="00591B4F"/>
    <w:rsid w:val="00592F6E"/>
    <w:rsid w:val="00593AD1"/>
    <w:rsid w:val="00595229"/>
    <w:rsid w:val="0059726D"/>
    <w:rsid w:val="005A4790"/>
    <w:rsid w:val="005A5D84"/>
    <w:rsid w:val="005A68B6"/>
    <w:rsid w:val="005B13C0"/>
    <w:rsid w:val="005B1895"/>
    <w:rsid w:val="005B3862"/>
    <w:rsid w:val="005B6798"/>
    <w:rsid w:val="005B70BF"/>
    <w:rsid w:val="005C013A"/>
    <w:rsid w:val="005C14ED"/>
    <w:rsid w:val="005C235C"/>
    <w:rsid w:val="005C2DE0"/>
    <w:rsid w:val="005C5570"/>
    <w:rsid w:val="005C6B7B"/>
    <w:rsid w:val="005C732D"/>
    <w:rsid w:val="005C79A4"/>
    <w:rsid w:val="005C7DD4"/>
    <w:rsid w:val="005C7E8B"/>
    <w:rsid w:val="005D5442"/>
    <w:rsid w:val="005D5671"/>
    <w:rsid w:val="005D6D61"/>
    <w:rsid w:val="005E162F"/>
    <w:rsid w:val="005E69A6"/>
    <w:rsid w:val="005E6A74"/>
    <w:rsid w:val="005E7673"/>
    <w:rsid w:val="005E7D24"/>
    <w:rsid w:val="005F142B"/>
    <w:rsid w:val="005F57E0"/>
    <w:rsid w:val="005F713B"/>
    <w:rsid w:val="00603F32"/>
    <w:rsid w:val="006049AD"/>
    <w:rsid w:val="00604D3F"/>
    <w:rsid w:val="00605E29"/>
    <w:rsid w:val="0061324E"/>
    <w:rsid w:val="0061636C"/>
    <w:rsid w:val="00616401"/>
    <w:rsid w:val="00620406"/>
    <w:rsid w:val="00623B29"/>
    <w:rsid w:val="00623FB3"/>
    <w:rsid w:val="00632398"/>
    <w:rsid w:val="00637BDC"/>
    <w:rsid w:val="00640FC3"/>
    <w:rsid w:val="0064116A"/>
    <w:rsid w:val="00642020"/>
    <w:rsid w:val="00644A2A"/>
    <w:rsid w:val="00646206"/>
    <w:rsid w:val="00652101"/>
    <w:rsid w:val="00652202"/>
    <w:rsid w:val="00652EEE"/>
    <w:rsid w:val="0065337B"/>
    <w:rsid w:val="0065419D"/>
    <w:rsid w:val="006604D8"/>
    <w:rsid w:val="00660AE0"/>
    <w:rsid w:val="00664A5B"/>
    <w:rsid w:val="006679BB"/>
    <w:rsid w:val="00672775"/>
    <w:rsid w:val="006763D2"/>
    <w:rsid w:val="00676966"/>
    <w:rsid w:val="006801D5"/>
    <w:rsid w:val="00680C08"/>
    <w:rsid w:val="00686987"/>
    <w:rsid w:val="00690FC8"/>
    <w:rsid w:val="00692B90"/>
    <w:rsid w:val="006931B1"/>
    <w:rsid w:val="00695E62"/>
    <w:rsid w:val="006A15C0"/>
    <w:rsid w:val="006A2D4B"/>
    <w:rsid w:val="006A35BD"/>
    <w:rsid w:val="006C130C"/>
    <w:rsid w:val="006C3824"/>
    <w:rsid w:val="006C3B0F"/>
    <w:rsid w:val="006C3E2A"/>
    <w:rsid w:val="006C642F"/>
    <w:rsid w:val="006D03E5"/>
    <w:rsid w:val="006D15DE"/>
    <w:rsid w:val="006D366A"/>
    <w:rsid w:val="006D3836"/>
    <w:rsid w:val="006D48F0"/>
    <w:rsid w:val="006D5C93"/>
    <w:rsid w:val="006D5D3E"/>
    <w:rsid w:val="006E02D7"/>
    <w:rsid w:val="006E03E5"/>
    <w:rsid w:val="006E08B3"/>
    <w:rsid w:val="006E0B9E"/>
    <w:rsid w:val="006E23AB"/>
    <w:rsid w:val="006E24A8"/>
    <w:rsid w:val="006E2D47"/>
    <w:rsid w:val="006E342B"/>
    <w:rsid w:val="006F17AC"/>
    <w:rsid w:val="006F1D37"/>
    <w:rsid w:val="006F26D0"/>
    <w:rsid w:val="006F2796"/>
    <w:rsid w:val="006F527F"/>
    <w:rsid w:val="006F572E"/>
    <w:rsid w:val="00704603"/>
    <w:rsid w:val="007046D6"/>
    <w:rsid w:val="00705DB0"/>
    <w:rsid w:val="00705DDF"/>
    <w:rsid w:val="0071283A"/>
    <w:rsid w:val="007146BB"/>
    <w:rsid w:val="00717F4E"/>
    <w:rsid w:val="0072056C"/>
    <w:rsid w:val="00722B57"/>
    <w:rsid w:val="00723E25"/>
    <w:rsid w:val="0072628C"/>
    <w:rsid w:val="00731663"/>
    <w:rsid w:val="00737753"/>
    <w:rsid w:val="0074209E"/>
    <w:rsid w:val="0074253D"/>
    <w:rsid w:val="0074429B"/>
    <w:rsid w:val="007513B4"/>
    <w:rsid w:val="00760490"/>
    <w:rsid w:val="007615BC"/>
    <w:rsid w:val="00762F05"/>
    <w:rsid w:val="007652FF"/>
    <w:rsid w:val="00765B3C"/>
    <w:rsid w:val="00766F70"/>
    <w:rsid w:val="00770DFC"/>
    <w:rsid w:val="00770EF1"/>
    <w:rsid w:val="00773EF7"/>
    <w:rsid w:val="00774E1D"/>
    <w:rsid w:val="0077675A"/>
    <w:rsid w:val="007767A1"/>
    <w:rsid w:val="00780355"/>
    <w:rsid w:val="007823F7"/>
    <w:rsid w:val="00785721"/>
    <w:rsid w:val="00791145"/>
    <w:rsid w:val="00793187"/>
    <w:rsid w:val="00793A59"/>
    <w:rsid w:val="00795ADB"/>
    <w:rsid w:val="007B2E9D"/>
    <w:rsid w:val="007B5908"/>
    <w:rsid w:val="007B6E9F"/>
    <w:rsid w:val="007C0D52"/>
    <w:rsid w:val="007C1216"/>
    <w:rsid w:val="007C1AF7"/>
    <w:rsid w:val="007C1C98"/>
    <w:rsid w:val="007C200F"/>
    <w:rsid w:val="007C550F"/>
    <w:rsid w:val="007C7C77"/>
    <w:rsid w:val="007D0200"/>
    <w:rsid w:val="007D07CE"/>
    <w:rsid w:val="007D0FFD"/>
    <w:rsid w:val="007D7501"/>
    <w:rsid w:val="007E100D"/>
    <w:rsid w:val="007E462B"/>
    <w:rsid w:val="007E5553"/>
    <w:rsid w:val="007E6E27"/>
    <w:rsid w:val="007F33BE"/>
    <w:rsid w:val="007F4D14"/>
    <w:rsid w:val="0080060B"/>
    <w:rsid w:val="00805D27"/>
    <w:rsid w:val="008068BB"/>
    <w:rsid w:val="00806F04"/>
    <w:rsid w:val="00821776"/>
    <w:rsid w:val="0082614C"/>
    <w:rsid w:val="008321F5"/>
    <w:rsid w:val="00832369"/>
    <w:rsid w:val="00834660"/>
    <w:rsid w:val="0083662E"/>
    <w:rsid w:val="00836BC2"/>
    <w:rsid w:val="00837FD3"/>
    <w:rsid w:val="008414A0"/>
    <w:rsid w:val="0084344D"/>
    <w:rsid w:val="00843711"/>
    <w:rsid w:val="008448DC"/>
    <w:rsid w:val="00845861"/>
    <w:rsid w:val="0084608B"/>
    <w:rsid w:val="008474A7"/>
    <w:rsid w:val="008513E2"/>
    <w:rsid w:val="0085641B"/>
    <w:rsid w:val="00857136"/>
    <w:rsid w:val="00863657"/>
    <w:rsid w:val="008658CB"/>
    <w:rsid w:val="008836A4"/>
    <w:rsid w:val="00884CA7"/>
    <w:rsid w:val="00886D15"/>
    <w:rsid w:val="00887DD8"/>
    <w:rsid w:val="00896018"/>
    <w:rsid w:val="008960DD"/>
    <w:rsid w:val="0089635C"/>
    <w:rsid w:val="008A211C"/>
    <w:rsid w:val="008A2B9D"/>
    <w:rsid w:val="008A5E0B"/>
    <w:rsid w:val="008A5F02"/>
    <w:rsid w:val="008A6D59"/>
    <w:rsid w:val="008B4B03"/>
    <w:rsid w:val="008B4FCC"/>
    <w:rsid w:val="008B55DD"/>
    <w:rsid w:val="008B596F"/>
    <w:rsid w:val="008B5A3E"/>
    <w:rsid w:val="008C04A3"/>
    <w:rsid w:val="008C159F"/>
    <w:rsid w:val="008C1623"/>
    <w:rsid w:val="008C1850"/>
    <w:rsid w:val="008C4A3E"/>
    <w:rsid w:val="008C51A9"/>
    <w:rsid w:val="008D2601"/>
    <w:rsid w:val="008D60B7"/>
    <w:rsid w:val="008D770F"/>
    <w:rsid w:val="008E0680"/>
    <w:rsid w:val="008E17C6"/>
    <w:rsid w:val="008E26CF"/>
    <w:rsid w:val="008E7846"/>
    <w:rsid w:val="008F1CCC"/>
    <w:rsid w:val="008F22A8"/>
    <w:rsid w:val="008F2967"/>
    <w:rsid w:val="008F46C7"/>
    <w:rsid w:val="008F6943"/>
    <w:rsid w:val="00902A21"/>
    <w:rsid w:val="0090715C"/>
    <w:rsid w:val="00907FC0"/>
    <w:rsid w:val="00920330"/>
    <w:rsid w:val="009219D7"/>
    <w:rsid w:val="00922D53"/>
    <w:rsid w:val="00923B70"/>
    <w:rsid w:val="00924482"/>
    <w:rsid w:val="009250B5"/>
    <w:rsid w:val="0092557B"/>
    <w:rsid w:val="00930237"/>
    <w:rsid w:val="00931B8A"/>
    <w:rsid w:val="00932572"/>
    <w:rsid w:val="00933C46"/>
    <w:rsid w:val="00934502"/>
    <w:rsid w:val="00940552"/>
    <w:rsid w:val="00943021"/>
    <w:rsid w:val="009438E8"/>
    <w:rsid w:val="00946EA5"/>
    <w:rsid w:val="009474E9"/>
    <w:rsid w:val="0095160F"/>
    <w:rsid w:val="00963C08"/>
    <w:rsid w:val="00964305"/>
    <w:rsid w:val="00965781"/>
    <w:rsid w:val="009666D8"/>
    <w:rsid w:val="00973FC2"/>
    <w:rsid w:val="00975AAA"/>
    <w:rsid w:val="009769A7"/>
    <w:rsid w:val="00976D99"/>
    <w:rsid w:val="009810E2"/>
    <w:rsid w:val="00981D66"/>
    <w:rsid w:val="00985549"/>
    <w:rsid w:val="0098585A"/>
    <w:rsid w:val="009859C9"/>
    <w:rsid w:val="0098669D"/>
    <w:rsid w:val="009909F3"/>
    <w:rsid w:val="0099168A"/>
    <w:rsid w:val="0099274E"/>
    <w:rsid w:val="00994C95"/>
    <w:rsid w:val="009A4CED"/>
    <w:rsid w:val="009A690D"/>
    <w:rsid w:val="009B1CD7"/>
    <w:rsid w:val="009B1D12"/>
    <w:rsid w:val="009B416B"/>
    <w:rsid w:val="009B4B67"/>
    <w:rsid w:val="009B52F0"/>
    <w:rsid w:val="009B5E7B"/>
    <w:rsid w:val="009C3D11"/>
    <w:rsid w:val="009C4BD5"/>
    <w:rsid w:val="009D33CF"/>
    <w:rsid w:val="009D4E07"/>
    <w:rsid w:val="009D5357"/>
    <w:rsid w:val="009D7B77"/>
    <w:rsid w:val="009E0BB0"/>
    <w:rsid w:val="009E22D7"/>
    <w:rsid w:val="009E2454"/>
    <w:rsid w:val="009E276B"/>
    <w:rsid w:val="009E3FBB"/>
    <w:rsid w:val="009E51B7"/>
    <w:rsid w:val="009F5524"/>
    <w:rsid w:val="00A00B1B"/>
    <w:rsid w:val="00A00B51"/>
    <w:rsid w:val="00A04DFD"/>
    <w:rsid w:val="00A05444"/>
    <w:rsid w:val="00A102E4"/>
    <w:rsid w:val="00A11C4B"/>
    <w:rsid w:val="00A12C42"/>
    <w:rsid w:val="00A12D97"/>
    <w:rsid w:val="00A14DF7"/>
    <w:rsid w:val="00A15B9E"/>
    <w:rsid w:val="00A17934"/>
    <w:rsid w:val="00A205E6"/>
    <w:rsid w:val="00A235D9"/>
    <w:rsid w:val="00A23D8E"/>
    <w:rsid w:val="00A25F9F"/>
    <w:rsid w:val="00A301B7"/>
    <w:rsid w:val="00A3246D"/>
    <w:rsid w:val="00A36FA7"/>
    <w:rsid w:val="00A44C58"/>
    <w:rsid w:val="00A475B7"/>
    <w:rsid w:val="00A47AF7"/>
    <w:rsid w:val="00A47C3E"/>
    <w:rsid w:val="00A50226"/>
    <w:rsid w:val="00A53E2D"/>
    <w:rsid w:val="00A56293"/>
    <w:rsid w:val="00A60BAD"/>
    <w:rsid w:val="00A63395"/>
    <w:rsid w:val="00A71EDF"/>
    <w:rsid w:val="00A750A5"/>
    <w:rsid w:val="00A761BF"/>
    <w:rsid w:val="00A801A9"/>
    <w:rsid w:val="00A82919"/>
    <w:rsid w:val="00A840A4"/>
    <w:rsid w:val="00A933B2"/>
    <w:rsid w:val="00A938E6"/>
    <w:rsid w:val="00A94B3F"/>
    <w:rsid w:val="00A964D1"/>
    <w:rsid w:val="00AA0ED0"/>
    <w:rsid w:val="00AA2852"/>
    <w:rsid w:val="00AA3499"/>
    <w:rsid w:val="00AA4057"/>
    <w:rsid w:val="00AB2646"/>
    <w:rsid w:val="00AB4D1F"/>
    <w:rsid w:val="00AB55D9"/>
    <w:rsid w:val="00AB5D7A"/>
    <w:rsid w:val="00AC2382"/>
    <w:rsid w:val="00AC2B40"/>
    <w:rsid w:val="00AC2BB2"/>
    <w:rsid w:val="00AC2C3C"/>
    <w:rsid w:val="00AC512D"/>
    <w:rsid w:val="00AC626D"/>
    <w:rsid w:val="00AD1721"/>
    <w:rsid w:val="00AE01C2"/>
    <w:rsid w:val="00AE4473"/>
    <w:rsid w:val="00AE52B6"/>
    <w:rsid w:val="00AE65EB"/>
    <w:rsid w:val="00AE67A7"/>
    <w:rsid w:val="00AF1D94"/>
    <w:rsid w:val="00AF2FF5"/>
    <w:rsid w:val="00AF60C5"/>
    <w:rsid w:val="00B009C6"/>
    <w:rsid w:val="00B01548"/>
    <w:rsid w:val="00B01F02"/>
    <w:rsid w:val="00B02208"/>
    <w:rsid w:val="00B11C95"/>
    <w:rsid w:val="00B139DF"/>
    <w:rsid w:val="00B1425E"/>
    <w:rsid w:val="00B14673"/>
    <w:rsid w:val="00B21D29"/>
    <w:rsid w:val="00B25034"/>
    <w:rsid w:val="00B258EE"/>
    <w:rsid w:val="00B33588"/>
    <w:rsid w:val="00B33863"/>
    <w:rsid w:val="00B3567E"/>
    <w:rsid w:val="00B35B86"/>
    <w:rsid w:val="00B37D17"/>
    <w:rsid w:val="00B4175E"/>
    <w:rsid w:val="00B41D55"/>
    <w:rsid w:val="00B45140"/>
    <w:rsid w:val="00B452CE"/>
    <w:rsid w:val="00B519C4"/>
    <w:rsid w:val="00B51F1E"/>
    <w:rsid w:val="00B53C70"/>
    <w:rsid w:val="00B54C25"/>
    <w:rsid w:val="00B6141A"/>
    <w:rsid w:val="00B6247F"/>
    <w:rsid w:val="00B62E48"/>
    <w:rsid w:val="00B66078"/>
    <w:rsid w:val="00B72061"/>
    <w:rsid w:val="00B72AF0"/>
    <w:rsid w:val="00B73856"/>
    <w:rsid w:val="00B76B91"/>
    <w:rsid w:val="00B77EB1"/>
    <w:rsid w:val="00B800EC"/>
    <w:rsid w:val="00B811C6"/>
    <w:rsid w:val="00B81392"/>
    <w:rsid w:val="00B81BE1"/>
    <w:rsid w:val="00B84012"/>
    <w:rsid w:val="00B85A87"/>
    <w:rsid w:val="00B85CB7"/>
    <w:rsid w:val="00B90CCB"/>
    <w:rsid w:val="00B92E08"/>
    <w:rsid w:val="00B93D4A"/>
    <w:rsid w:val="00B94A9E"/>
    <w:rsid w:val="00B96EBE"/>
    <w:rsid w:val="00BA16FE"/>
    <w:rsid w:val="00BA2C86"/>
    <w:rsid w:val="00BA329C"/>
    <w:rsid w:val="00BA7DF8"/>
    <w:rsid w:val="00BB0AA4"/>
    <w:rsid w:val="00BB4877"/>
    <w:rsid w:val="00BB6C86"/>
    <w:rsid w:val="00BC13C2"/>
    <w:rsid w:val="00BC46A0"/>
    <w:rsid w:val="00BC622A"/>
    <w:rsid w:val="00BD2229"/>
    <w:rsid w:val="00BD30F6"/>
    <w:rsid w:val="00BD45E3"/>
    <w:rsid w:val="00BD49CD"/>
    <w:rsid w:val="00BE00BF"/>
    <w:rsid w:val="00BE0A78"/>
    <w:rsid w:val="00BE10C7"/>
    <w:rsid w:val="00BE23F7"/>
    <w:rsid w:val="00BE31A3"/>
    <w:rsid w:val="00BE51DB"/>
    <w:rsid w:val="00BE5B73"/>
    <w:rsid w:val="00BE5E5B"/>
    <w:rsid w:val="00BE6252"/>
    <w:rsid w:val="00BE79F0"/>
    <w:rsid w:val="00BF0185"/>
    <w:rsid w:val="00BF024F"/>
    <w:rsid w:val="00BF046D"/>
    <w:rsid w:val="00BF1190"/>
    <w:rsid w:val="00BF2CCC"/>
    <w:rsid w:val="00BF5D04"/>
    <w:rsid w:val="00C0218A"/>
    <w:rsid w:val="00C03C30"/>
    <w:rsid w:val="00C03E21"/>
    <w:rsid w:val="00C1164D"/>
    <w:rsid w:val="00C16861"/>
    <w:rsid w:val="00C22678"/>
    <w:rsid w:val="00C23F33"/>
    <w:rsid w:val="00C27B6F"/>
    <w:rsid w:val="00C31298"/>
    <w:rsid w:val="00C33B70"/>
    <w:rsid w:val="00C372D9"/>
    <w:rsid w:val="00C404A6"/>
    <w:rsid w:val="00C40A36"/>
    <w:rsid w:val="00C41320"/>
    <w:rsid w:val="00C44419"/>
    <w:rsid w:val="00C45E7B"/>
    <w:rsid w:val="00C471B1"/>
    <w:rsid w:val="00C50B36"/>
    <w:rsid w:val="00C51695"/>
    <w:rsid w:val="00C53D3C"/>
    <w:rsid w:val="00C57513"/>
    <w:rsid w:val="00C601B2"/>
    <w:rsid w:val="00C618F7"/>
    <w:rsid w:val="00C6316B"/>
    <w:rsid w:val="00C634A9"/>
    <w:rsid w:val="00C64586"/>
    <w:rsid w:val="00C70D53"/>
    <w:rsid w:val="00C71A0E"/>
    <w:rsid w:val="00C73D0B"/>
    <w:rsid w:val="00C772FF"/>
    <w:rsid w:val="00C801AF"/>
    <w:rsid w:val="00C80256"/>
    <w:rsid w:val="00C811C0"/>
    <w:rsid w:val="00C81D20"/>
    <w:rsid w:val="00C865EE"/>
    <w:rsid w:val="00C90842"/>
    <w:rsid w:val="00C941FC"/>
    <w:rsid w:val="00C94E0E"/>
    <w:rsid w:val="00CA73C2"/>
    <w:rsid w:val="00CB6BC0"/>
    <w:rsid w:val="00CC1B7C"/>
    <w:rsid w:val="00CC40CF"/>
    <w:rsid w:val="00CC727F"/>
    <w:rsid w:val="00CD21DF"/>
    <w:rsid w:val="00CE0875"/>
    <w:rsid w:val="00CE57F1"/>
    <w:rsid w:val="00CF11A2"/>
    <w:rsid w:val="00CF15C3"/>
    <w:rsid w:val="00CF247C"/>
    <w:rsid w:val="00CF2B6F"/>
    <w:rsid w:val="00CF58B6"/>
    <w:rsid w:val="00D017ED"/>
    <w:rsid w:val="00D03CA2"/>
    <w:rsid w:val="00D040D3"/>
    <w:rsid w:val="00D04C65"/>
    <w:rsid w:val="00D1089B"/>
    <w:rsid w:val="00D13437"/>
    <w:rsid w:val="00D2109C"/>
    <w:rsid w:val="00D224FE"/>
    <w:rsid w:val="00D238C2"/>
    <w:rsid w:val="00D24CB0"/>
    <w:rsid w:val="00D36993"/>
    <w:rsid w:val="00D41EE2"/>
    <w:rsid w:val="00D53A31"/>
    <w:rsid w:val="00D574C6"/>
    <w:rsid w:val="00D6493E"/>
    <w:rsid w:val="00D67125"/>
    <w:rsid w:val="00D72A73"/>
    <w:rsid w:val="00D7301E"/>
    <w:rsid w:val="00D75615"/>
    <w:rsid w:val="00D77301"/>
    <w:rsid w:val="00D81469"/>
    <w:rsid w:val="00D83AE1"/>
    <w:rsid w:val="00D855D4"/>
    <w:rsid w:val="00D87961"/>
    <w:rsid w:val="00D91BDC"/>
    <w:rsid w:val="00D93466"/>
    <w:rsid w:val="00DA028F"/>
    <w:rsid w:val="00DA1124"/>
    <w:rsid w:val="00DA6723"/>
    <w:rsid w:val="00DB1028"/>
    <w:rsid w:val="00DB40E1"/>
    <w:rsid w:val="00DB75B7"/>
    <w:rsid w:val="00DC2FC1"/>
    <w:rsid w:val="00DC6E02"/>
    <w:rsid w:val="00DD09E4"/>
    <w:rsid w:val="00DD1D2A"/>
    <w:rsid w:val="00DD36C8"/>
    <w:rsid w:val="00DE02AE"/>
    <w:rsid w:val="00DE0600"/>
    <w:rsid w:val="00DE0BB4"/>
    <w:rsid w:val="00DE3E44"/>
    <w:rsid w:val="00DF1D7F"/>
    <w:rsid w:val="00DF4BE4"/>
    <w:rsid w:val="00DF54A8"/>
    <w:rsid w:val="00E02F27"/>
    <w:rsid w:val="00E02FB4"/>
    <w:rsid w:val="00E07A31"/>
    <w:rsid w:val="00E07F15"/>
    <w:rsid w:val="00E127D1"/>
    <w:rsid w:val="00E148D7"/>
    <w:rsid w:val="00E14A4B"/>
    <w:rsid w:val="00E20571"/>
    <w:rsid w:val="00E235F7"/>
    <w:rsid w:val="00E23659"/>
    <w:rsid w:val="00E239D4"/>
    <w:rsid w:val="00E25FDC"/>
    <w:rsid w:val="00E26130"/>
    <w:rsid w:val="00E2741C"/>
    <w:rsid w:val="00E27F69"/>
    <w:rsid w:val="00E302E5"/>
    <w:rsid w:val="00E325B3"/>
    <w:rsid w:val="00E356AC"/>
    <w:rsid w:val="00E361CB"/>
    <w:rsid w:val="00E36628"/>
    <w:rsid w:val="00E376F6"/>
    <w:rsid w:val="00E37826"/>
    <w:rsid w:val="00E40B22"/>
    <w:rsid w:val="00E425A9"/>
    <w:rsid w:val="00E42CE5"/>
    <w:rsid w:val="00E45619"/>
    <w:rsid w:val="00E4586A"/>
    <w:rsid w:val="00E4588F"/>
    <w:rsid w:val="00E46DA3"/>
    <w:rsid w:val="00E51BB1"/>
    <w:rsid w:val="00E52536"/>
    <w:rsid w:val="00E543D4"/>
    <w:rsid w:val="00E55880"/>
    <w:rsid w:val="00E55EB6"/>
    <w:rsid w:val="00E617E1"/>
    <w:rsid w:val="00E624A5"/>
    <w:rsid w:val="00E63161"/>
    <w:rsid w:val="00E6621F"/>
    <w:rsid w:val="00E675D0"/>
    <w:rsid w:val="00E7344E"/>
    <w:rsid w:val="00E735CD"/>
    <w:rsid w:val="00E85952"/>
    <w:rsid w:val="00E936E3"/>
    <w:rsid w:val="00E93DA3"/>
    <w:rsid w:val="00E979F4"/>
    <w:rsid w:val="00EA3D31"/>
    <w:rsid w:val="00EA3F05"/>
    <w:rsid w:val="00EA752A"/>
    <w:rsid w:val="00EB0798"/>
    <w:rsid w:val="00EB40AD"/>
    <w:rsid w:val="00EB586E"/>
    <w:rsid w:val="00EB5FC8"/>
    <w:rsid w:val="00EC71C0"/>
    <w:rsid w:val="00ED22E9"/>
    <w:rsid w:val="00ED27DB"/>
    <w:rsid w:val="00ED3CAD"/>
    <w:rsid w:val="00ED5A41"/>
    <w:rsid w:val="00EE1DE8"/>
    <w:rsid w:val="00EF377D"/>
    <w:rsid w:val="00EF3814"/>
    <w:rsid w:val="00EF78FC"/>
    <w:rsid w:val="00F01456"/>
    <w:rsid w:val="00F033EC"/>
    <w:rsid w:val="00F04434"/>
    <w:rsid w:val="00F04F68"/>
    <w:rsid w:val="00F07058"/>
    <w:rsid w:val="00F12670"/>
    <w:rsid w:val="00F14B27"/>
    <w:rsid w:val="00F15768"/>
    <w:rsid w:val="00F15AAF"/>
    <w:rsid w:val="00F20048"/>
    <w:rsid w:val="00F22C09"/>
    <w:rsid w:val="00F2736B"/>
    <w:rsid w:val="00F31412"/>
    <w:rsid w:val="00F3148D"/>
    <w:rsid w:val="00F325C5"/>
    <w:rsid w:val="00F32FE0"/>
    <w:rsid w:val="00F35298"/>
    <w:rsid w:val="00F40F6B"/>
    <w:rsid w:val="00F4104C"/>
    <w:rsid w:val="00F47333"/>
    <w:rsid w:val="00F47E37"/>
    <w:rsid w:val="00F53C07"/>
    <w:rsid w:val="00F54B65"/>
    <w:rsid w:val="00F640B6"/>
    <w:rsid w:val="00F66B76"/>
    <w:rsid w:val="00F66E1B"/>
    <w:rsid w:val="00F75485"/>
    <w:rsid w:val="00F80E40"/>
    <w:rsid w:val="00F848D9"/>
    <w:rsid w:val="00F93CA2"/>
    <w:rsid w:val="00F9533D"/>
    <w:rsid w:val="00F9652C"/>
    <w:rsid w:val="00F97470"/>
    <w:rsid w:val="00FA208D"/>
    <w:rsid w:val="00FA322C"/>
    <w:rsid w:val="00FA5B82"/>
    <w:rsid w:val="00FA639E"/>
    <w:rsid w:val="00FB03C2"/>
    <w:rsid w:val="00FB2FA9"/>
    <w:rsid w:val="00FB4178"/>
    <w:rsid w:val="00FB4E94"/>
    <w:rsid w:val="00FB747D"/>
    <w:rsid w:val="00FC25E4"/>
    <w:rsid w:val="00FC2649"/>
    <w:rsid w:val="00FC4EF7"/>
    <w:rsid w:val="00FD0D73"/>
    <w:rsid w:val="00FD1BCE"/>
    <w:rsid w:val="00FD386B"/>
    <w:rsid w:val="00FE1DEE"/>
    <w:rsid w:val="00FE678C"/>
    <w:rsid w:val="00FE7BA0"/>
    <w:rsid w:val="00FF032C"/>
    <w:rsid w:val="00FF2126"/>
    <w:rsid w:val="00FF340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51F1E"/>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586F98"/>
    <w:pPr>
      <w:keepNext/>
      <w:keepLines/>
      <w:numPr>
        <w:numId w:val="5"/>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1"/>
    <w:qFormat/>
    <w:rsid w:val="00A750A5"/>
    <w:pPr>
      <w:keepNext/>
      <w:keepLines/>
      <w:numPr>
        <w:ilvl w:val="1"/>
        <w:numId w:val="5"/>
      </w:numPr>
      <w:tabs>
        <w:tab w:val="clear" w:pos="6409"/>
        <w:tab w:val="num" w:pos="1134"/>
      </w:tabs>
      <w:adjustRightInd w:val="0"/>
      <w:snapToGrid w:val="0"/>
      <w:spacing w:before="400" w:line="220" w:lineRule="atLeast"/>
      <w:ind w:left="1134"/>
      <w:jc w:val="both"/>
      <w:outlineLvl w:val="2"/>
    </w:pPr>
    <w:rPr>
      <w:rFonts w:ascii="Arial" w:eastAsia="Times New Roman" w:hAnsi="Arial"/>
      <w:b/>
      <w:bCs/>
      <w:szCs w:val="21"/>
      <w:lang w:eastAsia="ja-JP"/>
    </w:rPr>
  </w:style>
  <w:style w:type="paragraph" w:styleId="Heading4">
    <w:name w:val="heading 4"/>
    <w:basedOn w:val="Normal"/>
    <w:next w:val="Normal"/>
    <w:link w:val="Heading4Char"/>
    <w:uiPriority w:val="1"/>
    <w:qFormat/>
    <w:rsid w:val="00FA322C"/>
    <w:pPr>
      <w:keepNext/>
      <w:numPr>
        <w:ilvl w:val="2"/>
        <w:numId w:val="5"/>
      </w:numPr>
      <w:tabs>
        <w:tab w:val="clear" w:pos="1106"/>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tabs>
        <w:tab w:val="clear" w:pos="2893"/>
        <w:tab w:val="num" w:pos="1759"/>
      </w:tabs>
      <w:spacing w:line="220" w:lineRule="atLeast"/>
      <w:ind w:left="1759"/>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1"/>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1"/>
    <w:rsid w:val="00A750A5"/>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uiPriority w:val="1"/>
    <w:rsid w:val="00FA322C"/>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15B9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15B9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B697B"/>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B697B"/>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1"/>
    <w:unhideWhenUsed/>
    <w:qFormat/>
    <w:rsid w:val="00F3148D"/>
    <w:pPr>
      <w:tabs>
        <w:tab w:val="right" w:pos="8505"/>
      </w:tabs>
      <w:spacing w:after="200"/>
    </w:pPr>
    <w:rPr>
      <w:rFonts w:ascii="Arial" w:hAnsi="Arial"/>
      <w:b/>
      <w:sz w:val="32"/>
    </w:rPr>
  </w:style>
  <w:style w:type="paragraph" w:styleId="TOC2">
    <w:name w:val="toc 2"/>
    <w:basedOn w:val="Normal"/>
    <w:next w:val="Normal"/>
    <w:uiPriority w:val="39"/>
    <w:unhideWhenUsed/>
    <w:qFormat/>
    <w:rsid w:val="00F3148D"/>
    <w:pPr>
      <w:tabs>
        <w:tab w:val="right" w:leader="underscore" w:pos="8505"/>
      </w:tabs>
      <w:spacing w:after="100"/>
      <w:ind w:left="624"/>
    </w:pPr>
    <w:rPr>
      <w:b/>
      <w:sz w:val="25"/>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Default">
    <w:name w:val="Default"/>
    <w:rsid w:val="006D5C93"/>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7F33BE"/>
    <w:pPr>
      <w:autoSpaceDE w:val="0"/>
      <w:autoSpaceDN w:val="0"/>
      <w:adjustRightInd w:val="0"/>
      <w:spacing w:before="0" w:after="0" w:line="240" w:lineRule="auto"/>
      <w:ind w:left="39"/>
    </w:pPr>
    <w:rPr>
      <w:rFonts w:eastAsiaTheme="minorHAnsi" w:cs="Cambria"/>
      <w:b/>
      <w:bCs/>
    </w:rPr>
  </w:style>
  <w:style w:type="character" w:customStyle="1" w:styleId="BodyTextChar">
    <w:name w:val="Body Text Char"/>
    <w:basedOn w:val="DefaultParagraphFont"/>
    <w:link w:val="BodyText"/>
    <w:uiPriority w:val="1"/>
    <w:rsid w:val="007F33BE"/>
    <w:rPr>
      <w:rFonts w:ascii="Cambria" w:hAnsi="Cambria" w:cs="Cambria"/>
      <w:b/>
      <w:bCs/>
    </w:rPr>
  </w:style>
  <w:style w:type="paragraph" w:customStyle="1" w:styleId="TableParagraph">
    <w:name w:val="Table Paragraph"/>
    <w:basedOn w:val="Normal"/>
    <w:uiPriority w:val="1"/>
    <w:qFormat/>
    <w:rsid w:val="007F33BE"/>
    <w:pPr>
      <w:autoSpaceDE w:val="0"/>
      <w:autoSpaceDN w:val="0"/>
      <w:adjustRightInd w:val="0"/>
      <w:spacing w:before="0" w:after="0" w:line="240" w:lineRule="auto"/>
    </w:pPr>
    <w:rPr>
      <w:rFonts w:ascii="Times New Roman" w:eastAsiaTheme="minorHAnsi" w:hAnsi="Times New Roman"/>
      <w:sz w:val="24"/>
      <w:szCs w:val="24"/>
    </w:rPr>
  </w:style>
  <w:style w:type="paragraph" w:styleId="TOC4">
    <w:name w:val="toc 4"/>
    <w:basedOn w:val="Normal"/>
    <w:uiPriority w:val="1"/>
    <w:qFormat/>
    <w:rsid w:val="002A0F05"/>
    <w:pPr>
      <w:widowControl w:val="0"/>
      <w:spacing w:before="0" w:after="0" w:line="240" w:lineRule="auto"/>
      <w:ind w:left="1047" w:hanging="682"/>
    </w:pPr>
    <w:rPr>
      <w:rFonts w:cstheme="minorBidi"/>
      <w:sz w:val="20"/>
      <w:szCs w:val="20"/>
      <w:lang w:val="en-US"/>
    </w:rPr>
  </w:style>
  <w:style w:type="paragraph" w:styleId="TOC5">
    <w:name w:val="toc 5"/>
    <w:basedOn w:val="Normal"/>
    <w:uiPriority w:val="1"/>
    <w:qFormat/>
    <w:rsid w:val="002A0F05"/>
    <w:pPr>
      <w:widowControl w:val="0"/>
      <w:spacing w:before="0" w:after="0" w:line="240" w:lineRule="auto"/>
      <w:ind w:left="1325" w:hanging="845"/>
    </w:pPr>
    <w:rPr>
      <w:rFonts w:cstheme="minorBidi"/>
      <w:sz w:val="20"/>
      <w:szCs w:val="20"/>
      <w:lang w:val="en-US"/>
    </w:rPr>
  </w:style>
  <w:style w:type="paragraph" w:styleId="ListParagraph">
    <w:name w:val="List Paragraph"/>
    <w:basedOn w:val="Normal"/>
    <w:uiPriority w:val="34"/>
    <w:qFormat/>
    <w:rsid w:val="002A0F05"/>
    <w:pPr>
      <w:widowControl w:val="0"/>
      <w:spacing w:before="0" w:after="0" w:line="240" w:lineRule="auto"/>
    </w:pPr>
    <w:rPr>
      <w:rFonts w:asciiTheme="minorHAnsi" w:eastAsiaTheme="minorHAnsi" w:hAnsiTheme="minorHAnsi" w:cstheme="minorBidi"/>
      <w:lang w:val="en-US"/>
    </w:rPr>
  </w:style>
  <w:style w:type="character" w:styleId="CommentReference">
    <w:name w:val="annotation reference"/>
    <w:basedOn w:val="DefaultParagraphFont"/>
    <w:uiPriority w:val="99"/>
    <w:unhideWhenUsed/>
    <w:rsid w:val="00BA329C"/>
    <w:rPr>
      <w:sz w:val="16"/>
      <w:szCs w:val="16"/>
    </w:rPr>
  </w:style>
  <w:style w:type="paragraph" w:styleId="CommentText">
    <w:name w:val="annotation text"/>
    <w:basedOn w:val="Normal"/>
    <w:link w:val="CommentTextChar"/>
    <w:uiPriority w:val="99"/>
    <w:unhideWhenUsed/>
    <w:rsid w:val="00BA329C"/>
    <w:pPr>
      <w:spacing w:line="240" w:lineRule="auto"/>
    </w:pPr>
    <w:rPr>
      <w:sz w:val="20"/>
      <w:szCs w:val="20"/>
    </w:rPr>
  </w:style>
  <w:style w:type="character" w:customStyle="1" w:styleId="CommentTextChar">
    <w:name w:val="Comment Text Char"/>
    <w:basedOn w:val="DefaultParagraphFont"/>
    <w:link w:val="CommentText"/>
    <w:uiPriority w:val="99"/>
    <w:rsid w:val="00BA329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BA329C"/>
    <w:rPr>
      <w:b/>
      <w:bCs/>
    </w:rPr>
  </w:style>
  <w:style w:type="character" w:customStyle="1" w:styleId="CommentSubjectChar">
    <w:name w:val="Comment Subject Char"/>
    <w:basedOn w:val="CommentTextChar"/>
    <w:link w:val="CommentSubject"/>
    <w:uiPriority w:val="99"/>
    <w:rsid w:val="00BA329C"/>
    <w:rPr>
      <w:rFonts w:ascii="Cambria" w:eastAsia="Cambria" w:hAnsi="Cambria" w:cs="Times New Roman"/>
      <w:b/>
      <w:bCs/>
      <w:sz w:val="20"/>
      <w:szCs w:val="20"/>
    </w:rPr>
  </w:style>
  <w:style w:type="paragraph" w:styleId="FootnoteText">
    <w:name w:val="footnote text"/>
    <w:basedOn w:val="Normal"/>
    <w:link w:val="FootnoteTextChar"/>
    <w:uiPriority w:val="99"/>
    <w:semiHidden/>
    <w:unhideWhenUsed/>
    <w:rsid w:val="001136E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136E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136E7"/>
    <w:rPr>
      <w:vertAlign w:val="superscript"/>
    </w:rPr>
  </w:style>
  <w:style w:type="paragraph" w:styleId="Revision">
    <w:name w:val="Revision"/>
    <w:hidden/>
    <w:uiPriority w:val="99"/>
    <w:semiHidden/>
    <w:rsid w:val="003334B2"/>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51F1E"/>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586F98"/>
    <w:pPr>
      <w:keepNext/>
      <w:keepLines/>
      <w:numPr>
        <w:numId w:val="5"/>
      </w:numPr>
      <w:tabs>
        <w:tab w:val="clear" w:pos="85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1"/>
    <w:qFormat/>
    <w:rsid w:val="00A750A5"/>
    <w:pPr>
      <w:keepNext/>
      <w:keepLines/>
      <w:numPr>
        <w:ilvl w:val="1"/>
        <w:numId w:val="5"/>
      </w:numPr>
      <w:tabs>
        <w:tab w:val="clear" w:pos="6409"/>
        <w:tab w:val="num" w:pos="1134"/>
      </w:tabs>
      <w:adjustRightInd w:val="0"/>
      <w:snapToGrid w:val="0"/>
      <w:spacing w:before="400" w:line="220" w:lineRule="atLeast"/>
      <w:ind w:left="1134"/>
      <w:jc w:val="both"/>
      <w:outlineLvl w:val="2"/>
    </w:pPr>
    <w:rPr>
      <w:rFonts w:ascii="Arial" w:eastAsia="Times New Roman" w:hAnsi="Arial"/>
      <w:b/>
      <w:bCs/>
      <w:szCs w:val="21"/>
      <w:lang w:eastAsia="ja-JP"/>
    </w:rPr>
  </w:style>
  <w:style w:type="paragraph" w:styleId="Heading4">
    <w:name w:val="heading 4"/>
    <w:basedOn w:val="Normal"/>
    <w:next w:val="Normal"/>
    <w:link w:val="Heading4Char"/>
    <w:uiPriority w:val="1"/>
    <w:qFormat/>
    <w:rsid w:val="00FA322C"/>
    <w:pPr>
      <w:keepNext/>
      <w:numPr>
        <w:ilvl w:val="2"/>
        <w:numId w:val="5"/>
      </w:numPr>
      <w:tabs>
        <w:tab w:val="clear" w:pos="1106"/>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tabs>
        <w:tab w:val="clear" w:pos="2893"/>
        <w:tab w:val="num" w:pos="1759"/>
      </w:tabs>
      <w:spacing w:line="220" w:lineRule="atLeast"/>
      <w:ind w:left="1759"/>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1"/>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1"/>
    <w:rsid w:val="00A750A5"/>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uiPriority w:val="1"/>
    <w:rsid w:val="00FA322C"/>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15B9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15B9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2B697B"/>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2B697B"/>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1"/>
    <w:unhideWhenUsed/>
    <w:qFormat/>
    <w:rsid w:val="00F3148D"/>
    <w:pPr>
      <w:tabs>
        <w:tab w:val="right" w:pos="8505"/>
      </w:tabs>
      <w:spacing w:after="200"/>
    </w:pPr>
    <w:rPr>
      <w:rFonts w:ascii="Arial" w:hAnsi="Arial"/>
      <w:b/>
      <w:sz w:val="32"/>
    </w:rPr>
  </w:style>
  <w:style w:type="paragraph" w:styleId="TOC2">
    <w:name w:val="toc 2"/>
    <w:basedOn w:val="Normal"/>
    <w:next w:val="Normal"/>
    <w:uiPriority w:val="39"/>
    <w:unhideWhenUsed/>
    <w:qFormat/>
    <w:rsid w:val="00F3148D"/>
    <w:pPr>
      <w:tabs>
        <w:tab w:val="right" w:leader="underscore" w:pos="8505"/>
      </w:tabs>
      <w:spacing w:after="100"/>
      <w:ind w:left="624"/>
    </w:pPr>
    <w:rPr>
      <w:b/>
      <w:sz w:val="25"/>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Default">
    <w:name w:val="Default"/>
    <w:rsid w:val="006D5C93"/>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7F33BE"/>
    <w:pPr>
      <w:autoSpaceDE w:val="0"/>
      <w:autoSpaceDN w:val="0"/>
      <w:adjustRightInd w:val="0"/>
      <w:spacing w:before="0" w:after="0" w:line="240" w:lineRule="auto"/>
      <w:ind w:left="39"/>
    </w:pPr>
    <w:rPr>
      <w:rFonts w:eastAsiaTheme="minorHAnsi" w:cs="Cambria"/>
      <w:b/>
      <w:bCs/>
    </w:rPr>
  </w:style>
  <w:style w:type="character" w:customStyle="1" w:styleId="BodyTextChar">
    <w:name w:val="Body Text Char"/>
    <w:basedOn w:val="DefaultParagraphFont"/>
    <w:link w:val="BodyText"/>
    <w:uiPriority w:val="1"/>
    <w:rsid w:val="007F33BE"/>
    <w:rPr>
      <w:rFonts w:ascii="Cambria" w:hAnsi="Cambria" w:cs="Cambria"/>
      <w:b/>
      <w:bCs/>
    </w:rPr>
  </w:style>
  <w:style w:type="paragraph" w:customStyle="1" w:styleId="TableParagraph">
    <w:name w:val="Table Paragraph"/>
    <w:basedOn w:val="Normal"/>
    <w:uiPriority w:val="1"/>
    <w:qFormat/>
    <w:rsid w:val="007F33BE"/>
    <w:pPr>
      <w:autoSpaceDE w:val="0"/>
      <w:autoSpaceDN w:val="0"/>
      <w:adjustRightInd w:val="0"/>
      <w:spacing w:before="0" w:after="0" w:line="240" w:lineRule="auto"/>
    </w:pPr>
    <w:rPr>
      <w:rFonts w:ascii="Times New Roman" w:eastAsiaTheme="minorHAnsi" w:hAnsi="Times New Roman"/>
      <w:sz w:val="24"/>
      <w:szCs w:val="24"/>
    </w:rPr>
  </w:style>
  <w:style w:type="paragraph" w:styleId="TOC4">
    <w:name w:val="toc 4"/>
    <w:basedOn w:val="Normal"/>
    <w:uiPriority w:val="1"/>
    <w:qFormat/>
    <w:rsid w:val="002A0F05"/>
    <w:pPr>
      <w:widowControl w:val="0"/>
      <w:spacing w:before="0" w:after="0" w:line="240" w:lineRule="auto"/>
      <w:ind w:left="1047" w:hanging="682"/>
    </w:pPr>
    <w:rPr>
      <w:rFonts w:cstheme="minorBidi"/>
      <w:sz w:val="20"/>
      <w:szCs w:val="20"/>
      <w:lang w:val="en-US"/>
    </w:rPr>
  </w:style>
  <w:style w:type="paragraph" w:styleId="TOC5">
    <w:name w:val="toc 5"/>
    <w:basedOn w:val="Normal"/>
    <w:uiPriority w:val="1"/>
    <w:qFormat/>
    <w:rsid w:val="002A0F05"/>
    <w:pPr>
      <w:widowControl w:val="0"/>
      <w:spacing w:before="0" w:after="0" w:line="240" w:lineRule="auto"/>
      <w:ind w:left="1325" w:hanging="845"/>
    </w:pPr>
    <w:rPr>
      <w:rFonts w:cstheme="minorBidi"/>
      <w:sz w:val="20"/>
      <w:szCs w:val="20"/>
      <w:lang w:val="en-US"/>
    </w:rPr>
  </w:style>
  <w:style w:type="paragraph" w:styleId="ListParagraph">
    <w:name w:val="List Paragraph"/>
    <w:basedOn w:val="Normal"/>
    <w:uiPriority w:val="34"/>
    <w:qFormat/>
    <w:rsid w:val="002A0F05"/>
    <w:pPr>
      <w:widowControl w:val="0"/>
      <w:spacing w:before="0" w:after="0" w:line="240" w:lineRule="auto"/>
    </w:pPr>
    <w:rPr>
      <w:rFonts w:asciiTheme="minorHAnsi" w:eastAsiaTheme="minorHAnsi" w:hAnsiTheme="minorHAnsi" w:cstheme="minorBidi"/>
      <w:lang w:val="en-US"/>
    </w:rPr>
  </w:style>
  <w:style w:type="character" w:styleId="CommentReference">
    <w:name w:val="annotation reference"/>
    <w:basedOn w:val="DefaultParagraphFont"/>
    <w:uiPriority w:val="99"/>
    <w:unhideWhenUsed/>
    <w:rsid w:val="00BA329C"/>
    <w:rPr>
      <w:sz w:val="16"/>
      <w:szCs w:val="16"/>
    </w:rPr>
  </w:style>
  <w:style w:type="paragraph" w:styleId="CommentText">
    <w:name w:val="annotation text"/>
    <w:basedOn w:val="Normal"/>
    <w:link w:val="CommentTextChar"/>
    <w:uiPriority w:val="99"/>
    <w:unhideWhenUsed/>
    <w:rsid w:val="00BA329C"/>
    <w:pPr>
      <w:spacing w:line="240" w:lineRule="auto"/>
    </w:pPr>
    <w:rPr>
      <w:sz w:val="20"/>
      <w:szCs w:val="20"/>
    </w:rPr>
  </w:style>
  <w:style w:type="character" w:customStyle="1" w:styleId="CommentTextChar">
    <w:name w:val="Comment Text Char"/>
    <w:basedOn w:val="DefaultParagraphFont"/>
    <w:link w:val="CommentText"/>
    <w:uiPriority w:val="99"/>
    <w:rsid w:val="00BA329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BA329C"/>
    <w:rPr>
      <w:b/>
      <w:bCs/>
    </w:rPr>
  </w:style>
  <w:style w:type="character" w:customStyle="1" w:styleId="CommentSubjectChar">
    <w:name w:val="Comment Subject Char"/>
    <w:basedOn w:val="CommentTextChar"/>
    <w:link w:val="CommentSubject"/>
    <w:uiPriority w:val="99"/>
    <w:rsid w:val="00BA329C"/>
    <w:rPr>
      <w:rFonts w:ascii="Cambria" w:eastAsia="Cambria" w:hAnsi="Cambria" w:cs="Times New Roman"/>
      <w:b/>
      <w:bCs/>
      <w:sz w:val="20"/>
      <w:szCs w:val="20"/>
    </w:rPr>
  </w:style>
  <w:style w:type="paragraph" w:styleId="FootnoteText">
    <w:name w:val="footnote text"/>
    <w:basedOn w:val="Normal"/>
    <w:link w:val="FootnoteTextChar"/>
    <w:uiPriority w:val="99"/>
    <w:semiHidden/>
    <w:unhideWhenUsed/>
    <w:rsid w:val="001136E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136E7"/>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1136E7"/>
    <w:rPr>
      <w:vertAlign w:val="superscript"/>
    </w:rPr>
  </w:style>
  <w:style w:type="paragraph" w:styleId="Revision">
    <w:name w:val="Revision"/>
    <w:hidden/>
    <w:uiPriority w:val="99"/>
    <w:semiHidden/>
    <w:rsid w:val="003334B2"/>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header" Target="header9.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image" Target="media/image37.png"/><Relationship Id="rId58" Type="http://schemas.openxmlformats.org/officeDocument/2006/relationships/header" Target="header7.xml"/><Relationship Id="rId66"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header" Target="header6.xml"/><Relationship Id="rId61"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footer" Target="footer3.xm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header" Target="header10.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eader" Target="header8.xml"/><Relationship Id="rId67"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dwl\AppData\Local\Hewlett-Packard\HP%20TRIM\TEMP\HPTRIM.5428\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EA02B-52B3-4955-A71B-B83BDD103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282</TotalTime>
  <Pages>62</Pages>
  <Words>14225</Words>
  <Characters>81088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Omalizumab (rch)</vt:lpstr>
    </vt:vector>
  </TitlesOfParts>
  <Company>Department of Health Therapeutic Goods Administration</Company>
  <LinksUpToDate>false</LinksUpToDate>
  <CharactersWithSpaces>95123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Omalizumab (rch)</dc:title>
  <dc:subject>prescription medicine regulation</dc:subject>
  <dc:creator>Therapeutic Goods Administration</dc:creator>
  <cp:keywords>clinical, evaluation, report, medicine, assessment, regulation, australia, omalizumab, xolair, novartis, pharmaceuticals, australia</cp:keywords>
  <cp:lastModifiedBy>Norton, Daniel</cp:lastModifiedBy>
  <cp:revision>15</cp:revision>
  <cp:lastPrinted>2010-12-20T22:59:00Z</cp:lastPrinted>
  <dcterms:created xsi:type="dcterms:W3CDTF">2015-07-21T03:17:00Z</dcterms:created>
  <dcterms:modified xsi:type="dcterms:W3CDTF">2015-08-10T06:38:00Z</dcterms:modified>
</cp:coreProperties>
</file>