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F184922" w14:textId="77777777" w:rsidTr="00BF1190">
        <w:trPr>
          <w:trHeight w:val="1863"/>
        </w:trPr>
        <w:tc>
          <w:tcPr>
            <w:tcW w:w="3652" w:type="dxa"/>
            <w:tcBorders>
              <w:top w:val="nil"/>
              <w:left w:val="nil"/>
              <w:bottom w:val="nil"/>
              <w:right w:val="nil"/>
            </w:tcBorders>
          </w:tcPr>
          <w:p w14:paraId="54BAD8B4" w14:textId="00139811" w:rsidR="008E7846" w:rsidRPr="00096AA7" w:rsidRDefault="00485380" w:rsidP="00096AA7">
            <w:pPr>
              <w:rPr>
                <w:rFonts w:ascii="Arial" w:hAnsi="Arial" w:cs="Arial"/>
                <w:b/>
                <w:color w:val="002C47"/>
                <w:sz w:val="36"/>
                <w:szCs w:val="36"/>
              </w:rPr>
            </w:pPr>
            <w:r>
              <w:rPr>
                <w:rFonts w:ascii="Arial" w:hAnsi="Arial" w:cs="Arial"/>
                <w:b/>
                <w:color w:val="002C47"/>
                <w:sz w:val="36"/>
                <w:szCs w:val="36"/>
              </w:rPr>
              <w:t>April</w:t>
            </w:r>
            <w:r w:rsidR="00482091">
              <w:rPr>
                <w:rFonts w:ascii="Arial" w:hAnsi="Arial" w:cs="Arial"/>
                <w:b/>
                <w:color w:val="002C47"/>
                <w:sz w:val="36"/>
                <w:szCs w:val="36"/>
              </w:rPr>
              <w:t xml:space="preserve"> 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7C39842" w14:textId="77777777" w:rsidTr="0032583B">
        <w:trPr>
          <w:trHeight w:val="868"/>
        </w:trPr>
        <w:tc>
          <w:tcPr>
            <w:tcW w:w="9079" w:type="dxa"/>
          </w:tcPr>
          <w:p w14:paraId="01BA6BBB" w14:textId="77777777" w:rsidR="0032583B" w:rsidRPr="00A964D1" w:rsidRDefault="0032583B" w:rsidP="00482091">
            <w:pPr>
              <w:pStyle w:val="Title"/>
              <w:rPr>
                <w:color w:val="FFFFFF" w:themeColor="background1"/>
              </w:rPr>
            </w:pPr>
            <w:r w:rsidRPr="00A964D1">
              <w:rPr>
                <w:color w:val="FFFFFF" w:themeColor="background1"/>
              </w:rPr>
              <w:t xml:space="preserve">Australian Public Assessment Report for </w:t>
            </w:r>
            <w:r w:rsidR="00482091">
              <w:rPr>
                <w:color w:val="FFFFFF" w:themeColor="background1"/>
              </w:rPr>
              <w:t>Olaparib</w:t>
            </w:r>
          </w:p>
        </w:tc>
      </w:tr>
      <w:tr w:rsidR="0032583B" w:rsidRPr="00B64760" w14:paraId="1CB6FF8A" w14:textId="77777777" w:rsidTr="0032583B">
        <w:tc>
          <w:tcPr>
            <w:tcW w:w="9079" w:type="dxa"/>
          </w:tcPr>
          <w:p w14:paraId="55B50614" w14:textId="77777777" w:rsidR="0032583B" w:rsidRPr="008E7846" w:rsidRDefault="0032583B" w:rsidP="00482091">
            <w:pPr>
              <w:pStyle w:val="Subtitle"/>
              <w:rPr>
                <w:color w:val="FFFFFF" w:themeColor="background1"/>
              </w:rPr>
            </w:pPr>
            <w:r w:rsidRPr="008E7846">
              <w:rPr>
                <w:color w:val="FFFFFF" w:themeColor="background1"/>
              </w:rPr>
              <w:t xml:space="preserve">Proprietary Product Name: </w:t>
            </w:r>
            <w:r w:rsidR="00482091">
              <w:rPr>
                <w:color w:val="FFFFFF" w:themeColor="background1"/>
              </w:rPr>
              <w:t>Lynparza</w:t>
            </w:r>
          </w:p>
        </w:tc>
      </w:tr>
      <w:tr w:rsidR="0032583B" w:rsidRPr="00B64760" w14:paraId="5425491D" w14:textId="77777777" w:rsidTr="0032583B">
        <w:trPr>
          <w:trHeight w:val="486"/>
        </w:trPr>
        <w:tc>
          <w:tcPr>
            <w:tcW w:w="9079" w:type="dxa"/>
          </w:tcPr>
          <w:p w14:paraId="3376158B" w14:textId="77777777" w:rsidR="0032583B" w:rsidRPr="008E7846" w:rsidRDefault="00460036" w:rsidP="00482091">
            <w:pPr>
              <w:pStyle w:val="Subtitle"/>
              <w:rPr>
                <w:color w:val="FFFFFF" w:themeColor="background1"/>
              </w:rPr>
            </w:pPr>
            <w:r>
              <w:rPr>
                <w:color w:val="FFFFFF" w:themeColor="background1"/>
              </w:rPr>
              <w:t xml:space="preserve">Sponsor: </w:t>
            </w:r>
            <w:r w:rsidR="00482091">
              <w:rPr>
                <w:color w:val="FFFFFF" w:themeColor="background1"/>
              </w:rPr>
              <w:t>AstraZeneca Pty Ltd</w:t>
            </w:r>
          </w:p>
        </w:tc>
      </w:tr>
    </w:tbl>
    <w:p w14:paraId="3572D2A6" w14:textId="77777777" w:rsidR="008E7846" w:rsidRPr="0085156D" w:rsidRDefault="008E7846" w:rsidP="0085156D">
      <w:r w:rsidRPr="0085156D">
        <w:br w:type="page"/>
      </w:r>
    </w:p>
    <w:p w14:paraId="1108007A" w14:textId="77777777" w:rsidR="008E7846" w:rsidRPr="001F6CBA" w:rsidRDefault="008E7846" w:rsidP="008E7846">
      <w:pPr>
        <w:pStyle w:val="NonTOCHeading2"/>
      </w:pPr>
      <w:r w:rsidRPr="001F6CBA">
        <w:lastRenderedPageBreak/>
        <w:t>About the Therapeutic Goods Administration (TGA)</w:t>
      </w:r>
    </w:p>
    <w:p w14:paraId="7B06F772"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54FDA48"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375DE62"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BE15AD4"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5F6628FE" w14:textId="0BAAB0BE"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6D3F7808" w14:textId="77777777" w:rsidR="008E7846" w:rsidRDefault="008E7846" w:rsidP="00875A6B">
      <w:pPr>
        <w:pStyle w:val="NonTOCHeading2"/>
      </w:pPr>
      <w:r>
        <w:t>About AusPARs</w:t>
      </w:r>
    </w:p>
    <w:p w14:paraId="36ECA9FE"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0423C15" w14:textId="77777777" w:rsidR="008E7846" w:rsidRDefault="008E7846" w:rsidP="008E7846">
      <w:pPr>
        <w:pStyle w:val="ListBullet"/>
        <w:numPr>
          <w:ilvl w:val="0"/>
          <w:numId w:val="3"/>
        </w:numPr>
        <w:ind w:left="357" w:hanging="357"/>
      </w:pPr>
      <w:r>
        <w:t>AusPARs are prepared and published by the TGA.</w:t>
      </w:r>
    </w:p>
    <w:p w14:paraId="7807BE0D"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C13036A"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6076DBB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4AD8C085" w14:textId="77777777" w:rsidR="00924482" w:rsidRPr="00DF1D7F" w:rsidRDefault="00924482" w:rsidP="00F54B65">
      <w:pPr>
        <w:pStyle w:val="LegalSubheading"/>
        <w:spacing w:before="3120"/>
      </w:pPr>
      <w:r w:rsidRPr="00DF1D7F">
        <w:t>Copyright</w:t>
      </w:r>
    </w:p>
    <w:p w14:paraId="785E8681" w14:textId="2E4B141C"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5D5AFB0C" w14:textId="77777777"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65DE2B0" w14:textId="77777777" w:rsidR="0089635C" w:rsidRPr="0089635C" w:rsidRDefault="0089635C" w:rsidP="0010788A">
          <w:pPr>
            <w:pStyle w:val="Contents"/>
          </w:pPr>
          <w:r w:rsidRPr="0010788A">
            <w:t>Conte</w:t>
          </w:r>
          <w:bookmarkStart w:id="2" w:name="_GoBack"/>
          <w:bookmarkEnd w:id="2"/>
          <w:r w:rsidRPr="0010788A">
            <w:t>nts</w:t>
          </w:r>
        </w:p>
        <w:p w14:paraId="4A3F13EF" w14:textId="348867D3" w:rsidR="00EC1515"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1183707" w:history="1">
            <w:r w:rsidR="00EC1515" w:rsidRPr="00904533">
              <w:rPr>
                <w:rStyle w:val="Hyperlink"/>
                <w:noProof/>
              </w:rPr>
              <w:t>List of abbreviations</w:t>
            </w:r>
            <w:r w:rsidR="00EC1515">
              <w:rPr>
                <w:noProof/>
                <w:webHidden/>
              </w:rPr>
              <w:tab/>
            </w:r>
            <w:r w:rsidR="00EC1515">
              <w:rPr>
                <w:noProof/>
                <w:webHidden/>
              </w:rPr>
              <w:fldChar w:fldCharType="begin"/>
            </w:r>
            <w:r w:rsidR="00EC1515">
              <w:rPr>
                <w:noProof/>
                <w:webHidden/>
              </w:rPr>
              <w:instrText xml:space="preserve"> PAGEREF _Toc71183707 \h </w:instrText>
            </w:r>
            <w:r w:rsidR="00EC1515">
              <w:rPr>
                <w:noProof/>
                <w:webHidden/>
              </w:rPr>
            </w:r>
            <w:r w:rsidR="00EC1515">
              <w:rPr>
                <w:noProof/>
                <w:webHidden/>
              </w:rPr>
              <w:fldChar w:fldCharType="separate"/>
            </w:r>
            <w:r w:rsidR="00EC1515">
              <w:rPr>
                <w:noProof/>
                <w:webHidden/>
              </w:rPr>
              <w:t>4</w:t>
            </w:r>
            <w:r w:rsidR="00EC1515">
              <w:rPr>
                <w:noProof/>
                <w:webHidden/>
              </w:rPr>
              <w:fldChar w:fldCharType="end"/>
            </w:r>
          </w:hyperlink>
        </w:p>
        <w:p w14:paraId="70EC92A2" w14:textId="7E0E3526" w:rsidR="00EC1515" w:rsidRDefault="00EC1515">
          <w:pPr>
            <w:pStyle w:val="TOC1"/>
            <w:rPr>
              <w:rFonts w:asciiTheme="minorHAnsi" w:eastAsiaTheme="minorEastAsia" w:hAnsiTheme="minorHAnsi" w:cstheme="minorBidi"/>
              <w:b w:val="0"/>
              <w:noProof/>
              <w:sz w:val="22"/>
              <w:lang w:eastAsia="en-AU"/>
            </w:rPr>
          </w:pPr>
          <w:hyperlink w:anchor="_Toc71183708" w:history="1">
            <w:r w:rsidRPr="00904533">
              <w:rPr>
                <w:rStyle w:val="Hyperlink"/>
                <w:noProof/>
              </w:rPr>
              <w:t>I. Introduction to product submission</w:t>
            </w:r>
            <w:r>
              <w:rPr>
                <w:noProof/>
                <w:webHidden/>
              </w:rPr>
              <w:tab/>
            </w:r>
            <w:r>
              <w:rPr>
                <w:noProof/>
                <w:webHidden/>
              </w:rPr>
              <w:fldChar w:fldCharType="begin"/>
            </w:r>
            <w:r>
              <w:rPr>
                <w:noProof/>
                <w:webHidden/>
              </w:rPr>
              <w:instrText xml:space="preserve"> PAGEREF _Toc71183708 \h </w:instrText>
            </w:r>
            <w:r>
              <w:rPr>
                <w:noProof/>
                <w:webHidden/>
              </w:rPr>
            </w:r>
            <w:r>
              <w:rPr>
                <w:noProof/>
                <w:webHidden/>
              </w:rPr>
              <w:fldChar w:fldCharType="separate"/>
            </w:r>
            <w:r>
              <w:rPr>
                <w:noProof/>
                <w:webHidden/>
              </w:rPr>
              <w:t>6</w:t>
            </w:r>
            <w:r>
              <w:rPr>
                <w:noProof/>
                <w:webHidden/>
              </w:rPr>
              <w:fldChar w:fldCharType="end"/>
            </w:r>
          </w:hyperlink>
        </w:p>
        <w:p w14:paraId="3EC256C0" w14:textId="4E75C7B7" w:rsidR="00EC1515" w:rsidRDefault="00EC1515">
          <w:pPr>
            <w:pStyle w:val="TOC2"/>
            <w:rPr>
              <w:rFonts w:asciiTheme="minorHAnsi" w:eastAsiaTheme="minorEastAsia" w:hAnsiTheme="minorHAnsi" w:cstheme="minorBidi"/>
              <w:b w:val="0"/>
              <w:noProof/>
              <w:sz w:val="22"/>
              <w:lang w:eastAsia="en-AU"/>
            </w:rPr>
          </w:pPr>
          <w:hyperlink w:anchor="_Toc71183709" w:history="1">
            <w:r w:rsidRPr="00904533">
              <w:rPr>
                <w:rStyle w:val="Hyperlink"/>
                <w:noProof/>
                <w:lang w:eastAsia="en-AU"/>
              </w:rPr>
              <w:t>Submission details</w:t>
            </w:r>
            <w:r>
              <w:rPr>
                <w:noProof/>
                <w:webHidden/>
              </w:rPr>
              <w:tab/>
            </w:r>
            <w:r>
              <w:rPr>
                <w:noProof/>
                <w:webHidden/>
              </w:rPr>
              <w:fldChar w:fldCharType="begin"/>
            </w:r>
            <w:r>
              <w:rPr>
                <w:noProof/>
                <w:webHidden/>
              </w:rPr>
              <w:instrText xml:space="preserve"> PAGEREF _Toc71183709 \h </w:instrText>
            </w:r>
            <w:r>
              <w:rPr>
                <w:noProof/>
                <w:webHidden/>
              </w:rPr>
            </w:r>
            <w:r>
              <w:rPr>
                <w:noProof/>
                <w:webHidden/>
              </w:rPr>
              <w:fldChar w:fldCharType="separate"/>
            </w:r>
            <w:r>
              <w:rPr>
                <w:noProof/>
                <w:webHidden/>
              </w:rPr>
              <w:t>6</w:t>
            </w:r>
            <w:r>
              <w:rPr>
                <w:noProof/>
                <w:webHidden/>
              </w:rPr>
              <w:fldChar w:fldCharType="end"/>
            </w:r>
          </w:hyperlink>
        </w:p>
        <w:p w14:paraId="4086CE01" w14:textId="51EA1590" w:rsidR="00EC1515" w:rsidRDefault="00EC1515">
          <w:pPr>
            <w:pStyle w:val="TOC2"/>
            <w:rPr>
              <w:rFonts w:asciiTheme="minorHAnsi" w:eastAsiaTheme="minorEastAsia" w:hAnsiTheme="minorHAnsi" w:cstheme="minorBidi"/>
              <w:b w:val="0"/>
              <w:noProof/>
              <w:sz w:val="22"/>
              <w:lang w:eastAsia="en-AU"/>
            </w:rPr>
          </w:pPr>
          <w:hyperlink w:anchor="_Toc71183710" w:history="1">
            <w:r w:rsidRPr="00904533">
              <w:rPr>
                <w:rStyle w:val="Hyperlink"/>
                <w:noProof/>
              </w:rPr>
              <w:t>Product background</w:t>
            </w:r>
            <w:r>
              <w:rPr>
                <w:noProof/>
                <w:webHidden/>
              </w:rPr>
              <w:tab/>
            </w:r>
            <w:r>
              <w:rPr>
                <w:noProof/>
                <w:webHidden/>
              </w:rPr>
              <w:fldChar w:fldCharType="begin"/>
            </w:r>
            <w:r>
              <w:rPr>
                <w:noProof/>
                <w:webHidden/>
              </w:rPr>
              <w:instrText xml:space="preserve"> PAGEREF _Toc71183710 \h </w:instrText>
            </w:r>
            <w:r>
              <w:rPr>
                <w:noProof/>
                <w:webHidden/>
              </w:rPr>
            </w:r>
            <w:r>
              <w:rPr>
                <w:noProof/>
                <w:webHidden/>
              </w:rPr>
              <w:fldChar w:fldCharType="separate"/>
            </w:r>
            <w:r>
              <w:rPr>
                <w:noProof/>
                <w:webHidden/>
              </w:rPr>
              <w:t>7</w:t>
            </w:r>
            <w:r>
              <w:rPr>
                <w:noProof/>
                <w:webHidden/>
              </w:rPr>
              <w:fldChar w:fldCharType="end"/>
            </w:r>
          </w:hyperlink>
        </w:p>
        <w:p w14:paraId="0E99D66E" w14:textId="5DF95611" w:rsidR="00EC1515" w:rsidRDefault="00EC1515">
          <w:pPr>
            <w:pStyle w:val="TOC2"/>
            <w:rPr>
              <w:rFonts w:asciiTheme="minorHAnsi" w:eastAsiaTheme="minorEastAsia" w:hAnsiTheme="minorHAnsi" w:cstheme="minorBidi"/>
              <w:b w:val="0"/>
              <w:noProof/>
              <w:sz w:val="22"/>
              <w:lang w:eastAsia="en-AU"/>
            </w:rPr>
          </w:pPr>
          <w:hyperlink w:anchor="_Toc71183711" w:history="1">
            <w:r w:rsidRPr="00904533">
              <w:rPr>
                <w:rStyle w:val="Hyperlink"/>
                <w:noProof/>
              </w:rPr>
              <w:t>Regulatory status</w:t>
            </w:r>
            <w:r>
              <w:rPr>
                <w:noProof/>
                <w:webHidden/>
              </w:rPr>
              <w:tab/>
            </w:r>
            <w:r>
              <w:rPr>
                <w:noProof/>
                <w:webHidden/>
              </w:rPr>
              <w:fldChar w:fldCharType="begin"/>
            </w:r>
            <w:r>
              <w:rPr>
                <w:noProof/>
                <w:webHidden/>
              </w:rPr>
              <w:instrText xml:space="preserve"> PAGEREF _Toc71183711 \h </w:instrText>
            </w:r>
            <w:r>
              <w:rPr>
                <w:noProof/>
                <w:webHidden/>
              </w:rPr>
            </w:r>
            <w:r>
              <w:rPr>
                <w:noProof/>
                <w:webHidden/>
              </w:rPr>
              <w:fldChar w:fldCharType="separate"/>
            </w:r>
            <w:r>
              <w:rPr>
                <w:noProof/>
                <w:webHidden/>
              </w:rPr>
              <w:t>10</w:t>
            </w:r>
            <w:r>
              <w:rPr>
                <w:noProof/>
                <w:webHidden/>
              </w:rPr>
              <w:fldChar w:fldCharType="end"/>
            </w:r>
          </w:hyperlink>
        </w:p>
        <w:p w14:paraId="3EC3FA2D" w14:textId="5D467040" w:rsidR="00EC1515" w:rsidRDefault="00EC1515">
          <w:pPr>
            <w:pStyle w:val="TOC2"/>
            <w:rPr>
              <w:rFonts w:asciiTheme="minorHAnsi" w:eastAsiaTheme="minorEastAsia" w:hAnsiTheme="minorHAnsi" w:cstheme="minorBidi"/>
              <w:b w:val="0"/>
              <w:noProof/>
              <w:sz w:val="22"/>
              <w:lang w:eastAsia="en-AU"/>
            </w:rPr>
          </w:pPr>
          <w:hyperlink w:anchor="_Toc71183712" w:history="1">
            <w:r w:rsidRPr="00904533">
              <w:rPr>
                <w:rStyle w:val="Hyperlink"/>
                <w:noProof/>
              </w:rPr>
              <w:t>Product Information</w:t>
            </w:r>
            <w:r>
              <w:rPr>
                <w:noProof/>
                <w:webHidden/>
              </w:rPr>
              <w:tab/>
            </w:r>
            <w:r>
              <w:rPr>
                <w:noProof/>
                <w:webHidden/>
              </w:rPr>
              <w:fldChar w:fldCharType="begin"/>
            </w:r>
            <w:r>
              <w:rPr>
                <w:noProof/>
                <w:webHidden/>
              </w:rPr>
              <w:instrText xml:space="preserve"> PAGEREF _Toc71183712 \h </w:instrText>
            </w:r>
            <w:r>
              <w:rPr>
                <w:noProof/>
                <w:webHidden/>
              </w:rPr>
            </w:r>
            <w:r>
              <w:rPr>
                <w:noProof/>
                <w:webHidden/>
              </w:rPr>
              <w:fldChar w:fldCharType="separate"/>
            </w:r>
            <w:r>
              <w:rPr>
                <w:noProof/>
                <w:webHidden/>
              </w:rPr>
              <w:t>12</w:t>
            </w:r>
            <w:r>
              <w:rPr>
                <w:noProof/>
                <w:webHidden/>
              </w:rPr>
              <w:fldChar w:fldCharType="end"/>
            </w:r>
          </w:hyperlink>
        </w:p>
        <w:p w14:paraId="7F615D5F" w14:textId="4F57DDB3" w:rsidR="00EC1515" w:rsidRDefault="00EC1515">
          <w:pPr>
            <w:pStyle w:val="TOC1"/>
            <w:rPr>
              <w:rFonts w:asciiTheme="minorHAnsi" w:eastAsiaTheme="minorEastAsia" w:hAnsiTheme="minorHAnsi" w:cstheme="minorBidi"/>
              <w:b w:val="0"/>
              <w:noProof/>
              <w:sz w:val="22"/>
              <w:lang w:eastAsia="en-AU"/>
            </w:rPr>
          </w:pPr>
          <w:hyperlink w:anchor="_Toc71183713" w:history="1">
            <w:r w:rsidRPr="00904533">
              <w:rPr>
                <w:rStyle w:val="Hyperlink"/>
                <w:noProof/>
              </w:rPr>
              <w:t>II. Registration timeline</w:t>
            </w:r>
            <w:r>
              <w:rPr>
                <w:noProof/>
                <w:webHidden/>
              </w:rPr>
              <w:tab/>
            </w:r>
            <w:r>
              <w:rPr>
                <w:noProof/>
                <w:webHidden/>
              </w:rPr>
              <w:fldChar w:fldCharType="begin"/>
            </w:r>
            <w:r>
              <w:rPr>
                <w:noProof/>
                <w:webHidden/>
              </w:rPr>
              <w:instrText xml:space="preserve"> PAGEREF _Toc71183713 \h </w:instrText>
            </w:r>
            <w:r>
              <w:rPr>
                <w:noProof/>
                <w:webHidden/>
              </w:rPr>
            </w:r>
            <w:r>
              <w:rPr>
                <w:noProof/>
                <w:webHidden/>
              </w:rPr>
              <w:fldChar w:fldCharType="separate"/>
            </w:r>
            <w:r>
              <w:rPr>
                <w:noProof/>
                <w:webHidden/>
              </w:rPr>
              <w:t>13</w:t>
            </w:r>
            <w:r>
              <w:rPr>
                <w:noProof/>
                <w:webHidden/>
              </w:rPr>
              <w:fldChar w:fldCharType="end"/>
            </w:r>
          </w:hyperlink>
        </w:p>
        <w:p w14:paraId="5547FB39" w14:textId="71803731" w:rsidR="00EC1515" w:rsidRDefault="00EC1515">
          <w:pPr>
            <w:pStyle w:val="TOC1"/>
            <w:rPr>
              <w:rFonts w:asciiTheme="minorHAnsi" w:eastAsiaTheme="minorEastAsia" w:hAnsiTheme="minorHAnsi" w:cstheme="minorBidi"/>
              <w:b w:val="0"/>
              <w:noProof/>
              <w:sz w:val="22"/>
              <w:lang w:eastAsia="en-AU"/>
            </w:rPr>
          </w:pPr>
          <w:hyperlink w:anchor="_Toc71183714" w:history="1">
            <w:r w:rsidRPr="00904533">
              <w:rPr>
                <w:rStyle w:val="Hyperlink"/>
                <w:noProof/>
              </w:rPr>
              <w:t>III. Submission overview and risk/benefit assessment</w:t>
            </w:r>
            <w:r>
              <w:rPr>
                <w:noProof/>
                <w:webHidden/>
              </w:rPr>
              <w:tab/>
            </w:r>
            <w:r>
              <w:rPr>
                <w:noProof/>
                <w:webHidden/>
              </w:rPr>
              <w:fldChar w:fldCharType="begin"/>
            </w:r>
            <w:r>
              <w:rPr>
                <w:noProof/>
                <w:webHidden/>
              </w:rPr>
              <w:instrText xml:space="preserve"> PAGEREF _Toc71183714 \h </w:instrText>
            </w:r>
            <w:r>
              <w:rPr>
                <w:noProof/>
                <w:webHidden/>
              </w:rPr>
            </w:r>
            <w:r>
              <w:rPr>
                <w:noProof/>
                <w:webHidden/>
              </w:rPr>
              <w:fldChar w:fldCharType="separate"/>
            </w:r>
            <w:r>
              <w:rPr>
                <w:noProof/>
                <w:webHidden/>
              </w:rPr>
              <w:t>13</w:t>
            </w:r>
            <w:r>
              <w:rPr>
                <w:noProof/>
                <w:webHidden/>
              </w:rPr>
              <w:fldChar w:fldCharType="end"/>
            </w:r>
          </w:hyperlink>
        </w:p>
        <w:p w14:paraId="457DA155" w14:textId="0AD86C3F" w:rsidR="00EC1515" w:rsidRDefault="00EC1515">
          <w:pPr>
            <w:pStyle w:val="TOC2"/>
            <w:rPr>
              <w:rFonts w:asciiTheme="minorHAnsi" w:eastAsiaTheme="minorEastAsia" w:hAnsiTheme="minorHAnsi" w:cstheme="minorBidi"/>
              <w:b w:val="0"/>
              <w:noProof/>
              <w:sz w:val="22"/>
              <w:lang w:eastAsia="en-AU"/>
            </w:rPr>
          </w:pPr>
          <w:hyperlink w:anchor="_Toc71183715" w:history="1">
            <w:r w:rsidRPr="00904533">
              <w:rPr>
                <w:rStyle w:val="Hyperlink"/>
                <w:noProof/>
              </w:rPr>
              <w:t>Quality</w:t>
            </w:r>
            <w:r>
              <w:rPr>
                <w:noProof/>
                <w:webHidden/>
              </w:rPr>
              <w:tab/>
            </w:r>
            <w:r>
              <w:rPr>
                <w:noProof/>
                <w:webHidden/>
              </w:rPr>
              <w:fldChar w:fldCharType="begin"/>
            </w:r>
            <w:r>
              <w:rPr>
                <w:noProof/>
                <w:webHidden/>
              </w:rPr>
              <w:instrText xml:space="preserve"> PAGEREF _Toc71183715 \h </w:instrText>
            </w:r>
            <w:r>
              <w:rPr>
                <w:noProof/>
                <w:webHidden/>
              </w:rPr>
            </w:r>
            <w:r>
              <w:rPr>
                <w:noProof/>
                <w:webHidden/>
              </w:rPr>
              <w:fldChar w:fldCharType="separate"/>
            </w:r>
            <w:r>
              <w:rPr>
                <w:noProof/>
                <w:webHidden/>
              </w:rPr>
              <w:t>13</w:t>
            </w:r>
            <w:r>
              <w:rPr>
                <w:noProof/>
                <w:webHidden/>
              </w:rPr>
              <w:fldChar w:fldCharType="end"/>
            </w:r>
          </w:hyperlink>
        </w:p>
        <w:p w14:paraId="7FA31BBB" w14:textId="6FD2280F" w:rsidR="00EC1515" w:rsidRDefault="00EC1515">
          <w:pPr>
            <w:pStyle w:val="TOC2"/>
            <w:rPr>
              <w:rFonts w:asciiTheme="minorHAnsi" w:eastAsiaTheme="minorEastAsia" w:hAnsiTheme="minorHAnsi" w:cstheme="minorBidi"/>
              <w:b w:val="0"/>
              <w:noProof/>
              <w:sz w:val="22"/>
              <w:lang w:eastAsia="en-AU"/>
            </w:rPr>
          </w:pPr>
          <w:hyperlink w:anchor="_Toc71183716" w:history="1">
            <w:r w:rsidRPr="00904533">
              <w:rPr>
                <w:rStyle w:val="Hyperlink"/>
                <w:noProof/>
              </w:rPr>
              <w:t>Nonclinical</w:t>
            </w:r>
            <w:r>
              <w:rPr>
                <w:noProof/>
                <w:webHidden/>
              </w:rPr>
              <w:tab/>
            </w:r>
            <w:r>
              <w:rPr>
                <w:noProof/>
                <w:webHidden/>
              </w:rPr>
              <w:fldChar w:fldCharType="begin"/>
            </w:r>
            <w:r>
              <w:rPr>
                <w:noProof/>
                <w:webHidden/>
              </w:rPr>
              <w:instrText xml:space="preserve"> PAGEREF _Toc71183716 \h </w:instrText>
            </w:r>
            <w:r>
              <w:rPr>
                <w:noProof/>
                <w:webHidden/>
              </w:rPr>
            </w:r>
            <w:r>
              <w:rPr>
                <w:noProof/>
                <w:webHidden/>
              </w:rPr>
              <w:fldChar w:fldCharType="separate"/>
            </w:r>
            <w:r>
              <w:rPr>
                <w:noProof/>
                <w:webHidden/>
              </w:rPr>
              <w:t>13</w:t>
            </w:r>
            <w:r>
              <w:rPr>
                <w:noProof/>
                <w:webHidden/>
              </w:rPr>
              <w:fldChar w:fldCharType="end"/>
            </w:r>
          </w:hyperlink>
        </w:p>
        <w:p w14:paraId="2F6BDDAE" w14:textId="27525158" w:rsidR="00EC1515" w:rsidRDefault="00EC1515">
          <w:pPr>
            <w:pStyle w:val="TOC2"/>
            <w:rPr>
              <w:rFonts w:asciiTheme="minorHAnsi" w:eastAsiaTheme="minorEastAsia" w:hAnsiTheme="minorHAnsi" w:cstheme="minorBidi"/>
              <w:b w:val="0"/>
              <w:noProof/>
              <w:sz w:val="22"/>
              <w:lang w:eastAsia="en-AU"/>
            </w:rPr>
          </w:pPr>
          <w:hyperlink w:anchor="_Toc71183717" w:history="1">
            <w:r w:rsidRPr="00904533">
              <w:rPr>
                <w:rStyle w:val="Hyperlink"/>
                <w:noProof/>
              </w:rPr>
              <w:t>Clinical</w:t>
            </w:r>
            <w:r>
              <w:rPr>
                <w:noProof/>
                <w:webHidden/>
              </w:rPr>
              <w:tab/>
            </w:r>
            <w:r>
              <w:rPr>
                <w:noProof/>
                <w:webHidden/>
              </w:rPr>
              <w:fldChar w:fldCharType="begin"/>
            </w:r>
            <w:r>
              <w:rPr>
                <w:noProof/>
                <w:webHidden/>
              </w:rPr>
              <w:instrText xml:space="preserve"> PAGEREF _Toc71183717 \h </w:instrText>
            </w:r>
            <w:r>
              <w:rPr>
                <w:noProof/>
                <w:webHidden/>
              </w:rPr>
            </w:r>
            <w:r>
              <w:rPr>
                <w:noProof/>
                <w:webHidden/>
              </w:rPr>
              <w:fldChar w:fldCharType="separate"/>
            </w:r>
            <w:r>
              <w:rPr>
                <w:noProof/>
                <w:webHidden/>
              </w:rPr>
              <w:t>14</w:t>
            </w:r>
            <w:r>
              <w:rPr>
                <w:noProof/>
                <w:webHidden/>
              </w:rPr>
              <w:fldChar w:fldCharType="end"/>
            </w:r>
          </w:hyperlink>
        </w:p>
        <w:p w14:paraId="582422B8" w14:textId="76407989" w:rsidR="00EC1515" w:rsidRDefault="00EC1515">
          <w:pPr>
            <w:pStyle w:val="TOC2"/>
            <w:rPr>
              <w:rFonts w:asciiTheme="minorHAnsi" w:eastAsiaTheme="minorEastAsia" w:hAnsiTheme="minorHAnsi" w:cstheme="minorBidi"/>
              <w:b w:val="0"/>
              <w:noProof/>
              <w:sz w:val="22"/>
              <w:lang w:eastAsia="en-AU"/>
            </w:rPr>
          </w:pPr>
          <w:hyperlink w:anchor="_Toc71183718" w:history="1">
            <w:r w:rsidRPr="00904533">
              <w:rPr>
                <w:rStyle w:val="Hyperlink"/>
                <w:noProof/>
                <w:lang w:eastAsia="en-AU"/>
              </w:rPr>
              <w:t>Risk management plan</w:t>
            </w:r>
            <w:r>
              <w:rPr>
                <w:noProof/>
                <w:webHidden/>
              </w:rPr>
              <w:tab/>
            </w:r>
            <w:r>
              <w:rPr>
                <w:noProof/>
                <w:webHidden/>
              </w:rPr>
              <w:fldChar w:fldCharType="begin"/>
            </w:r>
            <w:r>
              <w:rPr>
                <w:noProof/>
                <w:webHidden/>
              </w:rPr>
              <w:instrText xml:space="preserve"> PAGEREF _Toc71183718 \h </w:instrText>
            </w:r>
            <w:r>
              <w:rPr>
                <w:noProof/>
                <w:webHidden/>
              </w:rPr>
            </w:r>
            <w:r>
              <w:rPr>
                <w:noProof/>
                <w:webHidden/>
              </w:rPr>
              <w:fldChar w:fldCharType="separate"/>
            </w:r>
            <w:r>
              <w:rPr>
                <w:noProof/>
                <w:webHidden/>
              </w:rPr>
              <w:t>24</w:t>
            </w:r>
            <w:r>
              <w:rPr>
                <w:noProof/>
                <w:webHidden/>
              </w:rPr>
              <w:fldChar w:fldCharType="end"/>
            </w:r>
          </w:hyperlink>
        </w:p>
        <w:p w14:paraId="7D54C3C2" w14:textId="251D08CD" w:rsidR="00EC1515" w:rsidRDefault="00EC1515">
          <w:pPr>
            <w:pStyle w:val="TOC2"/>
            <w:rPr>
              <w:rFonts w:asciiTheme="minorHAnsi" w:eastAsiaTheme="minorEastAsia" w:hAnsiTheme="minorHAnsi" w:cstheme="minorBidi"/>
              <w:b w:val="0"/>
              <w:noProof/>
              <w:sz w:val="22"/>
              <w:lang w:eastAsia="en-AU"/>
            </w:rPr>
          </w:pPr>
          <w:hyperlink w:anchor="_Toc71183719" w:history="1">
            <w:r w:rsidRPr="00904533">
              <w:rPr>
                <w:rStyle w:val="Hyperlink"/>
                <w:noProof/>
              </w:rPr>
              <w:t>Risk-benefit analysis</w:t>
            </w:r>
            <w:r>
              <w:rPr>
                <w:noProof/>
                <w:webHidden/>
              </w:rPr>
              <w:tab/>
            </w:r>
            <w:r>
              <w:rPr>
                <w:noProof/>
                <w:webHidden/>
              </w:rPr>
              <w:fldChar w:fldCharType="begin"/>
            </w:r>
            <w:r>
              <w:rPr>
                <w:noProof/>
                <w:webHidden/>
              </w:rPr>
              <w:instrText xml:space="preserve"> PAGEREF _Toc71183719 \h </w:instrText>
            </w:r>
            <w:r>
              <w:rPr>
                <w:noProof/>
                <w:webHidden/>
              </w:rPr>
            </w:r>
            <w:r>
              <w:rPr>
                <w:noProof/>
                <w:webHidden/>
              </w:rPr>
              <w:fldChar w:fldCharType="separate"/>
            </w:r>
            <w:r>
              <w:rPr>
                <w:noProof/>
                <w:webHidden/>
              </w:rPr>
              <w:t>24</w:t>
            </w:r>
            <w:r>
              <w:rPr>
                <w:noProof/>
                <w:webHidden/>
              </w:rPr>
              <w:fldChar w:fldCharType="end"/>
            </w:r>
          </w:hyperlink>
        </w:p>
        <w:p w14:paraId="37E6DE4A" w14:textId="512F5C8C" w:rsidR="00EC1515" w:rsidRDefault="00EC1515">
          <w:pPr>
            <w:pStyle w:val="TOC2"/>
            <w:rPr>
              <w:rFonts w:asciiTheme="minorHAnsi" w:eastAsiaTheme="minorEastAsia" w:hAnsiTheme="minorHAnsi" w:cstheme="minorBidi"/>
              <w:b w:val="0"/>
              <w:noProof/>
              <w:sz w:val="22"/>
              <w:lang w:eastAsia="en-AU"/>
            </w:rPr>
          </w:pPr>
          <w:hyperlink w:anchor="_Toc71183720" w:history="1">
            <w:r w:rsidRPr="00904533">
              <w:rPr>
                <w:rStyle w:val="Hyperlink"/>
                <w:noProof/>
              </w:rPr>
              <w:t>Outcome</w:t>
            </w:r>
            <w:r>
              <w:rPr>
                <w:noProof/>
                <w:webHidden/>
              </w:rPr>
              <w:tab/>
            </w:r>
            <w:r>
              <w:rPr>
                <w:noProof/>
                <w:webHidden/>
              </w:rPr>
              <w:fldChar w:fldCharType="begin"/>
            </w:r>
            <w:r>
              <w:rPr>
                <w:noProof/>
                <w:webHidden/>
              </w:rPr>
              <w:instrText xml:space="preserve"> PAGEREF _Toc71183720 \h </w:instrText>
            </w:r>
            <w:r>
              <w:rPr>
                <w:noProof/>
                <w:webHidden/>
              </w:rPr>
            </w:r>
            <w:r>
              <w:rPr>
                <w:noProof/>
                <w:webHidden/>
              </w:rPr>
              <w:fldChar w:fldCharType="separate"/>
            </w:r>
            <w:r>
              <w:rPr>
                <w:noProof/>
                <w:webHidden/>
              </w:rPr>
              <w:t>28</w:t>
            </w:r>
            <w:r>
              <w:rPr>
                <w:noProof/>
                <w:webHidden/>
              </w:rPr>
              <w:fldChar w:fldCharType="end"/>
            </w:r>
          </w:hyperlink>
        </w:p>
        <w:p w14:paraId="2EEA9D9E" w14:textId="2344CD96" w:rsidR="00EC1515" w:rsidRDefault="00EC1515">
          <w:pPr>
            <w:pStyle w:val="TOC1"/>
            <w:rPr>
              <w:rFonts w:asciiTheme="minorHAnsi" w:eastAsiaTheme="minorEastAsia" w:hAnsiTheme="minorHAnsi" w:cstheme="minorBidi"/>
              <w:b w:val="0"/>
              <w:noProof/>
              <w:sz w:val="22"/>
              <w:lang w:eastAsia="en-AU"/>
            </w:rPr>
          </w:pPr>
          <w:hyperlink w:anchor="_Toc71183721" w:history="1">
            <w:r w:rsidRPr="00904533">
              <w:rPr>
                <w:rStyle w:val="Hyperlink"/>
                <w:noProof/>
              </w:rPr>
              <w:t>Attachment 1. Product Information</w:t>
            </w:r>
            <w:r>
              <w:rPr>
                <w:noProof/>
                <w:webHidden/>
              </w:rPr>
              <w:tab/>
            </w:r>
            <w:r>
              <w:rPr>
                <w:noProof/>
                <w:webHidden/>
              </w:rPr>
              <w:fldChar w:fldCharType="begin"/>
            </w:r>
            <w:r>
              <w:rPr>
                <w:noProof/>
                <w:webHidden/>
              </w:rPr>
              <w:instrText xml:space="preserve"> PAGEREF _Toc71183721 \h </w:instrText>
            </w:r>
            <w:r>
              <w:rPr>
                <w:noProof/>
                <w:webHidden/>
              </w:rPr>
            </w:r>
            <w:r>
              <w:rPr>
                <w:noProof/>
                <w:webHidden/>
              </w:rPr>
              <w:fldChar w:fldCharType="separate"/>
            </w:r>
            <w:r>
              <w:rPr>
                <w:noProof/>
                <w:webHidden/>
              </w:rPr>
              <w:t>29</w:t>
            </w:r>
            <w:r>
              <w:rPr>
                <w:noProof/>
                <w:webHidden/>
              </w:rPr>
              <w:fldChar w:fldCharType="end"/>
            </w:r>
          </w:hyperlink>
        </w:p>
        <w:p w14:paraId="43752597" w14:textId="204D22DC" w:rsidR="003A7F6C" w:rsidRPr="00B811C6" w:rsidRDefault="00C525A2" w:rsidP="00B811C6">
          <w:pPr>
            <w:pStyle w:val="TOC2"/>
          </w:pPr>
          <w:r>
            <w:fldChar w:fldCharType="end"/>
          </w:r>
        </w:p>
      </w:sdtContent>
    </w:sdt>
    <w:bookmarkStart w:id="3" w:name="_Toc314842482" w:displacedByCustomXml="prev"/>
    <w:p w14:paraId="002FDC30" w14:textId="77777777" w:rsidR="00FD119B" w:rsidRDefault="00FD119B">
      <w:pPr>
        <w:spacing w:before="0" w:after="200" w:line="0" w:lineRule="auto"/>
      </w:pPr>
      <w:r>
        <w:br w:type="page"/>
      </w:r>
    </w:p>
    <w:p w14:paraId="471ED81B" w14:textId="77777777" w:rsidR="00C52E24" w:rsidRPr="00C52E24" w:rsidRDefault="00324E45" w:rsidP="00482091">
      <w:pPr>
        <w:pStyle w:val="Heading2"/>
      </w:pPr>
      <w:bookmarkStart w:id="4" w:name="_Toc351716269"/>
      <w:bookmarkStart w:id="5" w:name="_Toc351718881"/>
      <w:bookmarkStart w:id="6" w:name="_Toc355338616"/>
      <w:bookmarkStart w:id="7" w:name="_Toc356306144"/>
      <w:bookmarkStart w:id="8" w:name="_Toc71183707"/>
      <w:r>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4"/>
        <w:gridCol w:w="6690"/>
      </w:tblGrid>
      <w:tr w:rsidR="00994478" w:rsidRPr="00FD119B" w14:paraId="35F6628D" w14:textId="77777777" w:rsidTr="00EE2E1E">
        <w:trPr>
          <w:cnfStyle w:val="100000000000" w:firstRow="1" w:lastRow="0" w:firstColumn="0" w:lastColumn="0" w:oddVBand="0" w:evenVBand="0" w:oddHBand="0" w:evenHBand="0" w:firstRowFirstColumn="0" w:firstRowLastColumn="0" w:lastRowFirstColumn="0" w:lastRowLastColumn="0"/>
        </w:trPr>
        <w:tc>
          <w:tcPr>
            <w:tcW w:w="1804" w:type="dxa"/>
            <w:tcBorders>
              <w:top w:val="single" w:sz="4" w:space="0" w:color="auto"/>
              <w:left w:val="single" w:sz="4" w:space="0" w:color="auto"/>
              <w:bottom w:val="single" w:sz="4" w:space="0" w:color="auto"/>
              <w:right w:val="single" w:sz="4" w:space="0" w:color="auto"/>
            </w:tcBorders>
          </w:tcPr>
          <w:p w14:paraId="613660BE" w14:textId="77777777" w:rsidR="00994478" w:rsidRPr="00FD119B" w:rsidRDefault="00994478" w:rsidP="00D0384C">
            <w:pPr>
              <w:keepNext w:val="0"/>
              <w:ind w:left="144" w:right="0"/>
              <w:rPr>
                <w:szCs w:val="22"/>
                <w:lang w:eastAsia="en-US"/>
              </w:rPr>
            </w:pPr>
            <w:r w:rsidRPr="00FD119B">
              <w:rPr>
                <w:szCs w:val="22"/>
                <w:lang w:eastAsia="en-US"/>
              </w:rPr>
              <w:t>Abbreviation</w:t>
            </w:r>
          </w:p>
        </w:tc>
        <w:tc>
          <w:tcPr>
            <w:tcW w:w="6690" w:type="dxa"/>
            <w:tcBorders>
              <w:top w:val="single" w:sz="4" w:space="0" w:color="auto"/>
              <w:left w:val="single" w:sz="4" w:space="0" w:color="auto"/>
              <w:bottom w:val="single" w:sz="4" w:space="0" w:color="auto"/>
              <w:right w:val="single" w:sz="4" w:space="0" w:color="auto"/>
            </w:tcBorders>
          </w:tcPr>
          <w:p w14:paraId="7E2A406C" w14:textId="77777777" w:rsidR="00994478" w:rsidRPr="00FD119B" w:rsidRDefault="00994478" w:rsidP="00D0384C">
            <w:pPr>
              <w:keepNext w:val="0"/>
              <w:ind w:left="144" w:right="0"/>
              <w:rPr>
                <w:szCs w:val="22"/>
                <w:lang w:eastAsia="en-US"/>
              </w:rPr>
            </w:pPr>
            <w:r w:rsidRPr="00FD119B">
              <w:rPr>
                <w:szCs w:val="22"/>
                <w:lang w:eastAsia="en-US"/>
              </w:rPr>
              <w:t>Meaning</w:t>
            </w:r>
          </w:p>
        </w:tc>
      </w:tr>
      <w:tr w:rsidR="00994478" w:rsidRPr="00FD119B" w14:paraId="3B5D6FCE" w14:textId="77777777" w:rsidTr="00EE2E1E">
        <w:tc>
          <w:tcPr>
            <w:tcW w:w="1804" w:type="dxa"/>
            <w:tcBorders>
              <w:top w:val="single" w:sz="4" w:space="0" w:color="auto"/>
            </w:tcBorders>
          </w:tcPr>
          <w:p w14:paraId="482F83AE" w14:textId="77777777" w:rsidR="00994478" w:rsidRPr="00FD119B" w:rsidRDefault="00994478" w:rsidP="00D0384C">
            <w:pPr>
              <w:ind w:left="144" w:right="0"/>
            </w:pPr>
            <w:r>
              <w:t>ACM</w:t>
            </w:r>
          </w:p>
        </w:tc>
        <w:tc>
          <w:tcPr>
            <w:tcW w:w="6690" w:type="dxa"/>
            <w:tcBorders>
              <w:top w:val="single" w:sz="4" w:space="0" w:color="auto"/>
            </w:tcBorders>
          </w:tcPr>
          <w:p w14:paraId="61DB767C" w14:textId="77777777" w:rsidR="00994478" w:rsidRPr="00FD119B" w:rsidRDefault="00994478" w:rsidP="00D0384C">
            <w:pPr>
              <w:ind w:left="144" w:right="0"/>
            </w:pPr>
            <w:r w:rsidRPr="00460036">
              <w:t>Advisory Committee on Medicines</w:t>
            </w:r>
          </w:p>
        </w:tc>
      </w:tr>
      <w:tr w:rsidR="00994478" w:rsidRPr="00FD119B" w14:paraId="67141285" w14:textId="77777777" w:rsidTr="00EE2E1E">
        <w:tc>
          <w:tcPr>
            <w:tcW w:w="1804" w:type="dxa"/>
          </w:tcPr>
          <w:p w14:paraId="0A96F5E0" w14:textId="77777777" w:rsidR="00994478" w:rsidRPr="00FD119B" w:rsidRDefault="00994478" w:rsidP="00D0384C">
            <w:pPr>
              <w:ind w:left="144" w:right="0"/>
            </w:pPr>
            <w:r>
              <w:t>ARTG</w:t>
            </w:r>
          </w:p>
        </w:tc>
        <w:tc>
          <w:tcPr>
            <w:tcW w:w="6690" w:type="dxa"/>
          </w:tcPr>
          <w:p w14:paraId="5C634327" w14:textId="77777777" w:rsidR="00994478" w:rsidRPr="00FD119B" w:rsidRDefault="00994478" w:rsidP="00D0384C">
            <w:pPr>
              <w:ind w:left="144" w:right="0"/>
            </w:pPr>
            <w:r w:rsidRPr="00460036">
              <w:t>Australian Register of Therapeutic Goods</w:t>
            </w:r>
          </w:p>
        </w:tc>
      </w:tr>
      <w:tr w:rsidR="00994478" w:rsidRPr="00FD119B" w14:paraId="281CC264" w14:textId="77777777" w:rsidTr="00EE2E1E">
        <w:tc>
          <w:tcPr>
            <w:tcW w:w="1804" w:type="dxa"/>
          </w:tcPr>
          <w:p w14:paraId="081772FA" w14:textId="77777777" w:rsidR="00994478" w:rsidRPr="00FD119B" w:rsidRDefault="00994478" w:rsidP="00D0384C">
            <w:pPr>
              <w:ind w:left="144" w:right="0"/>
            </w:pPr>
            <w:r>
              <w:t>AUC</w:t>
            </w:r>
          </w:p>
        </w:tc>
        <w:tc>
          <w:tcPr>
            <w:tcW w:w="6690" w:type="dxa"/>
          </w:tcPr>
          <w:p w14:paraId="06A2A190" w14:textId="77777777" w:rsidR="00994478" w:rsidRPr="00FD119B" w:rsidRDefault="00994478" w:rsidP="00D0384C">
            <w:pPr>
              <w:ind w:left="144" w:right="0"/>
            </w:pPr>
            <w:r>
              <w:t>Area under the plasma concentration time curve</w:t>
            </w:r>
          </w:p>
        </w:tc>
      </w:tr>
      <w:tr w:rsidR="00994478" w:rsidRPr="00FD119B" w14:paraId="596EDD21" w14:textId="77777777" w:rsidTr="00EE2E1E">
        <w:tc>
          <w:tcPr>
            <w:tcW w:w="1804" w:type="dxa"/>
          </w:tcPr>
          <w:p w14:paraId="725A4F31" w14:textId="77777777" w:rsidR="00994478" w:rsidRPr="00FD119B" w:rsidRDefault="00994478" w:rsidP="00D0384C">
            <w:pPr>
              <w:ind w:left="144" w:right="0"/>
            </w:pPr>
            <w:r>
              <w:t>BD</w:t>
            </w:r>
          </w:p>
        </w:tc>
        <w:tc>
          <w:tcPr>
            <w:tcW w:w="6690" w:type="dxa"/>
          </w:tcPr>
          <w:p w14:paraId="0D9CF4FA" w14:textId="21AE8019" w:rsidR="00994478" w:rsidRPr="00EF6C6A" w:rsidRDefault="00EF6C6A" w:rsidP="00D0384C">
            <w:pPr>
              <w:ind w:left="144" w:right="0"/>
            </w:pPr>
            <w:r>
              <w:t>Twice daily (</w:t>
            </w:r>
            <w:r w:rsidR="00994478">
              <w:t xml:space="preserve">Latin: </w:t>
            </w:r>
            <w:proofErr w:type="spellStart"/>
            <w:r w:rsidR="00994478" w:rsidRPr="00F15D5C">
              <w:rPr>
                <w:i/>
              </w:rPr>
              <w:t>bis</w:t>
            </w:r>
            <w:proofErr w:type="spellEnd"/>
            <w:r w:rsidR="00994478" w:rsidRPr="00F15D5C">
              <w:rPr>
                <w:i/>
              </w:rPr>
              <w:t xml:space="preserve"> in die</w:t>
            </w:r>
            <w:r>
              <w:t>)</w:t>
            </w:r>
          </w:p>
        </w:tc>
      </w:tr>
      <w:tr w:rsidR="00994478" w:rsidRPr="00FD119B" w14:paraId="4C2CAB3B" w14:textId="77777777" w:rsidTr="00EE2E1E">
        <w:tc>
          <w:tcPr>
            <w:tcW w:w="1804" w:type="dxa"/>
          </w:tcPr>
          <w:p w14:paraId="0D2631AE" w14:textId="77777777" w:rsidR="00994478" w:rsidRPr="00FD119B" w:rsidRDefault="00994478" w:rsidP="00D0384C">
            <w:pPr>
              <w:ind w:left="144"/>
            </w:pPr>
            <w:r>
              <w:t>BICR</w:t>
            </w:r>
          </w:p>
        </w:tc>
        <w:tc>
          <w:tcPr>
            <w:tcW w:w="6690" w:type="dxa"/>
          </w:tcPr>
          <w:p w14:paraId="0D4C88E7" w14:textId="77777777" w:rsidR="00994478" w:rsidRPr="00FD119B" w:rsidRDefault="00994478" w:rsidP="00D0384C">
            <w:pPr>
              <w:ind w:left="144"/>
            </w:pPr>
            <w:r>
              <w:t>Blinded independent central review</w:t>
            </w:r>
          </w:p>
        </w:tc>
      </w:tr>
      <w:tr w:rsidR="00994478" w:rsidRPr="00FD119B" w14:paraId="5ECB8C40" w14:textId="77777777" w:rsidTr="00EE2E1E">
        <w:tc>
          <w:tcPr>
            <w:tcW w:w="1804" w:type="dxa"/>
          </w:tcPr>
          <w:p w14:paraId="68B1E1CE" w14:textId="77777777" w:rsidR="00994478" w:rsidRPr="00FD119B" w:rsidRDefault="00994478" w:rsidP="00D0384C">
            <w:pPr>
              <w:ind w:left="144" w:right="0"/>
            </w:pPr>
            <w:r>
              <w:t>BRCA</w:t>
            </w:r>
          </w:p>
        </w:tc>
        <w:tc>
          <w:tcPr>
            <w:tcW w:w="6690" w:type="dxa"/>
          </w:tcPr>
          <w:p w14:paraId="0B3080D8" w14:textId="77777777" w:rsidR="00994478" w:rsidRPr="00FD119B" w:rsidRDefault="00994478" w:rsidP="00D0384C">
            <w:pPr>
              <w:ind w:left="144" w:right="0"/>
            </w:pPr>
            <w:r>
              <w:t>Breast cancer susceptibility protein</w:t>
            </w:r>
          </w:p>
        </w:tc>
      </w:tr>
      <w:tr w:rsidR="00994478" w:rsidRPr="00FD119B" w14:paraId="61FA55EA" w14:textId="77777777" w:rsidTr="00EE2E1E">
        <w:tc>
          <w:tcPr>
            <w:tcW w:w="1804" w:type="dxa"/>
          </w:tcPr>
          <w:p w14:paraId="41D04C6A" w14:textId="77777777" w:rsidR="00994478" w:rsidRPr="00FD119B" w:rsidRDefault="00994478" w:rsidP="00D0384C">
            <w:pPr>
              <w:ind w:left="144" w:right="0"/>
            </w:pPr>
            <w:r>
              <w:t>BRCA1</w:t>
            </w:r>
          </w:p>
        </w:tc>
        <w:tc>
          <w:tcPr>
            <w:tcW w:w="6690" w:type="dxa"/>
          </w:tcPr>
          <w:p w14:paraId="6F105E30" w14:textId="77777777" w:rsidR="00994478" w:rsidRPr="00FD119B" w:rsidRDefault="00994478" w:rsidP="00D0384C">
            <w:pPr>
              <w:ind w:left="144" w:right="0"/>
            </w:pPr>
            <w:r>
              <w:t>Breast cancer susceptibility protein type 1</w:t>
            </w:r>
          </w:p>
        </w:tc>
      </w:tr>
      <w:tr w:rsidR="00994478" w:rsidRPr="00FD119B" w14:paraId="74D9DD23" w14:textId="77777777" w:rsidTr="00EE2E1E">
        <w:tc>
          <w:tcPr>
            <w:tcW w:w="1804" w:type="dxa"/>
          </w:tcPr>
          <w:p w14:paraId="5BBEE339" w14:textId="77777777" w:rsidR="00994478" w:rsidRPr="00FD119B" w:rsidRDefault="00994478" w:rsidP="00D0384C">
            <w:pPr>
              <w:ind w:left="144" w:right="0"/>
            </w:pPr>
            <w:r>
              <w:t>BRCA2</w:t>
            </w:r>
          </w:p>
        </w:tc>
        <w:tc>
          <w:tcPr>
            <w:tcW w:w="6690" w:type="dxa"/>
          </w:tcPr>
          <w:p w14:paraId="451FED27" w14:textId="77777777" w:rsidR="00994478" w:rsidRPr="00FD119B" w:rsidRDefault="00994478" w:rsidP="00D0384C">
            <w:pPr>
              <w:ind w:left="144" w:right="0"/>
            </w:pPr>
            <w:r>
              <w:t>Breast cancer susceptibility protein type 2</w:t>
            </w:r>
          </w:p>
        </w:tc>
      </w:tr>
      <w:tr w:rsidR="00994478" w:rsidRPr="00FD119B" w14:paraId="4DD193B5" w14:textId="77777777" w:rsidTr="00EE2E1E">
        <w:tc>
          <w:tcPr>
            <w:tcW w:w="1804" w:type="dxa"/>
          </w:tcPr>
          <w:p w14:paraId="65057E19" w14:textId="77777777" w:rsidR="00994478" w:rsidRPr="00FD119B" w:rsidRDefault="00994478" w:rsidP="00D0384C">
            <w:pPr>
              <w:ind w:left="144" w:right="0"/>
            </w:pPr>
            <w:r>
              <w:t>CA-125</w:t>
            </w:r>
          </w:p>
        </w:tc>
        <w:tc>
          <w:tcPr>
            <w:tcW w:w="6690" w:type="dxa"/>
          </w:tcPr>
          <w:p w14:paraId="1EC384FD" w14:textId="77777777" w:rsidR="00994478" w:rsidRPr="00FD119B" w:rsidRDefault="00994478" w:rsidP="00D0384C">
            <w:pPr>
              <w:ind w:left="144" w:right="0"/>
            </w:pPr>
            <w:r>
              <w:t>Cancer antigen 125</w:t>
            </w:r>
          </w:p>
        </w:tc>
      </w:tr>
      <w:tr w:rsidR="00994478" w:rsidRPr="00FD119B" w14:paraId="73B120D1" w14:textId="77777777" w:rsidTr="00EE2E1E">
        <w:tc>
          <w:tcPr>
            <w:tcW w:w="1804" w:type="dxa"/>
          </w:tcPr>
          <w:p w14:paraId="7C1C70A0" w14:textId="77777777" w:rsidR="00994478" w:rsidRPr="00FD119B" w:rsidRDefault="00994478" w:rsidP="00D0384C">
            <w:pPr>
              <w:ind w:left="144"/>
            </w:pPr>
            <w:r>
              <w:t>CI</w:t>
            </w:r>
          </w:p>
        </w:tc>
        <w:tc>
          <w:tcPr>
            <w:tcW w:w="6690" w:type="dxa"/>
          </w:tcPr>
          <w:p w14:paraId="6A199D36" w14:textId="77777777" w:rsidR="00994478" w:rsidRPr="00FD119B" w:rsidRDefault="00994478" w:rsidP="00D0384C">
            <w:pPr>
              <w:ind w:left="144"/>
            </w:pPr>
            <w:r>
              <w:t>Confidence interval</w:t>
            </w:r>
          </w:p>
        </w:tc>
      </w:tr>
      <w:tr w:rsidR="00994478" w:rsidRPr="00FD119B" w14:paraId="5F62AF84" w14:textId="77777777" w:rsidTr="00EE2E1E">
        <w:tc>
          <w:tcPr>
            <w:tcW w:w="1804" w:type="dxa"/>
          </w:tcPr>
          <w:p w14:paraId="6D44E9F5" w14:textId="77777777" w:rsidR="00994478" w:rsidRPr="00FD119B" w:rsidRDefault="00994478" w:rsidP="00D0384C">
            <w:pPr>
              <w:ind w:left="144" w:right="0"/>
            </w:pPr>
            <w:proofErr w:type="spellStart"/>
            <w:r>
              <w:t>C</w:t>
            </w:r>
            <w:r>
              <w:rPr>
                <w:vertAlign w:val="subscript"/>
              </w:rPr>
              <w:t>max</w:t>
            </w:r>
            <w:proofErr w:type="spellEnd"/>
          </w:p>
        </w:tc>
        <w:tc>
          <w:tcPr>
            <w:tcW w:w="6690" w:type="dxa"/>
          </w:tcPr>
          <w:p w14:paraId="07D05BE9" w14:textId="77777777" w:rsidR="00994478" w:rsidRPr="00FD119B" w:rsidRDefault="00994478" w:rsidP="00D0384C">
            <w:pPr>
              <w:ind w:left="144" w:right="0"/>
            </w:pPr>
            <w:r>
              <w:t>Maximum plasma concentration</w:t>
            </w:r>
          </w:p>
        </w:tc>
      </w:tr>
      <w:tr w:rsidR="00994478" w:rsidRPr="00FD119B" w14:paraId="5871DBB1" w14:textId="77777777" w:rsidTr="00EE2E1E">
        <w:tc>
          <w:tcPr>
            <w:tcW w:w="1804" w:type="dxa"/>
          </w:tcPr>
          <w:p w14:paraId="67F44BCB" w14:textId="77777777" w:rsidR="00994478" w:rsidRPr="00FD119B" w:rsidRDefault="00994478" w:rsidP="00D0384C">
            <w:pPr>
              <w:ind w:left="144" w:right="0"/>
            </w:pPr>
            <w:proofErr w:type="spellStart"/>
            <w:r>
              <w:t>C</w:t>
            </w:r>
            <w:r>
              <w:rPr>
                <w:vertAlign w:val="subscript"/>
              </w:rPr>
              <w:t>min</w:t>
            </w:r>
            <w:proofErr w:type="spellEnd"/>
          </w:p>
        </w:tc>
        <w:tc>
          <w:tcPr>
            <w:tcW w:w="6690" w:type="dxa"/>
          </w:tcPr>
          <w:p w14:paraId="220C99B8" w14:textId="77777777" w:rsidR="00994478" w:rsidRPr="00FD119B" w:rsidRDefault="00994478" w:rsidP="00D0384C">
            <w:pPr>
              <w:ind w:left="144" w:right="0"/>
            </w:pPr>
            <w:r>
              <w:t>Minimum plasma concentration</w:t>
            </w:r>
          </w:p>
        </w:tc>
      </w:tr>
      <w:tr w:rsidR="00994478" w:rsidRPr="00FD119B" w14:paraId="30D22537" w14:textId="77777777" w:rsidTr="00EE2E1E">
        <w:tc>
          <w:tcPr>
            <w:tcW w:w="1804" w:type="dxa"/>
          </w:tcPr>
          <w:p w14:paraId="230609D1" w14:textId="77777777" w:rsidR="00994478" w:rsidRPr="00FD119B" w:rsidRDefault="00994478" w:rsidP="00D0384C">
            <w:pPr>
              <w:ind w:left="144" w:right="0"/>
            </w:pPr>
            <w:r>
              <w:t>CR</w:t>
            </w:r>
          </w:p>
        </w:tc>
        <w:tc>
          <w:tcPr>
            <w:tcW w:w="6690" w:type="dxa"/>
          </w:tcPr>
          <w:p w14:paraId="39B35BB6" w14:textId="77777777" w:rsidR="00994478" w:rsidRPr="00FD119B" w:rsidRDefault="00994478" w:rsidP="00D0384C">
            <w:pPr>
              <w:ind w:left="144" w:right="0"/>
            </w:pPr>
            <w:r>
              <w:t>Complete response</w:t>
            </w:r>
          </w:p>
        </w:tc>
      </w:tr>
      <w:tr w:rsidR="00994478" w:rsidRPr="00FD119B" w14:paraId="0225D408" w14:textId="77777777" w:rsidTr="00EE2E1E">
        <w:tc>
          <w:tcPr>
            <w:tcW w:w="1804" w:type="dxa"/>
          </w:tcPr>
          <w:p w14:paraId="08EA8F7E" w14:textId="77777777" w:rsidR="00994478" w:rsidRPr="00FD119B" w:rsidRDefault="00994478" w:rsidP="00D0384C">
            <w:pPr>
              <w:ind w:left="144" w:right="0"/>
            </w:pPr>
            <w:r>
              <w:t>DSB</w:t>
            </w:r>
          </w:p>
        </w:tc>
        <w:tc>
          <w:tcPr>
            <w:tcW w:w="6690" w:type="dxa"/>
          </w:tcPr>
          <w:p w14:paraId="298F8674" w14:textId="77777777" w:rsidR="00994478" w:rsidRPr="00FD119B" w:rsidRDefault="00994478" w:rsidP="00D0384C">
            <w:pPr>
              <w:ind w:left="144" w:right="0"/>
            </w:pPr>
            <w:r>
              <w:t>Double strand break</w:t>
            </w:r>
          </w:p>
        </w:tc>
      </w:tr>
      <w:tr w:rsidR="00994478" w:rsidRPr="00FD119B" w14:paraId="57403117" w14:textId="77777777" w:rsidTr="00EE2E1E">
        <w:tc>
          <w:tcPr>
            <w:tcW w:w="1804" w:type="dxa"/>
          </w:tcPr>
          <w:p w14:paraId="0043D9C1" w14:textId="77777777" w:rsidR="00994478" w:rsidRPr="00FD119B" w:rsidRDefault="00994478" w:rsidP="00D0384C">
            <w:pPr>
              <w:ind w:left="144"/>
            </w:pPr>
            <w:r>
              <w:t>ECOG</w:t>
            </w:r>
          </w:p>
        </w:tc>
        <w:tc>
          <w:tcPr>
            <w:tcW w:w="6690" w:type="dxa"/>
          </w:tcPr>
          <w:p w14:paraId="46055FFC" w14:textId="77777777" w:rsidR="00994478" w:rsidRPr="00FD119B" w:rsidRDefault="00994478" w:rsidP="00D0384C">
            <w:pPr>
              <w:ind w:left="144"/>
            </w:pPr>
            <w:r>
              <w:t>Eastern Cooperative Oncology Group</w:t>
            </w:r>
          </w:p>
        </w:tc>
      </w:tr>
      <w:tr w:rsidR="00994478" w:rsidRPr="00FD119B" w14:paraId="524A8875" w14:textId="77777777" w:rsidTr="00EE2E1E">
        <w:tc>
          <w:tcPr>
            <w:tcW w:w="1804" w:type="dxa"/>
          </w:tcPr>
          <w:p w14:paraId="54A8142C" w14:textId="77777777" w:rsidR="00994478" w:rsidRPr="00FD119B" w:rsidRDefault="00994478" w:rsidP="00D0384C">
            <w:pPr>
              <w:ind w:left="144"/>
            </w:pPr>
            <w:proofErr w:type="spellStart"/>
            <w:r>
              <w:t>eCRF</w:t>
            </w:r>
            <w:proofErr w:type="spellEnd"/>
          </w:p>
        </w:tc>
        <w:tc>
          <w:tcPr>
            <w:tcW w:w="6690" w:type="dxa"/>
          </w:tcPr>
          <w:p w14:paraId="4F1ACD80" w14:textId="77777777" w:rsidR="00994478" w:rsidRPr="00FD119B" w:rsidRDefault="00994478" w:rsidP="00D0384C">
            <w:pPr>
              <w:ind w:left="144"/>
            </w:pPr>
            <w:r>
              <w:t>Electronic case report form</w:t>
            </w:r>
          </w:p>
        </w:tc>
      </w:tr>
      <w:tr w:rsidR="00994478" w:rsidRPr="00FD119B" w14:paraId="0EB47D91" w14:textId="77777777" w:rsidTr="00EE2E1E">
        <w:tc>
          <w:tcPr>
            <w:tcW w:w="1804" w:type="dxa"/>
          </w:tcPr>
          <w:p w14:paraId="1061CBFF" w14:textId="77777777" w:rsidR="00994478" w:rsidRPr="00FD119B" w:rsidRDefault="00994478" w:rsidP="00D0384C">
            <w:pPr>
              <w:ind w:left="144" w:right="0"/>
            </w:pPr>
            <w:r>
              <w:t>EOC</w:t>
            </w:r>
          </w:p>
        </w:tc>
        <w:tc>
          <w:tcPr>
            <w:tcW w:w="6690" w:type="dxa"/>
          </w:tcPr>
          <w:p w14:paraId="12DBA0CC" w14:textId="3EBB1D7D" w:rsidR="00994478" w:rsidRPr="00FD119B" w:rsidRDefault="000904E1" w:rsidP="00D0384C">
            <w:pPr>
              <w:ind w:left="144" w:right="0"/>
            </w:pPr>
            <w:r>
              <w:t>E</w:t>
            </w:r>
            <w:r w:rsidR="00994478">
              <w:t>pithelial ovarian carcinoma</w:t>
            </w:r>
          </w:p>
        </w:tc>
      </w:tr>
      <w:tr w:rsidR="00994478" w:rsidRPr="00FD119B" w14:paraId="7116A86A" w14:textId="77777777" w:rsidTr="00EE2E1E">
        <w:tc>
          <w:tcPr>
            <w:tcW w:w="1804" w:type="dxa"/>
          </w:tcPr>
          <w:p w14:paraId="3D41D3C8" w14:textId="77777777" w:rsidR="00994478" w:rsidRPr="00FD119B" w:rsidRDefault="00994478" w:rsidP="00D0384C">
            <w:pPr>
              <w:ind w:left="144" w:right="0"/>
            </w:pPr>
            <w:r>
              <w:t>EU</w:t>
            </w:r>
          </w:p>
        </w:tc>
        <w:tc>
          <w:tcPr>
            <w:tcW w:w="6690" w:type="dxa"/>
          </w:tcPr>
          <w:p w14:paraId="21666AA9" w14:textId="77777777" w:rsidR="00994478" w:rsidRPr="00FD119B" w:rsidRDefault="00994478" w:rsidP="00D0384C">
            <w:pPr>
              <w:ind w:left="144" w:right="0"/>
            </w:pPr>
            <w:r>
              <w:t>European Union</w:t>
            </w:r>
          </w:p>
        </w:tc>
      </w:tr>
      <w:tr w:rsidR="00994478" w:rsidRPr="00FD119B" w14:paraId="56DBE531" w14:textId="77777777" w:rsidTr="00EE2E1E">
        <w:tc>
          <w:tcPr>
            <w:tcW w:w="1804" w:type="dxa"/>
          </w:tcPr>
          <w:p w14:paraId="0D47CE3E" w14:textId="77777777" w:rsidR="00994478" w:rsidRPr="00FD119B" w:rsidRDefault="00994478" w:rsidP="00D0384C">
            <w:pPr>
              <w:ind w:left="144" w:right="0"/>
            </w:pPr>
            <w:r>
              <w:t>FDA</w:t>
            </w:r>
          </w:p>
        </w:tc>
        <w:tc>
          <w:tcPr>
            <w:tcW w:w="6690" w:type="dxa"/>
          </w:tcPr>
          <w:p w14:paraId="16BFCB03" w14:textId="668A8C88" w:rsidR="00994478" w:rsidRPr="00FD119B" w:rsidRDefault="00994478" w:rsidP="00D0384C">
            <w:pPr>
              <w:ind w:left="144" w:right="0"/>
            </w:pPr>
            <w:r>
              <w:t>Food and Drug Administration</w:t>
            </w:r>
            <w:r w:rsidR="00694337">
              <w:t xml:space="preserve"> (United States)</w:t>
            </w:r>
          </w:p>
        </w:tc>
      </w:tr>
      <w:tr w:rsidR="00994478" w:rsidRPr="00FD119B" w14:paraId="45D76E6B" w14:textId="77777777" w:rsidTr="00EE2E1E">
        <w:tc>
          <w:tcPr>
            <w:tcW w:w="1804" w:type="dxa"/>
          </w:tcPr>
          <w:p w14:paraId="4CF45DFE" w14:textId="77777777" w:rsidR="00994478" w:rsidRPr="00FD119B" w:rsidRDefault="00994478" w:rsidP="00D0384C">
            <w:pPr>
              <w:ind w:left="144" w:right="0"/>
            </w:pPr>
            <w:r>
              <w:t>FIGO</w:t>
            </w:r>
          </w:p>
        </w:tc>
        <w:tc>
          <w:tcPr>
            <w:tcW w:w="6690" w:type="dxa"/>
          </w:tcPr>
          <w:p w14:paraId="55C6C744" w14:textId="1C371C5D" w:rsidR="00994478" w:rsidRPr="00FD119B" w:rsidRDefault="00D460C1" w:rsidP="00D0384C">
            <w:pPr>
              <w:ind w:left="144" w:right="0"/>
            </w:pPr>
            <w:proofErr w:type="spellStart"/>
            <w:r w:rsidRPr="00D460C1">
              <w:t>Fédération</w:t>
            </w:r>
            <w:proofErr w:type="spellEnd"/>
            <w:r w:rsidRPr="00D460C1">
              <w:t xml:space="preserve"> </w:t>
            </w:r>
            <w:r w:rsidR="00994478">
              <w:t xml:space="preserve">Internationale de </w:t>
            </w:r>
            <w:proofErr w:type="spellStart"/>
            <w:r w:rsidR="00994478">
              <w:t>Gynécologie</w:t>
            </w:r>
            <w:proofErr w:type="spellEnd"/>
            <w:r w:rsidR="00994478">
              <w:t xml:space="preserve"> </w:t>
            </w:r>
            <w:r>
              <w:t xml:space="preserve">et </w:t>
            </w:r>
            <w:proofErr w:type="spellStart"/>
            <w:r>
              <w:t>d’</w:t>
            </w:r>
            <w:r w:rsidR="00994478">
              <w:t>Obstétrique</w:t>
            </w:r>
            <w:proofErr w:type="spellEnd"/>
            <w:r w:rsidR="00994478">
              <w:t xml:space="preserve"> (International Federation of Gynaecology and Obstetrics)</w:t>
            </w:r>
          </w:p>
        </w:tc>
      </w:tr>
      <w:tr w:rsidR="00994478" w:rsidRPr="00FD119B" w14:paraId="3ABF82B6" w14:textId="77777777" w:rsidTr="00EE2E1E">
        <w:tc>
          <w:tcPr>
            <w:tcW w:w="1804" w:type="dxa"/>
          </w:tcPr>
          <w:p w14:paraId="74B3DC3B" w14:textId="77777777" w:rsidR="00994478" w:rsidRPr="00FD119B" w:rsidRDefault="00994478" w:rsidP="00EE2E1E">
            <w:pPr>
              <w:ind w:left="144" w:right="0"/>
            </w:pPr>
            <w:proofErr w:type="spellStart"/>
            <w:r>
              <w:t>Folfirinox</w:t>
            </w:r>
            <w:proofErr w:type="spellEnd"/>
          </w:p>
        </w:tc>
        <w:tc>
          <w:tcPr>
            <w:tcW w:w="6690" w:type="dxa"/>
          </w:tcPr>
          <w:p w14:paraId="3314A9B6" w14:textId="77777777" w:rsidR="00994478" w:rsidRPr="00FD119B" w:rsidRDefault="00994478" w:rsidP="00EE2E1E">
            <w:pPr>
              <w:ind w:left="144" w:right="0"/>
            </w:pPr>
            <w:r>
              <w:t xml:space="preserve">5-fluorouracil, </w:t>
            </w:r>
            <w:proofErr w:type="spellStart"/>
            <w:r>
              <w:t>irinotecan</w:t>
            </w:r>
            <w:proofErr w:type="spellEnd"/>
            <w:r>
              <w:t xml:space="preserve">, </w:t>
            </w:r>
            <w:proofErr w:type="spellStart"/>
            <w:r>
              <w:t>leucovorin</w:t>
            </w:r>
            <w:proofErr w:type="spellEnd"/>
            <w:r>
              <w:t xml:space="preserve">, and </w:t>
            </w:r>
            <w:proofErr w:type="spellStart"/>
            <w:r>
              <w:t>oxaliplatin</w:t>
            </w:r>
            <w:proofErr w:type="spellEnd"/>
          </w:p>
        </w:tc>
      </w:tr>
      <w:tr w:rsidR="00994478" w:rsidRPr="00FD119B" w14:paraId="4AC7D64D" w14:textId="77777777" w:rsidTr="00EE2E1E">
        <w:tc>
          <w:tcPr>
            <w:tcW w:w="1804" w:type="dxa"/>
          </w:tcPr>
          <w:p w14:paraId="6006408E" w14:textId="77777777" w:rsidR="00994478" w:rsidRPr="00FD119B" w:rsidRDefault="00994478" w:rsidP="00D0384C">
            <w:pPr>
              <w:ind w:left="144" w:right="0"/>
              <w:rPr>
                <w:color w:val="auto"/>
                <w:szCs w:val="22"/>
                <w:lang w:eastAsia="en-US"/>
              </w:rPr>
            </w:pPr>
            <w:proofErr w:type="spellStart"/>
            <w:r>
              <w:rPr>
                <w:color w:val="auto"/>
                <w:szCs w:val="22"/>
                <w:lang w:eastAsia="en-US"/>
              </w:rPr>
              <w:t>gBRCAm</w:t>
            </w:r>
            <w:proofErr w:type="spellEnd"/>
          </w:p>
        </w:tc>
        <w:tc>
          <w:tcPr>
            <w:tcW w:w="6690" w:type="dxa"/>
          </w:tcPr>
          <w:p w14:paraId="6AE76984" w14:textId="77777777" w:rsidR="00994478" w:rsidRPr="00FD119B" w:rsidRDefault="00994478" w:rsidP="00D0384C">
            <w:pPr>
              <w:ind w:left="144" w:right="0"/>
              <w:rPr>
                <w:color w:val="auto"/>
                <w:szCs w:val="22"/>
                <w:lang w:eastAsia="en-US"/>
              </w:rPr>
            </w:pPr>
            <w:r w:rsidRPr="002B2034">
              <w:rPr>
                <w:color w:val="auto"/>
                <w:szCs w:val="22"/>
                <w:lang w:eastAsia="en-US"/>
              </w:rPr>
              <w:t xml:space="preserve">Germline </w:t>
            </w:r>
            <w:r>
              <w:t>breast cancer susceptibility protein</w:t>
            </w:r>
            <w:r>
              <w:rPr>
                <w:color w:val="auto"/>
                <w:szCs w:val="22"/>
                <w:lang w:eastAsia="en-US"/>
              </w:rPr>
              <w:t xml:space="preserve"> mutation</w:t>
            </w:r>
          </w:p>
        </w:tc>
      </w:tr>
      <w:tr w:rsidR="000904E1" w:rsidRPr="00FD119B" w14:paraId="29EED9D2" w14:textId="77777777" w:rsidTr="00EE2E1E">
        <w:tc>
          <w:tcPr>
            <w:tcW w:w="1804" w:type="dxa"/>
          </w:tcPr>
          <w:p w14:paraId="7C390B2A" w14:textId="5BE104F9" w:rsidR="000904E1" w:rsidRDefault="000904E1" w:rsidP="00694337">
            <w:pPr>
              <w:ind w:left="144"/>
            </w:pPr>
            <w:r>
              <w:t>HGSC</w:t>
            </w:r>
          </w:p>
        </w:tc>
        <w:tc>
          <w:tcPr>
            <w:tcW w:w="6690" w:type="dxa"/>
          </w:tcPr>
          <w:p w14:paraId="336E4F8E" w14:textId="6E8CC316" w:rsidR="000904E1" w:rsidRPr="002B2034" w:rsidRDefault="000904E1" w:rsidP="00694337">
            <w:pPr>
              <w:ind w:left="144"/>
            </w:pPr>
            <w:r>
              <w:t>High-grade serous carcinoma</w:t>
            </w:r>
          </w:p>
        </w:tc>
      </w:tr>
      <w:tr w:rsidR="00994478" w:rsidRPr="00FD119B" w14:paraId="43F56378" w14:textId="77777777" w:rsidTr="00EE2E1E">
        <w:tc>
          <w:tcPr>
            <w:tcW w:w="1804" w:type="dxa"/>
          </w:tcPr>
          <w:p w14:paraId="6F7530CB" w14:textId="77777777" w:rsidR="00994478" w:rsidRPr="00FD119B" w:rsidRDefault="00994478" w:rsidP="00D0384C">
            <w:pPr>
              <w:ind w:left="144"/>
            </w:pPr>
            <w:r>
              <w:t>HR</w:t>
            </w:r>
          </w:p>
        </w:tc>
        <w:tc>
          <w:tcPr>
            <w:tcW w:w="6690" w:type="dxa"/>
          </w:tcPr>
          <w:p w14:paraId="7DDDE05E" w14:textId="77777777" w:rsidR="00994478" w:rsidRPr="00FD119B" w:rsidRDefault="00994478" w:rsidP="00D0384C">
            <w:pPr>
              <w:ind w:left="144"/>
            </w:pPr>
            <w:r>
              <w:t>Hazard ratio</w:t>
            </w:r>
          </w:p>
        </w:tc>
      </w:tr>
      <w:tr w:rsidR="00994478" w:rsidRPr="00FD119B" w14:paraId="61C45226" w14:textId="77777777" w:rsidTr="00EE2E1E">
        <w:tc>
          <w:tcPr>
            <w:tcW w:w="1804" w:type="dxa"/>
          </w:tcPr>
          <w:p w14:paraId="37F5CD08" w14:textId="77777777" w:rsidR="00994478" w:rsidRPr="00FD119B" w:rsidRDefault="00994478" w:rsidP="00D0384C">
            <w:pPr>
              <w:ind w:left="144" w:right="0"/>
              <w:rPr>
                <w:color w:val="auto"/>
                <w:szCs w:val="22"/>
                <w:lang w:eastAsia="en-US"/>
              </w:rPr>
            </w:pPr>
            <w:r>
              <w:rPr>
                <w:color w:val="auto"/>
                <w:szCs w:val="22"/>
                <w:lang w:eastAsia="en-US"/>
              </w:rPr>
              <w:t>HRD</w:t>
            </w:r>
          </w:p>
        </w:tc>
        <w:tc>
          <w:tcPr>
            <w:tcW w:w="6690" w:type="dxa"/>
          </w:tcPr>
          <w:p w14:paraId="6BC78EF6" w14:textId="465104D9" w:rsidR="00994478" w:rsidRPr="00FD119B" w:rsidRDefault="00994478" w:rsidP="00D0384C">
            <w:pPr>
              <w:ind w:left="144" w:right="0"/>
              <w:rPr>
                <w:color w:val="auto"/>
                <w:szCs w:val="22"/>
                <w:lang w:eastAsia="en-US"/>
              </w:rPr>
            </w:pPr>
            <w:r>
              <w:rPr>
                <w:color w:val="auto"/>
                <w:szCs w:val="22"/>
                <w:lang w:eastAsia="en-US"/>
              </w:rPr>
              <w:t>H</w:t>
            </w:r>
            <w:r w:rsidRPr="002B2034">
              <w:rPr>
                <w:color w:val="auto"/>
                <w:szCs w:val="22"/>
                <w:lang w:eastAsia="en-US"/>
              </w:rPr>
              <w:t>omologo</w:t>
            </w:r>
            <w:r>
              <w:rPr>
                <w:color w:val="auto"/>
                <w:szCs w:val="22"/>
                <w:lang w:eastAsia="en-US"/>
              </w:rPr>
              <w:t>us recombination deficiency</w:t>
            </w:r>
          </w:p>
        </w:tc>
      </w:tr>
      <w:tr w:rsidR="00994478" w:rsidRPr="00FD119B" w14:paraId="01F63CEA" w14:textId="77777777" w:rsidTr="00EE2E1E">
        <w:tc>
          <w:tcPr>
            <w:tcW w:w="1804" w:type="dxa"/>
          </w:tcPr>
          <w:p w14:paraId="43907377" w14:textId="77777777" w:rsidR="00994478" w:rsidRPr="00FD119B" w:rsidRDefault="00994478" w:rsidP="00D0384C">
            <w:pPr>
              <w:ind w:left="144" w:right="0"/>
            </w:pPr>
            <w:r>
              <w:t>HRR</w:t>
            </w:r>
          </w:p>
        </w:tc>
        <w:tc>
          <w:tcPr>
            <w:tcW w:w="6690" w:type="dxa"/>
          </w:tcPr>
          <w:p w14:paraId="17AA7925" w14:textId="77777777" w:rsidR="00994478" w:rsidRPr="00FD119B" w:rsidRDefault="00994478" w:rsidP="00D0384C">
            <w:pPr>
              <w:ind w:left="144" w:right="0"/>
            </w:pPr>
            <w:r>
              <w:t>Homologous recombination repair</w:t>
            </w:r>
          </w:p>
        </w:tc>
      </w:tr>
      <w:tr w:rsidR="00994478" w:rsidRPr="00FD119B" w14:paraId="13028687" w14:textId="77777777" w:rsidTr="00EE2E1E">
        <w:tc>
          <w:tcPr>
            <w:tcW w:w="1804" w:type="dxa"/>
          </w:tcPr>
          <w:p w14:paraId="5E8B8086" w14:textId="77777777" w:rsidR="00994478" w:rsidRPr="00FD119B" w:rsidRDefault="00994478" w:rsidP="00D0384C">
            <w:pPr>
              <w:ind w:left="144"/>
            </w:pPr>
            <w:r>
              <w:t>IDS</w:t>
            </w:r>
          </w:p>
        </w:tc>
        <w:tc>
          <w:tcPr>
            <w:tcW w:w="6690" w:type="dxa"/>
          </w:tcPr>
          <w:p w14:paraId="28CE7245" w14:textId="77777777" w:rsidR="00994478" w:rsidRPr="00FD119B" w:rsidRDefault="00994478" w:rsidP="00D0384C">
            <w:pPr>
              <w:ind w:left="144"/>
            </w:pPr>
            <w:r>
              <w:t xml:space="preserve">Interval </w:t>
            </w:r>
            <w:proofErr w:type="spellStart"/>
            <w:r>
              <w:t>debulking</w:t>
            </w:r>
            <w:proofErr w:type="spellEnd"/>
            <w:r>
              <w:t xml:space="preserve"> surgery</w:t>
            </w:r>
          </w:p>
        </w:tc>
      </w:tr>
      <w:tr w:rsidR="00994478" w:rsidRPr="00FD119B" w14:paraId="4A624AFB" w14:textId="77777777" w:rsidTr="00EE2E1E">
        <w:tc>
          <w:tcPr>
            <w:tcW w:w="1804" w:type="dxa"/>
          </w:tcPr>
          <w:p w14:paraId="62EFAB21" w14:textId="77777777" w:rsidR="00994478" w:rsidRPr="00FD119B" w:rsidRDefault="00994478" w:rsidP="00D0384C">
            <w:pPr>
              <w:ind w:left="144"/>
            </w:pPr>
            <w:proofErr w:type="spellStart"/>
            <w:r>
              <w:t>INCa</w:t>
            </w:r>
            <w:proofErr w:type="spellEnd"/>
          </w:p>
        </w:tc>
        <w:tc>
          <w:tcPr>
            <w:tcW w:w="6690" w:type="dxa"/>
          </w:tcPr>
          <w:p w14:paraId="1F84F2C6" w14:textId="2A32C8F3" w:rsidR="00994478" w:rsidRPr="00FD119B" w:rsidRDefault="00694337" w:rsidP="00D0384C">
            <w:pPr>
              <w:ind w:left="144"/>
            </w:pPr>
            <w:proofErr w:type="spellStart"/>
            <w:r>
              <w:t>Institut</w:t>
            </w:r>
            <w:proofErr w:type="spellEnd"/>
            <w:r>
              <w:t xml:space="preserve"> National du Cancer (</w:t>
            </w:r>
            <w:r w:rsidR="00994478">
              <w:t>French National Cancer Institute</w:t>
            </w:r>
            <w:r>
              <w:t>)</w:t>
            </w:r>
          </w:p>
        </w:tc>
      </w:tr>
      <w:tr w:rsidR="00994478" w:rsidRPr="00FD119B" w14:paraId="66CC76A5" w14:textId="77777777" w:rsidTr="00EE2E1E">
        <w:tc>
          <w:tcPr>
            <w:tcW w:w="1804" w:type="dxa"/>
          </w:tcPr>
          <w:p w14:paraId="124CBF5B" w14:textId="77777777" w:rsidR="00994478" w:rsidRPr="00FD119B" w:rsidRDefault="00994478" w:rsidP="00D0384C">
            <w:pPr>
              <w:ind w:left="144"/>
            </w:pPr>
            <w:r>
              <w:t>NED</w:t>
            </w:r>
          </w:p>
        </w:tc>
        <w:tc>
          <w:tcPr>
            <w:tcW w:w="6690" w:type="dxa"/>
          </w:tcPr>
          <w:p w14:paraId="2555C753" w14:textId="77777777" w:rsidR="00994478" w:rsidRPr="00FD119B" w:rsidRDefault="00994478" w:rsidP="00D0384C">
            <w:pPr>
              <w:ind w:left="144"/>
            </w:pPr>
            <w:r>
              <w:t>No evidence of disease</w:t>
            </w:r>
          </w:p>
        </w:tc>
      </w:tr>
      <w:tr w:rsidR="00994478" w:rsidRPr="00FD119B" w14:paraId="2A31B271" w14:textId="77777777" w:rsidTr="00EE2E1E">
        <w:tc>
          <w:tcPr>
            <w:tcW w:w="1804" w:type="dxa"/>
          </w:tcPr>
          <w:p w14:paraId="4CF07A52" w14:textId="77777777" w:rsidR="00994478" w:rsidRPr="00FD119B" w:rsidRDefault="00994478" w:rsidP="00D0384C">
            <w:pPr>
              <w:ind w:left="144" w:right="0"/>
            </w:pPr>
            <w:r>
              <w:t>OS</w:t>
            </w:r>
          </w:p>
        </w:tc>
        <w:tc>
          <w:tcPr>
            <w:tcW w:w="6690" w:type="dxa"/>
          </w:tcPr>
          <w:p w14:paraId="40918896" w14:textId="77777777" w:rsidR="00994478" w:rsidRPr="00FD119B" w:rsidRDefault="00994478" w:rsidP="00D0384C">
            <w:pPr>
              <w:ind w:left="144" w:right="0"/>
            </w:pPr>
            <w:r>
              <w:t>Overall survival</w:t>
            </w:r>
          </w:p>
        </w:tc>
      </w:tr>
      <w:tr w:rsidR="00994478" w:rsidRPr="00FD119B" w14:paraId="06FDF680" w14:textId="77777777" w:rsidTr="00EE2E1E">
        <w:tc>
          <w:tcPr>
            <w:tcW w:w="1804" w:type="dxa"/>
          </w:tcPr>
          <w:p w14:paraId="4F976B9F" w14:textId="77777777" w:rsidR="00994478" w:rsidRPr="00FD119B" w:rsidRDefault="00994478" w:rsidP="00D0384C">
            <w:pPr>
              <w:ind w:left="144" w:right="0"/>
            </w:pPr>
            <w:r>
              <w:t>PARP</w:t>
            </w:r>
          </w:p>
        </w:tc>
        <w:tc>
          <w:tcPr>
            <w:tcW w:w="6690" w:type="dxa"/>
          </w:tcPr>
          <w:p w14:paraId="7F08930B" w14:textId="77777777" w:rsidR="00994478" w:rsidRPr="00FD119B" w:rsidRDefault="00994478" w:rsidP="00D0384C">
            <w:pPr>
              <w:ind w:left="144" w:right="0"/>
            </w:pPr>
            <w:r>
              <w:t>P</w:t>
            </w:r>
            <w:r w:rsidRPr="002B2034">
              <w:t>oly (adenosine</w:t>
            </w:r>
            <w:r>
              <w:t xml:space="preserve"> diphosphate-ribose) polymerase</w:t>
            </w:r>
          </w:p>
        </w:tc>
      </w:tr>
      <w:tr w:rsidR="00994478" w:rsidRPr="00FD119B" w14:paraId="51296828" w14:textId="77777777" w:rsidTr="00EE2E1E">
        <w:tc>
          <w:tcPr>
            <w:tcW w:w="1804" w:type="dxa"/>
          </w:tcPr>
          <w:p w14:paraId="57E63662" w14:textId="77777777" w:rsidR="00994478" w:rsidRPr="00FD119B" w:rsidRDefault="00994478" w:rsidP="00D0384C">
            <w:pPr>
              <w:ind w:left="144" w:right="0"/>
            </w:pPr>
            <w:r>
              <w:t>PFI</w:t>
            </w:r>
          </w:p>
        </w:tc>
        <w:tc>
          <w:tcPr>
            <w:tcW w:w="6690" w:type="dxa"/>
          </w:tcPr>
          <w:p w14:paraId="35C13C0C" w14:textId="77777777" w:rsidR="00994478" w:rsidRPr="00FD119B" w:rsidRDefault="00994478" w:rsidP="00D0384C">
            <w:pPr>
              <w:ind w:left="144" w:right="0"/>
            </w:pPr>
            <w:r>
              <w:t>Platinum-free interval</w:t>
            </w:r>
          </w:p>
        </w:tc>
      </w:tr>
      <w:tr w:rsidR="00994478" w:rsidRPr="00FD119B" w14:paraId="174B536E" w14:textId="77777777" w:rsidTr="00EE2E1E">
        <w:tc>
          <w:tcPr>
            <w:tcW w:w="1804" w:type="dxa"/>
          </w:tcPr>
          <w:p w14:paraId="3C8DB188" w14:textId="77777777" w:rsidR="00994478" w:rsidRPr="00FD119B" w:rsidRDefault="00994478" w:rsidP="00D0384C">
            <w:pPr>
              <w:ind w:left="144" w:right="0"/>
            </w:pPr>
            <w:r>
              <w:t>PFS</w:t>
            </w:r>
          </w:p>
        </w:tc>
        <w:tc>
          <w:tcPr>
            <w:tcW w:w="6690" w:type="dxa"/>
          </w:tcPr>
          <w:p w14:paraId="22E07092" w14:textId="7DBA5D95" w:rsidR="00994478" w:rsidRPr="00FD119B" w:rsidRDefault="00994478" w:rsidP="00D0384C">
            <w:pPr>
              <w:ind w:left="144" w:right="0"/>
            </w:pPr>
            <w:r>
              <w:t>Progression</w:t>
            </w:r>
            <w:r w:rsidR="00694337">
              <w:t>-</w:t>
            </w:r>
            <w:r>
              <w:t>free survival</w:t>
            </w:r>
          </w:p>
        </w:tc>
      </w:tr>
      <w:tr w:rsidR="00994478" w:rsidRPr="00FD119B" w14:paraId="514B0A87" w14:textId="77777777" w:rsidTr="00EE2E1E">
        <w:tc>
          <w:tcPr>
            <w:tcW w:w="1804" w:type="dxa"/>
          </w:tcPr>
          <w:p w14:paraId="3FCC53E4" w14:textId="77777777" w:rsidR="00994478" w:rsidRPr="00FD119B" w:rsidRDefault="00994478" w:rsidP="00D0384C">
            <w:pPr>
              <w:ind w:left="144" w:right="0"/>
            </w:pPr>
            <w:r>
              <w:t>PFS1</w:t>
            </w:r>
          </w:p>
        </w:tc>
        <w:tc>
          <w:tcPr>
            <w:tcW w:w="6690" w:type="dxa"/>
          </w:tcPr>
          <w:p w14:paraId="1CBB1CC2" w14:textId="0138BB63" w:rsidR="00994478" w:rsidRPr="00FD119B" w:rsidRDefault="00994478" w:rsidP="00D0384C">
            <w:pPr>
              <w:ind w:left="144" w:right="0"/>
            </w:pPr>
            <w:r>
              <w:t>Progression</w:t>
            </w:r>
            <w:r w:rsidR="00694337">
              <w:t>-</w:t>
            </w:r>
            <w:r>
              <w:t>free survival to first progression or death</w:t>
            </w:r>
          </w:p>
        </w:tc>
      </w:tr>
      <w:tr w:rsidR="00994478" w:rsidRPr="00FD119B" w14:paraId="0F8D57E0" w14:textId="77777777" w:rsidTr="00EE2E1E">
        <w:tc>
          <w:tcPr>
            <w:tcW w:w="1804" w:type="dxa"/>
          </w:tcPr>
          <w:p w14:paraId="46DFC4E5" w14:textId="77777777" w:rsidR="00994478" w:rsidRPr="00FD119B" w:rsidRDefault="00994478" w:rsidP="00D0384C">
            <w:pPr>
              <w:ind w:left="144" w:right="0"/>
            </w:pPr>
            <w:r>
              <w:t>PFS2</w:t>
            </w:r>
          </w:p>
        </w:tc>
        <w:tc>
          <w:tcPr>
            <w:tcW w:w="6690" w:type="dxa"/>
          </w:tcPr>
          <w:p w14:paraId="11915598" w14:textId="77777777" w:rsidR="00994478" w:rsidRPr="00FD119B" w:rsidRDefault="00994478" w:rsidP="00D0384C">
            <w:pPr>
              <w:ind w:left="144" w:right="0"/>
            </w:pPr>
            <w:r>
              <w:t>Time from randomisation to second progression or death</w:t>
            </w:r>
          </w:p>
        </w:tc>
      </w:tr>
      <w:tr w:rsidR="00994478" w:rsidRPr="00FD119B" w14:paraId="57151BBC" w14:textId="77777777" w:rsidTr="00EE2E1E">
        <w:tc>
          <w:tcPr>
            <w:tcW w:w="1804" w:type="dxa"/>
          </w:tcPr>
          <w:p w14:paraId="3C70F3EF" w14:textId="77777777" w:rsidR="00994478" w:rsidRPr="00FD119B" w:rsidRDefault="00994478" w:rsidP="00D0384C">
            <w:pPr>
              <w:ind w:left="144" w:right="0"/>
            </w:pPr>
            <w:r>
              <w:t>PK</w:t>
            </w:r>
          </w:p>
        </w:tc>
        <w:tc>
          <w:tcPr>
            <w:tcW w:w="6690" w:type="dxa"/>
          </w:tcPr>
          <w:p w14:paraId="544ADD35" w14:textId="11BE38DC" w:rsidR="00994478" w:rsidRPr="00FD119B" w:rsidRDefault="00994478" w:rsidP="00D0384C">
            <w:pPr>
              <w:ind w:left="144" w:right="0"/>
            </w:pPr>
            <w:r>
              <w:t>Pharmacokinetic(s)</w:t>
            </w:r>
          </w:p>
        </w:tc>
      </w:tr>
      <w:tr w:rsidR="00994478" w:rsidRPr="00FD119B" w14:paraId="017954C1" w14:textId="77777777" w:rsidTr="00EE2E1E">
        <w:tc>
          <w:tcPr>
            <w:tcW w:w="1804" w:type="dxa"/>
          </w:tcPr>
          <w:p w14:paraId="5FD5E133" w14:textId="77777777" w:rsidR="00994478" w:rsidRPr="00FD119B" w:rsidRDefault="00994478" w:rsidP="00D0384C">
            <w:pPr>
              <w:ind w:left="144" w:right="0"/>
            </w:pPr>
            <w:r>
              <w:t>PR</w:t>
            </w:r>
          </w:p>
        </w:tc>
        <w:tc>
          <w:tcPr>
            <w:tcW w:w="6690" w:type="dxa"/>
          </w:tcPr>
          <w:p w14:paraId="2B2D3C91" w14:textId="77777777" w:rsidR="00994478" w:rsidRPr="00FD119B" w:rsidRDefault="00994478" w:rsidP="00D0384C">
            <w:pPr>
              <w:ind w:left="144" w:right="0"/>
            </w:pPr>
            <w:r>
              <w:t>Partial response</w:t>
            </w:r>
          </w:p>
        </w:tc>
      </w:tr>
      <w:tr w:rsidR="00994478" w:rsidRPr="00FD119B" w14:paraId="67F219D8" w14:textId="77777777" w:rsidTr="00EE2E1E">
        <w:tc>
          <w:tcPr>
            <w:tcW w:w="1804" w:type="dxa"/>
          </w:tcPr>
          <w:p w14:paraId="26B52DEE" w14:textId="77777777" w:rsidR="00994478" w:rsidRDefault="00994478" w:rsidP="00D0384C">
            <w:pPr>
              <w:ind w:left="144"/>
            </w:pPr>
            <w:r>
              <w:t>PSUR</w:t>
            </w:r>
          </w:p>
        </w:tc>
        <w:tc>
          <w:tcPr>
            <w:tcW w:w="6690" w:type="dxa"/>
          </w:tcPr>
          <w:p w14:paraId="0FAFD7AF" w14:textId="77777777" w:rsidR="00994478" w:rsidRDefault="00994478" w:rsidP="00D0384C">
            <w:pPr>
              <w:ind w:left="144"/>
            </w:pPr>
            <w:r>
              <w:t>Periodic safety update report</w:t>
            </w:r>
          </w:p>
        </w:tc>
      </w:tr>
      <w:tr w:rsidR="00994478" w:rsidRPr="00FD119B" w14:paraId="02338414" w14:textId="77777777" w:rsidTr="00EE2E1E">
        <w:tc>
          <w:tcPr>
            <w:tcW w:w="1804" w:type="dxa"/>
          </w:tcPr>
          <w:p w14:paraId="4DD65DAE" w14:textId="77777777" w:rsidR="00994478" w:rsidRPr="00FD119B" w:rsidRDefault="00994478" w:rsidP="00D0384C">
            <w:pPr>
              <w:ind w:left="144" w:right="0"/>
            </w:pPr>
            <w:r>
              <w:t>RECIST</w:t>
            </w:r>
          </w:p>
        </w:tc>
        <w:tc>
          <w:tcPr>
            <w:tcW w:w="6690" w:type="dxa"/>
          </w:tcPr>
          <w:p w14:paraId="33D4B514" w14:textId="77777777" w:rsidR="00994478" w:rsidRPr="00FD119B" w:rsidRDefault="00994478" w:rsidP="00D0384C">
            <w:pPr>
              <w:ind w:left="144" w:right="0"/>
            </w:pPr>
            <w:r>
              <w:t>Response Evaluation Criteria in Solid Tumours</w:t>
            </w:r>
          </w:p>
        </w:tc>
      </w:tr>
      <w:tr w:rsidR="00994478" w:rsidRPr="00FD119B" w14:paraId="30315185" w14:textId="77777777" w:rsidTr="00EE2E1E">
        <w:tc>
          <w:tcPr>
            <w:tcW w:w="1804" w:type="dxa"/>
          </w:tcPr>
          <w:p w14:paraId="0D5EB581" w14:textId="77777777" w:rsidR="00994478" w:rsidRPr="00FD119B" w:rsidRDefault="00994478" w:rsidP="00D0384C">
            <w:pPr>
              <w:ind w:left="144"/>
            </w:pPr>
            <w:proofErr w:type="spellStart"/>
            <w:r>
              <w:t>sBRCAm</w:t>
            </w:r>
            <w:proofErr w:type="spellEnd"/>
          </w:p>
        </w:tc>
        <w:tc>
          <w:tcPr>
            <w:tcW w:w="6690" w:type="dxa"/>
          </w:tcPr>
          <w:p w14:paraId="0565DF39" w14:textId="77777777" w:rsidR="00994478" w:rsidRPr="00FD119B" w:rsidRDefault="00994478" w:rsidP="00D0384C">
            <w:pPr>
              <w:ind w:left="144"/>
            </w:pPr>
            <w:r>
              <w:t>Somatic breast cancer susceptibility protein mutation</w:t>
            </w:r>
          </w:p>
        </w:tc>
      </w:tr>
      <w:tr w:rsidR="00994478" w:rsidRPr="00FD119B" w14:paraId="7EC985CB" w14:textId="77777777" w:rsidTr="00EE2E1E">
        <w:tc>
          <w:tcPr>
            <w:tcW w:w="1804" w:type="dxa"/>
          </w:tcPr>
          <w:p w14:paraId="6F111D8D" w14:textId="77777777" w:rsidR="00994478" w:rsidRPr="00FD119B" w:rsidRDefault="00994478" w:rsidP="00D0384C">
            <w:pPr>
              <w:ind w:left="144"/>
            </w:pPr>
            <w:proofErr w:type="spellStart"/>
            <w:r>
              <w:t>tBRCA</w:t>
            </w:r>
            <w:proofErr w:type="spellEnd"/>
          </w:p>
        </w:tc>
        <w:tc>
          <w:tcPr>
            <w:tcW w:w="6690" w:type="dxa"/>
          </w:tcPr>
          <w:p w14:paraId="7EA799F0" w14:textId="77777777" w:rsidR="00994478" w:rsidRPr="00FD119B" w:rsidRDefault="00994478" w:rsidP="00D0384C">
            <w:pPr>
              <w:ind w:left="144"/>
            </w:pPr>
            <w:r>
              <w:t>Tumour breast cancer susceptibility protein</w:t>
            </w:r>
          </w:p>
        </w:tc>
      </w:tr>
      <w:tr w:rsidR="00994478" w:rsidRPr="00FD119B" w14:paraId="7844D178" w14:textId="77777777" w:rsidTr="00EE2E1E">
        <w:tc>
          <w:tcPr>
            <w:tcW w:w="1804" w:type="dxa"/>
          </w:tcPr>
          <w:p w14:paraId="141EB575" w14:textId="77777777" w:rsidR="00994478" w:rsidRPr="00FD119B" w:rsidRDefault="00994478" w:rsidP="00D0384C">
            <w:pPr>
              <w:ind w:left="144"/>
            </w:pPr>
            <w:proofErr w:type="spellStart"/>
            <w:r>
              <w:t>tBRCAwt</w:t>
            </w:r>
            <w:proofErr w:type="spellEnd"/>
          </w:p>
        </w:tc>
        <w:tc>
          <w:tcPr>
            <w:tcW w:w="6690" w:type="dxa"/>
          </w:tcPr>
          <w:p w14:paraId="792414F4" w14:textId="77777777" w:rsidR="00994478" w:rsidRPr="00FD119B" w:rsidRDefault="00994478" w:rsidP="00D0384C">
            <w:pPr>
              <w:ind w:left="144"/>
            </w:pPr>
            <w:r>
              <w:t>Tumour breast cancer susceptibility protein wild type</w:t>
            </w:r>
          </w:p>
        </w:tc>
      </w:tr>
      <w:tr w:rsidR="00994478" w:rsidRPr="00FD119B" w14:paraId="4BFBBE59" w14:textId="77777777" w:rsidTr="00EE2E1E">
        <w:tc>
          <w:tcPr>
            <w:tcW w:w="1804" w:type="dxa"/>
          </w:tcPr>
          <w:p w14:paraId="0324DA1D" w14:textId="77777777" w:rsidR="00994478" w:rsidRPr="00FD119B" w:rsidRDefault="00994478" w:rsidP="00D0384C">
            <w:pPr>
              <w:ind w:left="144"/>
            </w:pPr>
            <w:r>
              <w:t>TDT</w:t>
            </w:r>
          </w:p>
        </w:tc>
        <w:tc>
          <w:tcPr>
            <w:tcW w:w="6690" w:type="dxa"/>
          </w:tcPr>
          <w:p w14:paraId="37D04534" w14:textId="77777777" w:rsidR="00994478" w:rsidRPr="00FD119B" w:rsidRDefault="00994478" w:rsidP="00D0384C">
            <w:pPr>
              <w:ind w:left="144"/>
            </w:pPr>
            <w:r>
              <w:t>Time from randomisation to discontinuation of treatment or death</w:t>
            </w:r>
          </w:p>
        </w:tc>
      </w:tr>
      <w:tr w:rsidR="00994478" w:rsidRPr="00FD119B" w14:paraId="3EEBE401" w14:textId="77777777" w:rsidTr="00EE2E1E">
        <w:tc>
          <w:tcPr>
            <w:tcW w:w="1804" w:type="dxa"/>
          </w:tcPr>
          <w:p w14:paraId="13C240BD" w14:textId="77777777" w:rsidR="00994478" w:rsidRPr="00FD119B" w:rsidRDefault="00994478" w:rsidP="00D0384C">
            <w:pPr>
              <w:ind w:left="144" w:right="0"/>
            </w:pPr>
            <w:r>
              <w:t>TFST</w:t>
            </w:r>
          </w:p>
        </w:tc>
        <w:tc>
          <w:tcPr>
            <w:tcW w:w="6690" w:type="dxa"/>
          </w:tcPr>
          <w:p w14:paraId="1E3A556C" w14:textId="77777777" w:rsidR="00994478" w:rsidRPr="00FD119B" w:rsidRDefault="00994478" w:rsidP="00D0384C">
            <w:pPr>
              <w:ind w:left="144" w:right="0"/>
            </w:pPr>
            <w:r>
              <w:t>Time from randomisation to first subsequent therapy or death</w:t>
            </w:r>
          </w:p>
        </w:tc>
      </w:tr>
      <w:tr w:rsidR="00994478" w:rsidRPr="00FD119B" w14:paraId="262B458D" w14:textId="77777777" w:rsidTr="00EE2E1E">
        <w:tc>
          <w:tcPr>
            <w:tcW w:w="1804" w:type="dxa"/>
          </w:tcPr>
          <w:p w14:paraId="7A96D70C" w14:textId="77777777" w:rsidR="00994478" w:rsidRPr="00FD119B" w:rsidRDefault="00994478" w:rsidP="00D0384C">
            <w:pPr>
              <w:ind w:left="144"/>
            </w:pPr>
            <w:r>
              <w:t>TSST</w:t>
            </w:r>
          </w:p>
        </w:tc>
        <w:tc>
          <w:tcPr>
            <w:tcW w:w="6690" w:type="dxa"/>
          </w:tcPr>
          <w:p w14:paraId="07C4DBA7" w14:textId="77777777" w:rsidR="00994478" w:rsidRPr="00FD119B" w:rsidRDefault="00994478" w:rsidP="00D0384C">
            <w:pPr>
              <w:ind w:left="144"/>
            </w:pPr>
            <w:r>
              <w:t>Time from randomisation to second subsequent therapy or death</w:t>
            </w:r>
          </w:p>
        </w:tc>
      </w:tr>
      <w:tr w:rsidR="00994478" w:rsidRPr="00FD119B" w14:paraId="4D5A8797" w14:textId="77777777" w:rsidTr="00EE2E1E">
        <w:tc>
          <w:tcPr>
            <w:tcW w:w="1804" w:type="dxa"/>
          </w:tcPr>
          <w:p w14:paraId="6517E852" w14:textId="77777777" w:rsidR="00994478" w:rsidRPr="00FD119B" w:rsidRDefault="00994478" w:rsidP="00D0384C">
            <w:pPr>
              <w:ind w:left="144"/>
            </w:pPr>
            <w:r>
              <w:t>ULN</w:t>
            </w:r>
          </w:p>
        </w:tc>
        <w:tc>
          <w:tcPr>
            <w:tcW w:w="6690" w:type="dxa"/>
          </w:tcPr>
          <w:p w14:paraId="6138712C" w14:textId="77777777" w:rsidR="00994478" w:rsidRPr="00FD119B" w:rsidRDefault="00994478" w:rsidP="00D0384C">
            <w:pPr>
              <w:ind w:left="144"/>
            </w:pPr>
            <w:r>
              <w:t>Upper limit of normal</w:t>
            </w:r>
          </w:p>
        </w:tc>
      </w:tr>
      <w:tr w:rsidR="00994478" w:rsidRPr="00FD119B" w14:paraId="79D03571" w14:textId="77777777" w:rsidTr="00EE2E1E">
        <w:tc>
          <w:tcPr>
            <w:tcW w:w="1804" w:type="dxa"/>
          </w:tcPr>
          <w:p w14:paraId="25108732" w14:textId="6FFC16FD" w:rsidR="00994478" w:rsidRPr="00FD119B" w:rsidRDefault="00994478" w:rsidP="00D0384C">
            <w:pPr>
              <w:ind w:left="144" w:right="0"/>
            </w:pPr>
            <w:r>
              <w:t>US</w:t>
            </w:r>
            <w:r w:rsidR="00694337">
              <w:t>(A)</w:t>
            </w:r>
          </w:p>
        </w:tc>
        <w:tc>
          <w:tcPr>
            <w:tcW w:w="6690" w:type="dxa"/>
          </w:tcPr>
          <w:p w14:paraId="061F4CC1" w14:textId="7A7A9A79" w:rsidR="00994478" w:rsidRPr="00FD119B" w:rsidRDefault="00994478" w:rsidP="00D0384C">
            <w:pPr>
              <w:ind w:left="144" w:right="0"/>
            </w:pPr>
            <w:r>
              <w:t>United States</w:t>
            </w:r>
            <w:r w:rsidR="00694337">
              <w:t xml:space="preserve"> (of America)</w:t>
            </w:r>
          </w:p>
        </w:tc>
      </w:tr>
      <w:tr w:rsidR="00994478" w:rsidRPr="00FD119B" w14:paraId="08CFACED" w14:textId="77777777" w:rsidTr="00EE2E1E">
        <w:tc>
          <w:tcPr>
            <w:tcW w:w="1804" w:type="dxa"/>
          </w:tcPr>
          <w:p w14:paraId="439F2C22" w14:textId="77777777" w:rsidR="00994478" w:rsidRPr="00FD119B" w:rsidRDefault="00994478" w:rsidP="00D0384C">
            <w:pPr>
              <w:ind w:left="144"/>
            </w:pPr>
            <w:r>
              <w:t>VUS</w:t>
            </w:r>
          </w:p>
        </w:tc>
        <w:tc>
          <w:tcPr>
            <w:tcW w:w="6690" w:type="dxa"/>
          </w:tcPr>
          <w:p w14:paraId="4C6CE666" w14:textId="77777777" w:rsidR="00994478" w:rsidRPr="00FD119B" w:rsidRDefault="00994478" w:rsidP="00D0384C">
            <w:pPr>
              <w:ind w:left="144"/>
            </w:pPr>
            <w:r>
              <w:t>Variant of uncertain significance</w:t>
            </w:r>
          </w:p>
        </w:tc>
      </w:tr>
    </w:tbl>
    <w:p w14:paraId="2804FE7A" w14:textId="77777777" w:rsidR="00FD119B" w:rsidRDefault="00FD119B" w:rsidP="00FD119B"/>
    <w:p w14:paraId="62A34B9C"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D988FD7" w14:textId="77777777" w:rsidR="008E7846" w:rsidRDefault="00F53C07" w:rsidP="008E7846">
      <w:pPr>
        <w:pStyle w:val="Heading2"/>
      </w:pPr>
      <w:bookmarkStart w:id="9" w:name="_Toc71183708"/>
      <w:r>
        <w:t>I.</w:t>
      </w:r>
      <w:r w:rsidR="008E7846">
        <w:t xml:space="preserve"> Introduction to product submission</w:t>
      </w:r>
      <w:bookmarkEnd w:id="0"/>
      <w:bookmarkEnd w:id="3"/>
      <w:bookmarkEnd w:id="9"/>
    </w:p>
    <w:p w14:paraId="50D301B9" w14:textId="77777777" w:rsidR="008E7846" w:rsidRDefault="008E7846" w:rsidP="008E7846">
      <w:pPr>
        <w:pStyle w:val="Heading3"/>
        <w:rPr>
          <w:lang w:eastAsia="en-AU"/>
        </w:rPr>
      </w:pPr>
      <w:bookmarkStart w:id="10" w:name="_Toc247691502"/>
      <w:bookmarkStart w:id="11" w:name="_Toc314842483"/>
      <w:bookmarkStart w:id="12" w:name="_Toc7118370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23CDEB9C" w14:textId="77777777" w:rsidTr="003735BC">
        <w:tc>
          <w:tcPr>
            <w:tcW w:w="2907" w:type="dxa"/>
          </w:tcPr>
          <w:p w14:paraId="49F5EF26"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AE44F94" w14:textId="77777777" w:rsidR="008E7846" w:rsidRPr="003D1E62" w:rsidRDefault="00482091" w:rsidP="001B5C90">
            <w:r>
              <w:t>Extension of indications</w:t>
            </w:r>
          </w:p>
        </w:tc>
      </w:tr>
      <w:tr w:rsidR="00460036" w:rsidRPr="003D1E62" w14:paraId="2FF74721" w14:textId="77777777" w:rsidTr="003735BC">
        <w:tc>
          <w:tcPr>
            <w:tcW w:w="2907" w:type="dxa"/>
          </w:tcPr>
          <w:p w14:paraId="2DD4897A" w14:textId="77777777" w:rsidR="00460036" w:rsidRPr="003D1E62" w:rsidRDefault="00460036" w:rsidP="003D1E62">
            <w:pPr>
              <w:rPr>
                <w:i/>
              </w:rPr>
            </w:pPr>
            <w:r w:rsidRPr="00460036">
              <w:rPr>
                <w:i/>
              </w:rPr>
              <w:t>Prod</w:t>
            </w:r>
            <w:r w:rsidR="00482091">
              <w:rPr>
                <w:i/>
              </w:rPr>
              <w:t>uct name</w:t>
            </w:r>
            <w:r w:rsidRPr="00460036">
              <w:rPr>
                <w:i/>
              </w:rPr>
              <w:t>:</w:t>
            </w:r>
          </w:p>
        </w:tc>
        <w:tc>
          <w:tcPr>
            <w:tcW w:w="6307" w:type="dxa"/>
          </w:tcPr>
          <w:p w14:paraId="4DAAE3F0" w14:textId="77777777" w:rsidR="00460036" w:rsidRPr="003D1E62" w:rsidRDefault="00482091" w:rsidP="00482091">
            <w:r>
              <w:t>Lynparza</w:t>
            </w:r>
          </w:p>
        </w:tc>
      </w:tr>
      <w:tr w:rsidR="00460036" w:rsidRPr="003D1E62" w14:paraId="0078594F" w14:textId="77777777" w:rsidTr="003735BC">
        <w:tc>
          <w:tcPr>
            <w:tcW w:w="2907" w:type="dxa"/>
          </w:tcPr>
          <w:p w14:paraId="3C7087C4" w14:textId="77777777" w:rsidR="00460036" w:rsidRPr="003D1E62" w:rsidRDefault="00482091" w:rsidP="003D1E62">
            <w:pPr>
              <w:rPr>
                <w:i/>
              </w:rPr>
            </w:pPr>
            <w:r>
              <w:rPr>
                <w:i/>
              </w:rPr>
              <w:t>Active ingredient</w:t>
            </w:r>
            <w:r w:rsidR="00460036" w:rsidRPr="00460036">
              <w:rPr>
                <w:i/>
              </w:rPr>
              <w:t>:</w:t>
            </w:r>
          </w:p>
        </w:tc>
        <w:tc>
          <w:tcPr>
            <w:tcW w:w="6307" w:type="dxa"/>
          </w:tcPr>
          <w:p w14:paraId="44154EAF" w14:textId="77777777" w:rsidR="00460036" w:rsidRPr="003D1E62" w:rsidRDefault="00482091" w:rsidP="00482091">
            <w:r>
              <w:t>Olaparib</w:t>
            </w:r>
          </w:p>
        </w:tc>
      </w:tr>
      <w:tr w:rsidR="008E7846" w:rsidRPr="003D1E62" w14:paraId="0028CA95" w14:textId="77777777" w:rsidTr="003735BC">
        <w:tc>
          <w:tcPr>
            <w:tcW w:w="2907" w:type="dxa"/>
          </w:tcPr>
          <w:p w14:paraId="2406D4FD" w14:textId="77777777" w:rsidR="008E7846" w:rsidRPr="003D1E62" w:rsidRDefault="008E7846" w:rsidP="003D1E62">
            <w:r w:rsidRPr="003D1E62">
              <w:rPr>
                <w:i/>
              </w:rPr>
              <w:t>Decision</w:t>
            </w:r>
            <w:r w:rsidRPr="003D1E62">
              <w:t>:</w:t>
            </w:r>
          </w:p>
        </w:tc>
        <w:tc>
          <w:tcPr>
            <w:tcW w:w="6307" w:type="dxa"/>
          </w:tcPr>
          <w:p w14:paraId="3525A49C" w14:textId="77777777" w:rsidR="008E7846" w:rsidRPr="003D1E62" w:rsidRDefault="00482091" w:rsidP="00482091">
            <w:r>
              <w:t>Approved</w:t>
            </w:r>
          </w:p>
        </w:tc>
      </w:tr>
      <w:tr w:rsidR="008E7846" w:rsidRPr="003D1E62" w14:paraId="252237DD" w14:textId="77777777" w:rsidTr="003735BC">
        <w:tc>
          <w:tcPr>
            <w:tcW w:w="2907" w:type="dxa"/>
          </w:tcPr>
          <w:p w14:paraId="37F0600D"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BA1B179" w14:textId="77777777" w:rsidR="008E7846" w:rsidRPr="003D1E62" w:rsidRDefault="006631E7" w:rsidP="001B5C90">
            <w:r>
              <w:t>4 March 2021</w:t>
            </w:r>
          </w:p>
        </w:tc>
      </w:tr>
      <w:tr w:rsidR="00ED2922" w:rsidRPr="003D1E62" w14:paraId="7F7D39C1" w14:textId="77777777" w:rsidTr="003735BC">
        <w:tc>
          <w:tcPr>
            <w:tcW w:w="2907" w:type="dxa"/>
          </w:tcPr>
          <w:p w14:paraId="2CC5E903" w14:textId="77777777" w:rsidR="00ED2922" w:rsidRPr="00441C3F" w:rsidRDefault="00ED2922" w:rsidP="001B5C90">
            <w:pPr>
              <w:rPr>
                <w:i/>
              </w:rPr>
            </w:pPr>
            <w:r w:rsidRPr="00441C3F">
              <w:rPr>
                <w:i/>
              </w:rPr>
              <w:t>Date of entry onto ARTG</w:t>
            </w:r>
            <w:r w:rsidR="00500337">
              <w:rPr>
                <w:i/>
              </w:rPr>
              <w:t>:</w:t>
            </w:r>
          </w:p>
        </w:tc>
        <w:tc>
          <w:tcPr>
            <w:tcW w:w="6307" w:type="dxa"/>
          </w:tcPr>
          <w:p w14:paraId="3F88D5C2" w14:textId="2167CF17" w:rsidR="00ED2922" w:rsidRPr="00441C3F" w:rsidRDefault="00994478" w:rsidP="006631E7">
            <w:pPr>
              <w:rPr>
                <w:i/>
              </w:rPr>
            </w:pPr>
            <w:r>
              <w:t>10 March 2021</w:t>
            </w:r>
          </w:p>
        </w:tc>
      </w:tr>
      <w:tr w:rsidR="00500337" w:rsidRPr="003D1E62" w14:paraId="60FF2122" w14:textId="77777777" w:rsidTr="003735BC">
        <w:tc>
          <w:tcPr>
            <w:tcW w:w="2907" w:type="dxa"/>
          </w:tcPr>
          <w:p w14:paraId="021DAFDB" w14:textId="77777777" w:rsidR="00500337" w:rsidRPr="00441C3F" w:rsidRDefault="006631E7" w:rsidP="001B5C90">
            <w:pPr>
              <w:rPr>
                <w:i/>
              </w:rPr>
            </w:pPr>
            <w:r>
              <w:rPr>
                <w:i/>
              </w:rPr>
              <w:t>ARTG number</w:t>
            </w:r>
            <w:r w:rsidR="00500337">
              <w:rPr>
                <w:i/>
              </w:rPr>
              <w:t>:</w:t>
            </w:r>
          </w:p>
        </w:tc>
        <w:tc>
          <w:tcPr>
            <w:tcW w:w="6307" w:type="dxa"/>
          </w:tcPr>
          <w:p w14:paraId="47F01915" w14:textId="77777777" w:rsidR="00500337" w:rsidRPr="00441C3F" w:rsidRDefault="00482091" w:rsidP="00EC463D">
            <w:r w:rsidRPr="00482091">
              <w:t>288613</w:t>
            </w:r>
            <w:r>
              <w:t>, 288614</w:t>
            </w:r>
          </w:p>
        </w:tc>
      </w:tr>
      <w:tr w:rsidR="003735BC" w:rsidRPr="003D1E62" w14:paraId="6DE050A4" w14:textId="77777777" w:rsidTr="003735BC">
        <w:tc>
          <w:tcPr>
            <w:tcW w:w="2907" w:type="dxa"/>
          </w:tcPr>
          <w:p w14:paraId="36A6F26A"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3DAE96E9" w14:textId="77777777" w:rsidR="003735BC" w:rsidRPr="00487162" w:rsidRDefault="006631E7" w:rsidP="003735BC">
            <w:r>
              <w:t>No</w:t>
            </w:r>
          </w:p>
        </w:tc>
      </w:tr>
      <w:tr w:rsidR="008E7846" w:rsidRPr="00487162" w14:paraId="5C1CFAEA" w14:textId="77777777" w:rsidTr="00BF1190">
        <w:tc>
          <w:tcPr>
            <w:tcW w:w="2907" w:type="dxa"/>
          </w:tcPr>
          <w:p w14:paraId="1C7E79A5"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B0D7E37" w14:textId="77777777" w:rsidR="006631E7" w:rsidRDefault="006631E7" w:rsidP="006631E7">
            <w:r>
              <w:t>AstraZeneca Pty Ltd</w:t>
            </w:r>
          </w:p>
          <w:p w14:paraId="0FAFE491" w14:textId="77777777" w:rsidR="006631E7" w:rsidRDefault="006631E7" w:rsidP="006631E7">
            <w:r>
              <w:t>66 Talavera Road</w:t>
            </w:r>
          </w:p>
          <w:p w14:paraId="69E04752" w14:textId="77777777" w:rsidR="008E7846" w:rsidRPr="00487162" w:rsidRDefault="006631E7" w:rsidP="006631E7">
            <w:r>
              <w:t>Macquarie Park NSW 2113</w:t>
            </w:r>
          </w:p>
        </w:tc>
      </w:tr>
      <w:tr w:rsidR="008E7846" w:rsidRPr="00487162" w14:paraId="14C20E00" w14:textId="77777777" w:rsidTr="00BF1190">
        <w:tc>
          <w:tcPr>
            <w:tcW w:w="2907" w:type="dxa"/>
          </w:tcPr>
          <w:p w14:paraId="5ED2D2F3" w14:textId="77777777" w:rsidR="008E7846" w:rsidRPr="00487162" w:rsidRDefault="006631E7" w:rsidP="00E45619">
            <w:pPr>
              <w:rPr>
                <w:i/>
              </w:rPr>
            </w:pPr>
            <w:r>
              <w:rPr>
                <w:i/>
              </w:rPr>
              <w:t>Dose form</w:t>
            </w:r>
            <w:r w:rsidR="001B5C90">
              <w:rPr>
                <w:i/>
              </w:rPr>
              <w:t>:</w:t>
            </w:r>
          </w:p>
        </w:tc>
        <w:tc>
          <w:tcPr>
            <w:tcW w:w="6307" w:type="dxa"/>
          </w:tcPr>
          <w:p w14:paraId="58F39C5A" w14:textId="77777777" w:rsidR="008E7846" w:rsidRPr="00487162" w:rsidRDefault="004C74B9" w:rsidP="00E45619">
            <w:r>
              <w:t>Film coated t</w:t>
            </w:r>
            <w:r w:rsidR="006631E7">
              <w:t>ablet</w:t>
            </w:r>
          </w:p>
        </w:tc>
      </w:tr>
      <w:tr w:rsidR="008E7846" w:rsidRPr="00487162" w14:paraId="4B793F73" w14:textId="77777777" w:rsidTr="00BF1190">
        <w:tc>
          <w:tcPr>
            <w:tcW w:w="2907" w:type="dxa"/>
          </w:tcPr>
          <w:p w14:paraId="739FDFA7" w14:textId="77777777" w:rsidR="008E7846" w:rsidRPr="00487162" w:rsidRDefault="004C74B9" w:rsidP="00E45619">
            <w:pPr>
              <w:rPr>
                <w:i/>
              </w:rPr>
            </w:pPr>
            <w:r>
              <w:rPr>
                <w:i/>
              </w:rPr>
              <w:t>Strengths</w:t>
            </w:r>
            <w:r w:rsidR="00324E45">
              <w:rPr>
                <w:i/>
              </w:rPr>
              <w:t>:</w:t>
            </w:r>
          </w:p>
        </w:tc>
        <w:tc>
          <w:tcPr>
            <w:tcW w:w="6307" w:type="dxa"/>
          </w:tcPr>
          <w:p w14:paraId="5753F8B6" w14:textId="77777777" w:rsidR="008E7846" w:rsidRPr="00487162" w:rsidRDefault="006631E7" w:rsidP="00E45619">
            <w:r>
              <w:t>100 mg, 150 mg</w:t>
            </w:r>
          </w:p>
        </w:tc>
      </w:tr>
      <w:tr w:rsidR="008E7846" w:rsidRPr="00487162" w14:paraId="68010FA9" w14:textId="77777777" w:rsidTr="00BF1190">
        <w:tc>
          <w:tcPr>
            <w:tcW w:w="2907" w:type="dxa"/>
          </w:tcPr>
          <w:p w14:paraId="0583F6BF" w14:textId="77777777" w:rsidR="008E7846" w:rsidRPr="00487162" w:rsidRDefault="008E7846" w:rsidP="00E45619">
            <w:pPr>
              <w:rPr>
                <w:i/>
              </w:rPr>
            </w:pPr>
            <w:r w:rsidRPr="00487162">
              <w:rPr>
                <w:i/>
              </w:rPr>
              <w:t>Contain</w:t>
            </w:r>
            <w:r w:rsidR="004C74B9">
              <w:rPr>
                <w:i/>
              </w:rPr>
              <w:t>er</w:t>
            </w:r>
            <w:r w:rsidRPr="00487162">
              <w:rPr>
                <w:i/>
              </w:rPr>
              <w:t>:</w:t>
            </w:r>
          </w:p>
        </w:tc>
        <w:tc>
          <w:tcPr>
            <w:tcW w:w="6307" w:type="dxa"/>
          </w:tcPr>
          <w:p w14:paraId="329DBA4E" w14:textId="77777777" w:rsidR="008E7846" w:rsidRPr="00487162" w:rsidRDefault="004C74B9" w:rsidP="004C74B9">
            <w:r>
              <w:t>Blister pack</w:t>
            </w:r>
          </w:p>
        </w:tc>
      </w:tr>
      <w:tr w:rsidR="008E7846" w:rsidRPr="00487162" w14:paraId="6A849E9D" w14:textId="77777777" w:rsidTr="00BF1190">
        <w:tc>
          <w:tcPr>
            <w:tcW w:w="2907" w:type="dxa"/>
          </w:tcPr>
          <w:p w14:paraId="0BC2B19F" w14:textId="77777777" w:rsidR="008E7846" w:rsidRPr="00487162" w:rsidRDefault="004C74B9" w:rsidP="00E45619">
            <w:pPr>
              <w:rPr>
                <w:i/>
              </w:rPr>
            </w:pPr>
            <w:r>
              <w:rPr>
                <w:i/>
              </w:rPr>
              <w:t>Pack size</w:t>
            </w:r>
            <w:r w:rsidR="008E7846" w:rsidRPr="00487162">
              <w:rPr>
                <w:i/>
              </w:rPr>
              <w:t>:</w:t>
            </w:r>
          </w:p>
        </w:tc>
        <w:tc>
          <w:tcPr>
            <w:tcW w:w="6307" w:type="dxa"/>
          </w:tcPr>
          <w:p w14:paraId="4724D177" w14:textId="77777777" w:rsidR="008E7846" w:rsidRPr="00487162" w:rsidRDefault="004C74B9" w:rsidP="00E45619">
            <w:r>
              <w:t>56 tablets</w:t>
            </w:r>
          </w:p>
        </w:tc>
      </w:tr>
      <w:tr w:rsidR="008E7846" w:rsidRPr="00487162" w14:paraId="068A692B" w14:textId="77777777" w:rsidTr="00BF1190">
        <w:tc>
          <w:tcPr>
            <w:tcW w:w="2907" w:type="dxa"/>
          </w:tcPr>
          <w:p w14:paraId="7CC5EBCF"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FF4714A" w14:textId="77777777" w:rsidR="004C74B9" w:rsidRPr="004C74B9" w:rsidRDefault="004C74B9" w:rsidP="004C74B9">
            <w:pPr>
              <w:rPr>
                <w:i/>
              </w:rPr>
            </w:pPr>
            <w:r w:rsidRPr="004C74B9">
              <w:rPr>
                <w:i/>
              </w:rPr>
              <w:t>Lynparza in combination with bevacizumab is indicated for the:</w:t>
            </w:r>
          </w:p>
          <w:p w14:paraId="6FAAFEEB" w14:textId="77777777" w:rsidR="004C74B9" w:rsidRPr="004C74B9" w:rsidRDefault="004C74B9" w:rsidP="004C74B9">
            <w:pPr>
              <w:pStyle w:val="ListBullet"/>
              <w:rPr>
                <w:i/>
              </w:rPr>
            </w:pPr>
            <w:r w:rsidRPr="004C74B9">
              <w:rPr>
                <w:i/>
              </w:rPr>
              <w:t>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w:t>
            </w:r>
          </w:p>
          <w:p w14:paraId="0E0271D0" w14:textId="77777777" w:rsidR="004C74B9" w:rsidRPr="004C74B9" w:rsidRDefault="004C74B9" w:rsidP="004C74B9">
            <w:pPr>
              <w:pStyle w:val="ListBullet2"/>
              <w:rPr>
                <w:i/>
              </w:rPr>
            </w:pPr>
            <w:r w:rsidRPr="004C74B9">
              <w:rPr>
                <w:i/>
              </w:rPr>
              <w:t>a deleterious or suspected deleterious BRCA mutation (germline or somatic), and/or</w:t>
            </w:r>
          </w:p>
          <w:p w14:paraId="0ED4F688" w14:textId="77777777" w:rsidR="004C74B9" w:rsidRPr="004C74B9" w:rsidRDefault="004C74B9" w:rsidP="004C74B9">
            <w:pPr>
              <w:pStyle w:val="ListBullet2"/>
              <w:rPr>
                <w:i/>
              </w:rPr>
            </w:pPr>
            <w:r w:rsidRPr="004C74B9">
              <w:rPr>
                <w:i/>
              </w:rPr>
              <w:t>genomic instability</w:t>
            </w:r>
          </w:p>
          <w:p w14:paraId="1B027B34" w14:textId="77777777" w:rsidR="004C74B9" w:rsidRPr="004C74B9" w:rsidRDefault="004C74B9" w:rsidP="004C74B9">
            <w:pPr>
              <w:pStyle w:val="ListBullet"/>
              <w:numPr>
                <w:ilvl w:val="0"/>
                <w:numId w:val="0"/>
              </w:numPr>
              <w:ind w:left="360"/>
              <w:rPr>
                <w:i/>
              </w:rPr>
            </w:pPr>
            <w:r w:rsidRPr="004C74B9">
              <w:rPr>
                <w:i/>
              </w:rPr>
              <w:t>HRD status should be determined by an experienced laboratory using a validated test method.</w:t>
            </w:r>
          </w:p>
          <w:p w14:paraId="493D2B6B" w14:textId="77777777" w:rsidR="004C74B9" w:rsidRPr="004C74B9" w:rsidRDefault="004C74B9" w:rsidP="004C74B9">
            <w:pPr>
              <w:rPr>
                <w:b/>
                <w:i/>
              </w:rPr>
            </w:pPr>
            <w:r w:rsidRPr="004C74B9">
              <w:rPr>
                <w:b/>
                <w:i/>
              </w:rPr>
              <w:t>Adenocarcinoma of the pancreas</w:t>
            </w:r>
          </w:p>
          <w:p w14:paraId="4AB7842F" w14:textId="77777777" w:rsidR="004C74B9" w:rsidRPr="004C74B9" w:rsidRDefault="004C74B9" w:rsidP="004C74B9">
            <w:pPr>
              <w:rPr>
                <w:i/>
              </w:rPr>
            </w:pPr>
            <w:r w:rsidRPr="004C74B9">
              <w:rPr>
                <w:i/>
              </w:rPr>
              <w:t>Lynparza is indicated as monotherapy for the:</w:t>
            </w:r>
          </w:p>
          <w:p w14:paraId="7D56D085" w14:textId="77777777" w:rsidR="008E7846" w:rsidRPr="004C74B9" w:rsidRDefault="004C74B9" w:rsidP="004C74B9">
            <w:pPr>
              <w:pStyle w:val="ListBullet"/>
              <w:rPr>
                <w:i/>
              </w:rPr>
            </w:pPr>
            <w:r w:rsidRPr="004C74B9">
              <w:rPr>
                <w:i/>
              </w:rPr>
              <w:t xml:space="preserve">maintenance treatment of adult patients with deleterious or suspected deleterious </w:t>
            </w:r>
            <w:proofErr w:type="spellStart"/>
            <w:r w:rsidRPr="004C74B9">
              <w:rPr>
                <w:i/>
              </w:rPr>
              <w:t>gBRCAm</w:t>
            </w:r>
            <w:proofErr w:type="spellEnd"/>
            <w:r w:rsidRPr="004C74B9">
              <w:rPr>
                <w:i/>
              </w:rPr>
              <w:t xml:space="preserve"> metastatic pancreatic adenocarcinoma whose disease has not progressed on at least 16 weeks of a first-line platinum-based chemotherapy regimen. Germline BRCA mutation (</w:t>
            </w:r>
            <w:proofErr w:type="spellStart"/>
            <w:r w:rsidRPr="004C74B9">
              <w:rPr>
                <w:i/>
              </w:rPr>
              <w:t>gBRCAm</w:t>
            </w:r>
            <w:proofErr w:type="spellEnd"/>
            <w:r w:rsidRPr="004C74B9">
              <w:rPr>
                <w:i/>
              </w:rPr>
              <w:t>) status should be determined by an experienced laboratory using a validated test method.</w:t>
            </w:r>
          </w:p>
        </w:tc>
      </w:tr>
      <w:tr w:rsidR="008E7846" w:rsidRPr="00487162" w14:paraId="5DF02630" w14:textId="77777777" w:rsidTr="00BF1190">
        <w:tc>
          <w:tcPr>
            <w:tcW w:w="2907" w:type="dxa"/>
          </w:tcPr>
          <w:p w14:paraId="06F14B00" w14:textId="77777777" w:rsidR="008E7846" w:rsidRPr="00487162" w:rsidRDefault="004C74B9" w:rsidP="00E45619">
            <w:pPr>
              <w:rPr>
                <w:i/>
              </w:rPr>
            </w:pPr>
            <w:r>
              <w:rPr>
                <w:i/>
              </w:rPr>
              <w:t>Route</w:t>
            </w:r>
            <w:r w:rsidR="008E7846" w:rsidRPr="00487162">
              <w:rPr>
                <w:i/>
              </w:rPr>
              <w:t xml:space="preserve"> of administration:</w:t>
            </w:r>
          </w:p>
        </w:tc>
        <w:tc>
          <w:tcPr>
            <w:tcW w:w="6307" w:type="dxa"/>
          </w:tcPr>
          <w:p w14:paraId="71D6F133" w14:textId="77777777" w:rsidR="008E7846" w:rsidRPr="00487162" w:rsidRDefault="004C74B9" w:rsidP="00E45619">
            <w:r>
              <w:t>Oral</w:t>
            </w:r>
          </w:p>
        </w:tc>
      </w:tr>
      <w:tr w:rsidR="008E7846" w:rsidRPr="00487162" w14:paraId="7A75EAE6" w14:textId="77777777" w:rsidTr="00BF1190">
        <w:tc>
          <w:tcPr>
            <w:tcW w:w="2907" w:type="dxa"/>
          </w:tcPr>
          <w:p w14:paraId="60F5F898" w14:textId="77777777" w:rsidR="008E7846" w:rsidRPr="00487162" w:rsidRDefault="008E7846" w:rsidP="00E45619">
            <w:pPr>
              <w:rPr>
                <w:i/>
              </w:rPr>
            </w:pPr>
            <w:r w:rsidRPr="00487162">
              <w:rPr>
                <w:i/>
              </w:rPr>
              <w:t>Dosage:</w:t>
            </w:r>
          </w:p>
        </w:tc>
        <w:tc>
          <w:tcPr>
            <w:tcW w:w="6307" w:type="dxa"/>
          </w:tcPr>
          <w:p w14:paraId="574ED468" w14:textId="77777777" w:rsidR="008E7846" w:rsidRDefault="006631E7" w:rsidP="006631E7">
            <w:r>
              <w:t>Treatment with Lynparza should be initiated and supervised by a physician experienced in the use of anticancer medicinal products.</w:t>
            </w:r>
          </w:p>
          <w:p w14:paraId="063776EC" w14:textId="77777777" w:rsidR="004C74B9" w:rsidRDefault="004C74B9" w:rsidP="004C74B9">
            <w:r>
              <w:t>The recommended dose of Lynparza is 300 mg (two 150 mg tablets) taken twice daily, equivalent to a total daily dose of 600 mg. The 100 mg tablet is available for dose reductions only.</w:t>
            </w:r>
          </w:p>
          <w:p w14:paraId="18D9E6BF" w14:textId="77777777" w:rsidR="00460036" w:rsidRPr="00487162" w:rsidRDefault="00460036" w:rsidP="00E45619">
            <w:r w:rsidRPr="00460036">
              <w:t>For further information regarding dosage, refer to the Product Information.</w:t>
            </w:r>
          </w:p>
        </w:tc>
      </w:tr>
      <w:tr w:rsidR="00460036" w:rsidRPr="00487162" w14:paraId="265C7311" w14:textId="77777777" w:rsidTr="00BF1190">
        <w:tc>
          <w:tcPr>
            <w:tcW w:w="2907" w:type="dxa"/>
          </w:tcPr>
          <w:p w14:paraId="18C17EA1" w14:textId="77777777" w:rsidR="00460036" w:rsidRPr="00487162" w:rsidRDefault="00460036" w:rsidP="00E45619">
            <w:pPr>
              <w:rPr>
                <w:i/>
              </w:rPr>
            </w:pPr>
            <w:r w:rsidRPr="00460036">
              <w:rPr>
                <w:i/>
              </w:rPr>
              <w:t>Pregnancy category</w:t>
            </w:r>
            <w:r>
              <w:rPr>
                <w:i/>
              </w:rPr>
              <w:t>:</w:t>
            </w:r>
          </w:p>
        </w:tc>
        <w:tc>
          <w:tcPr>
            <w:tcW w:w="6307" w:type="dxa"/>
          </w:tcPr>
          <w:p w14:paraId="5223B0BE" w14:textId="77777777" w:rsidR="00460036" w:rsidRDefault="004C74B9" w:rsidP="004C74B9">
            <w:r>
              <w:t>D</w:t>
            </w:r>
          </w:p>
          <w:p w14:paraId="3E404316" w14:textId="77777777" w:rsidR="004C74B9" w:rsidRDefault="004C74B9" w:rsidP="004C74B9">
            <w:r w:rsidRPr="004C74B9">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425A8992"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4C74B9">
              <w:t>ces in your State or Territory.</w:t>
            </w:r>
          </w:p>
        </w:tc>
      </w:tr>
    </w:tbl>
    <w:p w14:paraId="43B72286" w14:textId="77777777" w:rsidR="008E7846" w:rsidRDefault="008E7846" w:rsidP="008E7846">
      <w:pPr>
        <w:pStyle w:val="Heading3"/>
      </w:pPr>
      <w:bookmarkStart w:id="13" w:name="_Toc247691503"/>
      <w:bookmarkStart w:id="14" w:name="_Toc314842484"/>
      <w:bookmarkStart w:id="15" w:name="_Toc71183710"/>
      <w:r>
        <w:t>Product background</w:t>
      </w:r>
      <w:bookmarkEnd w:id="13"/>
      <w:bookmarkEnd w:id="14"/>
      <w:bookmarkEnd w:id="15"/>
    </w:p>
    <w:p w14:paraId="63B4563B" w14:textId="6D3AE57A" w:rsidR="008E7846" w:rsidRDefault="00250271" w:rsidP="00940A89">
      <w:r w:rsidRPr="00250271">
        <w:t>This AusPA</w:t>
      </w:r>
      <w:r w:rsidR="002C1586">
        <w:t>R describes the application by AstraZeneca Pty Ltd</w:t>
      </w:r>
      <w:r w:rsidR="002C1586" w:rsidRPr="00250271">
        <w:t xml:space="preserve"> </w:t>
      </w:r>
      <w:r w:rsidRPr="00250271">
        <w:t xml:space="preserve">(the sponsor) to register </w:t>
      </w:r>
      <w:r w:rsidR="002C1586">
        <w:t>Lynparza</w:t>
      </w:r>
      <w:r w:rsidRPr="00250271">
        <w:t xml:space="preserve"> (</w:t>
      </w:r>
      <w:proofErr w:type="spellStart"/>
      <w:r w:rsidR="002C1586">
        <w:t>olaparib</w:t>
      </w:r>
      <w:proofErr w:type="spellEnd"/>
      <w:r w:rsidRPr="00250271">
        <w:t xml:space="preserve">) </w:t>
      </w:r>
      <w:r w:rsidR="002C1586">
        <w:t>100 mg</w:t>
      </w:r>
      <w:r w:rsidR="00730D31">
        <w:t xml:space="preserve"> and</w:t>
      </w:r>
      <w:r w:rsidR="002C1586">
        <w:t xml:space="preserve"> 150 mg film coated tablets</w:t>
      </w:r>
      <w:r w:rsidRPr="00250271">
        <w:t xml:space="preserve"> for the following proposed extension of indications</w:t>
      </w:r>
      <w:r w:rsidR="00CF5DAD">
        <w:t>:</w:t>
      </w:r>
    </w:p>
    <w:p w14:paraId="185CF053" w14:textId="77777777" w:rsidR="00482091" w:rsidRPr="002C1586" w:rsidRDefault="002C1586" w:rsidP="00482091">
      <w:pPr>
        <w:ind w:left="720"/>
        <w:rPr>
          <w:b/>
          <w:i/>
        </w:rPr>
      </w:pPr>
      <w:r w:rsidRPr="002C1586">
        <w:rPr>
          <w:b/>
          <w:i/>
        </w:rPr>
        <w:t>Ovarian c</w:t>
      </w:r>
      <w:r w:rsidR="00482091" w:rsidRPr="002C1586">
        <w:rPr>
          <w:b/>
          <w:i/>
        </w:rPr>
        <w:t>ancer</w:t>
      </w:r>
    </w:p>
    <w:p w14:paraId="407C604B" w14:textId="77777777" w:rsidR="00482091" w:rsidRPr="00482091" w:rsidRDefault="00482091" w:rsidP="00482091">
      <w:pPr>
        <w:ind w:left="720"/>
        <w:rPr>
          <w:i/>
        </w:rPr>
      </w:pPr>
      <w:r w:rsidRPr="00482091">
        <w:rPr>
          <w:i/>
        </w:rPr>
        <w:t>Lynparza in combination with bevacizumab is indicated for the:</w:t>
      </w:r>
    </w:p>
    <w:p w14:paraId="7E86E34D" w14:textId="77777777" w:rsidR="00482091" w:rsidRPr="00482091" w:rsidRDefault="00482091" w:rsidP="00482091">
      <w:pPr>
        <w:pStyle w:val="ListParagraph"/>
        <w:numPr>
          <w:ilvl w:val="0"/>
          <w:numId w:val="34"/>
        </w:numPr>
        <w:ind w:left="1440"/>
        <w:rPr>
          <w:i/>
        </w:rPr>
      </w:pPr>
      <w:r w:rsidRPr="00482091">
        <w:rPr>
          <w:i/>
        </w:rPr>
        <w:t>maintenance treatment of adult patients with advanced high-grade epithelial ovarian, fallopian tube or primary peritoneal cancer who are in response (complete response or partial response) to first-line platinum-based chemotherapy with bevacizumab.</w:t>
      </w:r>
    </w:p>
    <w:p w14:paraId="17CAFACF" w14:textId="77777777" w:rsidR="00482091" w:rsidRPr="002C1586" w:rsidRDefault="00482091" w:rsidP="00482091">
      <w:pPr>
        <w:ind w:left="720"/>
        <w:rPr>
          <w:b/>
          <w:i/>
        </w:rPr>
      </w:pPr>
      <w:r w:rsidRPr="002C1586">
        <w:rPr>
          <w:b/>
          <w:i/>
        </w:rPr>
        <w:t>Adenocarcinoma of the pancreas</w:t>
      </w:r>
    </w:p>
    <w:p w14:paraId="61049829" w14:textId="77777777" w:rsidR="00482091" w:rsidRPr="00482091" w:rsidRDefault="00482091" w:rsidP="00482091">
      <w:pPr>
        <w:ind w:left="720"/>
        <w:rPr>
          <w:i/>
        </w:rPr>
      </w:pPr>
      <w:r w:rsidRPr="00482091">
        <w:rPr>
          <w:i/>
        </w:rPr>
        <w:t>Lynparza is indicated as monotherapy for the:</w:t>
      </w:r>
    </w:p>
    <w:p w14:paraId="084E493F" w14:textId="77777777" w:rsidR="00482091" w:rsidRPr="00482091" w:rsidRDefault="00482091" w:rsidP="00482091">
      <w:pPr>
        <w:pStyle w:val="ListParagraph"/>
        <w:numPr>
          <w:ilvl w:val="0"/>
          <w:numId w:val="33"/>
        </w:numPr>
        <w:ind w:left="1440"/>
        <w:rPr>
          <w:i/>
        </w:rPr>
      </w:pPr>
      <w:r w:rsidRPr="00482091">
        <w:rPr>
          <w:i/>
        </w:rPr>
        <w:t>maintenance treatment of adult patients with germline BRCA-mutated metastatic adenocarcinoma of the pancreas whose disease has not progressed on first-line platinum-based chemotherapy.</w:t>
      </w:r>
    </w:p>
    <w:p w14:paraId="3E5C9C07" w14:textId="6F96B5FD" w:rsidR="002C1586" w:rsidRDefault="002C1586" w:rsidP="002C1586">
      <w:r w:rsidRPr="002C1586">
        <w:t>Olaparib is an orally active inhibitor of human poly (</w:t>
      </w:r>
      <w:r w:rsidR="00D85905">
        <w:t>a</w:t>
      </w:r>
      <w:r w:rsidR="00D85905" w:rsidRPr="00D85905">
        <w:t>denosine diphosphate</w:t>
      </w:r>
      <w:r w:rsidRPr="002C1586">
        <w:t xml:space="preserve">-ribose) polymerase </w:t>
      </w:r>
      <w:r w:rsidR="00D85905">
        <w:t xml:space="preserve">(PARP) </w:t>
      </w:r>
      <w:r w:rsidRPr="002C1586">
        <w:t>enzymes</w:t>
      </w:r>
      <w:r w:rsidR="00D85905">
        <w:t>; PARP-1, PARP-2, and PARP-3</w:t>
      </w:r>
      <w:r w:rsidRPr="002C1586">
        <w:t>.</w:t>
      </w:r>
    </w:p>
    <w:p w14:paraId="01DA7D7B" w14:textId="14BF51D9" w:rsidR="002C1586" w:rsidRDefault="002C1586" w:rsidP="002C1586">
      <w:r>
        <w:t xml:space="preserve">PARP enzymes are required for the efficient repair of DNA single strand breaks and an important aspect of PARP-induced repair requires that after chromatin modification, PARP auto-modifies itself and dissociates from the DNA to facilitate access for base excision repair enzymes. When </w:t>
      </w:r>
      <w:proofErr w:type="spellStart"/>
      <w:r>
        <w:t>olaparib</w:t>
      </w:r>
      <w:proofErr w:type="spellEnd"/>
      <w:r>
        <w:t xml:space="preserve"> is </w:t>
      </w:r>
      <w:r w:rsidR="00D85905">
        <w:t>bound to the active site of DNA</w:t>
      </w:r>
      <w:r w:rsidR="00D85905">
        <w:noBreakHyphen/>
      </w:r>
      <w:r>
        <w:t>associated PARP it prevents the dissociation of PARP and traps it on the DNA, thus blocking repair. In replicating cells this leads to DNA double strand breaks (DSBs) when replication forks meet the PARP-DNA adducts.</w:t>
      </w:r>
    </w:p>
    <w:p w14:paraId="360C8F5B" w14:textId="1278DB73" w:rsidR="00940A89" w:rsidRDefault="002C1586" w:rsidP="002C1586">
      <w:r>
        <w:t xml:space="preserve">In normal cells, </w:t>
      </w:r>
      <w:r w:rsidR="00D85905">
        <w:t xml:space="preserve">the </w:t>
      </w:r>
      <w:r>
        <w:t xml:space="preserve">homologous recombination repair (HRR) pathway is effective at repairing these DNA </w:t>
      </w:r>
      <w:r w:rsidR="004D7517">
        <w:t>DSBs</w:t>
      </w:r>
      <w:r>
        <w:t xml:space="preserve">. In cancers that lack functional components of HRR, such as </w:t>
      </w:r>
      <w:r w:rsidR="00D85905">
        <w:t>b</w:t>
      </w:r>
      <w:r w:rsidR="00D85905" w:rsidRPr="00D85905">
        <w:t>reast cancer susceptibility protein</w:t>
      </w:r>
      <w:r w:rsidR="00D85905">
        <w:t xml:space="preserve"> (</w:t>
      </w:r>
      <w:r>
        <w:t>BRCA</w:t>
      </w:r>
      <w:r w:rsidR="00D85905">
        <w:t>)</w:t>
      </w:r>
      <w:r w:rsidR="004D7517">
        <w:t xml:space="preserve"> type </w:t>
      </w:r>
      <w:r>
        <w:t xml:space="preserve">1 </w:t>
      </w:r>
      <w:r w:rsidR="004D7517">
        <w:t xml:space="preserve">(BRCA1) </w:t>
      </w:r>
      <w:r>
        <w:t xml:space="preserve">or </w:t>
      </w:r>
      <w:r w:rsidR="004D7517">
        <w:t>type 2 (BRCA</w:t>
      </w:r>
      <w:r>
        <w:t>2</w:t>
      </w:r>
      <w:r w:rsidR="004D7517">
        <w:t>)</w:t>
      </w:r>
      <w:r>
        <w:t>, DNA DSBs cannot be repaired accurately or effectively. Instead, alternative and error-prone pathways are activated, such as the no</w:t>
      </w:r>
      <w:r w:rsidR="004D7517">
        <w:t xml:space="preserve">n-homologous end joining </w:t>
      </w:r>
      <w:r>
        <w:t xml:space="preserve">pathway, leading to increased genomic instability. After a number of rounds of replication, genomic instability can reach insupportable levels and result in cancer cell death, as cancer cells already have a high DNA damage load relative to normal cells. In the absence of </w:t>
      </w:r>
      <w:r w:rsidRPr="00D0384C">
        <w:rPr>
          <w:i/>
        </w:rPr>
        <w:t>BRCA1</w:t>
      </w:r>
      <w:r>
        <w:t xml:space="preserve"> or </w:t>
      </w:r>
      <w:r w:rsidRPr="00D0384C">
        <w:rPr>
          <w:i/>
        </w:rPr>
        <w:t>BRCA2</w:t>
      </w:r>
      <w:r>
        <w:t xml:space="preserve"> mutations, </w:t>
      </w:r>
      <w:r w:rsidR="004D7517">
        <w:t xml:space="preserve">the </w:t>
      </w:r>
      <w:r>
        <w:t xml:space="preserve">HRR pathway may be compromised by other mechanisms, although the causative aberrancy and penetrance are not fully elucidated. Absence of </w:t>
      </w:r>
      <w:r w:rsidR="00D85905">
        <w:t xml:space="preserve">a </w:t>
      </w:r>
      <w:r>
        <w:t>fully functional HRR pathway is one of the key determinants of platinum sensitivity in ovarian and other cancers.</w:t>
      </w:r>
    </w:p>
    <w:p w14:paraId="486955F2" w14:textId="210E8D00" w:rsidR="002C1586" w:rsidRDefault="004D7517" w:rsidP="00C7300B">
      <w:pPr>
        <w:pStyle w:val="Heading4"/>
      </w:pPr>
      <w:r>
        <w:t>Advanced o</w:t>
      </w:r>
      <w:r w:rsidR="002C1586">
        <w:t>varian cancer</w:t>
      </w:r>
    </w:p>
    <w:p w14:paraId="66EBB6F8" w14:textId="6E48AC78" w:rsidR="002C1586" w:rsidRDefault="002C1586" w:rsidP="002C1586">
      <w:r>
        <w:t xml:space="preserve">High-grade serous </w:t>
      </w:r>
      <w:r w:rsidR="000904E1">
        <w:t xml:space="preserve">carcinomas (HGSC) including </w:t>
      </w:r>
      <w:r>
        <w:t>epithelial ovarian carcinoma</w:t>
      </w:r>
      <w:r w:rsidR="000904E1">
        <w:t xml:space="preserve"> (EOC)</w:t>
      </w:r>
      <w:r>
        <w:t>, fallopian tubal, and peritoneal carcinomas</w:t>
      </w:r>
      <w:r w:rsidR="00EE2E1E">
        <w:t>,</w:t>
      </w:r>
      <w:r>
        <w:t xml:space="preserve"> are considered a single clinical entity due to their shared clinical behaviour and treatment. There is also accumulating evidence of a common pathogenesis for these ca</w:t>
      </w:r>
      <w:r w:rsidR="00C7300B">
        <w:t xml:space="preserve">rcinomas. </w:t>
      </w:r>
      <w:r>
        <w:t xml:space="preserve">All women with a diagnosis of ovarian, fallopian tube, or peritoneal cancer should have genetic risk evaluation. The presence of a germline or somatic </w:t>
      </w:r>
      <w:r w:rsidRPr="00D0384C">
        <w:rPr>
          <w:i/>
        </w:rPr>
        <w:t>BRCA1</w:t>
      </w:r>
      <w:r>
        <w:t xml:space="preserve"> or </w:t>
      </w:r>
      <w:r w:rsidRPr="00D0384C">
        <w:rPr>
          <w:i/>
        </w:rPr>
        <w:t>BRCA2</w:t>
      </w:r>
      <w:r>
        <w:t xml:space="preserve"> mutation may have treatment implications in maintenance therapy and management </w:t>
      </w:r>
      <w:r w:rsidR="00C7300B">
        <w:t>of recurrent disease.</w:t>
      </w:r>
      <w:r w:rsidR="00AD26D6">
        <w:rPr>
          <w:rStyle w:val="FootnoteReference"/>
        </w:rPr>
        <w:footnoteReference w:id="2"/>
      </w:r>
      <w:r w:rsidR="00C7300B">
        <w:t xml:space="preserve"> </w:t>
      </w:r>
      <w:r>
        <w:t xml:space="preserve">Women with BRCA gene mutations, particularly </w:t>
      </w:r>
      <w:r w:rsidRPr="00D0384C">
        <w:rPr>
          <w:i/>
        </w:rPr>
        <w:t>BRCA2</w:t>
      </w:r>
      <w:r>
        <w:t>, appear to have a somewhat bett</w:t>
      </w:r>
      <w:r w:rsidR="00C7300B">
        <w:t>er prognosis than non</w:t>
      </w:r>
      <w:r w:rsidR="000904E1">
        <w:noBreakHyphen/>
      </w:r>
      <w:r w:rsidR="00C7300B">
        <w:t>carriers.</w:t>
      </w:r>
      <w:r w:rsidR="00AD26D6">
        <w:rPr>
          <w:rStyle w:val="FootnoteReference"/>
        </w:rPr>
        <w:footnoteReference w:id="3"/>
      </w:r>
    </w:p>
    <w:p w14:paraId="7BD73E2D" w14:textId="4451C386" w:rsidR="002C1586" w:rsidRDefault="000904E1" w:rsidP="002C1586">
      <w:r>
        <w:t>HGSCs</w:t>
      </w:r>
      <w:r w:rsidR="002C1586">
        <w:t xml:space="preserve"> </w:t>
      </w:r>
      <w:r>
        <w:t>are</w:t>
      </w:r>
      <w:r w:rsidR="002C1586">
        <w:t xml:space="preserve"> characterised by chromosomal instability due to homologous </w:t>
      </w:r>
      <w:r w:rsidR="004D7517">
        <w:t>recombination</w:t>
      </w:r>
      <w:r w:rsidR="002C1586">
        <w:t xml:space="preserve"> deficiency (HRD). Germline </w:t>
      </w:r>
      <w:r w:rsidR="002C1586" w:rsidRPr="00D0384C">
        <w:rPr>
          <w:i/>
        </w:rPr>
        <w:t>BRCA1/2</w:t>
      </w:r>
      <w:r w:rsidR="002C1586">
        <w:t xml:space="preserve"> mutations, somatic </w:t>
      </w:r>
      <w:r w:rsidR="002C1586" w:rsidRPr="00D0384C">
        <w:rPr>
          <w:i/>
        </w:rPr>
        <w:t>BRCA1/2</w:t>
      </w:r>
      <w:r w:rsidR="002C1586">
        <w:t xml:space="preserve"> mutations, and BRCA gene</w:t>
      </w:r>
      <w:r w:rsidR="004D7517">
        <w:t xml:space="preserve"> promotor methylations are well</w:t>
      </w:r>
      <w:r w:rsidR="004D7517">
        <w:noBreakHyphen/>
      </w:r>
      <w:r w:rsidR="002C1586">
        <w:t>known causes of HRD, but other genetic abnormalities of the HRR pathway could also cause HRD, although no consensus has been reached. The presence of HRD results in irreparable DNA damage from platinum-containing drugs, which leads to cell death. Moreover, an underlying HRD in tumour cells makes the cells sensitive to PARP inhibitors. PARP inhibitors bind to and trap PARP1 and PARP2 on DNA at the sites of single-strand breaks, which results in the generation of double-strand breaks. In cancer cells with HRD, double-strand DNA breaks are repair</w:t>
      </w:r>
      <w:r w:rsidR="00D85905">
        <w:t>ed by error-prone pathways (that is,</w:t>
      </w:r>
      <w:r w:rsidR="002C1586">
        <w:t xml:space="preserve"> non</w:t>
      </w:r>
      <w:r w:rsidR="00D85905">
        <w:t>-</w:t>
      </w:r>
      <w:r w:rsidR="002C1586">
        <w:t>homologous end joining), ultim</w:t>
      </w:r>
      <w:r w:rsidR="00D85905">
        <w:t>ately leading to cell death</w:t>
      </w:r>
      <w:r w:rsidR="002C1586">
        <w:t>.</w:t>
      </w:r>
      <w:r w:rsidR="00A6416A">
        <w:rPr>
          <w:rStyle w:val="FootnoteReference"/>
        </w:rPr>
        <w:footnoteReference w:id="4"/>
      </w:r>
    </w:p>
    <w:p w14:paraId="47CE9562" w14:textId="72283A85" w:rsidR="002C1586" w:rsidRDefault="002C1586" w:rsidP="002C1586">
      <w:r>
        <w:t xml:space="preserve">For women with advanced EOC, the chemotherapy options depend on the surgical outcomes but include </w:t>
      </w:r>
      <w:r w:rsidR="000904E1">
        <w:t xml:space="preserve">platinum-based treatment (either </w:t>
      </w:r>
      <w:r>
        <w:t>carboplatin or cisplatin</w:t>
      </w:r>
      <w:r w:rsidR="000904E1">
        <w:t>),</w:t>
      </w:r>
      <w:r>
        <w:t xml:space="preserve"> </w:t>
      </w:r>
      <w:r w:rsidR="000904E1">
        <w:t xml:space="preserve">plus </w:t>
      </w:r>
      <w:r>
        <w:t>paclitaxel. Despite initial therapy, the majority of women with advanced-stage ovarian cancer will relapse and require additional treatment.</w:t>
      </w:r>
    </w:p>
    <w:p w14:paraId="5B459995" w14:textId="1B148A2D" w:rsidR="002C1586" w:rsidRDefault="002C1586" w:rsidP="002C1586">
      <w:r>
        <w:t xml:space="preserve">The approach to treatment </w:t>
      </w:r>
      <w:r w:rsidR="004D7517">
        <w:t xml:space="preserve">at relapse </w:t>
      </w:r>
      <w:r>
        <w:t xml:space="preserve">depends upon the amount of time that has elapsed between the completion of platinum-based treatment and the detection of relapse, known as the platinum-free interval (PFI). This is because the </w:t>
      </w:r>
      <w:r w:rsidR="00D940B0">
        <w:t>PFI correlates with progression</w:t>
      </w:r>
      <w:r w:rsidR="00862E90">
        <w:noBreakHyphen/>
      </w:r>
      <w:r>
        <w:t>free survival (PFS), overall survival (OS), and response to subsequent treatment (both with platinum and non</w:t>
      </w:r>
      <w:r w:rsidR="00862E90">
        <w:noBreakHyphen/>
      </w:r>
      <w:r>
        <w:t xml:space="preserve">platinum agents as well as </w:t>
      </w:r>
      <w:proofErr w:type="spellStart"/>
      <w:r>
        <w:t>cytoreducti</w:t>
      </w:r>
      <w:r w:rsidR="00D85905">
        <w:t>on</w:t>
      </w:r>
      <w:proofErr w:type="spellEnd"/>
      <w:r w:rsidR="00D85905">
        <w:t>). Patients with a PFI of six </w:t>
      </w:r>
      <w:r>
        <w:t xml:space="preserve">months or longer are considered to have chemotherapy-sensitive disease. Women with platinum-sensitive recurrent EOC should be considered for both secondary </w:t>
      </w:r>
      <w:proofErr w:type="spellStart"/>
      <w:r>
        <w:t>cytoreduction</w:t>
      </w:r>
      <w:proofErr w:type="spellEnd"/>
      <w:r>
        <w:t xml:space="preserve"> and second-line chemotherapy regimen </w:t>
      </w:r>
      <w:r w:rsidR="00D85905">
        <w:t>that contains a platinum agent</w:t>
      </w:r>
      <w:r>
        <w:t xml:space="preserve">, with or without bevacizumab. Maintenance treatment with bevacizumab, </w:t>
      </w:r>
      <w:proofErr w:type="spellStart"/>
      <w:r>
        <w:t>olaparib</w:t>
      </w:r>
      <w:proofErr w:type="spellEnd"/>
      <w:r>
        <w:t xml:space="preserve"> or </w:t>
      </w:r>
      <w:proofErr w:type="spellStart"/>
      <w:r>
        <w:t>niraparib</w:t>
      </w:r>
      <w:proofErr w:type="spellEnd"/>
      <w:r>
        <w:t xml:space="preserve"> have been used, although all of these agents have demonstrated improvements in PFS when used as maintenance, only bevacizumab has shown an </w:t>
      </w:r>
      <w:r w:rsidR="004D7517">
        <w:t>OS</w:t>
      </w:r>
      <w:r>
        <w:t xml:space="preserve"> benefit.</w:t>
      </w:r>
    </w:p>
    <w:p w14:paraId="53841F27" w14:textId="01CC4E88" w:rsidR="00C7300B" w:rsidRDefault="004D7517" w:rsidP="00C7300B">
      <w:pPr>
        <w:pStyle w:val="Heading4"/>
      </w:pPr>
      <w:r>
        <w:t>A</w:t>
      </w:r>
      <w:r w:rsidRPr="004D7517">
        <w:t>denocarcinoma of the pancreas</w:t>
      </w:r>
    </w:p>
    <w:p w14:paraId="1B9A5A59" w14:textId="33F1B1D7" w:rsidR="002C1586" w:rsidRDefault="002C1586" w:rsidP="002C1586">
      <w:r>
        <w:t>Cancer of the exocrine pancreas is a highly lethal mali</w:t>
      </w:r>
      <w:r w:rsidR="00D85905">
        <w:t>gnancy. The commonly used term ‘pancreatic cancer’</w:t>
      </w:r>
      <w:r>
        <w:t xml:space="preserve"> usually refers to a ductal adenocarcinoma of the pancreas (including its subtypes), which represents approximately 85</w:t>
      </w:r>
      <w:r w:rsidR="00C7300B">
        <w:t xml:space="preserve">% of all pancreatic neoplasms. </w:t>
      </w:r>
      <w:r>
        <w:t xml:space="preserve">The </w:t>
      </w:r>
      <w:r w:rsidR="00EE2E1E">
        <w:t>five-year</w:t>
      </w:r>
      <w:r>
        <w:t xml:space="preserve"> survival rate for pancreatic cancer i</w:t>
      </w:r>
      <w:r w:rsidR="00C7300B">
        <w:t>s 10.7%</w:t>
      </w:r>
      <w:r>
        <w:t>.</w:t>
      </w:r>
      <w:r w:rsidR="00D85905">
        <w:rPr>
          <w:rStyle w:val="FootnoteReference"/>
        </w:rPr>
        <w:footnoteReference w:id="5"/>
      </w:r>
    </w:p>
    <w:p w14:paraId="0B88BFB5" w14:textId="27849044" w:rsidR="002C1586" w:rsidRDefault="002C1586" w:rsidP="002C1586">
      <w:r>
        <w:t xml:space="preserve">Surgical resection is the only potentially curative treatment. Unfortunately, because of the late presentation, only 15 to 20% of patients are candidates for </w:t>
      </w:r>
      <w:proofErr w:type="spellStart"/>
      <w:r>
        <w:t>pancreatectomy</w:t>
      </w:r>
      <w:proofErr w:type="spellEnd"/>
      <w:r>
        <w:t>. Furthermore, prognosis is poor, even a</w:t>
      </w:r>
      <w:r w:rsidR="00D85905">
        <w:t>fter a complete resection. Five</w:t>
      </w:r>
      <w:r w:rsidR="00862E90">
        <w:noBreakHyphen/>
      </w:r>
      <w:r>
        <w:t>ye</w:t>
      </w:r>
      <w:r w:rsidR="00D85905">
        <w:t>ar survival after margin</w:t>
      </w:r>
      <w:r w:rsidR="00862E90">
        <w:t>-</w:t>
      </w:r>
      <w:r>
        <w:t xml:space="preserve">negative </w:t>
      </w:r>
      <w:proofErr w:type="spellStart"/>
      <w:r>
        <w:t>pancreaticod</w:t>
      </w:r>
      <w:r w:rsidR="00D85905">
        <w:t>uodenectomy</w:t>
      </w:r>
      <w:proofErr w:type="spellEnd"/>
      <w:r w:rsidR="00D85905">
        <w:t xml:space="preserve"> is approximately 30% for node-negative and 10% </w:t>
      </w:r>
      <w:r>
        <w:t xml:space="preserve">for node-positive disease. Signs of metastatic disease may </w:t>
      </w:r>
      <w:r w:rsidR="004D7517">
        <w:t>occur</w:t>
      </w:r>
      <w:r>
        <w:t xml:space="preserve"> at presentation. Metastatic disease most commonly affects the liver, peritoneum, lungs, and less frequently, bone. For patients with metastatic cancer, palliative systemic chemotherapy can improve disease-related </w:t>
      </w:r>
      <w:r w:rsidR="00C7300B">
        <w:t>symptoms and prolong survival.</w:t>
      </w:r>
      <w:r w:rsidR="00AD26D6">
        <w:rPr>
          <w:rStyle w:val="FootnoteReference"/>
        </w:rPr>
        <w:footnoteReference w:id="6"/>
      </w:r>
    </w:p>
    <w:p w14:paraId="679657B7" w14:textId="72466721" w:rsidR="002C1586" w:rsidRDefault="002C1586" w:rsidP="002C1586">
      <w:r>
        <w:t xml:space="preserve">The two preferred regimens for initial treatment of metastatic disease include the combination of fluorouracil, </w:t>
      </w:r>
      <w:proofErr w:type="spellStart"/>
      <w:r>
        <w:t>irinotecan</w:t>
      </w:r>
      <w:proofErr w:type="spellEnd"/>
      <w:r>
        <w:t xml:space="preserve">, </w:t>
      </w:r>
      <w:proofErr w:type="spellStart"/>
      <w:r>
        <w:t>leucovorin</w:t>
      </w:r>
      <w:proofErr w:type="spellEnd"/>
      <w:r>
        <w:t xml:space="preserve">, and </w:t>
      </w:r>
      <w:proofErr w:type="spellStart"/>
      <w:r>
        <w:t>oxaliplatin</w:t>
      </w:r>
      <w:proofErr w:type="spellEnd"/>
      <w:r>
        <w:t xml:space="preserve"> (</w:t>
      </w:r>
      <w:proofErr w:type="spellStart"/>
      <w:r w:rsidR="00D85905">
        <w:t>Folfirinox</w:t>
      </w:r>
      <w:proofErr w:type="spellEnd"/>
      <w:r>
        <w:t>)</w:t>
      </w:r>
      <w:r w:rsidR="007E0E56">
        <w:t>;</w:t>
      </w:r>
      <w:r w:rsidR="007E0E56">
        <w:rPr>
          <w:rStyle w:val="FootnoteReference"/>
        </w:rPr>
        <w:footnoteReference w:id="7"/>
      </w:r>
      <w:r>
        <w:t xml:space="preserve"> or gemcitabine in c</w:t>
      </w:r>
      <w:r w:rsidR="00AD26D6">
        <w:t>ombination with nab-paclitaxel</w:t>
      </w:r>
      <w:r>
        <w:t>.</w:t>
      </w:r>
      <w:r w:rsidR="00AD26D6">
        <w:rPr>
          <w:rStyle w:val="FootnoteReference"/>
        </w:rPr>
        <w:footnoteReference w:id="8"/>
      </w:r>
      <w:r w:rsidR="00862E90">
        <w:rPr>
          <w:vertAlign w:val="superscript"/>
        </w:rPr>
        <w:t>,</w:t>
      </w:r>
      <w:r w:rsidR="00AD26D6">
        <w:rPr>
          <w:rStyle w:val="FootnoteReference"/>
        </w:rPr>
        <w:footnoteReference w:id="9"/>
      </w:r>
      <w:r w:rsidR="00AD26D6">
        <w:t xml:space="preserve"> </w:t>
      </w:r>
      <w:r>
        <w:t xml:space="preserve">Gemcitabine alone or in combination with either capecitabine or </w:t>
      </w:r>
      <w:proofErr w:type="spellStart"/>
      <w:r>
        <w:t>erlotinib</w:t>
      </w:r>
      <w:proofErr w:type="spellEnd"/>
      <w:r>
        <w:t xml:space="preserve"> may also be used in the first-line treatment setting.</w:t>
      </w:r>
      <w:r w:rsidR="00AD26D6">
        <w:rPr>
          <w:rStyle w:val="FootnoteReference"/>
        </w:rPr>
        <w:footnoteReference w:id="10"/>
      </w:r>
      <w:r>
        <w:t xml:space="preserve"> These chemotherapy regimens have modest, at best, impact on </w:t>
      </w:r>
      <w:r w:rsidR="002B2034">
        <w:t>PFS</w:t>
      </w:r>
      <w:r>
        <w:t xml:space="preserve"> and </w:t>
      </w:r>
      <w:r w:rsidR="002B2034">
        <w:t>OS</w:t>
      </w:r>
      <w:r>
        <w:t>.</w:t>
      </w:r>
    </w:p>
    <w:p w14:paraId="0DAFE931" w14:textId="77777777" w:rsidR="008E7846" w:rsidRPr="003F31A2" w:rsidRDefault="00386150" w:rsidP="008E7846">
      <w:pPr>
        <w:pStyle w:val="Heading3"/>
      </w:pPr>
      <w:bookmarkStart w:id="16" w:name="_Toc314842485"/>
      <w:bookmarkStart w:id="17" w:name="_Toc247691504"/>
      <w:bookmarkStart w:id="18" w:name="_Toc71183711"/>
      <w:r>
        <w:t>Regulatory s</w:t>
      </w:r>
      <w:r w:rsidR="008E7846">
        <w:t>tatus</w:t>
      </w:r>
      <w:bookmarkEnd w:id="16"/>
      <w:bookmarkEnd w:id="17"/>
      <w:bookmarkEnd w:id="18"/>
    </w:p>
    <w:p w14:paraId="3091AAE2" w14:textId="77777777" w:rsidR="00006FAB" w:rsidRDefault="00006FAB" w:rsidP="00006FAB">
      <w:bookmarkStart w:id="19" w:name="_Toc247691505"/>
      <w:bookmarkStart w:id="20" w:name="_Toc314842486"/>
      <w:r>
        <w:t xml:space="preserve">The </w:t>
      </w:r>
      <w:r w:rsidR="00AA7124">
        <w:t xml:space="preserve">100 mg and 150 mg </w:t>
      </w:r>
      <w:r>
        <w:t>product</w:t>
      </w:r>
      <w:r w:rsidR="00AA7124">
        <w:t>s</w:t>
      </w:r>
      <w:r>
        <w:t xml:space="preserve"> received initial registration on the Australian Register of Therapeutic Goods (ARTG) on</w:t>
      </w:r>
      <w:r w:rsidR="00AA7124">
        <w:t xml:space="preserve"> 23 May 2018 for the following indications:</w:t>
      </w:r>
    </w:p>
    <w:p w14:paraId="5F556EC6" w14:textId="77777777" w:rsidR="00AA7124" w:rsidRDefault="00AA7124" w:rsidP="00AA7124">
      <w:pPr>
        <w:ind w:left="720"/>
        <w:rPr>
          <w:i/>
        </w:rPr>
      </w:pPr>
      <w:r w:rsidRPr="00AA7124">
        <w:rPr>
          <w:i/>
        </w:rPr>
        <w:t>Olaparib is indicated as monotherapy for the maintenance treatment of adult patients with platinum- sensitive relapsed high grade epithelial ovarian, fallopian tube or primary peritoneal cancer who are in response (complete response or partial response) after platinum-based chemotherapy. Prior treatment must have included at least 2 courses of platinum-based regimens.</w:t>
      </w:r>
    </w:p>
    <w:p w14:paraId="6B87977D" w14:textId="77777777" w:rsidR="00AA7124" w:rsidRDefault="00AA7124" w:rsidP="00AA7124">
      <w:r>
        <w:t xml:space="preserve">On </w:t>
      </w:r>
      <w:r w:rsidR="00B652EF">
        <w:t>1</w:t>
      </w:r>
      <w:r>
        <w:t xml:space="preserve"> A</w:t>
      </w:r>
      <w:r w:rsidR="00B652EF">
        <w:t>ugust 2018, the following extension of indications was approved:</w:t>
      </w:r>
    </w:p>
    <w:p w14:paraId="4BCB9663" w14:textId="77777777" w:rsidR="00B652EF" w:rsidRPr="00B652EF" w:rsidRDefault="00B652EF" w:rsidP="00B652EF">
      <w:pPr>
        <w:ind w:left="720"/>
        <w:rPr>
          <w:i/>
        </w:rPr>
      </w:pPr>
      <w:r w:rsidRPr="00B652EF">
        <w:rPr>
          <w:i/>
        </w:rPr>
        <w:t xml:space="preserve">Lynparza is indicated as monotherapy for the treatment of adult patients with germline BRCA mutated HER2-negative metastatic breast cancer who have previously been treated with chemotherapy in the </w:t>
      </w:r>
      <w:proofErr w:type="spellStart"/>
      <w:r w:rsidRPr="00B652EF">
        <w:rPr>
          <w:i/>
        </w:rPr>
        <w:t>neoadjuvant</w:t>
      </w:r>
      <w:proofErr w:type="spellEnd"/>
      <w:r w:rsidRPr="00B652EF">
        <w:rPr>
          <w:i/>
        </w:rPr>
        <w:t>, adjuvant or metastatic setting. Germline BRCA mutation (</w:t>
      </w:r>
      <w:proofErr w:type="spellStart"/>
      <w:r w:rsidRPr="00B652EF">
        <w:rPr>
          <w:i/>
        </w:rPr>
        <w:t>gBRCAm</w:t>
      </w:r>
      <w:proofErr w:type="spellEnd"/>
      <w:r w:rsidRPr="00B652EF">
        <w:rPr>
          <w:i/>
        </w:rPr>
        <w:t>) status should be determined by an experienced laboratory using a validated test method.</w:t>
      </w:r>
    </w:p>
    <w:p w14:paraId="5C553718" w14:textId="77777777" w:rsidR="00B652EF" w:rsidRDefault="00B652EF" w:rsidP="00B652EF">
      <w:r>
        <w:t>On the 18 June 2019, the following extension of indications was approved:</w:t>
      </w:r>
    </w:p>
    <w:p w14:paraId="4C2F7979" w14:textId="77777777" w:rsidR="00B652EF" w:rsidRPr="00B67678" w:rsidRDefault="00B652EF" w:rsidP="00B652EF">
      <w:pPr>
        <w:ind w:left="720"/>
        <w:rPr>
          <w:i/>
        </w:rPr>
      </w:pPr>
      <w:r w:rsidRPr="00B67678">
        <w:rPr>
          <w:i/>
        </w:rPr>
        <w:t>Ovarian cancer</w:t>
      </w:r>
    </w:p>
    <w:p w14:paraId="5453E40F" w14:textId="77777777" w:rsidR="00B652EF" w:rsidRPr="00B652EF" w:rsidRDefault="00B652EF" w:rsidP="00B652EF">
      <w:pPr>
        <w:ind w:left="720"/>
        <w:rPr>
          <w:i/>
        </w:rPr>
      </w:pPr>
      <w:r w:rsidRPr="00B652EF">
        <w:rPr>
          <w:i/>
        </w:rPr>
        <w:t>Lynparza is indicated as monotherapy for the:</w:t>
      </w:r>
    </w:p>
    <w:p w14:paraId="3160E9C5" w14:textId="77777777" w:rsidR="00B652EF" w:rsidRPr="00B652EF" w:rsidRDefault="00B652EF" w:rsidP="00B652EF">
      <w:pPr>
        <w:ind w:left="720"/>
        <w:rPr>
          <w:i/>
        </w:rPr>
      </w:pPr>
      <w:r w:rsidRPr="00B652EF">
        <w:rPr>
          <w:i/>
        </w:rPr>
        <w:t>maintenance treatment of adult patients with advanced BRCA-mutated (germline or somatic) high-grade epithelial ovarian, fallopian tube or primary peritoneal cancer who are in response (complete response or partial response) to first-line platinum-based chemotherapy. BRCA mutation status should be determined by an experienced laboratory using a validated test method.</w:t>
      </w:r>
    </w:p>
    <w:p w14:paraId="5E40368F" w14:textId="2501C281" w:rsidR="00D65374" w:rsidRDefault="00D65374" w:rsidP="00D65374">
      <w:pPr>
        <w:pStyle w:val="Heading4"/>
      </w:pPr>
      <w:r>
        <w:t>Advanced ovarian cancer indication</w:t>
      </w:r>
    </w:p>
    <w:p w14:paraId="6DF4E7A1" w14:textId="585EEEEF" w:rsidR="00006FAB" w:rsidRDefault="00006FAB" w:rsidP="00006FAB">
      <w:r>
        <w:t>At the time the TGA considered this application, similar application</w:t>
      </w:r>
      <w:r w:rsidR="007E0E56">
        <w:t>s</w:t>
      </w:r>
      <w:r>
        <w:t xml:space="preserve"> had been approved </w:t>
      </w:r>
      <w:r w:rsidR="008E0079">
        <w:t xml:space="preserve">in the European Union (EU; approved </w:t>
      </w:r>
      <w:r w:rsidR="002B2034">
        <w:t xml:space="preserve">on </w:t>
      </w:r>
      <w:r w:rsidR="008E0079">
        <w:t xml:space="preserve">17 September 2020), United States (US; approved </w:t>
      </w:r>
      <w:r w:rsidR="002B2034">
        <w:t xml:space="preserve">on </w:t>
      </w:r>
      <w:r w:rsidR="008E0079">
        <w:t xml:space="preserve">8 May 2020) and Switzerland (approved </w:t>
      </w:r>
      <w:r w:rsidR="002B2034">
        <w:t xml:space="preserve">on </w:t>
      </w:r>
      <w:r w:rsidR="008E0079">
        <w:t>26 November 2020)</w:t>
      </w:r>
      <w:r w:rsidR="007E0E56">
        <w:t xml:space="preserve">. Similar applications were also </w:t>
      </w:r>
      <w:r>
        <w:t xml:space="preserve">under consideration in </w:t>
      </w:r>
      <w:r w:rsidR="008E0079">
        <w:t>Singapore (submitted January</w:t>
      </w:r>
      <w:r w:rsidR="007E0E56">
        <w:t> </w:t>
      </w:r>
      <w:r w:rsidR="008E0079">
        <w:t xml:space="preserve">2020) and New Zealand (submitted </w:t>
      </w:r>
      <w:r w:rsidR="002B2034">
        <w:t xml:space="preserve">on </w:t>
      </w:r>
      <w:r w:rsidR="008E0079">
        <w:t>1 April 2020)</w:t>
      </w:r>
      <w:r>
        <w:t>.</w:t>
      </w:r>
    </w:p>
    <w:p w14:paraId="17942ED8" w14:textId="5D4958AD" w:rsidR="008E0079" w:rsidRDefault="008E0079" w:rsidP="00006FAB">
      <w:r>
        <w:t xml:space="preserve">See </w:t>
      </w:r>
      <w:r>
        <w:fldChar w:fldCharType="begin"/>
      </w:r>
      <w:r>
        <w:instrText xml:space="preserve"> REF _Ref66198257 \h </w:instrText>
      </w:r>
      <w:r>
        <w:fldChar w:fldCharType="separate"/>
      </w:r>
      <w:r w:rsidR="00A11EA7">
        <w:t xml:space="preserve">Table </w:t>
      </w:r>
      <w:r w:rsidR="00A11EA7">
        <w:rPr>
          <w:noProof/>
        </w:rPr>
        <w:t>1</w:t>
      </w:r>
      <w:r>
        <w:fldChar w:fldCharType="end"/>
      </w:r>
      <w:r>
        <w:t xml:space="preserve"> for the approved indications in the EU and US.</w:t>
      </w:r>
    </w:p>
    <w:p w14:paraId="67670D1D" w14:textId="2FF96325" w:rsidR="00324E45" w:rsidRPr="00F0146F" w:rsidRDefault="00324E45" w:rsidP="007E0E56">
      <w:pPr>
        <w:pStyle w:val="TableTitle"/>
      </w:pPr>
      <w:bookmarkStart w:id="21" w:name="_Ref66198257"/>
      <w:r>
        <w:t xml:space="preserve">Table </w:t>
      </w:r>
      <w:r w:rsidR="00EC1515">
        <w:fldChar w:fldCharType="begin"/>
      </w:r>
      <w:r w:rsidR="00EC1515">
        <w:instrText xml:space="preserve"> SEQ Table \* ARABIC </w:instrText>
      </w:r>
      <w:r w:rsidR="00EC1515">
        <w:fldChar w:fldCharType="separate"/>
      </w:r>
      <w:r w:rsidR="00A11EA7">
        <w:rPr>
          <w:noProof/>
        </w:rPr>
        <w:t>1</w:t>
      </w:r>
      <w:r w:rsidR="00EC1515">
        <w:rPr>
          <w:noProof/>
        </w:rPr>
        <w:fldChar w:fldCharType="end"/>
      </w:r>
      <w:bookmarkEnd w:id="21"/>
      <w:r>
        <w:t>: International regulatory status</w:t>
      </w:r>
      <w:r w:rsidR="00601799">
        <w:t xml:space="preserve"> </w:t>
      </w:r>
      <w:r w:rsidR="00D65374">
        <w:t xml:space="preserve">(advanced ovarian cancer indication) </w:t>
      </w:r>
      <w:r w:rsidR="00601799">
        <w:t>as of January 2021</w:t>
      </w:r>
      <w:r w:rsidR="008E0079">
        <w:t>, European Union and United States only</w:t>
      </w:r>
    </w:p>
    <w:tbl>
      <w:tblPr>
        <w:tblStyle w:val="TableTGAblue"/>
        <w:tblW w:w="0" w:type="auto"/>
        <w:tblLayout w:type="fixed"/>
        <w:tblLook w:val="04A0" w:firstRow="1" w:lastRow="0" w:firstColumn="1" w:lastColumn="0" w:noHBand="0" w:noVBand="1"/>
      </w:tblPr>
      <w:tblGrid>
        <w:gridCol w:w="1255"/>
        <w:gridCol w:w="2070"/>
        <w:gridCol w:w="2070"/>
        <w:gridCol w:w="3099"/>
      </w:tblGrid>
      <w:tr w:rsidR="00F849C1" w14:paraId="710E1D7A" w14:textId="77777777" w:rsidTr="00F849C1">
        <w:trPr>
          <w:cnfStyle w:val="100000000000" w:firstRow="1" w:lastRow="0" w:firstColumn="0" w:lastColumn="0" w:oddVBand="0" w:evenVBand="0" w:oddHBand="0" w:evenHBand="0" w:firstRowFirstColumn="0" w:firstRowLastColumn="0" w:lastRowFirstColumn="0" w:lastRowLastColumn="0"/>
        </w:trPr>
        <w:tc>
          <w:tcPr>
            <w:tcW w:w="1255" w:type="dxa"/>
            <w:tcBorders>
              <w:top w:val="single" w:sz="4" w:space="0" w:color="auto"/>
              <w:left w:val="single" w:sz="4" w:space="0" w:color="auto"/>
              <w:bottom w:val="single" w:sz="4" w:space="0" w:color="auto"/>
              <w:right w:val="single" w:sz="4" w:space="0" w:color="auto"/>
            </w:tcBorders>
          </w:tcPr>
          <w:p w14:paraId="776EF4AA" w14:textId="77777777" w:rsidR="00006FAB" w:rsidRDefault="00006FAB" w:rsidP="00D0384C">
            <w:pPr>
              <w:ind w:left="0" w:right="0"/>
            </w:pPr>
            <w:r>
              <w:t>Region</w:t>
            </w:r>
          </w:p>
        </w:tc>
        <w:tc>
          <w:tcPr>
            <w:tcW w:w="2070" w:type="dxa"/>
            <w:tcBorders>
              <w:top w:val="single" w:sz="4" w:space="0" w:color="auto"/>
              <w:left w:val="single" w:sz="4" w:space="0" w:color="auto"/>
              <w:bottom w:val="single" w:sz="4" w:space="0" w:color="auto"/>
              <w:right w:val="single" w:sz="4" w:space="0" w:color="auto"/>
            </w:tcBorders>
          </w:tcPr>
          <w:p w14:paraId="76AD0382" w14:textId="77777777" w:rsidR="00006FAB" w:rsidRDefault="00006FAB" w:rsidP="00D0384C">
            <w:pPr>
              <w:ind w:left="0" w:right="0"/>
            </w:pPr>
            <w:r>
              <w:t>Submission date</w:t>
            </w:r>
          </w:p>
        </w:tc>
        <w:tc>
          <w:tcPr>
            <w:tcW w:w="2070" w:type="dxa"/>
            <w:tcBorders>
              <w:top w:val="single" w:sz="4" w:space="0" w:color="auto"/>
              <w:left w:val="single" w:sz="4" w:space="0" w:color="auto"/>
              <w:bottom w:val="single" w:sz="4" w:space="0" w:color="auto"/>
              <w:right w:val="single" w:sz="4" w:space="0" w:color="auto"/>
            </w:tcBorders>
          </w:tcPr>
          <w:p w14:paraId="666C85D7" w14:textId="77777777" w:rsidR="00006FAB" w:rsidRDefault="00006FAB" w:rsidP="00D0384C">
            <w:pPr>
              <w:ind w:left="0" w:right="0"/>
            </w:pPr>
            <w:r>
              <w:t>Status</w:t>
            </w:r>
          </w:p>
        </w:tc>
        <w:tc>
          <w:tcPr>
            <w:tcW w:w="3099" w:type="dxa"/>
            <w:tcBorders>
              <w:top w:val="single" w:sz="4" w:space="0" w:color="auto"/>
              <w:left w:val="single" w:sz="4" w:space="0" w:color="auto"/>
              <w:bottom w:val="single" w:sz="4" w:space="0" w:color="auto"/>
              <w:right w:val="single" w:sz="4" w:space="0" w:color="auto"/>
            </w:tcBorders>
          </w:tcPr>
          <w:p w14:paraId="6C576D6F" w14:textId="77777777" w:rsidR="00006FAB" w:rsidRDefault="00006FAB" w:rsidP="00D0384C">
            <w:pPr>
              <w:ind w:left="0" w:right="0"/>
            </w:pPr>
            <w:r>
              <w:t>Approved indications</w:t>
            </w:r>
          </w:p>
        </w:tc>
      </w:tr>
      <w:tr w:rsidR="00F849C1" w14:paraId="6067262F" w14:textId="77777777" w:rsidTr="00F849C1">
        <w:tc>
          <w:tcPr>
            <w:tcW w:w="1255" w:type="dxa"/>
            <w:tcBorders>
              <w:top w:val="single" w:sz="4" w:space="0" w:color="auto"/>
            </w:tcBorders>
          </w:tcPr>
          <w:p w14:paraId="2A8151BE" w14:textId="77777777" w:rsidR="00372841" w:rsidRDefault="00601799" w:rsidP="00D0384C">
            <w:pPr>
              <w:keepNext/>
              <w:ind w:left="0" w:right="0"/>
            </w:pPr>
            <w:r>
              <w:t>EU</w:t>
            </w:r>
          </w:p>
          <w:p w14:paraId="458DCFB9" w14:textId="6AD45149" w:rsidR="00006FAB" w:rsidRDefault="00F849C1" w:rsidP="00F849C1">
            <w:pPr>
              <w:keepNext/>
              <w:ind w:left="0" w:right="-144"/>
            </w:pPr>
            <w:r>
              <w:t>(</w:t>
            </w:r>
            <w:r w:rsidR="00D0384C">
              <w:t>v</w:t>
            </w:r>
            <w:r>
              <w:t xml:space="preserve">ia </w:t>
            </w:r>
            <w:r w:rsidR="00372841">
              <w:t>Centralised Procedure)</w:t>
            </w:r>
          </w:p>
        </w:tc>
        <w:tc>
          <w:tcPr>
            <w:tcW w:w="2070" w:type="dxa"/>
            <w:tcBorders>
              <w:top w:val="single" w:sz="4" w:space="0" w:color="auto"/>
            </w:tcBorders>
          </w:tcPr>
          <w:p w14:paraId="6C66D687" w14:textId="19924FB9" w:rsidR="00006FAB" w:rsidRDefault="002B2034" w:rsidP="00D0384C">
            <w:pPr>
              <w:keepNext/>
              <w:ind w:left="0" w:right="0"/>
            </w:pPr>
            <w:r>
              <w:t>21</w:t>
            </w:r>
            <w:r w:rsidRPr="00F849C1">
              <w:rPr>
                <w:sz w:val="18"/>
              </w:rPr>
              <w:t> </w:t>
            </w:r>
            <w:r>
              <w:t>November</w:t>
            </w:r>
            <w:r w:rsidRPr="00F849C1">
              <w:rPr>
                <w:sz w:val="18"/>
              </w:rPr>
              <w:t> </w:t>
            </w:r>
            <w:r w:rsidR="005221D6">
              <w:t>2019</w:t>
            </w:r>
          </w:p>
        </w:tc>
        <w:tc>
          <w:tcPr>
            <w:tcW w:w="2070" w:type="dxa"/>
            <w:tcBorders>
              <w:top w:val="single" w:sz="4" w:space="0" w:color="auto"/>
            </w:tcBorders>
          </w:tcPr>
          <w:p w14:paraId="4040EF94" w14:textId="5CA38934" w:rsidR="00601799" w:rsidRDefault="005221D6" w:rsidP="00D0384C">
            <w:pPr>
              <w:keepNext/>
              <w:ind w:left="0" w:right="0"/>
            </w:pPr>
            <w:r>
              <w:t>Approved on 1</w:t>
            </w:r>
            <w:r w:rsidR="002B2034">
              <w:t>7 </w:t>
            </w:r>
            <w:r>
              <w:t>Se</w:t>
            </w:r>
            <w:r w:rsidR="002B2034">
              <w:t>ptember </w:t>
            </w:r>
            <w:r>
              <w:t>2020</w:t>
            </w:r>
          </w:p>
        </w:tc>
        <w:tc>
          <w:tcPr>
            <w:tcW w:w="3099" w:type="dxa"/>
            <w:tcBorders>
              <w:top w:val="single" w:sz="4" w:space="0" w:color="auto"/>
            </w:tcBorders>
          </w:tcPr>
          <w:p w14:paraId="7219F5CB" w14:textId="2FC32A29" w:rsidR="00372841" w:rsidRPr="00F849C1" w:rsidRDefault="00372841" w:rsidP="00D0384C">
            <w:pPr>
              <w:keepNext/>
              <w:ind w:left="0" w:right="0"/>
              <w:rPr>
                <w:i/>
                <w:lang w:val="en-US"/>
              </w:rPr>
            </w:pPr>
            <w:r w:rsidRPr="00F849C1">
              <w:rPr>
                <w:i/>
                <w:lang w:val="en-US"/>
              </w:rPr>
              <w:t>Lynparza in combination with bevacizumab is indicated for the:</w:t>
            </w:r>
          </w:p>
          <w:p w14:paraId="1633E865" w14:textId="122E1413" w:rsidR="00006FAB" w:rsidRPr="00D0384C" w:rsidRDefault="00372841" w:rsidP="00D0384C">
            <w:pPr>
              <w:pStyle w:val="ListBullet"/>
              <w:ind w:left="0" w:right="0"/>
              <w:rPr>
                <w:i/>
                <w:lang w:val="en-US"/>
              </w:rPr>
            </w:pPr>
            <w:r w:rsidRPr="00D0384C">
              <w:rPr>
                <w:i/>
                <w:lang w:val="en-US"/>
              </w:rPr>
              <w:t>maintenance treatment of adult patients with advanced (FIGO stages III and IV) high-grade epithelial ovarian, fallopian tube or primary peritoneal cancer who are in response (complete or partial) following completion of first-line platinum-based chemotherapy in combination with bevacizumab and whose cancer is associated with homologous recombination deficiency (HRD) positive status defined by either a BRCA1/2 mutation and/or genomic instability.</w:t>
            </w:r>
          </w:p>
        </w:tc>
      </w:tr>
      <w:tr w:rsidR="00006FAB" w14:paraId="05F26DCE" w14:textId="77777777" w:rsidTr="00D0384C">
        <w:tc>
          <w:tcPr>
            <w:tcW w:w="1255" w:type="dxa"/>
          </w:tcPr>
          <w:p w14:paraId="7030BB74" w14:textId="2FBB13C3" w:rsidR="00006FAB" w:rsidRDefault="00372841" w:rsidP="00F849C1">
            <w:pPr>
              <w:ind w:left="0" w:right="0"/>
            </w:pPr>
            <w:r>
              <w:t>US</w:t>
            </w:r>
          </w:p>
        </w:tc>
        <w:tc>
          <w:tcPr>
            <w:tcW w:w="2070" w:type="dxa"/>
          </w:tcPr>
          <w:p w14:paraId="18943DF0" w14:textId="5A464C36" w:rsidR="00006FAB" w:rsidRDefault="00FE3581" w:rsidP="00F849C1">
            <w:pPr>
              <w:ind w:left="0" w:right="0"/>
            </w:pPr>
            <w:r>
              <w:t>13 November 2019</w:t>
            </w:r>
          </w:p>
        </w:tc>
        <w:tc>
          <w:tcPr>
            <w:tcW w:w="2070" w:type="dxa"/>
          </w:tcPr>
          <w:p w14:paraId="0A18F024" w14:textId="14776AB7" w:rsidR="00006FAB" w:rsidRDefault="005221D6" w:rsidP="00F849C1">
            <w:pPr>
              <w:ind w:left="0" w:right="0"/>
            </w:pPr>
            <w:r>
              <w:t xml:space="preserve">Approved on </w:t>
            </w:r>
            <w:r w:rsidR="002B2034">
              <w:t>8 May </w:t>
            </w:r>
            <w:r w:rsidR="00372841">
              <w:t>2020</w:t>
            </w:r>
          </w:p>
        </w:tc>
        <w:tc>
          <w:tcPr>
            <w:tcW w:w="3099" w:type="dxa"/>
          </w:tcPr>
          <w:p w14:paraId="22F99C20" w14:textId="7C9C592D" w:rsidR="006162BE" w:rsidRPr="008E0079" w:rsidRDefault="008E0079" w:rsidP="00F849C1">
            <w:pPr>
              <w:ind w:left="0" w:right="0"/>
              <w:rPr>
                <w:i/>
                <w:lang w:val="en-US"/>
              </w:rPr>
            </w:pPr>
            <w:r w:rsidRPr="008E0079">
              <w:rPr>
                <w:i/>
                <w:lang w:val="en-US"/>
              </w:rPr>
              <w:t>I</w:t>
            </w:r>
            <w:r w:rsidR="00372841" w:rsidRPr="008E0079">
              <w:rPr>
                <w:i/>
                <w:lang w:val="en-US"/>
              </w:rPr>
              <w:t>n combination with bevacizumab for the 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w:t>
            </w:r>
          </w:p>
          <w:p w14:paraId="4FEB3FDF" w14:textId="4A726E2D" w:rsidR="00372841" w:rsidRPr="00D0384C" w:rsidRDefault="00372841" w:rsidP="00F849C1">
            <w:pPr>
              <w:pStyle w:val="ListBullet"/>
              <w:rPr>
                <w:i/>
              </w:rPr>
            </w:pPr>
            <w:r w:rsidRPr="00D0384C">
              <w:rPr>
                <w:i/>
              </w:rPr>
              <w:t>a deleterious or suspected deleterious BRCA mutation, and/or</w:t>
            </w:r>
          </w:p>
          <w:p w14:paraId="0EFE3857" w14:textId="773CC51B" w:rsidR="00372841" w:rsidRPr="00D0384C" w:rsidRDefault="00372841" w:rsidP="00F849C1">
            <w:pPr>
              <w:pStyle w:val="ListBullet"/>
              <w:rPr>
                <w:i/>
              </w:rPr>
            </w:pPr>
            <w:r w:rsidRPr="00D0384C">
              <w:rPr>
                <w:i/>
              </w:rPr>
              <w:t>genomic instability.</w:t>
            </w:r>
          </w:p>
          <w:p w14:paraId="79C14148" w14:textId="40024D90" w:rsidR="00006FAB" w:rsidRPr="006162BE" w:rsidRDefault="00372841" w:rsidP="00F849C1">
            <w:pPr>
              <w:ind w:left="0" w:right="0"/>
              <w:rPr>
                <w:lang w:val="en-US"/>
              </w:rPr>
            </w:pPr>
            <w:r w:rsidRPr="008E0079">
              <w:rPr>
                <w:i/>
                <w:lang w:val="en-US"/>
              </w:rPr>
              <w:t>Select patients for therapy based on an FDA-approved companion diagnostic for Lynparza.</w:t>
            </w:r>
          </w:p>
        </w:tc>
      </w:tr>
    </w:tbl>
    <w:p w14:paraId="66BDB828" w14:textId="2ED0634A" w:rsidR="00FA3D1B" w:rsidRDefault="00FA3D1B" w:rsidP="00FA3D1B">
      <w:pPr>
        <w:pStyle w:val="TableDescription"/>
      </w:pPr>
      <w:r>
        <w:t xml:space="preserve">FDA = Food and Drug Administration, FIGO </w:t>
      </w:r>
      <w:r w:rsidR="005366A6">
        <w:t xml:space="preserve">= </w:t>
      </w:r>
      <w:proofErr w:type="spellStart"/>
      <w:r w:rsidR="00D460C1" w:rsidRPr="00D460C1">
        <w:t>Fédération</w:t>
      </w:r>
      <w:proofErr w:type="spellEnd"/>
      <w:r w:rsidR="00D460C1" w:rsidRPr="00D460C1">
        <w:t xml:space="preserve"> </w:t>
      </w:r>
      <w:r w:rsidR="005366A6">
        <w:t xml:space="preserve">Internationale de </w:t>
      </w:r>
      <w:proofErr w:type="spellStart"/>
      <w:r w:rsidR="005366A6">
        <w:t>Gynécologie</w:t>
      </w:r>
      <w:proofErr w:type="spellEnd"/>
      <w:r w:rsidR="005366A6">
        <w:t xml:space="preserve"> </w:t>
      </w:r>
      <w:r w:rsidR="00D460C1">
        <w:t xml:space="preserve">et </w:t>
      </w:r>
      <w:proofErr w:type="spellStart"/>
      <w:r w:rsidR="00D460C1">
        <w:t>d’</w:t>
      </w:r>
      <w:r w:rsidR="005366A6">
        <w:t>Obstétrique</w:t>
      </w:r>
      <w:proofErr w:type="spellEnd"/>
      <w:r w:rsidR="005366A6">
        <w:t xml:space="preserve"> (International Federation of Gynaecology and Obstetrics</w:t>
      </w:r>
      <w:r w:rsidR="00D460C1">
        <w:t>)</w:t>
      </w:r>
      <w:r>
        <w:t>.</w:t>
      </w:r>
    </w:p>
    <w:p w14:paraId="4F3A9C9D" w14:textId="7269FA8C" w:rsidR="00D65374" w:rsidRDefault="00D65374" w:rsidP="00D65374">
      <w:pPr>
        <w:pStyle w:val="Heading4"/>
      </w:pPr>
      <w:r>
        <w:t>Adenocarcinoma of the pancreas indication</w:t>
      </w:r>
    </w:p>
    <w:p w14:paraId="33D3973B" w14:textId="58512143" w:rsidR="00D65374" w:rsidRDefault="00D65374" w:rsidP="00D65374">
      <w:r>
        <w:t>At the time the TGA considered this application, similar application</w:t>
      </w:r>
      <w:r w:rsidR="00F849C1">
        <w:t>s</w:t>
      </w:r>
      <w:r>
        <w:t xml:space="preserve"> had been approved </w:t>
      </w:r>
      <w:r w:rsidR="008E0079">
        <w:t xml:space="preserve">the EU (approved </w:t>
      </w:r>
      <w:r w:rsidR="00FA3D1B">
        <w:t xml:space="preserve">on </w:t>
      </w:r>
      <w:r w:rsidR="008E0079">
        <w:t xml:space="preserve">3 July 2020), US (approved </w:t>
      </w:r>
      <w:r w:rsidR="00FA3D1B">
        <w:t xml:space="preserve">on </w:t>
      </w:r>
      <w:r w:rsidR="008E0079">
        <w:t xml:space="preserve">27 December 2019), Canada (approved </w:t>
      </w:r>
      <w:r w:rsidR="00FA3D1B">
        <w:t xml:space="preserve">on </w:t>
      </w:r>
      <w:r w:rsidR="008E0079">
        <w:t xml:space="preserve">14 February 2020), Singapore (approved </w:t>
      </w:r>
      <w:r w:rsidR="00FA3D1B">
        <w:t xml:space="preserve">on </w:t>
      </w:r>
      <w:r w:rsidR="008E0079">
        <w:t xml:space="preserve">14 August 2020) and Switzerland (approved </w:t>
      </w:r>
      <w:r w:rsidR="00FA3D1B">
        <w:t xml:space="preserve">on </w:t>
      </w:r>
      <w:r w:rsidR="008E0079">
        <w:t xml:space="preserve">14 May 2020), and </w:t>
      </w:r>
      <w:r w:rsidR="00F849C1">
        <w:t xml:space="preserve">an application </w:t>
      </w:r>
      <w:r>
        <w:t xml:space="preserve">was under consideration in </w:t>
      </w:r>
      <w:r w:rsidR="008E0079">
        <w:t xml:space="preserve">New Zealand (submitted </w:t>
      </w:r>
      <w:r w:rsidR="00FA3D1B">
        <w:t xml:space="preserve">on </w:t>
      </w:r>
      <w:r w:rsidR="008E0079">
        <w:t>1 April 2020)</w:t>
      </w:r>
      <w:r>
        <w:t>.</w:t>
      </w:r>
    </w:p>
    <w:p w14:paraId="274B71AC" w14:textId="78B70344" w:rsidR="004142C5" w:rsidRDefault="004142C5" w:rsidP="00D65374">
      <w:r>
        <w:t xml:space="preserve">See </w:t>
      </w:r>
      <w:r>
        <w:fldChar w:fldCharType="begin"/>
      </w:r>
      <w:r>
        <w:instrText xml:space="preserve"> REF _Ref66200617 \h </w:instrText>
      </w:r>
      <w:r>
        <w:fldChar w:fldCharType="separate"/>
      </w:r>
      <w:r w:rsidR="00A11EA7">
        <w:t xml:space="preserve">Table </w:t>
      </w:r>
      <w:r w:rsidR="00A11EA7">
        <w:rPr>
          <w:noProof/>
        </w:rPr>
        <w:t>2</w:t>
      </w:r>
      <w:r>
        <w:fldChar w:fldCharType="end"/>
      </w:r>
      <w:r>
        <w:t xml:space="preserve"> for the approved indications in the EU and US.</w:t>
      </w:r>
    </w:p>
    <w:p w14:paraId="575D7CFC" w14:textId="2A6A495A" w:rsidR="00D65374" w:rsidRPr="00F0146F" w:rsidRDefault="00D65374" w:rsidP="00D65374">
      <w:pPr>
        <w:pStyle w:val="TableTitle"/>
      </w:pPr>
      <w:bookmarkStart w:id="22" w:name="_Ref66200617"/>
      <w:r>
        <w:t xml:space="preserve">Table </w:t>
      </w:r>
      <w:r w:rsidR="00EC1515">
        <w:fldChar w:fldCharType="begin"/>
      </w:r>
      <w:r w:rsidR="00EC1515">
        <w:instrText xml:space="preserve"> SEQ Table \* ARABIC </w:instrText>
      </w:r>
      <w:r w:rsidR="00EC1515">
        <w:fldChar w:fldCharType="separate"/>
      </w:r>
      <w:r w:rsidR="00A11EA7">
        <w:rPr>
          <w:noProof/>
        </w:rPr>
        <w:t>2</w:t>
      </w:r>
      <w:r w:rsidR="00EC1515">
        <w:rPr>
          <w:noProof/>
        </w:rPr>
        <w:fldChar w:fldCharType="end"/>
      </w:r>
      <w:bookmarkEnd w:id="22"/>
      <w:r>
        <w:t>: International regulatory status (</w:t>
      </w:r>
      <w:r w:rsidR="00FE3581">
        <w:t>adenocarcinoma of the pancreas indication</w:t>
      </w:r>
      <w:r>
        <w:t>) as of January 2021</w:t>
      </w:r>
      <w:r w:rsidR="008E0079">
        <w:t>, European Union and United States only</w:t>
      </w:r>
    </w:p>
    <w:tbl>
      <w:tblPr>
        <w:tblStyle w:val="TableTGAblue"/>
        <w:tblW w:w="5000" w:type="pct"/>
        <w:tblLook w:val="04A0" w:firstRow="1" w:lastRow="0" w:firstColumn="1" w:lastColumn="0" w:noHBand="0" w:noVBand="1"/>
      </w:tblPr>
      <w:tblGrid>
        <w:gridCol w:w="1330"/>
        <w:gridCol w:w="1604"/>
        <w:gridCol w:w="2003"/>
        <w:gridCol w:w="3557"/>
      </w:tblGrid>
      <w:tr w:rsidR="00D65374" w14:paraId="5E10E8E5" w14:textId="77777777" w:rsidTr="00FA3D1B">
        <w:trPr>
          <w:cnfStyle w:val="100000000000" w:firstRow="1" w:lastRow="0" w:firstColumn="0" w:lastColumn="0" w:oddVBand="0" w:evenVBand="0" w:oddHBand="0" w:evenHBand="0" w:firstRowFirstColumn="0" w:firstRowLastColumn="0" w:lastRowFirstColumn="0" w:lastRowLastColumn="0"/>
        </w:trPr>
        <w:tc>
          <w:tcPr>
            <w:tcW w:w="793" w:type="pct"/>
            <w:tcBorders>
              <w:top w:val="single" w:sz="4" w:space="0" w:color="auto"/>
              <w:left w:val="single" w:sz="4" w:space="0" w:color="auto"/>
              <w:bottom w:val="single" w:sz="4" w:space="0" w:color="auto"/>
              <w:right w:val="single" w:sz="4" w:space="0" w:color="auto"/>
            </w:tcBorders>
          </w:tcPr>
          <w:p w14:paraId="3890C57C" w14:textId="77777777" w:rsidR="00D65374" w:rsidRDefault="00D65374" w:rsidP="002B2034">
            <w:pPr>
              <w:ind w:left="0" w:right="0"/>
            </w:pPr>
            <w:r>
              <w:t>Region</w:t>
            </w:r>
          </w:p>
        </w:tc>
        <w:tc>
          <w:tcPr>
            <w:tcW w:w="954" w:type="pct"/>
            <w:tcBorders>
              <w:top w:val="single" w:sz="4" w:space="0" w:color="auto"/>
              <w:left w:val="single" w:sz="4" w:space="0" w:color="auto"/>
              <w:bottom w:val="single" w:sz="4" w:space="0" w:color="auto"/>
              <w:right w:val="single" w:sz="4" w:space="0" w:color="auto"/>
            </w:tcBorders>
          </w:tcPr>
          <w:p w14:paraId="24F4FC24" w14:textId="77777777" w:rsidR="00D65374" w:rsidRDefault="00D65374" w:rsidP="002B2034">
            <w:pPr>
              <w:ind w:left="0" w:right="0"/>
            </w:pPr>
            <w:r>
              <w:t>Submission date</w:t>
            </w:r>
          </w:p>
        </w:tc>
        <w:tc>
          <w:tcPr>
            <w:tcW w:w="1149" w:type="pct"/>
            <w:tcBorders>
              <w:top w:val="single" w:sz="4" w:space="0" w:color="auto"/>
              <w:left w:val="single" w:sz="4" w:space="0" w:color="auto"/>
              <w:bottom w:val="single" w:sz="4" w:space="0" w:color="auto"/>
              <w:right w:val="single" w:sz="4" w:space="0" w:color="auto"/>
            </w:tcBorders>
          </w:tcPr>
          <w:p w14:paraId="6579BF9A" w14:textId="77777777" w:rsidR="00D65374" w:rsidRDefault="00D65374" w:rsidP="002B2034">
            <w:pPr>
              <w:ind w:left="0" w:right="0"/>
            </w:pPr>
            <w:r>
              <w:t>Status</w:t>
            </w:r>
          </w:p>
        </w:tc>
        <w:tc>
          <w:tcPr>
            <w:tcW w:w="2105" w:type="pct"/>
            <w:tcBorders>
              <w:top w:val="single" w:sz="4" w:space="0" w:color="auto"/>
              <w:left w:val="single" w:sz="4" w:space="0" w:color="auto"/>
              <w:bottom w:val="single" w:sz="4" w:space="0" w:color="auto"/>
              <w:right w:val="single" w:sz="4" w:space="0" w:color="auto"/>
            </w:tcBorders>
          </w:tcPr>
          <w:p w14:paraId="0AB85E93" w14:textId="77777777" w:rsidR="00D65374" w:rsidRDefault="00D65374" w:rsidP="002B2034">
            <w:pPr>
              <w:ind w:left="0" w:right="0"/>
            </w:pPr>
            <w:r>
              <w:t>Approved indications</w:t>
            </w:r>
          </w:p>
        </w:tc>
      </w:tr>
      <w:tr w:rsidR="00D65374" w14:paraId="68B1207B" w14:textId="77777777" w:rsidTr="00FA3D1B">
        <w:tc>
          <w:tcPr>
            <w:tcW w:w="793" w:type="pct"/>
            <w:tcBorders>
              <w:top w:val="single" w:sz="4" w:space="0" w:color="auto"/>
            </w:tcBorders>
          </w:tcPr>
          <w:p w14:paraId="49C37B92" w14:textId="77777777" w:rsidR="00D65374" w:rsidRDefault="00D65374" w:rsidP="002B2034">
            <w:pPr>
              <w:ind w:left="0" w:right="0"/>
            </w:pPr>
            <w:r>
              <w:t>EU</w:t>
            </w:r>
          </w:p>
          <w:p w14:paraId="6B687CD5" w14:textId="644E2324" w:rsidR="00D65374" w:rsidRDefault="00A11EA7" w:rsidP="002B2034">
            <w:pPr>
              <w:ind w:left="0" w:right="0"/>
            </w:pPr>
            <w:r>
              <w:t>(via C</w:t>
            </w:r>
            <w:r w:rsidR="00D65374">
              <w:t>entralised Procedure)</w:t>
            </w:r>
          </w:p>
        </w:tc>
        <w:tc>
          <w:tcPr>
            <w:tcW w:w="954" w:type="pct"/>
            <w:tcBorders>
              <w:top w:val="single" w:sz="4" w:space="0" w:color="auto"/>
            </w:tcBorders>
          </w:tcPr>
          <w:p w14:paraId="207071F3" w14:textId="6BD69887" w:rsidR="00D65374" w:rsidRDefault="008E0079" w:rsidP="008E0079">
            <w:pPr>
              <w:ind w:left="0" w:right="0"/>
            </w:pPr>
            <w:r>
              <w:t>2 July 2019</w:t>
            </w:r>
          </w:p>
        </w:tc>
        <w:tc>
          <w:tcPr>
            <w:tcW w:w="1149" w:type="pct"/>
            <w:tcBorders>
              <w:top w:val="single" w:sz="4" w:space="0" w:color="auto"/>
            </w:tcBorders>
          </w:tcPr>
          <w:p w14:paraId="7713EDA9" w14:textId="1E3E1F91" w:rsidR="00D65374" w:rsidRDefault="008E0079" w:rsidP="002B2034">
            <w:pPr>
              <w:ind w:left="0" w:right="0"/>
            </w:pPr>
            <w:r>
              <w:t xml:space="preserve">Approved on </w:t>
            </w:r>
            <w:r w:rsidR="00FA3D1B">
              <w:t>3 </w:t>
            </w:r>
            <w:r w:rsidR="00D65374">
              <w:t>July 2020</w:t>
            </w:r>
          </w:p>
        </w:tc>
        <w:tc>
          <w:tcPr>
            <w:tcW w:w="2105" w:type="pct"/>
            <w:tcBorders>
              <w:top w:val="single" w:sz="4" w:space="0" w:color="auto"/>
            </w:tcBorders>
          </w:tcPr>
          <w:p w14:paraId="31280E16" w14:textId="03D903E6" w:rsidR="00D65374" w:rsidRPr="008E0079" w:rsidRDefault="00FE3581" w:rsidP="008E0079">
            <w:pPr>
              <w:ind w:left="0" w:right="0"/>
              <w:rPr>
                <w:i/>
                <w:lang w:val="en-US"/>
              </w:rPr>
            </w:pPr>
            <w:r w:rsidRPr="008E0079">
              <w:rPr>
                <w:i/>
                <w:lang w:val="en-US"/>
              </w:rPr>
              <w:t>Lynparza is indicated as monotherapy for the maintenance treatment of adult patients with germline BRCA1/2-mutations who have metastatic adenocarcinoma of the pancreas and have not progressed after a minimum of 16 weeks of platinum treatment within a first-line chemotherapy regimen.</w:t>
            </w:r>
          </w:p>
        </w:tc>
      </w:tr>
      <w:tr w:rsidR="00D65374" w14:paraId="2254030A" w14:textId="77777777" w:rsidTr="00FA3D1B">
        <w:tc>
          <w:tcPr>
            <w:tcW w:w="793" w:type="pct"/>
          </w:tcPr>
          <w:p w14:paraId="6E37FB41" w14:textId="77777777" w:rsidR="00D65374" w:rsidRDefault="00D65374" w:rsidP="002B2034">
            <w:pPr>
              <w:ind w:left="0" w:right="0"/>
            </w:pPr>
            <w:r>
              <w:t>US</w:t>
            </w:r>
          </w:p>
        </w:tc>
        <w:tc>
          <w:tcPr>
            <w:tcW w:w="954" w:type="pct"/>
          </w:tcPr>
          <w:p w14:paraId="51E5C8FC" w14:textId="53FEAD2C" w:rsidR="00D65374" w:rsidRDefault="008E0079" w:rsidP="008E0079">
            <w:pPr>
              <w:ind w:left="0" w:right="0"/>
            </w:pPr>
            <w:r>
              <w:t>28 June 2019</w:t>
            </w:r>
          </w:p>
        </w:tc>
        <w:tc>
          <w:tcPr>
            <w:tcW w:w="1149" w:type="pct"/>
          </w:tcPr>
          <w:p w14:paraId="72476835" w14:textId="2F35437C" w:rsidR="00D65374" w:rsidRDefault="00FA3D1B" w:rsidP="002B2034">
            <w:pPr>
              <w:ind w:left="0" w:right="0"/>
            </w:pPr>
            <w:r>
              <w:t>Approved on 27 December </w:t>
            </w:r>
            <w:r w:rsidR="008E0079">
              <w:t>2019</w:t>
            </w:r>
          </w:p>
        </w:tc>
        <w:tc>
          <w:tcPr>
            <w:tcW w:w="2105" w:type="pct"/>
          </w:tcPr>
          <w:p w14:paraId="3875C06D" w14:textId="448B2042" w:rsidR="00D65374" w:rsidRPr="008E0079" w:rsidRDefault="008E0079" w:rsidP="008E0079">
            <w:pPr>
              <w:ind w:left="0" w:right="0"/>
              <w:rPr>
                <w:i/>
                <w:lang w:val="en-US"/>
              </w:rPr>
            </w:pPr>
            <w:r>
              <w:rPr>
                <w:i/>
                <w:lang w:val="en-US"/>
              </w:rPr>
              <w:t>F</w:t>
            </w:r>
            <w:r w:rsidR="00D65374" w:rsidRPr="008E0079">
              <w:rPr>
                <w:i/>
                <w:lang w:val="en-US"/>
              </w:rPr>
              <w:t xml:space="preserve">or the maintenance treatment of adult patients with deleterious or suspected deleterious </w:t>
            </w:r>
            <w:proofErr w:type="spellStart"/>
            <w:r w:rsidR="00D65374" w:rsidRPr="008E0079">
              <w:rPr>
                <w:i/>
                <w:lang w:val="en-US"/>
              </w:rPr>
              <w:t>gBRCAm</w:t>
            </w:r>
            <w:proofErr w:type="spellEnd"/>
            <w:r w:rsidR="00D65374" w:rsidRPr="008E0079">
              <w:rPr>
                <w:i/>
                <w:lang w:val="en-US"/>
              </w:rPr>
              <w:t xml:space="preserve"> metastatic pancreatic adenocarcinoma whose disease has not progressed on at least 16 weeks of a first-line platinum-based chemotherapy regimen.</w:t>
            </w:r>
          </w:p>
          <w:p w14:paraId="2636E09F" w14:textId="208ADFAF" w:rsidR="00D65374" w:rsidRPr="006162BE" w:rsidRDefault="00D65374" w:rsidP="008E0079">
            <w:pPr>
              <w:ind w:left="0" w:right="0"/>
              <w:rPr>
                <w:lang w:val="en-US"/>
              </w:rPr>
            </w:pPr>
            <w:r w:rsidRPr="008E0079">
              <w:rPr>
                <w:i/>
                <w:lang w:val="en-US"/>
              </w:rPr>
              <w:t>Select patients for therapy based on an FDA-approved companion diagnostic for Lynparza.</w:t>
            </w:r>
          </w:p>
        </w:tc>
      </w:tr>
    </w:tbl>
    <w:p w14:paraId="1A26D85D" w14:textId="1E9A4082" w:rsidR="00F849C1" w:rsidRPr="00F849C1" w:rsidRDefault="00F849C1" w:rsidP="00EE2E1E">
      <w:pPr>
        <w:pStyle w:val="TableDescription"/>
      </w:pPr>
      <w:proofErr w:type="spellStart"/>
      <w:r>
        <w:t>gBRCAm</w:t>
      </w:r>
      <w:proofErr w:type="spellEnd"/>
      <w:r>
        <w:t xml:space="preserve"> = </w:t>
      </w:r>
      <w:r w:rsidRPr="00F849C1">
        <w:t>germline BRCA-mutated</w:t>
      </w:r>
      <w:r>
        <w:t>; FDA = Food and Drug Administration.</w:t>
      </w:r>
    </w:p>
    <w:p w14:paraId="406B3B0C" w14:textId="390544A2" w:rsidR="008E7846" w:rsidRDefault="008E7846" w:rsidP="00940A89">
      <w:pPr>
        <w:pStyle w:val="Heading3"/>
      </w:pPr>
      <w:bookmarkStart w:id="23" w:name="_Toc71183712"/>
      <w:r>
        <w:t>Product Information</w:t>
      </w:r>
      <w:bookmarkEnd w:id="19"/>
      <w:bookmarkEnd w:id="20"/>
      <w:bookmarkEnd w:id="23"/>
    </w:p>
    <w:p w14:paraId="6CC51293" w14:textId="3827D35C" w:rsidR="00940A89" w:rsidRDefault="006136D7" w:rsidP="00940A89">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7" w:history="1">
        <w:r w:rsidR="00441C3F" w:rsidRPr="00441C3F">
          <w:rPr>
            <w:rStyle w:val="Hyperlink"/>
          </w:rPr>
          <w:t>https://www.tga.gov.au/product-information-pi</w:t>
        </w:r>
      </w:hyperlink>
      <w:r w:rsidR="00441C3F">
        <w:t>&gt;</w:t>
      </w:r>
      <w:r w:rsidR="00940A89" w:rsidRPr="00940A89">
        <w:t>.</w:t>
      </w:r>
    </w:p>
    <w:p w14:paraId="79A55ED1" w14:textId="77777777" w:rsidR="00500337" w:rsidRDefault="00500337" w:rsidP="00B67678">
      <w:pPr>
        <w:pStyle w:val="Heading2"/>
      </w:pPr>
      <w:bookmarkStart w:id="26" w:name="_Toc504480011"/>
      <w:bookmarkStart w:id="27" w:name="_Toc71183713"/>
      <w:r>
        <w:t>II. Registration timeline</w:t>
      </w:r>
      <w:bookmarkEnd w:id="26"/>
      <w:bookmarkEnd w:id="27"/>
    </w:p>
    <w:p w14:paraId="5833665E" w14:textId="77777777" w:rsidR="00500337" w:rsidRDefault="00500337" w:rsidP="00B67678">
      <w:pPr>
        <w:keepNext/>
      </w:pPr>
      <w:r>
        <w:t>The following table captures the key steps and dates for this application and which are detailed and discussed in this AusPAR.</w:t>
      </w:r>
    </w:p>
    <w:p w14:paraId="2321EFF9" w14:textId="17D5841A" w:rsidR="00500337" w:rsidRPr="00377BD4" w:rsidRDefault="00C7300B" w:rsidP="00B67678">
      <w:pPr>
        <w:pStyle w:val="TableTitle"/>
      </w:pPr>
      <w:r>
        <w:t xml:space="preserve">Table </w:t>
      </w:r>
      <w:r w:rsidR="00EC1515">
        <w:fldChar w:fldCharType="begin"/>
      </w:r>
      <w:r w:rsidR="00EC1515">
        <w:instrText xml:space="preserve"> SEQ Table \* ARABIC </w:instrText>
      </w:r>
      <w:r w:rsidR="00EC1515">
        <w:fldChar w:fldCharType="separate"/>
      </w:r>
      <w:r w:rsidR="00A11EA7">
        <w:rPr>
          <w:noProof/>
        </w:rPr>
        <w:t>3</w:t>
      </w:r>
      <w:r w:rsidR="00EC1515">
        <w:rPr>
          <w:noProof/>
        </w:rPr>
        <w:fldChar w:fldCharType="end"/>
      </w:r>
      <w:r w:rsidR="00006FAB">
        <w:t>:</w:t>
      </w:r>
      <w:r w:rsidR="006A58A8" w:rsidRPr="006A58A8">
        <w:t xml:space="preserve"> Timeline for Submission </w:t>
      </w:r>
      <w:r w:rsidR="00601799" w:rsidRPr="00482091">
        <w:t>PM-2020-00161-1-4</w:t>
      </w:r>
    </w:p>
    <w:tbl>
      <w:tblPr>
        <w:tblStyle w:val="TableTGAblue"/>
        <w:tblW w:w="0" w:type="auto"/>
        <w:tblLook w:val="04A0" w:firstRow="1" w:lastRow="0" w:firstColumn="1" w:lastColumn="0" w:noHBand="0" w:noVBand="1"/>
      </w:tblPr>
      <w:tblGrid>
        <w:gridCol w:w="5524"/>
        <w:gridCol w:w="2970"/>
      </w:tblGrid>
      <w:tr w:rsidR="00500337" w14:paraId="6E3034AC" w14:textId="77777777" w:rsidTr="00EC1515">
        <w:trPr>
          <w:cnfStyle w:val="100000000000" w:firstRow="1" w:lastRow="0" w:firstColumn="0" w:lastColumn="0" w:oddVBand="0" w:evenVBand="0" w:oddHBand="0" w:evenHBand="0" w:firstRowFirstColumn="0" w:firstRowLastColumn="0" w:lastRowFirstColumn="0" w:lastRowLastColumn="0"/>
          <w:cantSplit/>
        </w:trPr>
        <w:tc>
          <w:tcPr>
            <w:tcW w:w="5524" w:type="dxa"/>
            <w:tcBorders>
              <w:top w:val="single" w:sz="4" w:space="0" w:color="auto"/>
              <w:left w:val="single" w:sz="4" w:space="0" w:color="auto"/>
              <w:bottom w:val="single" w:sz="4" w:space="0" w:color="auto"/>
              <w:right w:val="single" w:sz="4" w:space="0" w:color="auto"/>
            </w:tcBorders>
          </w:tcPr>
          <w:p w14:paraId="67FFE697" w14:textId="77777777" w:rsidR="00500337" w:rsidRDefault="00500337" w:rsidP="00EC1515">
            <w:r>
              <w:t>Description</w:t>
            </w:r>
          </w:p>
        </w:tc>
        <w:tc>
          <w:tcPr>
            <w:tcW w:w="2970" w:type="dxa"/>
            <w:tcBorders>
              <w:top w:val="single" w:sz="4" w:space="0" w:color="auto"/>
              <w:left w:val="single" w:sz="4" w:space="0" w:color="auto"/>
              <w:bottom w:val="single" w:sz="4" w:space="0" w:color="auto"/>
              <w:right w:val="single" w:sz="4" w:space="0" w:color="auto"/>
            </w:tcBorders>
          </w:tcPr>
          <w:p w14:paraId="5F3E2577" w14:textId="77777777" w:rsidR="00500337" w:rsidRDefault="00500337" w:rsidP="00EC1515">
            <w:r>
              <w:t>Date</w:t>
            </w:r>
          </w:p>
        </w:tc>
      </w:tr>
      <w:tr w:rsidR="00500337" w14:paraId="67FEF395" w14:textId="77777777" w:rsidTr="00EC1515">
        <w:tc>
          <w:tcPr>
            <w:tcW w:w="5524" w:type="dxa"/>
            <w:tcBorders>
              <w:top w:val="single" w:sz="4" w:space="0" w:color="auto"/>
            </w:tcBorders>
          </w:tcPr>
          <w:p w14:paraId="4A61A0A5" w14:textId="77777777" w:rsidR="00500337" w:rsidRDefault="00500337" w:rsidP="00EC1515">
            <w:r>
              <w:t>Submission dossier accepted and first round evaluation commenced</w:t>
            </w:r>
          </w:p>
        </w:tc>
        <w:tc>
          <w:tcPr>
            <w:tcW w:w="2970" w:type="dxa"/>
            <w:tcBorders>
              <w:top w:val="single" w:sz="4" w:space="0" w:color="auto"/>
            </w:tcBorders>
          </w:tcPr>
          <w:p w14:paraId="1E5CC504" w14:textId="6F698B74" w:rsidR="00500337" w:rsidRDefault="00601799" w:rsidP="00EC1515">
            <w:r>
              <w:t>2 March 2020</w:t>
            </w:r>
          </w:p>
        </w:tc>
      </w:tr>
      <w:tr w:rsidR="00500337" w14:paraId="47DA0BD9" w14:textId="77777777" w:rsidTr="00EC1515">
        <w:tc>
          <w:tcPr>
            <w:tcW w:w="5524" w:type="dxa"/>
          </w:tcPr>
          <w:p w14:paraId="3AD37FC2" w14:textId="77777777" w:rsidR="00500337" w:rsidRDefault="00500337" w:rsidP="00EC1515">
            <w:r>
              <w:t>First round evaluation completed</w:t>
            </w:r>
          </w:p>
        </w:tc>
        <w:tc>
          <w:tcPr>
            <w:tcW w:w="2970" w:type="dxa"/>
          </w:tcPr>
          <w:p w14:paraId="5ED90D24" w14:textId="4D5F4DBD" w:rsidR="00500337" w:rsidRDefault="00601799" w:rsidP="00EC1515">
            <w:r>
              <w:t>26 August 2020</w:t>
            </w:r>
          </w:p>
        </w:tc>
      </w:tr>
      <w:tr w:rsidR="00500337" w14:paraId="4F1B0120" w14:textId="77777777" w:rsidTr="00EC1515">
        <w:tc>
          <w:tcPr>
            <w:tcW w:w="5524" w:type="dxa"/>
          </w:tcPr>
          <w:p w14:paraId="130561A5" w14:textId="77777777" w:rsidR="00500337" w:rsidRDefault="00500337" w:rsidP="00EC1515">
            <w:r>
              <w:t>Sponsor provides responses on questions raised in first round evaluation</w:t>
            </w:r>
          </w:p>
        </w:tc>
        <w:tc>
          <w:tcPr>
            <w:tcW w:w="2970" w:type="dxa"/>
          </w:tcPr>
          <w:p w14:paraId="507FBA4D" w14:textId="0F774FFC" w:rsidR="00500337" w:rsidRDefault="00601799" w:rsidP="00EC1515">
            <w:r>
              <w:t>29 September 2020</w:t>
            </w:r>
          </w:p>
        </w:tc>
      </w:tr>
      <w:tr w:rsidR="00500337" w14:paraId="3E31D748" w14:textId="77777777" w:rsidTr="00EC1515">
        <w:tc>
          <w:tcPr>
            <w:tcW w:w="5524" w:type="dxa"/>
          </w:tcPr>
          <w:p w14:paraId="5A070AB4" w14:textId="77777777" w:rsidR="00500337" w:rsidRDefault="00500337" w:rsidP="00EC1515">
            <w:r>
              <w:t>Second round evaluation completed</w:t>
            </w:r>
          </w:p>
        </w:tc>
        <w:tc>
          <w:tcPr>
            <w:tcW w:w="2970" w:type="dxa"/>
          </w:tcPr>
          <w:p w14:paraId="5B3292AD" w14:textId="2293B563" w:rsidR="00500337" w:rsidRDefault="00601799" w:rsidP="00EC1515">
            <w:r>
              <w:t>6 November 2020</w:t>
            </w:r>
          </w:p>
        </w:tc>
      </w:tr>
      <w:tr w:rsidR="00500337" w14:paraId="5B7B60E1" w14:textId="77777777" w:rsidTr="00EC1515">
        <w:tc>
          <w:tcPr>
            <w:tcW w:w="5524" w:type="dxa"/>
          </w:tcPr>
          <w:p w14:paraId="191CB63B" w14:textId="5785882A" w:rsidR="00500337" w:rsidRPr="00601799" w:rsidRDefault="00324E45" w:rsidP="00EC1515">
            <w:pPr>
              <w:rPr>
                <w:color w:val="auto"/>
              </w:rPr>
            </w:pPr>
            <w:r w:rsidRPr="00601799">
              <w:rPr>
                <w:color w:val="auto"/>
              </w:rPr>
              <w:t>Delegate’s Overall benefit-risk assessment and reques</w:t>
            </w:r>
            <w:r w:rsidR="00601799" w:rsidRPr="00601799">
              <w:rPr>
                <w:color w:val="auto"/>
              </w:rPr>
              <w:t>t for Advisory Committee advice</w:t>
            </w:r>
          </w:p>
        </w:tc>
        <w:tc>
          <w:tcPr>
            <w:tcW w:w="2970" w:type="dxa"/>
          </w:tcPr>
          <w:p w14:paraId="7D87BD70" w14:textId="5A5860E0" w:rsidR="00500337" w:rsidRPr="00601799" w:rsidRDefault="00601799" w:rsidP="00EC1515">
            <w:pPr>
              <w:rPr>
                <w:color w:val="auto"/>
              </w:rPr>
            </w:pPr>
            <w:r w:rsidRPr="00601799">
              <w:rPr>
                <w:color w:val="auto"/>
              </w:rPr>
              <w:t>17 December 2020</w:t>
            </w:r>
          </w:p>
        </w:tc>
      </w:tr>
      <w:tr w:rsidR="00500337" w14:paraId="32D17707" w14:textId="77777777" w:rsidTr="00EC1515">
        <w:tc>
          <w:tcPr>
            <w:tcW w:w="5524" w:type="dxa"/>
          </w:tcPr>
          <w:p w14:paraId="274086DC" w14:textId="77777777" w:rsidR="00500337" w:rsidRDefault="00500337" w:rsidP="00EC1515">
            <w:r>
              <w:t>Sponsor’s pre-Advisory Committee response</w:t>
            </w:r>
          </w:p>
        </w:tc>
        <w:tc>
          <w:tcPr>
            <w:tcW w:w="2970" w:type="dxa"/>
          </w:tcPr>
          <w:p w14:paraId="718267B5" w14:textId="4AA00E53" w:rsidR="00500337" w:rsidRDefault="00601799" w:rsidP="00EC1515">
            <w:r>
              <w:t>21 January 2021</w:t>
            </w:r>
          </w:p>
        </w:tc>
      </w:tr>
      <w:tr w:rsidR="00500337" w14:paraId="0DBE6E58" w14:textId="77777777" w:rsidTr="00EC1515">
        <w:tc>
          <w:tcPr>
            <w:tcW w:w="5524" w:type="dxa"/>
          </w:tcPr>
          <w:p w14:paraId="28D00D27" w14:textId="77777777" w:rsidR="00500337" w:rsidRDefault="00500337" w:rsidP="00EC1515">
            <w:r>
              <w:t>Advisory Committee meeting</w:t>
            </w:r>
          </w:p>
        </w:tc>
        <w:tc>
          <w:tcPr>
            <w:tcW w:w="2970" w:type="dxa"/>
          </w:tcPr>
          <w:p w14:paraId="50956131" w14:textId="2E1A0C72" w:rsidR="00500337" w:rsidRDefault="00601799" w:rsidP="00EC1515">
            <w:r>
              <w:t>4 and 5 February 2021</w:t>
            </w:r>
          </w:p>
        </w:tc>
      </w:tr>
      <w:tr w:rsidR="00500337" w14:paraId="355043FE" w14:textId="77777777" w:rsidTr="00EC1515">
        <w:tc>
          <w:tcPr>
            <w:tcW w:w="5524" w:type="dxa"/>
          </w:tcPr>
          <w:p w14:paraId="5D9BDBC4" w14:textId="77777777" w:rsidR="00500337" w:rsidRDefault="00500337" w:rsidP="00EC1515">
            <w:r>
              <w:t>Registration decision (Outcome)</w:t>
            </w:r>
          </w:p>
        </w:tc>
        <w:tc>
          <w:tcPr>
            <w:tcW w:w="2970" w:type="dxa"/>
          </w:tcPr>
          <w:p w14:paraId="3F4AD814" w14:textId="22CC968E" w:rsidR="00500337" w:rsidRDefault="00601799" w:rsidP="00EC1515">
            <w:r>
              <w:t>4 March 2021</w:t>
            </w:r>
          </w:p>
        </w:tc>
      </w:tr>
      <w:tr w:rsidR="00500337" w14:paraId="7C3215A4" w14:textId="77777777" w:rsidTr="00EC1515">
        <w:tc>
          <w:tcPr>
            <w:tcW w:w="5524" w:type="dxa"/>
          </w:tcPr>
          <w:p w14:paraId="634D411C" w14:textId="77777777" w:rsidR="00500337" w:rsidRDefault="00500337" w:rsidP="00EC1515">
            <w:r>
              <w:t xml:space="preserve">Completion of administrative activities and registration on </w:t>
            </w:r>
            <w:r w:rsidR="00006FAB">
              <w:t xml:space="preserve">the </w:t>
            </w:r>
            <w:r>
              <w:t>ARTG</w:t>
            </w:r>
          </w:p>
        </w:tc>
        <w:tc>
          <w:tcPr>
            <w:tcW w:w="2970" w:type="dxa"/>
          </w:tcPr>
          <w:p w14:paraId="25C7C735" w14:textId="64E1B03C" w:rsidR="00500337" w:rsidRDefault="00994478" w:rsidP="00EC1515">
            <w:r>
              <w:t>10 March 2021</w:t>
            </w:r>
          </w:p>
        </w:tc>
      </w:tr>
      <w:tr w:rsidR="00500337" w14:paraId="266888DB" w14:textId="77777777" w:rsidTr="00EC1515">
        <w:tc>
          <w:tcPr>
            <w:tcW w:w="5524" w:type="dxa"/>
          </w:tcPr>
          <w:p w14:paraId="2875292B" w14:textId="77777777" w:rsidR="00500337" w:rsidRDefault="00500337" w:rsidP="00EC1515">
            <w:r>
              <w:t>Number of working days from submission dossier acceptance to registration decision*</w:t>
            </w:r>
          </w:p>
        </w:tc>
        <w:tc>
          <w:tcPr>
            <w:tcW w:w="2970" w:type="dxa"/>
          </w:tcPr>
          <w:p w14:paraId="31B92260" w14:textId="228F3035" w:rsidR="00500337" w:rsidRDefault="00601799" w:rsidP="00EC1515">
            <w:r>
              <w:t>225</w:t>
            </w:r>
          </w:p>
        </w:tc>
      </w:tr>
    </w:tbl>
    <w:p w14:paraId="1356F415"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7B01471B" w14:textId="77777777" w:rsidR="008E7846" w:rsidRPr="00792A32" w:rsidRDefault="00456765" w:rsidP="008E7846">
      <w:pPr>
        <w:pStyle w:val="Heading2"/>
      </w:pPr>
      <w:bookmarkStart w:id="28" w:name="_Toc196046504"/>
      <w:bookmarkStart w:id="29" w:name="_Toc247691527"/>
      <w:bookmarkStart w:id="30" w:name="_Toc314842510"/>
      <w:bookmarkStart w:id="31" w:name="_Toc163441390"/>
      <w:bookmarkStart w:id="32" w:name="_Toc71183714"/>
      <w:bookmarkEnd w:id="1"/>
      <w:bookmarkEnd w:id="24"/>
      <w:bookmarkEnd w:id="25"/>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14:paraId="7B11C8D9" w14:textId="77777777" w:rsidR="00006FAB" w:rsidRDefault="00006FAB" w:rsidP="00006FAB">
      <w:bookmarkStart w:id="33" w:name="_Toc247691528"/>
      <w:r>
        <w:t>The submission was summarised in the following Delegate’s overview and recommendations.</w:t>
      </w:r>
    </w:p>
    <w:p w14:paraId="276B8D04" w14:textId="77777777" w:rsidR="008E7846" w:rsidRDefault="008E7846" w:rsidP="008E7846">
      <w:pPr>
        <w:pStyle w:val="Heading3"/>
      </w:pPr>
      <w:bookmarkStart w:id="34" w:name="_Toc314842511"/>
      <w:bookmarkStart w:id="35" w:name="_Toc71183715"/>
      <w:r>
        <w:t>Quality</w:t>
      </w:r>
      <w:bookmarkEnd w:id="33"/>
      <w:bookmarkEnd w:id="34"/>
      <w:bookmarkEnd w:id="35"/>
    </w:p>
    <w:p w14:paraId="58783E6A" w14:textId="77777777" w:rsidR="00E45619" w:rsidRDefault="00006FAB" w:rsidP="00006FAB">
      <w:r>
        <w:t>There was no requirement for a quality evaluation in a submission of this type.</w:t>
      </w:r>
    </w:p>
    <w:p w14:paraId="17FF42F3" w14:textId="77777777" w:rsidR="008E7846" w:rsidRDefault="008E7846" w:rsidP="008E7846">
      <w:pPr>
        <w:pStyle w:val="Heading3"/>
      </w:pPr>
      <w:bookmarkStart w:id="36" w:name="_Toc314842512"/>
      <w:bookmarkStart w:id="37" w:name="_Toc71183716"/>
      <w:r>
        <w:t>Nonclinical</w:t>
      </w:r>
      <w:bookmarkEnd w:id="36"/>
      <w:bookmarkEnd w:id="37"/>
    </w:p>
    <w:p w14:paraId="2FBC90F6" w14:textId="77777777" w:rsidR="008E7846" w:rsidRDefault="00006FAB" w:rsidP="00006FAB">
      <w:r>
        <w:t>There was no requirement for a nonclinical evaluation in a submission of this type.</w:t>
      </w:r>
    </w:p>
    <w:p w14:paraId="7012034F" w14:textId="4C550726" w:rsidR="008E7846" w:rsidRDefault="008E7846" w:rsidP="00EC1515">
      <w:pPr>
        <w:pStyle w:val="Heading3"/>
        <w:pageBreakBefore/>
      </w:pPr>
      <w:bookmarkStart w:id="38" w:name="_Toc247691530"/>
      <w:bookmarkStart w:id="39" w:name="_Toc314842513"/>
      <w:bookmarkStart w:id="40" w:name="_Toc71183717"/>
      <w:r>
        <w:t>Clinical</w:t>
      </w:r>
      <w:bookmarkEnd w:id="38"/>
      <w:bookmarkEnd w:id="39"/>
      <w:bookmarkEnd w:id="40"/>
    </w:p>
    <w:p w14:paraId="6FF226C8" w14:textId="24647933" w:rsidR="00821803" w:rsidRPr="00821803" w:rsidRDefault="00821803" w:rsidP="00821803">
      <w:pPr>
        <w:rPr>
          <w:rFonts w:asciiTheme="minorHAnsi" w:eastAsiaTheme="minorHAnsi" w:hAnsiTheme="minorHAnsi" w:cs="_M}¡˛"/>
        </w:rPr>
      </w:pPr>
      <w:r w:rsidRPr="00095D4E">
        <w:rPr>
          <w:rFonts w:asciiTheme="minorHAnsi" w:eastAsiaTheme="minorHAnsi" w:hAnsiTheme="minorHAnsi" w:cs="_M}¡˛"/>
        </w:rPr>
        <w:t xml:space="preserve">The two new studies to support the request for </w:t>
      </w:r>
      <w:r w:rsidR="00FA3D1B">
        <w:rPr>
          <w:rFonts w:asciiTheme="minorHAnsi" w:eastAsiaTheme="minorHAnsi" w:hAnsiTheme="minorHAnsi" w:cs="_M}¡˛"/>
        </w:rPr>
        <w:t xml:space="preserve">the </w:t>
      </w:r>
      <w:r w:rsidRPr="00095D4E">
        <w:rPr>
          <w:rFonts w:asciiTheme="minorHAnsi" w:eastAsiaTheme="minorHAnsi" w:hAnsiTheme="minorHAnsi" w:cs="_M}¡˛"/>
        </w:rPr>
        <w:t xml:space="preserve">new indications were </w:t>
      </w:r>
      <w:r w:rsidR="00FA3D1B">
        <w:rPr>
          <w:rFonts w:asciiTheme="minorHAnsi" w:eastAsiaTheme="minorHAnsi" w:hAnsiTheme="minorHAnsi" w:cs="_M}¡˛"/>
        </w:rPr>
        <w:t xml:space="preserve">the </w:t>
      </w:r>
      <w:r w:rsidRPr="00095D4E">
        <w:rPr>
          <w:rFonts w:asciiTheme="minorHAnsi" w:eastAsiaTheme="minorHAnsi" w:hAnsiTheme="minorHAnsi" w:cs="_M}¡˛"/>
        </w:rPr>
        <w:t>PAOLA-1 and POLO</w:t>
      </w:r>
      <w:r w:rsidR="00FA3D1B">
        <w:rPr>
          <w:rFonts w:asciiTheme="minorHAnsi" w:eastAsiaTheme="minorHAnsi" w:hAnsiTheme="minorHAnsi" w:cs="_M}¡˛"/>
        </w:rPr>
        <w:t xml:space="preserve"> trials</w:t>
      </w:r>
      <w:r w:rsidRPr="00095D4E">
        <w:rPr>
          <w:rFonts w:asciiTheme="minorHAnsi" w:eastAsiaTheme="minorHAnsi" w:hAnsiTheme="minorHAnsi" w:cs="_M}¡˛"/>
        </w:rPr>
        <w:t>; these were provided in the dossier.</w:t>
      </w:r>
    </w:p>
    <w:p w14:paraId="1FFDC9F4" w14:textId="1D70D867" w:rsidR="00821803" w:rsidRPr="00C7300B" w:rsidRDefault="00FA3D1B" w:rsidP="00C7300B">
      <w:pPr>
        <w:pStyle w:val="ListBullet"/>
      </w:pPr>
      <w:r>
        <w:rPr>
          <w:bCs/>
        </w:rPr>
        <w:t xml:space="preserve">Study D0817C00003 (the </w:t>
      </w:r>
      <w:r w:rsidR="00821803" w:rsidRPr="00C7300B">
        <w:rPr>
          <w:bCs/>
        </w:rPr>
        <w:t>PAOLA-1</w:t>
      </w:r>
      <w:r>
        <w:rPr>
          <w:bCs/>
        </w:rPr>
        <w:t xml:space="preserve"> trial)</w:t>
      </w:r>
      <w:r>
        <w:t xml:space="preserve"> was a Phase III, randomised, double </w:t>
      </w:r>
      <w:r w:rsidR="00821803" w:rsidRPr="00C7300B">
        <w:t xml:space="preserve">blind study in patients newly diagnosed advanced </w:t>
      </w:r>
      <w:r>
        <w:t>FIGO</w:t>
      </w:r>
      <w:r w:rsidR="00C7300B" w:rsidRPr="00C7300B">
        <w:t xml:space="preserve"> </w:t>
      </w:r>
      <w:r>
        <w:t xml:space="preserve">Stage III to </w:t>
      </w:r>
      <w:r w:rsidR="00821803" w:rsidRPr="00C7300B">
        <w:t>IV high grade epithelial ovarian, fallopian tube, or primary peritoneal cancer who were in response following first line treatment with platinum-</w:t>
      </w:r>
      <w:proofErr w:type="spellStart"/>
      <w:r w:rsidR="00821803" w:rsidRPr="00C7300B">
        <w:t>taxan</w:t>
      </w:r>
      <w:r>
        <w:t>e</w:t>
      </w:r>
      <w:proofErr w:type="spellEnd"/>
      <w:r>
        <w:t xml:space="preserve"> chemotherapy and bevacizumab.</w:t>
      </w:r>
    </w:p>
    <w:p w14:paraId="405A82B0" w14:textId="575B1F53" w:rsidR="00821803" w:rsidRPr="00C7300B" w:rsidRDefault="00FA3D1B" w:rsidP="00C7300B">
      <w:pPr>
        <w:pStyle w:val="ListBullet"/>
      </w:pPr>
      <w:r>
        <w:rPr>
          <w:bCs/>
        </w:rPr>
        <w:t xml:space="preserve">Study D081FC00001 (the </w:t>
      </w:r>
      <w:r w:rsidR="00821803" w:rsidRPr="00C7300B">
        <w:rPr>
          <w:bCs/>
        </w:rPr>
        <w:t>POLO</w:t>
      </w:r>
      <w:r>
        <w:rPr>
          <w:bCs/>
        </w:rPr>
        <w:t xml:space="preserve"> trial)</w:t>
      </w:r>
      <w:r w:rsidR="00821803" w:rsidRPr="00C7300B">
        <w:t xml:space="preserve"> was </w:t>
      </w:r>
      <w:r>
        <w:t>a Phase III, randomis</w:t>
      </w:r>
      <w:r w:rsidR="00821803" w:rsidRPr="00C7300B">
        <w:t>ed, double blind, placebo controlled, multi</w:t>
      </w:r>
      <w:r w:rsidRPr="00C7300B">
        <w:t>centre</w:t>
      </w:r>
      <w:r w:rsidR="00821803" w:rsidRPr="00C7300B">
        <w:t xml:space="preserve"> study of </w:t>
      </w:r>
      <w:proofErr w:type="spellStart"/>
      <w:r w:rsidR="00821803" w:rsidRPr="00C7300B">
        <w:t>olaparib</w:t>
      </w:r>
      <w:proofErr w:type="spellEnd"/>
      <w:r>
        <w:t xml:space="preserve"> maintenance treatment (300 mg, as 2 x </w:t>
      </w:r>
      <w:r w:rsidR="00821803" w:rsidRPr="00C7300B">
        <w:t>150 mg</w:t>
      </w:r>
      <w:r>
        <w:t xml:space="preserve"> tablets, twice daily (</w:t>
      </w:r>
      <w:r w:rsidR="00821803" w:rsidRPr="00C7300B">
        <w:t>BD</w:t>
      </w:r>
      <w:r>
        <w:t>)</w:t>
      </w:r>
      <w:r w:rsidR="00821803" w:rsidRPr="00C7300B">
        <w:t xml:space="preserve">) in patients with metastatic adenocarcinoma of the pancreas with </w:t>
      </w:r>
      <w:proofErr w:type="spellStart"/>
      <w:r w:rsidR="00821803" w:rsidRPr="00C7300B">
        <w:t>gBRCAm</w:t>
      </w:r>
      <w:proofErr w:type="spellEnd"/>
      <w:r w:rsidR="00821803" w:rsidRPr="00C7300B">
        <w:t xml:space="preserve"> that were loss of function mutations</w:t>
      </w:r>
      <w:r w:rsidR="00A11EA7">
        <w:t>,</w:t>
      </w:r>
      <w:r w:rsidR="00821803" w:rsidRPr="00C7300B">
        <w:t xml:space="preserve"> whose tumo</w:t>
      </w:r>
      <w:r w:rsidR="00F849C1">
        <w:t>u</w:t>
      </w:r>
      <w:r w:rsidR="00821803" w:rsidRPr="00C7300B">
        <w:t>rs had not progressed following at least 16</w:t>
      </w:r>
      <w:r w:rsidR="00A11EA7">
        <w:t xml:space="preserve"> </w:t>
      </w:r>
      <w:r w:rsidR="00821803" w:rsidRPr="00C7300B">
        <w:t>weeks of first-line platinum-based chemotherapy.</w:t>
      </w:r>
    </w:p>
    <w:p w14:paraId="23AAD6CB" w14:textId="56F85C49" w:rsidR="00821803" w:rsidRPr="00095D4E" w:rsidRDefault="00821803" w:rsidP="00821803">
      <w:pPr>
        <w:autoSpaceDE w:val="0"/>
        <w:autoSpaceDN w:val="0"/>
        <w:adjustRightInd w:val="0"/>
        <w:rPr>
          <w:rFonts w:asciiTheme="minorHAnsi" w:eastAsiaTheme="minorHAnsi" w:hAnsiTheme="minorHAnsi" w:cs="_ΩA‘˛"/>
        </w:rPr>
      </w:pPr>
      <w:r w:rsidRPr="00095D4E">
        <w:rPr>
          <w:rFonts w:asciiTheme="minorHAnsi" w:eastAsiaTheme="minorHAnsi" w:hAnsiTheme="minorHAnsi" w:cs="_ΩA‘˛"/>
        </w:rPr>
        <w:t>Additional studies were provided for safety analysis</w:t>
      </w:r>
      <w:r>
        <w:rPr>
          <w:rFonts w:asciiTheme="minorHAnsi" w:eastAsiaTheme="minorHAnsi" w:hAnsiTheme="minorHAnsi" w:cs="_ΩA‘˛"/>
        </w:rPr>
        <w:t xml:space="preserve">, including </w:t>
      </w:r>
      <w:r w:rsidR="00FA3D1B">
        <w:rPr>
          <w:rFonts w:asciiTheme="minorHAnsi" w:eastAsiaTheme="minorHAnsi" w:hAnsiTheme="minorHAnsi" w:cs="_ΩA‘˛"/>
        </w:rPr>
        <w:t xml:space="preserve">the ovarian cancer study, the </w:t>
      </w:r>
      <w:r w:rsidRPr="00095D4E">
        <w:rPr>
          <w:rFonts w:asciiTheme="minorHAnsi" w:eastAsiaTheme="minorHAnsi" w:hAnsiTheme="minorHAnsi" w:cs="_ΩA‘˛"/>
        </w:rPr>
        <w:t>SOLO3</w:t>
      </w:r>
      <w:r w:rsidR="00FA3D1B">
        <w:rPr>
          <w:rFonts w:asciiTheme="minorHAnsi" w:eastAsiaTheme="minorHAnsi" w:hAnsiTheme="minorHAnsi" w:cs="_ΩA‘˛"/>
        </w:rPr>
        <w:t xml:space="preserve"> trial.</w:t>
      </w:r>
    </w:p>
    <w:p w14:paraId="2CD295DC" w14:textId="45E5707C" w:rsidR="00821803" w:rsidRPr="00FA3D1B" w:rsidRDefault="00FA3D1B" w:rsidP="00C7300B">
      <w:pPr>
        <w:pStyle w:val="ListBullet"/>
      </w:pPr>
      <w:r w:rsidRPr="00FA3D1B">
        <w:rPr>
          <w:bCs/>
        </w:rPr>
        <w:t xml:space="preserve">Study </w:t>
      </w:r>
      <w:r w:rsidR="00821803" w:rsidRPr="00FA3D1B">
        <w:rPr>
          <w:bCs/>
        </w:rPr>
        <w:t>D0816c00010 (</w:t>
      </w:r>
      <w:r w:rsidRPr="00FA3D1B">
        <w:rPr>
          <w:bCs/>
        </w:rPr>
        <w:t xml:space="preserve">the </w:t>
      </w:r>
      <w:r w:rsidR="00821803" w:rsidRPr="00FA3D1B">
        <w:rPr>
          <w:bCs/>
        </w:rPr>
        <w:t>SOLO3</w:t>
      </w:r>
      <w:r w:rsidRPr="00FA3D1B">
        <w:rPr>
          <w:bCs/>
        </w:rPr>
        <w:t xml:space="preserve"> trial</w:t>
      </w:r>
      <w:r w:rsidR="00821803" w:rsidRPr="00FA3D1B">
        <w:rPr>
          <w:bCs/>
        </w:rPr>
        <w:t>)</w:t>
      </w:r>
      <w:r>
        <w:rPr>
          <w:bCs/>
        </w:rPr>
        <w:t>:</w:t>
      </w:r>
      <w:r>
        <w:t xml:space="preserve"> a</w:t>
      </w:r>
      <w:r w:rsidR="00821803" w:rsidRPr="00FA3D1B">
        <w:t xml:space="preserve"> Phase III, </w:t>
      </w:r>
      <w:r w:rsidRPr="00FA3D1B">
        <w:t>open label</w:t>
      </w:r>
      <w:r>
        <w:t>, randomised, controlled, multi</w:t>
      </w:r>
      <w:r w:rsidRPr="00FA3D1B">
        <w:t xml:space="preserve">centre study to assess the efficacy and safety of </w:t>
      </w:r>
      <w:proofErr w:type="spellStart"/>
      <w:r w:rsidRPr="00FA3D1B">
        <w:t>olaparib</w:t>
      </w:r>
      <w:proofErr w:type="spellEnd"/>
      <w:r w:rsidRPr="00FA3D1B">
        <w:t xml:space="preserve"> monotherapy versus physician’s choice single agent chemotherapy in the treatment of platinum sensitive relapsed ovarian cancer in patients carrying germline </w:t>
      </w:r>
      <w:r w:rsidRPr="00A11EA7">
        <w:rPr>
          <w:i/>
        </w:rPr>
        <w:t>BRCA1/2</w:t>
      </w:r>
      <w:r w:rsidRPr="00FA3D1B">
        <w:t xml:space="preserve"> mutations.</w:t>
      </w:r>
    </w:p>
    <w:p w14:paraId="70B2781E" w14:textId="1372B9E6" w:rsidR="00601799" w:rsidRPr="00821803" w:rsidRDefault="00821803" w:rsidP="00C7300B">
      <w:pPr>
        <w:pStyle w:val="ListBullet"/>
      </w:pPr>
      <w:r w:rsidRPr="00FA3D1B">
        <w:rPr>
          <w:bCs/>
        </w:rPr>
        <w:t>Study D0810c00022</w:t>
      </w:r>
      <w:r w:rsidRPr="00516633">
        <w:t xml:space="preserve"> provided safety</w:t>
      </w:r>
      <w:r>
        <w:t xml:space="preserve"> and pharmacokinetic</w:t>
      </w:r>
      <w:r w:rsidR="00FA3D1B">
        <w:t xml:space="preserve"> (PK) data. </w:t>
      </w:r>
      <w:r w:rsidR="00094A0B">
        <w:rPr>
          <w:bCs/>
        </w:rPr>
        <w:t>Study </w:t>
      </w:r>
      <w:r w:rsidR="00FA3D1B" w:rsidRPr="00FA3D1B">
        <w:rPr>
          <w:bCs/>
        </w:rPr>
        <w:t>D0810c00022</w:t>
      </w:r>
      <w:r w:rsidR="00FA3D1B">
        <w:rPr>
          <w:bCs/>
        </w:rPr>
        <w:t xml:space="preserve"> was a</w:t>
      </w:r>
      <w:r w:rsidRPr="00516633">
        <w:t xml:space="preserve"> Phase I, </w:t>
      </w:r>
      <w:r w:rsidR="00FA3D1B" w:rsidRPr="00516633">
        <w:t xml:space="preserve">open label, dual centre study to assess the safety and tolerability of </w:t>
      </w:r>
      <w:proofErr w:type="spellStart"/>
      <w:r w:rsidR="00FA3D1B">
        <w:t>olaparib</w:t>
      </w:r>
      <w:proofErr w:type="spellEnd"/>
      <w:r w:rsidRPr="00516633">
        <w:t xml:space="preserve"> </w:t>
      </w:r>
      <w:r w:rsidR="00FA3D1B" w:rsidRPr="00516633">
        <w:t xml:space="preserve">in combination with bevacizumab </w:t>
      </w:r>
      <w:r w:rsidR="00FA3D1B">
        <w:t>(</w:t>
      </w:r>
      <w:proofErr w:type="spellStart"/>
      <w:r w:rsidR="00FA3D1B">
        <w:t>Avastin</w:t>
      </w:r>
      <w:proofErr w:type="spellEnd"/>
      <w:r w:rsidRPr="00516633">
        <w:t xml:space="preserve">) </w:t>
      </w:r>
      <w:r w:rsidR="00FA3D1B" w:rsidRPr="00516633">
        <w:t>in patients with advanced solid tumours.</w:t>
      </w:r>
    </w:p>
    <w:p w14:paraId="09B705CC" w14:textId="02A4DD3B" w:rsidR="00601799" w:rsidRDefault="00F15D5C" w:rsidP="009427B6">
      <w:pPr>
        <w:pStyle w:val="Heading4"/>
      </w:pPr>
      <w:r>
        <w:t>Pharmacokinetics</w:t>
      </w:r>
    </w:p>
    <w:p w14:paraId="2A7C0A72" w14:textId="77777777" w:rsidR="00281ED7" w:rsidRDefault="00601799" w:rsidP="00601799">
      <w:r>
        <w:t>No PK data was collected from the pivotal study f</w:t>
      </w:r>
      <w:r w:rsidR="00281ED7">
        <w:t>or the proposed ovarian cancer.</w:t>
      </w:r>
    </w:p>
    <w:p w14:paraId="4D660FFE" w14:textId="328CC406" w:rsidR="00601799" w:rsidRDefault="00601799" w:rsidP="00601799">
      <w:r>
        <w:t>Study D0810C00022 assessed t</w:t>
      </w:r>
      <w:r w:rsidRPr="004F3287">
        <w:t xml:space="preserve">he </w:t>
      </w:r>
      <w:r>
        <w:t>s</w:t>
      </w:r>
      <w:r w:rsidRPr="004F3287">
        <w:t xml:space="preserve">afety </w:t>
      </w:r>
      <w:r>
        <w:t>a</w:t>
      </w:r>
      <w:r w:rsidRPr="004F3287">
        <w:t xml:space="preserve">nd </w:t>
      </w:r>
      <w:r>
        <w:t>t</w:t>
      </w:r>
      <w:r w:rsidRPr="004F3287">
        <w:t xml:space="preserve">olerability </w:t>
      </w:r>
      <w:r>
        <w:t>o</w:t>
      </w:r>
      <w:r w:rsidRPr="004F3287">
        <w:t xml:space="preserve">f </w:t>
      </w:r>
      <w:proofErr w:type="spellStart"/>
      <w:r>
        <w:t>olaparib</w:t>
      </w:r>
      <w:proofErr w:type="spellEnd"/>
      <w:r w:rsidRPr="004F3287">
        <w:t xml:space="preserve"> </w:t>
      </w:r>
      <w:r>
        <w:t>i</w:t>
      </w:r>
      <w:r w:rsidRPr="004F3287">
        <w:t xml:space="preserve">n </w:t>
      </w:r>
      <w:r>
        <w:t>c</w:t>
      </w:r>
      <w:r w:rsidRPr="004F3287">
        <w:t xml:space="preserve">ombination </w:t>
      </w:r>
      <w:r>
        <w:t>w</w:t>
      </w:r>
      <w:r w:rsidRPr="004F3287">
        <w:t xml:space="preserve">ith </w:t>
      </w:r>
      <w:r>
        <w:t>b</w:t>
      </w:r>
      <w:r w:rsidRPr="004F3287">
        <w:t xml:space="preserve">evacizumab </w:t>
      </w:r>
      <w:r>
        <w:t>i</w:t>
      </w:r>
      <w:r w:rsidRPr="004F3287">
        <w:t xml:space="preserve">n </w:t>
      </w:r>
      <w:r>
        <w:t>p</w:t>
      </w:r>
      <w:r w:rsidRPr="004F3287">
        <w:t xml:space="preserve">atients </w:t>
      </w:r>
      <w:r>
        <w:t>w</w:t>
      </w:r>
      <w:r w:rsidRPr="004F3287">
        <w:t xml:space="preserve">ith </w:t>
      </w:r>
      <w:r>
        <w:t>a</w:t>
      </w:r>
      <w:r w:rsidRPr="004F3287">
        <w:t xml:space="preserve">dvanced </w:t>
      </w:r>
      <w:r>
        <w:t>s</w:t>
      </w:r>
      <w:r w:rsidRPr="004F3287">
        <w:t xml:space="preserve">olid </w:t>
      </w:r>
      <w:r>
        <w:t>t</w:t>
      </w:r>
      <w:r w:rsidRPr="004F3287">
        <w:t>umours.</w:t>
      </w:r>
      <w:r>
        <w:t xml:space="preserve"> This study had not previously been submitted though it was conducted from June 2008 to March 2009. Successive cohorts of 4 to 6 patients received increasing doses of </w:t>
      </w:r>
      <w:proofErr w:type="spellStart"/>
      <w:r>
        <w:t>olaparib</w:t>
      </w:r>
      <w:proofErr w:type="spellEnd"/>
      <w:r>
        <w:t xml:space="preserve"> (100, 200 and 400 mg </w:t>
      </w:r>
      <w:r w:rsidR="00F15D5C">
        <w:t>BD</w:t>
      </w:r>
      <w:r>
        <w:t>) continuously in combination with intravenous bevacizumab at a fixed dose of 10 mg/kg given every 14 days (1 cycle).</w:t>
      </w:r>
      <w:r w:rsidRPr="008B1153">
        <w:t xml:space="preserve"> </w:t>
      </w:r>
      <w:r>
        <w:t xml:space="preserve">To be evaluable for PK assessment and potential dose escalation, patients had to complete at least 1 cycle of bevacizumab, and have a full PK profile for </w:t>
      </w:r>
      <w:proofErr w:type="spellStart"/>
      <w:r>
        <w:t>olaparib</w:t>
      </w:r>
      <w:proofErr w:type="spellEnd"/>
      <w:r>
        <w:t xml:space="preserve"> taken both in the monotherapy setting (on Day 4) and on the day of first administration of bevacizumab.</w:t>
      </w:r>
    </w:p>
    <w:p w14:paraId="5F80558B" w14:textId="0CD0D438" w:rsidR="00601799" w:rsidRDefault="00601799" w:rsidP="00601799">
      <w:r>
        <w:t>Twelve patients (</w:t>
      </w:r>
      <w:r w:rsidR="00777F82">
        <w:t>four</w:t>
      </w:r>
      <w:r>
        <w:t xml:space="preserve"> in each treatment group) with a mean age </w:t>
      </w:r>
      <w:r w:rsidR="00F15D5C">
        <w:t>of 49.7 years (</w:t>
      </w:r>
      <w:r w:rsidR="00777F82">
        <w:t xml:space="preserve">age </w:t>
      </w:r>
      <w:r w:rsidR="00F15D5C">
        <w:t>range 22 to 71 </w:t>
      </w:r>
      <w:r>
        <w:t>years) were enrolled and received study treatment (</w:t>
      </w:r>
      <w:proofErr w:type="spellStart"/>
      <w:r>
        <w:t>olaparib</w:t>
      </w:r>
      <w:proofErr w:type="spellEnd"/>
      <w:r>
        <w:t xml:space="preserve"> and bevacizumab). This study had very small sample sizes for each </w:t>
      </w:r>
      <w:proofErr w:type="spellStart"/>
      <w:r>
        <w:t>olaparib</w:t>
      </w:r>
      <w:proofErr w:type="spellEnd"/>
      <w:r>
        <w:t xml:space="preserve"> dose group. No gross PK effect on </w:t>
      </w:r>
      <w:proofErr w:type="spellStart"/>
      <w:r>
        <w:t>olaparib</w:t>
      </w:r>
      <w:proofErr w:type="spellEnd"/>
      <w:r>
        <w:t xml:space="preserve"> from the addition of bevacizumab was apparent however</w:t>
      </w:r>
      <w:r w:rsidR="00A11EA7">
        <w:t>,</w:t>
      </w:r>
      <w:r>
        <w:t xml:space="preserve"> the </w:t>
      </w:r>
      <w:r w:rsidR="00F15D5C">
        <w:t xml:space="preserve">clinical </w:t>
      </w:r>
      <w:r>
        <w:t xml:space="preserve">evaluator has noted that </w:t>
      </w:r>
      <w:r w:rsidR="007C0A6C" w:rsidRPr="00D0384C">
        <w:t xml:space="preserve">one </w:t>
      </w:r>
      <w:r w:rsidRPr="00D0384C">
        <w:t xml:space="preserve">patient showed approximately an apparent 40% decrease </w:t>
      </w:r>
      <w:r w:rsidR="00F15D5C" w:rsidRPr="00D0384C">
        <w:t>in maximum plasma concentration (</w:t>
      </w:r>
      <w:proofErr w:type="spellStart"/>
      <w:r w:rsidRPr="00D0384C">
        <w:t>C</w:t>
      </w:r>
      <w:r w:rsidRPr="00D0384C">
        <w:rPr>
          <w:vertAlign w:val="subscript"/>
        </w:rPr>
        <w:t>max</w:t>
      </w:r>
      <w:proofErr w:type="spellEnd"/>
      <w:r w:rsidR="00F15D5C" w:rsidRPr="00D0384C">
        <w:t>)</w:t>
      </w:r>
      <w:r w:rsidRPr="00D0384C">
        <w:t xml:space="preserve"> and differences</w:t>
      </w:r>
      <w:r w:rsidR="00570DE6" w:rsidRPr="00D0384C">
        <w:t xml:space="preserve"> also</w:t>
      </w:r>
      <w:r w:rsidRPr="000A602A">
        <w:t xml:space="preserve"> in </w:t>
      </w:r>
      <w:r w:rsidR="00F15D5C">
        <w:t>area under the plasma concentration time curve (</w:t>
      </w:r>
      <w:r w:rsidRPr="000A602A">
        <w:t>AUC</w:t>
      </w:r>
      <w:r w:rsidR="00F15D5C">
        <w:t>)</w:t>
      </w:r>
      <w:r w:rsidRPr="000A602A">
        <w:t xml:space="preserve"> and </w:t>
      </w:r>
      <w:r w:rsidR="00F15D5C">
        <w:t>minimum plasma concentration (</w:t>
      </w:r>
      <w:proofErr w:type="spellStart"/>
      <w:r w:rsidRPr="000A602A">
        <w:t>C</w:t>
      </w:r>
      <w:r w:rsidRPr="00F15D5C">
        <w:rPr>
          <w:vertAlign w:val="subscript"/>
        </w:rPr>
        <w:t>min</w:t>
      </w:r>
      <w:proofErr w:type="spellEnd"/>
      <w:r w:rsidR="00F15D5C">
        <w:t>)</w:t>
      </w:r>
      <w:r>
        <w:t xml:space="preserve"> compared</w:t>
      </w:r>
      <w:r w:rsidR="00F15D5C">
        <w:t xml:space="preserve"> with </w:t>
      </w:r>
      <w:proofErr w:type="spellStart"/>
      <w:r w:rsidR="00777F82">
        <w:t>olaparib</w:t>
      </w:r>
      <w:proofErr w:type="spellEnd"/>
      <w:r w:rsidR="00777F82">
        <w:t xml:space="preserve"> as </w:t>
      </w:r>
      <w:r w:rsidR="00F15D5C">
        <w:t>monotherapy.</w:t>
      </w:r>
    </w:p>
    <w:p w14:paraId="595EA045" w14:textId="5A44A1D5" w:rsidR="00601799" w:rsidRPr="00B67678" w:rsidRDefault="00601799" w:rsidP="00601799">
      <w:pPr>
        <w:pStyle w:val="Heading4"/>
      </w:pPr>
      <w:r w:rsidRPr="00B67678">
        <w:t>Efficacy</w:t>
      </w:r>
    </w:p>
    <w:p w14:paraId="16015E05" w14:textId="7C45D691" w:rsidR="00821803" w:rsidRPr="00B67678" w:rsidRDefault="00821803" w:rsidP="00821803">
      <w:pPr>
        <w:pStyle w:val="Heading5"/>
      </w:pPr>
      <w:r w:rsidRPr="00B67678">
        <w:t xml:space="preserve">Advanced ovarian cancer indication: </w:t>
      </w:r>
      <w:r w:rsidR="00777F82">
        <w:rPr>
          <w:bCs w:val="0"/>
        </w:rPr>
        <w:t>Study D0817C00003 (</w:t>
      </w:r>
      <w:r w:rsidRPr="00B67678">
        <w:t>PAOLA-1 trial</w:t>
      </w:r>
      <w:r w:rsidR="00777F82">
        <w:t>)</w:t>
      </w:r>
    </w:p>
    <w:p w14:paraId="1E374AB0" w14:textId="4860367F" w:rsidR="00601799" w:rsidRPr="005848F3" w:rsidRDefault="00B67678" w:rsidP="00601799">
      <w:r>
        <w:t xml:space="preserve">The </w:t>
      </w:r>
      <w:r w:rsidR="00601799" w:rsidRPr="00B67678">
        <w:t xml:space="preserve">PAOLA-1 </w:t>
      </w:r>
      <w:r>
        <w:t xml:space="preserve">trial </w:t>
      </w:r>
      <w:r w:rsidR="00601799" w:rsidRPr="00B67678">
        <w:t xml:space="preserve">was a Phase III, randomised, </w:t>
      </w:r>
      <w:r>
        <w:t xml:space="preserve">double blind, placebo controlled trial of </w:t>
      </w:r>
      <w:proofErr w:type="spellStart"/>
      <w:r>
        <w:t>olaparib</w:t>
      </w:r>
      <w:proofErr w:type="spellEnd"/>
      <w:r>
        <w:t xml:space="preserve"> versus</w:t>
      </w:r>
      <w:r w:rsidR="00601799" w:rsidRPr="00B67678">
        <w:t xml:space="preserve"> placebo added to bevacizumab (vasc</w:t>
      </w:r>
      <w:r>
        <w:t>ular endothelial growth factor</w:t>
      </w:r>
      <w:r w:rsidR="00601799" w:rsidRPr="00B67678">
        <w:t xml:space="preserve"> inhibitor) for the maintenance treatment of newly diagnosed advanced ovarian cancer patients who were in response following first line platinum-based chemotherapy and bevacizumab. It was conducted in 11 countries with the first subject enrolled in July 2015 and the last subjects in August 2017. The report included in this submission had a data cut-off date of 22 March 2019. The estimated date for the last follow</w:t>
      </w:r>
      <w:r>
        <w:t>-</w:t>
      </w:r>
      <w:r w:rsidR="00601799" w:rsidRPr="00B67678">
        <w:t xml:space="preserve">up is </w:t>
      </w:r>
      <w:r w:rsidR="00777F82">
        <w:t xml:space="preserve">in the </w:t>
      </w:r>
      <w:r>
        <w:t xml:space="preserve">third quarter </w:t>
      </w:r>
      <w:r w:rsidR="00777F82">
        <w:t xml:space="preserve">of </w:t>
      </w:r>
      <w:r w:rsidRPr="005848F3">
        <w:t>2022.</w:t>
      </w:r>
    </w:p>
    <w:p w14:paraId="470F6578" w14:textId="77777777" w:rsidR="00B67678" w:rsidRPr="005848F3" w:rsidRDefault="00B67678" w:rsidP="00B67678">
      <w:pPr>
        <w:pStyle w:val="Heading6"/>
      </w:pPr>
      <w:r w:rsidRPr="005848F3">
        <w:t>Objectives and endpoints</w:t>
      </w:r>
    </w:p>
    <w:p w14:paraId="21F10F4E" w14:textId="33F3F2E6" w:rsidR="00601799" w:rsidRPr="005848F3" w:rsidRDefault="00601799" w:rsidP="00601799">
      <w:r w:rsidRPr="005848F3">
        <w:t>The primary objective is to determine the efficacy by progression free survival</w:t>
      </w:r>
      <w:r w:rsidR="00B67678" w:rsidRPr="005848F3">
        <w:t xml:space="preserve"> to first progression</w:t>
      </w:r>
      <w:r w:rsidRPr="005848F3">
        <w:t xml:space="preserve"> </w:t>
      </w:r>
      <w:r w:rsidR="005848F3">
        <w:t xml:space="preserve">or death </w:t>
      </w:r>
      <w:r w:rsidRPr="005848F3">
        <w:t>(PFS1),</w:t>
      </w:r>
      <w:r w:rsidR="008330ED" w:rsidRPr="005848F3">
        <w:rPr>
          <w:rStyle w:val="FootnoteReference"/>
        </w:rPr>
        <w:footnoteReference w:id="11"/>
      </w:r>
      <w:r w:rsidRPr="005848F3">
        <w:t xml:space="preserve"> investigator based according to modified Response Evaluation Criteria in Solid Tumours (RECIST</w:t>
      </w:r>
      <w:r w:rsidR="00660733" w:rsidRPr="005848F3">
        <w:t>)</w:t>
      </w:r>
      <w:r w:rsidRPr="005848F3">
        <w:t xml:space="preserve"> ver</w:t>
      </w:r>
      <w:r w:rsidR="00660733" w:rsidRPr="005848F3">
        <w:t>sion 1.1</w:t>
      </w:r>
      <w:r w:rsidR="005848F3">
        <w:t>,</w:t>
      </w:r>
      <w:r w:rsidRPr="005848F3">
        <w:t xml:space="preserve"> of </w:t>
      </w:r>
      <w:proofErr w:type="spellStart"/>
      <w:r w:rsidRPr="005848F3">
        <w:t>olaparib</w:t>
      </w:r>
      <w:proofErr w:type="spellEnd"/>
      <w:r w:rsidRPr="005848F3">
        <w:t xml:space="preserve"> maintenance compared to placebo in high grade epithelial ovarian, fallopian tube, or peritoneal cancer that are in clinical complete response </w:t>
      </w:r>
      <w:r w:rsidR="005848F3">
        <w:t xml:space="preserve">(CR) </w:t>
      </w:r>
      <w:r w:rsidRPr="005848F3">
        <w:t xml:space="preserve">or partial response </w:t>
      </w:r>
      <w:r w:rsidR="005848F3">
        <w:t xml:space="preserve">(PR) </w:t>
      </w:r>
      <w:r w:rsidRPr="005848F3">
        <w:t>following first line platinum-</w:t>
      </w:r>
      <w:proofErr w:type="spellStart"/>
      <w:r w:rsidRPr="005848F3">
        <w:t>taxane</w:t>
      </w:r>
      <w:proofErr w:type="spellEnd"/>
      <w:r w:rsidRPr="005848F3">
        <w:t xml:space="preserve"> based chemotherapy plus bevacizumab, and planned to pursue bevacizumab in the maintenance phase up to a total of 15 months.</w:t>
      </w:r>
    </w:p>
    <w:p w14:paraId="37E4E07A" w14:textId="1C1E85D4" w:rsidR="00601799" w:rsidRDefault="00601799" w:rsidP="005848F3">
      <w:r w:rsidRPr="005848F3">
        <w:t xml:space="preserve">Secondary efficacy objectives included: </w:t>
      </w:r>
      <w:r w:rsidR="005848F3" w:rsidRPr="005848F3">
        <w:t>The time from randomisation to the earlier date of modified RECIST 1.1 or cancer antigen 125 (CA-125) progression or death by any cause</w:t>
      </w:r>
      <w:r w:rsidRPr="005848F3">
        <w:t>; time from randomisation to first subsequent therapy or death (TFST); time from randomisation to second progression (PFS2);</w:t>
      </w:r>
      <w:r w:rsidR="008330ED" w:rsidRPr="005848F3">
        <w:rPr>
          <w:rStyle w:val="FootnoteReference"/>
        </w:rPr>
        <w:footnoteReference w:id="12"/>
      </w:r>
      <w:r w:rsidRPr="005848F3">
        <w:t xml:space="preserve"> time from randomisation to second subsequent therapy or death (TSST)</w:t>
      </w:r>
      <w:r w:rsidR="00777F82">
        <w:t>;</w:t>
      </w:r>
      <w:r w:rsidRPr="005848F3">
        <w:t xml:space="preserve"> and </w:t>
      </w:r>
      <w:r w:rsidR="00B67678" w:rsidRPr="005848F3">
        <w:t>OS.</w:t>
      </w:r>
    </w:p>
    <w:p w14:paraId="62848A8D" w14:textId="5CD02407" w:rsidR="00601799" w:rsidRDefault="005C1B8F" w:rsidP="00B67678">
      <w:pPr>
        <w:pStyle w:val="Heading6"/>
      </w:pPr>
      <w:r>
        <w:t>Inclusion and exclusion criteria</w:t>
      </w:r>
    </w:p>
    <w:p w14:paraId="11C42216" w14:textId="77777777" w:rsidR="00601799" w:rsidRDefault="00601799" w:rsidP="00601799">
      <w:r>
        <w:t>Key inclusion criteria were:</w:t>
      </w:r>
    </w:p>
    <w:p w14:paraId="2C5C57D2" w14:textId="28E2083D" w:rsidR="00601799" w:rsidRDefault="00601799" w:rsidP="00B67678">
      <w:pPr>
        <w:pStyle w:val="ListBullet"/>
      </w:pPr>
      <w:r>
        <w:t>Female patients with newly diagnosed a</w:t>
      </w:r>
      <w:r w:rsidR="008330ED">
        <w:t xml:space="preserve">dvanced (FIGO Stage IIIB to </w:t>
      </w:r>
      <w:r>
        <w:t>IV)</w:t>
      </w:r>
      <w:r w:rsidR="00777F82">
        <w:rPr>
          <w:rStyle w:val="FootnoteReference"/>
        </w:rPr>
        <w:footnoteReference w:id="13"/>
      </w:r>
      <w:r>
        <w:t xml:space="preserve"> ovarian cancer, primary peritoneal cancer and/or fallopian tube cancer that is histologically confirmed as high-grade serous, or high-grade </w:t>
      </w:r>
      <w:proofErr w:type="spellStart"/>
      <w:r>
        <w:t>endometrioid</w:t>
      </w:r>
      <w:proofErr w:type="spellEnd"/>
      <w:r>
        <w:t>, or other epithelial non</w:t>
      </w:r>
      <w:r w:rsidR="005E0EB3">
        <w:noBreakHyphen/>
      </w:r>
      <w:r>
        <w:t>mucinous ovarian cancer.</w:t>
      </w:r>
    </w:p>
    <w:p w14:paraId="6DA1E51C" w14:textId="1869C7B9" w:rsidR="00601799" w:rsidRDefault="00601799" w:rsidP="00B67678">
      <w:pPr>
        <w:pStyle w:val="ListBullet"/>
      </w:pPr>
      <w:r>
        <w:t xml:space="preserve">Eligible patients were those with no evidence of disease (NED) or in clinical CR or in </w:t>
      </w:r>
      <w:r w:rsidR="005848F3">
        <w:t>PR</w:t>
      </w:r>
      <w:r>
        <w:t>, following co</w:t>
      </w:r>
      <w:r w:rsidR="00B67678">
        <w:t>mpletion of first line platinum</w:t>
      </w:r>
      <w:r w:rsidR="00B67678">
        <w:noBreakHyphen/>
      </w:r>
      <w:proofErr w:type="spellStart"/>
      <w:r>
        <w:t>taxane</w:t>
      </w:r>
      <w:proofErr w:type="spellEnd"/>
      <w:r>
        <w:t xml:space="preserve"> based chemotherapy plus bevacizumab and for whom bevacizumab maintenance was planned.</w:t>
      </w:r>
    </w:p>
    <w:p w14:paraId="76DF4A7F" w14:textId="646346E7" w:rsidR="00601799" w:rsidRDefault="00601799" w:rsidP="00B67678">
      <w:pPr>
        <w:pStyle w:val="ListBullet"/>
      </w:pPr>
      <w:r>
        <w:t>Patients who had completed first line platinum-</w:t>
      </w:r>
      <w:proofErr w:type="spellStart"/>
      <w:r>
        <w:t>taxane</w:t>
      </w:r>
      <w:proofErr w:type="spellEnd"/>
      <w:r>
        <w:t xml:space="preserve"> chem</w:t>
      </w:r>
      <w:r w:rsidR="00B67678">
        <w:t>otherapy prior to randomisation.</w:t>
      </w:r>
      <w:r>
        <w:t xml:space="preserve"> The platinum-</w:t>
      </w:r>
      <w:proofErr w:type="spellStart"/>
      <w:r>
        <w:t>taxane</w:t>
      </w:r>
      <w:proofErr w:type="spellEnd"/>
      <w:r>
        <w:t xml:space="preserve"> based regimen must </w:t>
      </w:r>
      <w:r w:rsidR="003D0EAB">
        <w:t>have consisted of a minimum of six and a maximum of nine</w:t>
      </w:r>
      <w:r>
        <w:t xml:space="preserve"> treatment cycles; however, if platinum-based therapy was discontinued early as a result of non-haematological toxicity specifically rela</w:t>
      </w:r>
      <w:r w:rsidR="00B67678">
        <w:t>ted to the platinum regimen, (</w:t>
      </w:r>
      <w:r w:rsidR="003D0EAB">
        <w:t>for example</w:t>
      </w:r>
      <w:r>
        <w:t>,</w:t>
      </w:r>
      <w:r w:rsidR="00B67678">
        <w:t xml:space="preserve"> neurotoxicit</w:t>
      </w:r>
      <w:r w:rsidR="003D0EAB">
        <w:t>y, hypersensitivity</w:t>
      </w:r>
      <w:r>
        <w:t>), patients m</w:t>
      </w:r>
      <w:r w:rsidR="003D0EAB">
        <w:t>ust have received a minimum of four</w:t>
      </w:r>
      <w:r>
        <w:t xml:space="preserve"> cycles of the platinum</w:t>
      </w:r>
      <w:r w:rsidR="005E0EB3">
        <w:t>-based</w:t>
      </w:r>
      <w:r>
        <w:t xml:space="preserve"> regimen.</w:t>
      </w:r>
    </w:p>
    <w:p w14:paraId="6F39D68E" w14:textId="77777777" w:rsidR="00601799" w:rsidRDefault="00601799" w:rsidP="00601799">
      <w:r>
        <w:t>Key exclusion criteria were:</w:t>
      </w:r>
    </w:p>
    <w:p w14:paraId="18E8FF7F" w14:textId="526E8549" w:rsidR="00601799" w:rsidRDefault="00601799" w:rsidP="00B67678">
      <w:pPr>
        <w:pStyle w:val="ListBullet"/>
      </w:pPr>
      <w:r>
        <w:t>Patients whose tumours were of non-epithelial origin of the ovary, the fallopian tube or the peritoneum (</w:t>
      </w:r>
      <w:r w:rsidR="00660733">
        <w:t>that is</w:t>
      </w:r>
      <w:r>
        <w:t>, germ cell tumours), ovarian tumours of low malignant potential (</w:t>
      </w:r>
      <w:r w:rsidR="00660733">
        <w:t>for example</w:t>
      </w:r>
      <w:r>
        <w:t>, borderline tumours) or mucinous carcinoma or synchronous primary endometrial cancer, unless both of the following criteria were met</w:t>
      </w:r>
      <w:r w:rsidR="00BA35D7">
        <w:t>:</w:t>
      </w:r>
    </w:p>
    <w:p w14:paraId="3D9E72FE" w14:textId="77061827" w:rsidR="00601799" w:rsidRDefault="00660733" w:rsidP="00BA35D7">
      <w:pPr>
        <w:pStyle w:val="ListBullet2"/>
      </w:pPr>
      <w:r w:rsidRPr="00660733">
        <w:t>Eastern Cooperative Oncology G</w:t>
      </w:r>
      <w:r>
        <w:t>roup (</w:t>
      </w:r>
      <w:r w:rsidR="00601799">
        <w:t>ECOG</w:t>
      </w:r>
      <w:r>
        <w:t>)</w:t>
      </w:r>
      <w:r w:rsidR="00BA35D7">
        <w:t xml:space="preserve"> Stage &lt;</w:t>
      </w:r>
      <w:r>
        <w:t xml:space="preserve"> </w:t>
      </w:r>
      <w:r w:rsidR="00601799">
        <w:t>II</w:t>
      </w:r>
      <w:r w:rsidR="00EF6C6A">
        <w:t>.</w:t>
      </w:r>
      <w:r>
        <w:rPr>
          <w:rStyle w:val="FootnoteReference"/>
        </w:rPr>
        <w:footnoteReference w:id="14"/>
      </w:r>
    </w:p>
    <w:p w14:paraId="02AE5B89" w14:textId="70012C60" w:rsidR="00601799" w:rsidRDefault="00601799" w:rsidP="00BA35D7">
      <w:pPr>
        <w:pStyle w:val="ListBullet2"/>
      </w:pPr>
      <w:r>
        <w:t xml:space="preserve">Less than 60 years old at the time of diagnosis of endometrial cancer with Stage IA or </w:t>
      </w:r>
      <w:r w:rsidR="007C794D">
        <w:t xml:space="preserve">Stage </w:t>
      </w:r>
      <w:r>
        <w:t xml:space="preserve">IB </w:t>
      </w:r>
      <w:r w:rsidR="007C794D">
        <w:t>(</w:t>
      </w:r>
      <w:r>
        <w:t xml:space="preserve">Grade </w:t>
      </w:r>
      <w:r w:rsidR="007C794D">
        <w:t>1</w:t>
      </w:r>
      <w:r>
        <w:t xml:space="preserve"> or </w:t>
      </w:r>
      <w:r w:rsidR="007C794D">
        <w:t>2)</w:t>
      </w:r>
      <w:r>
        <w:t xml:space="preserve">, or Stage IA </w:t>
      </w:r>
      <w:r w:rsidR="007C794D">
        <w:t>(</w:t>
      </w:r>
      <w:r>
        <w:t xml:space="preserve">Grade </w:t>
      </w:r>
      <w:r w:rsidR="007C794D">
        <w:t>3)</w:t>
      </w:r>
      <w:r>
        <w:t xml:space="preserve"> endometrial carcinoma</w:t>
      </w:r>
      <w:r w:rsidR="00E52DFB">
        <w:t>;</w:t>
      </w:r>
      <w:r w:rsidR="00E52DFB">
        <w:rPr>
          <w:rStyle w:val="FootnoteReference"/>
        </w:rPr>
        <w:footnoteReference w:id="15"/>
      </w:r>
      <w:r>
        <w:t xml:space="preserve"> </w:t>
      </w:r>
      <w:r w:rsidR="00E52DFB">
        <w:t>or</w:t>
      </w:r>
      <w:r>
        <w:t xml:space="preserve"> ≥</w:t>
      </w:r>
      <w:r w:rsidR="00660733">
        <w:t xml:space="preserve"> </w:t>
      </w:r>
      <w:r>
        <w:t xml:space="preserve">60 years old at the time of diagnosis of endometrial cancer with Stage IA </w:t>
      </w:r>
      <w:r w:rsidR="007C794D">
        <w:t>(</w:t>
      </w:r>
      <w:r>
        <w:t xml:space="preserve">Grade </w:t>
      </w:r>
      <w:r w:rsidR="007C794D">
        <w:t>1</w:t>
      </w:r>
      <w:r>
        <w:t xml:space="preserve"> or </w:t>
      </w:r>
      <w:r w:rsidR="007C794D">
        <w:t>2)</w:t>
      </w:r>
      <w:r>
        <w:t xml:space="preserve"> </w:t>
      </w:r>
      <w:proofErr w:type="spellStart"/>
      <w:r>
        <w:t>endometrioid</w:t>
      </w:r>
      <w:proofErr w:type="spellEnd"/>
      <w:r>
        <w:t xml:space="preserve"> adenocarcinoma. Patients with serous or clear cell adenocarcinoma or </w:t>
      </w:r>
      <w:proofErr w:type="spellStart"/>
      <w:r>
        <w:t>carcinosarcoma</w:t>
      </w:r>
      <w:proofErr w:type="spellEnd"/>
      <w:r>
        <w:t xml:space="preserve"> of the endometrium were not eligible.</w:t>
      </w:r>
    </w:p>
    <w:p w14:paraId="01D7FB07" w14:textId="7E2C5235" w:rsidR="00B67678" w:rsidRDefault="00B67678" w:rsidP="00B67678">
      <w:pPr>
        <w:pStyle w:val="Heading6"/>
      </w:pPr>
      <w:r>
        <w:t>Randomisation</w:t>
      </w:r>
    </w:p>
    <w:p w14:paraId="75FA4167" w14:textId="3CAADC73" w:rsidR="00601799" w:rsidRDefault="00601799" w:rsidP="00601799">
      <w:r>
        <w:t>Randomisation was stratified as follows:</w:t>
      </w:r>
    </w:p>
    <w:p w14:paraId="1CABF3D3" w14:textId="77777777" w:rsidR="00601799" w:rsidRDefault="00601799" w:rsidP="00660733">
      <w:pPr>
        <w:pStyle w:val="ListBullet"/>
      </w:pPr>
      <w:r>
        <w:t>First line treatment outcome at screening:</w:t>
      </w:r>
    </w:p>
    <w:p w14:paraId="0BB5A352" w14:textId="00C2AA38" w:rsidR="00601799" w:rsidRDefault="00601799" w:rsidP="00660733">
      <w:pPr>
        <w:pStyle w:val="ListBullet2"/>
      </w:pPr>
      <w:r>
        <w:t xml:space="preserve">NED with complete macroscopic resection at initial </w:t>
      </w:r>
      <w:proofErr w:type="spellStart"/>
      <w:r>
        <w:t>debulking</w:t>
      </w:r>
      <w:proofErr w:type="spellEnd"/>
      <w:r>
        <w:t xml:space="preserve"> surgery</w:t>
      </w:r>
      <w:r w:rsidR="00660733">
        <w:t>.</w:t>
      </w:r>
    </w:p>
    <w:p w14:paraId="52474712" w14:textId="1C4811F2" w:rsidR="00601799" w:rsidRDefault="00601799" w:rsidP="00660733">
      <w:pPr>
        <w:pStyle w:val="ListBullet2"/>
      </w:pPr>
      <w:r>
        <w:t xml:space="preserve">NED/CR with complete macroscopic resection at </w:t>
      </w:r>
      <w:r w:rsidR="00660733">
        <w:t xml:space="preserve">interval </w:t>
      </w:r>
      <w:proofErr w:type="spellStart"/>
      <w:r w:rsidR="00660733">
        <w:t>debulking</w:t>
      </w:r>
      <w:proofErr w:type="spellEnd"/>
      <w:r w:rsidR="00660733">
        <w:t xml:space="preserve"> surgery (</w:t>
      </w:r>
      <w:r>
        <w:t>IDS</w:t>
      </w:r>
      <w:r w:rsidR="00660733">
        <w:t>).</w:t>
      </w:r>
    </w:p>
    <w:p w14:paraId="73189CD1" w14:textId="7A72BAF9" w:rsidR="00601799" w:rsidRDefault="00601799" w:rsidP="00660733">
      <w:pPr>
        <w:pStyle w:val="ListBullet2"/>
      </w:pPr>
      <w:r>
        <w:t>NED/CR at screening, in patients who had either inco</w:t>
      </w:r>
      <w:r w:rsidR="00660733">
        <w:t xml:space="preserve">mplete resection (at initial or </w:t>
      </w:r>
      <w:r>
        <w:t xml:space="preserve">IDS) or no </w:t>
      </w:r>
      <w:proofErr w:type="spellStart"/>
      <w:r>
        <w:t>debulking</w:t>
      </w:r>
      <w:proofErr w:type="spellEnd"/>
      <w:r>
        <w:t xml:space="preserve"> surgery (</w:t>
      </w:r>
      <w:proofErr w:type="spellStart"/>
      <w:r>
        <w:t>debulking</w:t>
      </w:r>
      <w:proofErr w:type="spellEnd"/>
      <w:r>
        <w:t xml:space="preserve"> surgery considered as not feasible)</w:t>
      </w:r>
      <w:r w:rsidR="00660733">
        <w:t>.</w:t>
      </w:r>
    </w:p>
    <w:p w14:paraId="124503D3" w14:textId="17D4ECF1" w:rsidR="00601799" w:rsidRDefault="00601799" w:rsidP="00660733">
      <w:pPr>
        <w:pStyle w:val="ListBullet2"/>
      </w:pPr>
      <w:r>
        <w:t>PR</w:t>
      </w:r>
      <w:r w:rsidR="003D0EAB">
        <w:t>.</w:t>
      </w:r>
    </w:p>
    <w:p w14:paraId="7CB07FE7" w14:textId="3874BA4B" w:rsidR="00601799" w:rsidRDefault="0033465C" w:rsidP="00660733">
      <w:pPr>
        <w:pStyle w:val="ListBullet"/>
      </w:pPr>
      <w:r>
        <w:t>T</w:t>
      </w:r>
      <w:r w:rsidR="00660733">
        <w:t xml:space="preserve">umour </w:t>
      </w:r>
      <w:r w:rsidR="003D0EAB" w:rsidRPr="00D0384C">
        <w:rPr>
          <w:i/>
        </w:rPr>
        <w:t>BRCA</w:t>
      </w:r>
      <w:r w:rsidR="00660733" w:rsidRPr="00660733">
        <w:t xml:space="preserve"> </w:t>
      </w:r>
      <w:r w:rsidR="00660733">
        <w:t>(</w:t>
      </w:r>
      <w:proofErr w:type="spellStart"/>
      <w:r w:rsidR="00601799">
        <w:t>tBRCA</w:t>
      </w:r>
      <w:proofErr w:type="spellEnd"/>
      <w:r w:rsidR="00660733">
        <w:t>)</w:t>
      </w:r>
      <w:r w:rsidR="00601799">
        <w:t xml:space="preserve"> status as determined by</w:t>
      </w:r>
      <w:r w:rsidR="00601799" w:rsidRPr="00D0384C">
        <w:rPr>
          <w:i/>
        </w:rPr>
        <w:t xml:space="preserve"> BRCA </w:t>
      </w:r>
      <w:r w:rsidR="00601799">
        <w:t>testing on tumour tissue:</w:t>
      </w:r>
    </w:p>
    <w:p w14:paraId="1A27C159" w14:textId="75330557" w:rsidR="00601799" w:rsidRDefault="00601799" w:rsidP="00660733">
      <w:pPr>
        <w:pStyle w:val="ListBullet2"/>
      </w:pPr>
      <w:r>
        <w:t>Deleterious mutation</w:t>
      </w:r>
      <w:r w:rsidR="00660733">
        <w:t>.</w:t>
      </w:r>
    </w:p>
    <w:p w14:paraId="023133B3" w14:textId="0C1BB241" w:rsidR="00601799" w:rsidRDefault="00601799" w:rsidP="00660733">
      <w:pPr>
        <w:pStyle w:val="ListBullet2"/>
      </w:pPr>
      <w:r>
        <w:t xml:space="preserve">Absence of deleterious mutation (tumour </w:t>
      </w:r>
      <w:r w:rsidRPr="00D0384C">
        <w:rPr>
          <w:i/>
        </w:rPr>
        <w:t>BRCA</w:t>
      </w:r>
      <w:r>
        <w:t xml:space="preserve"> wild type</w:t>
      </w:r>
      <w:r w:rsidR="00660733">
        <w:t xml:space="preserve"> (</w:t>
      </w:r>
      <w:proofErr w:type="spellStart"/>
      <w:r w:rsidR="00660733">
        <w:t>tBRCAwt</w:t>
      </w:r>
      <w:proofErr w:type="spellEnd"/>
      <w:r w:rsidR="00660733">
        <w:t>)</w:t>
      </w:r>
      <w:r>
        <w:t>/variant of uncertain significance</w:t>
      </w:r>
      <w:r w:rsidR="00660733">
        <w:t xml:space="preserve"> (VUS)</w:t>
      </w:r>
      <w:r>
        <w:t>/unknown)</w:t>
      </w:r>
      <w:r w:rsidR="00660733">
        <w:t>.</w:t>
      </w:r>
    </w:p>
    <w:p w14:paraId="34990EA1" w14:textId="6219BD49" w:rsidR="00601799" w:rsidRDefault="00601799" w:rsidP="00601799">
      <w:r>
        <w:t>Patients were randomised in a</w:t>
      </w:r>
      <w:r w:rsidR="003D0EAB">
        <w:t xml:space="preserve"> 2:1 ratio to </w:t>
      </w:r>
      <w:proofErr w:type="spellStart"/>
      <w:r w:rsidR="003D0EAB">
        <w:t>olaparib</w:t>
      </w:r>
      <w:proofErr w:type="spellEnd"/>
      <w:r w:rsidR="003D0EAB">
        <w:t xml:space="preserve"> 300 mg BD</w:t>
      </w:r>
      <w:r>
        <w:t xml:space="preserve"> (tablet) or matching placebo. All patients received bevacizumab</w:t>
      </w:r>
      <w:r w:rsidR="005848F3">
        <w:t xml:space="preserve"> </w:t>
      </w:r>
      <w:r>
        <w:t xml:space="preserve">15 mg/kg every 3 weeks for up to 15 months as per label indication including the period of pre-randomisation given with chemotherapy and post-randomisation given with </w:t>
      </w:r>
      <w:proofErr w:type="spellStart"/>
      <w:r>
        <w:t>olaparib</w:t>
      </w:r>
      <w:proofErr w:type="spellEnd"/>
      <w:r>
        <w:t xml:space="preserve"> or placebo. Olaparib was continued for </w:t>
      </w:r>
      <w:r w:rsidR="00660733">
        <w:t>2 </w:t>
      </w:r>
      <w:r w:rsidRPr="00E00695">
        <w:t xml:space="preserve">years or until disease progression, as assessed by the investigator. Patients who in the opinion of the treating physician could derive further benefit from continuous treatment, could be treated beyond 2 years. </w:t>
      </w:r>
      <w:r>
        <w:t xml:space="preserve">Patients in both treatment arms had tumour assessments according to modified </w:t>
      </w:r>
      <w:r w:rsidR="00660733">
        <w:t>RECIST</w:t>
      </w:r>
      <w:r>
        <w:t xml:space="preserve"> </w:t>
      </w:r>
      <w:r w:rsidR="00660733">
        <w:t>v</w:t>
      </w:r>
      <w:r>
        <w:t xml:space="preserve">1.1 </w:t>
      </w:r>
      <w:r w:rsidR="00660733">
        <w:t>at Baseline and every 24 weeks.</w:t>
      </w:r>
    </w:p>
    <w:p w14:paraId="5A2F9259" w14:textId="119D9E29" w:rsidR="00660733" w:rsidRDefault="00660733" w:rsidP="00660733">
      <w:pPr>
        <w:pStyle w:val="Heading6"/>
      </w:pPr>
      <w:r>
        <w:t>Gene testing</w:t>
      </w:r>
    </w:p>
    <w:p w14:paraId="6ED2FD98" w14:textId="7C1F5A82" w:rsidR="00601799" w:rsidRDefault="00EB52DD" w:rsidP="00601799">
      <w:r>
        <w:t xml:space="preserve">The Myriad </w:t>
      </w:r>
      <w:proofErr w:type="spellStart"/>
      <w:r>
        <w:t>myChoice</w:t>
      </w:r>
      <w:proofErr w:type="spellEnd"/>
      <w:r>
        <w:t xml:space="preserve"> HRD P</w:t>
      </w:r>
      <w:r w:rsidR="00601799" w:rsidRPr="00064B44">
        <w:t xml:space="preserve">lus assay was used to assess </w:t>
      </w:r>
      <w:r w:rsidR="003D0EAB">
        <w:t>HRD</w:t>
      </w:r>
      <w:r w:rsidR="00601799" w:rsidRPr="00064B44">
        <w:t xml:space="preserve"> status in a subset of patients. A positive HRD status means that there are mutations in </w:t>
      </w:r>
      <w:r w:rsidR="00601799" w:rsidRPr="00D0384C">
        <w:rPr>
          <w:i/>
        </w:rPr>
        <w:t>BRAC1</w:t>
      </w:r>
      <w:r w:rsidR="00601799" w:rsidRPr="00064B44">
        <w:t xml:space="preserve"> and </w:t>
      </w:r>
      <w:r w:rsidR="00601799" w:rsidRPr="00D0384C">
        <w:rPr>
          <w:i/>
        </w:rPr>
        <w:t>BRCA2</w:t>
      </w:r>
      <w:r w:rsidR="00601799" w:rsidRPr="00064B44">
        <w:t xml:space="preserve"> genes or a</w:t>
      </w:r>
      <w:r>
        <w:t xml:space="preserve"> high Genomic Instability Score</w:t>
      </w:r>
      <w:r w:rsidR="00601799" w:rsidRPr="00064B44">
        <w:t xml:space="preserve"> in patients with ovarian cancer.</w:t>
      </w:r>
      <w:r w:rsidR="00601799" w:rsidRPr="00F71F4D">
        <w:t xml:space="preserve"> With a positive HRD status, a patient’s DNA is unable to repair. </w:t>
      </w:r>
      <w:r>
        <w:t>HRD</w:t>
      </w:r>
      <w:r w:rsidR="00601799" w:rsidRPr="00F71F4D">
        <w:t xml:space="preserve"> status is based on a Myriad HRD score and </w:t>
      </w:r>
      <w:r w:rsidRPr="00D0384C">
        <w:rPr>
          <w:i/>
        </w:rPr>
        <w:t>BRCA</w:t>
      </w:r>
      <w:r>
        <w:t xml:space="preserve"> mutation (</w:t>
      </w:r>
      <w:proofErr w:type="spellStart"/>
      <w:r w:rsidR="00601799" w:rsidRPr="00F71F4D">
        <w:t>BRCAm</w:t>
      </w:r>
      <w:proofErr w:type="spellEnd"/>
      <w:r>
        <w:t>)</w:t>
      </w:r>
      <w:r w:rsidR="00601799" w:rsidRPr="00F71F4D">
        <w:t xml:space="preserve"> status. A positive HRD status is determined either by presence of a </w:t>
      </w:r>
      <w:r w:rsidR="00601799" w:rsidRPr="00D0384C">
        <w:rPr>
          <w:i/>
        </w:rPr>
        <w:t>BRCA1/2</w:t>
      </w:r>
      <w:r w:rsidR="00601799" w:rsidRPr="00F71F4D">
        <w:t xml:space="preserve"> mutation or by a Myriad score at or above a pre-specified cut-off in the absence of a </w:t>
      </w:r>
      <w:r w:rsidR="00601799" w:rsidRPr="00D0384C">
        <w:rPr>
          <w:i/>
        </w:rPr>
        <w:t>BRCA1/2</w:t>
      </w:r>
      <w:r w:rsidR="00601799" w:rsidRPr="00F71F4D">
        <w:t xml:space="preserve"> mutation. The Myriad </w:t>
      </w:r>
      <w:proofErr w:type="spellStart"/>
      <w:r w:rsidR="00601799" w:rsidRPr="00F71F4D">
        <w:t>myChoic</w:t>
      </w:r>
      <w:r>
        <w:t>e</w:t>
      </w:r>
      <w:proofErr w:type="spellEnd"/>
      <w:r w:rsidR="00601799" w:rsidRPr="00F71F4D">
        <w:t xml:space="preserve"> HRD Plus test consists of gene sequencing of a panel of 108 genes, including the </w:t>
      </w:r>
      <w:r w:rsidR="003D0EAB">
        <w:t>HRR</w:t>
      </w:r>
      <w:r w:rsidR="00601799" w:rsidRPr="00F71F4D">
        <w:t xml:space="preserve"> genes, per</w:t>
      </w:r>
      <w:r>
        <w:t>formed by Myriad Genetics, Inc.</w:t>
      </w:r>
    </w:p>
    <w:p w14:paraId="2F57AF86" w14:textId="2B2F95C0" w:rsidR="00601799" w:rsidRDefault="00601799" w:rsidP="00601799">
      <w:r w:rsidRPr="00F71F4D">
        <w:t xml:space="preserve">Patients may be classified as having Myriad HRD positive or Myriad HRD negative tumours using a combination of </w:t>
      </w:r>
      <w:r w:rsidRPr="00D0384C">
        <w:rPr>
          <w:i/>
        </w:rPr>
        <w:t>BRCA</w:t>
      </w:r>
      <w:r w:rsidRPr="00F71F4D">
        <w:t xml:space="preserve"> status and Myriad HRD score. </w:t>
      </w:r>
      <w:proofErr w:type="spellStart"/>
      <w:r w:rsidRPr="00F71F4D">
        <w:t>BRCAm</w:t>
      </w:r>
      <w:proofErr w:type="spellEnd"/>
      <w:r w:rsidRPr="00F71F4D">
        <w:t xml:space="preserve"> tumours are automatically defined as Myriad HRD positive irrespective of their Myriad HRD score. Myriad HRD status is only ever derived from tumour. The Myriad positive HRD status cut off 42 or cut off 33 are defined by the presence of </w:t>
      </w:r>
      <w:proofErr w:type="spellStart"/>
      <w:r w:rsidRPr="00F71F4D">
        <w:t>BRCAm</w:t>
      </w:r>
      <w:proofErr w:type="spellEnd"/>
      <w:r w:rsidRPr="00F71F4D">
        <w:t xml:space="preserve"> or an HRD s</w:t>
      </w:r>
      <w:r w:rsidR="00EB52DD">
        <w:t>core ≥ 42 or 33, respectively.</w:t>
      </w:r>
    </w:p>
    <w:p w14:paraId="51F57288" w14:textId="7DDECB56" w:rsidR="00601799" w:rsidRDefault="00601799" w:rsidP="00601799">
      <w:r w:rsidRPr="00F71F4D">
        <w:t xml:space="preserve">Where reference is made to a subset of the </w:t>
      </w:r>
      <w:proofErr w:type="spellStart"/>
      <w:r w:rsidRPr="00F71F4D">
        <w:t>tBRCA</w:t>
      </w:r>
      <w:proofErr w:type="spellEnd"/>
      <w:r w:rsidRPr="00F71F4D">
        <w:t xml:space="preserve"> population, specifically those patients tested with the </w:t>
      </w:r>
      <w:proofErr w:type="spellStart"/>
      <w:r w:rsidRPr="00F71F4D">
        <w:t>myChoice</w:t>
      </w:r>
      <w:proofErr w:type="spellEnd"/>
      <w:r w:rsidRPr="00F71F4D">
        <w:t xml:space="preserve"> </w:t>
      </w:r>
      <w:r w:rsidR="00EB52DD">
        <w:t xml:space="preserve">HRD Plus test the abbreviation ‘Myriad </w:t>
      </w:r>
      <w:proofErr w:type="spellStart"/>
      <w:r w:rsidR="00EB52DD">
        <w:t>tBRCA</w:t>
      </w:r>
      <w:proofErr w:type="spellEnd"/>
      <w:r w:rsidR="00EB52DD">
        <w:t>’</w:t>
      </w:r>
      <w:r w:rsidRPr="00F71F4D">
        <w:t xml:space="preserve"> is used. The subset of patients confirmed with a </w:t>
      </w:r>
      <w:proofErr w:type="spellStart"/>
      <w:r w:rsidRPr="00F71F4D">
        <w:t>tBRCA</w:t>
      </w:r>
      <w:proofErr w:type="spellEnd"/>
      <w:r w:rsidRPr="00F71F4D">
        <w:t xml:space="preserve"> mutation using this test should be refe</w:t>
      </w:r>
      <w:r w:rsidR="00EB52DD">
        <w:t xml:space="preserve">rred to using the abbreviation ‘Myriad </w:t>
      </w:r>
      <w:proofErr w:type="spellStart"/>
      <w:r w:rsidR="00EB52DD">
        <w:t>tBRCAm</w:t>
      </w:r>
      <w:proofErr w:type="spellEnd"/>
      <w:r w:rsidR="00EB52DD">
        <w:t>’</w:t>
      </w:r>
      <w:r w:rsidRPr="00F71F4D">
        <w:t>.</w:t>
      </w:r>
      <w:r>
        <w:t xml:space="preserve"> </w:t>
      </w:r>
      <w:r w:rsidR="00EB52DD">
        <w:t>Germline BRCA (</w:t>
      </w:r>
      <w:proofErr w:type="spellStart"/>
      <w:r>
        <w:t>gBRCA</w:t>
      </w:r>
      <w:proofErr w:type="spellEnd"/>
      <w:r w:rsidR="00EB52DD">
        <w:t>)</w:t>
      </w:r>
      <w:r>
        <w:t xml:space="preserve"> testing was not mandatory in the study, and </w:t>
      </w:r>
      <w:proofErr w:type="spellStart"/>
      <w:r>
        <w:t>gBRCA</w:t>
      </w:r>
      <w:proofErr w:type="spellEnd"/>
      <w:r>
        <w:t xml:space="preserve"> status was availabl</w:t>
      </w:r>
      <w:r w:rsidR="00EB52DD">
        <w:t>e for half of the patients (404 out of 806 (50.1%)</w:t>
      </w:r>
      <w:r>
        <w:t>)</w:t>
      </w:r>
      <w:r w:rsidR="00EB52DD">
        <w:t xml:space="preserve">. Of these, 12 out of </w:t>
      </w:r>
      <w:r>
        <w:t xml:space="preserve">404 (29.7%) patients were </w:t>
      </w:r>
      <w:proofErr w:type="spellStart"/>
      <w:r>
        <w:t>gBRCAm</w:t>
      </w:r>
      <w:proofErr w:type="spellEnd"/>
      <w:r>
        <w:t>.</w:t>
      </w:r>
    </w:p>
    <w:p w14:paraId="046EB52C" w14:textId="038E1350" w:rsidR="00601799" w:rsidRPr="002C7C29" w:rsidRDefault="00601799" w:rsidP="00B67678">
      <w:pPr>
        <w:pStyle w:val="Heading6"/>
      </w:pPr>
      <w:r w:rsidRPr="002C7C29">
        <w:t>Statistical methods</w:t>
      </w:r>
    </w:p>
    <w:p w14:paraId="262902A5" w14:textId="043469E2" w:rsidR="00601799" w:rsidRDefault="00601799" w:rsidP="00D940B0">
      <w:r>
        <w:t xml:space="preserve">PFS1 according to investigator assessment based on modified RECIST 1.1 was </w:t>
      </w:r>
      <w:r w:rsidR="00EB52DD">
        <w:t xml:space="preserve">the primary efficacy endpoint. </w:t>
      </w:r>
      <w:r>
        <w:t xml:space="preserve">PFS was analysed using a log-rank test stratified by first line treatment outcome and </w:t>
      </w:r>
      <w:proofErr w:type="spellStart"/>
      <w:r>
        <w:t>tBRCA</w:t>
      </w:r>
      <w:proofErr w:type="spellEnd"/>
      <w:r>
        <w:t xml:space="preserve"> status with the </w:t>
      </w:r>
      <w:r w:rsidR="00EB52DD">
        <w:t>hazard ratio (</w:t>
      </w:r>
      <w:r>
        <w:t>HR</w:t>
      </w:r>
      <w:r w:rsidR="00EB52DD">
        <w:t>)</w:t>
      </w:r>
      <w:r>
        <w:t xml:space="preserve"> and associated </w:t>
      </w:r>
      <w:r w:rsidR="00EB52DD">
        <w:t>confidence interval (</w:t>
      </w:r>
      <w:r>
        <w:t>CI</w:t>
      </w:r>
      <w:r w:rsidR="00EB52DD">
        <w:t>)</w:t>
      </w:r>
      <w:r>
        <w:t xml:space="preserve"> estimated from a stratified Cox Proportional Hazards model. A sensitivity analysis to assess ascertainment bias based on </w:t>
      </w:r>
      <w:r w:rsidR="00EB52DD">
        <w:t xml:space="preserve">blinded independent central review </w:t>
      </w:r>
      <w:r>
        <w:t>(BICR)</w:t>
      </w:r>
      <w:r w:rsidR="003D0EAB">
        <w:t>.</w:t>
      </w:r>
      <w:r>
        <w:t xml:space="preserve"> RECIST data was also performed.</w:t>
      </w:r>
    </w:p>
    <w:p w14:paraId="0E574D7C" w14:textId="4344AA31" w:rsidR="00601799" w:rsidRDefault="00601799" w:rsidP="00D940B0">
      <w:r>
        <w:t xml:space="preserve">Key secondary endpoints were: time to earliest progression or death; </w:t>
      </w:r>
      <w:r w:rsidR="00472669">
        <w:t>TFST</w:t>
      </w:r>
      <w:r>
        <w:t xml:space="preserve">; </w:t>
      </w:r>
      <w:r w:rsidR="00472669">
        <w:t>PFS2</w:t>
      </w:r>
      <w:r>
        <w:t>; TS</w:t>
      </w:r>
      <w:r w:rsidR="00472669">
        <w:t xml:space="preserve">ST and OS. </w:t>
      </w:r>
      <w:r>
        <w:t xml:space="preserve">To control for multiplicity hierarchical testing strategy was used where PFS1 is tested first and key secondary endpoints of PFS2 and OS will then be tested using a </w:t>
      </w:r>
      <w:r w:rsidR="003D0EAB">
        <w:t>mu</w:t>
      </w:r>
      <w:r w:rsidR="00EE2E1E">
        <w:t>ltiple testing procedure</w:t>
      </w:r>
      <w:r w:rsidR="003D0EAB">
        <w:t xml:space="preserve"> with a recycling strategy (that is,</w:t>
      </w:r>
      <w:r>
        <w:t xml:space="preserve"> </w:t>
      </w:r>
      <w:r w:rsidR="00EE2E1E">
        <w:t>the multiple testing procedure</w:t>
      </w:r>
      <w:r>
        <w:t xml:space="preserve"> will recycle the test mass to the endpoint not yet rejected in the hierarchy.</w:t>
      </w:r>
    </w:p>
    <w:p w14:paraId="464443D8" w14:textId="77777777" w:rsidR="00601799" w:rsidRDefault="00601799" w:rsidP="00D940B0">
      <w:r>
        <w:t>There were multiple exploratory analyses which included pre planned subgroup analyses of efficacy (including PFS1 and OS) based on relevant potential prognostic factors, including, but not limited to stratification factors, clinical characteristics and tumour HR deficiency status (</w:t>
      </w:r>
      <w:proofErr w:type="spellStart"/>
      <w:r>
        <w:t>BRCAm</w:t>
      </w:r>
      <w:proofErr w:type="spellEnd"/>
      <w:r>
        <w:t>, mutations in other HR genes and Myriad HRD scar status). No adjustments to the significance level for testing were made since all these subgroup analyses were considered exploratory and may only be supportive of the analysis of PFS1.</w:t>
      </w:r>
    </w:p>
    <w:p w14:paraId="43EB9F58" w14:textId="1AA5901B" w:rsidR="00601799" w:rsidRDefault="00601799" w:rsidP="00D940B0">
      <w:r>
        <w:t>A total of 806 patients were randomised and the data cut-</w:t>
      </w:r>
      <w:r w:rsidR="003D0EAB">
        <w:t>off for the analysis of PFS (22 </w:t>
      </w:r>
      <w:r>
        <w:t>March 2019) took place when 474 progression events had occurred (58.8% maturity), approximately 45 months after the first patient was random</w:t>
      </w:r>
      <w:r w:rsidR="003D0EAB">
        <w:t>ised. It was estimated that 458 </w:t>
      </w:r>
      <w:r>
        <w:t>PFS events would have approximately &gt;</w:t>
      </w:r>
      <w:r w:rsidR="003D0EAB">
        <w:t xml:space="preserve"> 80% power to show PFS at a 2 </w:t>
      </w:r>
      <w:r>
        <w:t xml:space="preserve">sided 5% level if the assumed true treatment effect was </w:t>
      </w:r>
      <w:r w:rsidR="003D0EAB">
        <w:t>HR</w:t>
      </w:r>
      <w:r>
        <w:t xml:space="preserve"> 0.75; this translates to an improvem</w:t>
      </w:r>
      <w:r w:rsidR="003D0EAB">
        <w:t>ent in median PFS from 15.8 months</w:t>
      </w:r>
      <w:r>
        <w:t xml:space="preserve"> (place</w:t>
      </w:r>
      <w:r w:rsidR="003D0EAB">
        <w:t>bo/bevacizumab arm) to 21.1 months</w:t>
      </w:r>
      <w:r>
        <w:t xml:space="preserve"> (</w:t>
      </w:r>
      <w:proofErr w:type="spellStart"/>
      <w:r>
        <w:t>olaparib</w:t>
      </w:r>
      <w:proofErr w:type="spellEnd"/>
      <w:r>
        <w:t>/bevacizumab arm).</w:t>
      </w:r>
      <w:r w:rsidRPr="002E2EFA">
        <w:t xml:space="preserve"> In add</w:t>
      </w:r>
      <w:r w:rsidR="003D0EAB">
        <w:t xml:space="preserve">ition to the planned analyses, </w:t>
      </w:r>
      <w:r w:rsidRPr="002E2EFA">
        <w:t>PFS</w:t>
      </w:r>
      <w:r w:rsidR="003D0EAB">
        <w:t>1</w:t>
      </w:r>
      <w:r w:rsidRPr="002E2EFA">
        <w:t xml:space="preserve">, PFS2, OS, TFST, TSST and </w:t>
      </w:r>
      <w:r w:rsidR="003D0EAB">
        <w:t>t</w:t>
      </w:r>
      <w:r w:rsidR="003D0EAB" w:rsidRPr="003D0EAB">
        <w:t xml:space="preserve">ime from randomisation to discontinuation of treatment or death </w:t>
      </w:r>
      <w:r w:rsidR="003D0EAB">
        <w:t>(</w:t>
      </w:r>
      <w:r w:rsidRPr="002E2EFA">
        <w:t>TDT</w:t>
      </w:r>
      <w:r w:rsidR="003D0EAB">
        <w:t>)</w:t>
      </w:r>
      <w:r w:rsidRPr="002E2EFA">
        <w:t xml:space="preserve"> were</w:t>
      </w:r>
      <w:r w:rsidR="003D0EAB">
        <w:t xml:space="preserve"> tested at a 2 </w:t>
      </w:r>
      <w:r w:rsidRPr="002E2EFA">
        <w:t>sided significance level of 5% to cont</w:t>
      </w:r>
      <w:r w:rsidR="00D940B0">
        <w:t xml:space="preserve">rol the type I error at 2.5% (1 </w:t>
      </w:r>
      <w:r w:rsidRPr="002E2EFA">
        <w:t>sided).</w:t>
      </w:r>
    </w:p>
    <w:p w14:paraId="414CBFB2" w14:textId="532C00B0" w:rsidR="00601799" w:rsidRDefault="00601799" w:rsidP="00D940B0">
      <w:r>
        <w:t>T</w:t>
      </w:r>
      <w:r w:rsidRPr="002E2EFA">
        <w:t>he final PFS2 analysis is planned when the PFS2 data are approximately 53% mature or after a maximum duration of 1 year following the PFS analysis, whichever occurs first. If PFS2 is statistically significant then OS will also be tested. If the final PFS2 analysis is not statistically significant, a final OS summary will be performed when the OS data are approx</w:t>
      </w:r>
      <w:r w:rsidR="00D940B0">
        <w:t xml:space="preserve">imately 60% mature or after a 3 </w:t>
      </w:r>
      <w:r w:rsidRPr="002E2EFA">
        <w:t>year duration from the main PFS analysis, whichever occurred first.</w:t>
      </w:r>
    </w:p>
    <w:p w14:paraId="3862E981" w14:textId="77777777" w:rsidR="00601799" w:rsidRPr="002C7C29" w:rsidRDefault="00601799" w:rsidP="00B67678">
      <w:pPr>
        <w:pStyle w:val="Heading6"/>
      </w:pPr>
      <w:r w:rsidRPr="002C7C29">
        <w:t>Results</w:t>
      </w:r>
    </w:p>
    <w:p w14:paraId="45A4CB89" w14:textId="208A3891" w:rsidR="00601799" w:rsidRDefault="00601799" w:rsidP="00601799">
      <w:r>
        <w:t>A total of 806 patients we</w:t>
      </w:r>
      <w:r w:rsidR="00D940B0">
        <w:t xml:space="preserve">re randomised; 537 to </w:t>
      </w:r>
      <w:proofErr w:type="spellStart"/>
      <w:r w:rsidR="00D940B0">
        <w:t>olaparib</w:t>
      </w:r>
      <w:proofErr w:type="spellEnd"/>
      <w:r w:rsidR="00D940B0">
        <w:t>/bevacizumab and 269 to placebo/bevacizumab. The m</w:t>
      </w:r>
      <w:r>
        <w:t xml:space="preserve">edian age was 61 years. </w:t>
      </w:r>
      <w:r w:rsidRPr="002E2EFA">
        <w:t xml:space="preserve">Patients were stratified based on their first line treatment outcome at screening and their screening laboratory </w:t>
      </w:r>
      <w:proofErr w:type="spellStart"/>
      <w:r w:rsidRPr="002E2EFA">
        <w:t>tBRCAm</w:t>
      </w:r>
      <w:proofErr w:type="spellEnd"/>
      <w:r w:rsidRPr="002E2EFA">
        <w:t xml:space="preserve"> result. Stratification factors were well balanced between treatment arms. Approximately 30% of patients had </w:t>
      </w:r>
      <w:proofErr w:type="spellStart"/>
      <w:r w:rsidRPr="002E2EFA">
        <w:t>tBRCAm</w:t>
      </w:r>
      <w:proofErr w:type="spellEnd"/>
      <w:r w:rsidRPr="002E2EFA">
        <w:t xml:space="preserve"> tumours and approximately 70% of patients were non-</w:t>
      </w:r>
      <w:proofErr w:type="spellStart"/>
      <w:r w:rsidRPr="002E2EFA">
        <w:t>tBRCAm</w:t>
      </w:r>
      <w:proofErr w:type="spellEnd"/>
      <w:r w:rsidRPr="002E2EFA">
        <w:t xml:space="preserve"> based on screening laboratory data. The majority of patients in both arms had either NED due to complete macroscopic resection at initial </w:t>
      </w:r>
      <w:proofErr w:type="spellStart"/>
      <w:r w:rsidRPr="002E2EFA">
        <w:t>debulking</w:t>
      </w:r>
      <w:proofErr w:type="spellEnd"/>
      <w:r w:rsidRPr="002E2EFA">
        <w:t xml:space="preserve"> surgery or interval </w:t>
      </w:r>
      <w:proofErr w:type="spellStart"/>
      <w:r w:rsidRPr="002E2EFA">
        <w:t>debulking</w:t>
      </w:r>
      <w:proofErr w:type="spellEnd"/>
      <w:r w:rsidRPr="002E2EFA">
        <w:t xml:space="preserve"> surgery or had CR to chemotherapy at randomisation.</w:t>
      </w:r>
      <w:r w:rsidR="00D940B0">
        <w:t xml:space="preserve"> Disease characteristics at Baseline are shown below in </w:t>
      </w:r>
      <w:r w:rsidR="00D940B0">
        <w:fldChar w:fldCharType="begin"/>
      </w:r>
      <w:r w:rsidR="00D940B0">
        <w:instrText xml:space="preserve"> REF _Ref66528769 \h </w:instrText>
      </w:r>
      <w:r w:rsidR="00D940B0">
        <w:fldChar w:fldCharType="separate"/>
      </w:r>
      <w:r w:rsidR="00A11EA7">
        <w:t xml:space="preserve">Table </w:t>
      </w:r>
      <w:r w:rsidR="00A11EA7">
        <w:rPr>
          <w:noProof/>
        </w:rPr>
        <w:t>4</w:t>
      </w:r>
      <w:r w:rsidR="00D940B0">
        <w:fldChar w:fldCharType="end"/>
      </w:r>
      <w:r w:rsidR="00EF6C6A">
        <w:t>.</w:t>
      </w:r>
    </w:p>
    <w:p w14:paraId="5B2E0320" w14:textId="4BF592D8" w:rsidR="00472669" w:rsidRDefault="00472669" w:rsidP="00472669">
      <w:pPr>
        <w:pStyle w:val="TableTitle"/>
      </w:pPr>
      <w:bookmarkStart w:id="41" w:name="_Ref66528769"/>
      <w:r>
        <w:t xml:space="preserve">Table </w:t>
      </w:r>
      <w:r w:rsidR="00EC1515">
        <w:fldChar w:fldCharType="begin"/>
      </w:r>
      <w:r w:rsidR="00EC1515">
        <w:instrText xml:space="preserve"> SEQ Table \* ARABIC </w:instrText>
      </w:r>
      <w:r w:rsidR="00EC1515">
        <w:fldChar w:fldCharType="separate"/>
      </w:r>
      <w:r w:rsidR="00A11EA7">
        <w:rPr>
          <w:noProof/>
        </w:rPr>
        <w:t>4</w:t>
      </w:r>
      <w:r w:rsidR="00EC1515">
        <w:rPr>
          <w:noProof/>
        </w:rPr>
        <w:fldChar w:fldCharType="end"/>
      </w:r>
      <w:bookmarkEnd w:id="41"/>
      <w:r>
        <w:t xml:space="preserve">: </w:t>
      </w:r>
      <w:r w:rsidR="00F21676">
        <w:rPr>
          <w:bCs/>
        </w:rPr>
        <w:t>Study D0817C00003 (</w:t>
      </w:r>
      <w:r w:rsidR="00F21676" w:rsidRPr="00B67678">
        <w:t>PAOLA-1 trial</w:t>
      </w:r>
      <w:r w:rsidR="00F21676">
        <w:t>)</w:t>
      </w:r>
      <w:r>
        <w:t xml:space="preserve"> </w:t>
      </w:r>
      <w:r w:rsidR="00F21676">
        <w:t>B</w:t>
      </w:r>
      <w:r>
        <w:t>aseline characteristics</w:t>
      </w:r>
      <w:r w:rsidR="00F21676">
        <w:t xml:space="preserve"> of the</w:t>
      </w:r>
      <w:r w:rsidR="00097994">
        <w:t xml:space="preserve"> full analysis set</w:t>
      </w:r>
      <w:r w:rsidR="00F21676">
        <w:t xml:space="preserve"> population</w:t>
      </w:r>
    </w:p>
    <w:tbl>
      <w:tblPr>
        <w:tblStyle w:val="TableTGAblue"/>
        <w:tblW w:w="8720" w:type="dxa"/>
        <w:tblLook w:val="04A0" w:firstRow="1" w:lastRow="0" w:firstColumn="1" w:lastColumn="0" w:noHBand="0" w:noVBand="1"/>
      </w:tblPr>
      <w:tblGrid>
        <w:gridCol w:w="3794"/>
        <w:gridCol w:w="1559"/>
        <w:gridCol w:w="1701"/>
        <w:gridCol w:w="1666"/>
      </w:tblGrid>
      <w:tr w:rsidR="00472669" w:rsidRPr="00472669" w14:paraId="16B26666" w14:textId="77777777" w:rsidTr="00D940B0">
        <w:trPr>
          <w:cnfStyle w:val="100000000000" w:firstRow="1" w:lastRow="0" w:firstColumn="0" w:lastColumn="0" w:oddVBand="0" w:evenVBand="0" w:oddHBand="0" w:evenHBand="0" w:firstRowFirstColumn="0" w:firstRowLastColumn="0" w:lastRowFirstColumn="0" w:lastRowLastColumn="0"/>
        </w:trPr>
        <w:tc>
          <w:tcPr>
            <w:tcW w:w="3794" w:type="dxa"/>
          </w:tcPr>
          <w:p w14:paraId="60C7BE4F" w14:textId="77777777" w:rsidR="00472669" w:rsidRPr="00097994" w:rsidRDefault="00472669" w:rsidP="00472669">
            <w:pPr>
              <w:spacing w:before="0" w:after="0" w:line="240" w:lineRule="auto"/>
              <w:ind w:left="0" w:right="0"/>
              <w:jc w:val="center"/>
              <w:rPr>
                <w:sz w:val="20"/>
                <w:szCs w:val="20"/>
              </w:rPr>
            </w:pPr>
          </w:p>
        </w:tc>
        <w:tc>
          <w:tcPr>
            <w:tcW w:w="1559" w:type="dxa"/>
          </w:tcPr>
          <w:p w14:paraId="49A69C3E" w14:textId="77777777" w:rsidR="00097994" w:rsidRDefault="00472669" w:rsidP="00472669">
            <w:pPr>
              <w:spacing w:before="0" w:after="0" w:line="240" w:lineRule="auto"/>
              <w:ind w:left="0" w:right="0"/>
              <w:jc w:val="center"/>
              <w:rPr>
                <w:rFonts w:eastAsiaTheme="minorHAnsi"/>
                <w:bCs/>
                <w:spacing w:val="-2"/>
                <w:sz w:val="20"/>
                <w:szCs w:val="20"/>
              </w:rPr>
            </w:pPr>
            <w:r w:rsidRPr="00097994">
              <w:rPr>
                <w:rFonts w:eastAsiaTheme="minorHAnsi"/>
                <w:bCs/>
                <w:sz w:val="20"/>
                <w:szCs w:val="20"/>
              </w:rPr>
              <w:t xml:space="preserve">Olaparib/ </w:t>
            </w:r>
            <w:r w:rsidRPr="00097994">
              <w:rPr>
                <w:rFonts w:eastAsiaTheme="minorHAnsi"/>
                <w:bCs/>
                <w:spacing w:val="-2"/>
                <w:sz w:val="20"/>
                <w:szCs w:val="20"/>
              </w:rPr>
              <w:t>bevacizumab</w:t>
            </w:r>
          </w:p>
          <w:p w14:paraId="6A93A1BE" w14:textId="77777777" w:rsidR="00097994" w:rsidRDefault="00472669" w:rsidP="00097994">
            <w:pPr>
              <w:spacing w:before="0" w:after="0" w:line="240" w:lineRule="auto"/>
              <w:ind w:left="0" w:right="0"/>
              <w:jc w:val="center"/>
              <w:rPr>
                <w:rFonts w:eastAsiaTheme="minorHAnsi"/>
                <w:bCs/>
                <w:sz w:val="20"/>
                <w:szCs w:val="20"/>
              </w:rPr>
            </w:pPr>
            <w:r w:rsidRPr="00097994">
              <w:rPr>
                <w:rFonts w:eastAsiaTheme="minorHAnsi"/>
                <w:bCs/>
                <w:sz w:val="20"/>
                <w:szCs w:val="20"/>
              </w:rPr>
              <w:t>(N</w:t>
            </w:r>
            <w:r w:rsidR="00097994">
              <w:rPr>
                <w:rFonts w:eastAsiaTheme="minorHAnsi"/>
                <w:bCs/>
                <w:sz w:val="20"/>
                <w:szCs w:val="20"/>
              </w:rPr>
              <w:t> </w:t>
            </w:r>
            <w:r w:rsidRPr="00097994">
              <w:rPr>
                <w:rFonts w:eastAsiaTheme="minorHAnsi"/>
                <w:bCs/>
                <w:sz w:val="20"/>
                <w:szCs w:val="20"/>
              </w:rPr>
              <w:t>=</w:t>
            </w:r>
            <w:r w:rsidR="00097994">
              <w:rPr>
                <w:rFonts w:eastAsiaTheme="minorHAnsi"/>
                <w:bCs/>
                <w:sz w:val="20"/>
                <w:szCs w:val="20"/>
              </w:rPr>
              <w:t> </w:t>
            </w:r>
            <w:r w:rsidRPr="00097994">
              <w:rPr>
                <w:rFonts w:eastAsiaTheme="minorHAnsi"/>
                <w:bCs/>
                <w:sz w:val="20"/>
                <w:szCs w:val="20"/>
              </w:rPr>
              <w:t>537)</w:t>
            </w:r>
          </w:p>
          <w:p w14:paraId="69DCD003" w14:textId="0AD49DD2" w:rsidR="00D940B0" w:rsidRPr="00D940B0" w:rsidRDefault="00D940B0" w:rsidP="00097994">
            <w:pPr>
              <w:spacing w:before="0" w:after="0" w:line="240" w:lineRule="auto"/>
              <w:ind w:left="0" w:right="0"/>
              <w:jc w:val="center"/>
              <w:rPr>
                <w:rFonts w:eastAsiaTheme="minorHAnsi"/>
                <w:b w:val="0"/>
                <w:bCs/>
                <w:sz w:val="20"/>
                <w:szCs w:val="20"/>
              </w:rPr>
            </w:pPr>
            <w:r w:rsidRPr="00D940B0">
              <w:rPr>
                <w:b w:val="0"/>
                <w:sz w:val="20"/>
                <w:szCs w:val="20"/>
              </w:rPr>
              <w:t>Number (%) of patients</w:t>
            </w:r>
          </w:p>
        </w:tc>
        <w:tc>
          <w:tcPr>
            <w:tcW w:w="1701" w:type="dxa"/>
          </w:tcPr>
          <w:p w14:paraId="24221F54" w14:textId="77777777" w:rsidR="00097994" w:rsidRDefault="00472669" w:rsidP="00472669">
            <w:pPr>
              <w:spacing w:before="0" w:after="0" w:line="240" w:lineRule="auto"/>
              <w:ind w:left="0" w:right="0"/>
              <w:jc w:val="center"/>
              <w:rPr>
                <w:rFonts w:eastAsiaTheme="minorHAnsi"/>
                <w:bCs/>
                <w:spacing w:val="-2"/>
                <w:sz w:val="20"/>
                <w:szCs w:val="20"/>
              </w:rPr>
            </w:pPr>
            <w:r w:rsidRPr="00097994">
              <w:rPr>
                <w:rFonts w:eastAsiaTheme="minorHAnsi"/>
                <w:bCs/>
                <w:sz w:val="20"/>
                <w:szCs w:val="20"/>
              </w:rPr>
              <w:t xml:space="preserve">Placebo/ </w:t>
            </w:r>
            <w:r w:rsidRPr="00097994">
              <w:rPr>
                <w:rFonts w:eastAsiaTheme="minorHAnsi"/>
                <w:bCs/>
                <w:spacing w:val="-2"/>
                <w:sz w:val="20"/>
                <w:szCs w:val="20"/>
              </w:rPr>
              <w:t>bevacizumab</w:t>
            </w:r>
          </w:p>
          <w:p w14:paraId="5210B207" w14:textId="77777777" w:rsidR="00097994" w:rsidRDefault="00472669" w:rsidP="00097994">
            <w:pPr>
              <w:spacing w:before="0" w:after="0" w:line="240" w:lineRule="auto"/>
              <w:ind w:left="0" w:right="0"/>
              <w:jc w:val="center"/>
              <w:rPr>
                <w:rFonts w:eastAsiaTheme="minorHAnsi"/>
                <w:bCs/>
                <w:sz w:val="20"/>
                <w:szCs w:val="20"/>
              </w:rPr>
            </w:pPr>
            <w:r w:rsidRPr="00097994">
              <w:rPr>
                <w:rFonts w:eastAsiaTheme="minorHAnsi"/>
                <w:bCs/>
                <w:sz w:val="20"/>
                <w:szCs w:val="20"/>
              </w:rPr>
              <w:t>(N</w:t>
            </w:r>
            <w:r w:rsidR="00097994">
              <w:rPr>
                <w:rFonts w:eastAsiaTheme="minorHAnsi"/>
                <w:bCs/>
                <w:sz w:val="20"/>
                <w:szCs w:val="20"/>
              </w:rPr>
              <w:t> </w:t>
            </w:r>
            <w:r w:rsidRPr="00097994">
              <w:rPr>
                <w:rFonts w:eastAsiaTheme="minorHAnsi"/>
                <w:bCs/>
                <w:sz w:val="20"/>
                <w:szCs w:val="20"/>
              </w:rPr>
              <w:t>=</w:t>
            </w:r>
            <w:r w:rsidR="00097994">
              <w:rPr>
                <w:rFonts w:eastAsiaTheme="minorHAnsi"/>
                <w:bCs/>
                <w:sz w:val="20"/>
                <w:szCs w:val="20"/>
              </w:rPr>
              <w:t> </w:t>
            </w:r>
            <w:r w:rsidRPr="00097994">
              <w:rPr>
                <w:rFonts w:eastAsiaTheme="minorHAnsi"/>
                <w:bCs/>
                <w:sz w:val="20"/>
                <w:szCs w:val="20"/>
              </w:rPr>
              <w:t>269)</w:t>
            </w:r>
          </w:p>
          <w:p w14:paraId="5724F1D5" w14:textId="7AE43523" w:rsidR="00D940B0" w:rsidRPr="00D940B0" w:rsidRDefault="00D940B0" w:rsidP="00097994">
            <w:pPr>
              <w:spacing w:before="0" w:after="0" w:line="240" w:lineRule="auto"/>
              <w:ind w:left="0" w:right="0"/>
              <w:jc w:val="center"/>
              <w:rPr>
                <w:rFonts w:eastAsiaTheme="minorHAnsi"/>
                <w:b w:val="0"/>
                <w:bCs/>
                <w:sz w:val="20"/>
                <w:szCs w:val="20"/>
              </w:rPr>
            </w:pPr>
            <w:r w:rsidRPr="00D940B0">
              <w:rPr>
                <w:b w:val="0"/>
                <w:sz w:val="20"/>
                <w:szCs w:val="20"/>
              </w:rPr>
              <w:t>Number (%) of patients</w:t>
            </w:r>
          </w:p>
        </w:tc>
        <w:tc>
          <w:tcPr>
            <w:tcW w:w="1666" w:type="dxa"/>
          </w:tcPr>
          <w:p w14:paraId="3DCE7A41" w14:textId="77777777" w:rsidR="00097994" w:rsidRDefault="00097994" w:rsidP="00097994">
            <w:pPr>
              <w:spacing w:before="0" w:after="0" w:line="240" w:lineRule="auto"/>
              <w:ind w:left="0" w:right="0"/>
              <w:jc w:val="center"/>
              <w:rPr>
                <w:rFonts w:eastAsiaTheme="minorHAnsi"/>
                <w:bCs/>
                <w:sz w:val="20"/>
                <w:szCs w:val="20"/>
              </w:rPr>
            </w:pPr>
            <w:r>
              <w:rPr>
                <w:rFonts w:eastAsiaTheme="minorHAnsi"/>
                <w:bCs/>
                <w:sz w:val="20"/>
                <w:szCs w:val="20"/>
              </w:rPr>
              <w:t>Total</w:t>
            </w:r>
          </w:p>
          <w:p w14:paraId="4ADC15CE" w14:textId="77777777" w:rsidR="00097994" w:rsidRDefault="00472669" w:rsidP="00097994">
            <w:pPr>
              <w:spacing w:before="0" w:after="0" w:line="240" w:lineRule="auto"/>
              <w:ind w:left="0" w:right="0"/>
              <w:jc w:val="center"/>
              <w:rPr>
                <w:rFonts w:eastAsiaTheme="minorHAnsi"/>
                <w:bCs/>
                <w:sz w:val="20"/>
                <w:szCs w:val="20"/>
              </w:rPr>
            </w:pPr>
            <w:r w:rsidRPr="00097994">
              <w:rPr>
                <w:rFonts w:eastAsiaTheme="minorHAnsi"/>
                <w:bCs/>
                <w:sz w:val="20"/>
                <w:szCs w:val="20"/>
              </w:rPr>
              <w:t>(N</w:t>
            </w:r>
            <w:r w:rsidR="00097994">
              <w:rPr>
                <w:rFonts w:eastAsiaTheme="minorHAnsi"/>
                <w:bCs/>
                <w:sz w:val="20"/>
                <w:szCs w:val="20"/>
              </w:rPr>
              <w:t> </w:t>
            </w:r>
            <w:r w:rsidRPr="00097994">
              <w:rPr>
                <w:rFonts w:eastAsiaTheme="minorHAnsi"/>
                <w:bCs/>
                <w:sz w:val="20"/>
                <w:szCs w:val="20"/>
              </w:rPr>
              <w:t>=</w:t>
            </w:r>
            <w:r w:rsidR="00097994">
              <w:rPr>
                <w:rFonts w:eastAsiaTheme="minorHAnsi"/>
                <w:bCs/>
                <w:sz w:val="20"/>
                <w:szCs w:val="20"/>
              </w:rPr>
              <w:t> </w:t>
            </w:r>
            <w:r w:rsidRPr="00097994">
              <w:rPr>
                <w:rFonts w:eastAsiaTheme="minorHAnsi"/>
                <w:bCs/>
                <w:sz w:val="20"/>
                <w:szCs w:val="20"/>
              </w:rPr>
              <w:t>806)</w:t>
            </w:r>
          </w:p>
          <w:p w14:paraId="3F5E640D" w14:textId="5DD05E79" w:rsidR="00D940B0" w:rsidRPr="00D940B0" w:rsidRDefault="00D940B0" w:rsidP="00097994">
            <w:pPr>
              <w:spacing w:before="0" w:after="0" w:line="240" w:lineRule="auto"/>
              <w:ind w:left="0" w:right="0"/>
              <w:jc w:val="center"/>
              <w:rPr>
                <w:rFonts w:eastAsiaTheme="minorHAnsi"/>
                <w:b w:val="0"/>
                <w:bCs/>
                <w:sz w:val="20"/>
                <w:szCs w:val="20"/>
              </w:rPr>
            </w:pPr>
            <w:r w:rsidRPr="00D940B0">
              <w:rPr>
                <w:b w:val="0"/>
                <w:sz w:val="20"/>
                <w:szCs w:val="20"/>
              </w:rPr>
              <w:t>Number (%) of patients</w:t>
            </w:r>
          </w:p>
        </w:tc>
      </w:tr>
      <w:tr w:rsidR="00305623" w:rsidRPr="00472669" w14:paraId="40BE05A7" w14:textId="77777777" w:rsidTr="00305623">
        <w:tc>
          <w:tcPr>
            <w:tcW w:w="8720" w:type="dxa"/>
            <w:gridSpan w:val="4"/>
            <w:vAlign w:val="center"/>
          </w:tcPr>
          <w:p w14:paraId="3D9CBAFB" w14:textId="3211C74B" w:rsidR="00305623" w:rsidRPr="00472669" w:rsidRDefault="00305623" w:rsidP="00094A0B">
            <w:pPr>
              <w:spacing w:before="0" w:after="0" w:line="240" w:lineRule="auto"/>
              <w:ind w:left="0"/>
              <w:rPr>
                <w:rFonts w:eastAsiaTheme="minorHAnsi"/>
                <w:sz w:val="20"/>
                <w:szCs w:val="20"/>
              </w:rPr>
            </w:pPr>
            <w:r>
              <w:rPr>
                <w:b/>
                <w:sz w:val="20"/>
              </w:rPr>
              <w:t>ECOG</w:t>
            </w:r>
            <w:r>
              <w:rPr>
                <w:b/>
                <w:spacing w:val="-3"/>
                <w:sz w:val="20"/>
              </w:rPr>
              <w:t xml:space="preserve"> </w:t>
            </w:r>
            <w:r>
              <w:rPr>
                <w:b/>
                <w:sz w:val="20"/>
              </w:rPr>
              <w:t>performance</w:t>
            </w:r>
            <w:r>
              <w:rPr>
                <w:b/>
                <w:spacing w:val="-2"/>
                <w:sz w:val="20"/>
              </w:rPr>
              <w:t xml:space="preserve"> </w:t>
            </w:r>
            <w:r>
              <w:rPr>
                <w:b/>
                <w:sz w:val="20"/>
              </w:rPr>
              <w:t>status</w:t>
            </w:r>
          </w:p>
        </w:tc>
      </w:tr>
      <w:tr w:rsidR="00305623" w:rsidRPr="00472669" w14:paraId="0FE6EA9E" w14:textId="77777777" w:rsidTr="00D940B0">
        <w:tc>
          <w:tcPr>
            <w:tcW w:w="3794" w:type="dxa"/>
            <w:vAlign w:val="center"/>
          </w:tcPr>
          <w:p w14:paraId="12AA9E4A" w14:textId="4E5AFB31" w:rsidR="00305623" w:rsidRPr="00472669" w:rsidRDefault="00305623" w:rsidP="00094A0B">
            <w:pPr>
              <w:spacing w:before="0" w:after="0" w:line="240" w:lineRule="auto"/>
              <w:ind w:left="0"/>
              <w:rPr>
                <w:rFonts w:eastAsiaTheme="minorHAnsi"/>
                <w:sz w:val="20"/>
                <w:szCs w:val="20"/>
              </w:rPr>
            </w:pPr>
            <w:r>
              <w:rPr>
                <w:sz w:val="20"/>
              </w:rPr>
              <w:t>(0)</w:t>
            </w:r>
            <w:r>
              <w:rPr>
                <w:spacing w:val="-2"/>
                <w:sz w:val="20"/>
              </w:rPr>
              <w:t xml:space="preserve"> </w:t>
            </w:r>
            <w:r>
              <w:rPr>
                <w:sz w:val="20"/>
              </w:rPr>
              <w:t>Normal</w:t>
            </w:r>
            <w:r>
              <w:rPr>
                <w:spacing w:val="-2"/>
                <w:sz w:val="20"/>
              </w:rPr>
              <w:t xml:space="preserve"> </w:t>
            </w:r>
            <w:r>
              <w:rPr>
                <w:sz w:val="20"/>
              </w:rPr>
              <w:t>activity</w:t>
            </w:r>
          </w:p>
        </w:tc>
        <w:tc>
          <w:tcPr>
            <w:tcW w:w="1559" w:type="dxa"/>
          </w:tcPr>
          <w:p w14:paraId="36874112" w14:textId="13636942" w:rsidR="00305623" w:rsidRPr="00472669" w:rsidRDefault="00305623" w:rsidP="00305623">
            <w:pPr>
              <w:spacing w:before="0" w:after="0" w:line="240" w:lineRule="auto"/>
              <w:jc w:val="center"/>
              <w:rPr>
                <w:rFonts w:eastAsiaTheme="minorHAnsi"/>
                <w:sz w:val="20"/>
                <w:szCs w:val="20"/>
              </w:rPr>
            </w:pPr>
            <w:r>
              <w:rPr>
                <w:sz w:val="20"/>
              </w:rPr>
              <w:t>378</w:t>
            </w:r>
            <w:r>
              <w:rPr>
                <w:spacing w:val="1"/>
                <w:sz w:val="20"/>
              </w:rPr>
              <w:t xml:space="preserve"> </w:t>
            </w:r>
            <w:r>
              <w:rPr>
                <w:sz w:val="20"/>
              </w:rPr>
              <w:t>(70.4)</w:t>
            </w:r>
          </w:p>
        </w:tc>
        <w:tc>
          <w:tcPr>
            <w:tcW w:w="1701" w:type="dxa"/>
          </w:tcPr>
          <w:p w14:paraId="7DD80E40" w14:textId="67C9D660" w:rsidR="00305623" w:rsidRPr="00472669" w:rsidRDefault="00305623" w:rsidP="00305623">
            <w:pPr>
              <w:spacing w:before="0" w:after="0" w:line="240" w:lineRule="auto"/>
              <w:jc w:val="center"/>
              <w:rPr>
                <w:rFonts w:eastAsiaTheme="minorHAnsi"/>
                <w:sz w:val="20"/>
                <w:szCs w:val="20"/>
              </w:rPr>
            </w:pPr>
            <w:r>
              <w:rPr>
                <w:sz w:val="20"/>
              </w:rPr>
              <w:t>189</w:t>
            </w:r>
            <w:r>
              <w:rPr>
                <w:spacing w:val="1"/>
                <w:sz w:val="20"/>
              </w:rPr>
              <w:t xml:space="preserve"> </w:t>
            </w:r>
            <w:r>
              <w:rPr>
                <w:sz w:val="20"/>
              </w:rPr>
              <w:t>(70.3)</w:t>
            </w:r>
          </w:p>
        </w:tc>
        <w:tc>
          <w:tcPr>
            <w:tcW w:w="1666" w:type="dxa"/>
          </w:tcPr>
          <w:p w14:paraId="64A7AEB9" w14:textId="45321311" w:rsidR="00305623" w:rsidRPr="00472669" w:rsidRDefault="00305623" w:rsidP="00305623">
            <w:pPr>
              <w:spacing w:before="0" w:after="0" w:line="240" w:lineRule="auto"/>
              <w:jc w:val="center"/>
              <w:rPr>
                <w:rFonts w:eastAsiaTheme="minorHAnsi"/>
                <w:sz w:val="20"/>
                <w:szCs w:val="20"/>
              </w:rPr>
            </w:pPr>
            <w:r>
              <w:rPr>
                <w:sz w:val="20"/>
              </w:rPr>
              <w:t>567</w:t>
            </w:r>
            <w:r>
              <w:rPr>
                <w:spacing w:val="1"/>
                <w:sz w:val="20"/>
              </w:rPr>
              <w:t xml:space="preserve"> </w:t>
            </w:r>
            <w:r>
              <w:rPr>
                <w:sz w:val="20"/>
              </w:rPr>
              <w:t>(70.3)</w:t>
            </w:r>
          </w:p>
        </w:tc>
      </w:tr>
      <w:tr w:rsidR="00305623" w:rsidRPr="00472669" w14:paraId="732B5AB8" w14:textId="77777777" w:rsidTr="00D940B0">
        <w:tc>
          <w:tcPr>
            <w:tcW w:w="3794" w:type="dxa"/>
            <w:vAlign w:val="center"/>
          </w:tcPr>
          <w:p w14:paraId="794CA877" w14:textId="2D12461F" w:rsidR="00305623" w:rsidRPr="00472669" w:rsidRDefault="00305623" w:rsidP="00094A0B">
            <w:pPr>
              <w:spacing w:before="0" w:after="0" w:line="240" w:lineRule="auto"/>
              <w:ind w:left="0"/>
              <w:rPr>
                <w:rFonts w:eastAsiaTheme="minorHAnsi"/>
                <w:sz w:val="20"/>
                <w:szCs w:val="20"/>
              </w:rPr>
            </w:pPr>
            <w:r>
              <w:rPr>
                <w:sz w:val="20"/>
              </w:rPr>
              <w:t>(1)</w:t>
            </w:r>
            <w:r>
              <w:rPr>
                <w:spacing w:val="-2"/>
                <w:sz w:val="20"/>
              </w:rPr>
              <w:t xml:space="preserve"> </w:t>
            </w:r>
            <w:r>
              <w:rPr>
                <w:sz w:val="20"/>
              </w:rPr>
              <w:t>Restricted</w:t>
            </w:r>
            <w:r>
              <w:rPr>
                <w:spacing w:val="-2"/>
                <w:sz w:val="20"/>
              </w:rPr>
              <w:t xml:space="preserve"> </w:t>
            </w:r>
            <w:r>
              <w:rPr>
                <w:sz w:val="20"/>
              </w:rPr>
              <w:t>activity</w:t>
            </w:r>
          </w:p>
        </w:tc>
        <w:tc>
          <w:tcPr>
            <w:tcW w:w="1559" w:type="dxa"/>
          </w:tcPr>
          <w:p w14:paraId="0CE7C981" w14:textId="3118F006" w:rsidR="00305623" w:rsidRPr="00472669" w:rsidRDefault="00305623" w:rsidP="00305623">
            <w:pPr>
              <w:spacing w:before="0" w:after="0" w:line="240" w:lineRule="auto"/>
              <w:jc w:val="center"/>
              <w:rPr>
                <w:rFonts w:eastAsiaTheme="minorHAnsi"/>
                <w:sz w:val="20"/>
                <w:szCs w:val="20"/>
              </w:rPr>
            </w:pPr>
            <w:r>
              <w:rPr>
                <w:sz w:val="20"/>
              </w:rPr>
              <w:t>153</w:t>
            </w:r>
            <w:r>
              <w:rPr>
                <w:spacing w:val="2"/>
                <w:sz w:val="20"/>
              </w:rPr>
              <w:t xml:space="preserve"> </w:t>
            </w:r>
            <w:r>
              <w:rPr>
                <w:sz w:val="20"/>
              </w:rPr>
              <w:t>(28.5)</w:t>
            </w:r>
          </w:p>
        </w:tc>
        <w:tc>
          <w:tcPr>
            <w:tcW w:w="1701" w:type="dxa"/>
          </w:tcPr>
          <w:p w14:paraId="332A1F79" w14:textId="24BCEB13" w:rsidR="00305623" w:rsidRPr="00472669" w:rsidRDefault="00305623" w:rsidP="00305623">
            <w:pPr>
              <w:spacing w:before="0" w:after="0" w:line="240" w:lineRule="auto"/>
              <w:jc w:val="center"/>
              <w:rPr>
                <w:rFonts w:eastAsiaTheme="minorHAnsi"/>
                <w:sz w:val="20"/>
                <w:szCs w:val="20"/>
              </w:rPr>
            </w:pPr>
            <w:r>
              <w:rPr>
                <w:sz w:val="20"/>
              </w:rPr>
              <w:t>76</w:t>
            </w:r>
            <w:r>
              <w:rPr>
                <w:spacing w:val="1"/>
                <w:sz w:val="20"/>
              </w:rPr>
              <w:t xml:space="preserve"> </w:t>
            </w:r>
            <w:r>
              <w:rPr>
                <w:sz w:val="20"/>
              </w:rPr>
              <w:t>(28.3)</w:t>
            </w:r>
          </w:p>
        </w:tc>
        <w:tc>
          <w:tcPr>
            <w:tcW w:w="1666" w:type="dxa"/>
          </w:tcPr>
          <w:p w14:paraId="720634FA" w14:textId="7E930A05" w:rsidR="00305623" w:rsidRPr="00472669" w:rsidRDefault="00305623" w:rsidP="00305623">
            <w:pPr>
              <w:spacing w:before="0" w:after="0" w:line="240" w:lineRule="auto"/>
              <w:jc w:val="center"/>
              <w:rPr>
                <w:rFonts w:eastAsiaTheme="minorHAnsi"/>
                <w:sz w:val="20"/>
                <w:szCs w:val="20"/>
              </w:rPr>
            </w:pPr>
            <w:r>
              <w:rPr>
                <w:sz w:val="20"/>
              </w:rPr>
              <w:t>229</w:t>
            </w:r>
            <w:r>
              <w:rPr>
                <w:spacing w:val="1"/>
                <w:sz w:val="20"/>
              </w:rPr>
              <w:t xml:space="preserve"> </w:t>
            </w:r>
            <w:r>
              <w:rPr>
                <w:sz w:val="20"/>
              </w:rPr>
              <w:t>(28.4)</w:t>
            </w:r>
          </w:p>
        </w:tc>
      </w:tr>
      <w:tr w:rsidR="00305623" w:rsidRPr="00472669" w14:paraId="13E37365" w14:textId="77777777" w:rsidTr="00D940B0">
        <w:tc>
          <w:tcPr>
            <w:tcW w:w="3794" w:type="dxa"/>
            <w:vAlign w:val="center"/>
          </w:tcPr>
          <w:p w14:paraId="2A888109" w14:textId="69F46503" w:rsidR="00305623" w:rsidRPr="00472669" w:rsidRDefault="00305623" w:rsidP="00094A0B">
            <w:pPr>
              <w:spacing w:before="0" w:after="0" w:line="240" w:lineRule="auto"/>
              <w:ind w:left="0"/>
              <w:rPr>
                <w:rFonts w:eastAsiaTheme="minorHAnsi"/>
                <w:sz w:val="20"/>
                <w:szCs w:val="20"/>
              </w:rPr>
            </w:pPr>
            <w:r>
              <w:rPr>
                <w:sz w:val="20"/>
              </w:rPr>
              <w:t>Missing</w:t>
            </w:r>
          </w:p>
        </w:tc>
        <w:tc>
          <w:tcPr>
            <w:tcW w:w="1559" w:type="dxa"/>
          </w:tcPr>
          <w:p w14:paraId="51CB010C" w14:textId="5FD42663" w:rsidR="00305623" w:rsidRPr="00472669" w:rsidRDefault="00305623" w:rsidP="00305623">
            <w:pPr>
              <w:spacing w:before="0" w:after="0" w:line="240" w:lineRule="auto"/>
              <w:jc w:val="center"/>
              <w:rPr>
                <w:rFonts w:eastAsiaTheme="minorHAnsi"/>
                <w:sz w:val="20"/>
                <w:szCs w:val="20"/>
              </w:rPr>
            </w:pPr>
            <w:r>
              <w:rPr>
                <w:sz w:val="20"/>
              </w:rPr>
              <w:t>6 (1.1)</w:t>
            </w:r>
          </w:p>
        </w:tc>
        <w:tc>
          <w:tcPr>
            <w:tcW w:w="1701" w:type="dxa"/>
          </w:tcPr>
          <w:p w14:paraId="73F40DD6" w14:textId="68D19F4B" w:rsidR="00305623" w:rsidRPr="00472669" w:rsidRDefault="00305623" w:rsidP="00305623">
            <w:pPr>
              <w:spacing w:before="0" w:after="0" w:line="240" w:lineRule="auto"/>
              <w:jc w:val="center"/>
              <w:rPr>
                <w:rFonts w:eastAsiaTheme="minorHAnsi"/>
                <w:sz w:val="20"/>
                <w:szCs w:val="20"/>
              </w:rPr>
            </w:pPr>
            <w:r>
              <w:rPr>
                <w:sz w:val="20"/>
              </w:rPr>
              <w:t>4 (1.5)</w:t>
            </w:r>
          </w:p>
        </w:tc>
        <w:tc>
          <w:tcPr>
            <w:tcW w:w="1666" w:type="dxa"/>
          </w:tcPr>
          <w:p w14:paraId="74C3BAD5" w14:textId="4CD8FFB3" w:rsidR="00305623" w:rsidRPr="00472669" w:rsidRDefault="00305623" w:rsidP="00305623">
            <w:pPr>
              <w:spacing w:before="0" w:after="0" w:line="240" w:lineRule="auto"/>
              <w:jc w:val="center"/>
              <w:rPr>
                <w:rFonts w:eastAsiaTheme="minorHAnsi"/>
                <w:sz w:val="20"/>
                <w:szCs w:val="20"/>
              </w:rPr>
            </w:pPr>
            <w:r>
              <w:rPr>
                <w:sz w:val="20"/>
              </w:rPr>
              <w:t>10 (1.2)</w:t>
            </w:r>
          </w:p>
        </w:tc>
      </w:tr>
      <w:tr w:rsidR="00305623" w:rsidRPr="00472669" w14:paraId="05F1167C" w14:textId="77777777" w:rsidTr="00305623">
        <w:tc>
          <w:tcPr>
            <w:tcW w:w="8720" w:type="dxa"/>
            <w:gridSpan w:val="4"/>
            <w:vAlign w:val="center"/>
          </w:tcPr>
          <w:p w14:paraId="7DE99B20" w14:textId="12675528" w:rsidR="00305623" w:rsidRPr="00472669" w:rsidRDefault="00305623" w:rsidP="00094A0B">
            <w:pPr>
              <w:spacing w:before="0" w:after="0" w:line="240" w:lineRule="auto"/>
              <w:ind w:left="0"/>
              <w:rPr>
                <w:rFonts w:eastAsiaTheme="minorHAnsi"/>
                <w:sz w:val="20"/>
                <w:szCs w:val="20"/>
              </w:rPr>
            </w:pPr>
            <w:r>
              <w:rPr>
                <w:b/>
                <w:sz w:val="20"/>
              </w:rPr>
              <w:t>Tumour</w:t>
            </w:r>
            <w:r>
              <w:rPr>
                <w:b/>
                <w:spacing w:val="-2"/>
                <w:sz w:val="20"/>
              </w:rPr>
              <w:t xml:space="preserve"> </w:t>
            </w:r>
            <w:r>
              <w:rPr>
                <w:b/>
                <w:sz w:val="20"/>
              </w:rPr>
              <w:t>characteristics</w:t>
            </w:r>
          </w:p>
        </w:tc>
      </w:tr>
      <w:tr w:rsidR="00D940B0" w:rsidRPr="00472669" w14:paraId="36934D50" w14:textId="77777777" w:rsidTr="00D940B0">
        <w:tc>
          <w:tcPr>
            <w:tcW w:w="8720" w:type="dxa"/>
            <w:gridSpan w:val="4"/>
            <w:vAlign w:val="center"/>
          </w:tcPr>
          <w:p w14:paraId="2CBBAAC7" w14:textId="381325AD" w:rsidR="00D940B0" w:rsidRPr="00D0384C" w:rsidRDefault="00D940B0" w:rsidP="00D940B0">
            <w:pPr>
              <w:spacing w:before="0" w:after="0" w:line="240" w:lineRule="auto"/>
              <w:ind w:left="0"/>
              <w:rPr>
                <w:rFonts w:eastAsiaTheme="minorHAnsi"/>
                <w:i/>
                <w:sz w:val="20"/>
                <w:szCs w:val="20"/>
              </w:rPr>
            </w:pPr>
            <w:r w:rsidRPr="00D0384C">
              <w:rPr>
                <w:i/>
                <w:sz w:val="20"/>
              </w:rPr>
              <w:t>Primary</w:t>
            </w:r>
            <w:r w:rsidRPr="00D0384C">
              <w:rPr>
                <w:i/>
                <w:spacing w:val="-10"/>
                <w:sz w:val="20"/>
              </w:rPr>
              <w:t xml:space="preserve"> </w:t>
            </w:r>
            <w:r w:rsidRPr="00D0384C">
              <w:rPr>
                <w:i/>
                <w:sz w:val="20"/>
              </w:rPr>
              <w:t>tumour</w:t>
            </w:r>
            <w:r w:rsidRPr="00D0384C">
              <w:rPr>
                <w:i/>
                <w:spacing w:val="-1"/>
                <w:sz w:val="20"/>
              </w:rPr>
              <w:t xml:space="preserve"> </w:t>
            </w:r>
            <w:r w:rsidRPr="00D0384C">
              <w:rPr>
                <w:i/>
                <w:sz w:val="20"/>
              </w:rPr>
              <w:t>location</w:t>
            </w:r>
          </w:p>
        </w:tc>
      </w:tr>
      <w:tr w:rsidR="00305623" w:rsidRPr="00472669" w14:paraId="5C90F691" w14:textId="77777777" w:rsidTr="00D940B0">
        <w:tc>
          <w:tcPr>
            <w:tcW w:w="3794" w:type="dxa"/>
            <w:vAlign w:val="center"/>
          </w:tcPr>
          <w:p w14:paraId="339AD910" w14:textId="0091F3D3" w:rsidR="00305623" w:rsidRPr="00472669" w:rsidRDefault="00305623" w:rsidP="00094A0B">
            <w:pPr>
              <w:spacing w:before="0" w:after="0" w:line="240" w:lineRule="auto"/>
              <w:ind w:left="0"/>
              <w:rPr>
                <w:rFonts w:eastAsiaTheme="minorHAnsi"/>
                <w:sz w:val="20"/>
                <w:szCs w:val="20"/>
              </w:rPr>
            </w:pPr>
            <w:r>
              <w:rPr>
                <w:sz w:val="20"/>
              </w:rPr>
              <w:t>Ovary</w:t>
            </w:r>
          </w:p>
        </w:tc>
        <w:tc>
          <w:tcPr>
            <w:tcW w:w="1559" w:type="dxa"/>
          </w:tcPr>
          <w:p w14:paraId="568618EC" w14:textId="7A4387E4" w:rsidR="00305623" w:rsidRPr="00472669" w:rsidRDefault="00305623" w:rsidP="00305623">
            <w:pPr>
              <w:spacing w:before="0" w:after="0" w:line="240" w:lineRule="auto"/>
              <w:jc w:val="center"/>
              <w:rPr>
                <w:rFonts w:eastAsiaTheme="minorHAnsi"/>
                <w:sz w:val="20"/>
                <w:szCs w:val="20"/>
              </w:rPr>
            </w:pPr>
            <w:r>
              <w:rPr>
                <w:sz w:val="20"/>
              </w:rPr>
              <w:t>456</w:t>
            </w:r>
            <w:r>
              <w:rPr>
                <w:spacing w:val="1"/>
                <w:sz w:val="20"/>
              </w:rPr>
              <w:t xml:space="preserve"> </w:t>
            </w:r>
            <w:r>
              <w:rPr>
                <w:sz w:val="20"/>
              </w:rPr>
              <w:t>(84.9)</w:t>
            </w:r>
          </w:p>
        </w:tc>
        <w:tc>
          <w:tcPr>
            <w:tcW w:w="1701" w:type="dxa"/>
          </w:tcPr>
          <w:p w14:paraId="7176F4F7" w14:textId="0BC13669" w:rsidR="00305623" w:rsidRPr="00472669" w:rsidRDefault="00305623" w:rsidP="00305623">
            <w:pPr>
              <w:spacing w:before="0" w:after="0" w:line="240" w:lineRule="auto"/>
              <w:jc w:val="center"/>
              <w:rPr>
                <w:rFonts w:eastAsiaTheme="minorHAnsi"/>
                <w:sz w:val="20"/>
                <w:szCs w:val="20"/>
              </w:rPr>
            </w:pPr>
            <w:r>
              <w:rPr>
                <w:sz w:val="20"/>
              </w:rPr>
              <w:t>238</w:t>
            </w:r>
            <w:r>
              <w:rPr>
                <w:spacing w:val="1"/>
                <w:sz w:val="20"/>
              </w:rPr>
              <w:t xml:space="preserve"> </w:t>
            </w:r>
            <w:r>
              <w:rPr>
                <w:sz w:val="20"/>
              </w:rPr>
              <w:t>(88.5)</w:t>
            </w:r>
          </w:p>
        </w:tc>
        <w:tc>
          <w:tcPr>
            <w:tcW w:w="1666" w:type="dxa"/>
          </w:tcPr>
          <w:p w14:paraId="7BA0A2C2" w14:textId="0E510D79" w:rsidR="00305623" w:rsidRPr="00472669" w:rsidRDefault="00305623" w:rsidP="00305623">
            <w:pPr>
              <w:spacing w:before="0" w:after="0" w:line="240" w:lineRule="auto"/>
              <w:jc w:val="center"/>
              <w:rPr>
                <w:rFonts w:eastAsiaTheme="minorHAnsi"/>
                <w:sz w:val="20"/>
                <w:szCs w:val="20"/>
              </w:rPr>
            </w:pPr>
            <w:r>
              <w:rPr>
                <w:sz w:val="20"/>
              </w:rPr>
              <w:t>694</w:t>
            </w:r>
            <w:r>
              <w:rPr>
                <w:spacing w:val="1"/>
                <w:sz w:val="20"/>
              </w:rPr>
              <w:t xml:space="preserve"> </w:t>
            </w:r>
            <w:r>
              <w:rPr>
                <w:sz w:val="20"/>
              </w:rPr>
              <w:t>(86.1)</w:t>
            </w:r>
          </w:p>
        </w:tc>
      </w:tr>
      <w:tr w:rsidR="00305623" w:rsidRPr="00472669" w14:paraId="60FF250E" w14:textId="77777777" w:rsidTr="00D940B0">
        <w:tc>
          <w:tcPr>
            <w:tcW w:w="3794" w:type="dxa"/>
            <w:vAlign w:val="center"/>
          </w:tcPr>
          <w:p w14:paraId="606473CC" w14:textId="567E9EB1" w:rsidR="00305623" w:rsidRPr="00472669" w:rsidRDefault="00305623" w:rsidP="00094A0B">
            <w:pPr>
              <w:spacing w:before="0" w:after="0" w:line="240" w:lineRule="auto"/>
              <w:ind w:left="0"/>
              <w:rPr>
                <w:rFonts w:eastAsiaTheme="minorHAnsi"/>
                <w:sz w:val="20"/>
                <w:szCs w:val="20"/>
              </w:rPr>
            </w:pPr>
            <w:r>
              <w:rPr>
                <w:sz w:val="20"/>
              </w:rPr>
              <w:t>Fallopian</w:t>
            </w:r>
            <w:r>
              <w:rPr>
                <w:spacing w:val="-2"/>
                <w:sz w:val="20"/>
              </w:rPr>
              <w:t xml:space="preserve"> </w:t>
            </w:r>
            <w:r>
              <w:rPr>
                <w:sz w:val="20"/>
              </w:rPr>
              <w:t>tube</w:t>
            </w:r>
          </w:p>
        </w:tc>
        <w:tc>
          <w:tcPr>
            <w:tcW w:w="1559" w:type="dxa"/>
          </w:tcPr>
          <w:p w14:paraId="08BB4B9A" w14:textId="529ACDEE" w:rsidR="00305623" w:rsidRPr="00472669" w:rsidRDefault="00305623" w:rsidP="00305623">
            <w:pPr>
              <w:spacing w:before="0" w:after="0" w:line="240" w:lineRule="auto"/>
              <w:jc w:val="center"/>
              <w:rPr>
                <w:rFonts w:eastAsiaTheme="minorHAnsi"/>
                <w:sz w:val="20"/>
                <w:szCs w:val="20"/>
              </w:rPr>
            </w:pPr>
            <w:r>
              <w:rPr>
                <w:sz w:val="20"/>
              </w:rPr>
              <w:t>39 (7.3)</w:t>
            </w:r>
          </w:p>
        </w:tc>
        <w:tc>
          <w:tcPr>
            <w:tcW w:w="1701" w:type="dxa"/>
          </w:tcPr>
          <w:p w14:paraId="14501B67" w14:textId="17DB174E" w:rsidR="00305623" w:rsidRPr="00472669" w:rsidRDefault="00305623" w:rsidP="00305623">
            <w:pPr>
              <w:spacing w:before="0" w:after="0" w:line="240" w:lineRule="auto"/>
              <w:jc w:val="center"/>
              <w:rPr>
                <w:rFonts w:eastAsiaTheme="minorHAnsi"/>
                <w:sz w:val="20"/>
                <w:szCs w:val="20"/>
              </w:rPr>
            </w:pPr>
            <w:r>
              <w:rPr>
                <w:sz w:val="20"/>
              </w:rPr>
              <w:t>11 (4.1)</w:t>
            </w:r>
          </w:p>
        </w:tc>
        <w:tc>
          <w:tcPr>
            <w:tcW w:w="1666" w:type="dxa"/>
          </w:tcPr>
          <w:p w14:paraId="60380AB1" w14:textId="4B19B7C5" w:rsidR="00305623" w:rsidRPr="00472669" w:rsidRDefault="00305623" w:rsidP="00305623">
            <w:pPr>
              <w:spacing w:before="0" w:after="0" w:line="240" w:lineRule="auto"/>
              <w:jc w:val="center"/>
              <w:rPr>
                <w:rFonts w:eastAsiaTheme="minorHAnsi"/>
                <w:sz w:val="20"/>
                <w:szCs w:val="20"/>
              </w:rPr>
            </w:pPr>
            <w:r>
              <w:rPr>
                <w:sz w:val="20"/>
              </w:rPr>
              <w:t>50 (6.2)</w:t>
            </w:r>
          </w:p>
        </w:tc>
      </w:tr>
      <w:tr w:rsidR="00305623" w:rsidRPr="00472669" w14:paraId="4ED1B6FD" w14:textId="77777777" w:rsidTr="00D940B0">
        <w:tc>
          <w:tcPr>
            <w:tcW w:w="3794" w:type="dxa"/>
            <w:vAlign w:val="center"/>
          </w:tcPr>
          <w:p w14:paraId="6AA9BDDE" w14:textId="34ABCF64" w:rsidR="00305623" w:rsidRPr="00472669" w:rsidRDefault="00305623" w:rsidP="00094A0B">
            <w:pPr>
              <w:spacing w:before="0" w:after="0" w:line="240" w:lineRule="auto"/>
              <w:ind w:left="0"/>
              <w:rPr>
                <w:rFonts w:eastAsiaTheme="minorHAnsi"/>
                <w:sz w:val="20"/>
                <w:szCs w:val="20"/>
              </w:rPr>
            </w:pPr>
            <w:r>
              <w:rPr>
                <w:sz w:val="20"/>
              </w:rPr>
              <w:t>Peritoneal</w:t>
            </w:r>
          </w:p>
        </w:tc>
        <w:tc>
          <w:tcPr>
            <w:tcW w:w="1559" w:type="dxa"/>
          </w:tcPr>
          <w:p w14:paraId="0CE5E59D" w14:textId="3E400C77" w:rsidR="00305623" w:rsidRPr="00472669" w:rsidRDefault="00305623" w:rsidP="00305623">
            <w:pPr>
              <w:spacing w:before="0" w:after="0" w:line="240" w:lineRule="auto"/>
              <w:jc w:val="center"/>
              <w:rPr>
                <w:rFonts w:eastAsiaTheme="minorHAnsi"/>
                <w:sz w:val="20"/>
                <w:szCs w:val="20"/>
              </w:rPr>
            </w:pPr>
            <w:r>
              <w:rPr>
                <w:sz w:val="20"/>
              </w:rPr>
              <w:t>42 (7.8)</w:t>
            </w:r>
          </w:p>
        </w:tc>
        <w:tc>
          <w:tcPr>
            <w:tcW w:w="1701" w:type="dxa"/>
          </w:tcPr>
          <w:p w14:paraId="6AA67B18" w14:textId="3A2B029A" w:rsidR="00305623" w:rsidRPr="00472669" w:rsidRDefault="00305623" w:rsidP="00305623">
            <w:pPr>
              <w:spacing w:before="0" w:after="0" w:line="240" w:lineRule="auto"/>
              <w:jc w:val="center"/>
              <w:rPr>
                <w:rFonts w:eastAsiaTheme="minorHAnsi"/>
                <w:sz w:val="20"/>
                <w:szCs w:val="20"/>
              </w:rPr>
            </w:pPr>
            <w:r>
              <w:rPr>
                <w:sz w:val="20"/>
              </w:rPr>
              <w:t>20 (7.4)</w:t>
            </w:r>
          </w:p>
        </w:tc>
        <w:tc>
          <w:tcPr>
            <w:tcW w:w="1666" w:type="dxa"/>
          </w:tcPr>
          <w:p w14:paraId="0FCD375D" w14:textId="1F0FB1D4" w:rsidR="00305623" w:rsidRPr="00472669" w:rsidRDefault="00305623" w:rsidP="00305623">
            <w:pPr>
              <w:spacing w:before="0" w:after="0" w:line="240" w:lineRule="auto"/>
              <w:jc w:val="center"/>
              <w:rPr>
                <w:rFonts w:eastAsiaTheme="minorHAnsi"/>
                <w:sz w:val="20"/>
                <w:szCs w:val="20"/>
              </w:rPr>
            </w:pPr>
            <w:r>
              <w:rPr>
                <w:sz w:val="20"/>
              </w:rPr>
              <w:t>62 (7.7)</w:t>
            </w:r>
          </w:p>
        </w:tc>
      </w:tr>
      <w:tr w:rsidR="0033465C" w:rsidRPr="00472669" w14:paraId="56654614" w14:textId="77777777" w:rsidTr="00EE2E1E">
        <w:tc>
          <w:tcPr>
            <w:tcW w:w="8720" w:type="dxa"/>
            <w:gridSpan w:val="4"/>
            <w:vAlign w:val="center"/>
          </w:tcPr>
          <w:p w14:paraId="418996A6" w14:textId="5F9F94AF" w:rsidR="0033465C" w:rsidRPr="00472669" w:rsidRDefault="0033465C" w:rsidP="00D0384C">
            <w:pPr>
              <w:spacing w:before="0" w:after="0" w:line="240" w:lineRule="auto"/>
              <w:ind w:left="0"/>
              <w:rPr>
                <w:rFonts w:eastAsiaTheme="minorHAnsi"/>
                <w:sz w:val="20"/>
                <w:szCs w:val="20"/>
              </w:rPr>
            </w:pPr>
            <w:r w:rsidRPr="00D0384C">
              <w:rPr>
                <w:i/>
                <w:sz w:val="20"/>
              </w:rPr>
              <w:t>Histological</w:t>
            </w:r>
            <w:r w:rsidRPr="00D0384C">
              <w:rPr>
                <w:i/>
                <w:spacing w:val="-2"/>
                <w:sz w:val="20"/>
              </w:rPr>
              <w:t xml:space="preserve"> </w:t>
            </w:r>
            <w:r w:rsidRPr="00D0384C">
              <w:rPr>
                <w:i/>
                <w:sz w:val="20"/>
              </w:rPr>
              <w:t>grade</w:t>
            </w:r>
          </w:p>
        </w:tc>
      </w:tr>
      <w:tr w:rsidR="00305623" w:rsidRPr="00472669" w14:paraId="4356B25B" w14:textId="77777777" w:rsidTr="00D940B0">
        <w:tc>
          <w:tcPr>
            <w:tcW w:w="3794" w:type="dxa"/>
            <w:vAlign w:val="center"/>
          </w:tcPr>
          <w:p w14:paraId="4392D4A1" w14:textId="1CD11C0B" w:rsidR="00305623" w:rsidRPr="00472669" w:rsidRDefault="00305623" w:rsidP="00094A0B">
            <w:pPr>
              <w:spacing w:before="0" w:after="0" w:line="240" w:lineRule="auto"/>
              <w:ind w:left="0"/>
              <w:rPr>
                <w:rFonts w:eastAsiaTheme="minorHAnsi"/>
                <w:sz w:val="20"/>
                <w:szCs w:val="20"/>
              </w:rPr>
            </w:pPr>
            <w:r>
              <w:rPr>
                <w:sz w:val="20"/>
              </w:rPr>
              <w:t>High-grade</w:t>
            </w:r>
          </w:p>
        </w:tc>
        <w:tc>
          <w:tcPr>
            <w:tcW w:w="1559" w:type="dxa"/>
          </w:tcPr>
          <w:p w14:paraId="72F40FC8" w14:textId="1D2D85B3" w:rsidR="00305623" w:rsidRPr="00472669" w:rsidRDefault="00305623" w:rsidP="00305623">
            <w:pPr>
              <w:spacing w:before="0" w:after="0" w:line="240" w:lineRule="auto"/>
              <w:jc w:val="center"/>
              <w:rPr>
                <w:rFonts w:eastAsiaTheme="minorHAnsi"/>
                <w:sz w:val="20"/>
                <w:szCs w:val="20"/>
              </w:rPr>
            </w:pPr>
            <w:r>
              <w:rPr>
                <w:sz w:val="20"/>
              </w:rPr>
              <w:t>537</w:t>
            </w:r>
            <w:r>
              <w:rPr>
                <w:spacing w:val="-2"/>
                <w:sz w:val="20"/>
              </w:rPr>
              <w:t xml:space="preserve"> </w:t>
            </w:r>
            <w:r>
              <w:rPr>
                <w:sz w:val="20"/>
              </w:rPr>
              <w:t>(100)</w:t>
            </w:r>
          </w:p>
        </w:tc>
        <w:tc>
          <w:tcPr>
            <w:tcW w:w="1701" w:type="dxa"/>
          </w:tcPr>
          <w:p w14:paraId="180E700F" w14:textId="766EE43D" w:rsidR="00305623" w:rsidRPr="00472669" w:rsidRDefault="00305623" w:rsidP="00305623">
            <w:pPr>
              <w:spacing w:before="0" w:after="0" w:line="240" w:lineRule="auto"/>
              <w:jc w:val="center"/>
              <w:rPr>
                <w:rFonts w:eastAsiaTheme="minorHAnsi"/>
                <w:sz w:val="20"/>
                <w:szCs w:val="20"/>
              </w:rPr>
            </w:pPr>
            <w:r>
              <w:rPr>
                <w:sz w:val="20"/>
              </w:rPr>
              <w:t>268</w:t>
            </w:r>
            <w:r>
              <w:rPr>
                <w:spacing w:val="1"/>
                <w:sz w:val="20"/>
              </w:rPr>
              <w:t xml:space="preserve"> </w:t>
            </w:r>
            <w:r>
              <w:rPr>
                <w:sz w:val="20"/>
              </w:rPr>
              <w:t>(99.6)</w:t>
            </w:r>
          </w:p>
        </w:tc>
        <w:tc>
          <w:tcPr>
            <w:tcW w:w="1666" w:type="dxa"/>
          </w:tcPr>
          <w:p w14:paraId="7CEDA16C" w14:textId="1736EB8D" w:rsidR="00305623" w:rsidRPr="00472669" w:rsidRDefault="00305623" w:rsidP="00305623">
            <w:pPr>
              <w:spacing w:before="0" w:after="0" w:line="240" w:lineRule="auto"/>
              <w:jc w:val="center"/>
              <w:rPr>
                <w:rFonts w:eastAsiaTheme="minorHAnsi"/>
                <w:sz w:val="20"/>
                <w:szCs w:val="20"/>
              </w:rPr>
            </w:pPr>
            <w:r>
              <w:rPr>
                <w:sz w:val="20"/>
              </w:rPr>
              <w:t>805</w:t>
            </w:r>
            <w:r>
              <w:rPr>
                <w:spacing w:val="1"/>
                <w:sz w:val="20"/>
              </w:rPr>
              <w:t xml:space="preserve"> </w:t>
            </w:r>
            <w:r>
              <w:rPr>
                <w:sz w:val="20"/>
              </w:rPr>
              <w:t>(99.9)</w:t>
            </w:r>
          </w:p>
        </w:tc>
      </w:tr>
      <w:tr w:rsidR="00305623" w:rsidRPr="00472669" w14:paraId="0D0F2B6A" w14:textId="77777777" w:rsidTr="00D940B0">
        <w:tc>
          <w:tcPr>
            <w:tcW w:w="3794" w:type="dxa"/>
            <w:vAlign w:val="center"/>
          </w:tcPr>
          <w:p w14:paraId="52100BC7" w14:textId="30F74F93" w:rsidR="00305623" w:rsidRPr="00472669" w:rsidRDefault="00305623" w:rsidP="00094A0B">
            <w:pPr>
              <w:spacing w:before="0" w:after="0" w:line="240" w:lineRule="auto"/>
              <w:ind w:left="0"/>
              <w:rPr>
                <w:rFonts w:eastAsiaTheme="minorHAnsi"/>
                <w:sz w:val="20"/>
                <w:szCs w:val="20"/>
              </w:rPr>
            </w:pPr>
            <w:r>
              <w:rPr>
                <w:sz w:val="20"/>
              </w:rPr>
              <w:t>Low grade</w:t>
            </w:r>
          </w:p>
        </w:tc>
        <w:tc>
          <w:tcPr>
            <w:tcW w:w="1559" w:type="dxa"/>
          </w:tcPr>
          <w:p w14:paraId="4CA0B9F8" w14:textId="1AB47B98" w:rsidR="00305623" w:rsidRPr="00472669" w:rsidRDefault="00305623" w:rsidP="00305623">
            <w:pPr>
              <w:spacing w:before="0" w:after="0" w:line="240" w:lineRule="auto"/>
              <w:jc w:val="center"/>
              <w:rPr>
                <w:rFonts w:eastAsiaTheme="minorHAnsi"/>
                <w:sz w:val="20"/>
                <w:szCs w:val="20"/>
              </w:rPr>
            </w:pPr>
            <w:r>
              <w:rPr>
                <w:sz w:val="20"/>
              </w:rPr>
              <w:t>0</w:t>
            </w:r>
          </w:p>
        </w:tc>
        <w:tc>
          <w:tcPr>
            <w:tcW w:w="1701" w:type="dxa"/>
          </w:tcPr>
          <w:p w14:paraId="4D0B2F6B" w14:textId="18F62ABF" w:rsidR="00305623" w:rsidRPr="00472669" w:rsidRDefault="00305623" w:rsidP="00305623">
            <w:pPr>
              <w:spacing w:before="0" w:after="0" w:line="240" w:lineRule="auto"/>
              <w:jc w:val="center"/>
              <w:rPr>
                <w:rFonts w:eastAsiaTheme="minorHAnsi"/>
                <w:sz w:val="20"/>
                <w:szCs w:val="20"/>
              </w:rPr>
            </w:pPr>
            <w:r>
              <w:rPr>
                <w:sz w:val="20"/>
              </w:rPr>
              <w:t>1 (0.4)</w:t>
            </w:r>
          </w:p>
        </w:tc>
        <w:tc>
          <w:tcPr>
            <w:tcW w:w="1666" w:type="dxa"/>
          </w:tcPr>
          <w:p w14:paraId="4126EAEC" w14:textId="36D2A187" w:rsidR="00305623" w:rsidRPr="00472669" w:rsidRDefault="00305623" w:rsidP="00305623">
            <w:pPr>
              <w:spacing w:before="0" w:after="0" w:line="240" w:lineRule="auto"/>
              <w:jc w:val="center"/>
              <w:rPr>
                <w:rFonts w:eastAsiaTheme="minorHAnsi"/>
                <w:sz w:val="20"/>
                <w:szCs w:val="20"/>
              </w:rPr>
            </w:pPr>
            <w:r>
              <w:rPr>
                <w:sz w:val="20"/>
              </w:rPr>
              <w:t>1 (0.1)</w:t>
            </w:r>
          </w:p>
        </w:tc>
      </w:tr>
      <w:tr w:rsidR="00D940B0" w:rsidRPr="00472669" w14:paraId="022FC5CA" w14:textId="77777777" w:rsidTr="00D940B0">
        <w:tc>
          <w:tcPr>
            <w:tcW w:w="8720" w:type="dxa"/>
            <w:gridSpan w:val="4"/>
            <w:vAlign w:val="center"/>
          </w:tcPr>
          <w:p w14:paraId="1A8F2FF7" w14:textId="6FAC763C" w:rsidR="00D940B0" w:rsidRPr="00D0384C" w:rsidRDefault="00D940B0" w:rsidP="00D940B0">
            <w:pPr>
              <w:spacing w:before="0" w:after="0" w:line="240" w:lineRule="auto"/>
              <w:ind w:left="0"/>
              <w:rPr>
                <w:rFonts w:eastAsiaTheme="minorHAnsi"/>
                <w:i/>
                <w:sz w:val="20"/>
                <w:szCs w:val="20"/>
              </w:rPr>
            </w:pPr>
            <w:r w:rsidRPr="00D0384C">
              <w:rPr>
                <w:i/>
                <w:sz w:val="20"/>
              </w:rPr>
              <w:t>FIGO</w:t>
            </w:r>
            <w:r w:rsidRPr="00D0384C">
              <w:rPr>
                <w:i/>
                <w:spacing w:val="-2"/>
                <w:sz w:val="20"/>
              </w:rPr>
              <w:t xml:space="preserve"> </w:t>
            </w:r>
            <w:r w:rsidRPr="00D0384C">
              <w:rPr>
                <w:i/>
                <w:sz w:val="20"/>
              </w:rPr>
              <w:t>Staging</w:t>
            </w:r>
          </w:p>
        </w:tc>
      </w:tr>
      <w:tr w:rsidR="00305623" w:rsidRPr="00472669" w14:paraId="721DB11F" w14:textId="77777777" w:rsidTr="00D940B0">
        <w:tc>
          <w:tcPr>
            <w:tcW w:w="3794" w:type="dxa"/>
            <w:vAlign w:val="center"/>
          </w:tcPr>
          <w:p w14:paraId="1FAAEF14" w14:textId="07717EEB" w:rsidR="00305623" w:rsidRPr="00472669" w:rsidRDefault="00305623" w:rsidP="00094A0B">
            <w:pPr>
              <w:spacing w:before="0" w:after="0" w:line="240" w:lineRule="auto"/>
              <w:ind w:left="0"/>
              <w:rPr>
                <w:rFonts w:eastAsiaTheme="minorHAnsi"/>
                <w:sz w:val="20"/>
                <w:szCs w:val="20"/>
              </w:rPr>
            </w:pPr>
            <w:r>
              <w:rPr>
                <w:sz w:val="20"/>
              </w:rPr>
              <w:t>IIIB</w:t>
            </w:r>
          </w:p>
        </w:tc>
        <w:tc>
          <w:tcPr>
            <w:tcW w:w="1559" w:type="dxa"/>
          </w:tcPr>
          <w:p w14:paraId="7BA28EF4" w14:textId="281EBE30" w:rsidR="00305623" w:rsidRPr="00472669" w:rsidRDefault="00305623" w:rsidP="00305623">
            <w:pPr>
              <w:spacing w:before="0" w:after="0" w:line="240" w:lineRule="auto"/>
              <w:jc w:val="center"/>
              <w:rPr>
                <w:rFonts w:eastAsiaTheme="minorHAnsi"/>
                <w:sz w:val="20"/>
                <w:szCs w:val="20"/>
              </w:rPr>
            </w:pPr>
            <w:r>
              <w:rPr>
                <w:sz w:val="20"/>
              </w:rPr>
              <w:t>43 (8.0)</w:t>
            </w:r>
          </w:p>
        </w:tc>
        <w:tc>
          <w:tcPr>
            <w:tcW w:w="1701" w:type="dxa"/>
          </w:tcPr>
          <w:p w14:paraId="26532BCA" w14:textId="3E72EF7C" w:rsidR="00305623" w:rsidRPr="00472669" w:rsidRDefault="00305623" w:rsidP="00305623">
            <w:pPr>
              <w:spacing w:before="0" w:after="0" w:line="240" w:lineRule="auto"/>
              <w:jc w:val="center"/>
              <w:rPr>
                <w:rFonts w:eastAsiaTheme="minorHAnsi"/>
                <w:sz w:val="20"/>
                <w:szCs w:val="20"/>
              </w:rPr>
            </w:pPr>
            <w:r>
              <w:rPr>
                <w:sz w:val="20"/>
              </w:rPr>
              <w:t>17 (6.3)</w:t>
            </w:r>
          </w:p>
        </w:tc>
        <w:tc>
          <w:tcPr>
            <w:tcW w:w="1666" w:type="dxa"/>
          </w:tcPr>
          <w:p w14:paraId="5FC3B5AE" w14:textId="5A5A3CCA" w:rsidR="00305623" w:rsidRPr="00472669" w:rsidRDefault="00305623" w:rsidP="00305623">
            <w:pPr>
              <w:spacing w:before="0" w:after="0" w:line="240" w:lineRule="auto"/>
              <w:jc w:val="center"/>
              <w:rPr>
                <w:rFonts w:eastAsiaTheme="minorHAnsi"/>
                <w:sz w:val="20"/>
                <w:szCs w:val="20"/>
              </w:rPr>
            </w:pPr>
            <w:r>
              <w:rPr>
                <w:sz w:val="20"/>
              </w:rPr>
              <w:t>60 (7.4)</w:t>
            </w:r>
          </w:p>
        </w:tc>
      </w:tr>
      <w:tr w:rsidR="00305623" w:rsidRPr="00472669" w14:paraId="7D99DE1F" w14:textId="77777777" w:rsidTr="00D940B0">
        <w:tc>
          <w:tcPr>
            <w:tcW w:w="3794" w:type="dxa"/>
            <w:vAlign w:val="center"/>
          </w:tcPr>
          <w:p w14:paraId="3ED726CE" w14:textId="52DAFBEE" w:rsidR="00305623" w:rsidRPr="00472669" w:rsidRDefault="00305623" w:rsidP="00094A0B">
            <w:pPr>
              <w:spacing w:before="0" w:after="0" w:line="240" w:lineRule="auto"/>
              <w:ind w:left="0"/>
              <w:rPr>
                <w:rFonts w:eastAsiaTheme="minorHAnsi"/>
                <w:sz w:val="20"/>
                <w:szCs w:val="20"/>
              </w:rPr>
            </w:pPr>
            <w:r>
              <w:rPr>
                <w:sz w:val="20"/>
              </w:rPr>
              <w:t>IIIC</w:t>
            </w:r>
          </w:p>
        </w:tc>
        <w:tc>
          <w:tcPr>
            <w:tcW w:w="1559" w:type="dxa"/>
          </w:tcPr>
          <w:p w14:paraId="5EF8784A" w14:textId="35FFBE8A" w:rsidR="00305623" w:rsidRPr="00472669" w:rsidRDefault="00305623" w:rsidP="00305623">
            <w:pPr>
              <w:spacing w:before="0" w:after="0" w:line="240" w:lineRule="auto"/>
              <w:jc w:val="center"/>
              <w:rPr>
                <w:rFonts w:eastAsiaTheme="minorHAnsi"/>
                <w:sz w:val="20"/>
                <w:szCs w:val="20"/>
              </w:rPr>
            </w:pPr>
            <w:r>
              <w:rPr>
                <w:sz w:val="20"/>
              </w:rPr>
              <w:t>335</w:t>
            </w:r>
            <w:r>
              <w:rPr>
                <w:spacing w:val="1"/>
                <w:sz w:val="20"/>
              </w:rPr>
              <w:t xml:space="preserve"> </w:t>
            </w:r>
            <w:r>
              <w:rPr>
                <w:sz w:val="20"/>
              </w:rPr>
              <w:t>(62.4)</w:t>
            </w:r>
          </w:p>
        </w:tc>
        <w:tc>
          <w:tcPr>
            <w:tcW w:w="1701" w:type="dxa"/>
          </w:tcPr>
          <w:p w14:paraId="7D2B8559" w14:textId="2F3D8F3F" w:rsidR="00305623" w:rsidRPr="00472669" w:rsidRDefault="00305623" w:rsidP="00305623">
            <w:pPr>
              <w:spacing w:before="0" w:after="0" w:line="240" w:lineRule="auto"/>
              <w:jc w:val="center"/>
              <w:rPr>
                <w:rFonts w:eastAsiaTheme="minorHAnsi"/>
                <w:sz w:val="20"/>
                <w:szCs w:val="20"/>
              </w:rPr>
            </w:pPr>
            <w:r>
              <w:rPr>
                <w:sz w:val="20"/>
              </w:rPr>
              <w:t>169</w:t>
            </w:r>
            <w:r>
              <w:rPr>
                <w:spacing w:val="1"/>
                <w:sz w:val="20"/>
              </w:rPr>
              <w:t xml:space="preserve"> </w:t>
            </w:r>
            <w:r>
              <w:rPr>
                <w:sz w:val="20"/>
              </w:rPr>
              <w:t>(62.8)</w:t>
            </w:r>
          </w:p>
        </w:tc>
        <w:tc>
          <w:tcPr>
            <w:tcW w:w="1666" w:type="dxa"/>
          </w:tcPr>
          <w:p w14:paraId="09A798B4" w14:textId="67AD38EE" w:rsidR="00305623" w:rsidRPr="00472669" w:rsidRDefault="00305623" w:rsidP="00305623">
            <w:pPr>
              <w:spacing w:before="0" w:after="0" w:line="240" w:lineRule="auto"/>
              <w:jc w:val="center"/>
              <w:rPr>
                <w:rFonts w:eastAsiaTheme="minorHAnsi"/>
                <w:sz w:val="20"/>
                <w:szCs w:val="20"/>
              </w:rPr>
            </w:pPr>
            <w:r>
              <w:rPr>
                <w:sz w:val="20"/>
              </w:rPr>
              <w:t>504</w:t>
            </w:r>
            <w:r>
              <w:rPr>
                <w:spacing w:val="1"/>
                <w:sz w:val="20"/>
              </w:rPr>
              <w:t xml:space="preserve"> </w:t>
            </w:r>
            <w:r>
              <w:rPr>
                <w:sz w:val="20"/>
              </w:rPr>
              <w:t>(62.5)</w:t>
            </w:r>
          </w:p>
        </w:tc>
      </w:tr>
      <w:tr w:rsidR="00305623" w:rsidRPr="00472669" w14:paraId="1F5F77AA" w14:textId="77777777" w:rsidTr="00D940B0">
        <w:tc>
          <w:tcPr>
            <w:tcW w:w="3794" w:type="dxa"/>
            <w:vAlign w:val="center"/>
          </w:tcPr>
          <w:p w14:paraId="763911D1" w14:textId="7B6DE284" w:rsidR="00305623" w:rsidRPr="00472669" w:rsidRDefault="00305623" w:rsidP="00094A0B">
            <w:pPr>
              <w:spacing w:before="0" w:after="0" w:line="240" w:lineRule="auto"/>
              <w:ind w:left="0"/>
              <w:rPr>
                <w:rFonts w:eastAsiaTheme="minorHAnsi"/>
                <w:sz w:val="20"/>
                <w:szCs w:val="20"/>
              </w:rPr>
            </w:pPr>
            <w:r>
              <w:rPr>
                <w:sz w:val="20"/>
              </w:rPr>
              <w:t>IV</w:t>
            </w:r>
          </w:p>
        </w:tc>
        <w:tc>
          <w:tcPr>
            <w:tcW w:w="1559" w:type="dxa"/>
          </w:tcPr>
          <w:p w14:paraId="066D6CD9" w14:textId="4197DCE9" w:rsidR="00305623" w:rsidRPr="00472669" w:rsidRDefault="00305623" w:rsidP="00305623">
            <w:pPr>
              <w:spacing w:before="0" w:after="0" w:line="240" w:lineRule="auto"/>
              <w:jc w:val="center"/>
              <w:rPr>
                <w:rFonts w:eastAsiaTheme="minorHAnsi"/>
                <w:sz w:val="20"/>
                <w:szCs w:val="20"/>
              </w:rPr>
            </w:pPr>
            <w:r>
              <w:rPr>
                <w:sz w:val="20"/>
              </w:rPr>
              <w:t>159</w:t>
            </w:r>
            <w:r>
              <w:rPr>
                <w:spacing w:val="1"/>
                <w:sz w:val="20"/>
              </w:rPr>
              <w:t xml:space="preserve"> </w:t>
            </w:r>
            <w:r>
              <w:rPr>
                <w:sz w:val="20"/>
              </w:rPr>
              <w:t>(29.6)</w:t>
            </w:r>
          </w:p>
        </w:tc>
        <w:tc>
          <w:tcPr>
            <w:tcW w:w="1701" w:type="dxa"/>
          </w:tcPr>
          <w:p w14:paraId="2EF5864B" w14:textId="7A02B354" w:rsidR="00305623" w:rsidRPr="00472669" w:rsidRDefault="00305623" w:rsidP="00305623">
            <w:pPr>
              <w:spacing w:before="0" w:after="0" w:line="240" w:lineRule="auto"/>
              <w:jc w:val="center"/>
              <w:rPr>
                <w:rFonts w:eastAsiaTheme="minorHAnsi"/>
                <w:sz w:val="20"/>
                <w:szCs w:val="20"/>
              </w:rPr>
            </w:pPr>
            <w:r>
              <w:rPr>
                <w:sz w:val="20"/>
              </w:rPr>
              <w:t>83</w:t>
            </w:r>
            <w:r>
              <w:rPr>
                <w:spacing w:val="1"/>
                <w:sz w:val="20"/>
              </w:rPr>
              <w:t xml:space="preserve"> </w:t>
            </w:r>
            <w:r>
              <w:rPr>
                <w:sz w:val="20"/>
              </w:rPr>
              <w:t>(30.9)</w:t>
            </w:r>
          </w:p>
        </w:tc>
        <w:tc>
          <w:tcPr>
            <w:tcW w:w="1666" w:type="dxa"/>
          </w:tcPr>
          <w:p w14:paraId="1C2DAD56" w14:textId="54A691CE" w:rsidR="00305623" w:rsidRPr="00472669" w:rsidRDefault="00305623" w:rsidP="00305623">
            <w:pPr>
              <w:spacing w:before="0" w:after="0" w:line="240" w:lineRule="auto"/>
              <w:jc w:val="center"/>
              <w:rPr>
                <w:rFonts w:eastAsiaTheme="minorHAnsi"/>
                <w:sz w:val="20"/>
                <w:szCs w:val="20"/>
              </w:rPr>
            </w:pPr>
            <w:r>
              <w:rPr>
                <w:sz w:val="20"/>
              </w:rPr>
              <w:t>242</w:t>
            </w:r>
            <w:r>
              <w:rPr>
                <w:spacing w:val="1"/>
                <w:sz w:val="20"/>
              </w:rPr>
              <w:t xml:space="preserve"> </w:t>
            </w:r>
            <w:r>
              <w:rPr>
                <w:sz w:val="20"/>
              </w:rPr>
              <w:t>(30.0)</w:t>
            </w:r>
          </w:p>
        </w:tc>
      </w:tr>
      <w:tr w:rsidR="00305623" w:rsidRPr="00472669" w14:paraId="45863E64" w14:textId="77777777" w:rsidTr="00D940B0">
        <w:tc>
          <w:tcPr>
            <w:tcW w:w="3794" w:type="dxa"/>
            <w:vAlign w:val="center"/>
          </w:tcPr>
          <w:p w14:paraId="284A6CE9" w14:textId="44189359" w:rsidR="00305623" w:rsidRPr="00472669" w:rsidRDefault="00305623" w:rsidP="00094A0B">
            <w:pPr>
              <w:spacing w:before="0" w:after="0" w:line="240" w:lineRule="auto"/>
              <w:ind w:left="0"/>
              <w:rPr>
                <w:rFonts w:eastAsiaTheme="minorHAnsi"/>
                <w:sz w:val="20"/>
                <w:szCs w:val="20"/>
              </w:rPr>
            </w:pPr>
            <w:r>
              <w:rPr>
                <w:sz w:val="20"/>
              </w:rPr>
              <w:t>CA-125</w:t>
            </w:r>
            <w:r>
              <w:rPr>
                <w:spacing w:val="-2"/>
                <w:sz w:val="20"/>
              </w:rPr>
              <w:t xml:space="preserve"> </w:t>
            </w:r>
            <w:r>
              <w:rPr>
                <w:sz w:val="20"/>
              </w:rPr>
              <w:t>status</w:t>
            </w:r>
            <w:r>
              <w:rPr>
                <w:spacing w:val="-2"/>
                <w:sz w:val="20"/>
              </w:rPr>
              <w:t xml:space="preserve"> </w:t>
            </w:r>
            <w:r>
              <w:rPr>
                <w:sz w:val="20"/>
              </w:rPr>
              <w:t>at</w:t>
            </w:r>
            <w:r>
              <w:rPr>
                <w:spacing w:val="-1"/>
                <w:sz w:val="20"/>
              </w:rPr>
              <w:t xml:space="preserve"> </w:t>
            </w:r>
            <w:r w:rsidR="00D940B0">
              <w:rPr>
                <w:sz w:val="20"/>
              </w:rPr>
              <w:t>B</w:t>
            </w:r>
            <w:r>
              <w:rPr>
                <w:sz w:val="20"/>
              </w:rPr>
              <w:t>aseline</w:t>
            </w:r>
          </w:p>
        </w:tc>
        <w:tc>
          <w:tcPr>
            <w:tcW w:w="1559" w:type="dxa"/>
          </w:tcPr>
          <w:p w14:paraId="4A40F4CB" w14:textId="77777777" w:rsidR="00305623" w:rsidRPr="00472669" w:rsidRDefault="00305623" w:rsidP="00305623">
            <w:pPr>
              <w:spacing w:before="0" w:after="0" w:line="240" w:lineRule="auto"/>
              <w:jc w:val="center"/>
              <w:rPr>
                <w:rFonts w:eastAsiaTheme="minorHAnsi"/>
                <w:sz w:val="20"/>
                <w:szCs w:val="20"/>
              </w:rPr>
            </w:pPr>
          </w:p>
        </w:tc>
        <w:tc>
          <w:tcPr>
            <w:tcW w:w="1701" w:type="dxa"/>
          </w:tcPr>
          <w:p w14:paraId="38FBFAE5" w14:textId="77777777" w:rsidR="00305623" w:rsidRPr="00472669" w:rsidRDefault="00305623" w:rsidP="00305623">
            <w:pPr>
              <w:spacing w:before="0" w:after="0" w:line="240" w:lineRule="auto"/>
              <w:jc w:val="center"/>
              <w:rPr>
                <w:rFonts w:eastAsiaTheme="minorHAnsi"/>
                <w:sz w:val="20"/>
                <w:szCs w:val="20"/>
              </w:rPr>
            </w:pPr>
          </w:p>
        </w:tc>
        <w:tc>
          <w:tcPr>
            <w:tcW w:w="1666" w:type="dxa"/>
          </w:tcPr>
          <w:p w14:paraId="35D4F34A" w14:textId="77777777" w:rsidR="00305623" w:rsidRPr="00472669" w:rsidRDefault="00305623" w:rsidP="00305623">
            <w:pPr>
              <w:spacing w:before="0" w:after="0" w:line="240" w:lineRule="auto"/>
              <w:jc w:val="center"/>
              <w:rPr>
                <w:rFonts w:eastAsiaTheme="minorHAnsi"/>
                <w:sz w:val="20"/>
                <w:szCs w:val="20"/>
              </w:rPr>
            </w:pPr>
          </w:p>
        </w:tc>
      </w:tr>
      <w:tr w:rsidR="00305623" w:rsidRPr="00472669" w14:paraId="0C4835A9" w14:textId="77777777" w:rsidTr="00D940B0">
        <w:tc>
          <w:tcPr>
            <w:tcW w:w="3794" w:type="dxa"/>
            <w:vAlign w:val="center"/>
          </w:tcPr>
          <w:p w14:paraId="4EC8DEAB" w14:textId="5652EBA7" w:rsidR="00305623" w:rsidRPr="00472669" w:rsidRDefault="00305623" w:rsidP="00094A0B">
            <w:pPr>
              <w:spacing w:before="0" w:after="0" w:line="240" w:lineRule="auto"/>
              <w:ind w:left="0"/>
              <w:rPr>
                <w:rFonts w:eastAsiaTheme="minorHAnsi"/>
                <w:sz w:val="20"/>
                <w:szCs w:val="20"/>
              </w:rPr>
            </w:pPr>
            <w:r>
              <w:rPr>
                <w:sz w:val="20"/>
              </w:rPr>
              <w:t>CA-125</w:t>
            </w:r>
            <w:r>
              <w:rPr>
                <w:spacing w:val="-4"/>
                <w:sz w:val="20"/>
              </w:rPr>
              <w:t xml:space="preserve"> </w:t>
            </w:r>
            <w:r>
              <w:rPr>
                <w:sz w:val="20"/>
              </w:rPr>
              <w:t>levels</w:t>
            </w:r>
            <w:r>
              <w:rPr>
                <w:spacing w:val="-1"/>
                <w:sz w:val="20"/>
              </w:rPr>
              <w:t xml:space="preserve"> </w:t>
            </w:r>
            <w:r>
              <w:rPr>
                <w:sz w:val="20"/>
              </w:rPr>
              <w:t>≤</w:t>
            </w:r>
            <w:r w:rsidR="00D940B0">
              <w:rPr>
                <w:sz w:val="20"/>
              </w:rPr>
              <w:t xml:space="preserve"> </w:t>
            </w:r>
            <w:r>
              <w:rPr>
                <w:sz w:val="20"/>
              </w:rPr>
              <w:t>ULN</w:t>
            </w:r>
          </w:p>
        </w:tc>
        <w:tc>
          <w:tcPr>
            <w:tcW w:w="1559" w:type="dxa"/>
          </w:tcPr>
          <w:p w14:paraId="0B132F8C" w14:textId="3AE83FF4" w:rsidR="00305623" w:rsidRPr="00472669" w:rsidRDefault="00305623" w:rsidP="00305623">
            <w:pPr>
              <w:spacing w:before="0" w:after="0" w:line="240" w:lineRule="auto"/>
              <w:jc w:val="center"/>
              <w:rPr>
                <w:rFonts w:eastAsiaTheme="minorHAnsi"/>
                <w:sz w:val="20"/>
                <w:szCs w:val="20"/>
              </w:rPr>
            </w:pPr>
            <w:r>
              <w:rPr>
                <w:sz w:val="20"/>
              </w:rPr>
              <w:t>463</w:t>
            </w:r>
            <w:r>
              <w:rPr>
                <w:spacing w:val="2"/>
                <w:sz w:val="20"/>
              </w:rPr>
              <w:t xml:space="preserve"> </w:t>
            </w:r>
            <w:r>
              <w:rPr>
                <w:sz w:val="20"/>
              </w:rPr>
              <w:t>(86.2)</w:t>
            </w:r>
          </w:p>
        </w:tc>
        <w:tc>
          <w:tcPr>
            <w:tcW w:w="1701" w:type="dxa"/>
          </w:tcPr>
          <w:p w14:paraId="7A13D723" w14:textId="7AEA563E" w:rsidR="00305623" w:rsidRPr="00472669" w:rsidRDefault="00305623" w:rsidP="00305623">
            <w:pPr>
              <w:spacing w:before="0" w:after="0" w:line="240" w:lineRule="auto"/>
              <w:jc w:val="center"/>
              <w:rPr>
                <w:rFonts w:eastAsiaTheme="minorHAnsi"/>
                <w:sz w:val="20"/>
                <w:szCs w:val="20"/>
              </w:rPr>
            </w:pPr>
            <w:r>
              <w:rPr>
                <w:sz w:val="20"/>
              </w:rPr>
              <w:t>234</w:t>
            </w:r>
            <w:r>
              <w:rPr>
                <w:spacing w:val="1"/>
                <w:sz w:val="20"/>
              </w:rPr>
              <w:t xml:space="preserve"> </w:t>
            </w:r>
            <w:r>
              <w:rPr>
                <w:sz w:val="20"/>
              </w:rPr>
              <w:t>(87.0)</w:t>
            </w:r>
          </w:p>
        </w:tc>
        <w:tc>
          <w:tcPr>
            <w:tcW w:w="1666" w:type="dxa"/>
          </w:tcPr>
          <w:p w14:paraId="66314C47" w14:textId="0AFB8A3A" w:rsidR="00305623" w:rsidRPr="00472669" w:rsidRDefault="00305623" w:rsidP="00305623">
            <w:pPr>
              <w:spacing w:before="0" w:after="0" w:line="240" w:lineRule="auto"/>
              <w:jc w:val="center"/>
              <w:rPr>
                <w:rFonts w:eastAsiaTheme="minorHAnsi"/>
                <w:sz w:val="20"/>
                <w:szCs w:val="20"/>
              </w:rPr>
            </w:pPr>
            <w:r>
              <w:rPr>
                <w:sz w:val="20"/>
              </w:rPr>
              <w:t>697</w:t>
            </w:r>
            <w:r>
              <w:rPr>
                <w:spacing w:val="1"/>
                <w:sz w:val="20"/>
              </w:rPr>
              <w:t xml:space="preserve"> </w:t>
            </w:r>
            <w:r>
              <w:rPr>
                <w:sz w:val="20"/>
              </w:rPr>
              <w:t>(86.5)</w:t>
            </w:r>
          </w:p>
        </w:tc>
      </w:tr>
      <w:tr w:rsidR="00305623" w:rsidRPr="00472669" w14:paraId="3C8A6A91" w14:textId="77777777" w:rsidTr="00D940B0">
        <w:tc>
          <w:tcPr>
            <w:tcW w:w="3794" w:type="dxa"/>
            <w:vAlign w:val="center"/>
          </w:tcPr>
          <w:p w14:paraId="3788B3CB" w14:textId="7540922E" w:rsidR="00305623" w:rsidRPr="00472669" w:rsidRDefault="00305623" w:rsidP="00094A0B">
            <w:pPr>
              <w:spacing w:before="0" w:after="0" w:line="240" w:lineRule="auto"/>
              <w:ind w:left="0"/>
              <w:rPr>
                <w:rFonts w:eastAsiaTheme="minorHAnsi"/>
                <w:sz w:val="20"/>
                <w:szCs w:val="20"/>
              </w:rPr>
            </w:pPr>
            <w:r>
              <w:rPr>
                <w:sz w:val="20"/>
              </w:rPr>
              <w:t>CA-125</w:t>
            </w:r>
            <w:r>
              <w:rPr>
                <w:spacing w:val="-5"/>
                <w:sz w:val="20"/>
              </w:rPr>
              <w:t xml:space="preserve"> </w:t>
            </w:r>
            <w:r>
              <w:rPr>
                <w:sz w:val="20"/>
              </w:rPr>
              <w:t>levels</w:t>
            </w:r>
            <w:r>
              <w:rPr>
                <w:spacing w:val="-5"/>
                <w:sz w:val="20"/>
              </w:rPr>
              <w:t xml:space="preserve"> </w:t>
            </w:r>
            <w:r>
              <w:rPr>
                <w:sz w:val="20"/>
              </w:rPr>
              <w:t>&gt;</w:t>
            </w:r>
            <w:r w:rsidR="00D940B0">
              <w:rPr>
                <w:sz w:val="20"/>
              </w:rPr>
              <w:t xml:space="preserve"> </w:t>
            </w:r>
            <w:r>
              <w:rPr>
                <w:sz w:val="20"/>
              </w:rPr>
              <w:t>ULN</w:t>
            </w:r>
          </w:p>
        </w:tc>
        <w:tc>
          <w:tcPr>
            <w:tcW w:w="1559" w:type="dxa"/>
          </w:tcPr>
          <w:p w14:paraId="126640C0" w14:textId="6B8D5E98" w:rsidR="00305623" w:rsidRPr="00472669" w:rsidRDefault="00305623" w:rsidP="00305623">
            <w:pPr>
              <w:spacing w:before="0" w:after="0" w:line="240" w:lineRule="auto"/>
              <w:jc w:val="center"/>
              <w:rPr>
                <w:rFonts w:eastAsiaTheme="minorHAnsi"/>
                <w:sz w:val="20"/>
                <w:szCs w:val="20"/>
              </w:rPr>
            </w:pPr>
            <w:r>
              <w:rPr>
                <w:sz w:val="20"/>
              </w:rPr>
              <w:t>74</w:t>
            </w:r>
            <w:r>
              <w:rPr>
                <w:spacing w:val="1"/>
                <w:sz w:val="20"/>
              </w:rPr>
              <w:t xml:space="preserve"> </w:t>
            </w:r>
            <w:r>
              <w:rPr>
                <w:sz w:val="20"/>
              </w:rPr>
              <w:t>(13.8)</w:t>
            </w:r>
          </w:p>
        </w:tc>
        <w:tc>
          <w:tcPr>
            <w:tcW w:w="1701" w:type="dxa"/>
          </w:tcPr>
          <w:p w14:paraId="77CEBC98" w14:textId="2972E555" w:rsidR="00305623" w:rsidRPr="00472669" w:rsidRDefault="00305623" w:rsidP="00305623">
            <w:pPr>
              <w:spacing w:before="0" w:after="0" w:line="240" w:lineRule="auto"/>
              <w:jc w:val="center"/>
              <w:rPr>
                <w:rFonts w:eastAsiaTheme="minorHAnsi"/>
                <w:sz w:val="20"/>
                <w:szCs w:val="20"/>
              </w:rPr>
            </w:pPr>
            <w:r>
              <w:rPr>
                <w:sz w:val="20"/>
              </w:rPr>
              <w:t>34</w:t>
            </w:r>
            <w:r>
              <w:rPr>
                <w:spacing w:val="1"/>
                <w:sz w:val="20"/>
              </w:rPr>
              <w:t xml:space="preserve"> </w:t>
            </w:r>
            <w:r>
              <w:rPr>
                <w:sz w:val="20"/>
              </w:rPr>
              <w:t>(12.6)</w:t>
            </w:r>
          </w:p>
        </w:tc>
        <w:tc>
          <w:tcPr>
            <w:tcW w:w="1666" w:type="dxa"/>
          </w:tcPr>
          <w:p w14:paraId="512611EC" w14:textId="37D4A7F3" w:rsidR="00305623" w:rsidRPr="00472669" w:rsidRDefault="00305623" w:rsidP="00305623">
            <w:pPr>
              <w:spacing w:before="0" w:after="0" w:line="240" w:lineRule="auto"/>
              <w:jc w:val="center"/>
              <w:rPr>
                <w:rFonts w:eastAsiaTheme="minorHAnsi"/>
                <w:sz w:val="20"/>
                <w:szCs w:val="20"/>
              </w:rPr>
            </w:pPr>
            <w:r>
              <w:rPr>
                <w:sz w:val="20"/>
              </w:rPr>
              <w:t>108</w:t>
            </w:r>
            <w:r>
              <w:rPr>
                <w:spacing w:val="1"/>
                <w:sz w:val="20"/>
              </w:rPr>
              <w:t xml:space="preserve"> </w:t>
            </w:r>
            <w:r>
              <w:rPr>
                <w:sz w:val="20"/>
              </w:rPr>
              <w:t>(13.4)</w:t>
            </w:r>
          </w:p>
        </w:tc>
      </w:tr>
      <w:tr w:rsidR="00305623" w:rsidRPr="00472669" w14:paraId="2B381151" w14:textId="77777777" w:rsidTr="00D940B0">
        <w:tc>
          <w:tcPr>
            <w:tcW w:w="3794" w:type="dxa"/>
            <w:vAlign w:val="center"/>
          </w:tcPr>
          <w:p w14:paraId="1B94CAB9" w14:textId="743BE659" w:rsidR="00305623" w:rsidRPr="00472669" w:rsidRDefault="00305623" w:rsidP="00094A0B">
            <w:pPr>
              <w:spacing w:before="0" w:after="0" w:line="240" w:lineRule="auto"/>
              <w:ind w:left="0"/>
              <w:rPr>
                <w:rFonts w:eastAsiaTheme="minorHAnsi"/>
                <w:sz w:val="20"/>
                <w:szCs w:val="20"/>
              </w:rPr>
            </w:pPr>
            <w:r>
              <w:rPr>
                <w:sz w:val="20"/>
              </w:rPr>
              <w:t>Missing</w:t>
            </w:r>
          </w:p>
        </w:tc>
        <w:tc>
          <w:tcPr>
            <w:tcW w:w="1559" w:type="dxa"/>
          </w:tcPr>
          <w:p w14:paraId="3631DC19" w14:textId="3900D2B4" w:rsidR="00305623" w:rsidRPr="00472669" w:rsidRDefault="00305623" w:rsidP="00305623">
            <w:pPr>
              <w:spacing w:before="0" w:after="0" w:line="240" w:lineRule="auto"/>
              <w:jc w:val="center"/>
              <w:rPr>
                <w:rFonts w:eastAsiaTheme="minorHAnsi"/>
                <w:sz w:val="20"/>
                <w:szCs w:val="20"/>
              </w:rPr>
            </w:pPr>
            <w:r>
              <w:rPr>
                <w:sz w:val="20"/>
              </w:rPr>
              <w:t>0</w:t>
            </w:r>
          </w:p>
        </w:tc>
        <w:tc>
          <w:tcPr>
            <w:tcW w:w="1701" w:type="dxa"/>
          </w:tcPr>
          <w:p w14:paraId="31D56A19" w14:textId="6FA00C4B" w:rsidR="00305623" w:rsidRPr="00472669" w:rsidRDefault="00305623" w:rsidP="00305623">
            <w:pPr>
              <w:spacing w:before="0" w:after="0" w:line="240" w:lineRule="auto"/>
              <w:jc w:val="center"/>
              <w:rPr>
                <w:rFonts w:eastAsiaTheme="minorHAnsi"/>
                <w:sz w:val="20"/>
                <w:szCs w:val="20"/>
              </w:rPr>
            </w:pPr>
            <w:r>
              <w:rPr>
                <w:sz w:val="20"/>
              </w:rPr>
              <w:t>1 (0.4)</w:t>
            </w:r>
          </w:p>
        </w:tc>
        <w:tc>
          <w:tcPr>
            <w:tcW w:w="1666" w:type="dxa"/>
          </w:tcPr>
          <w:p w14:paraId="635411B4" w14:textId="6A048F55" w:rsidR="00305623" w:rsidRPr="00472669" w:rsidRDefault="00305623" w:rsidP="00305623">
            <w:pPr>
              <w:spacing w:before="0" w:after="0" w:line="240" w:lineRule="auto"/>
              <w:jc w:val="center"/>
              <w:rPr>
                <w:rFonts w:eastAsiaTheme="minorHAnsi"/>
                <w:sz w:val="20"/>
                <w:szCs w:val="20"/>
              </w:rPr>
            </w:pPr>
            <w:r>
              <w:rPr>
                <w:sz w:val="20"/>
              </w:rPr>
              <w:t>1 (0.1)</w:t>
            </w:r>
          </w:p>
        </w:tc>
      </w:tr>
      <w:tr w:rsidR="00D940B0" w:rsidRPr="00472669" w14:paraId="5A9C0894" w14:textId="77777777" w:rsidTr="00D940B0">
        <w:tc>
          <w:tcPr>
            <w:tcW w:w="8720" w:type="dxa"/>
            <w:gridSpan w:val="4"/>
            <w:vAlign w:val="center"/>
          </w:tcPr>
          <w:p w14:paraId="72CDC218" w14:textId="6B0AF004" w:rsidR="00D940B0" w:rsidRPr="00D0384C" w:rsidRDefault="00D940B0" w:rsidP="00D940B0">
            <w:pPr>
              <w:spacing w:before="0" w:after="0" w:line="240" w:lineRule="auto"/>
              <w:ind w:left="0"/>
              <w:rPr>
                <w:rFonts w:eastAsiaTheme="minorHAnsi"/>
                <w:i/>
                <w:sz w:val="20"/>
                <w:szCs w:val="20"/>
              </w:rPr>
            </w:pPr>
            <w:r w:rsidRPr="00D0384C">
              <w:rPr>
                <w:i/>
                <w:sz w:val="20"/>
              </w:rPr>
              <w:t>Histology</w:t>
            </w:r>
            <w:r w:rsidRPr="00D0384C">
              <w:rPr>
                <w:i/>
                <w:spacing w:val="-5"/>
                <w:sz w:val="20"/>
              </w:rPr>
              <w:t xml:space="preserve"> </w:t>
            </w:r>
            <w:r w:rsidRPr="00D0384C">
              <w:rPr>
                <w:i/>
                <w:sz w:val="20"/>
              </w:rPr>
              <w:t>type</w:t>
            </w:r>
          </w:p>
        </w:tc>
      </w:tr>
      <w:tr w:rsidR="00305623" w:rsidRPr="00472669" w14:paraId="1170C4ED" w14:textId="77777777" w:rsidTr="00D940B0">
        <w:tc>
          <w:tcPr>
            <w:tcW w:w="3794" w:type="dxa"/>
            <w:vAlign w:val="center"/>
          </w:tcPr>
          <w:p w14:paraId="3A161843" w14:textId="0D6617EE" w:rsidR="00305623" w:rsidRPr="00472669" w:rsidRDefault="00305623" w:rsidP="00094A0B">
            <w:pPr>
              <w:spacing w:before="0" w:after="0" w:line="240" w:lineRule="auto"/>
              <w:ind w:left="0"/>
              <w:rPr>
                <w:rFonts w:eastAsiaTheme="minorHAnsi"/>
                <w:sz w:val="20"/>
                <w:szCs w:val="20"/>
              </w:rPr>
            </w:pPr>
            <w:r>
              <w:rPr>
                <w:sz w:val="20"/>
              </w:rPr>
              <w:t>Serous</w:t>
            </w:r>
          </w:p>
        </w:tc>
        <w:tc>
          <w:tcPr>
            <w:tcW w:w="1559" w:type="dxa"/>
          </w:tcPr>
          <w:p w14:paraId="7CAD9AE7" w14:textId="20B0C77A" w:rsidR="00305623" w:rsidRPr="00472669" w:rsidRDefault="00305623" w:rsidP="00305623">
            <w:pPr>
              <w:spacing w:before="0" w:after="0" w:line="240" w:lineRule="auto"/>
              <w:jc w:val="center"/>
              <w:rPr>
                <w:rFonts w:eastAsiaTheme="minorHAnsi"/>
                <w:sz w:val="20"/>
                <w:szCs w:val="20"/>
              </w:rPr>
            </w:pPr>
            <w:r>
              <w:rPr>
                <w:sz w:val="20"/>
              </w:rPr>
              <w:t>519</w:t>
            </w:r>
            <w:r>
              <w:rPr>
                <w:spacing w:val="1"/>
                <w:sz w:val="20"/>
              </w:rPr>
              <w:t xml:space="preserve"> </w:t>
            </w:r>
            <w:r>
              <w:rPr>
                <w:sz w:val="20"/>
              </w:rPr>
              <w:t>(96.6)</w:t>
            </w:r>
          </w:p>
        </w:tc>
        <w:tc>
          <w:tcPr>
            <w:tcW w:w="1701" w:type="dxa"/>
          </w:tcPr>
          <w:p w14:paraId="2B1C8495" w14:textId="38E147C5" w:rsidR="00305623" w:rsidRPr="00472669" w:rsidRDefault="00305623" w:rsidP="00305623">
            <w:pPr>
              <w:spacing w:before="0" w:after="0" w:line="240" w:lineRule="auto"/>
              <w:jc w:val="center"/>
              <w:rPr>
                <w:rFonts w:eastAsiaTheme="minorHAnsi"/>
                <w:sz w:val="20"/>
                <w:szCs w:val="20"/>
              </w:rPr>
            </w:pPr>
            <w:r>
              <w:rPr>
                <w:sz w:val="20"/>
              </w:rPr>
              <w:t>253</w:t>
            </w:r>
            <w:r>
              <w:rPr>
                <w:spacing w:val="1"/>
                <w:sz w:val="20"/>
              </w:rPr>
              <w:t xml:space="preserve"> </w:t>
            </w:r>
            <w:r>
              <w:rPr>
                <w:sz w:val="20"/>
              </w:rPr>
              <w:t>(94.1)</w:t>
            </w:r>
          </w:p>
        </w:tc>
        <w:tc>
          <w:tcPr>
            <w:tcW w:w="1666" w:type="dxa"/>
          </w:tcPr>
          <w:p w14:paraId="00171AEE" w14:textId="358B301A" w:rsidR="00305623" w:rsidRPr="00472669" w:rsidRDefault="00305623" w:rsidP="00305623">
            <w:pPr>
              <w:spacing w:before="0" w:after="0" w:line="240" w:lineRule="auto"/>
              <w:jc w:val="center"/>
              <w:rPr>
                <w:rFonts w:eastAsiaTheme="minorHAnsi"/>
                <w:sz w:val="20"/>
                <w:szCs w:val="20"/>
              </w:rPr>
            </w:pPr>
            <w:r>
              <w:rPr>
                <w:sz w:val="20"/>
              </w:rPr>
              <w:t>772</w:t>
            </w:r>
            <w:r>
              <w:rPr>
                <w:spacing w:val="1"/>
                <w:sz w:val="20"/>
              </w:rPr>
              <w:t xml:space="preserve"> </w:t>
            </w:r>
            <w:r>
              <w:rPr>
                <w:sz w:val="20"/>
              </w:rPr>
              <w:t>(95.8)</w:t>
            </w:r>
          </w:p>
        </w:tc>
      </w:tr>
      <w:tr w:rsidR="00305623" w:rsidRPr="00472669" w14:paraId="2881F765" w14:textId="77777777" w:rsidTr="00D940B0">
        <w:tc>
          <w:tcPr>
            <w:tcW w:w="3794" w:type="dxa"/>
            <w:vAlign w:val="center"/>
          </w:tcPr>
          <w:p w14:paraId="478C06CB" w14:textId="37C11FA0" w:rsidR="00305623" w:rsidRPr="00472669" w:rsidRDefault="00305623" w:rsidP="00094A0B">
            <w:pPr>
              <w:spacing w:before="0" w:after="0" w:line="240" w:lineRule="auto"/>
              <w:ind w:left="0"/>
              <w:rPr>
                <w:rFonts w:eastAsiaTheme="minorHAnsi"/>
                <w:sz w:val="20"/>
                <w:szCs w:val="20"/>
              </w:rPr>
            </w:pPr>
            <w:proofErr w:type="spellStart"/>
            <w:r>
              <w:rPr>
                <w:sz w:val="20"/>
              </w:rPr>
              <w:t>Endometrioid</w:t>
            </w:r>
            <w:proofErr w:type="spellEnd"/>
          </w:p>
        </w:tc>
        <w:tc>
          <w:tcPr>
            <w:tcW w:w="1559" w:type="dxa"/>
          </w:tcPr>
          <w:p w14:paraId="61ED7143" w14:textId="06E71039" w:rsidR="00305623" w:rsidRPr="00472669" w:rsidRDefault="00305623" w:rsidP="00305623">
            <w:pPr>
              <w:spacing w:before="0" w:after="0" w:line="240" w:lineRule="auto"/>
              <w:jc w:val="center"/>
              <w:rPr>
                <w:rFonts w:eastAsiaTheme="minorHAnsi"/>
                <w:sz w:val="20"/>
                <w:szCs w:val="20"/>
              </w:rPr>
            </w:pPr>
            <w:r>
              <w:rPr>
                <w:sz w:val="20"/>
              </w:rPr>
              <w:t>12 (2.2)</w:t>
            </w:r>
          </w:p>
        </w:tc>
        <w:tc>
          <w:tcPr>
            <w:tcW w:w="1701" w:type="dxa"/>
          </w:tcPr>
          <w:p w14:paraId="6D1EF72C" w14:textId="69661F0A" w:rsidR="00305623" w:rsidRPr="00472669" w:rsidRDefault="00305623" w:rsidP="00305623">
            <w:pPr>
              <w:spacing w:before="0" w:after="0" w:line="240" w:lineRule="auto"/>
              <w:jc w:val="center"/>
              <w:rPr>
                <w:rFonts w:eastAsiaTheme="minorHAnsi"/>
                <w:sz w:val="20"/>
                <w:szCs w:val="20"/>
              </w:rPr>
            </w:pPr>
            <w:r>
              <w:rPr>
                <w:sz w:val="20"/>
              </w:rPr>
              <w:t>8 (3.0)</w:t>
            </w:r>
          </w:p>
        </w:tc>
        <w:tc>
          <w:tcPr>
            <w:tcW w:w="1666" w:type="dxa"/>
          </w:tcPr>
          <w:p w14:paraId="57FD3909" w14:textId="0DC1B5A7" w:rsidR="00305623" w:rsidRPr="00472669" w:rsidRDefault="00305623" w:rsidP="00305623">
            <w:pPr>
              <w:spacing w:before="0" w:after="0" w:line="240" w:lineRule="auto"/>
              <w:jc w:val="center"/>
              <w:rPr>
                <w:rFonts w:eastAsiaTheme="minorHAnsi"/>
                <w:sz w:val="20"/>
                <w:szCs w:val="20"/>
              </w:rPr>
            </w:pPr>
            <w:r>
              <w:rPr>
                <w:sz w:val="20"/>
              </w:rPr>
              <w:t>20 (2.5)</w:t>
            </w:r>
          </w:p>
        </w:tc>
      </w:tr>
      <w:tr w:rsidR="00305623" w:rsidRPr="00472669" w14:paraId="58F5B903" w14:textId="77777777" w:rsidTr="00D940B0">
        <w:tc>
          <w:tcPr>
            <w:tcW w:w="3794" w:type="dxa"/>
            <w:vAlign w:val="center"/>
          </w:tcPr>
          <w:p w14:paraId="2B7E0124" w14:textId="5B62742D" w:rsidR="00305623" w:rsidRPr="00472669" w:rsidRDefault="00305623" w:rsidP="00094A0B">
            <w:pPr>
              <w:spacing w:before="0" w:after="0" w:line="240" w:lineRule="auto"/>
              <w:ind w:left="0"/>
              <w:rPr>
                <w:rFonts w:eastAsiaTheme="minorHAnsi"/>
                <w:sz w:val="20"/>
                <w:szCs w:val="20"/>
              </w:rPr>
            </w:pPr>
            <w:r>
              <w:rPr>
                <w:sz w:val="20"/>
              </w:rPr>
              <w:t>Clear</w:t>
            </w:r>
            <w:r>
              <w:rPr>
                <w:spacing w:val="-1"/>
                <w:sz w:val="20"/>
              </w:rPr>
              <w:t xml:space="preserve"> </w:t>
            </w:r>
            <w:r>
              <w:rPr>
                <w:sz w:val="20"/>
              </w:rPr>
              <w:t>cell</w:t>
            </w:r>
          </w:p>
        </w:tc>
        <w:tc>
          <w:tcPr>
            <w:tcW w:w="1559" w:type="dxa"/>
          </w:tcPr>
          <w:p w14:paraId="1BFE7C13" w14:textId="6B0FB823" w:rsidR="00305623" w:rsidRPr="00472669" w:rsidRDefault="00305623" w:rsidP="00305623">
            <w:pPr>
              <w:spacing w:before="0" w:after="0" w:line="240" w:lineRule="auto"/>
              <w:jc w:val="center"/>
              <w:rPr>
                <w:rFonts w:eastAsiaTheme="minorHAnsi"/>
                <w:sz w:val="20"/>
                <w:szCs w:val="20"/>
              </w:rPr>
            </w:pPr>
            <w:r>
              <w:rPr>
                <w:sz w:val="20"/>
              </w:rPr>
              <w:t>2 (0.4)</w:t>
            </w:r>
          </w:p>
        </w:tc>
        <w:tc>
          <w:tcPr>
            <w:tcW w:w="1701" w:type="dxa"/>
          </w:tcPr>
          <w:p w14:paraId="0CEAAF03" w14:textId="55181618" w:rsidR="00305623" w:rsidRPr="00472669" w:rsidRDefault="00305623" w:rsidP="00305623">
            <w:pPr>
              <w:spacing w:before="0" w:after="0" w:line="240" w:lineRule="auto"/>
              <w:jc w:val="center"/>
              <w:rPr>
                <w:rFonts w:eastAsiaTheme="minorHAnsi"/>
                <w:sz w:val="20"/>
                <w:szCs w:val="20"/>
              </w:rPr>
            </w:pPr>
            <w:r>
              <w:rPr>
                <w:sz w:val="20"/>
              </w:rPr>
              <w:t>0</w:t>
            </w:r>
          </w:p>
        </w:tc>
        <w:tc>
          <w:tcPr>
            <w:tcW w:w="1666" w:type="dxa"/>
          </w:tcPr>
          <w:p w14:paraId="2248ABDB" w14:textId="18146878" w:rsidR="00305623" w:rsidRPr="00472669" w:rsidRDefault="00305623" w:rsidP="00305623">
            <w:pPr>
              <w:spacing w:before="0" w:after="0" w:line="240" w:lineRule="auto"/>
              <w:jc w:val="center"/>
              <w:rPr>
                <w:rFonts w:eastAsiaTheme="minorHAnsi"/>
                <w:sz w:val="20"/>
                <w:szCs w:val="20"/>
              </w:rPr>
            </w:pPr>
            <w:r>
              <w:rPr>
                <w:sz w:val="20"/>
              </w:rPr>
              <w:t>2 (0.2)</w:t>
            </w:r>
          </w:p>
        </w:tc>
      </w:tr>
      <w:tr w:rsidR="00305623" w:rsidRPr="00472669" w14:paraId="312DD282" w14:textId="77777777" w:rsidTr="00D940B0">
        <w:tc>
          <w:tcPr>
            <w:tcW w:w="3794" w:type="dxa"/>
            <w:vAlign w:val="center"/>
          </w:tcPr>
          <w:p w14:paraId="042A08A8" w14:textId="61F87D96" w:rsidR="00305623" w:rsidRPr="00472669" w:rsidRDefault="00305623" w:rsidP="00094A0B">
            <w:pPr>
              <w:spacing w:before="0" w:after="0" w:line="240" w:lineRule="auto"/>
              <w:ind w:left="0"/>
              <w:rPr>
                <w:rFonts w:eastAsiaTheme="minorHAnsi"/>
                <w:sz w:val="20"/>
                <w:szCs w:val="20"/>
              </w:rPr>
            </w:pPr>
            <w:r>
              <w:rPr>
                <w:sz w:val="20"/>
              </w:rPr>
              <w:t>Undifferentiated</w:t>
            </w:r>
          </w:p>
        </w:tc>
        <w:tc>
          <w:tcPr>
            <w:tcW w:w="1559" w:type="dxa"/>
          </w:tcPr>
          <w:p w14:paraId="5B9ACD14" w14:textId="14F6D3F6" w:rsidR="00305623" w:rsidRPr="00472669" w:rsidRDefault="00305623" w:rsidP="00305623">
            <w:pPr>
              <w:spacing w:before="0" w:after="0" w:line="240" w:lineRule="auto"/>
              <w:jc w:val="center"/>
              <w:rPr>
                <w:rFonts w:eastAsiaTheme="minorHAnsi"/>
                <w:sz w:val="20"/>
                <w:szCs w:val="20"/>
              </w:rPr>
            </w:pPr>
            <w:r>
              <w:rPr>
                <w:sz w:val="20"/>
              </w:rPr>
              <w:t>1</w:t>
            </w:r>
            <w:r>
              <w:rPr>
                <w:spacing w:val="1"/>
                <w:sz w:val="20"/>
              </w:rPr>
              <w:t xml:space="preserve"> </w:t>
            </w:r>
            <w:r>
              <w:rPr>
                <w:sz w:val="20"/>
              </w:rPr>
              <w:t>(0.2)</w:t>
            </w:r>
          </w:p>
        </w:tc>
        <w:tc>
          <w:tcPr>
            <w:tcW w:w="1701" w:type="dxa"/>
          </w:tcPr>
          <w:p w14:paraId="5CBA4D02" w14:textId="5C2E507E" w:rsidR="00305623" w:rsidRPr="00472669" w:rsidRDefault="00305623" w:rsidP="00305623">
            <w:pPr>
              <w:spacing w:before="0" w:after="0" w:line="240" w:lineRule="auto"/>
              <w:jc w:val="center"/>
              <w:rPr>
                <w:rFonts w:eastAsiaTheme="minorHAnsi"/>
                <w:sz w:val="20"/>
                <w:szCs w:val="20"/>
              </w:rPr>
            </w:pPr>
            <w:r>
              <w:rPr>
                <w:sz w:val="20"/>
              </w:rPr>
              <w:t>6 (2.2)</w:t>
            </w:r>
          </w:p>
        </w:tc>
        <w:tc>
          <w:tcPr>
            <w:tcW w:w="1666" w:type="dxa"/>
          </w:tcPr>
          <w:p w14:paraId="72293046" w14:textId="77D2E097" w:rsidR="00305623" w:rsidRPr="00472669" w:rsidRDefault="00305623" w:rsidP="00305623">
            <w:pPr>
              <w:spacing w:before="0" w:after="0" w:line="240" w:lineRule="auto"/>
              <w:jc w:val="center"/>
              <w:rPr>
                <w:rFonts w:eastAsiaTheme="minorHAnsi"/>
                <w:sz w:val="20"/>
                <w:szCs w:val="20"/>
              </w:rPr>
            </w:pPr>
            <w:r>
              <w:rPr>
                <w:sz w:val="20"/>
              </w:rPr>
              <w:t>7 (0.9)</w:t>
            </w:r>
          </w:p>
        </w:tc>
      </w:tr>
      <w:tr w:rsidR="00472669" w:rsidRPr="00472669" w14:paraId="5616D114" w14:textId="77777777" w:rsidTr="00D940B0">
        <w:tc>
          <w:tcPr>
            <w:tcW w:w="3794" w:type="dxa"/>
          </w:tcPr>
          <w:p w14:paraId="2ED4E4D2" w14:textId="7455D68B" w:rsidR="00472669" w:rsidRPr="00472669" w:rsidRDefault="00472669" w:rsidP="00094A0B">
            <w:pPr>
              <w:spacing w:before="0" w:after="0" w:line="240" w:lineRule="auto"/>
              <w:ind w:left="0" w:right="0"/>
              <w:rPr>
                <w:sz w:val="20"/>
                <w:szCs w:val="20"/>
              </w:rPr>
            </w:pPr>
            <w:r w:rsidRPr="00472669">
              <w:rPr>
                <w:rFonts w:eastAsiaTheme="minorHAnsi"/>
                <w:sz w:val="20"/>
                <w:szCs w:val="20"/>
              </w:rPr>
              <w:t>Other</w:t>
            </w:r>
          </w:p>
        </w:tc>
        <w:tc>
          <w:tcPr>
            <w:tcW w:w="1559" w:type="dxa"/>
          </w:tcPr>
          <w:p w14:paraId="385B26F4" w14:textId="1C149972"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 (0.6)</w:t>
            </w:r>
          </w:p>
        </w:tc>
        <w:tc>
          <w:tcPr>
            <w:tcW w:w="1701" w:type="dxa"/>
          </w:tcPr>
          <w:p w14:paraId="1BF2303D" w14:textId="5D4F6322"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 (0.7)</w:t>
            </w:r>
          </w:p>
        </w:tc>
        <w:tc>
          <w:tcPr>
            <w:tcW w:w="1666" w:type="dxa"/>
          </w:tcPr>
          <w:p w14:paraId="35316695" w14:textId="499AFC72"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5 (0.6)</w:t>
            </w:r>
          </w:p>
        </w:tc>
      </w:tr>
      <w:tr w:rsidR="00472669" w:rsidRPr="00472669" w14:paraId="49590878" w14:textId="77777777" w:rsidTr="00305623">
        <w:tc>
          <w:tcPr>
            <w:tcW w:w="8720" w:type="dxa"/>
            <w:gridSpan w:val="4"/>
          </w:tcPr>
          <w:p w14:paraId="2D5AEB45" w14:textId="2F330C61" w:rsidR="00472669" w:rsidRPr="00472669" w:rsidRDefault="00472669" w:rsidP="00A11EA7">
            <w:pPr>
              <w:keepNext/>
              <w:spacing w:before="0" w:after="0" w:line="240" w:lineRule="auto"/>
              <w:ind w:left="0" w:right="0"/>
              <w:rPr>
                <w:sz w:val="20"/>
                <w:szCs w:val="20"/>
              </w:rPr>
            </w:pPr>
            <w:r w:rsidRPr="00472669">
              <w:rPr>
                <w:rFonts w:eastAsiaTheme="minorHAnsi"/>
                <w:b/>
                <w:bCs/>
                <w:sz w:val="20"/>
                <w:szCs w:val="20"/>
              </w:rPr>
              <w:t>Type of prior surgery and outcome</w:t>
            </w:r>
          </w:p>
        </w:tc>
      </w:tr>
      <w:tr w:rsidR="00472669" w:rsidRPr="00472669" w14:paraId="6E5C523F" w14:textId="77777777" w:rsidTr="00D940B0">
        <w:tc>
          <w:tcPr>
            <w:tcW w:w="3794" w:type="dxa"/>
          </w:tcPr>
          <w:p w14:paraId="70E05404" w14:textId="23DE1F40" w:rsidR="00472669" w:rsidRPr="00472669" w:rsidRDefault="00472669" w:rsidP="00A11EA7">
            <w:pPr>
              <w:keepNext/>
              <w:spacing w:before="0" w:after="0" w:line="240" w:lineRule="auto"/>
              <w:ind w:left="0" w:right="0"/>
              <w:rPr>
                <w:sz w:val="20"/>
                <w:szCs w:val="20"/>
              </w:rPr>
            </w:pPr>
            <w:r w:rsidRPr="00472669">
              <w:rPr>
                <w:rFonts w:eastAsiaTheme="minorHAnsi"/>
                <w:sz w:val="20"/>
                <w:szCs w:val="20"/>
              </w:rPr>
              <w:t xml:space="preserve">Patients with </w:t>
            </w:r>
            <w:proofErr w:type="spellStart"/>
            <w:r w:rsidRPr="00472669">
              <w:rPr>
                <w:rFonts w:eastAsiaTheme="minorHAnsi"/>
                <w:sz w:val="20"/>
                <w:szCs w:val="20"/>
              </w:rPr>
              <w:t>debulking</w:t>
            </w:r>
            <w:proofErr w:type="spellEnd"/>
            <w:r w:rsidRPr="00472669">
              <w:rPr>
                <w:rFonts w:eastAsiaTheme="minorHAnsi"/>
                <w:sz w:val="20"/>
                <w:szCs w:val="20"/>
              </w:rPr>
              <w:t xml:space="preserve"> surgery</w:t>
            </w:r>
          </w:p>
        </w:tc>
        <w:tc>
          <w:tcPr>
            <w:tcW w:w="1559" w:type="dxa"/>
          </w:tcPr>
          <w:p w14:paraId="69041470" w14:textId="1B6195AC" w:rsidR="00472669" w:rsidRPr="00472669" w:rsidRDefault="00472669" w:rsidP="00A11EA7">
            <w:pPr>
              <w:keepNext/>
              <w:spacing w:before="0" w:after="0" w:line="240" w:lineRule="auto"/>
              <w:ind w:left="0" w:right="0"/>
              <w:jc w:val="center"/>
              <w:rPr>
                <w:sz w:val="20"/>
                <w:szCs w:val="20"/>
              </w:rPr>
            </w:pPr>
            <w:r w:rsidRPr="00472669">
              <w:rPr>
                <w:rFonts w:eastAsiaTheme="minorHAnsi"/>
                <w:sz w:val="20"/>
                <w:szCs w:val="20"/>
              </w:rPr>
              <w:t>499 (92.9)</w:t>
            </w:r>
          </w:p>
        </w:tc>
        <w:tc>
          <w:tcPr>
            <w:tcW w:w="1701" w:type="dxa"/>
          </w:tcPr>
          <w:p w14:paraId="5C90F79C" w14:textId="09B79C8A" w:rsidR="00472669" w:rsidRPr="00472669" w:rsidRDefault="00472669" w:rsidP="00A11EA7">
            <w:pPr>
              <w:keepNext/>
              <w:spacing w:before="0" w:after="0" w:line="240" w:lineRule="auto"/>
              <w:ind w:left="0" w:right="0"/>
              <w:jc w:val="center"/>
              <w:rPr>
                <w:sz w:val="20"/>
                <w:szCs w:val="20"/>
              </w:rPr>
            </w:pPr>
            <w:r w:rsidRPr="00472669">
              <w:rPr>
                <w:rFonts w:eastAsiaTheme="minorHAnsi"/>
                <w:sz w:val="20"/>
                <w:szCs w:val="20"/>
              </w:rPr>
              <w:t>248 (92.2)</w:t>
            </w:r>
          </w:p>
        </w:tc>
        <w:tc>
          <w:tcPr>
            <w:tcW w:w="1666" w:type="dxa"/>
          </w:tcPr>
          <w:p w14:paraId="4077FD3B" w14:textId="63FCFE52" w:rsidR="00472669" w:rsidRPr="00472669" w:rsidRDefault="00472669" w:rsidP="00A11EA7">
            <w:pPr>
              <w:keepNext/>
              <w:spacing w:before="0" w:after="0" w:line="240" w:lineRule="auto"/>
              <w:ind w:left="0" w:right="0"/>
              <w:jc w:val="center"/>
              <w:rPr>
                <w:sz w:val="20"/>
                <w:szCs w:val="20"/>
              </w:rPr>
            </w:pPr>
            <w:r w:rsidRPr="00472669">
              <w:rPr>
                <w:rFonts w:eastAsiaTheme="minorHAnsi"/>
                <w:sz w:val="20"/>
                <w:szCs w:val="20"/>
              </w:rPr>
              <w:t>747 (92.7)</w:t>
            </w:r>
          </w:p>
        </w:tc>
      </w:tr>
      <w:tr w:rsidR="00472669" w:rsidRPr="00472669" w14:paraId="15D5FF89" w14:textId="77777777" w:rsidTr="00D940B0">
        <w:tc>
          <w:tcPr>
            <w:tcW w:w="3794" w:type="dxa"/>
          </w:tcPr>
          <w:p w14:paraId="1E57A278" w14:textId="7BB585B9" w:rsidR="00472669" w:rsidRPr="00472669" w:rsidRDefault="00472669" w:rsidP="00094A0B">
            <w:pPr>
              <w:spacing w:before="0" w:after="0" w:line="240" w:lineRule="auto"/>
              <w:ind w:left="0" w:right="0"/>
              <w:rPr>
                <w:sz w:val="20"/>
                <w:szCs w:val="20"/>
              </w:rPr>
            </w:pPr>
            <w:r w:rsidRPr="00472669">
              <w:rPr>
                <w:rFonts w:eastAsiaTheme="minorHAnsi"/>
                <w:sz w:val="20"/>
                <w:szCs w:val="20"/>
              </w:rPr>
              <w:t>Residual macroscopic disease</w:t>
            </w:r>
          </w:p>
        </w:tc>
        <w:tc>
          <w:tcPr>
            <w:tcW w:w="1559" w:type="dxa"/>
          </w:tcPr>
          <w:p w14:paraId="2300A40C" w14:textId="7DD806A9"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176/499 (35.3)</w:t>
            </w:r>
          </w:p>
        </w:tc>
        <w:tc>
          <w:tcPr>
            <w:tcW w:w="1701" w:type="dxa"/>
          </w:tcPr>
          <w:p w14:paraId="6AA21AA7" w14:textId="6384765B"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88/248 (35.5)</w:t>
            </w:r>
          </w:p>
        </w:tc>
        <w:tc>
          <w:tcPr>
            <w:tcW w:w="1666" w:type="dxa"/>
          </w:tcPr>
          <w:p w14:paraId="67E55EA5" w14:textId="6BBD6FBA"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264/747 (35.3)</w:t>
            </w:r>
          </w:p>
        </w:tc>
      </w:tr>
      <w:tr w:rsidR="00472669" w:rsidRPr="00472669" w14:paraId="6AE61660" w14:textId="77777777" w:rsidTr="00D940B0">
        <w:tc>
          <w:tcPr>
            <w:tcW w:w="3794" w:type="dxa"/>
          </w:tcPr>
          <w:p w14:paraId="1859513C" w14:textId="5D741746" w:rsidR="00472669" w:rsidRPr="00472669" w:rsidRDefault="00472669" w:rsidP="00094A0B">
            <w:pPr>
              <w:spacing w:before="0" w:after="0" w:line="240" w:lineRule="auto"/>
              <w:ind w:left="0" w:right="0"/>
              <w:rPr>
                <w:sz w:val="20"/>
                <w:szCs w:val="20"/>
              </w:rPr>
            </w:pPr>
            <w:r w:rsidRPr="00472669">
              <w:rPr>
                <w:rFonts w:eastAsiaTheme="minorHAnsi"/>
                <w:sz w:val="20"/>
                <w:szCs w:val="20"/>
              </w:rPr>
              <w:t>No residual macroscopic disease</w:t>
            </w:r>
          </w:p>
        </w:tc>
        <w:tc>
          <w:tcPr>
            <w:tcW w:w="1559" w:type="dxa"/>
          </w:tcPr>
          <w:p w14:paraId="358E28FD" w14:textId="49ADB710"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323/499 (64.7)</w:t>
            </w:r>
          </w:p>
        </w:tc>
        <w:tc>
          <w:tcPr>
            <w:tcW w:w="1701" w:type="dxa"/>
          </w:tcPr>
          <w:p w14:paraId="29C7429C" w14:textId="2854CA77"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160/248 (64.5)</w:t>
            </w:r>
          </w:p>
        </w:tc>
        <w:tc>
          <w:tcPr>
            <w:tcW w:w="1666" w:type="dxa"/>
          </w:tcPr>
          <w:p w14:paraId="5C532633" w14:textId="57E7EF0D"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483/747 (64.7)</w:t>
            </w:r>
          </w:p>
        </w:tc>
      </w:tr>
      <w:tr w:rsidR="00472669" w:rsidRPr="00472669" w14:paraId="7112084C" w14:textId="77777777" w:rsidTr="00D940B0">
        <w:tc>
          <w:tcPr>
            <w:tcW w:w="3794" w:type="dxa"/>
          </w:tcPr>
          <w:p w14:paraId="37217D9D" w14:textId="77CAABEC"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Patients with initial </w:t>
            </w:r>
            <w:proofErr w:type="spellStart"/>
            <w:r w:rsidRPr="00472669">
              <w:rPr>
                <w:rFonts w:eastAsiaTheme="minorHAnsi"/>
                <w:sz w:val="20"/>
                <w:szCs w:val="20"/>
              </w:rPr>
              <w:t>debulking</w:t>
            </w:r>
            <w:proofErr w:type="spellEnd"/>
            <w:r w:rsidRPr="00472669">
              <w:rPr>
                <w:rFonts w:eastAsiaTheme="minorHAnsi"/>
                <w:sz w:val="20"/>
                <w:szCs w:val="20"/>
              </w:rPr>
              <w:t xml:space="preserve"> surgery</w:t>
            </w:r>
          </w:p>
        </w:tc>
        <w:tc>
          <w:tcPr>
            <w:tcW w:w="1559" w:type="dxa"/>
          </w:tcPr>
          <w:p w14:paraId="1ADCC395" w14:textId="353273A6"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271 (50.5)</w:t>
            </w:r>
          </w:p>
        </w:tc>
        <w:tc>
          <w:tcPr>
            <w:tcW w:w="1701" w:type="dxa"/>
          </w:tcPr>
          <w:p w14:paraId="2247F2EA" w14:textId="6B8B64F8"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138 (51.3)</w:t>
            </w:r>
          </w:p>
        </w:tc>
        <w:tc>
          <w:tcPr>
            <w:tcW w:w="1666" w:type="dxa"/>
          </w:tcPr>
          <w:p w14:paraId="3D3EAEEF" w14:textId="5DAD6ABD"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409 (50.7)</w:t>
            </w:r>
          </w:p>
        </w:tc>
      </w:tr>
      <w:tr w:rsidR="00472669" w:rsidRPr="00472669" w14:paraId="1E7BE9F0" w14:textId="77777777" w:rsidTr="00D940B0">
        <w:tc>
          <w:tcPr>
            <w:tcW w:w="3794" w:type="dxa"/>
          </w:tcPr>
          <w:p w14:paraId="63079393" w14:textId="60E4BD2F" w:rsidR="00472669" w:rsidRPr="00472669" w:rsidRDefault="00472669" w:rsidP="00094A0B">
            <w:pPr>
              <w:spacing w:before="0" w:after="0" w:line="240" w:lineRule="auto"/>
              <w:ind w:left="0" w:right="0"/>
              <w:rPr>
                <w:sz w:val="20"/>
                <w:szCs w:val="20"/>
              </w:rPr>
            </w:pPr>
            <w:r w:rsidRPr="00472669">
              <w:rPr>
                <w:rFonts w:eastAsiaTheme="minorHAnsi"/>
                <w:sz w:val="20"/>
                <w:szCs w:val="20"/>
              </w:rPr>
              <w:t>Residual macroscopic disease</w:t>
            </w:r>
          </w:p>
        </w:tc>
        <w:tc>
          <w:tcPr>
            <w:tcW w:w="1559" w:type="dxa"/>
          </w:tcPr>
          <w:p w14:paraId="34B5653D" w14:textId="423A9CD3"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111/271 (41.0)</w:t>
            </w:r>
          </w:p>
        </w:tc>
        <w:tc>
          <w:tcPr>
            <w:tcW w:w="1701" w:type="dxa"/>
          </w:tcPr>
          <w:p w14:paraId="2DF9B226" w14:textId="5D9F21F1"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53/138 (38.4)</w:t>
            </w:r>
          </w:p>
        </w:tc>
        <w:tc>
          <w:tcPr>
            <w:tcW w:w="1666" w:type="dxa"/>
          </w:tcPr>
          <w:p w14:paraId="5F341F3D" w14:textId="3CE60BD8"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164/409 (40.1)</w:t>
            </w:r>
          </w:p>
        </w:tc>
      </w:tr>
      <w:tr w:rsidR="00472669" w:rsidRPr="00472669" w14:paraId="7F8039E3" w14:textId="77777777" w:rsidTr="00D940B0">
        <w:tc>
          <w:tcPr>
            <w:tcW w:w="3794" w:type="dxa"/>
          </w:tcPr>
          <w:p w14:paraId="144ACF1F" w14:textId="60612985" w:rsidR="00472669" w:rsidRPr="00472669" w:rsidRDefault="00472669" w:rsidP="00094A0B">
            <w:pPr>
              <w:spacing w:before="0" w:after="0" w:line="240" w:lineRule="auto"/>
              <w:ind w:left="0" w:right="0"/>
              <w:rPr>
                <w:sz w:val="20"/>
                <w:szCs w:val="20"/>
              </w:rPr>
            </w:pPr>
            <w:r w:rsidRPr="00472669">
              <w:rPr>
                <w:rFonts w:eastAsiaTheme="minorHAnsi"/>
                <w:sz w:val="20"/>
                <w:szCs w:val="20"/>
              </w:rPr>
              <w:t>No residual macroscopic disease</w:t>
            </w:r>
          </w:p>
        </w:tc>
        <w:tc>
          <w:tcPr>
            <w:tcW w:w="1559" w:type="dxa"/>
          </w:tcPr>
          <w:p w14:paraId="14F88359" w14:textId="0A82BB2C"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160/271 (59.0)</w:t>
            </w:r>
          </w:p>
        </w:tc>
        <w:tc>
          <w:tcPr>
            <w:tcW w:w="1701" w:type="dxa"/>
          </w:tcPr>
          <w:p w14:paraId="1CD3B1D2" w14:textId="5453310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85/138 (61.6)</w:t>
            </w:r>
          </w:p>
        </w:tc>
        <w:tc>
          <w:tcPr>
            <w:tcW w:w="1666" w:type="dxa"/>
          </w:tcPr>
          <w:p w14:paraId="00597985" w14:textId="168C62D6"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245/409 (59.9)</w:t>
            </w:r>
          </w:p>
        </w:tc>
      </w:tr>
      <w:tr w:rsidR="00472669" w:rsidRPr="00472669" w14:paraId="7C3814E5" w14:textId="77777777" w:rsidTr="00D940B0">
        <w:tc>
          <w:tcPr>
            <w:tcW w:w="3794" w:type="dxa"/>
          </w:tcPr>
          <w:p w14:paraId="673935AC" w14:textId="22B8734D" w:rsidR="00472669" w:rsidRPr="00472669" w:rsidRDefault="00472669" w:rsidP="00094A0B">
            <w:pPr>
              <w:spacing w:before="0" w:after="0" w:line="240" w:lineRule="auto"/>
              <w:ind w:left="0" w:right="0"/>
              <w:rPr>
                <w:sz w:val="20"/>
                <w:szCs w:val="20"/>
              </w:rPr>
            </w:pPr>
            <w:r w:rsidRPr="00472669">
              <w:rPr>
                <w:rFonts w:eastAsiaTheme="minorHAnsi"/>
                <w:sz w:val="20"/>
                <w:szCs w:val="20"/>
              </w:rPr>
              <w:t>Patients with IDS</w:t>
            </w:r>
          </w:p>
        </w:tc>
        <w:tc>
          <w:tcPr>
            <w:tcW w:w="1559" w:type="dxa"/>
          </w:tcPr>
          <w:p w14:paraId="18CCE7D5" w14:textId="192C165C"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228 (42.5)</w:t>
            </w:r>
          </w:p>
        </w:tc>
        <w:tc>
          <w:tcPr>
            <w:tcW w:w="1701" w:type="dxa"/>
          </w:tcPr>
          <w:p w14:paraId="07E689A2" w14:textId="4B62828A"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110 (40.9)</w:t>
            </w:r>
          </w:p>
        </w:tc>
        <w:tc>
          <w:tcPr>
            <w:tcW w:w="1666" w:type="dxa"/>
          </w:tcPr>
          <w:p w14:paraId="323AC89F" w14:textId="1D36CE0A"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338 (41.9)</w:t>
            </w:r>
          </w:p>
        </w:tc>
      </w:tr>
      <w:tr w:rsidR="00472669" w:rsidRPr="00472669" w14:paraId="071A2C69" w14:textId="77777777" w:rsidTr="00D940B0">
        <w:tc>
          <w:tcPr>
            <w:tcW w:w="3794" w:type="dxa"/>
          </w:tcPr>
          <w:p w14:paraId="72FD1444" w14:textId="5A8B0A4E" w:rsidR="00472669" w:rsidRPr="00472669" w:rsidRDefault="00472669" w:rsidP="00094A0B">
            <w:pPr>
              <w:spacing w:before="0" w:after="0" w:line="240" w:lineRule="auto"/>
              <w:ind w:left="0" w:right="0"/>
              <w:rPr>
                <w:sz w:val="20"/>
                <w:szCs w:val="20"/>
              </w:rPr>
            </w:pPr>
            <w:r w:rsidRPr="00472669">
              <w:rPr>
                <w:rFonts w:eastAsiaTheme="minorHAnsi"/>
                <w:sz w:val="20"/>
                <w:szCs w:val="20"/>
              </w:rPr>
              <w:t>Residual macroscopic disease</w:t>
            </w:r>
          </w:p>
        </w:tc>
        <w:tc>
          <w:tcPr>
            <w:tcW w:w="1559" w:type="dxa"/>
          </w:tcPr>
          <w:p w14:paraId="71FF7162" w14:textId="231746C7"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65/228 (28.5)</w:t>
            </w:r>
          </w:p>
        </w:tc>
        <w:tc>
          <w:tcPr>
            <w:tcW w:w="1701" w:type="dxa"/>
          </w:tcPr>
          <w:p w14:paraId="6FADA007" w14:textId="4F02FE1C"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35/110 (31.8)</w:t>
            </w:r>
          </w:p>
        </w:tc>
        <w:tc>
          <w:tcPr>
            <w:tcW w:w="1666" w:type="dxa"/>
          </w:tcPr>
          <w:p w14:paraId="72E12E3E" w14:textId="40DB4C6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100/338 (29.6)</w:t>
            </w:r>
          </w:p>
        </w:tc>
      </w:tr>
      <w:tr w:rsidR="00472669" w:rsidRPr="00472669" w14:paraId="5F686D8B" w14:textId="77777777" w:rsidTr="00D940B0">
        <w:tc>
          <w:tcPr>
            <w:tcW w:w="3794" w:type="dxa"/>
          </w:tcPr>
          <w:p w14:paraId="01ADD79A" w14:textId="380E7876" w:rsidR="00472669" w:rsidRPr="00472669" w:rsidRDefault="00472669" w:rsidP="00094A0B">
            <w:pPr>
              <w:spacing w:before="0" w:after="0" w:line="240" w:lineRule="auto"/>
              <w:ind w:left="0" w:right="0"/>
              <w:rPr>
                <w:sz w:val="20"/>
                <w:szCs w:val="20"/>
              </w:rPr>
            </w:pPr>
            <w:r w:rsidRPr="00472669">
              <w:rPr>
                <w:rFonts w:eastAsiaTheme="minorHAnsi"/>
                <w:sz w:val="20"/>
                <w:szCs w:val="20"/>
              </w:rPr>
              <w:t>No residual macroscopic disease</w:t>
            </w:r>
          </w:p>
        </w:tc>
        <w:tc>
          <w:tcPr>
            <w:tcW w:w="1559" w:type="dxa"/>
          </w:tcPr>
          <w:p w14:paraId="0534E127" w14:textId="1E30226F"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163/228 (71.5)</w:t>
            </w:r>
          </w:p>
        </w:tc>
        <w:tc>
          <w:tcPr>
            <w:tcW w:w="1701" w:type="dxa"/>
          </w:tcPr>
          <w:p w14:paraId="58AE3D1B" w14:textId="37A5AE7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75/110 (68.2)</w:t>
            </w:r>
          </w:p>
        </w:tc>
        <w:tc>
          <w:tcPr>
            <w:tcW w:w="1666" w:type="dxa"/>
          </w:tcPr>
          <w:p w14:paraId="2F6B1E86" w14:textId="6A225F78"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238/338 (70.4)</w:t>
            </w:r>
          </w:p>
        </w:tc>
      </w:tr>
      <w:tr w:rsidR="00472669" w:rsidRPr="00472669" w14:paraId="50ADB87A" w14:textId="77777777" w:rsidTr="00D940B0">
        <w:tc>
          <w:tcPr>
            <w:tcW w:w="3794" w:type="dxa"/>
          </w:tcPr>
          <w:p w14:paraId="0B136AD9" w14:textId="43B57BCD"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Patients with no </w:t>
            </w:r>
            <w:proofErr w:type="spellStart"/>
            <w:r w:rsidRPr="00472669">
              <w:rPr>
                <w:rFonts w:eastAsiaTheme="minorHAnsi"/>
                <w:sz w:val="20"/>
                <w:szCs w:val="20"/>
              </w:rPr>
              <w:t>debulking</w:t>
            </w:r>
            <w:proofErr w:type="spellEnd"/>
            <w:r w:rsidRPr="00472669">
              <w:rPr>
                <w:rFonts w:eastAsiaTheme="minorHAnsi"/>
                <w:sz w:val="20"/>
                <w:szCs w:val="20"/>
              </w:rPr>
              <w:t xml:space="preserve"> surgery, n (%)</w:t>
            </w:r>
          </w:p>
        </w:tc>
        <w:tc>
          <w:tcPr>
            <w:tcW w:w="1559" w:type="dxa"/>
          </w:tcPr>
          <w:p w14:paraId="02F6AE19" w14:textId="245B2EF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38 (7.1)</w:t>
            </w:r>
          </w:p>
        </w:tc>
        <w:tc>
          <w:tcPr>
            <w:tcW w:w="1701" w:type="dxa"/>
          </w:tcPr>
          <w:p w14:paraId="4C81AF73" w14:textId="59252B6B"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21 (7.8)</w:t>
            </w:r>
          </w:p>
        </w:tc>
        <w:tc>
          <w:tcPr>
            <w:tcW w:w="1666" w:type="dxa"/>
          </w:tcPr>
          <w:p w14:paraId="2634BBBA" w14:textId="01FF8D7A"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59 (7.3)</w:t>
            </w:r>
          </w:p>
        </w:tc>
      </w:tr>
      <w:tr w:rsidR="00472669" w:rsidRPr="00472669" w14:paraId="6062BBE5" w14:textId="77777777" w:rsidTr="00305623">
        <w:tc>
          <w:tcPr>
            <w:tcW w:w="8720" w:type="dxa"/>
            <w:gridSpan w:val="4"/>
          </w:tcPr>
          <w:p w14:paraId="3218C272" w14:textId="2BDA957B" w:rsidR="00472669" w:rsidRPr="00472669" w:rsidRDefault="00472669" w:rsidP="00094A0B">
            <w:pPr>
              <w:spacing w:before="0" w:after="0" w:line="240" w:lineRule="auto"/>
              <w:ind w:left="0" w:right="0"/>
              <w:rPr>
                <w:sz w:val="20"/>
                <w:szCs w:val="20"/>
              </w:rPr>
            </w:pPr>
            <w:r w:rsidRPr="00472669">
              <w:rPr>
                <w:rFonts w:eastAsiaTheme="minorHAnsi"/>
                <w:b/>
                <w:bCs/>
                <w:sz w:val="20"/>
                <w:szCs w:val="20"/>
              </w:rPr>
              <w:t xml:space="preserve">Screening laboratory </w:t>
            </w:r>
            <w:proofErr w:type="spellStart"/>
            <w:r w:rsidRPr="00472669">
              <w:rPr>
                <w:rFonts w:eastAsiaTheme="minorHAnsi"/>
                <w:b/>
                <w:bCs/>
                <w:i/>
                <w:iCs/>
                <w:sz w:val="20"/>
                <w:szCs w:val="20"/>
              </w:rPr>
              <w:t>tBRCA</w:t>
            </w:r>
            <w:proofErr w:type="spellEnd"/>
            <w:r w:rsidRPr="00472669">
              <w:rPr>
                <w:rFonts w:eastAsiaTheme="minorHAnsi"/>
                <w:b/>
                <w:bCs/>
                <w:i/>
                <w:iCs/>
                <w:sz w:val="20"/>
                <w:szCs w:val="20"/>
              </w:rPr>
              <w:t xml:space="preserve"> </w:t>
            </w:r>
            <w:r w:rsidRPr="00472669">
              <w:rPr>
                <w:rFonts w:eastAsiaTheme="minorHAnsi"/>
                <w:b/>
                <w:bCs/>
                <w:sz w:val="20"/>
                <w:szCs w:val="20"/>
              </w:rPr>
              <w:t>status (obtained from the randomisation schedule)</w:t>
            </w:r>
          </w:p>
        </w:tc>
      </w:tr>
      <w:tr w:rsidR="00472669" w:rsidRPr="00472669" w14:paraId="7B6D3E9C" w14:textId="77777777" w:rsidTr="00D940B0">
        <w:tc>
          <w:tcPr>
            <w:tcW w:w="3794" w:type="dxa"/>
          </w:tcPr>
          <w:p w14:paraId="3E631395" w14:textId="002DB39D" w:rsidR="00472669" w:rsidRPr="00472669" w:rsidRDefault="00472669" w:rsidP="00094A0B">
            <w:pPr>
              <w:spacing w:before="0" w:after="0" w:line="240" w:lineRule="auto"/>
              <w:ind w:left="0" w:right="0"/>
              <w:rPr>
                <w:sz w:val="20"/>
                <w:szCs w:val="20"/>
              </w:rPr>
            </w:pPr>
            <w:r w:rsidRPr="00472669">
              <w:rPr>
                <w:rFonts w:eastAsiaTheme="minorHAnsi"/>
                <w:sz w:val="20"/>
                <w:szCs w:val="20"/>
              </w:rPr>
              <w:t>Deleterious mutation</w:t>
            </w:r>
          </w:p>
        </w:tc>
        <w:tc>
          <w:tcPr>
            <w:tcW w:w="1559" w:type="dxa"/>
          </w:tcPr>
          <w:p w14:paraId="79F3145E" w14:textId="74503AFD"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161 (30.0)</w:t>
            </w:r>
          </w:p>
        </w:tc>
        <w:tc>
          <w:tcPr>
            <w:tcW w:w="1701" w:type="dxa"/>
          </w:tcPr>
          <w:p w14:paraId="7D6140CC" w14:textId="44F3FB8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80 (29.7)</w:t>
            </w:r>
          </w:p>
        </w:tc>
        <w:tc>
          <w:tcPr>
            <w:tcW w:w="1666" w:type="dxa"/>
          </w:tcPr>
          <w:p w14:paraId="16FFCC9F" w14:textId="5F04C5B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241 (29.9)</w:t>
            </w:r>
          </w:p>
        </w:tc>
      </w:tr>
      <w:tr w:rsidR="00472669" w:rsidRPr="00472669" w14:paraId="5F40A577" w14:textId="77777777" w:rsidTr="00D940B0">
        <w:tc>
          <w:tcPr>
            <w:tcW w:w="3794" w:type="dxa"/>
          </w:tcPr>
          <w:p w14:paraId="7FC12DDD" w14:textId="5521608F"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Absence of deleterious </w:t>
            </w:r>
            <w:proofErr w:type="spellStart"/>
            <w:r w:rsidRPr="00472669">
              <w:rPr>
                <w:rFonts w:eastAsiaTheme="minorHAnsi"/>
                <w:sz w:val="20"/>
                <w:szCs w:val="20"/>
              </w:rPr>
              <w:t>mutation</w:t>
            </w:r>
            <w:r w:rsidRPr="00472669">
              <w:rPr>
                <w:rFonts w:eastAsiaTheme="minorHAnsi"/>
                <w:sz w:val="20"/>
                <w:szCs w:val="20"/>
                <w:vertAlign w:val="superscript"/>
              </w:rPr>
              <w:t>a</w:t>
            </w:r>
            <w:proofErr w:type="spellEnd"/>
          </w:p>
        </w:tc>
        <w:tc>
          <w:tcPr>
            <w:tcW w:w="1559" w:type="dxa"/>
          </w:tcPr>
          <w:p w14:paraId="310971CB" w14:textId="7C822370"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376 (70.0)</w:t>
            </w:r>
          </w:p>
        </w:tc>
        <w:tc>
          <w:tcPr>
            <w:tcW w:w="1701" w:type="dxa"/>
          </w:tcPr>
          <w:p w14:paraId="525F51FC" w14:textId="2796898F"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189 (70.3)</w:t>
            </w:r>
          </w:p>
        </w:tc>
        <w:tc>
          <w:tcPr>
            <w:tcW w:w="1666" w:type="dxa"/>
          </w:tcPr>
          <w:p w14:paraId="2DD91733" w14:textId="5527EED1"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565 (70.1)</w:t>
            </w:r>
          </w:p>
        </w:tc>
      </w:tr>
      <w:tr w:rsidR="00472669" w:rsidRPr="00472669" w14:paraId="5AA1F29A" w14:textId="77777777" w:rsidTr="00305623">
        <w:tc>
          <w:tcPr>
            <w:tcW w:w="8720" w:type="dxa"/>
            <w:gridSpan w:val="4"/>
          </w:tcPr>
          <w:p w14:paraId="4183F7A9" w14:textId="6C678DAF" w:rsidR="00472669" w:rsidRPr="00472669" w:rsidRDefault="00472669" w:rsidP="00094A0B">
            <w:pPr>
              <w:spacing w:before="0" w:after="0" w:line="240" w:lineRule="auto"/>
              <w:ind w:left="0" w:right="0"/>
              <w:rPr>
                <w:sz w:val="20"/>
                <w:szCs w:val="20"/>
              </w:rPr>
            </w:pPr>
            <w:r w:rsidRPr="00472669">
              <w:rPr>
                <w:rFonts w:eastAsiaTheme="minorHAnsi"/>
                <w:b/>
                <w:bCs/>
                <w:sz w:val="20"/>
                <w:szCs w:val="20"/>
              </w:rPr>
              <w:t xml:space="preserve">Screening laboratory </w:t>
            </w:r>
            <w:proofErr w:type="spellStart"/>
            <w:r w:rsidRPr="00472669">
              <w:rPr>
                <w:rFonts w:eastAsiaTheme="minorHAnsi"/>
                <w:b/>
                <w:bCs/>
                <w:i/>
                <w:iCs/>
                <w:sz w:val="20"/>
                <w:szCs w:val="20"/>
              </w:rPr>
              <w:t>tBRCA</w:t>
            </w:r>
            <w:proofErr w:type="spellEnd"/>
            <w:r w:rsidRPr="00472669">
              <w:rPr>
                <w:rFonts w:eastAsiaTheme="minorHAnsi"/>
                <w:b/>
                <w:bCs/>
                <w:i/>
                <w:iCs/>
                <w:sz w:val="20"/>
                <w:szCs w:val="20"/>
              </w:rPr>
              <w:t xml:space="preserve"> </w:t>
            </w:r>
            <w:r w:rsidRPr="00472669">
              <w:rPr>
                <w:rFonts w:eastAsiaTheme="minorHAnsi"/>
                <w:b/>
                <w:bCs/>
                <w:sz w:val="20"/>
                <w:szCs w:val="20"/>
              </w:rPr>
              <w:t xml:space="preserve">status on tumour tissue (obtained from the </w:t>
            </w:r>
            <w:proofErr w:type="spellStart"/>
            <w:r w:rsidRPr="00472669">
              <w:rPr>
                <w:rFonts w:eastAsiaTheme="minorHAnsi"/>
                <w:b/>
                <w:bCs/>
                <w:sz w:val="20"/>
                <w:szCs w:val="20"/>
              </w:rPr>
              <w:t>eCRF</w:t>
            </w:r>
            <w:proofErr w:type="spellEnd"/>
            <w:r w:rsidRPr="00472669">
              <w:rPr>
                <w:rFonts w:eastAsiaTheme="minorHAnsi"/>
                <w:b/>
                <w:bCs/>
                <w:sz w:val="20"/>
                <w:szCs w:val="20"/>
              </w:rPr>
              <w:t>)</w:t>
            </w:r>
          </w:p>
        </w:tc>
      </w:tr>
      <w:tr w:rsidR="00472669" w:rsidRPr="00472669" w14:paraId="7ABB1040" w14:textId="77777777" w:rsidTr="00D940B0">
        <w:tc>
          <w:tcPr>
            <w:tcW w:w="3794" w:type="dxa"/>
          </w:tcPr>
          <w:p w14:paraId="46EB1661" w14:textId="72684535" w:rsidR="00472669" w:rsidRPr="00472669" w:rsidRDefault="00472669" w:rsidP="00094A0B">
            <w:pPr>
              <w:spacing w:before="0" w:after="0" w:line="240" w:lineRule="auto"/>
              <w:ind w:left="0" w:right="0"/>
              <w:rPr>
                <w:sz w:val="20"/>
                <w:szCs w:val="20"/>
              </w:rPr>
            </w:pPr>
            <w:proofErr w:type="spellStart"/>
            <w:r w:rsidRPr="00472669">
              <w:rPr>
                <w:rFonts w:eastAsiaTheme="minorHAnsi"/>
                <w:i/>
                <w:iCs/>
                <w:sz w:val="20"/>
                <w:szCs w:val="20"/>
              </w:rPr>
              <w:t>tBRCAm</w:t>
            </w:r>
            <w:proofErr w:type="spellEnd"/>
          </w:p>
        </w:tc>
        <w:tc>
          <w:tcPr>
            <w:tcW w:w="1559" w:type="dxa"/>
          </w:tcPr>
          <w:p w14:paraId="43C65431" w14:textId="2533FA8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157 (29.2)</w:t>
            </w:r>
          </w:p>
        </w:tc>
        <w:tc>
          <w:tcPr>
            <w:tcW w:w="1701" w:type="dxa"/>
          </w:tcPr>
          <w:p w14:paraId="2A98A42F" w14:textId="561E61F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80 (29.7)</w:t>
            </w:r>
          </w:p>
        </w:tc>
        <w:tc>
          <w:tcPr>
            <w:tcW w:w="1666" w:type="dxa"/>
          </w:tcPr>
          <w:p w14:paraId="3CDF6462" w14:textId="66A0E332"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237 (29.4)</w:t>
            </w:r>
          </w:p>
        </w:tc>
      </w:tr>
      <w:tr w:rsidR="00472669" w:rsidRPr="00472669" w14:paraId="084DF8A8" w14:textId="77777777" w:rsidTr="00D940B0">
        <w:tc>
          <w:tcPr>
            <w:tcW w:w="3794" w:type="dxa"/>
          </w:tcPr>
          <w:p w14:paraId="5EC7E88F" w14:textId="4538E448" w:rsidR="00472669" w:rsidRPr="00472669" w:rsidRDefault="00472669" w:rsidP="00094A0B">
            <w:pPr>
              <w:spacing w:before="0" w:after="0" w:line="240" w:lineRule="auto"/>
              <w:ind w:left="0" w:right="0"/>
              <w:rPr>
                <w:sz w:val="20"/>
                <w:szCs w:val="20"/>
              </w:rPr>
            </w:pPr>
            <w:r w:rsidRPr="00472669">
              <w:rPr>
                <w:rFonts w:eastAsiaTheme="minorHAnsi"/>
                <w:sz w:val="20"/>
                <w:szCs w:val="20"/>
              </w:rPr>
              <w:t>Non-</w:t>
            </w:r>
            <w:proofErr w:type="spellStart"/>
            <w:r w:rsidRPr="00472669">
              <w:rPr>
                <w:rFonts w:eastAsiaTheme="minorHAnsi"/>
                <w:i/>
                <w:iCs/>
                <w:sz w:val="20"/>
                <w:szCs w:val="20"/>
              </w:rPr>
              <w:t>tBRCAm</w:t>
            </w:r>
            <w:r w:rsidRPr="00472669">
              <w:rPr>
                <w:rFonts w:eastAsiaTheme="minorHAnsi"/>
                <w:sz w:val="20"/>
                <w:szCs w:val="20"/>
                <w:vertAlign w:val="superscript"/>
              </w:rPr>
              <w:t>a</w:t>
            </w:r>
            <w:proofErr w:type="spellEnd"/>
          </w:p>
        </w:tc>
        <w:tc>
          <w:tcPr>
            <w:tcW w:w="1559" w:type="dxa"/>
          </w:tcPr>
          <w:p w14:paraId="3631909D" w14:textId="329A864F"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380 (70.8)</w:t>
            </w:r>
          </w:p>
        </w:tc>
        <w:tc>
          <w:tcPr>
            <w:tcW w:w="1701" w:type="dxa"/>
          </w:tcPr>
          <w:p w14:paraId="2685A8A2" w14:textId="6D1F4A9B"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189 (70.3)</w:t>
            </w:r>
          </w:p>
        </w:tc>
        <w:tc>
          <w:tcPr>
            <w:tcW w:w="1666" w:type="dxa"/>
          </w:tcPr>
          <w:p w14:paraId="70A32145" w14:textId="647E083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569 (70.6)</w:t>
            </w:r>
          </w:p>
        </w:tc>
      </w:tr>
      <w:tr w:rsidR="00472669" w:rsidRPr="00472669" w14:paraId="606CD7D3" w14:textId="77777777" w:rsidTr="00305623">
        <w:tc>
          <w:tcPr>
            <w:tcW w:w="8720" w:type="dxa"/>
            <w:gridSpan w:val="4"/>
          </w:tcPr>
          <w:p w14:paraId="13590D56" w14:textId="4BF4D46C" w:rsidR="00472669" w:rsidRPr="00472669" w:rsidRDefault="00472669" w:rsidP="00094A0B">
            <w:pPr>
              <w:spacing w:before="0" w:after="0" w:line="240" w:lineRule="auto"/>
              <w:ind w:left="0" w:right="0"/>
              <w:rPr>
                <w:sz w:val="20"/>
                <w:szCs w:val="20"/>
              </w:rPr>
            </w:pPr>
            <w:r w:rsidRPr="00472669">
              <w:rPr>
                <w:rFonts w:eastAsiaTheme="minorHAnsi"/>
                <w:b/>
                <w:bCs/>
                <w:sz w:val="20"/>
                <w:szCs w:val="20"/>
              </w:rPr>
              <w:t>First line treatment outcome at screening (obtained from the randomisation schedule)</w:t>
            </w:r>
          </w:p>
        </w:tc>
      </w:tr>
      <w:tr w:rsidR="00472669" w:rsidRPr="00472669" w14:paraId="22F39730" w14:textId="77777777" w:rsidTr="00D940B0">
        <w:tc>
          <w:tcPr>
            <w:tcW w:w="3794" w:type="dxa"/>
          </w:tcPr>
          <w:p w14:paraId="63B78671" w14:textId="70188E5B"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NED with complete macroscopic resection at initial </w:t>
            </w:r>
            <w:proofErr w:type="spellStart"/>
            <w:r w:rsidRPr="00472669">
              <w:rPr>
                <w:rFonts w:eastAsiaTheme="minorHAnsi"/>
                <w:sz w:val="20"/>
                <w:szCs w:val="20"/>
              </w:rPr>
              <w:t>debulking</w:t>
            </w:r>
            <w:proofErr w:type="spellEnd"/>
            <w:r w:rsidRPr="00472669">
              <w:rPr>
                <w:rFonts w:eastAsiaTheme="minorHAnsi"/>
                <w:sz w:val="20"/>
                <w:szCs w:val="20"/>
              </w:rPr>
              <w:t xml:space="preserve"> surgery</w:t>
            </w:r>
          </w:p>
        </w:tc>
        <w:tc>
          <w:tcPr>
            <w:tcW w:w="1559" w:type="dxa"/>
          </w:tcPr>
          <w:p w14:paraId="12AD95EA" w14:textId="791A3B3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170 (31.7)</w:t>
            </w:r>
          </w:p>
        </w:tc>
        <w:tc>
          <w:tcPr>
            <w:tcW w:w="1701" w:type="dxa"/>
          </w:tcPr>
          <w:p w14:paraId="285CE4F6" w14:textId="7E5E4DB8"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86 (32.0)</w:t>
            </w:r>
          </w:p>
        </w:tc>
        <w:tc>
          <w:tcPr>
            <w:tcW w:w="1666" w:type="dxa"/>
          </w:tcPr>
          <w:p w14:paraId="0EC878A1" w14:textId="02D89A96"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256 (31.8)</w:t>
            </w:r>
          </w:p>
        </w:tc>
      </w:tr>
      <w:tr w:rsidR="00472669" w:rsidRPr="00472669" w14:paraId="0F04DAD8" w14:textId="77777777" w:rsidTr="00D940B0">
        <w:tc>
          <w:tcPr>
            <w:tcW w:w="3794" w:type="dxa"/>
          </w:tcPr>
          <w:p w14:paraId="1164659B" w14:textId="4AAF2104" w:rsidR="00472669" w:rsidRPr="00472669" w:rsidRDefault="00472669" w:rsidP="00094A0B">
            <w:pPr>
              <w:spacing w:before="0" w:after="0" w:line="240" w:lineRule="auto"/>
              <w:ind w:left="0" w:right="0"/>
              <w:rPr>
                <w:sz w:val="20"/>
                <w:szCs w:val="20"/>
              </w:rPr>
            </w:pPr>
            <w:r w:rsidRPr="00472669">
              <w:rPr>
                <w:rFonts w:eastAsiaTheme="minorHAnsi"/>
                <w:sz w:val="20"/>
                <w:szCs w:val="20"/>
              </w:rPr>
              <w:t>NED/CR with complete macroscopic resection at IDS</w:t>
            </w:r>
          </w:p>
        </w:tc>
        <w:tc>
          <w:tcPr>
            <w:tcW w:w="1559" w:type="dxa"/>
          </w:tcPr>
          <w:p w14:paraId="539AA959" w14:textId="3B927CF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166 (30.9)</w:t>
            </w:r>
          </w:p>
        </w:tc>
        <w:tc>
          <w:tcPr>
            <w:tcW w:w="1701" w:type="dxa"/>
          </w:tcPr>
          <w:p w14:paraId="6F5FA474" w14:textId="7DD0A010"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84 (31.2)</w:t>
            </w:r>
          </w:p>
        </w:tc>
        <w:tc>
          <w:tcPr>
            <w:tcW w:w="1666" w:type="dxa"/>
          </w:tcPr>
          <w:p w14:paraId="4334F046" w14:textId="4799769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250 (31.0)</w:t>
            </w:r>
          </w:p>
        </w:tc>
      </w:tr>
      <w:tr w:rsidR="00472669" w:rsidRPr="00472669" w14:paraId="1D94B855" w14:textId="77777777" w:rsidTr="00D940B0">
        <w:tc>
          <w:tcPr>
            <w:tcW w:w="3794" w:type="dxa"/>
          </w:tcPr>
          <w:p w14:paraId="53AF2E90" w14:textId="6566F3D7"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NED/CR at screening, in patient who had either incomplete resection (at initial or IDS) or no </w:t>
            </w:r>
            <w:proofErr w:type="spellStart"/>
            <w:r w:rsidRPr="00472669">
              <w:rPr>
                <w:rFonts w:eastAsiaTheme="minorHAnsi"/>
                <w:sz w:val="20"/>
                <w:szCs w:val="20"/>
              </w:rPr>
              <w:t>debulking</w:t>
            </w:r>
            <w:proofErr w:type="spellEnd"/>
            <w:r w:rsidRPr="00472669">
              <w:rPr>
                <w:rFonts w:eastAsiaTheme="minorHAnsi"/>
                <w:sz w:val="20"/>
                <w:szCs w:val="20"/>
              </w:rPr>
              <w:t xml:space="preserve"> surgery</w:t>
            </w:r>
          </w:p>
        </w:tc>
        <w:tc>
          <w:tcPr>
            <w:tcW w:w="1559" w:type="dxa"/>
          </w:tcPr>
          <w:p w14:paraId="029A3EAE" w14:textId="1FA5140C" w:rsidR="00472669" w:rsidRPr="00472669" w:rsidRDefault="00472669" w:rsidP="005366A6">
            <w:pPr>
              <w:spacing w:before="0" w:after="0" w:line="240" w:lineRule="auto"/>
              <w:ind w:left="0" w:right="0"/>
              <w:jc w:val="center"/>
              <w:rPr>
                <w:sz w:val="20"/>
                <w:szCs w:val="20"/>
              </w:rPr>
            </w:pPr>
            <w:r w:rsidRPr="00472669">
              <w:rPr>
                <w:rFonts w:eastAsiaTheme="minorHAnsi"/>
                <w:sz w:val="20"/>
                <w:szCs w:val="20"/>
              </w:rPr>
              <w:t>82 (15.3)</w:t>
            </w:r>
          </w:p>
        </w:tc>
        <w:tc>
          <w:tcPr>
            <w:tcW w:w="1701" w:type="dxa"/>
          </w:tcPr>
          <w:p w14:paraId="7263500E" w14:textId="4D3A6995" w:rsidR="00472669" w:rsidRPr="00472669" w:rsidRDefault="00472669" w:rsidP="005366A6">
            <w:pPr>
              <w:spacing w:before="0" w:after="0" w:line="240" w:lineRule="auto"/>
              <w:ind w:left="0" w:right="0"/>
              <w:jc w:val="center"/>
              <w:rPr>
                <w:sz w:val="20"/>
                <w:szCs w:val="20"/>
              </w:rPr>
            </w:pPr>
            <w:r w:rsidRPr="00472669">
              <w:rPr>
                <w:rFonts w:eastAsiaTheme="minorHAnsi"/>
                <w:sz w:val="20"/>
                <w:szCs w:val="20"/>
              </w:rPr>
              <w:t>40 (14.9)</w:t>
            </w:r>
          </w:p>
        </w:tc>
        <w:tc>
          <w:tcPr>
            <w:tcW w:w="1666" w:type="dxa"/>
          </w:tcPr>
          <w:p w14:paraId="670327CA" w14:textId="7FFF1E4C" w:rsidR="00472669" w:rsidRPr="00472669" w:rsidRDefault="00472669" w:rsidP="005366A6">
            <w:pPr>
              <w:spacing w:before="0" w:after="0" w:line="240" w:lineRule="auto"/>
              <w:ind w:left="0" w:right="0"/>
              <w:jc w:val="center"/>
              <w:rPr>
                <w:sz w:val="20"/>
                <w:szCs w:val="20"/>
              </w:rPr>
            </w:pPr>
            <w:r w:rsidRPr="00472669">
              <w:rPr>
                <w:rFonts w:eastAsiaTheme="minorHAnsi"/>
                <w:sz w:val="20"/>
                <w:szCs w:val="20"/>
              </w:rPr>
              <w:t>122 (15.1)</w:t>
            </w:r>
          </w:p>
        </w:tc>
      </w:tr>
      <w:tr w:rsidR="00472669" w:rsidRPr="00472669" w14:paraId="30DFC1DD" w14:textId="77777777" w:rsidTr="00D940B0">
        <w:tc>
          <w:tcPr>
            <w:tcW w:w="3794" w:type="dxa"/>
          </w:tcPr>
          <w:p w14:paraId="32F3CC76" w14:textId="425E2F96" w:rsidR="00472669" w:rsidRPr="00472669" w:rsidRDefault="00472669" w:rsidP="00094A0B">
            <w:pPr>
              <w:spacing w:before="0" w:after="0" w:line="240" w:lineRule="auto"/>
              <w:ind w:left="0" w:right="0"/>
              <w:rPr>
                <w:sz w:val="20"/>
                <w:szCs w:val="20"/>
              </w:rPr>
            </w:pPr>
            <w:r w:rsidRPr="00472669">
              <w:rPr>
                <w:rFonts w:eastAsiaTheme="minorHAnsi"/>
                <w:sz w:val="20"/>
                <w:szCs w:val="20"/>
              </w:rPr>
              <w:t>PR</w:t>
            </w:r>
          </w:p>
        </w:tc>
        <w:tc>
          <w:tcPr>
            <w:tcW w:w="1559" w:type="dxa"/>
          </w:tcPr>
          <w:p w14:paraId="4DF7926C" w14:textId="3254605D"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119 (22.2)</w:t>
            </w:r>
          </w:p>
        </w:tc>
        <w:tc>
          <w:tcPr>
            <w:tcW w:w="1701" w:type="dxa"/>
          </w:tcPr>
          <w:p w14:paraId="2DB924FC" w14:textId="6A01A593"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59 (21.9)</w:t>
            </w:r>
          </w:p>
        </w:tc>
        <w:tc>
          <w:tcPr>
            <w:tcW w:w="1666" w:type="dxa"/>
          </w:tcPr>
          <w:p w14:paraId="32CC92AB" w14:textId="5C39F7C7"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178 (22.1)</w:t>
            </w:r>
          </w:p>
        </w:tc>
      </w:tr>
      <w:tr w:rsidR="00472669" w:rsidRPr="00472669" w14:paraId="160E60DF" w14:textId="77777777" w:rsidTr="00305623">
        <w:tc>
          <w:tcPr>
            <w:tcW w:w="8720" w:type="dxa"/>
            <w:gridSpan w:val="4"/>
          </w:tcPr>
          <w:p w14:paraId="65EA3AE8" w14:textId="409B0590" w:rsidR="00472669" w:rsidRPr="00472669" w:rsidRDefault="00472669" w:rsidP="00094A0B">
            <w:pPr>
              <w:spacing w:before="0" w:after="0" w:line="240" w:lineRule="auto"/>
              <w:ind w:left="0" w:right="0"/>
              <w:rPr>
                <w:sz w:val="20"/>
                <w:szCs w:val="20"/>
              </w:rPr>
            </w:pPr>
            <w:r w:rsidRPr="00472669">
              <w:rPr>
                <w:rFonts w:eastAsiaTheme="minorHAnsi"/>
                <w:b/>
                <w:bCs/>
                <w:sz w:val="20"/>
                <w:szCs w:val="20"/>
              </w:rPr>
              <w:t xml:space="preserve">First line treatment outcome at screening (obtained from the </w:t>
            </w:r>
            <w:proofErr w:type="spellStart"/>
            <w:r w:rsidRPr="00472669">
              <w:rPr>
                <w:rFonts w:eastAsiaTheme="minorHAnsi"/>
                <w:b/>
                <w:bCs/>
                <w:sz w:val="20"/>
                <w:szCs w:val="20"/>
              </w:rPr>
              <w:t>eCRF</w:t>
            </w:r>
            <w:proofErr w:type="spellEnd"/>
            <w:r w:rsidRPr="00472669">
              <w:rPr>
                <w:rFonts w:eastAsiaTheme="minorHAnsi"/>
                <w:b/>
                <w:bCs/>
                <w:sz w:val="20"/>
                <w:szCs w:val="20"/>
              </w:rPr>
              <w:t>)</w:t>
            </w:r>
          </w:p>
        </w:tc>
      </w:tr>
      <w:tr w:rsidR="00472669" w:rsidRPr="00472669" w14:paraId="57CFE498" w14:textId="77777777" w:rsidTr="00D940B0">
        <w:tc>
          <w:tcPr>
            <w:tcW w:w="3794" w:type="dxa"/>
          </w:tcPr>
          <w:p w14:paraId="49EF28DB" w14:textId="5181A0C6"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NED with complete macroscopic resection at initial </w:t>
            </w:r>
            <w:proofErr w:type="spellStart"/>
            <w:r w:rsidRPr="00472669">
              <w:rPr>
                <w:rFonts w:eastAsiaTheme="minorHAnsi"/>
                <w:sz w:val="20"/>
                <w:szCs w:val="20"/>
              </w:rPr>
              <w:t>debulking</w:t>
            </w:r>
            <w:proofErr w:type="spellEnd"/>
            <w:r w:rsidRPr="00472669">
              <w:rPr>
                <w:rFonts w:eastAsiaTheme="minorHAnsi"/>
                <w:sz w:val="20"/>
                <w:szCs w:val="20"/>
              </w:rPr>
              <w:t xml:space="preserve"> surgery</w:t>
            </w:r>
          </w:p>
        </w:tc>
        <w:tc>
          <w:tcPr>
            <w:tcW w:w="1559" w:type="dxa"/>
          </w:tcPr>
          <w:p w14:paraId="76FF43BB" w14:textId="7501BC6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158 (29.4)</w:t>
            </w:r>
          </w:p>
        </w:tc>
        <w:tc>
          <w:tcPr>
            <w:tcW w:w="1701" w:type="dxa"/>
          </w:tcPr>
          <w:p w14:paraId="39D64589" w14:textId="5EA5612E"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83 (30.9)</w:t>
            </w:r>
          </w:p>
        </w:tc>
        <w:tc>
          <w:tcPr>
            <w:tcW w:w="1666" w:type="dxa"/>
          </w:tcPr>
          <w:p w14:paraId="6C36621F" w14:textId="098E1089"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241 (29.9)</w:t>
            </w:r>
          </w:p>
        </w:tc>
      </w:tr>
      <w:tr w:rsidR="00472669" w:rsidRPr="00472669" w14:paraId="6DBB2AFD" w14:textId="77777777" w:rsidTr="00D940B0">
        <w:tc>
          <w:tcPr>
            <w:tcW w:w="3794" w:type="dxa"/>
          </w:tcPr>
          <w:p w14:paraId="4912B590" w14:textId="2A1CFDAF" w:rsidR="00472669" w:rsidRPr="00472669" w:rsidRDefault="00472669" w:rsidP="00094A0B">
            <w:pPr>
              <w:spacing w:before="0" w:after="0" w:line="240" w:lineRule="auto"/>
              <w:ind w:left="0" w:right="0"/>
              <w:rPr>
                <w:sz w:val="20"/>
                <w:szCs w:val="20"/>
              </w:rPr>
            </w:pPr>
            <w:r w:rsidRPr="00472669">
              <w:rPr>
                <w:rFonts w:eastAsiaTheme="minorHAnsi"/>
                <w:sz w:val="20"/>
                <w:szCs w:val="20"/>
              </w:rPr>
              <w:t>NED/CR with complete macroscopic resection at IDS</w:t>
            </w:r>
          </w:p>
        </w:tc>
        <w:tc>
          <w:tcPr>
            <w:tcW w:w="1559" w:type="dxa"/>
          </w:tcPr>
          <w:p w14:paraId="6DCC2BDA" w14:textId="353CF8F8"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158 (29.4)</w:t>
            </w:r>
          </w:p>
        </w:tc>
        <w:tc>
          <w:tcPr>
            <w:tcW w:w="1701" w:type="dxa"/>
          </w:tcPr>
          <w:p w14:paraId="4CBB4288" w14:textId="7F280620"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75 (27.9)</w:t>
            </w:r>
          </w:p>
        </w:tc>
        <w:tc>
          <w:tcPr>
            <w:tcW w:w="1666" w:type="dxa"/>
          </w:tcPr>
          <w:p w14:paraId="46F42A75" w14:textId="3D7FF721"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233 (28.9)</w:t>
            </w:r>
          </w:p>
        </w:tc>
      </w:tr>
      <w:tr w:rsidR="00472669" w:rsidRPr="00472669" w14:paraId="37D5C63D" w14:textId="77777777" w:rsidTr="00D940B0">
        <w:tc>
          <w:tcPr>
            <w:tcW w:w="3794" w:type="dxa"/>
          </w:tcPr>
          <w:p w14:paraId="44474E15" w14:textId="7138906A"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NED/CR at screening, in patient who had either incomplete resection (at initial </w:t>
            </w:r>
            <w:proofErr w:type="spellStart"/>
            <w:r w:rsidRPr="00472669">
              <w:rPr>
                <w:rFonts w:eastAsiaTheme="minorHAnsi"/>
                <w:sz w:val="20"/>
                <w:szCs w:val="20"/>
              </w:rPr>
              <w:t>debulking</w:t>
            </w:r>
            <w:proofErr w:type="spellEnd"/>
            <w:r w:rsidRPr="00472669">
              <w:rPr>
                <w:rFonts w:eastAsiaTheme="minorHAnsi"/>
                <w:sz w:val="20"/>
                <w:szCs w:val="20"/>
              </w:rPr>
              <w:t xml:space="preserve"> surgery or IDS) or no </w:t>
            </w:r>
            <w:proofErr w:type="spellStart"/>
            <w:r w:rsidRPr="00472669">
              <w:rPr>
                <w:rFonts w:eastAsiaTheme="minorHAnsi"/>
                <w:sz w:val="20"/>
                <w:szCs w:val="20"/>
              </w:rPr>
              <w:t>debulking</w:t>
            </w:r>
            <w:proofErr w:type="spellEnd"/>
            <w:r w:rsidRPr="00472669">
              <w:rPr>
                <w:rFonts w:eastAsiaTheme="minorHAnsi"/>
                <w:sz w:val="20"/>
                <w:szCs w:val="20"/>
              </w:rPr>
              <w:t xml:space="preserve"> surgery</w:t>
            </w:r>
          </w:p>
        </w:tc>
        <w:tc>
          <w:tcPr>
            <w:tcW w:w="1559" w:type="dxa"/>
          </w:tcPr>
          <w:p w14:paraId="7E8B60A1" w14:textId="4329482C"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80 (14.9)</w:t>
            </w:r>
          </w:p>
        </w:tc>
        <w:tc>
          <w:tcPr>
            <w:tcW w:w="1701" w:type="dxa"/>
          </w:tcPr>
          <w:p w14:paraId="4406FAFF" w14:textId="04E41AEA"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36 (13.4)</w:t>
            </w:r>
          </w:p>
        </w:tc>
        <w:tc>
          <w:tcPr>
            <w:tcW w:w="1666" w:type="dxa"/>
          </w:tcPr>
          <w:p w14:paraId="5AD7E1E0" w14:textId="515A62B2"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116 (14.4)</w:t>
            </w:r>
          </w:p>
        </w:tc>
      </w:tr>
      <w:tr w:rsidR="00472669" w:rsidRPr="00472669" w14:paraId="0033AC32" w14:textId="77777777" w:rsidTr="00D940B0">
        <w:tc>
          <w:tcPr>
            <w:tcW w:w="3794" w:type="dxa"/>
          </w:tcPr>
          <w:p w14:paraId="745C2189" w14:textId="7A180EA7" w:rsidR="00472669" w:rsidRPr="00472669" w:rsidRDefault="00472669" w:rsidP="00094A0B">
            <w:pPr>
              <w:spacing w:before="0" w:after="0" w:line="240" w:lineRule="auto"/>
              <w:ind w:left="0" w:right="0"/>
              <w:rPr>
                <w:sz w:val="20"/>
                <w:szCs w:val="20"/>
              </w:rPr>
            </w:pPr>
            <w:r w:rsidRPr="00472669">
              <w:rPr>
                <w:rFonts w:eastAsiaTheme="minorHAnsi"/>
                <w:sz w:val="20"/>
                <w:szCs w:val="20"/>
              </w:rPr>
              <w:t>PR</w:t>
            </w:r>
          </w:p>
        </w:tc>
        <w:tc>
          <w:tcPr>
            <w:tcW w:w="1559" w:type="dxa"/>
          </w:tcPr>
          <w:p w14:paraId="0D7F765D" w14:textId="07F72664"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134 (25.0)</w:t>
            </w:r>
          </w:p>
        </w:tc>
        <w:tc>
          <w:tcPr>
            <w:tcW w:w="1701" w:type="dxa"/>
          </w:tcPr>
          <w:p w14:paraId="6DEC8F58" w14:textId="2F887869"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73 (27.1)</w:t>
            </w:r>
          </w:p>
        </w:tc>
        <w:tc>
          <w:tcPr>
            <w:tcW w:w="1666" w:type="dxa"/>
          </w:tcPr>
          <w:p w14:paraId="274420B3" w14:textId="218022D2"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207 (25.7)</w:t>
            </w:r>
          </w:p>
        </w:tc>
      </w:tr>
      <w:tr w:rsidR="00472669" w:rsidRPr="00472669" w14:paraId="7CAEA536" w14:textId="77777777" w:rsidTr="00D940B0">
        <w:tc>
          <w:tcPr>
            <w:tcW w:w="3794" w:type="dxa"/>
          </w:tcPr>
          <w:p w14:paraId="5B11BFC5" w14:textId="4BC4A17D" w:rsidR="00472669" w:rsidRPr="00472669" w:rsidRDefault="00472669" w:rsidP="00094A0B">
            <w:pPr>
              <w:spacing w:before="0" w:after="0" w:line="240" w:lineRule="auto"/>
              <w:ind w:left="0" w:right="0"/>
              <w:rPr>
                <w:sz w:val="20"/>
                <w:szCs w:val="20"/>
              </w:rPr>
            </w:pPr>
            <w:r w:rsidRPr="00472669">
              <w:rPr>
                <w:rFonts w:eastAsiaTheme="minorHAnsi"/>
                <w:sz w:val="20"/>
                <w:szCs w:val="20"/>
              </w:rPr>
              <w:t xml:space="preserve">Not applicable as per </w:t>
            </w:r>
            <w:proofErr w:type="spellStart"/>
            <w:r w:rsidRPr="00472669">
              <w:rPr>
                <w:rFonts w:eastAsiaTheme="minorHAnsi"/>
                <w:sz w:val="20"/>
                <w:szCs w:val="20"/>
              </w:rPr>
              <w:t>eCRF</w:t>
            </w:r>
            <w:r w:rsidRPr="00472669">
              <w:rPr>
                <w:rFonts w:eastAsiaTheme="minorHAnsi"/>
                <w:sz w:val="20"/>
                <w:szCs w:val="20"/>
                <w:vertAlign w:val="superscript"/>
              </w:rPr>
              <w:t>b</w:t>
            </w:r>
            <w:proofErr w:type="spellEnd"/>
          </w:p>
        </w:tc>
        <w:tc>
          <w:tcPr>
            <w:tcW w:w="1559" w:type="dxa"/>
          </w:tcPr>
          <w:p w14:paraId="52F6C8B3" w14:textId="51741206"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7 (1.3)</w:t>
            </w:r>
          </w:p>
        </w:tc>
        <w:tc>
          <w:tcPr>
            <w:tcW w:w="1701" w:type="dxa"/>
          </w:tcPr>
          <w:p w14:paraId="607E5697" w14:textId="6CE4534F"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2 (0.7)</w:t>
            </w:r>
          </w:p>
        </w:tc>
        <w:tc>
          <w:tcPr>
            <w:tcW w:w="1666" w:type="dxa"/>
          </w:tcPr>
          <w:p w14:paraId="69CCB758" w14:textId="0E5CE375" w:rsidR="00472669" w:rsidRPr="00472669" w:rsidRDefault="00472669" w:rsidP="00472669">
            <w:pPr>
              <w:spacing w:before="0" w:after="0" w:line="240" w:lineRule="auto"/>
              <w:ind w:left="0" w:right="0"/>
              <w:jc w:val="center"/>
              <w:rPr>
                <w:sz w:val="20"/>
                <w:szCs w:val="20"/>
              </w:rPr>
            </w:pPr>
            <w:r w:rsidRPr="00472669">
              <w:rPr>
                <w:rFonts w:eastAsiaTheme="minorHAnsi"/>
                <w:sz w:val="20"/>
                <w:szCs w:val="20"/>
              </w:rPr>
              <w:t>9 (1.1)</w:t>
            </w:r>
          </w:p>
        </w:tc>
      </w:tr>
    </w:tbl>
    <w:p w14:paraId="38FEB4F7" w14:textId="1852BE20" w:rsidR="005366A6" w:rsidRDefault="00601799" w:rsidP="00097994">
      <w:pPr>
        <w:pStyle w:val="TableDescription"/>
      </w:pPr>
      <w:r w:rsidRPr="00097994">
        <w:t>a</w:t>
      </w:r>
      <w:r w:rsidR="00097994">
        <w:t>:</w:t>
      </w:r>
      <w:r w:rsidRPr="005A1AA4">
        <w:t xml:space="preserve"> Includes te</w:t>
      </w:r>
      <w:r w:rsidR="00097994">
        <w:t>st cancelled/failed patients (that is</w:t>
      </w:r>
      <w:r w:rsidRPr="005A1AA4">
        <w:t xml:space="preserve">, inconclusive and unknown </w:t>
      </w:r>
      <w:proofErr w:type="spellStart"/>
      <w:r w:rsidRPr="005A1AA4">
        <w:rPr>
          <w:i/>
          <w:iCs/>
        </w:rPr>
        <w:t>tBRCA</w:t>
      </w:r>
      <w:proofErr w:type="spellEnd"/>
      <w:r w:rsidRPr="005A1AA4">
        <w:rPr>
          <w:i/>
          <w:iCs/>
        </w:rPr>
        <w:t xml:space="preserve"> </w:t>
      </w:r>
      <w:r w:rsidRPr="005A1AA4">
        <w:t xml:space="preserve">status): 26 patients in the </w:t>
      </w:r>
      <w:proofErr w:type="spellStart"/>
      <w:r w:rsidRPr="005A1AA4">
        <w:t>olaparib</w:t>
      </w:r>
      <w:proofErr w:type="spellEnd"/>
      <w:r w:rsidRPr="005A1AA4">
        <w:t>/bevacizumab arm and 7 patients in the placebo/bevacizumab arm.</w:t>
      </w:r>
      <w:r w:rsidR="00097994">
        <w:t xml:space="preserve"> </w:t>
      </w:r>
      <w:r w:rsidR="005366A6">
        <w:t>b</w:t>
      </w:r>
      <w:r w:rsidR="00097994">
        <w:t>:</w:t>
      </w:r>
      <w:r w:rsidR="005366A6">
        <w:t xml:space="preserve"> Not applicable as unable to assign to 1 of detailed categories.</w:t>
      </w:r>
    </w:p>
    <w:p w14:paraId="0AE5FC4C" w14:textId="75FDC703" w:rsidR="00601799" w:rsidRDefault="005366A6" w:rsidP="00097994">
      <w:pPr>
        <w:pStyle w:val="TableDescription"/>
      </w:pPr>
      <w:r>
        <w:t xml:space="preserve">CA-125 </w:t>
      </w:r>
      <w:r w:rsidR="00097994">
        <w:t xml:space="preserve">= </w:t>
      </w:r>
      <w:r w:rsidR="00EE5895">
        <w:t xml:space="preserve">cancer antigen </w:t>
      </w:r>
      <w:r>
        <w:t xml:space="preserve">125; CR </w:t>
      </w:r>
      <w:r w:rsidR="00097994">
        <w:t xml:space="preserve">= </w:t>
      </w:r>
      <w:r>
        <w:t xml:space="preserve">complete response; ECOG </w:t>
      </w:r>
      <w:r w:rsidR="00097994">
        <w:t xml:space="preserve">= </w:t>
      </w:r>
      <w:r>
        <w:t xml:space="preserve">Eastern Cooperative Oncology Group; </w:t>
      </w:r>
      <w:proofErr w:type="spellStart"/>
      <w:r>
        <w:t>eCRF</w:t>
      </w:r>
      <w:proofErr w:type="spellEnd"/>
      <w:r>
        <w:t xml:space="preserve"> </w:t>
      </w:r>
      <w:r w:rsidR="00097994">
        <w:t>= electronic case report form</w:t>
      </w:r>
      <w:r>
        <w:t xml:space="preserve">; </w:t>
      </w:r>
      <w:r w:rsidR="00097994">
        <w:t xml:space="preserve">= </w:t>
      </w:r>
      <w:r>
        <w:t xml:space="preserve">FIGO </w:t>
      </w:r>
      <w:proofErr w:type="spellStart"/>
      <w:r>
        <w:t>Fédération</w:t>
      </w:r>
      <w:proofErr w:type="spellEnd"/>
      <w:r>
        <w:t xml:space="preserve"> Internationale de </w:t>
      </w:r>
      <w:proofErr w:type="spellStart"/>
      <w:r>
        <w:t>Gynécologie</w:t>
      </w:r>
      <w:proofErr w:type="spellEnd"/>
      <w:r>
        <w:t xml:space="preserve"> </w:t>
      </w:r>
      <w:r w:rsidR="0033465C">
        <w:t xml:space="preserve">et </w:t>
      </w:r>
      <w:proofErr w:type="spellStart"/>
      <w:r w:rsidR="0033465C">
        <w:t>d’</w:t>
      </w:r>
      <w:r>
        <w:t>Obstétrique</w:t>
      </w:r>
      <w:proofErr w:type="spellEnd"/>
      <w:r>
        <w:t xml:space="preserve"> (International Federation of Gynaecology and Obstetrics); IDS </w:t>
      </w:r>
      <w:r w:rsidR="00097994">
        <w:t xml:space="preserve">= </w:t>
      </w:r>
      <w:r>
        <w:t xml:space="preserve">interval </w:t>
      </w:r>
      <w:proofErr w:type="spellStart"/>
      <w:r>
        <w:t>debulking</w:t>
      </w:r>
      <w:proofErr w:type="spellEnd"/>
      <w:r>
        <w:t xml:space="preserve"> surgery; NED </w:t>
      </w:r>
      <w:r w:rsidR="00097994">
        <w:t xml:space="preserve">= </w:t>
      </w:r>
      <w:r>
        <w:t xml:space="preserve">no evidence of disease; PR </w:t>
      </w:r>
      <w:r w:rsidR="00097994">
        <w:t xml:space="preserve">= </w:t>
      </w:r>
      <w:r>
        <w:t xml:space="preserve">partial response; </w:t>
      </w:r>
      <w:proofErr w:type="spellStart"/>
      <w:r>
        <w:t>tBRCA</w:t>
      </w:r>
      <w:proofErr w:type="spellEnd"/>
      <w:r>
        <w:t xml:space="preserve"> </w:t>
      </w:r>
      <w:r w:rsidR="00097994">
        <w:t xml:space="preserve">= </w:t>
      </w:r>
      <w:r>
        <w:t xml:space="preserve">tumour BRCA; </w:t>
      </w:r>
      <w:proofErr w:type="spellStart"/>
      <w:r>
        <w:t>tBRCAm</w:t>
      </w:r>
      <w:proofErr w:type="spellEnd"/>
      <w:r>
        <w:t xml:space="preserve"> </w:t>
      </w:r>
      <w:r w:rsidR="00097994">
        <w:t xml:space="preserve">= </w:t>
      </w:r>
      <w:r w:rsidR="00EE5895">
        <w:t>tumour BRCA mutated; ULN = upper limit of normal.</w:t>
      </w:r>
    </w:p>
    <w:p w14:paraId="340C9DC4" w14:textId="4D8E130B" w:rsidR="00601799" w:rsidRPr="00C67B28" w:rsidRDefault="00601799" w:rsidP="00601799">
      <w:r w:rsidRPr="00C67B28">
        <w:t>Median follow up was 22</w:t>
      </w:r>
      <w:r w:rsidR="00DE09B1">
        <w:t xml:space="preserve">.7 months in the </w:t>
      </w:r>
      <w:proofErr w:type="spellStart"/>
      <w:r w:rsidR="00DE09B1">
        <w:t>olaparib</w:t>
      </w:r>
      <w:proofErr w:type="spellEnd"/>
      <w:r w:rsidR="00DE09B1">
        <w:t xml:space="preserve"> arm versus</w:t>
      </w:r>
      <w:r w:rsidRPr="00C67B28">
        <w:t xml:space="preserve"> 24.0 months in the placebo arm. PFS assessment was at 58.8% maturity. There were 280 (52.1%) and 194 (72.1%) PFS events in the </w:t>
      </w:r>
      <w:proofErr w:type="spellStart"/>
      <w:r w:rsidRPr="00C67B28">
        <w:t>olaparib</w:t>
      </w:r>
      <w:proofErr w:type="spellEnd"/>
      <w:r w:rsidRPr="00C67B28">
        <w:t xml:space="preserve">/bevacizumab and placebo/bevacizumab arms, respectively, of which 6 events in the </w:t>
      </w:r>
      <w:proofErr w:type="spellStart"/>
      <w:r w:rsidRPr="00C67B28">
        <w:t>olaparib</w:t>
      </w:r>
      <w:proofErr w:type="spellEnd"/>
      <w:r w:rsidRPr="00C67B28">
        <w:t>/bevacizumab arm and 6 events in the placebo/bevacizumab arm were death in the a</w:t>
      </w:r>
      <w:r w:rsidR="00EE5895">
        <w:t xml:space="preserve">bsence of disease progression. </w:t>
      </w:r>
      <w:r w:rsidRPr="00C67B28">
        <w:t>The HR for</w:t>
      </w:r>
      <w:r w:rsidR="00EE5895">
        <w:t xml:space="preserve"> PFS for </w:t>
      </w:r>
      <w:proofErr w:type="spellStart"/>
      <w:r w:rsidR="00EE5895">
        <w:t>olaparib</w:t>
      </w:r>
      <w:proofErr w:type="spellEnd"/>
      <w:r w:rsidR="00EE5895">
        <w:t xml:space="preserve">/bevacizumab versus </w:t>
      </w:r>
      <w:r w:rsidRPr="00C67B28">
        <w:t>placeb</w:t>
      </w:r>
      <w:r w:rsidR="00EE5895">
        <w:t xml:space="preserve">o/bevacizumab-treated patients was </w:t>
      </w:r>
      <w:r w:rsidRPr="00C67B28">
        <w:t xml:space="preserve">HR 0.59; 95% CI </w:t>
      </w:r>
      <w:r w:rsidR="00EE5895">
        <w:t>0.49 to 0.72; median PFS 22.1 versus</w:t>
      </w:r>
      <w:r w:rsidRPr="00C67B28">
        <w:t xml:space="preserve"> 16.6 months; p</w:t>
      </w:r>
      <w:r w:rsidR="00EE5895">
        <w:t xml:space="preserve"> </w:t>
      </w:r>
      <w:r w:rsidRPr="00C67B28">
        <w:t>&lt;</w:t>
      </w:r>
      <w:r w:rsidR="00EE5895">
        <w:t xml:space="preserve"> 0.0001). </w:t>
      </w:r>
      <w:r w:rsidRPr="00C67B28">
        <w:t>The B</w:t>
      </w:r>
      <w:r w:rsidR="00EE5895">
        <w:t xml:space="preserve">ICR of PFS was </w:t>
      </w:r>
      <w:r w:rsidRPr="00C67B28">
        <w:t>HR 0.63; 95% CI 0.51 to 0.77; p</w:t>
      </w:r>
      <w:r w:rsidR="00EE5895">
        <w:t xml:space="preserve"> </w:t>
      </w:r>
      <w:r w:rsidRPr="00C67B28">
        <w:t>&lt;</w:t>
      </w:r>
      <w:r w:rsidR="00EE5895">
        <w:t xml:space="preserve"> </w:t>
      </w:r>
      <w:r w:rsidRPr="00C67B28">
        <w:t>0.0001). A discrepancy rate of 18% observed between investigator and BICR in assessment of PFS.</w:t>
      </w:r>
    </w:p>
    <w:p w14:paraId="630D3DD8" w14:textId="5336D93A" w:rsidR="00601799" w:rsidRDefault="00601799" w:rsidP="00601799">
      <w:r>
        <w:t>R</w:t>
      </w:r>
      <w:r w:rsidR="00DE09B1">
        <w:t xml:space="preserve">esults for secondary endpoints </w:t>
      </w:r>
      <w:r>
        <w:t>were either supportive of the additio</w:t>
      </w:r>
      <w:r w:rsidR="00DE09B1">
        <w:t xml:space="preserve">n of </w:t>
      </w:r>
      <w:proofErr w:type="spellStart"/>
      <w:r w:rsidR="00DE09B1">
        <w:t>olaparib</w:t>
      </w:r>
      <w:proofErr w:type="spellEnd"/>
      <w:r w:rsidR="00DE09B1">
        <w:t xml:space="preserve"> or were immature.</w:t>
      </w:r>
    </w:p>
    <w:p w14:paraId="0E0A78EA" w14:textId="7B3BEFB4" w:rsidR="00601799" w:rsidRDefault="00601799" w:rsidP="00601799">
      <w:r>
        <w:t>Exploratory analyses of PFS by subgroup stratification factors and clinical characteristics were performed</w:t>
      </w:r>
      <w:r w:rsidR="00EE5895">
        <w:t>,</w:t>
      </w:r>
      <w:r>
        <w:t xml:space="preserve"> with results summar</w:t>
      </w:r>
      <w:r w:rsidR="00EE5895">
        <w:t xml:space="preserve">ised in the Forest plot below (see </w:t>
      </w:r>
      <w:r w:rsidR="00EE5895">
        <w:fldChar w:fldCharType="begin"/>
      </w:r>
      <w:r w:rsidR="00EE5895">
        <w:instrText xml:space="preserve"> REF _Ref66529162 \h </w:instrText>
      </w:r>
      <w:r w:rsidR="00EE5895">
        <w:fldChar w:fldCharType="separate"/>
      </w:r>
      <w:r w:rsidR="00A11EA7">
        <w:t xml:space="preserve">Figure </w:t>
      </w:r>
      <w:r w:rsidR="00A11EA7">
        <w:rPr>
          <w:noProof/>
        </w:rPr>
        <w:t>1</w:t>
      </w:r>
      <w:r w:rsidR="00EE5895">
        <w:fldChar w:fldCharType="end"/>
      </w:r>
      <w:r w:rsidR="00EE5895">
        <w:t>).</w:t>
      </w:r>
    </w:p>
    <w:p w14:paraId="42CD5CA2" w14:textId="47F2E521" w:rsidR="00601799" w:rsidRDefault="00EE5895" w:rsidP="00EE5895">
      <w:pPr>
        <w:pStyle w:val="FigureTitle"/>
      </w:pPr>
      <w:bookmarkStart w:id="42" w:name="_Ref66529162"/>
      <w:r>
        <w:t xml:space="preserve">Figure </w:t>
      </w:r>
      <w:r w:rsidR="00EC1515">
        <w:fldChar w:fldCharType="begin"/>
      </w:r>
      <w:r w:rsidR="00EC1515">
        <w:instrText xml:space="preserve"> SEQ Figure \* ARABIC </w:instrText>
      </w:r>
      <w:r w:rsidR="00EC1515">
        <w:fldChar w:fldCharType="separate"/>
      </w:r>
      <w:r w:rsidR="00A11EA7">
        <w:rPr>
          <w:noProof/>
        </w:rPr>
        <w:t>1</w:t>
      </w:r>
      <w:r w:rsidR="00EC1515">
        <w:rPr>
          <w:noProof/>
        </w:rPr>
        <w:fldChar w:fldCharType="end"/>
      </w:r>
      <w:bookmarkEnd w:id="42"/>
      <w:r w:rsidR="00D21090">
        <w:t xml:space="preserve">: </w:t>
      </w:r>
      <w:r w:rsidR="00F21676">
        <w:rPr>
          <w:bCs/>
        </w:rPr>
        <w:t>Study D0817C00003 (</w:t>
      </w:r>
      <w:r w:rsidR="00F21676">
        <w:t xml:space="preserve">the </w:t>
      </w:r>
      <w:r w:rsidR="00F21676" w:rsidRPr="00B67678">
        <w:t>PAOLA-1 trial</w:t>
      </w:r>
      <w:r w:rsidR="00F21676">
        <w:t xml:space="preserve">) </w:t>
      </w:r>
      <w:r w:rsidR="00D21090">
        <w:t>Progression free survival</w:t>
      </w:r>
      <w:r w:rsidR="00F21676">
        <w:t xml:space="preserve"> as a </w:t>
      </w:r>
      <w:r w:rsidR="00D21090">
        <w:t>Forest plot, by subgroup stratification factors and clinical characteristics</w:t>
      </w:r>
      <w:r w:rsidR="00F21676">
        <w:t xml:space="preserve"> for the full analysis set population</w:t>
      </w:r>
    </w:p>
    <w:p w14:paraId="5B679275" w14:textId="55A9C9DB" w:rsidR="00601799" w:rsidRDefault="00D21090" w:rsidP="00601799">
      <w:r>
        <w:rPr>
          <w:noProof/>
          <w:lang w:eastAsia="en-AU"/>
        </w:rPr>
        <w:drawing>
          <wp:inline distT="0" distB="0" distL="0" distR="0" wp14:anchorId="6DB1C05B" wp14:editId="3FFB4A02">
            <wp:extent cx="5343099" cy="3479549"/>
            <wp:effectExtent l="0" t="0" r="0" b="6985"/>
            <wp:docPr id="2" name="Picture 2" descr="Progression free survival, Forest plot, by subgroup (full analysis set), stratification factors and clinical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5443" cy="3481075"/>
                    </a:xfrm>
                    <a:prstGeom prst="rect">
                      <a:avLst/>
                    </a:prstGeom>
                  </pic:spPr>
                </pic:pic>
              </a:graphicData>
            </a:graphic>
          </wp:inline>
        </w:drawing>
      </w:r>
    </w:p>
    <w:p w14:paraId="2F6A8A04" w14:textId="0E652EFE" w:rsidR="00601799" w:rsidRDefault="00601799" w:rsidP="00EE5895">
      <w:r>
        <w:t>Of particular note</w:t>
      </w:r>
      <w:r w:rsidR="00EE5895">
        <w:t>,</w:t>
      </w:r>
      <w:r>
        <w:t xml:space="preserve"> p</w:t>
      </w:r>
      <w:r w:rsidRPr="003E28E7">
        <w:t xml:space="preserve">atients with and without </w:t>
      </w:r>
      <w:proofErr w:type="spellStart"/>
      <w:r w:rsidRPr="003E28E7">
        <w:t>tBRCA</w:t>
      </w:r>
      <w:proofErr w:type="spellEnd"/>
      <w:r w:rsidRPr="003E28E7">
        <w:t xml:space="preserve"> mutations as randomised derived </w:t>
      </w:r>
      <w:r w:rsidR="00EE5895">
        <w:t>a PFS</w:t>
      </w:r>
      <w:r w:rsidRPr="003E28E7">
        <w:t xml:space="preserve"> benefi</w:t>
      </w:r>
      <w:r w:rsidR="00EE5895">
        <w:t xml:space="preserve">t from treatment with </w:t>
      </w:r>
      <w:proofErr w:type="spellStart"/>
      <w:r w:rsidR="00EE5895">
        <w:t>olaparib</w:t>
      </w:r>
      <w:proofErr w:type="spellEnd"/>
      <w:r w:rsidR="00EE5895">
        <w:t xml:space="preserve"> </w:t>
      </w:r>
      <w:r w:rsidRPr="003E28E7">
        <w:t>(</w:t>
      </w:r>
      <w:proofErr w:type="spellStart"/>
      <w:r w:rsidRPr="003E28E7">
        <w:t>tBRCAm</w:t>
      </w:r>
      <w:proofErr w:type="spellEnd"/>
      <w:r w:rsidRPr="003E28E7">
        <w:t xml:space="preserve">: HR 0.34, 95% CI 0.23 to 0.51, median PFS 37.2 months </w:t>
      </w:r>
      <w:proofErr w:type="spellStart"/>
      <w:r w:rsidRPr="003E28E7">
        <w:t>olaparib</w:t>
      </w:r>
      <w:proofErr w:type="spellEnd"/>
      <w:r w:rsidRPr="003E28E7">
        <w:t>/bevacizum</w:t>
      </w:r>
      <w:r w:rsidR="00EE5895">
        <w:t>ab versus</w:t>
      </w:r>
      <w:r w:rsidRPr="003E28E7">
        <w:t xml:space="preserve"> 22.0 </w:t>
      </w:r>
      <w:r w:rsidR="00EE5895">
        <w:t>months placebo/bevacizumab; non</w:t>
      </w:r>
      <w:r w:rsidR="00EE5895">
        <w:noBreakHyphen/>
      </w:r>
      <w:proofErr w:type="spellStart"/>
      <w:r w:rsidRPr="003E28E7">
        <w:t>tBRCAm</w:t>
      </w:r>
      <w:proofErr w:type="spellEnd"/>
      <w:r w:rsidRPr="003E28E7">
        <w:t>: HR 0.70, 95% CI 0.57 to 0.86, median PFS 18.</w:t>
      </w:r>
      <w:r w:rsidR="00DE09B1">
        <w:t xml:space="preserve">9 months </w:t>
      </w:r>
      <w:proofErr w:type="spellStart"/>
      <w:r w:rsidR="00DE09B1">
        <w:t>olaparib</w:t>
      </w:r>
      <w:proofErr w:type="spellEnd"/>
      <w:r w:rsidR="00DE09B1">
        <w:t>/bevacizumab versus</w:t>
      </w:r>
      <w:r w:rsidRPr="003E28E7">
        <w:t xml:space="preserve"> 16</w:t>
      </w:r>
      <w:r w:rsidR="00DE09B1">
        <w:t>.0 months placebo/bevacizumab).</w:t>
      </w:r>
    </w:p>
    <w:p w14:paraId="253D8A6E" w14:textId="79AEE867" w:rsidR="00601799" w:rsidRDefault="00601799" w:rsidP="00EE5895">
      <w:r>
        <w:t xml:space="preserve">PFS results by Myriad </w:t>
      </w:r>
      <w:proofErr w:type="spellStart"/>
      <w:r>
        <w:t>myChoice</w:t>
      </w:r>
      <w:proofErr w:type="spellEnd"/>
      <w:r>
        <w:t xml:space="preserve"> </w:t>
      </w:r>
      <w:r w:rsidR="00EE5895">
        <w:t xml:space="preserve">HRD Plus test are shown below (see </w:t>
      </w:r>
      <w:r w:rsidR="00EE5895">
        <w:fldChar w:fldCharType="begin"/>
      </w:r>
      <w:r w:rsidR="00EE5895">
        <w:instrText xml:space="preserve"> REF _Ref66529248 \h </w:instrText>
      </w:r>
      <w:r w:rsidR="00EE5895">
        <w:fldChar w:fldCharType="separate"/>
      </w:r>
      <w:r w:rsidR="00A11EA7">
        <w:t xml:space="preserve">Table </w:t>
      </w:r>
      <w:r w:rsidR="00A11EA7">
        <w:rPr>
          <w:noProof/>
        </w:rPr>
        <w:t>5</w:t>
      </w:r>
      <w:r w:rsidR="00EE5895">
        <w:fldChar w:fldCharType="end"/>
      </w:r>
      <w:r w:rsidR="00EE5895">
        <w:t>).</w:t>
      </w:r>
    </w:p>
    <w:p w14:paraId="0A898C6E" w14:textId="32BB0304" w:rsidR="00FF7B3B" w:rsidRDefault="00FF7B3B" w:rsidP="00EC1515">
      <w:pPr>
        <w:pStyle w:val="TableTitle"/>
        <w:pageBreakBefore/>
      </w:pPr>
      <w:bookmarkStart w:id="43" w:name="_Ref66529248"/>
      <w:r>
        <w:t xml:space="preserve">Table </w:t>
      </w:r>
      <w:r w:rsidR="00EC1515">
        <w:fldChar w:fldCharType="begin"/>
      </w:r>
      <w:r w:rsidR="00EC1515">
        <w:instrText xml:space="preserve"> SEQ Table \* ARABIC </w:instrText>
      </w:r>
      <w:r w:rsidR="00EC1515">
        <w:fldChar w:fldCharType="separate"/>
      </w:r>
      <w:r w:rsidR="00A11EA7">
        <w:rPr>
          <w:noProof/>
        </w:rPr>
        <w:t>5</w:t>
      </w:r>
      <w:r w:rsidR="00EC1515">
        <w:rPr>
          <w:noProof/>
        </w:rPr>
        <w:fldChar w:fldCharType="end"/>
      </w:r>
      <w:bookmarkEnd w:id="43"/>
      <w:r>
        <w:t xml:space="preserve">: </w:t>
      </w:r>
      <w:r w:rsidR="00F21676">
        <w:rPr>
          <w:bCs/>
        </w:rPr>
        <w:t>Study D0817C00003 (</w:t>
      </w:r>
      <w:r>
        <w:t>PAOLA-1</w:t>
      </w:r>
      <w:r w:rsidR="00F21676">
        <w:t>)</w:t>
      </w:r>
      <w:r>
        <w:t xml:space="preserve"> trial progression free survival subgroup analyses (full analysis set</w:t>
      </w:r>
      <w:r w:rsidR="00F21676">
        <w:t xml:space="preserve"> population</w:t>
      </w:r>
      <w:r>
        <w:t xml:space="preserve">), tumour characteristics as assessed by Myriad </w:t>
      </w:r>
      <w:proofErr w:type="spellStart"/>
      <w:r>
        <w:t>myChoice</w:t>
      </w:r>
      <w:proofErr w:type="spellEnd"/>
      <w:r>
        <w:t xml:space="preserve"> HRD Plus test (data cut-off 22 March 2019)</w:t>
      </w:r>
    </w:p>
    <w:tbl>
      <w:tblPr>
        <w:tblStyle w:val="TableTGAblue"/>
        <w:tblW w:w="0" w:type="auto"/>
        <w:tblLook w:val="04A0" w:firstRow="1" w:lastRow="0" w:firstColumn="1" w:lastColumn="0" w:noHBand="0" w:noVBand="1"/>
      </w:tblPr>
      <w:tblGrid>
        <w:gridCol w:w="3565"/>
        <w:gridCol w:w="2476"/>
        <w:gridCol w:w="2443"/>
      </w:tblGrid>
      <w:tr w:rsidR="00D21090" w:rsidRPr="00D21090" w14:paraId="4E9AC889" w14:textId="77777777" w:rsidTr="00094A0B">
        <w:trPr>
          <w:cnfStyle w:val="100000000000" w:firstRow="1" w:lastRow="0" w:firstColumn="0" w:lastColumn="0" w:oddVBand="0" w:evenVBand="0" w:oddHBand="0" w:evenHBand="0" w:firstRowFirstColumn="0" w:firstRowLastColumn="0" w:lastRowFirstColumn="0" w:lastRowLastColumn="0"/>
        </w:trPr>
        <w:tc>
          <w:tcPr>
            <w:tcW w:w="3652" w:type="dxa"/>
          </w:tcPr>
          <w:p w14:paraId="16FDCAD4" w14:textId="2A9C4680" w:rsidR="00D21090" w:rsidRPr="00D21090" w:rsidRDefault="00D21090" w:rsidP="00A11EA7">
            <w:pPr>
              <w:spacing w:before="0" w:after="0"/>
              <w:ind w:left="0"/>
              <w:rPr>
                <w:sz w:val="20"/>
                <w:szCs w:val="20"/>
              </w:rPr>
            </w:pPr>
            <w:r w:rsidRPr="00D21090">
              <w:rPr>
                <w:rFonts w:eastAsiaTheme="minorHAnsi"/>
                <w:bCs/>
                <w:sz w:val="20"/>
                <w:szCs w:val="20"/>
              </w:rPr>
              <w:t>Subgroup</w:t>
            </w:r>
          </w:p>
        </w:tc>
        <w:tc>
          <w:tcPr>
            <w:tcW w:w="2552" w:type="dxa"/>
          </w:tcPr>
          <w:p w14:paraId="215AD89F" w14:textId="4B877D32" w:rsidR="00D21090" w:rsidRPr="00D21090" w:rsidRDefault="00D21090" w:rsidP="00A11EA7">
            <w:pPr>
              <w:spacing w:before="0" w:after="0"/>
              <w:ind w:left="0"/>
              <w:jc w:val="center"/>
              <w:rPr>
                <w:sz w:val="20"/>
                <w:szCs w:val="20"/>
              </w:rPr>
            </w:pPr>
            <w:r w:rsidRPr="00D21090">
              <w:rPr>
                <w:rFonts w:eastAsiaTheme="minorHAnsi"/>
                <w:bCs/>
                <w:sz w:val="20"/>
                <w:szCs w:val="20"/>
              </w:rPr>
              <w:t xml:space="preserve">Olaparib/ </w:t>
            </w:r>
            <w:r w:rsidRPr="00D21090">
              <w:rPr>
                <w:rFonts w:eastAsiaTheme="minorHAnsi"/>
                <w:bCs/>
                <w:spacing w:val="-2"/>
                <w:sz w:val="20"/>
                <w:szCs w:val="20"/>
              </w:rPr>
              <w:t xml:space="preserve">bevacizumab </w:t>
            </w:r>
            <w:r w:rsidRPr="00D21090">
              <w:rPr>
                <w:rFonts w:eastAsiaTheme="minorHAnsi"/>
                <w:bCs/>
                <w:sz w:val="20"/>
                <w:szCs w:val="20"/>
              </w:rPr>
              <w:t>(n</w:t>
            </w:r>
            <w:r w:rsidR="00FF7B3B">
              <w:rPr>
                <w:rFonts w:eastAsiaTheme="minorHAnsi"/>
                <w:bCs/>
                <w:sz w:val="20"/>
                <w:szCs w:val="20"/>
              </w:rPr>
              <w:t> </w:t>
            </w:r>
            <w:r w:rsidRPr="00D21090">
              <w:rPr>
                <w:rFonts w:eastAsiaTheme="minorHAnsi"/>
                <w:bCs/>
                <w:sz w:val="20"/>
                <w:szCs w:val="20"/>
              </w:rPr>
              <w:t>=</w:t>
            </w:r>
            <w:r w:rsidR="00FF7B3B">
              <w:rPr>
                <w:rFonts w:eastAsiaTheme="minorHAnsi"/>
                <w:bCs/>
                <w:sz w:val="20"/>
                <w:szCs w:val="20"/>
              </w:rPr>
              <w:t> </w:t>
            </w:r>
            <w:r w:rsidRPr="00D21090">
              <w:rPr>
                <w:rFonts w:eastAsiaTheme="minorHAnsi"/>
                <w:bCs/>
                <w:sz w:val="20"/>
                <w:szCs w:val="20"/>
              </w:rPr>
              <w:t>537)</w:t>
            </w:r>
          </w:p>
        </w:tc>
        <w:tc>
          <w:tcPr>
            <w:tcW w:w="2516" w:type="dxa"/>
          </w:tcPr>
          <w:p w14:paraId="353508AE" w14:textId="537383D7" w:rsidR="00D21090" w:rsidRPr="00D21090" w:rsidRDefault="00D21090" w:rsidP="00A11EA7">
            <w:pPr>
              <w:spacing w:before="0" w:after="0"/>
              <w:ind w:left="0"/>
              <w:jc w:val="center"/>
              <w:rPr>
                <w:sz w:val="20"/>
                <w:szCs w:val="20"/>
              </w:rPr>
            </w:pPr>
            <w:r w:rsidRPr="00D21090">
              <w:rPr>
                <w:rFonts w:eastAsiaTheme="minorHAnsi"/>
                <w:bCs/>
                <w:sz w:val="20"/>
                <w:szCs w:val="20"/>
              </w:rPr>
              <w:t xml:space="preserve">Placebo/ </w:t>
            </w:r>
            <w:r w:rsidRPr="00D21090">
              <w:rPr>
                <w:rFonts w:eastAsiaTheme="minorHAnsi"/>
                <w:bCs/>
                <w:spacing w:val="-2"/>
                <w:sz w:val="20"/>
                <w:szCs w:val="20"/>
              </w:rPr>
              <w:t xml:space="preserve">bevacizumab </w:t>
            </w:r>
            <w:r w:rsidRPr="00D21090">
              <w:rPr>
                <w:rFonts w:eastAsiaTheme="minorHAnsi"/>
                <w:bCs/>
                <w:sz w:val="20"/>
                <w:szCs w:val="20"/>
              </w:rPr>
              <w:t>(n</w:t>
            </w:r>
            <w:r w:rsidR="00FF7B3B">
              <w:rPr>
                <w:rFonts w:eastAsiaTheme="minorHAnsi"/>
                <w:bCs/>
                <w:sz w:val="20"/>
                <w:szCs w:val="20"/>
              </w:rPr>
              <w:t> </w:t>
            </w:r>
            <w:r w:rsidRPr="00D21090">
              <w:rPr>
                <w:rFonts w:eastAsiaTheme="minorHAnsi"/>
                <w:bCs/>
                <w:sz w:val="20"/>
                <w:szCs w:val="20"/>
              </w:rPr>
              <w:t>=</w:t>
            </w:r>
            <w:r w:rsidR="00FF7B3B">
              <w:rPr>
                <w:rFonts w:eastAsiaTheme="minorHAnsi"/>
                <w:bCs/>
                <w:sz w:val="20"/>
                <w:szCs w:val="20"/>
              </w:rPr>
              <w:t> </w:t>
            </w:r>
            <w:r w:rsidRPr="00D21090">
              <w:rPr>
                <w:rFonts w:eastAsiaTheme="minorHAnsi"/>
                <w:bCs/>
                <w:sz w:val="20"/>
                <w:szCs w:val="20"/>
              </w:rPr>
              <w:t>269)</w:t>
            </w:r>
          </w:p>
        </w:tc>
      </w:tr>
      <w:tr w:rsidR="00D21090" w:rsidRPr="00D21090" w14:paraId="25A7FAB1" w14:textId="77777777" w:rsidTr="00FF7B3B">
        <w:tc>
          <w:tcPr>
            <w:tcW w:w="8720" w:type="dxa"/>
            <w:gridSpan w:val="3"/>
            <w:shd w:val="clear" w:color="auto" w:fill="CFD8E4"/>
          </w:tcPr>
          <w:p w14:paraId="64943AFD" w14:textId="2BC317CF" w:rsidR="00D21090" w:rsidRPr="00D21090" w:rsidRDefault="00D21090" w:rsidP="00EC1515">
            <w:pPr>
              <w:spacing w:before="0" w:after="0"/>
              <w:ind w:left="0"/>
              <w:rPr>
                <w:b/>
                <w:sz w:val="20"/>
                <w:szCs w:val="20"/>
              </w:rPr>
            </w:pPr>
            <w:r w:rsidRPr="00D21090">
              <w:rPr>
                <w:rFonts w:eastAsiaTheme="minorHAnsi"/>
                <w:b/>
                <w:bCs/>
                <w:sz w:val="20"/>
                <w:szCs w:val="20"/>
              </w:rPr>
              <w:t xml:space="preserve">Myriad tumour </w:t>
            </w:r>
            <w:r w:rsidRPr="00D21090">
              <w:rPr>
                <w:rFonts w:eastAsiaTheme="minorHAnsi"/>
                <w:b/>
                <w:bCs/>
                <w:i/>
                <w:iCs/>
                <w:sz w:val="20"/>
                <w:szCs w:val="20"/>
              </w:rPr>
              <w:t xml:space="preserve">BRCA </w:t>
            </w:r>
            <w:r w:rsidRPr="00D21090">
              <w:rPr>
                <w:rFonts w:eastAsiaTheme="minorHAnsi"/>
                <w:b/>
                <w:bCs/>
                <w:sz w:val="20"/>
                <w:szCs w:val="20"/>
              </w:rPr>
              <w:t>mutation status</w:t>
            </w:r>
          </w:p>
        </w:tc>
      </w:tr>
      <w:tr w:rsidR="00D21090" w:rsidRPr="00D21090" w14:paraId="4118D15D" w14:textId="77777777" w:rsidTr="00D21090">
        <w:tc>
          <w:tcPr>
            <w:tcW w:w="8720" w:type="dxa"/>
            <w:gridSpan w:val="3"/>
          </w:tcPr>
          <w:p w14:paraId="38A8DC51" w14:textId="0172D5BC" w:rsidR="00D21090" w:rsidRPr="00D21090" w:rsidRDefault="00D21090" w:rsidP="00EC1515">
            <w:pPr>
              <w:spacing w:before="0" w:after="0"/>
              <w:ind w:left="0"/>
              <w:rPr>
                <w:b/>
                <w:sz w:val="20"/>
                <w:szCs w:val="20"/>
              </w:rPr>
            </w:pPr>
            <w:proofErr w:type="spellStart"/>
            <w:r w:rsidRPr="00D21090">
              <w:rPr>
                <w:rFonts w:eastAsiaTheme="minorHAnsi"/>
                <w:b/>
                <w:bCs/>
                <w:i/>
                <w:iCs/>
                <w:sz w:val="20"/>
                <w:szCs w:val="20"/>
              </w:rPr>
              <w:t>tBRCAm</w:t>
            </w:r>
            <w:proofErr w:type="spellEnd"/>
          </w:p>
        </w:tc>
      </w:tr>
      <w:tr w:rsidR="00D21090" w:rsidRPr="00D21090" w14:paraId="339E7C3F" w14:textId="77777777" w:rsidTr="00094A0B">
        <w:tc>
          <w:tcPr>
            <w:tcW w:w="3652" w:type="dxa"/>
          </w:tcPr>
          <w:p w14:paraId="7024B0A1" w14:textId="14BF0043" w:rsidR="00D21090" w:rsidRPr="00D21090" w:rsidRDefault="00D21090" w:rsidP="00EC1515">
            <w:pPr>
              <w:spacing w:before="0" w:after="0"/>
              <w:ind w:left="0"/>
              <w:rPr>
                <w:sz w:val="20"/>
                <w:szCs w:val="20"/>
              </w:rPr>
            </w:pPr>
            <w:r w:rsidRPr="00D21090">
              <w:rPr>
                <w:rFonts w:eastAsiaTheme="minorHAnsi"/>
                <w:sz w:val="20"/>
                <w:szCs w:val="20"/>
              </w:rPr>
              <w:t>Number of events/total number of patients (%)</w:t>
            </w:r>
          </w:p>
        </w:tc>
        <w:tc>
          <w:tcPr>
            <w:tcW w:w="2552" w:type="dxa"/>
          </w:tcPr>
          <w:p w14:paraId="4A98F425" w14:textId="7E79B74B" w:rsidR="00D21090" w:rsidRPr="00D21090" w:rsidRDefault="00D21090" w:rsidP="00A11EA7">
            <w:pPr>
              <w:keepNext/>
              <w:spacing w:before="0" w:after="0"/>
              <w:ind w:left="0"/>
              <w:jc w:val="center"/>
              <w:rPr>
                <w:sz w:val="20"/>
                <w:szCs w:val="20"/>
              </w:rPr>
            </w:pPr>
            <w:r w:rsidRPr="00D21090">
              <w:rPr>
                <w:rFonts w:eastAsiaTheme="minorHAnsi"/>
                <w:sz w:val="20"/>
                <w:szCs w:val="20"/>
              </w:rPr>
              <w:t>44/158 (27.8)</w:t>
            </w:r>
          </w:p>
        </w:tc>
        <w:tc>
          <w:tcPr>
            <w:tcW w:w="2516" w:type="dxa"/>
          </w:tcPr>
          <w:p w14:paraId="68DAF965" w14:textId="1E79B7DA" w:rsidR="00D21090" w:rsidRPr="00D21090" w:rsidRDefault="00D21090" w:rsidP="00A11EA7">
            <w:pPr>
              <w:keepNext/>
              <w:spacing w:before="0" w:after="0"/>
              <w:ind w:left="0"/>
              <w:jc w:val="center"/>
              <w:rPr>
                <w:sz w:val="20"/>
                <w:szCs w:val="20"/>
              </w:rPr>
            </w:pPr>
            <w:r w:rsidRPr="00D21090">
              <w:rPr>
                <w:rFonts w:eastAsiaTheme="minorHAnsi"/>
                <w:sz w:val="20"/>
                <w:szCs w:val="20"/>
              </w:rPr>
              <w:t>52/77 (67.5)</w:t>
            </w:r>
          </w:p>
        </w:tc>
      </w:tr>
      <w:tr w:rsidR="00D21090" w:rsidRPr="00D21090" w14:paraId="6D35047E" w14:textId="77777777" w:rsidTr="00094A0B">
        <w:tc>
          <w:tcPr>
            <w:tcW w:w="3652" w:type="dxa"/>
          </w:tcPr>
          <w:p w14:paraId="62114D95" w14:textId="3E8EE68F" w:rsidR="00D21090" w:rsidRPr="00D21090" w:rsidRDefault="00D21090" w:rsidP="00EC1515">
            <w:pPr>
              <w:spacing w:before="0" w:after="0"/>
              <w:ind w:left="0"/>
              <w:rPr>
                <w:sz w:val="20"/>
                <w:szCs w:val="20"/>
              </w:rPr>
            </w:pPr>
            <w:r w:rsidRPr="00D21090">
              <w:rPr>
                <w:rFonts w:eastAsiaTheme="minorHAnsi"/>
                <w:sz w:val="20"/>
                <w:szCs w:val="20"/>
              </w:rPr>
              <w:t>Median PFS (months)</w:t>
            </w:r>
          </w:p>
        </w:tc>
        <w:tc>
          <w:tcPr>
            <w:tcW w:w="2552" w:type="dxa"/>
          </w:tcPr>
          <w:p w14:paraId="4CDA3F05" w14:textId="0B2FD6EA" w:rsidR="00D21090" w:rsidRPr="00D21090" w:rsidRDefault="00D21090" w:rsidP="00A11EA7">
            <w:pPr>
              <w:keepNext/>
              <w:spacing w:before="0" w:after="0"/>
              <w:ind w:left="0"/>
              <w:jc w:val="center"/>
              <w:rPr>
                <w:sz w:val="20"/>
                <w:szCs w:val="20"/>
              </w:rPr>
            </w:pPr>
            <w:r w:rsidRPr="00D21090">
              <w:rPr>
                <w:rFonts w:eastAsiaTheme="minorHAnsi"/>
                <w:sz w:val="20"/>
                <w:szCs w:val="20"/>
              </w:rPr>
              <w:t>37.2</w:t>
            </w:r>
          </w:p>
        </w:tc>
        <w:tc>
          <w:tcPr>
            <w:tcW w:w="2516" w:type="dxa"/>
          </w:tcPr>
          <w:p w14:paraId="6BB08040" w14:textId="4554961D" w:rsidR="00D21090" w:rsidRPr="00D21090" w:rsidRDefault="00D21090" w:rsidP="00A11EA7">
            <w:pPr>
              <w:keepNext/>
              <w:spacing w:before="0" w:after="0"/>
              <w:ind w:left="0"/>
              <w:jc w:val="center"/>
              <w:rPr>
                <w:sz w:val="20"/>
                <w:szCs w:val="20"/>
              </w:rPr>
            </w:pPr>
            <w:r w:rsidRPr="00D21090">
              <w:rPr>
                <w:rFonts w:eastAsiaTheme="minorHAnsi"/>
                <w:sz w:val="20"/>
                <w:szCs w:val="20"/>
              </w:rPr>
              <w:t>18.8</w:t>
            </w:r>
          </w:p>
        </w:tc>
      </w:tr>
      <w:tr w:rsidR="00FF7B3B" w:rsidRPr="00D21090" w14:paraId="15865258" w14:textId="77777777" w:rsidTr="00094A0B">
        <w:tc>
          <w:tcPr>
            <w:tcW w:w="3652" w:type="dxa"/>
          </w:tcPr>
          <w:p w14:paraId="25FA4FAF" w14:textId="590FBED6" w:rsidR="00FF7B3B" w:rsidRPr="00D21090" w:rsidRDefault="00FF7B3B" w:rsidP="00EC1515">
            <w:pPr>
              <w:spacing w:before="0" w:after="0"/>
              <w:ind w:left="0"/>
              <w:rPr>
                <w:sz w:val="20"/>
                <w:szCs w:val="20"/>
              </w:rPr>
            </w:pPr>
            <w:r w:rsidRPr="00D21090">
              <w:rPr>
                <w:rFonts w:eastAsiaTheme="minorHAnsi"/>
                <w:sz w:val="20"/>
                <w:szCs w:val="20"/>
              </w:rPr>
              <w:t>HR (95% CI)</w:t>
            </w:r>
          </w:p>
        </w:tc>
        <w:tc>
          <w:tcPr>
            <w:tcW w:w="5068" w:type="dxa"/>
            <w:gridSpan w:val="2"/>
          </w:tcPr>
          <w:p w14:paraId="5149C138" w14:textId="357B9099" w:rsidR="00FF7B3B" w:rsidRPr="00D21090" w:rsidRDefault="00EE5895" w:rsidP="00A11EA7">
            <w:pPr>
              <w:keepNext/>
              <w:spacing w:before="0" w:after="0"/>
              <w:ind w:left="0"/>
              <w:jc w:val="center"/>
              <w:rPr>
                <w:sz w:val="20"/>
                <w:szCs w:val="20"/>
              </w:rPr>
            </w:pPr>
            <w:r>
              <w:rPr>
                <w:rFonts w:eastAsiaTheme="minorHAnsi"/>
                <w:sz w:val="20"/>
                <w:szCs w:val="20"/>
              </w:rPr>
              <w:t xml:space="preserve">0.28 (0.19 to </w:t>
            </w:r>
            <w:r w:rsidR="00FF7B3B" w:rsidRPr="00D21090">
              <w:rPr>
                <w:rFonts w:eastAsiaTheme="minorHAnsi"/>
                <w:sz w:val="20"/>
                <w:szCs w:val="20"/>
              </w:rPr>
              <w:t>0.42)</w:t>
            </w:r>
          </w:p>
        </w:tc>
      </w:tr>
      <w:tr w:rsidR="00D21090" w:rsidRPr="00D21090" w14:paraId="18F16388" w14:textId="77777777" w:rsidTr="00D21090">
        <w:tc>
          <w:tcPr>
            <w:tcW w:w="8720" w:type="dxa"/>
            <w:gridSpan w:val="3"/>
          </w:tcPr>
          <w:p w14:paraId="0F99C398" w14:textId="2FAA89CA" w:rsidR="00D21090" w:rsidRPr="00D21090" w:rsidRDefault="00D21090" w:rsidP="00094A0B">
            <w:pPr>
              <w:spacing w:before="0" w:after="0"/>
              <w:ind w:left="0"/>
              <w:rPr>
                <w:b/>
                <w:sz w:val="20"/>
                <w:szCs w:val="20"/>
              </w:rPr>
            </w:pPr>
            <w:r w:rsidRPr="00D21090">
              <w:rPr>
                <w:rFonts w:eastAsiaTheme="minorHAnsi"/>
                <w:b/>
                <w:bCs/>
                <w:sz w:val="20"/>
                <w:szCs w:val="20"/>
              </w:rPr>
              <w:t>Non-</w:t>
            </w:r>
            <w:proofErr w:type="spellStart"/>
            <w:r w:rsidRPr="00D21090">
              <w:rPr>
                <w:rFonts w:eastAsiaTheme="minorHAnsi"/>
                <w:b/>
                <w:bCs/>
                <w:i/>
                <w:iCs/>
                <w:sz w:val="20"/>
                <w:szCs w:val="20"/>
              </w:rPr>
              <w:t>tBRCAm</w:t>
            </w:r>
            <w:r w:rsidRPr="00D21090">
              <w:rPr>
                <w:rFonts w:eastAsiaTheme="minorHAnsi"/>
                <w:b/>
                <w:bCs/>
                <w:i/>
                <w:iCs/>
                <w:sz w:val="20"/>
                <w:szCs w:val="20"/>
                <w:vertAlign w:val="superscript"/>
              </w:rPr>
              <w:t>a</w:t>
            </w:r>
            <w:proofErr w:type="spellEnd"/>
          </w:p>
        </w:tc>
      </w:tr>
      <w:tr w:rsidR="00D21090" w:rsidRPr="00D21090" w14:paraId="7E01B8B5" w14:textId="77777777" w:rsidTr="00094A0B">
        <w:tc>
          <w:tcPr>
            <w:tcW w:w="3652" w:type="dxa"/>
          </w:tcPr>
          <w:p w14:paraId="7F840C8E" w14:textId="30EF249C" w:rsidR="00D21090" w:rsidRPr="00D21090" w:rsidRDefault="00D21090" w:rsidP="00094A0B">
            <w:pPr>
              <w:spacing w:before="0" w:after="0"/>
              <w:ind w:left="0"/>
              <w:rPr>
                <w:sz w:val="20"/>
                <w:szCs w:val="20"/>
              </w:rPr>
            </w:pPr>
            <w:r w:rsidRPr="00D21090">
              <w:rPr>
                <w:rFonts w:eastAsiaTheme="minorHAnsi"/>
                <w:sz w:val="20"/>
                <w:szCs w:val="20"/>
              </w:rPr>
              <w:t>Number of events/total number of patients (%)</w:t>
            </w:r>
          </w:p>
        </w:tc>
        <w:tc>
          <w:tcPr>
            <w:tcW w:w="2552" w:type="dxa"/>
          </w:tcPr>
          <w:p w14:paraId="07E28D9D" w14:textId="615C4B5D" w:rsidR="00D21090" w:rsidRPr="00D21090" w:rsidRDefault="00D21090" w:rsidP="00094A0B">
            <w:pPr>
              <w:spacing w:before="0" w:after="0"/>
              <w:ind w:left="0"/>
              <w:jc w:val="center"/>
              <w:rPr>
                <w:sz w:val="20"/>
                <w:szCs w:val="20"/>
              </w:rPr>
            </w:pPr>
            <w:r w:rsidRPr="00D21090">
              <w:rPr>
                <w:rFonts w:eastAsiaTheme="minorHAnsi"/>
                <w:sz w:val="20"/>
                <w:szCs w:val="20"/>
              </w:rPr>
              <w:t>223/346 (64.5)</w:t>
            </w:r>
          </w:p>
        </w:tc>
        <w:tc>
          <w:tcPr>
            <w:tcW w:w="2516" w:type="dxa"/>
          </w:tcPr>
          <w:p w14:paraId="195F746A" w14:textId="2CC40EB2" w:rsidR="00D21090" w:rsidRPr="00D21090" w:rsidRDefault="00D21090" w:rsidP="00094A0B">
            <w:pPr>
              <w:spacing w:before="0" w:after="0"/>
              <w:ind w:left="0"/>
              <w:jc w:val="center"/>
              <w:rPr>
                <w:sz w:val="20"/>
                <w:szCs w:val="20"/>
              </w:rPr>
            </w:pPr>
            <w:r w:rsidRPr="00D21090">
              <w:rPr>
                <w:rFonts w:eastAsiaTheme="minorHAnsi"/>
                <w:sz w:val="20"/>
                <w:szCs w:val="20"/>
              </w:rPr>
              <w:t>130/174 (74.7)</w:t>
            </w:r>
          </w:p>
        </w:tc>
      </w:tr>
      <w:tr w:rsidR="00D21090" w:rsidRPr="00D21090" w14:paraId="0CA9A60E" w14:textId="77777777" w:rsidTr="00094A0B">
        <w:tc>
          <w:tcPr>
            <w:tcW w:w="3652" w:type="dxa"/>
          </w:tcPr>
          <w:p w14:paraId="2317EC6B" w14:textId="78748951" w:rsidR="00D21090" w:rsidRPr="00D21090" w:rsidRDefault="00D21090" w:rsidP="00094A0B">
            <w:pPr>
              <w:spacing w:before="0" w:after="0"/>
              <w:ind w:left="0"/>
              <w:rPr>
                <w:sz w:val="20"/>
                <w:szCs w:val="20"/>
              </w:rPr>
            </w:pPr>
            <w:r w:rsidRPr="00D21090">
              <w:rPr>
                <w:rFonts w:eastAsiaTheme="minorHAnsi"/>
                <w:sz w:val="20"/>
                <w:szCs w:val="20"/>
              </w:rPr>
              <w:t>Median PFS (months)</w:t>
            </w:r>
          </w:p>
        </w:tc>
        <w:tc>
          <w:tcPr>
            <w:tcW w:w="2552" w:type="dxa"/>
          </w:tcPr>
          <w:p w14:paraId="67D597AA" w14:textId="29C4F3A5" w:rsidR="00D21090" w:rsidRPr="00D21090" w:rsidRDefault="00D21090" w:rsidP="00094A0B">
            <w:pPr>
              <w:spacing w:before="0" w:after="0"/>
              <w:ind w:left="0"/>
              <w:jc w:val="center"/>
              <w:rPr>
                <w:sz w:val="20"/>
                <w:szCs w:val="20"/>
              </w:rPr>
            </w:pPr>
            <w:r w:rsidRPr="00D21090">
              <w:rPr>
                <w:rFonts w:eastAsiaTheme="minorHAnsi"/>
                <w:sz w:val="20"/>
                <w:szCs w:val="20"/>
              </w:rPr>
              <w:t>18.2</w:t>
            </w:r>
          </w:p>
        </w:tc>
        <w:tc>
          <w:tcPr>
            <w:tcW w:w="2516" w:type="dxa"/>
          </w:tcPr>
          <w:p w14:paraId="082849F3" w14:textId="03C3C74E" w:rsidR="00D21090" w:rsidRPr="00D21090" w:rsidRDefault="00D21090" w:rsidP="00094A0B">
            <w:pPr>
              <w:spacing w:before="0" w:after="0"/>
              <w:ind w:left="0"/>
              <w:jc w:val="center"/>
              <w:rPr>
                <w:sz w:val="20"/>
                <w:szCs w:val="20"/>
              </w:rPr>
            </w:pPr>
            <w:r w:rsidRPr="00D21090">
              <w:rPr>
                <w:rFonts w:eastAsiaTheme="minorHAnsi"/>
                <w:sz w:val="20"/>
                <w:szCs w:val="20"/>
              </w:rPr>
              <w:t>16.4</w:t>
            </w:r>
          </w:p>
        </w:tc>
      </w:tr>
      <w:tr w:rsidR="00FF7B3B" w:rsidRPr="00D21090" w14:paraId="2B92D980" w14:textId="77777777" w:rsidTr="00094A0B">
        <w:tc>
          <w:tcPr>
            <w:tcW w:w="3652" w:type="dxa"/>
          </w:tcPr>
          <w:p w14:paraId="63541218" w14:textId="08C19DF5" w:rsidR="00FF7B3B" w:rsidRPr="00D21090" w:rsidRDefault="00FF7B3B" w:rsidP="00094A0B">
            <w:pPr>
              <w:spacing w:before="0" w:after="0"/>
              <w:ind w:left="0"/>
              <w:rPr>
                <w:sz w:val="20"/>
                <w:szCs w:val="20"/>
              </w:rPr>
            </w:pPr>
            <w:r w:rsidRPr="00D21090">
              <w:rPr>
                <w:rFonts w:eastAsiaTheme="minorHAnsi"/>
                <w:sz w:val="20"/>
                <w:szCs w:val="20"/>
              </w:rPr>
              <w:t>HR (95% CI)</w:t>
            </w:r>
          </w:p>
        </w:tc>
        <w:tc>
          <w:tcPr>
            <w:tcW w:w="5068" w:type="dxa"/>
            <w:gridSpan w:val="2"/>
          </w:tcPr>
          <w:p w14:paraId="5ED4FA4A" w14:textId="6101758C" w:rsidR="00FF7B3B" w:rsidRPr="00D21090" w:rsidRDefault="00EE5895" w:rsidP="00094A0B">
            <w:pPr>
              <w:spacing w:before="0" w:after="0"/>
              <w:ind w:left="0"/>
              <w:jc w:val="center"/>
              <w:rPr>
                <w:sz w:val="20"/>
                <w:szCs w:val="20"/>
              </w:rPr>
            </w:pPr>
            <w:r>
              <w:rPr>
                <w:rFonts w:eastAsiaTheme="minorHAnsi"/>
                <w:sz w:val="20"/>
                <w:szCs w:val="20"/>
              </w:rPr>
              <w:t xml:space="preserve">0.77 (0.62 to </w:t>
            </w:r>
            <w:r w:rsidR="00FF7B3B" w:rsidRPr="00D21090">
              <w:rPr>
                <w:rFonts w:eastAsiaTheme="minorHAnsi"/>
                <w:sz w:val="20"/>
                <w:szCs w:val="20"/>
              </w:rPr>
              <w:t>0.96)</w:t>
            </w:r>
          </w:p>
        </w:tc>
      </w:tr>
      <w:tr w:rsidR="00D21090" w:rsidRPr="00D21090" w14:paraId="2A1D76E9" w14:textId="77777777" w:rsidTr="00FF7B3B">
        <w:tc>
          <w:tcPr>
            <w:tcW w:w="8720" w:type="dxa"/>
            <w:gridSpan w:val="3"/>
            <w:shd w:val="clear" w:color="auto" w:fill="CFD8E4"/>
          </w:tcPr>
          <w:p w14:paraId="6D45CEDA" w14:textId="44E9E163" w:rsidR="00D21090" w:rsidRPr="00D21090" w:rsidRDefault="00D21090" w:rsidP="00094A0B">
            <w:pPr>
              <w:spacing w:before="0" w:after="0"/>
              <w:ind w:left="0"/>
              <w:rPr>
                <w:b/>
                <w:sz w:val="20"/>
                <w:szCs w:val="20"/>
              </w:rPr>
            </w:pPr>
            <w:r w:rsidRPr="00D21090">
              <w:rPr>
                <w:rFonts w:eastAsiaTheme="minorHAnsi"/>
                <w:b/>
                <w:bCs/>
                <w:sz w:val="20"/>
                <w:szCs w:val="20"/>
              </w:rPr>
              <w:t>Myriad HRD status (</w:t>
            </w:r>
            <w:proofErr w:type="spellStart"/>
            <w:r w:rsidRPr="00D21090">
              <w:rPr>
                <w:rFonts w:eastAsiaTheme="minorHAnsi"/>
                <w:b/>
                <w:bCs/>
                <w:i/>
                <w:iCs/>
                <w:sz w:val="20"/>
                <w:szCs w:val="20"/>
              </w:rPr>
              <w:t>tBRCAm</w:t>
            </w:r>
            <w:proofErr w:type="spellEnd"/>
            <w:r w:rsidRPr="00D21090">
              <w:rPr>
                <w:rFonts w:eastAsiaTheme="minorHAnsi"/>
                <w:b/>
                <w:bCs/>
                <w:i/>
                <w:iCs/>
                <w:sz w:val="20"/>
                <w:szCs w:val="20"/>
              </w:rPr>
              <w:t xml:space="preserve"> </w:t>
            </w:r>
            <w:r w:rsidRPr="00D21090">
              <w:rPr>
                <w:rFonts w:eastAsiaTheme="minorHAnsi"/>
                <w:b/>
                <w:bCs/>
                <w:sz w:val="20"/>
                <w:szCs w:val="20"/>
              </w:rPr>
              <w:t>or ≥</w:t>
            </w:r>
            <w:r w:rsidR="00094A0B">
              <w:rPr>
                <w:rFonts w:eastAsiaTheme="minorHAnsi"/>
                <w:b/>
                <w:bCs/>
                <w:sz w:val="20"/>
                <w:szCs w:val="20"/>
              </w:rPr>
              <w:t xml:space="preserve"> </w:t>
            </w:r>
            <w:r w:rsidRPr="00D21090">
              <w:rPr>
                <w:rFonts w:eastAsiaTheme="minorHAnsi"/>
                <w:b/>
                <w:bCs/>
                <w:sz w:val="20"/>
                <w:szCs w:val="20"/>
              </w:rPr>
              <w:t>42 cut-off)</w:t>
            </w:r>
          </w:p>
        </w:tc>
      </w:tr>
      <w:tr w:rsidR="00D21090" w:rsidRPr="00D21090" w14:paraId="34918584" w14:textId="77777777" w:rsidTr="00FF7B3B">
        <w:tc>
          <w:tcPr>
            <w:tcW w:w="8720" w:type="dxa"/>
            <w:gridSpan w:val="3"/>
            <w:shd w:val="clear" w:color="auto" w:fill="DBE5B3"/>
          </w:tcPr>
          <w:p w14:paraId="45750018" w14:textId="3011432A" w:rsidR="00D21090" w:rsidRPr="00FF7B3B" w:rsidRDefault="00D21090" w:rsidP="00094A0B">
            <w:pPr>
              <w:spacing w:before="0" w:after="0"/>
              <w:ind w:left="0"/>
              <w:rPr>
                <w:b/>
                <w:sz w:val="20"/>
                <w:szCs w:val="20"/>
              </w:rPr>
            </w:pPr>
            <w:r w:rsidRPr="00FF7B3B">
              <w:rPr>
                <w:rFonts w:eastAsiaTheme="minorHAnsi"/>
                <w:b/>
                <w:bCs/>
                <w:sz w:val="20"/>
                <w:szCs w:val="20"/>
              </w:rPr>
              <w:t>HRD Positive</w:t>
            </w:r>
          </w:p>
        </w:tc>
      </w:tr>
      <w:tr w:rsidR="00D21090" w:rsidRPr="00D21090" w14:paraId="1E7F36CD" w14:textId="77777777" w:rsidTr="00094A0B">
        <w:tc>
          <w:tcPr>
            <w:tcW w:w="3652" w:type="dxa"/>
            <w:shd w:val="clear" w:color="auto" w:fill="DBE5B3"/>
          </w:tcPr>
          <w:p w14:paraId="4DBBE8E7" w14:textId="226C6C7D" w:rsidR="00D21090" w:rsidRPr="00FF7B3B" w:rsidRDefault="00D21090" w:rsidP="00094A0B">
            <w:pPr>
              <w:spacing w:before="0" w:after="0"/>
              <w:ind w:left="0"/>
              <w:rPr>
                <w:sz w:val="20"/>
                <w:szCs w:val="20"/>
              </w:rPr>
            </w:pPr>
            <w:r w:rsidRPr="00FF7B3B">
              <w:rPr>
                <w:rFonts w:eastAsiaTheme="minorHAnsi"/>
                <w:sz w:val="20"/>
                <w:szCs w:val="20"/>
              </w:rPr>
              <w:t>Number of events/total number of patients (%)</w:t>
            </w:r>
          </w:p>
        </w:tc>
        <w:tc>
          <w:tcPr>
            <w:tcW w:w="2552" w:type="dxa"/>
            <w:shd w:val="clear" w:color="auto" w:fill="DBE5B3"/>
          </w:tcPr>
          <w:p w14:paraId="3CE2B87D" w14:textId="348ABD9E" w:rsidR="00D21090" w:rsidRPr="00FF7B3B" w:rsidRDefault="00D21090" w:rsidP="00094A0B">
            <w:pPr>
              <w:spacing w:before="0" w:after="0"/>
              <w:ind w:left="0"/>
              <w:jc w:val="center"/>
              <w:rPr>
                <w:sz w:val="20"/>
                <w:szCs w:val="20"/>
              </w:rPr>
            </w:pPr>
            <w:r w:rsidRPr="00FF7B3B">
              <w:rPr>
                <w:rFonts w:eastAsiaTheme="minorHAnsi"/>
                <w:sz w:val="20"/>
                <w:szCs w:val="20"/>
              </w:rPr>
              <w:t>87/255 (34.1)</w:t>
            </w:r>
          </w:p>
        </w:tc>
        <w:tc>
          <w:tcPr>
            <w:tcW w:w="2516" w:type="dxa"/>
            <w:shd w:val="clear" w:color="auto" w:fill="DBE5B3"/>
          </w:tcPr>
          <w:p w14:paraId="60CC73B1" w14:textId="499937CE" w:rsidR="00D21090" w:rsidRPr="00FF7B3B" w:rsidRDefault="00D21090" w:rsidP="00094A0B">
            <w:pPr>
              <w:spacing w:before="0" w:after="0"/>
              <w:ind w:left="0"/>
              <w:jc w:val="center"/>
              <w:rPr>
                <w:sz w:val="20"/>
                <w:szCs w:val="20"/>
              </w:rPr>
            </w:pPr>
            <w:r w:rsidRPr="00FF7B3B">
              <w:rPr>
                <w:rFonts w:eastAsiaTheme="minorHAnsi"/>
                <w:sz w:val="20"/>
                <w:szCs w:val="20"/>
              </w:rPr>
              <w:t>92/132 (69.7)</w:t>
            </w:r>
          </w:p>
        </w:tc>
      </w:tr>
      <w:tr w:rsidR="00D21090" w:rsidRPr="00D21090" w14:paraId="6EB29335" w14:textId="77777777" w:rsidTr="00094A0B">
        <w:tc>
          <w:tcPr>
            <w:tcW w:w="3652" w:type="dxa"/>
            <w:shd w:val="clear" w:color="auto" w:fill="DBE5B3"/>
          </w:tcPr>
          <w:p w14:paraId="116626B9" w14:textId="15FEB8C6" w:rsidR="00D21090" w:rsidRPr="00FF7B3B" w:rsidRDefault="00D21090" w:rsidP="00094A0B">
            <w:pPr>
              <w:spacing w:before="0" w:after="0"/>
              <w:ind w:left="0"/>
              <w:rPr>
                <w:sz w:val="20"/>
                <w:szCs w:val="20"/>
              </w:rPr>
            </w:pPr>
            <w:r w:rsidRPr="00FF7B3B">
              <w:rPr>
                <w:rFonts w:eastAsiaTheme="minorHAnsi"/>
                <w:sz w:val="20"/>
                <w:szCs w:val="20"/>
              </w:rPr>
              <w:t>Median PFS (months)</w:t>
            </w:r>
          </w:p>
        </w:tc>
        <w:tc>
          <w:tcPr>
            <w:tcW w:w="2552" w:type="dxa"/>
            <w:shd w:val="clear" w:color="auto" w:fill="DBE5B3"/>
          </w:tcPr>
          <w:p w14:paraId="16E84F4A" w14:textId="68033CB9" w:rsidR="00D21090" w:rsidRPr="00FF7B3B" w:rsidRDefault="00D21090" w:rsidP="00094A0B">
            <w:pPr>
              <w:spacing w:before="0" w:after="0"/>
              <w:ind w:left="0"/>
              <w:jc w:val="center"/>
              <w:rPr>
                <w:sz w:val="20"/>
                <w:szCs w:val="20"/>
              </w:rPr>
            </w:pPr>
            <w:r w:rsidRPr="00FF7B3B">
              <w:rPr>
                <w:rFonts w:eastAsiaTheme="minorHAnsi"/>
                <w:sz w:val="20"/>
                <w:szCs w:val="20"/>
              </w:rPr>
              <w:t>37.2</w:t>
            </w:r>
          </w:p>
        </w:tc>
        <w:tc>
          <w:tcPr>
            <w:tcW w:w="2516" w:type="dxa"/>
            <w:shd w:val="clear" w:color="auto" w:fill="DBE5B3"/>
          </w:tcPr>
          <w:p w14:paraId="693699AE" w14:textId="5F3D7945" w:rsidR="00D21090" w:rsidRPr="00FF7B3B" w:rsidRDefault="00D21090" w:rsidP="00094A0B">
            <w:pPr>
              <w:spacing w:before="0" w:after="0"/>
              <w:ind w:left="0"/>
              <w:jc w:val="center"/>
              <w:rPr>
                <w:sz w:val="20"/>
                <w:szCs w:val="20"/>
              </w:rPr>
            </w:pPr>
            <w:r w:rsidRPr="00FF7B3B">
              <w:rPr>
                <w:rFonts w:eastAsiaTheme="minorHAnsi"/>
                <w:sz w:val="20"/>
                <w:szCs w:val="20"/>
              </w:rPr>
              <w:t>17.7</w:t>
            </w:r>
          </w:p>
        </w:tc>
      </w:tr>
      <w:tr w:rsidR="00FF7B3B" w:rsidRPr="00D21090" w14:paraId="2EAAC7DA" w14:textId="77777777" w:rsidTr="00094A0B">
        <w:tc>
          <w:tcPr>
            <w:tcW w:w="3652" w:type="dxa"/>
            <w:shd w:val="clear" w:color="auto" w:fill="DBE5B3"/>
          </w:tcPr>
          <w:p w14:paraId="53C640C7" w14:textId="546233C4" w:rsidR="00FF7B3B" w:rsidRPr="00FF7B3B" w:rsidRDefault="00FF7B3B" w:rsidP="00094A0B">
            <w:pPr>
              <w:spacing w:before="0" w:after="0"/>
              <w:ind w:left="0"/>
              <w:rPr>
                <w:sz w:val="20"/>
                <w:szCs w:val="20"/>
              </w:rPr>
            </w:pPr>
            <w:r w:rsidRPr="00FF7B3B">
              <w:rPr>
                <w:rFonts w:eastAsiaTheme="minorHAnsi"/>
                <w:sz w:val="20"/>
                <w:szCs w:val="20"/>
              </w:rPr>
              <w:t>HR (95% CI)</w:t>
            </w:r>
          </w:p>
        </w:tc>
        <w:tc>
          <w:tcPr>
            <w:tcW w:w="5068" w:type="dxa"/>
            <w:gridSpan w:val="2"/>
            <w:shd w:val="clear" w:color="auto" w:fill="DBE5B3"/>
          </w:tcPr>
          <w:p w14:paraId="35418C29" w14:textId="24409A42" w:rsidR="00FF7B3B" w:rsidRPr="00FF7B3B" w:rsidRDefault="00EE5895" w:rsidP="00094A0B">
            <w:pPr>
              <w:spacing w:before="0" w:after="0"/>
              <w:ind w:left="0"/>
              <w:jc w:val="center"/>
              <w:rPr>
                <w:sz w:val="20"/>
                <w:szCs w:val="20"/>
              </w:rPr>
            </w:pPr>
            <w:r>
              <w:rPr>
                <w:rFonts w:eastAsiaTheme="minorHAnsi"/>
                <w:sz w:val="20"/>
                <w:szCs w:val="20"/>
              </w:rPr>
              <w:t xml:space="preserve">0.33 (0.25 to </w:t>
            </w:r>
            <w:r w:rsidR="00FF7B3B" w:rsidRPr="00FF7B3B">
              <w:rPr>
                <w:rFonts w:eastAsiaTheme="minorHAnsi"/>
                <w:sz w:val="20"/>
                <w:szCs w:val="20"/>
              </w:rPr>
              <w:t>0.45)</w:t>
            </w:r>
          </w:p>
        </w:tc>
      </w:tr>
      <w:tr w:rsidR="00FF7B3B" w:rsidRPr="00D21090" w14:paraId="46FE8532" w14:textId="77777777" w:rsidTr="00FF7B3B">
        <w:tc>
          <w:tcPr>
            <w:tcW w:w="8720" w:type="dxa"/>
            <w:gridSpan w:val="3"/>
            <w:shd w:val="clear" w:color="auto" w:fill="DBE5B3"/>
          </w:tcPr>
          <w:p w14:paraId="143B6E2E" w14:textId="26F379FA" w:rsidR="00FF7B3B" w:rsidRPr="00FF7B3B" w:rsidRDefault="00FF7B3B" w:rsidP="00094A0B">
            <w:pPr>
              <w:spacing w:before="0" w:after="0"/>
              <w:ind w:left="0"/>
              <w:rPr>
                <w:b/>
                <w:sz w:val="20"/>
                <w:szCs w:val="20"/>
              </w:rPr>
            </w:pPr>
            <w:r w:rsidRPr="00FF7B3B">
              <w:rPr>
                <w:rFonts w:eastAsiaTheme="minorHAnsi"/>
                <w:b/>
                <w:bCs/>
                <w:sz w:val="20"/>
                <w:szCs w:val="20"/>
              </w:rPr>
              <w:t>HRD Negative</w:t>
            </w:r>
          </w:p>
        </w:tc>
      </w:tr>
      <w:tr w:rsidR="00D21090" w:rsidRPr="00D21090" w14:paraId="43F6BF9B" w14:textId="77777777" w:rsidTr="00094A0B">
        <w:tc>
          <w:tcPr>
            <w:tcW w:w="3652" w:type="dxa"/>
            <w:shd w:val="clear" w:color="auto" w:fill="DBE5B3"/>
          </w:tcPr>
          <w:p w14:paraId="2D48A8A1" w14:textId="2A132EA5" w:rsidR="00D21090" w:rsidRPr="00FF7B3B" w:rsidRDefault="00D21090" w:rsidP="00094A0B">
            <w:pPr>
              <w:spacing w:before="0" w:after="0"/>
              <w:ind w:left="0"/>
              <w:rPr>
                <w:sz w:val="20"/>
                <w:szCs w:val="20"/>
              </w:rPr>
            </w:pPr>
            <w:r w:rsidRPr="00FF7B3B">
              <w:rPr>
                <w:rFonts w:eastAsiaTheme="minorHAnsi"/>
                <w:sz w:val="20"/>
                <w:szCs w:val="20"/>
              </w:rPr>
              <w:t>Number of events/total number of patients (%)</w:t>
            </w:r>
          </w:p>
        </w:tc>
        <w:tc>
          <w:tcPr>
            <w:tcW w:w="2552" w:type="dxa"/>
            <w:shd w:val="clear" w:color="auto" w:fill="DBE5B3"/>
          </w:tcPr>
          <w:p w14:paraId="5779FDAE" w14:textId="3CF13C5E" w:rsidR="00D21090" w:rsidRPr="00FF7B3B" w:rsidRDefault="00D21090" w:rsidP="00094A0B">
            <w:pPr>
              <w:spacing w:before="0" w:after="0"/>
              <w:ind w:left="0"/>
              <w:jc w:val="center"/>
              <w:rPr>
                <w:sz w:val="20"/>
                <w:szCs w:val="20"/>
              </w:rPr>
            </w:pPr>
            <w:r w:rsidRPr="00FF7B3B">
              <w:rPr>
                <w:rFonts w:eastAsiaTheme="minorHAnsi"/>
                <w:sz w:val="20"/>
                <w:szCs w:val="20"/>
              </w:rPr>
              <w:t>145/192 (75.5)</w:t>
            </w:r>
          </w:p>
        </w:tc>
        <w:tc>
          <w:tcPr>
            <w:tcW w:w="2516" w:type="dxa"/>
            <w:shd w:val="clear" w:color="auto" w:fill="DBE5B3"/>
          </w:tcPr>
          <w:p w14:paraId="7E05EA34" w14:textId="0DA5C67B" w:rsidR="00D21090" w:rsidRPr="00FF7B3B" w:rsidRDefault="00D21090" w:rsidP="00094A0B">
            <w:pPr>
              <w:spacing w:before="0" w:after="0"/>
              <w:ind w:left="0"/>
              <w:jc w:val="center"/>
              <w:rPr>
                <w:sz w:val="20"/>
                <w:szCs w:val="20"/>
              </w:rPr>
            </w:pPr>
            <w:r w:rsidRPr="00FF7B3B">
              <w:rPr>
                <w:rFonts w:eastAsiaTheme="minorHAnsi"/>
                <w:sz w:val="20"/>
                <w:szCs w:val="20"/>
              </w:rPr>
              <w:t>66/85 (77.6)</w:t>
            </w:r>
          </w:p>
        </w:tc>
      </w:tr>
      <w:tr w:rsidR="00D21090" w:rsidRPr="00D21090" w14:paraId="329108D1" w14:textId="77777777" w:rsidTr="00094A0B">
        <w:tc>
          <w:tcPr>
            <w:tcW w:w="3652" w:type="dxa"/>
            <w:shd w:val="clear" w:color="auto" w:fill="DBE5B3"/>
          </w:tcPr>
          <w:p w14:paraId="6C217ABE" w14:textId="2BBC187A" w:rsidR="00D21090" w:rsidRPr="00FF7B3B" w:rsidRDefault="00D21090" w:rsidP="00094A0B">
            <w:pPr>
              <w:spacing w:before="0" w:after="0"/>
              <w:ind w:left="0"/>
              <w:rPr>
                <w:sz w:val="20"/>
                <w:szCs w:val="20"/>
              </w:rPr>
            </w:pPr>
            <w:r w:rsidRPr="00FF7B3B">
              <w:rPr>
                <w:rFonts w:eastAsiaTheme="minorHAnsi"/>
                <w:sz w:val="20"/>
                <w:szCs w:val="20"/>
              </w:rPr>
              <w:t>Median PFS (months)</w:t>
            </w:r>
          </w:p>
        </w:tc>
        <w:tc>
          <w:tcPr>
            <w:tcW w:w="2552" w:type="dxa"/>
            <w:shd w:val="clear" w:color="auto" w:fill="DBE5B3"/>
          </w:tcPr>
          <w:p w14:paraId="5B6EB844" w14:textId="6A03D835" w:rsidR="00D21090" w:rsidRPr="00FF7B3B" w:rsidRDefault="00D21090" w:rsidP="00094A0B">
            <w:pPr>
              <w:spacing w:before="0" w:after="0"/>
              <w:ind w:left="0"/>
              <w:jc w:val="center"/>
              <w:rPr>
                <w:sz w:val="20"/>
                <w:szCs w:val="20"/>
              </w:rPr>
            </w:pPr>
            <w:r w:rsidRPr="00FF7B3B">
              <w:rPr>
                <w:rFonts w:eastAsiaTheme="minorHAnsi"/>
                <w:sz w:val="20"/>
                <w:szCs w:val="20"/>
              </w:rPr>
              <w:t>16.6</w:t>
            </w:r>
          </w:p>
        </w:tc>
        <w:tc>
          <w:tcPr>
            <w:tcW w:w="2516" w:type="dxa"/>
            <w:shd w:val="clear" w:color="auto" w:fill="DBE5B3"/>
          </w:tcPr>
          <w:p w14:paraId="41A0029D" w14:textId="308A6BEE" w:rsidR="00D21090" w:rsidRPr="00FF7B3B" w:rsidRDefault="00D21090" w:rsidP="00094A0B">
            <w:pPr>
              <w:spacing w:before="0" w:after="0"/>
              <w:ind w:left="0"/>
              <w:jc w:val="center"/>
              <w:rPr>
                <w:sz w:val="20"/>
                <w:szCs w:val="20"/>
              </w:rPr>
            </w:pPr>
            <w:r w:rsidRPr="00FF7B3B">
              <w:rPr>
                <w:rFonts w:eastAsiaTheme="minorHAnsi"/>
                <w:sz w:val="20"/>
                <w:szCs w:val="20"/>
              </w:rPr>
              <w:t>16.2</w:t>
            </w:r>
          </w:p>
        </w:tc>
      </w:tr>
      <w:tr w:rsidR="00FF7B3B" w:rsidRPr="00D21090" w14:paraId="5930AB1C" w14:textId="77777777" w:rsidTr="00094A0B">
        <w:tc>
          <w:tcPr>
            <w:tcW w:w="3652" w:type="dxa"/>
            <w:shd w:val="clear" w:color="auto" w:fill="DBE5B3"/>
          </w:tcPr>
          <w:p w14:paraId="010C1438" w14:textId="495B5AE8" w:rsidR="00FF7B3B" w:rsidRPr="00FF7B3B" w:rsidRDefault="00FF7B3B" w:rsidP="00094A0B">
            <w:pPr>
              <w:spacing w:before="0" w:after="0"/>
              <w:ind w:left="0"/>
              <w:rPr>
                <w:sz w:val="20"/>
                <w:szCs w:val="20"/>
              </w:rPr>
            </w:pPr>
            <w:r w:rsidRPr="00FF7B3B">
              <w:rPr>
                <w:rFonts w:eastAsiaTheme="minorHAnsi"/>
                <w:sz w:val="20"/>
                <w:szCs w:val="20"/>
              </w:rPr>
              <w:t>HR (95% CI)</w:t>
            </w:r>
          </w:p>
        </w:tc>
        <w:tc>
          <w:tcPr>
            <w:tcW w:w="5068" w:type="dxa"/>
            <w:gridSpan w:val="2"/>
            <w:shd w:val="clear" w:color="auto" w:fill="DBE5B3"/>
          </w:tcPr>
          <w:p w14:paraId="3BCA411C" w14:textId="75C346B7" w:rsidR="00FF7B3B" w:rsidRPr="00FF7B3B" w:rsidRDefault="00EE5895" w:rsidP="00094A0B">
            <w:pPr>
              <w:spacing w:before="0" w:after="0"/>
              <w:ind w:left="0"/>
              <w:jc w:val="center"/>
              <w:rPr>
                <w:sz w:val="20"/>
                <w:szCs w:val="20"/>
              </w:rPr>
            </w:pPr>
            <w:r>
              <w:rPr>
                <w:rFonts w:eastAsiaTheme="minorHAnsi"/>
                <w:sz w:val="20"/>
                <w:szCs w:val="20"/>
              </w:rPr>
              <w:t xml:space="preserve">1.00 (0.75 to </w:t>
            </w:r>
            <w:r w:rsidR="00FF7B3B" w:rsidRPr="00FF7B3B">
              <w:rPr>
                <w:rFonts w:eastAsiaTheme="minorHAnsi"/>
                <w:sz w:val="20"/>
                <w:szCs w:val="20"/>
              </w:rPr>
              <w:t>1.35)</w:t>
            </w:r>
          </w:p>
        </w:tc>
      </w:tr>
      <w:tr w:rsidR="00FF7B3B" w:rsidRPr="00D21090" w14:paraId="28860D7C" w14:textId="77777777" w:rsidTr="00FF7B3B">
        <w:tc>
          <w:tcPr>
            <w:tcW w:w="8720" w:type="dxa"/>
            <w:gridSpan w:val="3"/>
            <w:shd w:val="clear" w:color="auto" w:fill="CFD8E4"/>
          </w:tcPr>
          <w:p w14:paraId="65FCA656" w14:textId="51830536" w:rsidR="00FF7B3B" w:rsidRPr="00FF7B3B" w:rsidRDefault="00FF7B3B" w:rsidP="00094A0B">
            <w:pPr>
              <w:spacing w:before="0" w:after="0"/>
              <w:ind w:left="0"/>
              <w:rPr>
                <w:b/>
                <w:sz w:val="20"/>
                <w:szCs w:val="20"/>
              </w:rPr>
            </w:pPr>
            <w:r w:rsidRPr="00FF7B3B">
              <w:rPr>
                <w:rFonts w:eastAsiaTheme="minorHAnsi"/>
                <w:b/>
                <w:bCs/>
                <w:sz w:val="20"/>
                <w:szCs w:val="20"/>
              </w:rPr>
              <w:t xml:space="preserve">Myriad HRD status excluding Myriad </w:t>
            </w:r>
            <w:proofErr w:type="spellStart"/>
            <w:r w:rsidRPr="00FF7B3B">
              <w:rPr>
                <w:rFonts w:eastAsiaTheme="minorHAnsi"/>
                <w:b/>
                <w:bCs/>
                <w:i/>
                <w:iCs/>
                <w:sz w:val="20"/>
                <w:szCs w:val="20"/>
              </w:rPr>
              <w:t>tBRCAm</w:t>
            </w:r>
            <w:proofErr w:type="spellEnd"/>
            <w:r w:rsidRPr="00FF7B3B">
              <w:rPr>
                <w:rFonts w:eastAsiaTheme="minorHAnsi"/>
                <w:b/>
                <w:bCs/>
                <w:i/>
                <w:iCs/>
                <w:sz w:val="20"/>
                <w:szCs w:val="20"/>
              </w:rPr>
              <w:t xml:space="preserve"> </w:t>
            </w:r>
            <w:r w:rsidRPr="00FF7B3B">
              <w:rPr>
                <w:rFonts w:eastAsiaTheme="minorHAnsi"/>
                <w:b/>
                <w:bCs/>
                <w:sz w:val="20"/>
                <w:szCs w:val="20"/>
              </w:rPr>
              <w:t>(42 cut-off)</w:t>
            </w:r>
          </w:p>
        </w:tc>
      </w:tr>
      <w:tr w:rsidR="00FF7B3B" w:rsidRPr="00D21090" w14:paraId="51F7E7E6" w14:textId="77777777" w:rsidTr="00FF7B3B">
        <w:tc>
          <w:tcPr>
            <w:tcW w:w="8720" w:type="dxa"/>
            <w:gridSpan w:val="3"/>
          </w:tcPr>
          <w:p w14:paraId="1FBDDDEF" w14:textId="3F8FC69F" w:rsidR="00FF7B3B" w:rsidRPr="00FF7B3B" w:rsidRDefault="00FF7B3B" w:rsidP="00094A0B">
            <w:pPr>
              <w:spacing w:before="0" w:after="0"/>
              <w:ind w:left="0"/>
              <w:rPr>
                <w:b/>
                <w:sz w:val="20"/>
                <w:szCs w:val="20"/>
              </w:rPr>
            </w:pPr>
            <w:r w:rsidRPr="00FF7B3B">
              <w:rPr>
                <w:rFonts w:eastAsiaTheme="minorHAnsi"/>
                <w:b/>
                <w:bCs/>
                <w:sz w:val="20"/>
                <w:szCs w:val="20"/>
              </w:rPr>
              <w:t>HRD Positive</w:t>
            </w:r>
          </w:p>
        </w:tc>
      </w:tr>
      <w:tr w:rsidR="00D21090" w:rsidRPr="00D21090" w14:paraId="78678D8D" w14:textId="77777777" w:rsidTr="00094A0B">
        <w:tc>
          <w:tcPr>
            <w:tcW w:w="3652" w:type="dxa"/>
          </w:tcPr>
          <w:p w14:paraId="2E8846BC" w14:textId="2AA6223C" w:rsidR="00D21090" w:rsidRPr="00D21090" w:rsidRDefault="00D21090" w:rsidP="00094A0B">
            <w:pPr>
              <w:spacing w:before="0" w:after="0"/>
              <w:ind w:left="0"/>
              <w:rPr>
                <w:sz w:val="20"/>
                <w:szCs w:val="20"/>
              </w:rPr>
            </w:pPr>
            <w:r w:rsidRPr="00D21090">
              <w:rPr>
                <w:rFonts w:eastAsiaTheme="minorHAnsi"/>
                <w:sz w:val="20"/>
                <w:szCs w:val="20"/>
              </w:rPr>
              <w:t>Number of events/total number of patients (%)</w:t>
            </w:r>
          </w:p>
        </w:tc>
        <w:tc>
          <w:tcPr>
            <w:tcW w:w="2552" w:type="dxa"/>
          </w:tcPr>
          <w:p w14:paraId="3D0E6E84" w14:textId="427C29C5" w:rsidR="00D21090" w:rsidRPr="00D21090" w:rsidRDefault="00D21090" w:rsidP="00094A0B">
            <w:pPr>
              <w:spacing w:before="0" w:after="0"/>
              <w:ind w:left="0"/>
              <w:jc w:val="center"/>
              <w:rPr>
                <w:sz w:val="20"/>
                <w:szCs w:val="20"/>
              </w:rPr>
            </w:pPr>
            <w:r w:rsidRPr="00D21090">
              <w:rPr>
                <w:rFonts w:eastAsiaTheme="minorHAnsi"/>
                <w:sz w:val="20"/>
                <w:szCs w:val="20"/>
              </w:rPr>
              <w:t>43/97 (44.3)</w:t>
            </w:r>
          </w:p>
        </w:tc>
        <w:tc>
          <w:tcPr>
            <w:tcW w:w="2516" w:type="dxa"/>
          </w:tcPr>
          <w:p w14:paraId="6DB29E15" w14:textId="305B3978" w:rsidR="00D21090" w:rsidRPr="00D21090" w:rsidRDefault="00D21090" w:rsidP="00094A0B">
            <w:pPr>
              <w:spacing w:before="0" w:after="0"/>
              <w:ind w:left="0"/>
              <w:jc w:val="center"/>
              <w:rPr>
                <w:sz w:val="20"/>
                <w:szCs w:val="20"/>
              </w:rPr>
            </w:pPr>
            <w:r w:rsidRPr="00D21090">
              <w:rPr>
                <w:rFonts w:eastAsiaTheme="minorHAnsi"/>
                <w:sz w:val="20"/>
                <w:szCs w:val="20"/>
              </w:rPr>
              <w:t>40/55 (72.7)</w:t>
            </w:r>
          </w:p>
        </w:tc>
      </w:tr>
      <w:tr w:rsidR="00D21090" w:rsidRPr="00D21090" w14:paraId="00928E61" w14:textId="77777777" w:rsidTr="00094A0B">
        <w:tc>
          <w:tcPr>
            <w:tcW w:w="3652" w:type="dxa"/>
          </w:tcPr>
          <w:p w14:paraId="37AE593A" w14:textId="36B86E56" w:rsidR="00D21090" w:rsidRPr="00D21090" w:rsidRDefault="00D21090" w:rsidP="00094A0B">
            <w:pPr>
              <w:spacing w:before="0" w:after="0"/>
              <w:ind w:left="0"/>
              <w:rPr>
                <w:sz w:val="20"/>
                <w:szCs w:val="20"/>
              </w:rPr>
            </w:pPr>
            <w:r w:rsidRPr="00D21090">
              <w:rPr>
                <w:rFonts w:eastAsiaTheme="minorHAnsi"/>
                <w:sz w:val="20"/>
                <w:szCs w:val="20"/>
              </w:rPr>
              <w:t>Median PFS (months)</w:t>
            </w:r>
          </w:p>
        </w:tc>
        <w:tc>
          <w:tcPr>
            <w:tcW w:w="2552" w:type="dxa"/>
          </w:tcPr>
          <w:p w14:paraId="36A1DB6A" w14:textId="5C6DA67E" w:rsidR="00D21090" w:rsidRPr="00D21090" w:rsidRDefault="00D21090" w:rsidP="00094A0B">
            <w:pPr>
              <w:spacing w:before="0" w:after="0"/>
              <w:ind w:left="0"/>
              <w:jc w:val="center"/>
              <w:rPr>
                <w:sz w:val="20"/>
                <w:szCs w:val="20"/>
              </w:rPr>
            </w:pPr>
            <w:r w:rsidRPr="00D21090">
              <w:rPr>
                <w:rFonts w:eastAsiaTheme="minorHAnsi"/>
                <w:sz w:val="20"/>
                <w:szCs w:val="20"/>
              </w:rPr>
              <w:t>28.1</w:t>
            </w:r>
          </w:p>
        </w:tc>
        <w:tc>
          <w:tcPr>
            <w:tcW w:w="2516" w:type="dxa"/>
          </w:tcPr>
          <w:p w14:paraId="7A6B4713" w14:textId="75991406" w:rsidR="00D21090" w:rsidRPr="00D21090" w:rsidRDefault="00D21090" w:rsidP="00094A0B">
            <w:pPr>
              <w:spacing w:before="0" w:after="0"/>
              <w:ind w:left="0"/>
              <w:jc w:val="center"/>
              <w:rPr>
                <w:sz w:val="20"/>
                <w:szCs w:val="20"/>
              </w:rPr>
            </w:pPr>
            <w:r w:rsidRPr="00D21090">
              <w:rPr>
                <w:rFonts w:eastAsiaTheme="minorHAnsi"/>
                <w:sz w:val="20"/>
                <w:szCs w:val="20"/>
              </w:rPr>
              <w:t>16.6</w:t>
            </w:r>
          </w:p>
        </w:tc>
      </w:tr>
      <w:tr w:rsidR="00FF7B3B" w:rsidRPr="00D21090" w14:paraId="33C4B916" w14:textId="77777777" w:rsidTr="00094A0B">
        <w:tc>
          <w:tcPr>
            <w:tcW w:w="3652" w:type="dxa"/>
          </w:tcPr>
          <w:p w14:paraId="116CD710" w14:textId="0CA22BBC" w:rsidR="00FF7B3B" w:rsidRPr="00D21090" w:rsidRDefault="00FF7B3B" w:rsidP="00094A0B">
            <w:pPr>
              <w:spacing w:before="0" w:after="0"/>
              <w:ind w:left="0"/>
              <w:rPr>
                <w:sz w:val="20"/>
                <w:szCs w:val="20"/>
              </w:rPr>
            </w:pPr>
            <w:r w:rsidRPr="00D21090">
              <w:rPr>
                <w:rFonts w:eastAsiaTheme="minorHAnsi"/>
                <w:sz w:val="20"/>
                <w:szCs w:val="20"/>
              </w:rPr>
              <w:t>HR (95% CI)</w:t>
            </w:r>
          </w:p>
        </w:tc>
        <w:tc>
          <w:tcPr>
            <w:tcW w:w="5068" w:type="dxa"/>
            <w:gridSpan w:val="2"/>
          </w:tcPr>
          <w:p w14:paraId="215422B8" w14:textId="22F370A3" w:rsidR="00FF7B3B" w:rsidRPr="00D21090" w:rsidRDefault="00FF7B3B" w:rsidP="00094A0B">
            <w:pPr>
              <w:spacing w:before="0" w:after="0"/>
              <w:ind w:left="0"/>
              <w:jc w:val="center"/>
              <w:rPr>
                <w:sz w:val="20"/>
                <w:szCs w:val="20"/>
              </w:rPr>
            </w:pPr>
            <w:r w:rsidRPr="00D21090">
              <w:rPr>
                <w:rFonts w:eastAsiaTheme="minorHAnsi"/>
                <w:sz w:val="20"/>
                <w:szCs w:val="20"/>
              </w:rPr>
              <w:t>0.43 (0.</w:t>
            </w:r>
            <w:r w:rsidR="00EE5895">
              <w:rPr>
                <w:rFonts w:eastAsiaTheme="minorHAnsi"/>
                <w:sz w:val="20"/>
                <w:szCs w:val="20"/>
              </w:rPr>
              <w:t xml:space="preserve">28 to </w:t>
            </w:r>
            <w:r w:rsidRPr="00D21090">
              <w:rPr>
                <w:rFonts w:eastAsiaTheme="minorHAnsi"/>
                <w:sz w:val="20"/>
                <w:szCs w:val="20"/>
              </w:rPr>
              <w:t>0.66)</w:t>
            </w:r>
          </w:p>
        </w:tc>
      </w:tr>
      <w:tr w:rsidR="00FF7B3B" w:rsidRPr="00D21090" w14:paraId="72423B22" w14:textId="77777777" w:rsidTr="00FF7B3B">
        <w:tc>
          <w:tcPr>
            <w:tcW w:w="8720" w:type="dxa"/>
            <w:gridSpan w:val="3"/>
            <w:shd w:val="clear" w:color="auto" w:fill="CFD8E4"/>
          </w:tcPr>
          <w:p w14:paraId="73DFF837" w14:textId="08373461" w:rsidR="00FF7B3B" w:rsidRPr="00FF7B3B" w:rsidRDefault="00FF7B3B" w:rsidP="00094A0B">
            <w:pPr>
              <w:spacing w:before="0" w:after="0"/>
              <w:ind w:left="0"/>
              <w:rPr>
                <w:b/>
                <w:sz w:val="20"/>
                <w:szCs w:val="20"/>
              </w:rPr>
            </w:pPr>
            <w:r w:rsidRPr="00FF7B3B">
              <w:rPr>
                <w:rFonts w:eastAsiaTheme="minorHAnsi"/>
                <w:b/>
                <w:bCs/>
                <w:sz w:val="20"/>
                <w:szCs w:val="20"/>
              </w:rPr>
              <w:t>Post-hoc analysis: Myriad HRD status cut-off 42</w:t>
            </w:r>
            <w:r w:rsidRPr="00FF7B3B">
              <w:rPr>
                <w:rFonts w:eastAsiaTheme="minorHAnsi"/>
                <w:b/>
                <w:bCs/>
                <w:sz w:val="20"/>
                <w:szCs w:val="20"/>
                <w:vertAlign w:val="superscript"/>
              </w:rPr>
              <w:t>a</w:t>
            </w:r>
          </w:p>
        </w:tc>
      </w:tr>
      <w:tr w:rsidR="00D21090" w:rsidRPr="00D21090" w14:paraId="7A9BCA06" w14:textId="77777777" w:rsidTr="00094A0B">
        <w:tc>
          <w:tcPr>
            <w:tcW w:w="3652" w:type="dxa"/>
          </w:tcPr>
          <w:p w14:paraId="71E36994" w14:textId="3107F344" w:rsidR="00D21090" w:rsidRPr="00D21090" w:rsidRDefault="00D21090" w:rsidP="00094A0B">
            <w:pPr>
              <w:spacing w:before="0" w:after="0"/>
              <w:ind w:left="0"/>
              <w:rPr>
                <w:sz w:val="20"/>
                <w:szCs w:val="20"/>
              </w:rPr>
            </w:pPr>
            <w:r w:rsidRPr="00D21090">
              <w:rPr>
                <w:rFonts w:eastAsiaTheme="minorHAnsi"/>
                <w:sz w:val="20"/>
                <w:szCs w:val="20"/>
              </w:rPr>
              <w:t>Cancelled/</w:t>
            </w:r>
            <w:r w:rsidR="00EE5895" w:rsidRPr="00D21090">
              <w:rPr>
                <w:rFonts w:eastAsiaTheme="minorHAnsi"/>
                <w:sz w:val="20"/>
                <w:szCs w:val="20"/>
              </w:rPr>
              <w:t>failed/missing</w:t>
            </w:r>
          </w:p>
        </w:tc>
        <w:tc>
          <w:tcPr>
            <w:tcW w:w="2552" w:type="dxa"/>
          </w:tcPr>
          <w:p w14:paraId="3C565810" w14:textId="77777777" w:rsidR="00D21090" w:rsidRPr="00D21090" w:rsidRDefault="00D21090" w:rsidP="00094A0B">
            <w:pPr>
              <w:spacing w:before="0" w:after="0"/>
              <w:ind w:left="0"/>
              <w:jc w:val="center"/>
              <w:rPr>
                <w:sz w:val="20"/>
                <w:szCs w:val="20"/>
              </w:rPr>
            </w:pPr>
          </w:p>
        </w:tc>
        <w:tc>
          <w:tcPr>
            <w:tcW w:w="2516" w:type="dxa"/>
          </w:tcPr>
          <w:p w14:paraId="577D3D0C" w14:textId="77777777" w:rsidR="00D21090" w:rsidRPr="00D21090" w:rsidRDefault="00D21090" w:rsidP="00094A0B">
            <w:pPr>
              <w:spacing w:before="0" w:after="0"/>
              <w:ind w:left="0"/>
              <w:jc w:val="center"/>
              <w:rPr>
                <w:sz w:val="20"/>
                <w:szCs w:val="20"/>
              </w:rPr>
            </w:pPr>
          </w:p>
        </w:tc>
      </w:tr>
      <w:tr w:rsidR="00D21090" w:rsidRPr="00D21090" w14:paraId="56B259C3" w14:textId="77777777" w:rsidTr="00094A0B">
        <w:tc>
          <w:tcPr>
            <w:tcW w:w="3652" w:type="dxa"/>
          </w:tcPr>
          <w:p w14:paraId="45A2521F" w14:textId="57A1CB8D" w:rsidR="00D21090" w:rsidRPr="00D21090" w:rsidRDefault="00D21090" w:rsidP="00094A0B">
            <w:pPr>
              <w:spacing w:before="0" w:after="0"/>
              <w:ind w:left="0"/>
              <w:rPr>
                <w:sz w:val="20"/>
                <w:szCs w:val="20"/>
              </w:rPr>
            </w:pPr>
            <w:r w:rsidRPr="00D21090">
              <w:rPr>
                <w:rFonts w:eastAsiaTheme="minorHAnsi"/>
                <w:sz w:val="20"/>
                <w:szCs w:val="20"/>
              </w:rPr>
              <w:t>Number of events/total number of patients (%)</w:t>
            </w:r>
          </w:p>
        </w:tc>
        <w:tc>
          <w:tcPr>
            <w:tcW w:w="2552" w:type="dxa"/>
          </w:tcPr>
          <w:p w14:paraId="7F355888" w14:textId="750AB590" w:rsidR="00D21090" w:rsidRPr="00D21090" w:rsidRDefault="00D21090" w:rsidP="00094A0B">
            <w:pPr>
              <w:spacing w:before="0" w:after="0"/>
              <w:ind w:left="0"/>
              <w:jc w:val="center"/>
              <w:rPr>
                <w:sz w:val="20"/>
                <w:szCs w:val="20"/>
              </w:rPr>
            </w:pPr>
            <w:r w:rsidRPr="00D21090">
              <w:rPr>
                <w:rFonts w:eastAsiaTheme="minorHAnsi"/>
                <w:sz w:val="20"/>
                <w:szCs w:val="20"/>
              </w:rPr>
              <w:t>48/90 (53.3)</w:t>
            </w:r>
          </w:p>
        </w:tc>
        <w:tc>
          <w:tcPr>
            <w:tcW w:w="2516" w:type="dxa"/>
          </w:tcPr>
          <w:p w14:paraId="3C92617A" w14:textId="36E4513F" w:rsidR="00D21090" w:rsidRPr="00D21090" w:rsidRDefault="00D21090" w:rsidP="00094A0B">
            <w:pPr>
              <w:spacing w:before="0" w:after="0"/>
              <w:ind w:left="0"/>
              <w:jc w:val="center"/>
              <w:rPr>
                <w:sz w:val="20"/>
                <w:szCs w:val="20"/>
              </w:rPr>
            </w:pPr>
            <w:r w:rsidRPr="00D21090">
              <w:rPr>
                <w:rFonts w:eastAsiaTheme="minorHAnsi"/>
                <w:sz w:val="20"/>
                <w:szCs w:val="20"/>
              </w:rPr>
              <w:t>36/52 (69.2)</w:t>
            </w:r>
          </w:p>
        </w:tc>
      </w:tr>
      <w:tr w:rsidR="00D21090" w:rsidRPr="00D21090" w14:paraId="20A0EB9B" w14:textId="77777777" w:rsidTr="00094A0B">
        <w:tc>
          <w:tcPr>
            <w:tcW w:w="3652" w:type="dxa"/>
          </w:tcPr>
          <w:p w14:paraId="132A82E2" w14:textId="700DA225" w:rsidR="00D21090" w:rsidRPr="00D21090" w:rsidRDefault="00D21090" w:rsidP="00094A0B">
            <w:pPr>
              <w:spacing w:before="0" w:after="0"/>
              <w:ind w:left="0"/>
              <w:rPr>
                <w:sz w:val="20"/>
                <w:szCs w:val="20"/>
              </w:rPr>
            </w:pPr>
            <w:r w:rsidRPr="00D21090">
              <w:rPr>
                <w:rFonts w:eastAsiaTheme="minorHAnsi"/>
                <w:sz w:val="20"/>
                <w:szCs w:val="20"/>
              </w:rPr>
              <w:t>Median PFS (months)</w:t>
            </w:r>
          </w:p>
        </w:tc>
        <w:tc>
          <w:tcPr>
            <w:tcW w:w="2552" w:type="dxa"/>
          </w:tcPr>
          <w:p w14:paraId="60EBC0F0" w14:textId="5612517D" w:rsidR="00D21090" w:rsidRPr="00D21090" w:rsidRDefault="00D21090" w:rsidP="00094A0B">
            <w:pPr>
              <w:spacing w:before="0" w:after="0"/>
              <w:ind w:left="0"/>
              <w:jc w:val="center"/>
              <w:rPr>
                <w:sz w:val="20"/>
                <w:szCs w:val="20"/>
              </w:rPr>
            </w:pPr>
            <w:r w:rsidRPr="00D21090">
              <w:rPr>
                <w:rFonts w:eastAsiaTheme="minorHAnsi"/>
                <w:sz w:val="20"/>
                <w:szCs w:val="20"/>
              </w:rPr>
              <w:t>22.1</w:t>
            </w:r>
          </w:p>
        </w:tc>
        <w:tc>
          <w:tcPr>
            <w:tcW w:w="2516" w:type="dxa"/>
          </w:tcPr>
          <w:p w14:paraId="4F5590CD" w14:textId="17CCFF8E" w:rsidR="00D21090" w:rsidRPr="00D21090" w:rsidRDefault="00D21090" w:rsidP="00094A0B">
            <w:pPr>
              <w:spacing w:before="0" w:after="0"/>
              <w:ind w:left="0"/>
              <w:jc w:val="center"/>
              <w:rPr>
                <w:sz w:val="20"/>
                <w:szCs w:val="20"/>
              </w:rPr>
            </w:pPr>
            <w:r w:rsidRPr="00D21090">
              <w:rPr>
                <w:rFonts w:eastAsiaTheme="minorHAnsi"/>
                <w:sz w:val="20"/>
                <w:szCs w:val="20"/>
              </w:rPr>
              <w:t>14.6</w:t>
            </w:r>
          </w:p>
        </w:tc>
      </w:tr>
      <w:tr w:rsidR="00FF7B3B" w:rsidRPr="00D21090" w14:paraId="26A393C5" w14:textId="77777777" w:rsidTr="00094A0B">
        <w:tc>
          <w:tcPr>
            <w:tcW w:w="3652" w:type="dxa"/>
          </w:tcPr>
          <w:p w14:paraId="587B58B2" w14:textId="2E74A794" w:rsidR="00FF7B3B" w:rsidRPr="00D21090" w:rsidRDefault="00FF7B3B" w:rsidP="00094A0B">
            <w:pPr>
              <w:spacing w:before="0" w:after="0"/>
              <w:ind w:left="0"/>
              <w:rPr>
                <w:sz w:val="20"/>
                <w:szCs w:val="20"/>
              </w:rPr>
            </w:pPr>
            <w:r w:rsidRPr="00D21090">
              <w:rPr>
                <w:rFonts w:eastAsiaTheme="minorHAnsi"/>
                <w:sz w:val="20"/>
                <w:szCs w:val="20"/>
              </w:rPr>
              <w:t>HR (95% CI)</w:t>
            </w:r>
          </w:p>
        </w:tc>
        <w:tc>
          <w:tcPr>
            <w:tcW w:w="5068" w:type="dxa"/>
            <w:gridSpan w:val="2"/>
          </w:tcPr>
          <w:p w14:paraId="0B07004F" w14:textId="3632C85F" w:rsidR="00FF7B3B" w:rsidRPr="00D21090" w:rsidRDefault="00EE5895" w:rsidP="00094A0B">
            <w:pPr>
              <w:spacing w:before="0" w:after="0"/>
              <w:ind w:left="0"/>
              <w:jc w:val="center"/>
              <w:rPr>
                <w:sz w:val="20"/>
                <w:szCs w:val="20"/>
              </w:rPr>
            </w:pPr>
            <w:r>
              <w:rPr>
                <w:rFonts w:eastAsiaTheme="minorHAnsi"/>
                <w:sz w:val="20"/>
                <w:szCs w:val="20"/>
              </w:rPr>
              <w:t xml:space="preserve">0.71 (0.46 to </w:t>
            </w:r>
            <w:r w:rsidR="00FF7B3B" w:rsidRPr="00D21090">
              <w:rPr>
                <w:rFonts w:eastAsiaTheme="minorHAnsi"/>
                <w:sz w:val="20"/>
                <w:szCs w:val="20"/>
              </w:rPr>
              <w:t>1.10)</w:t>
            </w:r>
          </w:p>
        </w:tc>
      </w:tr>
    </w:tbl>
    <w:p w14:paraId="0DEEF431" w14:textId="47A6F08D" w:rsidR="00601799" w:rsidRPr="00DD450E" w:rsidRDefault="00601799" w:rsidP="00D21090">
      <w:pPr>
        <w:pStyle w:val="TableDescription"/>
      </w:pPr>
      <w:r w:rsidRPr="00D21090">
        <w:t>a</w:t>
      </w:r>
      <w:r w:rsidR="00D21090">
        <w:t>:</w:t>
      </w:r>
      <w:r w:rsidRPr="00DD450E">
        <w:t xml:space="preserve"> Non-</w:t>
      </w:r>
      <w:proofErr w:type="spellStart"/>
      <w:r w:rsidRPr="00DD450E">
        <w:t>tBRCAm</w:t>
      </w:r>
      <w:proofErr w:type="spellEnd"/>
      <w:r w:rsidRPr="00DD450E">
        <w:t xml:space="preserve"> = </w:t>
      </w:r>
      <w:proofErr w:type="spellStart"/>
      <w:r w:rsidRPr="00DD450E">
        <w:t>tBRCAwt</w:t>
      </w:r>
      <w:proofErr w:type="spellEnd"/>
      <w:r w:rsidRPr="00DD450E">
        <w:t>/VUS</w:t>
      </w:r>
      <w:r w:rsidR="00D21090">
        <w:t xml:space="preserve">, </w:t>
      </w:r>
      <w:r w:rsidRPr="00D21090">
        <w:t>b</w:t>
      </w:r>
      <w:r w:rsidR="00D21090">
        <w:t>:</w:t>
      </w:r>
      <w:r w:rsidRPr="00DD450E">
        <w:t xml:space="preserve"> HR and associated CI derived using an interaction term accounting for all patients: HRD positive, HRD negative and HRD test cancelled/failed/missing</w:t>
      </w:r>
    </w:p>
    <w:p w14:paraId="51EE2686" w14:textId="3FF2702F" w:rsidR="00601799" w:rsidRDefault="00601799" w:rsidP="00D21090">
      <w:pPr>
        <w:pStyle w:val="TableDescription"/>
      </w:pPr>
      <w:r w:rsidRPr="00DD450E">
        <w:t xml:space="preserve">BRCA </w:t>
      </w:r>
      <w:r w:rsidR="00EE5895">
        <w:t>= b</w:t>
      </w:r>
      <w:r w:rsidRPr="00DD450E">
        <w:t xml:space="preserve">reast cancer susceptibility gene; </w:t>
      </w:r>
      <w:proofErr w:type="spellStart"/>
      <w:r w:rsidRPr="00DD450E">
        <w:t>BRCAm</w:t>
      </w:r>
      <w:proofErr w:type="spellEnd"/>
      <w:r w:rsidRPr="00DD450E">
        <w:t xml:space="preserve"> </w:t>
      </w:r>
      <w:r w:rsidR="00EE5895">
        <w:t xml:space="preserve">= </w:t>
      </w:r>
      <w:r w:rsidRPr="00DD450E">
        <w:t xml:space="preserve">BRCA mutated; CI </w:t>
      </w:r>
      <w:r w:rsidR="00EE5895">
        <w:t>= confidence interval</w:t>
      </w:r>
      <w:r w:rsidRPr="00DD450E">
        <w:t>; HR</w:t>
      </w:r>
      <w:r w:rsidR="00EE5895">
        <w:t xml:space="preserve"> = hazard ratio; HRD = h</w:t>
      </w:r>
      <w:r w:rsidRPr="00DD450E">
        <w:t>omologous</w:t>
      </w:r>
      <w:r w:rsidR="00EE5895">
        <w:t xml:space="preserve"> recombination deficiency; PFS = t</w:t>
      </w:r>
      <w:r w:rsidRPr="00DD450E">
        <w:t>ime from randomisation to firs</w:t>
      </w:r>
      <w:r w:rsidR="00EE5895">
        <w:t xml:space="preserve">t progression or death; </w:t>
      </w:r>
      <w:proofErr w:type="spellStart"/>
      <w:r w:rsidR="00EE5895">
        <w:t>tBRCAm</w:t>
      </w:r>
      <w:proofErr w:type="spellEnd"/>
      <w:r w:rsidR="00EE5895">
        <w:t xml:space="preserve"> = t</w:t>
      </w:r>
      <w:r w:rsidRPr="00DD450E">
        <w:t xml:space="preserve">umour BRCA </w:t>
      </w:r>
      <w:r w:rsidR="00D21090">
        <w:t>mutated.</w:t>
      </w:r>
    </w:p>
    <w:p w14:paraId="1D6F9733" w14:textId="26F3B762" w:rsidR="00601799" w:rsidRDefault="00601799" w:rsidP="00F55DF6">
      <w:r w:rsidRPr="00C67B28">
        <w:t xml:space="preserve">The above results </w:t>
      </w:r>
      <w:r w:rsidR="00A11EA7">
        <w:t xml:space="preserve">in </w:t>
      </w:r>
      <w:r w:rsidR="00A11EA7">
        <w:fldChar w:fldCharType="begin"/>
      </w:r>
      <w:r w:rsidR="00A11EA7">
        <w:instrText xml:space="preserve"> REF _Ref66529248 \h </w:instrText>
      </w:r>
      <w:r w:rsidR="00A11EA7">
        <w:fldChar w:fldCharType="separate"/>
      </w:r>
      <w:r w:rsidR="00A11EA7">
        <w:t xml:space="preserve">Table </w:t>
      </w:r>
      <w:r w:rsidR="00A11EA7">
        <w:rPr>
          <w:noProof/>
        </w:rPr>
        <w:t>5</w:t>
      </w:r>
      <w:r w:rsidR="00A11EA7">
        <w:fldChar w:fldCharType="end"/>
      </w:r>
      <w:r w:rsidR="00A11EA7">
        <w:t xml:space="preserve"> </w:t>
      </w:r>
      <w:r w:rsidRPr="00C67B28">
        <w:t xml:space="preserve">show that </w:t>
      </w:r>
      <w:r>
        <w:t>for</w:t>
      </w:r>
      <w:r w:rsidRPr="00C67B28">
        <w:t xml:space="preserve"> the 664 patients in whom Myriad HRD status was </w:t>
      </w:r>
      <w:r>
        <w:t>determined</w:t>
      </w:r>
      <w:r w:rsidR="00A11EA7">
        <w:t xml:space="preserve"> (section highlighted in green)</w:t>
      </w:r>
      <w:r>
        <w:t>,</w:t>
      </w:r>
      <w:r w:rsidRPr="00C67B28">
        <w:t xml:space="preserve"> those with </w:t>
      </w:r>
      <w:r>
        <w:t xml:space="preserve">tumours which were </w:t>
      </w:r>
      <w:proofErr w:type="spellStart"/>
      <w:r w:rsidRPr="00C67B28">
        <w:t>tBRCAm</w:t>
      </w:r>
      <w:proofErr w:type="spellEnd"/>
      <w:r w:rsidRPr="00C67B28">
        <w:t xml:space="preserve"> negative or Myriad HRD &lt;</w:t>
      </w:r>
      <w:r w:rsidR="00EE5895">
        <w:t xml:space="preserve"> </w:t>
      </w:r>
      <w:r w:rsidRPr="00C67B28">
        <w:t xml:space="preserve">42 </w:t>
      </w:r>
      <w:r>
        <w:t xml:space="preserve">had </w:t>
      </w:r>
      <w:r w:rsidRPr="00C67B28">
        <w:t xml:space="preserve">no </w:t>
      </w:r>
      <w:r>
        <w:t xml:space="preserve">increase in median PFS </w:t>
      </w:r>
      <w:r w:rsidRPr="00C67B28">
        <w:t xml:space="preserve">from the addition of </w:t>
      </w:r>
      <w:proofErr w:type="spellStart"/>
      <w:r w:rsidRPr="00C67B28">
        <w:t>olaparib</w:t>
      </w:r>
      <w:proofErr w:type="spellEnd"/>
      <w:r>
        <w:t xml:space="preserve"> with</w:t>
      </w:r>
      <w:r w:rsidRPr="00C67B28">
        <w:t xml:space="preserve"> HR 1 (95%CI 0.75; </w:t>
      </w:r>
      <w:r w:rsidR="00EE5895">
        <w:t xml:space="preserve">1.35). That group comprised 277 out of </w:t>
      </w:r>
      <w:r w:rsidRPr="00C67B28">
        <w:t>664 (42%) of patients in whom Myriad HRD testing was performed.</w:t>
      </w:r>
    </w:p>
    <w:p w14:paraId="21F21880" w14:textId="252F93C2" w:rsidR="00601799" w:rsidRDefault="00601799" w:rsidP="00F55DF6">
      <w:r>
        <w:t>The biological biomarkers analysis to determine the frequency of somatic</w:t>
      </w:r>
      <w:r w:rsidRPr="00EE2E1E">
        <w:rPr>
          <w:i/>
        </w:rPr>
        <w:t xml:space="preserve"> BRCA </w:t>
      </w:r>
      <w:r>
        <w:t>mutation</w:t>
      </w:r>
      <w:r w:rsidR="00F21676">
        <w:t>s</w:t>
      </w:r>
      <w:r>
        <w:t xml:space="preserve"> (</w:t>
      </w:r>
      <w:proofErr w:type="spellStart"/>
      <w:r>
        <w:t>sBRCAm</w:t>
      </w:r>
      <w:proofErr w:type="spellEnd"/>
      <w:r>
        <w:t xml:space="preserve">) in tumour samples and to compare this with </w:t>
      </w:r>
      <w:proofErr w:type="spellStart"/>
      <w:r w:rsidR="00EE5895">
        <w:t>gBRCAm</w:t>
      </w:r>
      <w:proofErr w:type="spellEnd"/>
      <w:r>
        <w:t xml:space="preserve"> status was perfor</w:t>
      </w:r>
      <w:r w:rsidR="00EE5895">
        <w:t xml:space="preserve">med in a subgroup of patients. For the 372 out of </w:t>
      </w:r>
      <w:r>
        <w:t xml:space="preserve">806 (46.2%) patients who had an available Myriad </w:t>
      </w:r>
      <w:proofErr w:type="spellStart"/>
      <w:r>
        <w:t>tBRCA</w:t>
      </w:r>
      <w:proofErr w:type="spellEnd"/>
      <w:r>
        <w:t xml:space="preserve"> test and a local germline te</w:t>
      </w:r>
      <w:r w:rsidR="00EE5895">
        <w:t xml:space="preserve">st (by </w:t>
      </w:r>
      <w:proofErr w:type="spellStart"/>
      <w:r w:rsidR="00EE5895">
        <w:t>eCRF</w:t>
      </w:r>
      <w:proofErr w:type="spellEnd"/>
      <w:r w:rsidR="00EE5895">
        <w:t xml:space="preserve">), </w:t>
      </w:r>
      <w:proofErr w:type="spellStart"/>
      <w:r w:rsidR="00EE5895">
        <w:t>sBRCA</w:t>
      </w:r>
      <w:proofErr w:type="spellEnd"/>
      <w:r w:rsidR="00EE5895">
        <w:t xml:space="preserve"> status </w:t>
      </w:r>
      <w:r w:rsidR="00D0384C">
        <w:t>(</w:t>
      </w:r>
      <w:r w:rsidR="00EE5895">
        <w:t xml:space="preserve">that is, </w:t>
      </w:r>
      <w:r w:rsidRPr="00EE2E1E">
        <w:rPr>
          <w:i/>
        </w:rPr>
        <w:t>BRCA</w:t>
      </w:r>
      <w:r w:rsidRPr="00C67B28">
        <w:t xml:space="preserve"> variant found in the tumour but not in the germline</w:t>
      </w:r>
      <w:r w:rsidR="00D0384C">
        <w:t>)</w:t>
      </w:r>
      <w:r w:rsidRPr="00C67B28">
        <w:t xml:space="preserve"> </w:t>
      </w:r>
      <w:r w:rsidR="00EE5895">
        <w:t xml:space="preserve">was derived. Of these, 32 out of </w:t>
      </w:r>
      <w:r>
        <w:t xml:space="preserve">372 (8.6%) were deduced to be </w:t>
      </w:r>
      <w:proofErr w:type="spellStart"/>
      <w:r>
        <w:t>sBRCAm</w:t>
      </w:r>
      <w:proofErr w:type="spellEnd"/>
      <w:r w:rsidR="00F55DF6">
        <w:t>.</w:t>
      </w:r>
    </w:p>
    <w:p w14:paraId="7B5F6076" w14:textId="23972B13" w:rsidR="00601799" w:rsidRDefault="00601799" w:rsidP="00F55DF6">
      <w:r>
        <w:t>PFS was analysed using a log-rank test stratified by first line</w:t>
      </w:r>
      <w:r w:rsidR="00F55DF6">
        <w:t xml:space="preserve"> treatment outcome at screening </w:t>
      </w:r>
      <w:r>
        <w:t>(the timing and outcome of surgery, and the response to chemotherapy) and screening</w:t>
      </w:r>
      <w:r w:rsidR="00F55DF6">
        <w:t xml:space="preserve"> </w:t>
      </w:r>
      <w:r>
        <w:t xml:space="preserve">laboratory </w:t>
      </w:r>
      <w:proofErr w:type="spellStart"/>
      <w:r>
        <w:t>tBRCA</w:t>
      </w:r>
      <w:proofErr w:type="spellEnd"/>
      <w:r>
        <w:t xml:space="preserve"> status on tumour tissue for generation of the p-value and using the Breslow</w:t>
      </w:r>
      <w:r w:rsidR="00F55DF6">
        <w:t xml:space="preserve"> </w:t>
      </w:r>
      <w:r>
        <w:t xml:space="preserve">approach for handling ties. Stratification factors, </w:t>
      </w:r>
      <w:r w:rsidR="00F55DF6">
        <w:t xml:space="preserve">as randomised or per </w:t>
      </w:r>
      <w:proofErr w:type="spellStart"/>
      <w:r w:rsidR="00F55DF6">
        <w:t>eCRF</w:t>
      </w:r>
      <w:proofErr w:type="spellEnd"/>
      <w:r w:rsidR="00F55DF6">
        <w:t xml:space="preserve">, were </w:t>
      </w:r>
      <w:r>
        <w:t>well balanced between treatment arms. Approximately 30%</w:t>
      </w:r>
      <w:r w:rsidR="00F55DF6">
        <w:t xml:space="preserve"> of patients had </w:t>
      </w:r>
      <w:proofErr w:type="spellStart"/>
      <w:r w:rsidR="00F55DF6">
        <w:t>tBRCAm</w:t>
      </w:r>
      <w:proofErr w:type="spellEnd"/>
      <w:r w:rsidR="00F55DF6">
        <w:t xml:space="preserve"> tumours </w:t>
      </w:r>
      <w:r>
        <w:t>and approximately 70% of patients were non-</w:t>
      </w:r>
      <w:proofErr w:type="spellStart"/>
      <w:r>
        <w:t>tBRCAm</w:t>
      </w:r>
      <w:proofErr w:type="spellEnd"/>
      <w:r>
        <w:t xml:space="preserve"> based on screening laboratory data.</w:t>
      </w:r>
    </w:p>
    <w:p w14:paraId="0F8168CD" w14:textId="6A31D193" w:rsidR="00601799" w:rsidRDefault="00601799" w:rsidP="00F55DF6">
      <w:proofErr w:type="spellStart"/>
      <w:r>
        <w:t>gBRCA</w:t>
      </w:r>
      <w:proofErr w:type="spellEnd"/>
      <w:r>
        <w:t xml:space="preserve"> testing was not mandatory in the study; however, inf</w:t>
      </w:r>
      <w:r w:rsidR="00F55DF6">
        <w:t xml:space="preserve">ormation regarding </w:t>
      </w:r>
      <w:proofErr w:type="spellStart"/>
      <w:r w:rsidR="00F55DF6">
        <w:t>gBRCA</w:t>
      </w:r>
      <w:proofErr w:type="spellEnd"/>
      <w:r w:rsidR="00F55DF6">
        <w:t xml:space="preserve"> status </w:t>
      </w:r>
      <w:r>
        <w:t>was requested for all randomised patients. Central</w:t>
      </w:r>
      <w:r w:rsidR="00EE5895">
        <w:t xml:space="preserve"> </w:t>
      </w:r>
      <w:proofErr w:type="spellStart"/>
      <w:r w:rsidR="00EE5895">
        <w:t>gBRCA</w:t>
      </w:r>
      <w:proofErr w:type="spellEnd"/>
      <w:r w:rsidR="00EE5895">
        <w:t xml:space="preserve"> testing at one</w:t>
      </w:r>
      <w:r w:rsidR="00F55DF6">
        <w:t xml:space="preserve"> of the </w:t>
      </w:r>
      <w:proofErr w:type="spellStart"/>
      <w:r w:rsidR="002337C8" w:rsidRPr="002337C8">
        <w:t>Institut</w:t>
      </w:r>
      <w:proofErr w:type="spellEnd"/>
      <w:r w:rsidR="002337C8" w:rsidRPr="002337C8">
        <w:t xml:space="preserve"> National Du Cancer</w:t>
      </w:r>
      <w:r w:rsidR="002337C8">
        <w:t xml:space="preserve"> (</w:t>
      </w:r>
      <w:proofErr w:type="spellStart"/>
      <w:r w:rsidR="002337C8">
        <w:t>INCa</w:t>
      </w:r>
      <w:proofErr w:type="spellEnd"/>
      <w:r w:rsidR="002337C8">
        <w:t xml:space="preserve">; </w:t>
      </w:r>
      <w:r w:rsidR="00D07381" w:rsidRPr="00D07381">
        <w:t>French National Cancer Institute</w:t>
      </w:r>
      <w:r w:rsidR="002337C8">
        <w:t>)-</w:t>
      </w:r>
      <w:r>
        <w:t>recommended institutions was performed only for patients a</w:t>
      </w:r>
      <w:r w:rsidR="00F55DF6">
        <w:t xml:space="preserve">t study sites in France. In the </w:t>
      </w:r>
      <w:proofErr w:type="spellStart"/>
      <w:r>
        <w:t>eCRF</w:t>
      </w:r>
      <w:proofErr w:type="spellEnd"/>
      <w:r>
        <w:t xml:space="preserve">, </w:t>
      </w:r>
      <w:proofErr w:type="spellStart"/>
      <w:r>
        <w:t>gBRCA</w:t>
      </w:r>
      <w:proofErr w:type="spellEnd"/>
      <w:r>
        <w:t xml:space="preserve"> status was available for half of the patien</w:t>
      </w:r>
      <w:r w:rsidR="00D07381">
        <w:t>ts (404 out of 806 (50.1%)</w:t>
      </w:r>
      <w:r w:rsidR="00F55DF6">
        <w:t xml:space="preserve">). Of these, </w:t>
      </w:r>
      <w:r w:rsidR="00D07381">
        <w:t xml:space="preserve">120 out of 404 (29.7%) patients were </w:t>
      </w:r>
      <w:proofErr w:type="spellStart"/>
      <w:r w:rsidR="00D07381">
        <w:t>gBRCA</w:t>
      </w:r>
      <w:proofErr w:type="spellEnd"/>
      <w:r>
        <w:t>.</w:t>
      </w:r>
    </w:p>
    <w:p w14:paraId="48FFEBD5" w14:textId="03487AA5" w:rsidR="00821803" w:rsidRDefault="00821803" w:rsidP="00821803">
      <w:pPr>
        <w:pStyle w:val="Heading5"/>
      </w:pPr>
      <w:r>
        <w:t xml:space="preserve">Adenocarcinoma of the pancreas indication: </w:t>
      </w:r>
      <w:r w:rsidR="002337C8">
        <w:rPr>
          <w:bCs w:val="0"/>
        </w:rPr>
        <w:t>Study D081FC00001 (</w:t>
      </w:r>
      <w:r>
        <w:t>POLO trial</w:t>
      </w:r>
      <w:r w:rsidR="002337C8">
        <w:t>)</w:t>
      </w:r>
    </w:p>
    <w:p w14:paraId="7818D061" w14:textId="286A5D6F" w:rsidR="00821803" w:rsidRDefault="00821803" w:rsidP="00821803">
      <w:r>
        <w:t>One study was submitted to support the proposed</w:t>
      </w:r>
      <w:r w:rsidR="00094A0B">
        <w:t xml:space="preserve"> pancreatic cancer indication. </w:t>
      </w:r>
      <w:r w:rsidR="00D07381">
        <w:t xml:space="preserve">The </w:t>
      </w:r>
      <w:r>
        <w:t>POLO</w:t>
      </w:r>
      <w:r w:rsidR="00A11EA7">
        <w:t> </w:t>
      </w:r>
      <w:r w:rsidR="00D07381">
        <w:t>trial</w:t>
      </w:r>
      <w:r>
        <w:t xml:space="preserve"> (Study </w:t>
      </w:r>
      <w:r w:rsidRPr="001D197F">
        <w:t>D081FC00001</w:t>
      </w:r>
      <w:r>
        <w:t xml:space="preserve">) was </w:t>
      </w:r>
      <w:r w:rsidR="00D07381">
        <w:t xml:space="preserve">a Phase III, randomised, double blind, placebo </w:t>
      </w:r>
      <w:r>
        <w:t>controlled, multi</w:t>
      </w:r>
      <w:r w:rsidR="00D07381">
        <w:t>-</w:t>
      </w:r>
      <w:r>
        <w:t xml:space="preserve">centre study to investigate </w:t>
      </w:r>
      <w:proofErr w:type="spellStart"/>
      <w:r>
        <w:t>olaparib</w:t>
      </w:r>
      <w:proofErr w:type="spellEnd"/>
      <w:r>
        <w:t xml:space="preserve"> maintenance treatment in </w:t>
      </w:r>
      <w:proofErr w:type="spellStart"/>
      <w:r>
        <w:t>gBRCAm</w:t>
      </w:r>
      <w:proofErr w:type="spellEnd"/>
      <w:r>
        <w:t xml:space="preserve"> patients with metastatic pancreatic adenocarcinoma whose disease had not progressed after receiving</w:t>
      </w:r>
      <w:r w:rsidR="00D07381">
        <w:t xml:space="preserve"> a minimum of 16 weeks of first </w:t>
      </w:r>
      <w:r>
        <w:t>line platinum-based chemotherapy. There was no upper limit to the duration of chemothera</w:t>
      </w:r>
      <w:r w:rsidR="00D07381">
        <w:t>py that a patient had received.</w:t>
      </w:r>
    </w:p>
    <w:p w14:paraId="6AFEFE50" w14:textId="5528B0DD" w:rsidR="00821803" w:rsidRDefault="00821803" w:rsidP="00821803">
      <w:r>
        <w:t>This was a multicentre study conducted in 59 centres in 12 countries including Australia. The study commenced in January 2015 and the last patient visit was in January 2019. A</w:t>
      </w:r>
      <w:r w:rsidR="002337C8">
        <w:t> </w:t>
      </w:r>
      <w:r>
        <w:t>total of 3315 patients were screened and 154 were randomised. Study patients were randomised 3:2 to r</w:t>
      </w:r>
      <w:r w:rsidR="00861FF6">
        <w:t xml:space="preserve">eceive either </w:t>
      </w:r>
      <w:proofErr w:type="spellStart"/>
      <w:r w:rsidR="00861FF6">
        <w:t>olaparib</w:t>
      </w:r>
      <w:proofErr w:type="spellEnd"/>
      <w:r w:rsidR="00861FF6">
        <w:t xml:space="preserve"> (300 mg (</w:t>
      </w:r>
      <w:r>
        <w:t>2 x 1</w:t>
      </w:r>
      <w:r w:rsidR="00861FF6">
        <w:t>50 mg tablets) BD</w:t>
      </w:r>
      <w:r>
        <w:t xml:space="preserve">, tablet formulation) or matched placebo. </w:t>
      </w:r>
      <w:r w:rsidRPr="00DE66E3">
        <w:t>No stratification factors were used for randomisation</w:t>
      </w:r>
      <w:r>
        <w:t>. Treatment was to continue until disease progres</w:t>
      </w:r>
      <w:r w:rsidR="00861FF6">
        <w:t>sion or intolerable toxicities.</w:t>
      </w:r>
    </w:p>
    <w:p w14:paraId="536F449D" w14:textId="663CD870" w:rsidR="00821803" w:rsidRDefault="00821803" w:rsidP="00821803">
      <w:r>
        <w:t xml:space="preserve">The primary endpoint was PFS as determined by </w:t>
      </w:r>
      <w:r w:rsidR="00861FF6">
        <w:t>BICR</w:t>
      </w:r>
      <w:r>
        <w:t>. OS was a key secondary endpoint which was controlled for multiplicity however patients could switch out of the study to a PARP inhibitor so this endpo</w:t>
      </w:r>
      <w:r w:rsidR="00861FF6">
        <w:t>int is potentially confounded. PFS and OS were tested at a 1 </w:t>
      </w:r>
      <w:r w:rsidRPr="00537EEF">
        <w:t>sided significance level of 2.5%. In addition</w:t>
      </w:r>
      <w:r w:rsidR="00861FF6">
        <w:t>,</w:t>
      </w:r>
      <w:r w:rsidRPr="00537EEF">
        <w:t xml:space="preserve"> OS was tested only after statistical significance was shown for PFS.</w:t>
      </w:r>
      <w:r>
        <w:t xml:space="preserve"> Additional secondary endpoints, not controlled for multiplicity, in </w:t>
      </w:r>
      <w:r w:rsidR="00861FF6">
        <w:t xml:space="preserve">the </w:t>
      </w:r>
      <w:r>
        <w:t xml:space="preserve">POLO </w:t>
      </w:r>
      <w:r w:rsidR="00861FF6">
        <w:t xml:space="preserve">trial </w:t>
      </w:r>
      <w:r>
        <w:t xml:space="preserve">were delay in </w:t>
      </w:r>
      <w:r w:rsidR="00861FF6">
        <w:t>PFS2</w:t>
      </w:r>
      <w:r>
        <w:t xml:space="preserve">, </w:t>
      </w:r>
      <w:r w:rsidR="00861FF6">
        <w:t>TDT</w:t>
      </w:r>
      <w:r>
        <w:t xml:space="preserve">, the delay in </w:t>
      </w:r>
      <w:r w:rsidR="00861FF6">
        <w:t>TFST</w:t>
      </w:r>
      <w:r>
        <w:t xml:space="preserve">, and the delay in </w:t>
      </w:r>
      <w:r w:rsidR="00861FF6">
        <w:t>TSST</w:t>
      </w:r>
      <w:r>
        <w:t xml:space="preserve">. </w:t>
      </w:r>
      <w:r w:rsidR="00912CE8">
        <w:t xml:space="preserve">Quality of life </w:t>
      </w:r>
      <w:r>
        <w:t>endpoints were exploratory.</w:t>
      </w:r>
    </w:p>
    <w:p w14:paraId="6EA8171F" w14:textId="6989A60C" w:rsidR="00821803" w:rsidRDefault="00821803" w:rsidP="00861FF6">
      <w:r>
        <w:t xml:space="preserve">All patients had to have documented evidence of a loss of function (deleterious or suspected deleterious) </w:t>
      </w:r>
      <w:proofErr w:type="spellStart"/>
      <w:r>
        <w:t>gBRCA</w:t>
      </w:r>
      <w:proofErr w:type="spellEnd"/>
      <w:r>
        <w:t xml:space="preserve"> mutation (either gBRCA1 or gBRCA2) at study entry. Loss of function gBRCA1 or gBRCA2 mutation was determined prior to study entry from an existing local </w:t>
      </w:r>
      <w:proofErr w:type="spellStart"/>
      <w:r>
        <w:t>gBRCA</w:t>
      </w:r>
      <w:proofErr w:type="spellEnd"/>
      <w:r>
        <w:t xml:space="preserve"> test or from prospective testing using</w:t>
      </w:r>
      <w:r w:rsidR="00861FF6">
        <w:t xml:space="preserve"> either the Myriad </w:t>
      </w:r>
      <w:proofErr w:type="spellStart"/>
      <w:r w:rsidR="00861FF6">
        <w:t>BRACAnalysis</w:t>
      </w:r>
      <w:proofErr w:type="spellEnd"/>
      <w:r>
        <w:t xml:space="preserve"> test</w:t>
      </w:r>
      <w:r w:rsidR="00861FF6">
        <w:t xml:space="preserve"> or the Myriad </w:t>
      </w:r>
      <w:proofErr w:type="spellStart"/>
      <w:r w:rsidR="00861FF6">
        <w:t>BRACAnalysis</w:t>
      </w:r>
      <w:proofErr w:type="spellEnd"/>
      <w:r w:rsidR="00861FF6">
        <w:t xml:space="preserve"> </w:t>
      </w:r>
      <w:proofErr w:type="spellStart"/>
      <w:r w:rsidR="00861FF6">
        <w:t>CDx</w:t>
      </w:r>
      <w:proofErr w:type="spellEnd"/>
      <w:r>
        <w:t xml:space="preserve"> test. A subgroup analysis of patients with </w:t>
      </w:r>
      <w:proofErr w:type="spellStart"/>
      <w:r>
        <w:t>gBRCAm</w:t>
      </w:r>
      <w:proofErr w:type="spellEnd"/>
      <w:r>
        <w:t xml:space="preserve"> c</w:t>
      </w:r>
      <w:r w:rsidR="00861FF6">
        <w:t xml:space="preserve">onfirmed by Myriad </w:t>
      </w:r>
      <w:proofErr w:type="spellStart"/>
      <w:r w:rsidR="00861FF6">
        <w:t>BRACAnalysis</w:t>
      </w:r>
      <w:proofErr w:type="spellEnd"/>
      <w:r w:rsidR="00861FF6">
        <w:t xml:space="preserve"> or </w:t>
      </w:r>
      <w:proofErr w:type="spellStart"/>
      <w:r w:rsidR="00861FF6">
        <w:t>BRACAnalysis</w:t>
      </w:r>
      <w:proofErr w:type="spellEnd"/>
      <w:r w:rsidR="00861FF6">
        <w:t xml:space="preserve"> </w:t>
      </w:r>
      <w:proofErr w:type="spellStart"/>
      <w:r w:rsidR="00861FF6">
        <w:t>CDx</w:t>
      </w:r>
      <w:proofErr w:type="spellEnd"/>
      <w:r>
        <w:t xml:space="preserve"> tests was perf</w:t>
      </w:r>
      <w:r w:rsidR="00861FF6">
        <w:t>ormed.</w:t>
      </w:r>
    </w:p>
    <w:p w14:paraId="418BE32B" w14:textId="305D27D6" w:rsidR="00821803" w:rsidRDefault="00821803" w:rsidP="00861FF6">
      <w:r>
        <w:t xml:space="preserve">Patients also had histologically or </w:t>
      </w:r>
      <w:proofErr w:type="spellStart"/>
      <w:r>
        <w:t>cytologically</w:t>
      </w:r>
      <w:proofErr w:type="spellEnd"/>
      <w:r>
        <w:t xml:space="preserve"> confirmed pancreatic adenocarcinoma, were receiving initial chemotherapy for metastatic disease and whose disease had not progressed after receiving a minimum of 16 </w:t>
      </w:r>
      <w:r w:rsidR="00861FF6">
        <w:t>weeks of treatment with a first line platinum</w:t>
      </w:r>
      <w:r w:rsidR="00861FF6">
        <w:noBreakHyphen/>
        <w:t xml:space="preserve">based chemotherapy. </w:t>
      </w:r>
      <w:r>
        <w:t>The platinum could subsequently be discontinued at any time for toxicity and the other agents continued; the patients wo</w:t>
      </w:r>
      <w:r w:rsidR="00861FF6">
        <w:t>uld remain eligible for randomis</w:t>
      </w:r>
      <w:r>
        <w:t xml:space="preserve">ation as long as there was no evidence of progression at any time during chemotherapy treatment. Patients continued to receive study treatment until objective radiological disease progression per modified </w:t>
      </w:r>
      <w:r w:rsidR="00861FF6">
        <w:t>RECIST</w:t>
      </w:r>
      <w:r>
        <w:t xml:space="preserve"> </w:t>
      </w:r>
      <w:r w:rsidR="00861FF6">
        <w:t>v</w:t>
      </w:r>
      <w:r>
        <w:t>1.1 as assessed by the investigator, unacceptable toxicity, or they did not meet any other discontinuation criteria.</w:t>
      </w:r>
    </w:p>
    <w:p w14:paraId="67560A0E" w14:textId="743A672F" w:rsidR="00821803" w:rsidRDefault="00821803" w:rsidP="00861FF6">
      <w:r>
        <w:t xml:space="preserve">Given the low prevalence of </w:t>
      </w:r>
      <w:proofErr w:type="spellStart"/>
      <w:r>
        <w:t>gBRCA</w:t>
      </w:r>
      <w:proofErr w:type="spellEnd"/>
      <w:r>
        <w:t xml:space="preserve"> mutations in pancreas cancer, and the lack of BRCA screening of pancreas cancer patients as part of standard clinical practice, extensive screening was required to enrol </w:t>
      </w:r>
      <w:r w:rsidR="00861FF6">
        <w:t xml:space="preserve">in the </w:t>
      </w:r>
      <w:r>
        <w:t xml:space="preserve">POLO </w:t>
      </w:r>
      <w:r w:rsidR="00861FF6">
        <w:t xml:space="preserve">trial </w:t>
      </w:r>
      <w:r>
        <w:t xml:space="preserve">(a total of 3315 patients were screened, 3175 patients of whom were submitted to Myriad for prospective determination of their </w:t>
      </w:r>
      <w:proofErr w:type="spellStart"/>
      <w:r>
        <w:t>gBRCA</w:t>
      </w:r>
      <w:proofErr w:type="spellEnd"/>
      <w:r>
        <w:t xml:space="preserve"> mutation status</w:t>
      </w:r>
      <w:r w:rsidR="00861FF6">
        <w:t>)</w:t>
      </w:r>
      <w:r>
        <w:t xml:space="preserve">. In total, 154 patients were randomised (92 </w:t>
      </w:r>
      <w:proofErr w:type="spellStart"/>
      <w:r>
        <w:t>olaparib</w:t>
      </w:r>
      <w:proofErr w:type="spellEnd"/>
      <w:r>
        <w:t xml:space="preserve"> and 62 placebo): 57.2% in Europe, 22.7% in the US, 3.9% in Asia, </w:t>
      </w:r>
      <w:r w:rsidR="00861FF6">
        <w:t>and 16.2% in the rest of world.</w:t>
      </w:r>
    </w:p>
    <w:p w14:paraId="4A879F93" w14:textId="39FFFD1B" w:rsidR="00821803" w:rsidRDefault="00821803" w:rsidP="00861FF6">
      <w:r>
        <w:t xml:space="preserve">The majority of patients had an </w:t>
      </w:r>
      <w:r w:rsidR="00861FF6">
        <w:t>ECOG</w:t>
      </w:r>
      <w:r>
        <w:t xml:space="preserve"> </w:t>
      </w:r>
      <w:r w:rsidR="00912CE8">
        <w:t>P</w:t>
      </w:r>
      <w:r>
        <w:t xml:space="preserve">erformance </w:t>
      </w:r>
      <w:r w:rsidR="00912CE8">
        <w:t>S</w:t>
      </w:r>
      <w:r>
        <w:t xml:space="preserve">tatus of 0, (70.7% in the </w:t>
      </w:r>
      <w:proofErr w:type="spellStart"/>
      <w:r>
        <w:t>olaparib</w:t>
      </w:r>
      <w:proofErr w:type="spellEnd"/>
      <w:r>
        <w:t xml:space="preserve"> arm and 61.3% in the placebo arm</w:t>
      </w:r>
      <w:r w:rsidR="00861FF6">
        <w:t>). At B</w:t>
      </w:r>
      <w:r>
        <w:t>aseline</w:t>
      </w:r>
      <w:r w:rsidR="00861FF6">
        <w:t>,</w:t>
      </w:r>
      <w:r>
        <w:t xml:space="preserve"> </w:t>
      </w:r>
      <w:r w:rsidRPr="00552DB6">
        <w:t>48.9%</w:t>
      </w:r>
      <w:r>
        <w:t xml:space="preserve"> of patients given </w:t>
      </w:r>
      <w:proofErr w:type="spellStart"/>
      <w:r>
        <w:t>olaparib</w:t>
      </w:r>
      <w:proofErr w:type="spellEnd"/>
      <w:r>
        <w:t xml:space="preserve"> and 50.0% given</w:t>
      </w:r>
      <w:r w:rsidR="00861FF6">
        <w:t xml:space="preserve"> placebo had stable disease at B</w:t>
      </w:r>
      <w:r>
        <w:t>aseline. At data cut-off date 15 January 2019</w:t>
      </w:r>
      <w:r w:rsidR="00861FF6">
        <w:t>,</w:t>
      </w:r>
      <w:r>
        <w:t xml:space="preserve"> 104 PFS events had occurred (67.4% maturity).</w:t>
      </w:r>
      <w:r w:rsidRPr="00552DB6">
        <w:t xml:space="preserve"> </w:t>
      </w:r>
      <w:r>
        <w:t xml:space="preserve">The median PFS was 7.4 months for </w:t>
      </w:r>
      <w:proofErr w:type="spellStart"/>
      <w:r>
        <w:t>olaparib</w:t>
      </w:r>
      <w:proofErr w:type="spellEnd"/>
      <w:r>
        <w:t xml:space="preserve"> </w:t>
      </w:r>
      <w:r w:rsidR="00861FF6">
        <w:t>versus</w:t>
      </w:r>
      <w:r>
        <w:t xml:space="preserve"> 3.8 months for placebo equating to a prolongation of median progression free interval of 3.6 months with </w:t>
      </w:r>
      <w:proofErr w:type="spellStart"/>
      <w:r>
        <w:t>olaparib</w:t>
      </w:r>
      <w:proofErr w:type="spellEnd"/>
      <w:r>
        <w:t xml:space="preserve"> versus pla</w:t>
      </w:r>
      <w:r w:rsidR="00861FF6">
        <w:t>cebo. Based on Kaplan-Meier</w:t>
      </w:r>
      <w:r>
        <w:t xml:space="preserve"> estimates, the percentage of patients who remained alive and progression free in the </w:t>
      </w:r>
      <w:proofErr w:type="spellStart"/>
      <w:r>
        <w:t>olaparib</w:t>
      </w:r>
      <w:proofErr w:type="spellEnd"/>
      <w:r>
        <w:t xml:space="preserve"> arm was 33.7% at 12 months, 27.6% at 18 months and 22.1% at 24 months, compared with 14.5%, 9.6% and 9.6%, re</w:t>
      </w:r>
      <w:r w:rsidR="00861FF6">
        <w:t>spectively, in the placebo arm.</w:t>
      </w:r>
    </w:p>
    <w:p w14:paraId="68014779" w14:textId="274CC16B" w:rsidR="00821803" w:rsidRPr="00861FF6" w:rsidRDefault="00821803" w:rsidP="00861FF6">
      <w:r w:rsidRPr="00861FF6">
        <w:t>The m</w:t>
      </w:r>
      <w:r w:rsidR="00861FF6" w:rsidRPr="00861FF6">
        <w:t>edian duration of response</w:t>
      </w:r>
      <w:r w:rsidRPr="00861FF6">
        <w:t xml:space="preserve"> based on BICR data was l</w:t>
      </w:r>
      <w:r w:rsidR="00861FF6" w:rsidRPr="00861FF6">
        <w:t xml:space="preserve">onger in the </w:t>
      </w:r>
      <w:proofErr w:type="spellStart"/>
      <w:r w:rsidR="00861FF6" w:rsidRPr="00861FF6">
        <w:t>olaparib</w:t>
      </w:r>
      <w:proofErr w:type="spellEnd"/>
      <w:r w:rsidR="00861FF6" w:rsidRPr="00861FF6">
        <w:t xml:space="preserve"> arm (24.9 </w:t>
      </w:r>
      <w:r w:rsidRPr="00861FF6">
        <w:t xml:space="preserve">months) than in the placebo arm (3.7 months), with a longer median time to onset of response (5.4 months for </w:t>
      </w:r>
      <w:proofErr w:type="spellStart"/>
      <w:r w:rsidRPr="00861FF6">
        <w:t>olaparib</w:t>
      </w:r>
      <w:proofErr w:type="spellEnd"/>
      <w:r w:rsidRPr="00861FF6">
        <w:t xml:space="preserve"> and 3.6 months for placebo). A total of 53.3% of patients in the </w:t>
      </w:r>
      <w:proofErr w:type="spellStart"/>
      <w:r w:rsidRPr="00861FF6">
        <w:t>olaparib</w:t>
      </w:r>
      <w:proofErr w:type="spellEnd"/>
      <w:r w:rsidRPr="00861FF6">
        <w:t xml:space="preserve"> arm and 37.1% of patients in the placebo arm h</w:t>
      </w:r>
      <w:r w:rsidR="00861FF6" w:rsidRPr="00861FF6">
        <w:t>ad disease control at 16 weeks.</w:t>
      </w:r>
    </w:p>
    <w:p w14:paraId="23F77C51" w14:textId="4AEF34B8" w:rsidR="00821803" w:rsidRDefault="00861FF6" w:rsidP="00861FF6">
      <w:pPr>
        <w:pStyle w:val="FigureTitle"/>
      </w:pPr>
      <w:r w:rsidRPr="00861FF6">
        <w:t xml:space="preserve">Figure </w:t>
      </w:r>
      <w:r w:rsidR="00EC1515">
        <w:fldChar w:fldCharType="begin"/>
      </w:r>
      <w:r w:rsidR="00EC1515">
        <w:instrText xml:space="preserve"> SEQ Figure \* ARABIC </w:instrText>
      </w:r>
      <w:r w:rsidR="00EC1515">
        <w:fldChar w:fldCharType="separate"/>
      </w:r>
      <w:r w:rsidR="00A11EA7">
        <w:rPr>
          <w:noProof/>
        </w:rPr>
        <w:t>2</w:t>
      </w:r>
      <w:r w:rsidR="00EC1515">
        <w:rPr>
          <w:noProof/>
        </w:rPr>
        <w:fldChar w:fldCharType="end"/>
      </w:r>
      <w:r w:rsidRPr="00861FF6">
        <w:t xml:space="preserve">: </w:t>
      </w:r>
      <w:r w:rsidR="00912CE8">
        <w:rPr>
          <w:bCs/>
        </w:rPr>
        <w:t xml:space="preserve">Study D081FC00001 (POLO trial) </w:t>
      </w:r>
      <w:r w:rsidR="00821803" w:rsidRPr="00861FF6">
        <w:t>P</w:t>
      </w:r>
      <w:r w:rsidRPr="00861FF6">
        <w:t>rogression-free survival by blinded independent central review</w:t>
      </w:r>
      <w:r>
        <w:t>, Kaplan</w:t>
      </w:r>
      <w:r>
        <w:noBreakHyphen/>
      </w:r>
      <w:r w:rsidRPr="00861FF6">
        <w:t>Meier plot (full analysis set</w:t>
      </w:r>
      <w:r w:rsidR="00821803" w:rsidRPr="00861FF6">
        <w:t>)</w:t>
      </w:r>
    </w:p>
    <w:p w14:paraId="6868E8E5" w14:textId="1AD63AFA" w:rsidR="00821803" w:rsidRPr="00861FF6" w:rsidRDefault="00EF6C6A" w:rsidP="00821803">
      <w:pPr>
        <w:spacing w:before="0" w:after="0"/>
      </w:pPr>
      <w:r>
        <w:rPr>
          <w:noProof/>
          <w:lang w:eastAsia="en-AU"/>
        </w:rPr>
        <w:drawing>
          <wp:inline distT="0" distB="0" distL="0" distR="0" wp14:anchorId="27A15061" wp14:editId="36FFC2FA">
            <wp:extent cx="5400040" cy="3088640"/>
            <wp:effectExtent l="0" t="0" r="0" b="0"/>
            <wp:docPr id="1" name="Picture 1" descr="Progression-free survival by blinded independent central review, Kaplan Meier plot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3088640"/>
                    </a:xfrm>
                    <a:prstGeom prst="rect">
                      <a:avLst/>
                    </a:prstGeom>
                  </pic:spPr>
                </pic:pic>
              </a:graphicData>
            </a:graphic>
          </wp:inline>
        </w:drawing>
      </w:r>
    </w:p>
    <w:p w14:paraId="2379AE2F" w14:textId="2653F30D" w:rsidR="00821803" w:rsidRDefault="00821803" w:rsidP="00861FF6">
      <w:r>
        <w:t>OS data were 46% mature</w:t>
      </w:r>
      <w:r w:rsidR="00861FF6">
        <w:t xml:space="preserve"> (71 out of </w:t>
      </w:r>
      <w:r>
        <w:t xml:space="preserve">154 events) and did not show a trend towards prolonged survival with </w:t>
      </w:r>
      <w:proofErr w:type="spellStart"/>
      <w:r>
        <w:t>olaparib</w:t>
      </w:r>
      <w:proofErr w:type="spellEnd"/>
      <w:r>
        <w:t xml:space="preserve">. The median OS was 18.9 months in the </w:t>
      </w:r>
      <w:proofErr w:type="spellStart"/>
      <w:r>
        <w:t>olaparib</w:t>
      </w:r>
      <w:proofErr w:type="spellEnd"/>
      <w:r>
        <w:t xml:space="preserve"> arm and 18.1 months in the placebo arm (HR of 0.91; 95% CI 0.56, 1.46; p</w:t>
      </w:r>
      <w:r w:rsidR="00861FF6">
        <w:t xml:space="preserve"> </w:t>
      </w:r>
      <w:r>
        <w:t>=</w:t>
      </w:r>
      <w:r w:rsidR="00861FF6">
        <w:t xml:space="preserve"> </w:t>
      </w:r>
      <w:r>
        <w:t>0.6833). Other secondary and exploratory events were not controlled for multiplicity and were immature.</w:t>
      </w:r>
    </w:p>
    <w:p w14:paraId="2C63D3D8" w14:textId="7E4B21C6" w:rsidR="00601799" w:rsidRDefault="00601799" w:rsidP="00601799">
      <w:pPr>
        <w:pStyle w:val="Heading4"/>
      </w:pPr>
      <w:r w:rsidRPr="00AA53F4">
        <w:t>Safety</w:t>
      </w:r>
    </w:p>
    <w:p w14:paraId="235B9534" w14:textId="0B907C0A" w:rsidR="00821803" w:rsidRPr="00821803" w:rsidRDefault="00821803" w:rsidP="00821803">
      <w:pPr>
        <w:pStyle w:val="Heading5"/>
      </w:pPr>
      <w:r>
        <w:t xml:space="preserve">Advanced ovarian cancer indication: </w:t>
      </w:r>
      <w:r w:rsidR="00912CE8">
        <w:rPr>
          <w:bCs w:val="0"/>
        </w:rPr>
        <w:t>Study D0817C00003 (</w:t>
      </w:r>
      <w:r>
        <w:t>PAOLA-1 trial</w:t>
      </w:r>
      <w:r w:rsidR="00912CE8">
        <w:t>)</w:t>
      </w:r>
    </w:p>
    <w:p w14:paraId="0CC2DAF7" w14:textId="39DFF487" w:rsidR="00601799" w:rsidRDefault="00601799" w:rsidP="00601799">
      <w:r>
        <w:t xml:space="preserve">In </w:t>
      </w:r>
      <w:r w:rsidR="00F55DF6">
        <w:t xml:space="preserve">the </w:t>
      </w:r>
      <w:r>
        <w:t xml:space="preserve">PAOLA-1 </w:t>
      </w:r>
      <w:r w:rsidR="00F55DF6">
        <w:t xml:space="preserve">trial, </w:t>
      </w:r>
      <w:r>
        <w:t xml:space="preserve">more patients given </w:t>
      </w:r>
      <w:proofErr w:type="spellStart"/>
      <w:r>
        <w:t>olaparib</w:t>
      </w:r>
      <w:proofErr w:type="spellEnd"/>
      <w:r>
        <w:t xml:space="preserve">/bevacizumab than placebo/bevacizumab reported </w:t>
      </w:r>
      <w:r w:rsidR="00912CE8">
        <w:t>adverse events (</w:t>
      </w:r>
      <w:r>
        <w:t>AEs</w:t>
      </w:r>
      <w:r w:rsidR="00EE2E1E">
        <w:t>)</w:t>
      </w:r>
      <w:r>
        <w:t xml:space="preserve"> of Grade ≥</w:t>
      </w:r>
      <w:r w:rsidR="00F55DF6">
        <w:t xml:space="preserve"> </w:t>
      </w:r>
      <w:r>
        <w:t xml:space="preserve">3. The proportion of patients who reported AEs leading to discontinuation, dose interruption, or dose reduction of </w:t>
      </w:r>
      <w:proofErr w:type="spellStart"/>
      <w:r>
        <w:t>olaparib</w:t>
      </w:r>
      <w:proofErr w:type="spellEnd"/>
      <w:r>
        <w:t xml:space="preserve"> or placebo treatment was also higher for patients given </w:t>
      </w:r>
      <w:proofErr w:type="spellStart"/>
      <w:r>
        <w:t>ol</w:t>
      </w:r>
      <w:r w:rsidR="00861FF6">
        <w:t>aparib</w:t>
      </w:r>
      <w:proofErr w:type="spellEnd"/>
      <w:r w:rsidR="00861FF6">
        <w:t>/bevacizumab. There were five</w:t>
      </w:r>
      <w:r>
        <w:t xml:space="preserve"> deaths</w:t>
      </w:r>
      <w:r w:rsidR="00861FF6">
        <w:t xml:space="preserve"> on study; four</w:t>
      </w:r>
      <w:r w:rsidR="00F55DF6">
        <w:t xml:space="preserve"> in patients given </w:t>
      </w:r>
      <w:r w:rsidRPr="00CF6F22">
        <w:t>placebo/</w:t>
      </w:r>
      <w:r>
        <w:t xml:space="preserve"> </w:t>
      </w:r>
      <w:r w:rsidRPr="00CF6F22">
        <w:t>bevacizumab</w:t>
      </w:r>
      <w:r>
        <w:t xml:space="preserve"> and one in a patient given </w:t>
      </w:r>
      <w:proofErr w:type="spellStart"/>
      <w:r>
        <w:t>o</w:t>
      </w:r>
      <w:r w:rsidR="00F55DF6">
        <w:t>laparib</w:t>
      </w:r>
      <w:proofErr w:type="spellEnd"/>
      <w:r w:rsidR="00F55DF6">
        <w:t>/ bevacizumab.</w:t>
      </w:r>
    </w:p>
    <w:p w14:paraId="2A56F2E0" w14:textId="15D005AE" w:rsidR="00601799" w:rsidRDefault="00601799" w:rsidP="00601799">
      <w:r>
        <w:t>The most commonly reported AEs (≥</w:t>
      </w:r>
      <w:r w:rsidR="00F55DF6">
        <w:t xml:space="preserve"> </w:t>
      </w:r>
      <w:r>
        <w:t xml:space="preserve">20%) in the </w:t>
      </w:r>
      <w:proofErr w:type="spellStart"/>
      <w:r>
        <w:t>olaparib</w:t>
      </w:r>
      <w:proofErr w:type="spellEnd"/>
      <w:r>
        <w:t>/bevacizumab arm were th</w:t>
      </w:r>
      <w:r w:rsidR="00994478">
        <w:t xml:space="preserve">e known adverse drug reactions </w:t>
      </w:r>
      <w:r>
        <w:t xml:space="preserve">of </w:t>
      </w:r>
      <w:proofErr w:type="spellStart"/>
      <w:r>
        <w:t>olaparib</w:t>
      </w:r>
      <w:proofErr w:type="spellEnd"/>
      <w:r>
        <w:t xml:space="preserve"> or bevacizumab including nausea, fatigue, hypertension, anaemia, </w:t>
      </w:r>
      <w:proofErr w:type="spellStart"/>
      <w:r>
        <w:t>lymphop</w:t>
      </w:r>
      <w:r w:rsidR="00912CE8">
        <w:t>a</w:t>
      </w:r>
      <w:r>
        <w:t>enia</w:t>
      </w:r>
      <w:proofErr w:type="spellEnd"/>
      <w:r>
        <w:t>, vomiting, and arthralgia.</w:t>
      </w:r>
      <w:r w:rsidRPr="00064B44">
        <w:t xml:space="preserve"> </w:t>
      </w:r>
      <w:r>
        <w:t xml:space="preserve">The AEs associated with </w:t>
      </w:r>
      <w:proofErr w:type="spellStart"/>
      <w:r>
        <w:t>olaparib</w:t>
      </w:r>
      <w:proofErr w:type="spellEnd"/>
      <w:r>
        <w:t xml:space="preserve"> and bevacizumab were consistent with their known safety profiles.</w:t>
      </w:r>
    </w:p>
    <w:p w14:paraId="116426E8" w14:textId="54250F12" w:rsidR="00821803" w:rsidRDefault="00821803" w:rsidP="00821803">
      <w:pPr>
        <w:pStyle w:val="Heading5"/>
      </w:pPr>
      <w:r>
        <w:t>A</w:t>
      </w:r>
      <w:r w:rsidRPr="00821803">
        <w:t>denocarcinoma of the pancreas</w:t>
      </w:r>
      <w:r>
        <w:t xml:space="preserve"> indication: POLO trial</w:t>
      </w:r>
      <w:r w:rsidR="00912CE8">
        <w:t xml:space="preserve"> (</w:t>
      </w:r>
      <w:r w:rsidR="00912CE8">
        <w:rPr>
          <w:bCs w:val="0"/>
        </w:rPr>
        <w:t>Study D081FC00001)</w:t>
      </w:r>
    </w:p>
    <w:p w14:paraId="10A22331" w14:textId="157FC94F" w:rsidR="00821803" w:rsidRDefault="00821803" w:rsidP="00821803">
      <w:r>
        <w:t>The median total duration of exposure</w:t>
      </w:r>
      <w:r w:rsidR="00F55DF6">
        <w:t xml:space="preserve"> in the </w:t>
      </w:r>
      <w:proofErr w:type="spellStart"/>
      <w:r w:rsidR="00F55DF6">
        <w:t>olaparib</w:t>
      </w:r>
      <w:proofErr w:type="spellEnd"/>
      <w:r w:rsidR="00F55DF6">
        <w:t xml:space="preserve"> arm (182 days (6.0 months)</w:t>
      </w:r>
      <w:r>
        <w:t>) was approximately 1.6 times longer than the duration of exposur</w:t>
      </w:r>
      <w:r w:rsidR="00F55DF6">
        <w:t>e in the placebo arm (113 days (3.7 months)</w:t>
      </w:r>
      <w:r>
        <w:t>).</w:t>
      </w:r>
      <w:r w:rsidRPr="00BC07DC">
        <w:t xml:space="preserve"> </w:t>
      </w:r>
      <w:r>
        <w:t xml:space="preserve">In the </w:t>
      </w:r>
      <w:proofErr w:type="spellStart"/>
      <w:r>
        <w:t>olaparib</w:t>
      </w:r>
      <w:proofErr w:type="spellEnd"/>
      <w:r>
        <w:t xml:space="preserve"> arm, the most common AEs (reported by ≥</w:t>
      </w:r>
      <w:r w:rsidR="00F55DF6">
        <w:t> </w:t>
      </w:r>
      <w:r>
        <w:t xml:space="preserve">20% </w:t>
      </w:r>
      <w:r w:rsidR="00F55DF6">
        <w:t xml:space="preserve">of </w:t>
      </w:r>
      <w:r>
        <w:t>patients) were fatigue, nausea, abdominal pain, diarrhoea, anaemia, decreased appetite and constipation. In the placebo arm, the most common AEs (reported by ≥</w:t>
      </w:r>
      <w:r w:rsidR="00F55DF6">
        <w:t xml:space="preserve"> </w:t>
      </w:r>
      <w:r>
        <w:t xml:space="preserve">20% </w:t>
      </w:r>
      <w:r w:rsidR="00F55DF6">
        <w:t xml:space="preserve">of </w:t>
      </w:r>
      <w:r>
        <w:t>patients) were fatigue, abdominal pain and nausea.</w:t>
      </w:r>
    </w:p>
    <w:p w14:paraId="4E97EC82" w14:textId="74D9CB59" w:rsidR="00601799" w:rsidRDefault="00821803" w:rsidP="00821803">
      <w:r>
        <w:t xml:space="preserve">No new safety concerns associated with </w:t>
      </w:r>
      <w:proofErr w:type="spellStart"/>
      <w:r>
        <w:t>olaparib</w:t>
      </w:r>
      <w:proofErr w:type="spellEnd"/>
      <w:r>
        <w:t xml:space="preserve"> were identified in the POLO </w:t>
      </w:r>
      <w:r w:rsidR="00F55DF6">
        <w:t>trial</w:t>
      </w:r>
      <w:r>
        <w:t>.</w:t>
      </w:r>
    </w:p>
    <w:p w14:paraId="5CF6786E" w14:textId="77777777" w:rsidR="008E7846" w:rsidRDefault="00386150" w:rsidP="007B6132">
      <w:pPr>
        <w:pStyle w:val="Heading3"/>
        <w:rPr>
          <w:lang w:eastAsia="en-AU"/>
        </w:rPr>
      </w:pPr>
      <w:bookmarkStart w:id="44" w:name="_Toc314842514"/>
      <w:bookmarkStart w:id="45" w:name="_Toc71183718"/>
      <w:r>
        <w:rPr>
          <w:lang w:eastAsia="en-AU"/>
        </w:rPr>
        <w:t>Risk m</w:t>
      </w:r>
      <w:r w:rsidR="008E7846">
        <w:rPr>
          <w:lang w:eastAsia="en-AU"/>
        </w:rPr>
        <w:t xml:space="preserve">anagement </w:t>
      </w:r>
      <w:r>
        <w:rPr>
          <w:lang w:eastAsia="en-AU"/>
        </w:rPr>
        <w:t>p</w:t>
      </w:r>
      <w:r w:rsidR="008E7846">
        <w:rPr>
          <w:lang w:eastAsia="en-AU"/>
        </w:rPr>
        <w:t>lan</w:t>
      </w:r>
      <w:bookmarkEnd w:id="44"/>
      <w:bookmarkEnd w:id="45"/>
    </w:p>
    <w:p w14:paraId="67C8E2D5" w14:textId="77777777" w:rsidR="008E7846" w:rsidRDefault="007D53B6" w:rsidP="007D53B6">
      <w:r>
        <w:t>There was no requirement for a risk management plan evaluation for a submission of this type.</w:t>
      </w:r>
      <w:r>
        <w:rPr>
          <w:rStyle w:val="FootnoteReference"/>
        </w:rPr>
        <w:footnoteReference w:id="16"/>
      </w:r>
    </w:p>
    <w:p w14:paraId="20B2F2C7" w14:textId="77777777" w:rsidR="008E7846" w:rsidRDefault="00AA0ED0" w:rsidP="008E7846">
      <w:pPr>
        <w:pStyle w:val="Heading3"/>
      </w:pPr>
      <w:bookmarkStart w:id="46" w:name="_Toc247691531"/>
      <w:bookmarkStart w:id="47" w:name="_Toc314842515"/>
      <w:bookmarkStart w:id="48" w:name="_Toc196046505"/>
      <w:bookmarkStart w:id="49" w:name="_Toc196046949"/>
      <w:bookmarkStart w:id="50" w:name="_Toc71183719"/>
      <w:r>
        <w:t>Risk-benefit a</w:t>
      </w:r>
      <w:r w:rsidR="008E7846">
        <w:t>nalysis</w:t>
      </w:r>
      <w:bookmarkEnd w:id="46"/>
      <w:bookmarkEnd w:id="47"/>
      <w:bookmarkEnd w:id="50"/>
    </w:p>
    <w:p w14:paraId="0C187744" w14:textId="77777777" w:rsidR="00D23139" w:rsidRDefault="007D53B6" w:rsidP="00D23139">
      <w:pPr>
        <w:pStyle w:val="Heading4"/>
      </w:pPr>
      <w:r>
        <w:t>Delegate’s considerations</w:t>
      </w:r>
    </w:p>
    <w:p w14:paraId="21A41D4F" w14:textId="5C24F6DC" w:rsidR="00456765" w:rsidRDefault="00821803" w:rsidP="00821803">
      <w:pPr>
        <w:pStyle w:val="Heading5"/>
      </w:pPr>
      <w:r w:rsidRPr="00821803">
        <w:t>Adva</w:t>
      </w:r>
      <w:r>
        <w:t>nced ovarian cancer indication</w:t>
      </w:r>
    </w:p>
    <w:p w14:paraId="0217DD87" w14:textId="0492A03D" w:rsidR="00821803" w:rsidRDefault="00821803" w:rsidP="00821803">
      <w:r>
        <w:t xml:space="preserve">The major issue with the PAOLA-1 </w:t>
      </w:r>
      <w:r w:rsidR="00F55DF6">
        <w:t>trial</w:t>
      </w:r>
      <w:r>
        <w:t xml:space="preserve"> is the identification of patients likely to benefit from the addition of </w:t>
      </w:r>
      <w:proofErr w:type="spellStart"/>
      <w:r>
        <w:t>o</w:t>
      </w:r>
      <w:r w:rsidR="00994478">
        <w:t>laparib</w:t>
      </w:r>
      <w:proofErr w:type="spellEnd"/>
      <w:r w:rsidR="00994478">
        <w:t xml:space="preserve"> to bevacizumab in the first line</w:t>
      </w:r>
      <w:r>
        <w:t xml:space="preserve"> maintenance treatment of </w:t>
      </w:r>
      <w:r w:rsidR="00912CE8">
        <w:t xml:space="preserve">HGSC </w:t>
      </w:r>
      <w:r>
        <w:t xml:space="preserve">in patients who have responded to </w:t>
      </w:r>
      <w:r w:rsidR="00912CE8">
        <w:t>a p</w:t>
      </w:r>
      <w:r>
        <w:t>latinum</w:t>
      </w:r>
      <w:r w:rsidR="00912CE8">
        <w:t>-based regimen</w:t>
      </w:r>
      <w:r>
        <w:t xml:space="preserve"> + bevacizumab. Exploratory analyses suggest there are highly clinically significant differences in the extent of increase in PFS that can be expected based on tumour markers. Patients whose tumours were </w:t>
      </w:r>
      <w:proofErr w:type="spellStart"/>
      <w:r>
        <w:t>tBRCAm</w:t>
      </w:r>
      <w:proofErr w:type="spellEnd"/>
      <w:r w:rsidR="00912CE8">
        <w:noBreakHyphen/>
      </w:r>
      <w:r>
        <w:t xml:space="preserve">positive and negative were both demonstrated to have statistically significant increases in PFS with the addition of </w:t>
      </w:r>
      <w:proofErr w:type="spellStart"/>
      <w:r>
        <w:t>olaparib</w:t>
      </w:r>
      <w:proofErr w:type="spellEnd"/>
      <w:r>
        <w:t xml:space="preserve"> with the greatest benefit accruing to </w:t>
      </w:r>
      <w:proofErr w:type="spellStart"/>
      <w:r w:rsidRPr="00CC17DF">
        <w:t>tBRCAm</w:t>
      </w:r>
      <w:proofErr w:type="spellEnd"/>
      <w:r w:rsidR="00912CE8">
        <w:noBreakHyphen/>
      </w:r>
      <w:r w:rsidRPr="00CC17DF">
        <w:t>positive</w:t>
      </w:r>
      <w:r w:rsidR="00F55DF6">
        <w:t xml:space="preserve"> patients. </w:t>
      </w:r>
      <w:r>
        <w:t xml:space="preserve">Patients with </w:t>
      </w:r>
      <w:r w:rsidR="00912CE8">
        <w:t xml:space="preserve">a </w:t>
      </w:r>
      <w:r>
        <w:t xml:space="preserve">negative </w:t>
      </w:r>
      <w:r w:rsidRPr="00CF398E">
        <w:t>Myriad HRD status (</w:t>
      </w:r>
      <w:proofErr w:type="spellStart"/>
      <w:r w:rsidRPr="00CF398E">
        <w:t>tBRCAm</w:t>
      </w:r>
      <w:proofErr w:type="spellEnd"/>
      <w:r w:rsidRPr="00CF398E">
        <w:t xml:space="preserve"> o</w:t>
      </w:r>
      <w:r w:rsidR="00912CE8">
        <w:t>f</w:t>
      </w:r>
      <w:r w:rsidRPr="00CF398E">
        <w:t xml:space="preserve"> </w:t>
      </w:r>
      <w:r>
        <w:t>&lt;</w:t>
      </w:r>
      <w:r w:rsidR="00912CE8">
        <w:t> </w:t>
      </w:r>
      <w:r w:rsidRPr="00CF398E">
        <w:t>42 cut-off)</w:t>
      </w:r>
      <w:r>
        <w:t xml:space="preserve"> were not shown to have any benefit in terms of PFS in the </w:t>
      </w:r>
      <w:r w:rsidR="00F55DF6">
        <w:t xml:space="preserve">exploratory subgroup analysis. </w:t>
      </w:r>
      <w:r>
        <w:t xml:space="preserve">That group comprised 277 patients (192 given </w:t>
      </w:r>
      <w:proofErr w:type="spellStart"/>
      <w:r>
        <w:t>olaparib</w:t>
      </w:r>
      <w:proofErr w:type="spellEnd"/>
      <w:r>
        <w:t>; 85 given placebo) from a total patient population of 664 patients in whom Myriad testing was performed. If approval for all patients regardless of tumour markers wer</w:t>
      </w:r>
      <w:r w:rsidR="00F55DF6">
        <w:t>e to occur then potentially 277 out of</w:t>
      </w:r>
      <w:r>
        <w:t xml:space="preserve"> 664 (42%) of patients who are not expected to benefit from the addition of </w:t>
      </w:r>
      <w:proofErr w:type="spellStart"/>
      <w:r>
        <w:t>ol</w:t>
      </w:r>
      <w:r w:rsidR="00F55DF6">
        <w:t>aparib</w:t>
      </w:r>
      <w:proofErr w:type="spellEnd"/>
      <w:r w:rsidR="00F55DF6">
        <w:t xml:space="preserve"> would be exposed to it.</w:t>
      </w:r>
    </w:p>
    <w:p w14:paraId="689A344B" w14:textId="1604F456" w:rsidR="00821803" w:rsidRDefault="00821803" w:rsidP="00821803">
      <w:r>
        <w:t xml:space="preserve">It is clear that patients with tumours with genomic instability that is not due to </w:t>
      </w:r>
      <w:proofErr w:type="spellStart"/>
      <w:r>
        <w:t>tBRCAm</w:t>
      </w:r>
      <w:proofErr w:type="spellEnd"/>
      <w:r>
        <w:t xml:space="preserve"> responded to </w:t>
      </w:r>
      <w:proofErr w:type="spellStart"/>
      <w:r>
        <w:t>olaparib</w:t>
      </w:r>
      <w:proofErr w:type="spellEnd"/>
      <w:r>
        <w:t xml:space="preserve"> + bevacizumab and that the inclusion of these patients in the </w:t>
      </w:r>
      <w:proofErr w:type="spellStart"/>
      <w:r>
        <w:t>tBRCAm</w:t>
      </w:r>
      <w:proofErr w:type="spellEnd"/>
      <w:r>
        <w:t xml:space="preserve"> subgroup was a major factor in the demonstration o</w:t>
      </w:r>
      <w:r w:rsidR="00F55DF6">
        <w:t>f efficacy in that subgroup.</w:t>
      </w:r>
    </w:p>
    <w:p w14:paraId="7ED5208C" w14:textId="4EC9B6D9" w:rsidR="00821803" w:rsidRDefault="00821803" w:rsidP="00821803">
      <w:r>
        <w:t xml:space="preserve">Testing of tumours for </w:t>
      </w:r>
      <w:proofErr w:type="spellStart"/>
      <w:r>
        <w:t>tBRCAm</w:t>
      </w:r>
      <w:proofErr w:type="spellEnd"/>
      <w:r>
        <w:t xml:space="preserve"> is not routine in Australia and the Myriad test used in this study i</w:t>
      </w:r>
      <w:r w:rsidR="00F55DF6">
        <w:t xml:space="preserve">s not registered in Australia. </w:t>
      </w:r>
      <w:r>
        <w:t xml:space="preserve">The comparison of </w:t>
      </w:r>
      <w:r w:rsidR="00F55DF6">
        <w:t xml:space="preserve">372 out of </w:t>
      </w:r>
      <w:r w:rsidRPr="008544D0">
        <w:t xml:space="preserve">806 (46.2%) patients who had an available Myriad </w:t>
      </w:r>
      <w:proofErr w:type="spellStart"/>
      <w:r w:rsidRPr="008544D0">
        <w:t>tBRCA</w:t>
      </w:r>
      <w:proofErr w:type="spellEnd"/>
      <w:r w:rsidRPr="008544D0">
        <w:t xml:space="preserve"> test and a local germline test (by </w:t>
      </w:r>
      <w:proofErr w:type="spellStart"/>
      <w:r w:rsidRPr="008544D0">
        <w:t>eCRF</w:t>
      </w:r>
      <w:proofErr w:type="spellEnd"/>
      <w:r w:rsidRPr="008544D0">
        <w:t>)</w:t>
      </w:r>
      <w:r>
        <w:t xml:space="preserve"> was r</w:t>
      </w:r>
      <w:r w:rsidR="00F55DF6">
        <w:t xml:space="preserve">eported as showing that only 32 out of 372 (8.6%) had discordance </w:t>
      </w:r>
      <w:r w:rsidR="00EE2E1E">
        <w:t>(</w:t>
      </w:r>
      <w:r w:rsidR="00F55DF6">
        <w:t>that is,</w:t>
      </w:r>
      <w:r>
        <w:t xml:space="preserve"> </w:t>
      </w:r>
      <w:r w:rsidRPr="008544D0">
        <w:t>BRCA variant found in the tumour but not in the germline</w:t>
      </w:r>
      <w:r w:rsidR="00EE2E1E">
        <w:t>)</w:t>
      </w:r>
      <w:r>
        <w:t xml:space="preserve">. This suggests that </w:t>
      </w:r>
      <w:r w:rsidRPr="008544D0">
        <w:t xml:space="preserve">patients who are </w:t>
      </w:r>
      <w:proofErr w:type="spellStart"/>
      <w:r w:rsidRPr="008544D0">
        <w:t>gBRCAm</w:t>
      </w:r>
      <w:proofErr w:type="spellEnd"/>
      <w:r w:rsidRPr="008544D0">
        <w:t xml:space="preserve"> positive</w:t>
      </w:r>
      <w:r>
        <w:t xml:space="preserve"> do not require </w:t>
      </w:r>
      <w:r w:rsidRPr="008544D0">
        <w:t xml:space="preserve">testing of their tumours </w:t>
      </w:r>
      <w:r>
        <w:t>fo</w:t>
      </w:r>
      <w:r w:rsidRPr="008544D0">
        <w:t xml:space="preserve">r </w:t>
      </w:r>
      <w:proofErr w:type="spellStart"/>
      <w:r w:rsidRPr="008544D0">
        <w:t>tBRCAm</w:t>
      </w:r>
      <w:proofErr w:type="spellEnd"/>
      <w:r w:rsidRPr="008544D0">
        <w:t xml:space="preserve"> or </w:t>
      </w:r>
      <w:r>
        <w:t xml:space="preserve">for </w:t>
      </w:r>
      <w:r w:rsidRPr="008544D0">
        <w:t>germline instability</w:t>
      </w:r>
      <w:r>
        <w:t>. Other patients</w:t>
      </w:r>
      <w:r w:rsidRPr="008544D0">
        <w:t xml:space="preserve"> would require</w:t>
      </w:r>
      <w:r>
        <w:t xml:space="preserve"> assessment of their tumours for </w:t>
      </w:r>
      <w:proofErr w:type="spellStart"/>
      <w:r>
        <w:t>tBRCAm</w:t>
      </w:r>
      <w:proofErr w:type="spellEnd"/>
      <w:r>
        <w:t xml:space="preserve"> and/or genomic instability prior to consideration of the addition of </w:t>
      </w:r>
      <w:proofErr w:type="spellStart"/>
      <w:r>
        <w:t>olapar</w:t>
      </w:r>
      <w:r w:rsidR="00F55DF6">
        <w:t>ib</w:t>
      </w:r>
      <w:proofErr w:type="spellEnd"/>
      <w:r w:rsidR="00F55DF6">
        <w:t xml:space="preserve"> to their treatment regimen.</w:t>
      </w:r>
    </w:p>
    <w:p w14:paraId="514EA301" w14:textId="77777777" w:rsidR="00821803" w:rsidRDefault="00821803" w:rsidP="00821803">
      <w:r>
        <w:t>The FDA has limited the proposed indication to patients whose cancer is associated with homologous recombination deficiency (HRD)-positive status defined by either:</w:t>
      </w:r>
    </w:p>
    <w:p w14:paraId="50D038DA" w14:textId="1D2F8286" w:rsidR="00821803" w:rsidRDefault="00821803" w:rsidP="00F55DF6">
      <w:pPr>
        <w:pStyle w:val="ListBullet"/>
      </w:pPr>
      <w:r>
        <w:t xml:space="preserve">a deleterious or suspected deleterious </w:t>
      </w:r>
      <w:r w:rsidRPr="00EE2E1E">
        <w:rPr>
          <w:i/>
        </w:rPr>
        <w:t>BRCA</w:t>
      </w:r>
      <w:r>
        <w:t xml:space="preserve"> mutation, and/or</w:t>
      </w:r>
    </w:p>
    <w:p w14:paraId="5F21D4B7" w14:textId="4B33407E" w:rsidR="00821803" w:rsidRDefault="00821803" w:rsidP="00F55DF6">
      <w:pPr>
        <w:pStyle w:val="ListBullet"/>
      </w:pPr>
      <w:r>
        <w:t>genomic instability.</w:t>
      </w:r>
    </w:p>
    <w:p w14:paraId="5ED3EFF0" w14:textId="11D8B3D7" w:rsidR="00821803" w:rsidRDefault="00821803" w:rsidP="00821803">
      <w:r>
        <w:t xml:space="preserve">That indication includes </w:t>
      </w:r>
      <w:proofErr w:type="spellStart"/>
      <w:r>
        <w:t>gBRCAm</w:t>
      </w:r>
      <w:proofErr w:type="spellEnd"/>
      <w:r>
        <w:t xml:space="preserve"> positive patients and patients who are either </w:t>
      </w:r>
      <w:proofErr w:type="spellStart"/>
      <w:r>
        <w:t>tBRCAm</w:t>
      </w:r>
      <w:proofErr w:type="spellEnd"/>
      <w:r>
        <w:t xml:space="preserve"> positive or with genomic instability identified on th</w:t>
      </w:r>
      <w:r w:rsidR="00F55DF6">
        <w:t xml:space="preserve">e basis of laboratory testing. </w:t>
      </w:r>
      <w:r>
        <w:t xml:space="preserve">The indication in the USA does not specify that </w:t>
      </w:r>
      <w:r w:rsidR="00F55DF6">
        <w:t xml:space="preserve">Myriad HRD status is required. </w:t>
      </w:r>
      <w:r>
        <w:t>It is ope</w:t>
      </w:r>
      <w:r w:rsidR="00F55DF6">
        <w:t xml:space="preserve">n as to how </w:t>
      </w:r>
      <w:r w:rsidR="00F55DF6" w:rsidRPr="00EE2E1E">
        <w:rPr>
          <w:i/>
        </w:rPr>
        <w:t>BRCA</w:t>
      </w:r>
      <w:r w:rsidR="00912CE8">
        <w:noBreakHyphen/>
      </w:r>
      <w:r w:rsidR="00F55DF6">
        <w:t>positivity and/</w:t>
      </w:r>
      <w:r>
        <w:t>or genomic instability would be assessed and to what extent such instability would be required.</w:t>
      </w:r>
    </w:p>
    <w:p w14:paraId="5B2CED7E" w14:textId="3861ACCE" w:rsidR="00821803" w:rsidRDefault="00821803" w:rsidP="00821803">
      <w:pPr>
        <w:pStyle w:val="Heading5"/>
      </w:pPr>
      <w:r w:rsidRPr="00821803">
        <w:t>Adenocarcinoma of the</w:t>
      </w:r>
      <w:r>
        <w:t xml:space="preserve"> pancreas indication</w:t>
      </w:r>
    </w:p>
    <w:p w14:paraId="162F1D86" w14:textId="6AE5AD8A" w:rsidR="00821803" w:rsidRPr="00821803" w:rsidRDefault="00821803" w:rsidP="00821803">
      <w:r>
        <w:t>The PO</w:t>
      </w:r>
      <w:r w:rsidR="00F55DF6">
        <w:t>LO trial</w:t>
      </w:r>
      <w:r>
        <w:t xml:space="preserve"> has demonstrated that patients who have </w:t>
      </w:r>
      <w:proofErr w:type="spellStart"/>
      <w:r>
        <w:t>gBRCAm</w:t>
      </w:r>
      <w:proofErr w:type="spellEnd"/>
      <w:r>
        <w:t xml:space="preserve"> with adenocarcinoma of the pancreas and who have responded to at least 16 weeks of a platinum-based chemotherapy with at least stable disease are likely to have a clinically significant increase in PFS with f</w:t>
      </w:r>
      <w:r w:rsidR="00F55DF6">
        <w:t xml:space="preserve">ollow-on monotherapy </w:t>
      </w:r>
      <w:proofErr w:type="spellStart"/>
      <w:r w:rsidR="00F55DF6">
        <w:t>olaparib</w:t>
      </w:r>
      <w:proofErr w:type="spellEnd"/>
      <w:r w:rsidR="00F55DF6">
        <w:t xml:space="preserve">. </w:t>
      </w:r>
      <w:r>
        <w:t>These findings are based on an interim study re</w:t>
      </w:r>
      <w:r w:rsidR="00F55DF6">
        <w:t xml:space="preserve">port and OS data are immature. </w:t>
      </w:r>
      <w:r>
        <w:t>At this stage</w:t>
      </w:r>
      <w:r w:rsidR="00F55DF6">
        <w:t>,</w:t>
      </w:r>
      <w:r>
        <w:t xml:space="preserve"> there is no indication that </w:t>
      </w:r>
      <w:proofErr w:type="spellStart"/>
      <w:r>
        <w:t>olaparib</w:t>
      </w:r>
      <w:proofErr w:type="spellEnd"/>
      <w:r>
        <w:t xml:space="preserve"> will</w:t>
      </w:r>
      <w:r w:rsidR="00F55DF6">
        <w:t xml:space="preserve"> extend OS for these patients. </w:t>
      </w:r>
      <w:r>
        <w:t xml:space="preserve">Only a small minority of patients with adenocarcinoma of the pancreas would benefit from </w:t>
      </w:r>
      <w:proofErr w:type="spellStart"/>
      <w:r>
        <w:t>olaparib</w:t>
      </w:r>
      <w:proofErr w:type="spellEnd"/>
      <w:r>
        <w:t xml:space="preserve"> due to the relatively low incidence of </w:t>
      </w:r>
      <w:proofErr w:type="spellStart"/>
      <w:r>
        <w:t>gBRCAm</w:t>
      </w:r>
      <w:proofErr w:type="spellEnd"/>
      <w:r>
        <w:t xml:space="preserve"> in the Australian population.</w:t>
      </w:r>
    </w:p>
    <w:p w14:paraId="30051C9E" w14:textId="251EA2D0" w:rsidR="00D23139" w:rsidRDefault="00D23139" w:rsidP="00D23139">
      <w:pPr>
        <w:pStyle w:val="Heading4"/>
      </w:pPr>
      <w:r w:rsidRPr="00D23139">
        <w:t>Proposed action</w:t>
      </w:r>
    </w:p>
    <w:p w14:paraId="2358CD92" w14:textId="63F78074" w:rsidR="00821803" w:rsidRDefault="00821803" w:rsidP="00821803">
      <w:pPr>
        <w:pStyle w:val="Heading5"/>
      </w:pPr>
      <w:r w:rsidRPr="00821803">
        <w:t>Advanced ovarian cancer indication</w:t>
      </w:r>
    </w:p>
    <w:p w14:paraId="2386CF7D" w14:textId="52F383FF" w:rsidR="00821803" w:rsidRPr="00821803" w:rsidRDefault="00821803" w:rsidP="00821803">
      <w:pPr>
        <w:pStyle w:val="Instructions"/>
        <w:rPr>
          <w:i w:val="0"/>
          <w:color w:val="auto"/>
        </w:rPr>
      </w:pPr>
      <w:r w:rsidRPr="00821803">
        <w:rPr>
          <w:i w:val="0"/>
          <w:color w:val="auto"/>
        </w:rPr>
        <w:t>While a decision is ye</w:t>
      </w:r>
      <w:r w:rsidR="00F55DF6">
        <w:rPr>
          <w:i w:val="0"/>
          <w:color w:val="auto"/>
        </w:rPr>
        <w:t>t to be made, at this stage the Delegate is</w:t>
      </w:r>
      <w:r w:rsidRPr="00821803">
        <w:rPr>
          <w:i w:val="0"/>
          <w:color w:val="auto"/>
        </w:rPr>
        <w:t xml:space="preserve"> inclined to approve an extension </w:t>
      </w:r>
      <w:r w:rsidR="00094A0B">
        <w:rPr>
          <w:i w:val="0"/>
          <w:color w:val="auto"/>
        </w:rPr>
        <w:t xml:space="preserve">of indications </w:t>
      </w:r>
      <w:r w:rsidRPr="00821803">
        <w:rPr>
          <w:i w:val="0"/>
          <w:color w:val="auto"/>
        </w:rPr>
        <w:t xml:space="preserve">with modifications to the </w:t>
      </w:r>
      <w:r w:rsidR="00094A0B">
        <w:rPr>
          <w:i w:val="0"/>
          <w:color w:val="auto"/>
        </w:rPr>
        <w:t xml:space="preserve">proposed </w:t>
      </w:r>
      <w:r w:rsidRPr="00821803">
        <w:rPr>
          <w:i w:val="0"/>
          <w:color w:val="auto"/>
        </w:rPr>
        <w:t>indication.</w:t>
      </w:r>
    </w:p>
    <w:p w14:paraId="05D2C362" w14:textId="577E573A" w:rsidR="00821803" w:rsidRPr="00821803" w:rsidRDefault="00F55DF6" w:rsidP="00821803">
      <w:pPr>
        <w:pStyle w:val="Instructions"/>
        <w:rPr>
          <w:i w:val="0"/>
          <w:color w:val="auto"/>
        </w:rPr>
      </w:pPr>
      <w:r>
        <w:rPr>
          <w:i w:val="0"/>
          <w:color w:val="auto"/>
        </w:rPr>
        <w:t>The Delegate does</w:t>
      </w:r>
      <w:r w:rsidR="00821803" w:rsidRPr="00821803">
        <w:rPr>
          <w:i w:val="0"/>
          <w:color w:val="auto"/>
        </w:rPr>
        <w:t xml:space="preserve"> not consider it acceptable to approve the proposed indication as it is likely to expose about 42% of the proposed patient population to a medicine that has not demonstrated any efficacy in them.</w:t>
      </w:r>
    </w:p>
    <w:p w14:paraId="402D6229" w14:textId="2028B167" w:rsidR="00821803" w:rsidRDefault="00821803" w:rsidP="00821803">
      <w:pPr>
        <w:pStyle w:val="Instructions"/>
        <w:rPr>
          <w:i w:val="0"/>
          <w:color w:val="auto"/>
        </w:rPr>
      </w:pPr>
      <w:r w:rsidRPr="00821803">
        <w:rPr>
          <w:i w:val="0"/>
          <w:color w:val="auto"/>
        </w:rPr>
        <w:t>It is not c</w:t>
      </w:r>
      <w:r w:rsidR="00F55DF6">
        <w:rPr>
          <w:i w:val="0"/>
          <w:color w:val="auto"/>
        </w:rPr>
        <w:t>lear to the Delegate</w:t>
      </w:r>
      <w:r w:rsidRPr="00821803">
        <w:rPr>
          <w:i w:val="0"/>
          <w:color w:val="auto"/>
        </w:rPr>
        <w:t xml:space="preserve"> how the indication can be worded so as to allow access only </w:t>
      </w:r>
      <w:r w:rsidR="00F55DF6">
        <w:rPr>
          <w:i w:val="0"/>
          <w:color w:val="auto"/>
        </w:rPr>
        <w:t xml:space="preserve">to patients likely to benefit. </w:t>
      </w:r>
      <w:r w:rsidR="00994478">
        <w:rPr>
          <w:i w:val="0"/>
          <w:color w:val="auto"/>
        </w:rPr>
        <w:t xml:space="preserve">The </w:t>
      </w:r>
      <w:r w:rsidR="00994478" w:rsidRPr="00994478">
        <w:rPr>
          <w:color w:val="auto"/>
        </w:rPr>
        <w:t>in vitro</w:t>
      </w:r>
      <w:r w:rsidR="00994478">
        <w:rPr>
          <w:i w:val="0"/>
          <w:color w:val="auto"/>
        </w:rPr>
        <w:t xml:space="preserve"> diagnostic device</w:t>
      </w:r>
      <w:r w:rsidRPr="00821803">
        <w:rPr>
          <w:i w:val="0"/>
          <w:color w:val="auto"/>
        </w:rPr>
        <w:t xml:space="preserve"> use</w:t>
      </w:r>
      <w:r w:rsidR="00F55DF6">
        <w:rPr>
          <w:i w:val="0"/>
          <w:color w:val="auto"/>
        </w:rPr>
        <w:t xml:space="preserve">d in the study, Myriad </w:t>
      </w:r>
      <w:proofErr w:type="spellStart"/>
      <w:r w:rsidR="00F55DF6">
        <w:rPr>
          <w:i w:val="0"/>
          <w:color w:val="auto"/>
        </w:rPr>
        <w:t>myChoice</w:t>
      </w:r>
      <w:proofErr w:type="spellEnd"/>
      <w:r w:rsidRPr="00821803">
        <w:rPr>
          <w:i w:val="0"/>
          <w:color w:val="auto"/>
        </w:rPr>
        <w:t xml:space="preserve"> HRD Plus</w:t>
      </w:r>
      <w:r w:rsidR="00F55DF6">
        <w:rPr>
          <w:i w:val="0"/>
          <w:color w:val="auto"/>
        </w:rPr>
        <w:t>,</w:t>
      </w:r>
      <w:r w:rsidRPr="00821803">
        <w:rPr>
          <w:i w:val="0"/>
          <w:color w:val="auto"/>
        </w:rPr>
        <w:t xml:space="preserve"> is not registered in Australia and is not a product marketed by the sponsor of </w:t>
      </w:r>
      <w:proofErr w:type="spellStart"/>
      <w:r w:rsidRPr="00821803">
        <w:rPr>
          <w:i w:val="0"/>
          <w:color w:val="auto"/>
        </w:rPr>
        <w:t>olaparib</w:t>
      </w:r>
      <w:proofErr w:type="spellEnd"/>
      <w:r w:rsidRPr="00821803">
        <w:rPr>
          <w:i w:val="0"/>
          <w:color w:val="auto"/>
        </w:rPr>
        <w:t xml:space="preserve"> in other jurisdictions.</w:t>
      </w:r>
    </w:p>
    <w:p w14:paraId="7C7F4D38" w14:textId="7EDB5C13" w:rsidR="00821803" w:rsidRPr="00384A64" w:rsidRDefault="00821803" w:rsidP="00821803">
      <w:pPr>
        <w:pStyle w:val="Instructions"/>
        <w:rPr>
          <w:i w:val="0"/>
          <w:color w:val="auto"/>
        </w:rPr>
      </w:pPr>
      <w:r>
        <w:rPr>
          <w:i w:val="0"/>
          <w:color w:val="auto"/>
        </w:rPr>
        <w:t>Given the above considerations, a</w:t>
      </w:r>
      <w:r w:rsidR="00F55DF6">
        <w:rPr>
          <w:i w:val="0"/>
          <w:color w:val="auto"/>
        </w:rPr>
        <w:t>t this stage the Delegate</w:t>
      </w:r>
      <w:r w:rsidRPr="00384A64">
        <w:rPr>
          <w:i w:val="0"/>
          <w:color w:val="auto"/>
        </w:rPr>
        <w:t xml:space="preserve"> propose</w:t>
      </w:r>
      <w:r w:rsidR="00F55DF6">
        <w:rPr>
          <w:i w:val="0"/>
          <w:color w:val="auto"/>
        </w:rPr>
        <w:t>s</w:t>
      </w:r>
      <w:r w:rsidRPr="00384A64">
        <w:rPr>
          <w:i w:val="0"/>
          <w:color w:val="auto"/>
        </w:rPr>
        <w:t xml:space="preserve"> the following indication:</w:t>
      </w:r>
    </w:p>
    <w:p w14:paraId="3AC2541B" w14:textId="225390E5" w:rsidR="00821803" w:rsidRPr="00F55DF6" w:rsidRDefault="00821803" w:rsidP="00F55DF6">
      <w:pPr>
        <w:pStyle w:val="Instructions"/>
        <w:ind w:left="360"/>
        <w:rPr>
          <w:color w:val="auto"/>
        </w:rPr>
      </w:pPr>
      <w:r w:rsidRPr="00F55DF6">
        <w:rPr>
          <w:color w:val="auto"/>
        </w:rPr>
        <w:t>in combination with bevacizumab for the 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w:t>
      </w:r>
    </w:p>
    <w:p w14:paraId="4C2165E7" w14:textId="1B8E459E" w:rsidR="00821803" w:rsidRPr="00F55DF6" w:rsidRDefault="00821803" w:rsidP="00F55DF6">
      <w:pPr>
        <w:pStyle w:val="ListBullet"/>
        <w:ind w:left="720"/>
        <w:rPr>
          <w:i/>
        </w:rPr>
      </w:pPr>
      <w:r w:rsidRPr="00F55DF6">
        <w:rPr>
          <w:i/>
        </w:rPr>
        <w:t>a deleterious or suspected deleterious BRCA mutation (germline or somatic), and/or</w:t>
      </w:r>
    </w:p>
    <w:p w14:paraId="384F1D72" w14:textId="4006D769" w:rsidR="00821803" w:rsidRPr="00F55DF6" w:rsidRDefault="00821803" w:rsidP="00F55DF6">
      <w:pPr>
        <w:pStyle w:val="ListBullet"/>
        <w:ind w:left="720"/>
        <w:rPr>
          <w:i/>
        </w:rPr>
      </w:pPr>
      <w:r w:rsidRPr="00F55DF6">
        <w:rPr>
          <w:i/>
        </w:rPr>
        <w:t>genomic instability.</w:t>
      </w:r>
    </w:p>
    <w:p w14:paraId="41BCB4D1" w14:textId="63F38438" w:rsidR="00821803" w:rsidRPr="00F55DF6" w:rsidRDefault="00821803" w:rsidP="00F55DF6">
      <w:pPr>
        <w:ind w:left="360"/>
        <w:rPr>
          <w:i/>
        </w:rPr>
      </w:pPr>
      <w:r w:rsidRPr="00F55DF6">
        <w:rPr>
          <w:i/>
        </w:rPr>
        <w:t>HRD status should be determined by an experienced laboratory using a validated test method.</w:t>
      </w:r>
    </w:p>
    <w:p w14:paraId="102455A1" w14:textId="1D28D3EE" w:rsidR="00E568F5" w:rsidRDefault="00E568F5" w:rsidP="00821803">
      <w:r>
        <w:t>The Delegate sought advice from the Advisory committee on the advanced ovarian cancer indication (see ‘</w:t>
      </w:r>
      <w:r w:rsidRPr="00E568F5">
        <w:rPr>
          <w:i/>
        </w:rPr>
        <w:fldChar w:fldCharType="begin"/>
      </w:r>
      <w:r w:rsidRPr="00E568F5">
        <w:rPr>
          <w:i/>
        </w:rPr>
        <w:instrText xml:space="preserve"> REF _Ref66194068 \h </w:instrText>
      </w:r>
      <w:r>
        <w:rPr>
          <w:i/>
        </w:rPr>
        <w:instrText xml:space="preserve"> \* MERGEFORMAT </w:instrText>
      </w:r>
      <w:r w:rsidRPr="00E568F5">
        <w:rPr>
          <w:i/>
        </w:rPr>
      </w:r>
      <w:r w:rsidRPr="00E568F5">
        <w:rPr>
          <w:i/>
        </w:rPr>
        <w:fldChar w:fldCharType="separate"/>
      </w:r>
      <w:r w:rsidR="00A11EA7" w:rsidRPr="00A11EA7">
        <w:rPr>
          <w:i/>
        </w:rPr>
        <w:t>Advisory Committee considerations</w:t>
      </w:r>
      <w:r w:rsidRPr="00E568F5">
        <w:rPr>
          <w:i/>
        </w:rPr>
        <w:fldChar w:fldCharType="end"/>
      </w:r>
      <w:r>
        <w:t>’ section, below).</w:t>
      </w:r>
    </w:p>
    <w:p w14:paraId="24C3A387" w14:textId="77777777" w:rsidR="00821803" w:rsidRDefault="00821803" w:rsidP="00821803">
      <w:pPr>
        <w:pStyle w:val="Heading5"/>
      </w:pPr>
      <w:r>
        <w:t>Adenocarcinoma of the pancreas indication</w:t>
      </w:r>
    </w:p>
    <w:p w14:paraId="18D4A4D7" w14:textId="32E27DB5" w:rsidR="00821803" w:rsidRDefault="00821803" w:rsidP="00821803">
      <w:r w:rsidRPr="00BC07DC">
        <w:t>The proposed indication should be approved with minor amendments to reflect the patient group in which an increase in PFS was demonstrate</w:t>
      </w:r>
      <w:r w:rsidR="00F55DF6">
        <w:t xml:space="preserve">d. </w:t>
      </w:r>
      <w:r w:rsidRPr="00BC07DC">
        <w:t xml:space="preserve">Minor amendments are also recommended to the description of the clinical trial to be included in the </w:t>
      </w:r>
      <w:r w:rsidR="00F55DF6">
        <w:t>PI</w:t>
      </w:r>
      <w:r w:rsidRPr="00BC07DC">
        <w:t>.</w:t>
      </w:r>
    </w:p>
    <w:p w14:paraId="31CC3E8E" w14:textId="7FF5B36D" w:rsidR="00E568F5" w:rsidRPr="00821803" w:rsidRDefault="00E568F5" w:rsidP="00821803">
      <w:r>
        <w:t xml:space="preserve">The Delegate did not seek advice from the Advisory Committee </w:t>
      </w:r>
      <w:r w:rsidR="00842B51">
        <w:t xml:space="preserve">regarding </w:t>
      </w:r>
      <w:r>
        <w:t>the proposed adenocarcinoma of the pancreas indication.</w:t>
      </w:r>
    </w:p>
    <w:p w14:paraId="240EAFE1" w14:textId="77777777" w:rsidR="007D53B6" w:rsidRDefault="00744121" w:rsidP="007D53B6">
      <w:pPr>
        <w:pStyle w:val="Heading4"/>
      </w:pPr>
      <w:r>
        <w:t>I</w:t>
      </w:r>
      <w:r w:rsidR="007D53B6">
        <w:t>ndependent expert advice</w:t>
      </w:r>
    </w:p>
    <w:p w14:paraId="1F9DCA63" w14:textId="57C85750" w:rsidR="006D6F36" w:rsidRDefault="006D6F36" w:rsidP="00744121">
      <w:r>
        <w:t>The Delegate sought independent expert clinical advice on the advanced ovarian cancer indication, asking the following questions:</w:t>
      </w:r>
    </w:p>
    <w:p w14:paraId="23D041F9" w14:textId="589FCE06" w:rsidR="00E568F5" w:rsidRPr="00D92A18" w:rsidRDefault="00E568F5" w:rsidP="00E568F5">
      <w:pPr>
        <w:pStyle w:val="ListBullet"/>
        <w:rPr>
          <w:lang w:eastAsia="en-AU"/>
        </w:rPr>
      </w:pPr>
      <w:r w:rsidRPr="00D92A18">
        <w:rPr>
          <w:lang w:eastAsia="en-AU"/>
        </w:rPr>
        <w:t xml:space="preserve">The extent of tumour biomarker testing for </w:t>
      </w:r>
      <w:r w:rsidR="006D6F36">
        <w:rPr>
          <w:lang w:eastAsia="en-AU"/>
        </w:rPr>
        <w:t>serous ovarian carcinoma</w:t>
      </w:r>
      <w:r w:rsidRPr="00D92A18">
        <w:rPr>
          <w:lang w:eastAsia="en-AU"/>
        </w:rPr>
        <w:t xml:space="preserve"> in Australia.</w:t>
      </w:r>
    </w:p>
    <w:p w14:paraId="077FA236" w14:textId="77777777" w:rsidR="00E568F5" w:rsidRPr="00D92A18" w:rsidRDefault="00E568F5" w:rsidP="00E568F5">
      <w:pPr>
        <w:pStyle w:val="ListBullet"/>
        <w:rPr>
          <w:lang w:eastAsia="en-AU"/>
        </w:rPr>
      </w:pPr>
      <w:r w:rsidRPr="00D92A18">
        <w:rPr>
          <w:lang w:eastAsia="en-AU"/>
        </w:rPr>
        <w:t xml:space="preserve">Whether gene instability and </w:t>
      </w:r>
      <w:proofErr w:type="spellStart"/>
      <w:r w:rsidRPr="00D92A18">
        <w:rPr>
          <w:lang w:eastAsia="en-AU"/>
        </w:rPr>
        <w:t>tBRCA</w:t>
      </w:r>
      <w:proofErr w:type="spellEnd"/>
      <w:r w:rsidRPr="00D92A18">
        <w:rPr>
          <w:lang w:eastAsia="en-AU"/>
        </w:rPr>
        <w:t xml:space="preserve"> tests are available.</w:t>
      </w:r>
    </w:p>
    <w:p w14:paraId="04C7E641" w14:textId="61DA0B13" w:rsidR="007D53B6" w:rsidRDefault="00E568F5" w:rsidP="00E568F5">
      <w:pPr>
        <w:pStyle w:val="ListBullet"/>
      </w:pPr>
      <w:r w:rsidRPr="00D92A18">
        <w:rPr>
          <w:lang w:eastAsia="en-AU"/>
        </w:rPr>
        <w:t>Is a specific extent and duration of response required to platinum based therapy required?</w:t>
      </w:r>
    </w:p>
    <w:p w14:paraId="04E7CD9E" w14:textId="4226D637" w:rsidR="006D6F36" w:rsidRDefault="006D6F36" w:rsidP="006D6F36">
      <w:r w:rsidRPr="006D6F36">
        <w:t>The Delegate received the following independent expert advice</w:t>
      </w:r>
      <w:r>
        <w:t xml:space="preserve"> in response to their questions</w:t>
      </w:r>
      <w:r w:rsidRPr="006D6F36">
        <w:t>.</w:t>
      </w:r>
    </w:p>
    <w:p w14:paraId="0565DDA0" w14:textId="658263EE" w:rsidR="00E568F5" w:rsidRPr="006D6F36" w:rsidRDefault="00E568F5" w:rsidP="006D6F36">
      <w:pPr>
        <w:pStyle w:val="ListBullet"/>
      </w:pPr>
      <w:r w:rsidRPr="00EE2E1E">
        <w:rPr>
          <w:i/>
        </w:rPr>
        <w:t>BRCA</w:t>
      </w:r>
      <w:r w:rsidRPr="006D6F36">
        <w:t xml:space="preserve"> testing for </w:t>
      </w:r>
      <w:r w:rsidR="006D6F36">
        <w:rPr>
          <w:lang w:eastAsia="en-AU"/>
        </w:rPr>
        <w:t>serous ovarian carcinoma</w:t>
      </w:r>
      <w:r w:rsidR="006D6F36" w:rsidRPr="00D92A18">
        <w:rPr>
          <w:lang w:eastAsia="en-AU"/>
        </w:rPr>
        <w:t xml:space="preserve"> </w:t>
      </w:r>
      <w:r w:rsidRPr="006D6F36">
        <w:t>is performed in Australia</w:t>
      </w:r>
      <w:r w:rsidR="00AE22B1">
        <w:t>,</w:t>
      </w:r>
      <w:r w:rsidRPr="006D6F36">
        <w:t xml:space="preserve"> however</w:t>
      </w:r>
      <w:r w:rsidR="00AE22B1">
        <w:t>,</w:t>
      </w:r>
      <w:r w:rsidRPr="006D6F36">
        <w:t xml:space="preserve"> HRD testi</w:t>
      </w:r>
      <w:r w:rsidR="006D6F36">
        <w:t>ng is not routinely performed.</w:t>
      </w:r>
    </w:p>
    <w:p w14:paraId="2FF3F421" w14:textId="70835E1A" w:rsidR="00E568F5" w:rsidRPr="006D6F36" w:rsidRDefault="00994478" w:rsidP="006D6F36">
      <w:pPr>
        <w:pStyle w:val="ListBullet"/>
      </w:pPr>
      <w:r>
        <w:t>Four</w:t>
      </w:r>
      <w:r w:rsidR="00E568F5" w:rsidRPr="006D6F36">
        <w:t xml:space="preserve"> cycles of platinum-based therapy is sufficient to determine whether t</w:t>
      </w:r>
      <w:r w:rsidR="006D6F36" w:rsidRPr="006D6F36">
        <w:t xml:space="preserve">he </w:t>
      </w:r>
      <w:r w:rsidR="006D6F36">
        <w:rPr>
          <w:lang w:eastAsia="en-AU"/>
        </w:rPr>
        <w:t>serous ovarian carcinoma</w:t>
      </w:r>
      <w:r w:rsidR="006D6F36" w:rsidRPr="006D6F36">
        <w:t xml:space="preserve"> is platinum sensitive.</w:t>
      </w:r>
    </w:p>
    <w:p w14:paraId="3CE967E3" w14:textId="73430953" w:rsidR="00E568F5" w:rsidRPr="006D6F36" w:rsidRDefault="00E568F5" w:rsidP="006D6F36">
      <w:pPr>
        <w:pStyle w:val="ListBullet"/>
      </w:pPr>
      <w:r w:rsidRPr="006D6F36">
        <w:t xml:space="preserve">It was advised that the indication should reflect </w:t>
      </w:r>
      <w:r w:rsidR="006D6F36">
        <w:t>the clinical trial evidence that is,</w:t>
      </w:r>
      <w:r w:rsidRPr="006D6F36">
        <w:t xml:space="preserve"> it should be limited to patients who responded to first-line platinum-based chemotherapy </w:t>
      </w:r>
      <w:r w:rsidR="00842B51" w:rsidRPr="00EE2E1E">
        <w:rPr>
          <w:i/>
        </w:rPr>
        <w:t>and</w:t>
      </w:r>
      <w:r w:rsidR="00842B51" w:rsidRPr="006D6F36">
        <w:t xml:space="preserve"> </w:t>
      </w:r>
      <w:r w:rsidRPr="006D6F36">
        <w:t xml:space="preserve">whose cancer was </w:t>
      </w:r>
      <w:r w:rsidR="006D6F36">
        <w:t>HRD</w:t>
      </w:r>
      <w:r w:rsidRPr="006D6F36">
        <w:t>-positive, defined by either:</w:t>
      </w:r>
    </w:p>
    <w:p w14:paraId="61433765" w14:textId="702CA544" w:rsidR="00E568F5" w:rsidRDefault="00E568F5" w:rsidP="006D6F36">
      <w:pPr>
        <w:pStyle w:val="ListBullet2"/>
      </w:pPr>
      <w:r>
        <w:t xml:space="preserve">a deleterious or suspected deleterious </w:t>
      </w:r>
      <w:r w:rsidRPr="00EE2E1E">
        <w:rPr>
          <w:i/>
        </w:rPr>
        <w:t>BRCA</w:t>
      </w:r>
      <w:r>
        <w:t xml:space="preserve"> mutation, and/or</w:t>
      </w:r>
    </w:p>
    <w:p w14:paraId="6AB105EA" w14:textId="32A3704C" w:rsidR="00E568F5" w:rsidRDefault="00E568F5" w:rsidP="006D6F36">
      <w:pPr>
        <w:pStyle w:val="ListBullet2"/>
      </w:pPr>
      <w:r>
        <w:t>genomic instability.</w:t>
      </w:r>
    </w:p>
    <w:p w14:paraId="2628A647" w14:textId="243CD540" w:rsidR="00E568F5" w:rsidRDefault="00E568F5" w:rsidP="006D6F36">
      <w:pPr>
        <w:pStyle w:val="ListBullet"/>
      </w:pPr>
      <w:r>
        <w:t>The absence of routine testing for HRD status in Australia should not influence the indication.</w:t>
      </w:r>
    </w:p>
    <w:p w14:paraId="03D90D8E" w14:textId="77777777" w:rsidR="008E7846" w:rsidRDefault="008E7846" w:rsidP="007D53B6">
      <w:pPr>
        <w:pStyle w:val="Heading4"/>
      </w:pPr>
      <w:bookmarkStart w:id="51" w:name="_Ref66194068"/>
      <w:r>
        <w:t xml:space="preserve">Advisory Committee </w:t>
      </w:r>
      <w:r w:rsidR="007D53B6">
        <w:t>c</w:t>
      </w:r>
      <w:r>
        <w:t>onsiderations</w:t>
      </w:r>
      <w:r w:rsidR="00456765">
        <w:rPr>
          <w:rStyle w:val="FootnoteReference"/>
        </w:rPr>
        <w:footnoteReference w:id="17"/>
      </w:r>
      <w:bookmarkEnd w:id="51"/>
    </w:p>
    <w:p w14:paraId="38E9AE11" w14:textId="77777777" w:rsidR="00744121" w:rsidRDefault="00744121" w:rsidP="00744121">
      <w:pPr>
        <w:rPr>
          <w:bCs/>
        </w:rPr>
      </w:pPr>
      <w:bookmarkStart w:id="52" w:name="_Toc247691532"/>
      <w:bookmarkStart w:id="53" w:name="_Toc314842516"/>
      <w:bookmarkEnd w:id="31"/>
      <w:bookmarkEnd w:id="48"/>
      <w:bookmarkEnd w:id="49"/>
      <w:r w:rsidRPr="00456765">
        <w:rPr>
          <w:bCs/>
        </w:rPr>
        <w:t>The Advisory Committee on Medicines (ACM), having considered the evaluations and the Delegate’s overview, as well as the sponsor’s response to these documents, advised the following</w:t>
      </w:r>
      <w:r>
        <w:rPr>
          <w:bCs/>
        </w:rPr>
        <w:t>.</w:t>
      </w:r>
    </w:p>
    <w:p w14:paraId="77C7A5D4" w14:textId="57553CB6" w:rsidR="00744121" w:rsidRDefault="00744121" w:rsidP="00744121">
      <w:pPr>
        <w:pStyle w:val="Heading5"/>
      </w:pPr>
      <w:r>
        <w:t xml:space="preserve">Specific advice to the </w:t>
      </w:r>
      <w:r w:rsidR="00EC1515">
        <w:t>d</w:t>
      </w:r>
      <w:r>
        <w:t>elegate</w:t>
      </w:r>
    </w:p>
    <w:p w14:paraId="08B4B5F4" w14:textId="4C4649C2" w:rsidR="00372841" w:rsidRDefault="00372841" w:rsidP="00372841">
      <w:r>
        <w:t>The ACM advised the following in response to the Delegate’s specific request for advice.</w:t>
      </w:r>
    </w:p>
    <w:p w14:paraId="15F128D1" w14:textId="58A1092C" w:rsidR="00372841" w:rsidRPr="00372841" w:rsidRDefault="00372841" w:rsidP="00372841">
      <w:pPr>
        <w:pStyle w:val="Numberbullet0"/>
        <w:rPr>
          <w:b/>
          <w:i/>
        </w:rPr>
      </w:pPr>
      <w:r w:rsidRPr="00372841">
        <w:rPr>
          <w:b/>
          <w:i/>
        </w:rPr>
        <w:t xml:space="preserve">Whether the proposed indication is likely to adequately reflect the available evidence of efficacy and not unduly limit access to patients likely to benefit from </w:t>
      </w:r>
      <w:r w:rsidR="006D6F36" w:rsidRPr="00372841">
        <w:rPr>
          <w:b/>
          <w:i/>
        </w:rPr>
        <w:t>Lynparza</w:t>
      </w:r>
      <w:r w:rsidRPr="00372841">
        <w:rPr>
          <w:b/>
          <w:i/>
        </w:rPr>
        <w:t>.</w:t>
      </w:r>
    </w:p>
    <w:p w14:paraId="5FB78D8D" w14:textId="543D84A0" w:rsidR="00372841" w:rsidRDefault="00372841" w:rsidP="00372841">
      <w:r>
        <w:t xml:space="preserve">The ACM advised that the proposed indication should reflect the current clinical trial data which demonstrates a clinically and statistically significant benefit in survival for </w:t>
      </w:r>
      <w:r w:rsidR="006D6F36">
        <w:t>HRD</w:t>
      </w:r>
      <w:r>
        <w:t xml:space="preserve"> positive and </w:t>
      </w:r>
      <w:proofErr w:type="spellStart"/>
      <w:r w:rsidR="006D6F36">
        <w:t>tBRCAm</w:t>
      </w:r>
      <w:proofErr w:type="spellEnd"/>
      <w:r w:rsidR="006D6F36">
        <w:t xml:space="preserve"> patients.</w:t>
      </w:r>
    </w:p>
    <w:p w14:paraId="1FBE39D5" w14:textId="2AC63B6B" w:rsidR="00372841" w:rsidRDefault="00372841" w:rsidP="00372841">
      <w:r>
        <w:t>The ACM commented that while the PAOLA 1 trial did demonstrate an overall treatment arm benefit (22.1 months) for PFS against the placebo (16.6 months), examination of the subgroup data showed the benefit was limited to t</w:t>
      </w:r>
      <w:r w:rsidR="00BB13FE">
        <w:t xml:space="preserve">he </w:t>
      </w:r>
      <w:proofErr w:type="spellStart"/>
      <w:r w:rsidR="00BB13FE">
        <w:t>tBRCAm</w:t>
      </w:r>
      <w:proofErr w:type="spellEnd"/>
      <w:r w:rsidR="00BB13FE">
        <w:t xml:space="preserve"> (37.2 months) and HRD </w:t>
      </w:r>
      <w:r>
        <w:t>positive (37.2 months) cohorts. The ACM also commented that the HRD negative and failed/missing/cancelled status cohorts did not hav</w:t>
      </w:r>
      <w:r w:rsidR="00BB13FE">
        <w:t>e benefit on subgroup analysis.</w:t>
      </w:r>
    </w:p>
    <w:p w14:paraId="5FBD7186" w14:textId="61681421" w:rsidR="00372841" w:rsidRDefault="00372841" w:rsidP="00372841">
      <w:r>
        <w:t xml:space="preserve">The ACM noted that the toxicity profile of </w:t>
      </w:r>
      <w:proofErr w:type="spellStart"/>
      <w:r>
        <w:t>olaparib</w:t>
      </w:r>
      <w:proofErr w:type="spellEnd"/>
      <w:r>
        <w:t xml:space="preserve">, whilst modest, has an impact on treatment and was therefore of the view that </w:t>
      </w:r>
      <w:r w:rsidR="00BB13FE">
        <w:t>Lynparza</w:t>
      </w:r>
      <w:r>
        <w:t xml:space="preserve"> should be restricted to cohorts where efficacy is clearly demonstrated; </w:t>
      </w:r>
      <w:proofErr w:type="spellStart"/>
      <w:r>
        <w:t>tBRCAm</w:t>
      </w:r>
      <w:proofErr w:type="spellEnd"/>
      <w:r w:rsidR="00842B51">
        <w:noBreakHyphen/>
      </w:r>
      <w:r>
        <w:t>positive or HRD</w:t>
      </w:r>
      <w:r w:rsidR="00842B51">
        <w:noBreakHyphen/>
      </w:r>
      <w:r>
        <w:t>positive cohorts. Noting this recommendation also aligns wi</w:t>
      </w:r>
      <w:r w:rsidR="00BB13FE">
        <w:t>th the FDA and European Medicines Agency indications.</w:t>
      </w:r>
    </w:p>
    <w:p w14:paraId="01B91706" w14:textId="3C68ED56" w:rsidR="00372841" w:rsidRDefault="00372841" w:rsidP="00372841">
      <w:r>
        <w:t>The ACM discussed access to genomic instability testing, noting that currently there are limited Australian–based options, and patients can utilise testing available overseas. Although the ACM acknowledged potential challenges if patients were unable to access suitable testing, overall the ACM was of the view that the potential absence of genomic instability testing does not warrant an opening of the indication (removal of HRD status), reiterating the concerns of treatment related toxicity without proven benefit for HRD negative or failed/missing/cancelled status should the indication exclude the H</w:t>
      </w:r>
      <w:r w:rsidR="00BB13FE">
        <w:t>RD status.</w:t>
      </w:r>
    </w:p>
    <w:p w14:paraId="34B4DF87" w14:textId="14933225" w:rsidR="00372841" w:rsidRDefault="00372841" w:rsidP="00372841">
      <w:r>
        <w:t>Regarding the wording for the ovarian cancer aspect of the indication, the ACM recommended using the terminology ‘pathogenic or likely pathogenic’ instead of ‘deleterious or suspected deleterious’ when describing BRCA mutations, and/or genomic instability, stating pathog</w:t>
      </w:r>
      <w:r w:rsidR="00BB13FE">
        <w:t>enic is the more accurate term.</w:t>
      </w:r>
    </w:p>
    <w:p w14:paraId="432F2E9A" w14:textId="1644FADF" w:rsidR="00372841" w:rsidRPr="00372841" w:rsidRDefault="00372841" w:rsidP="00372841">
      <w:r>
        <w:t xml:space="preserve">The ACM were also supportive of the inclusion of a statement within the clinical trial section of the PI describing the PAOLO-1 </w:t>
      </w:r>
      <w:r w:rsidR="00BB13FE">
        <w:t>trial</w:t>
      </w:r>
      <w:r>
        <w:t>, outlining that no benefit was demonstrated in patients whose cancer was not associated with genomic instability.</w:t>
      </w:r>
    </w:p>
    <w:p w14:paraId="28C12FC5" w14:textId="51AB55D1" w:rsidR="00744121" w:rsidRDefault="00744121" w:rsidP="00744121">
      <w:pPr>
        <w:pStyle w:val="Heading5"/>
      </w:pPr>
      <w:r>
        <w:t>Conclusion</w:t>
      </w:r>
    </w:p>
    <w:p w14:paraId="468C3647" w14:textId="5F027F22" w:rsidR="00372841" w:rsidRDefault="00372841" w:rsidP="00372841">
      <w:r>
        <w:t>The ACM considered this product to have an overall positive benefit-risk profile for the indication:</w:t>
      </w:r>
    </w:p>
    <w:p w14:paraId="35080ECA" w14:textId="0C0B2886" w:rsidR="00372841" w:rsidRPr="00372841" w:rsidRDefault="00372841" w:rsidP="00372841">
      <w:pPr>
        <w:ind w:left="720"/>
        <w:rPr>
          <w:i/>
        </w:rPr>
      </w:pPr>
      <w:r w:rsidRPr="00372841">
        <w:rPr>
          <w:i/>
        </w:rPr>
        <w:t>In combination with bevacizumab for the maintenance treatment of adult patients with advanced high-grade epithelial ovarian, fallopian tube or primary peritoneal cancer who are in response (complete response or partial response) to first-line platinum-based chemotherapy with bevacizumab and whose cancer is associated with homologous recombination deficiency (HRD)-positive status defined by either a pathogenic or likely pathogenic BRCA mutation, and/or genomic instability. Homologous recombination deficiency status should be determined by an experienced laboratory using a validated test method.</w:t>
      </w:r>
    </w:p>
    <w:p w14:paraId="1DE6B563" w14:textId="77777777" w:rsidR="008E7846" w:rsidRPr="002E238E" w:rsidRDefault="008E7846" w:rsidP="008E7846">
      <w:pPr>
        <w:pStyle w:val="Heading3"/>
      </w:pPr>
      <w:bookmarkStart w:id="54" w:name="_Toc71183720"/>
      <w:r>
        <w:t>Outcome</w:t>
      </w:r>
      <w:bookmarkEnd w:id="52"/>
      <w:bookmarkEnd w:id="53"/>
      <w:bookmarkEnd w:id="54"/>
    </w:p>
    <w:p w14:paraId="36C94E43" w14:textId="744ACAF3" w:rsidR="00744121" w:rsidRDefault="00744121" w:rsidP="00744121">
      <w:bookmarkStart w:id="55" w:name="_Toc247691533"/>
      <w:bookmarkStart w:id="56" w:name="_Toc314842517"/>
      <w:r>
        <w:t xml:space="preserve">Based on a review of quality, safety and efficacy, the TGA approved the registration of </w:t>
      </w:r>
      <w:r w:rsidR="002C1586">
        <w:t>Lynparza</w:t>
      </w:r>
      <w:r w:rsidR="002C1586" w:rsidRPr="00250271">
        <w:t xml:space="preserve"> (</w:t>
      </w:r>
      <w:proofErr w:type="spellStart"/>
      <w:r w:rsidR="002C1586">
        <w:t>olaparib</w:t>
      </w:r>
      <w:proofErr w:type="spellEnd"/>
      <w:r w:rsidR="002C1586" w:rsidRPr="00250271">
        <w:t xml:space="preserve">) </w:t>
      </w:r>
      <w:r w:rsidR="002C1586">
        <w:t>100 mg</w:t>
      </w:r>
      <w:r w:rsidR="00AE22B1">
        <w:t xml:space="preserve"> and </w:t>
      </w:r>
      <w:r w:rsidR="002C1586">
        <w:t>150 mg film coated tablets blister pack</w:t>
      </w:r>
      <w:r>
        <w:t>, for the following extension of indications:</w:t>
      </w:r>
    </w:p>
    <w:p w14:paraId="63CC3C20" w14:textId="77777777" w:rsidR="004C74B9" w:rsidRPr="004C74B9" w:rsidRDefault="004C74B9" w:rsidP="002C1586">
      <w:pPr>
        <w:ind w:left="720"/>
        <w:rPr>
          <w:i/>
        </w:rPr>
      </w:pPr>
      <w:r w:rsidRPr="004C74B9">
        <w:rPr>
          <w:i/>
        </w:rPr>
        <w:t>Lynparza in combination with bevacizumab is indicated for the:</w:t>
      </w:r>
    </w:p>
    <w:p w14:paraId="2D2B8506" w14:textId="77777777" w:rsidR="004C74B9" w:rsidRPr="004C74B9" w:rsidRDefault="004C74B9" w:rsidP="002C1586">
      <w:pPr>
        <w:pStyle w:val="ListBullet"/>
        <w:numPr>
          <w:ilvl w:val="0"/>
          <w:numId w:val="3"/>
        </w:numPr>
        <w:ind w:left="1080"/>
        <w:rPr>
          <w:i/>
        </w:rPr>
      </w:pPr>
      <w:r w:rsidRPr="004C74B9">
        <w:rPr>
          <w:i/>
        </w:rPr>
        <w:t>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w:t>
      </w:r>
    </w:p>
    <w:p w14:paraId="799AF225" w14:textId="77777777" w:rsidR="004C74B9" w:rsidRPr="004C74B9" w:rsidRDefault="004C74B9" w:rsidP="002C1586">
      <w:pPr>
        <w:pStyle w:val="ListBullet2"/>
        <w:numPr>
          <w:ilvl w:val="1"/>
          <w:numId w:val="3"/>
        </w:numPr>
        <w:ind w:left="1440"/>
        <w:rPr>
          <w:i/>
        </w:rPr>
      </w:pPr>
      <w:r w:rsidRPr="004C74B9">
        <w:rPr>
          <w:i/>
        </w:rPr>
        <w:t>a deleterious or suspected deleterious BRCA mutation (germline or somatic), and/or</w:t>
      </w:r>
    </w:p>
    <w:p w14:paraId="484873C5" w14:textId="77777777" w:rsidR="004C74B9" w:rsidRPr="004C74B9" w:rsidRDefault="004C74B9" w:rsidP="002C1586">
      <w:pPr>
        <w:pStyle w:val="ListBullet2"/>
        <w:numPr>
          <w:ilvl w:val="1"/>
          <w:numId w:val="3"/>
        </w:numPr>
        <w:ind w:left="1440"/>
        <w:rPr>
          <w:i/>
        </w:rPr>
      </w:pPr>
      <w:r w:rsidRPr="004C74B9">
        <w:rPr>
          <w:i/>
        </w:rPr>
        <w:t>genomic instability</w:t>
      </w:r>
    </w:p>
    <w:p w14:paraId="1E8E3000" w14:textId="77777777" w:rsidR="004C74B9" w:rsidRPr="004C74B9" w:rsidRDefault="004C74B9" w:rsidP="002C1586">
      <w:pPr>
        <w:pStyle w:val="ListBullet"/>
        <w:numPr>
          <w:ilvl w:val="0"/>
          <w:numId w:val="0"/>
        </w:numPr>
        <w:ind w:left="1080"/>
        <w:rPr>
          <w:i/>
        </w:rPr>
      </w:pPr>
      <w:r w:rsidRPr="004C74B9">
        <w:rPr>
          <w:i/>
        </w:rPr>
        <w:t>HRD status should be determined by an experienced laboratory using a validated test method.</w:t>
      </w:r>
    </w:p>
    <w:p w14:paraId="4FD424E6" w14:textId="77777777" w:rsidR="004C74B9" w:rsidRPr="004C74B9" w:rsidRDefault="004C74B9" w:rsidP="002C1586">
      <w:pPr>
        <w:ind w:left="720"/>
        <w:rPr>
          <w:b/>
          <w:i/>
        </w:rPr>
      </w:pPr>
      <w:r w:rsidRPr="004C74B9">
        <w:rPr>
          <w:b/>
          <w:i/>
        </w:rPr>
        <w:t>Adenocarcinoma of the pancreas</w:t>
      </w:r>
    </w:p>
    <w:p w14:paraId="18986E8A" w14:textId="77777777" w:rsidR="004C74B9" w:rsidRPr="004C74B9" w:rsidRDefault="004C74B9" w:rsidP="002C1586">
      <w:pPr>
        <w:ind w:left="720"/>
        <w:rPr>
          <w:i/>
        </w:rPr>
      </w:pPr>
      <w:r w:rsidRPr="004C74B9">
        <w:rPr>
          <w:i/>
        </w:rPr>
        <w:t>Lynparza is indicated as monotherapy for the:</w:t>
      </w:r>
    </w:p>
    <w:p w14:paraId="2AD55596" w14:textId="77777777" w:rsidR="004C74B9" w:rsidRPr="004C74B9" w:rsidRDefault="004C74B9" w:rsidP="002C1586">
      <w:pPr>
        <w:pStyle w:val="ListBullet"/>
        <w:numPr>
          <w:ilvl w:val="0"/>
          <w:numId w:val="3"/>
        </w:numPr>
        <w:ind w:left="1080"/>
        <w:rPr>
          <w:i/>
        </w:rPr>
      </w:pPr>
      <w:r w:rsidRPr="004C74B9">
        <w:rPr>
          <w:i/>
        </w:rPr>
        <w:t xml:space="preserve">maintenance treatment of adult patients with deleterious or suspected deleterious </w:t>
      </w:r>
      <w:proofErr w:type="spellStart"/>
      <w:r w:rsidRPr="004C74B9">
        <w:rPr>
          <w:i/>
        </w:rPr>
        <w:t>gBRCAm</w:t>
      </w:r>
      <w:proofErr w:type="spellEnd"/>
      <w:r w:rsidRPr="004C74B9">
        <w:rPr>
          <w:i/>
        </w:rPr>
        <w:t xml:space="preserve"> metastatic pancreatic adenocarcinoma whose disease has not progressed on at least 16 weeks of a first-line platinum-based chemotherapy regimen. Germline BRCA mutation (</w:t>
      </w:r>
      <w:proofErr w:type="spellStart"/>
      <w:r w:rsidRPr="004C74B9">
        <w:rPr>
          <w:i/>
        </w:rPr>
        <w:t>gBRCAm</w:t>
      </w:r>
      <w:proofErr w:type="spellEnd"/>
      <w:r w:rsidRPr="004C74B9">
        <w:rPr>
          <w:i/>
        </w:rPr>
        <w:t>) status should be determined by an experienced laboratory using a validated test method.</w:t>
      </w:r>
    </w:p>
    <w:p w14:paraId="554130D6" w14:textId="77777777" w:rsidR="007D53B6" w:rsidRDefault="007D53B6" w:rsidP="007D53B6">
      <w:r>
        <w:t>As such, the full indications at this time were:</w:t>
      </w:r>
    </w:p>
    <w:p w14:paraId="40FB5750" w14:textId="77777777" w:rsidR="004C74B9" w:rsidRPr="002C1586" w:rsidRDefault="002C1586" w:rsidP="002C1586">
      <w:pPr>
        <w:ind w:left="720"/>
        <w:rPr>
          <w:b/>
          <w:i/>
        </w:rPr>
      </w:pPr>
      <w:r w:rsidRPr="002C1586">
        <w:rPr>
          <w:b/>
          <w:i/>
        </w:rPr>
        <w:t>Ovarian c</w:t>
      </w:r>
      <w:r w:rsidR="004C74B9" w:rsidRPr="002C1586">
        <w:rPr>
          <w:b/>
          <w:i/>
        </w:rPr>
        <w:t>ancer</w:t>
      </w:r>
    </w:p>
    <w:p w14:paraId="05515C2D" w14:textId="77777777" w:rsidR="004C74B9" w:rsidRPr="002C1586" w:rsidRDefault="002C1586" w:rsidP="002C1586">
      <w:pPr>
        <w:ind w:left="720"/>
        <w:rPr>
          <w:i/>
        </w:rPr>
      </w:pPr>
      <w:r w:rsidRPr="002C1586">
        <w:rPr>
          <w:i/>
        </w:rPr>
        <w:t>Lynparza</w:t>
      </w:r>
      <w:r w:rsidR="004C74B9" w:rsidRPr="002C1586">
        <w:rPr>
          <w:i/>
        </w:rPr>
        <w:t xml:space="preserve"> is indicated as monotherapy for the:</w:t>
      </w:r>
    </w:p>
    <w:p w14:paraId="1D49E219" w14:textId="77777777" w:rsidR="004C74B9" w:rsidRPr="002C1586" w:rsidRDefault="004C74B9" w:rsidP="002C1586">
      <w:pPr>
        <w:pStyle w:val="ListBullet"/>
        <w:ind w:left="1080"/>
        <w:rPr>
          <w:i/>
        </w:rPr>
      </w:pPr>
      <w:r w:rsidRPr="002C1586">
        <w:rPr>
          <w:i/>
        </w:rPr>
        <w:t>maintenance treatment of adult patients with adv</w:t>
      </w:r>
      <w:r w:rsidR="002C1586" w:rsidRPr="002C1586">
        <w:rPr>
          <w:i/>
        </w:rPr>
        <w:t xml:space="preserve">anced BRCA-mutated (germline or </w:t>
      </w:r>
      <w:r w:rsidRPr="002C1586">
        <w:rPr>
          <w:i/>
        </w:rPr>
        <w:t>somatic) high-grade epithelial ovarian, fallopian tube o</w:t>
      </w:r>
      <w:r w:rsidR="002C1586" w:rsidRPr="002C1586">
        <w:rPr>
          <w:i/>
        </w:rPr>
        <w:t xml:space="preserve">r primary peritoneal cancer who </w:t>
      </w:r>
      <w:r w:rsidRPr="002C1586">
        <w:rPr>
          <w:i/>
        </w:rPr>
        <w:t xml:space="preserve">are in response (complete response or partial response) to first-line platinum-based chemotherapy. BRCA mutation status should </w:t>
      </w:r>
      <w:r w:rsidR="002C1586" w:rsidRPr="002C1586">
        <w:rPr>
          <w:i/>
        </w:rPr>
        <w:t xml:space="preserve">be determined by an experienced </w:t>
      </w:r>
      <w:r w:rsidRPr="002C1586">
        <w:rPr>
          <w:i/>
        </w:rPr>
        <w:t>laboratory using a validated test method.</w:t>
      </w:r>
    </w:p>
    <w:p w14:paraId="367391F4" w14:textId="77777777" w:rsidR="004C74B9" w:rsidRPr="002C1586" w:rsidRDefault="004C74B9" w:rsidP="002C1586">
      <w:pPr>
        <w:pStyle w:val="ListBullet"/>
        <w:ind w:left="1080"/>
        <w:rPr>
          <w:i/>
        </w:rPr>
      </w:pPr>
      <w:r w:rsidRPr="002C1586">
        <w:rPr>
          <w:i/>
        </w:rPr>
        <w:t>maintenance treatment of adult patients with platinu</w:t>
      </w:r>
      <w:r w:rsidR="002C1586" w:rsidRPr="002C1586">
        <w:rPr>
          <w:i/>
        </w:rPr>
        <w:t xml:space="preserve">m-sensitive relapsed high grade </w:t>
      </w:r>
      <w:r w:rsidRPr="002C1586">
        <w:rPr>
          <w:i/>
        </w:rPr>
        <w:t>epithelial ovarian, fallopian tube or primary perito</w:t>
      </w:r>
      <w:r w:rsidR="002C1586" w:rsidRPr="002C1586">
        <w:rPr>
          <w:i/>
        </w:rPr>
        <w:t xml:space="preserve">neal cancer who are in response </w:t>
      </w:r>
      <w:r w:rsidRPr="002C1586">
        <w:rPr>
          <w:i/>
        </w:rPr>
        <w:t>(complete response or partial response) after platinum-based chemoth</w:t>
      </w:r>
      <w:r w:rsidR="002C1586" w:rsidRPr="002C1586">
        <w:rPr>
          <w:i/>
        </w:rPr>
        <w:t xml:space="preserve">erapy. Prior </w:t>
      </w:r>
      <w:r w:rsidRPr="002C1586">
        <w:rPr>
          <w:i/>
        </w:rPr>
        <w:t>treatment must have included at least 2 cour</w:t>
      </w:r>
      <w:r w:rsidR="002C1586" w:rsidRPr="002C1586">
        <w:rPr>
          <w:i/>
        </w:rPr>
        <w:t xml:space="preserve">ses of platinum-based regimens. </w:t>
      </w:r>
      <w:r w:rsidRPr="002C1586">
        <w:rPr>
          <w:i/>
        </w:rPr>
        <w:t>Lynparza in combination with bevacizumab is indicated for the:</w:t>
      </w:r>
    </w:p>
    <w:p w14:paraId="0AB31250" w14:textId="77777777" w:rsidR="004C74B9" w:rsidRPr="002C1586" w:rsidRDefault="004C74B9" w:rsidP="002C1586">
      <w:pPr>
        <w:pStyle w:val="ListBullet"/>
        <w:ind w:left="1080"/>
        <w:rPr>
          <w:i/>
        </w:rPr>
      </w:pPr>
      <w:r w:rsidRPr="002C1586">
        <w:rPr>
          <w:i/>
        </w:rPr>
        <w:t>maintenance treatment of adult patients with advance</w:t>
      </w:r>
      <w:r w:rsidR="002C1586" w:rsidRPr="002C1586">
        <w:rPr>
          <w:i/>
        </w:rPr>
        <w:t xml:space="preserve">d epithelial ovarian, fallopian </w:t>
      </w:r>
      <w:r w:rsidRPr="002C1586">
        <w:rPr>
          <w:i/>
        </w:rPr>
        <w:t>tube or primary peritoneal cancer who are in complete or</w:t>
      </w:r>
      <w:r w:rsidR="002C1586" w:rsidRPr="002C1586">
        <w:rPr>
          <w:i/>
        </w:rPr>
        <w:t xml:space="preserve"> partial response to first-line </w:t>
      </w:r>
      <w:r w:rsidRPr="002C1586">
        <w:rPr>
          <w:i/>
        </w:rPr>
        <w:t>platinum-based chemotherapy and whose cance</w:t>
      </w:r>
      <w:r w:rsidR="002C1586" w:rsidRPr="002C1586">
        <w:rPr>
          <w:i/>
        </w:rPr>
        <w:t xml:space="preserve">r is associated with homologous </w:t>
      </w:r>
      <w:r w:rsidRPr="002C1586">
        <w:rPr>
          <w:i/>
        </w:rPr>
        <w:t>recombination deficiency (HRD)-positive status defined by either:</w:t>
      </w:r>
    </w:p>
    <w:p w14:paraId="12D24448" w14:textId="77777777" w:rsidR="004C74B9" w:rsidRPr="002C1586" w:rsidRDefault="004C74B9" w:rsidP="002C1586">
      <w:pPr>
        <w:pStyle w:val="ListBullet2"/>
        <w:ind w:left="1440"/>
        <w:rPr>
          <w:i/>
        </w:rPr>
      </w:pPr>
      <w:r w:rsidRPr="002C1586">
        <w:rPr>
          <w:i/>
        </w:rPr>
        <w:t>a deleterious or suspected deleterious BRCA mutation (germline or somatic), and/or</w:t>
      </w:r>
    </w:p>
    <w:p w14:paraId="279240FE" w14:textId="77777777" w:rsidR="004C74B9" w:rsidRPr="002C1586" w:rsidRDefault="004C74B9" w:rsidP="002C1586">
      <w:pPr>
        <w:pStyle w:val="ListBullet2"/>
        <w:ind w:left="1440"/>
        <w:rPr>
          <w:i/>
        </w:rPr>
      </w:pPr>
      <w:r w:rsidRPr="002C1586">
        <w:rPr>
          <w:i/>
        </w:rPr>
        <w:t>genomic instability</w:t>
      </w:r>
    </w:p>
    <w:p w14:paraId="30D42B03" w14:textId="77777777" w:rsidR="004C74B9" w:rsidRPr="002C1586" w:rsidRDefault="004C74B9" w:rsidP="002C1586">
      <w:pPr>
        <w:pStyle w:val="ListBullet"/>
        <w:numPr>
          <w:ilvl w:val="0"/>
          <w:numId w:val="0"/>
        </w:numPr>
        <w:ind w:left="1080"/>
        <w:rPr>
          <w:i/>
        </w:rPr>
      </w:pPr>
      <w:r w:rsidRPr="002C1586">
        <w:rPr>
          <w:i/>
        </w:rPr>
        <w:t>HRD status should be determined by an experienced la</w:t>
      </w:r>
      <w:r w:rsidR="002C1586" w:rsidRPr="002C1586">
        <w:rPr>
          <w:i/>
        </w:rPr>
        <w:t xml:space="preserve">boratory using a validated test </w:t>
      </w:r>
      <w:r w:rsidRPr="002C1586">
        <w:rPr>
          <w:i/>
        </w:rPr>
        <w:t>method.</w:t>
      </w:r>
    </w:p>
    <w:p w14:paraId="5682EAA7" w14:textId="77777777" w:rsidR="004C74B9" w:rsidRPr="002C1586" w:rsidRDefault="002C1586" w:rsidP="002C1586">
      <w:pPr>
        <w:ind w:left="720"/>
        <w:rPr>
          <w:b/>
          <w:i/>
        </w:rPr>
      </w:pPr>
      <w:r w:rsidRPr="002C1586">
        <w:rPr>
          <w:b/>
          <w:i/>
        </w:rPr>
        <w:t>Breast c</w:t>
      </w:r>
      <w:r w:rsidR="004C74B9" w:rsidRPr="002C1586">
        <w:rPr>
          <w:b/>
          <w:i/>
        </w:rPr>
        <w:t>ancer</w:t>
      </w:r>
    </w:p>
    <w:p w14:paraId="7770FD54" w14:textId="77777777" w:rsidR="004C74B9" w:rsidRPr="002C1586" w:rsidRDefault="002C1586" w:rsidP="002C1586">
      <w:pPr>
        <w:ind w:left="720"/>
        <w:rPr>
          <w:i/>
        </w:rPr>
      </w:pPr>
      <w:r w:rsidRPr="002C1586">
        <w:rPr>
          <w:i/>
        </w:rPr>
        <w:t>Lynparza</w:t>
      </w:r>
      <w:r w:rsidR="004C74B9" w:rsidRPr="002C1586">
        <w:rPr>
          <w:i/>
        </w:rPr>
        <w:t xml:space="preserve"> is indicated as monotherapy for the:</w:t>
      </w:r>
    </w:p>
    <w:p w14:paraId="44B3789A" w14:textId="77777777" w:rsidR="004C74B9" w:rsidRPr="002C1586" w:rsidRDefault="004C74B9" w:rsidP="002C1586">
      <w:pPr>
        <w:pStyle w:val="ListBullet"/>
        <w:ind w:left="1080"/>
        <w:rPr>
          <w:i/>
        </w:rPr>
      </w:pPr>
      <w:r w:rsidRPr="002C1586">
        <w:rPr>
          <w:i/>
        </w:rPr>
        <w:t>treatment of adult patients with germline BRCA-m</w:t>
      </w:r>
      <w:r w:rsidR="002C1586" w:rsidRPr="002C1586">
        <w:rPr>
          <w:i/>
        </w:rPr>
        <w:t xml:space="preserve">utated HER2-negative metastatic </w:t>
      </w:r>
      <w:r w:rsidRPr="002C1586">
        <w:rPr>
          <w:i/>
        </w:rPr>
        <w:t>breast cancer who have previously been treated with c</w:t>
      </w:r>
      <w:r w:rsidR="002C1586" w:rsidRPr="002C1586">
        <w:rPr>
          <w:i/>
        </w:rPr>
        <w:t xml:space="preserve">hemotherapy in the </w:t>
      </w:r>
      <w:proofErr w:type="spellStart"/>
      <w:r w:rsidR="002C1586" w:rsidRPr="002C1586">
        <w:rPr>
          <w:i/>
        </w:rPr>
        <w:t>neoadjuvant</w:t>
      </w:r>
      <w:proofErr w:type="spellEnd"/>
      <w:r w:rsidR="002C1586" w:rsidRPr="002C1586">
        <w:rPr>
          <w:i/>
        </w:rPr>
        <w:t xml:space="preserve">, </w:t>
      </w:r>
      <w:r w:rsidRPr="002C1586">
        <w:rPr>
          <w:i/>
        </w:rPr>
        <w:t>adjuvant or metastatic setting. Germline BRCA mut</w:t>
      </w:r>
      <w:r w:rsidR="002C1586" w:rsidRPr="002C1586">
        <w:rPr>
          <w:i/>
        </w:rPr>
        <w:t>ation (</w:t>
      </w:r>
      <w:proofErr w:type="spellStart"/>
      <w:r w:rsidR="002C1586" w:rsidRPr="002C1586">
        <w:rPr>
          <w:i/>
        </w:rPr>
        <w:t>gBRCAm</w:t>
      </w:r>
      <w:proofErr w:type="spellEnd"/>
      <w:r w:rsidR="002C1586" w:rsidRPr="002C1586">
        <w:rPr>
          <w:i/>
        </w:rPr>
        <w:t xml:space="preserve">) status should be </w:t>
      </w:r>
      <w:r w:rsidRPr="002C1586">
        <w:rPr>
          <w:i/>
        </w:rPr>
        <w:t>determined by an experienced laboratory using a validated test method.</w:t>
      </w:r>
    </w:p>
    <w:p w14:paraId="342673CD" w14:textId="77777777" w:rsidR="004C74B9" w:rsidRPr="002C1586" w:rsidRDefault="004C74B9" w:rsidP="002C1586">
      <w:pPr>
        <w:ind w:left="720"/>
        <w:rPr>
          <w:b/>
          <w:i/>
        </w:rPr>
      </w:pPr>
      <w:r w:rsidRPr="002C1586">
        <w:rPr>
          <w:b/>
          <w:i/>
        </w:rPr>
        <w:t>Adenocarcinoma of the pancreas</w:t>
      </w:r>
    </w:p>
    <w:p w14:paraId="423560BB" w14:textId="77777777" w:rsidR="004C74B9" w:rsidRPr="002C1586" w:rsidRDefault="004C74B9" w:rsidP="002C1586">
      <w:pPr>
        <w:ind w:left="720"/>
        <w:rPr>
          <w:i/>
        </w:rPr>
      </w:pPr>
      <w:r w:rsidRPr="002C1586">
        <w:rPr>
          <w:i/>
        </w:rPr>
        <w:t>Lynparza is indicated as monotherapy for the:</w:t>
      </w:r>
    </w:p>
    <w:p w14:paraId="14CCB6EF" w14:textId="77777777" w:rsidR="00D23139" w:rsidRPr="002C1586" w:rsidRDefault="004C74B9" w:rsidP="002C1586">
      <w:pPr>
        <w:pStyle w:val="ListBullet"/>
        <w:ind w:left="1080"/>
        <w:rPr>
          <w:i/>
        </w:rPr>
      </w:pPr>
      <w:r w:rsidRPr="002C1586">
        <w:rPr>
          <w:i/>
        </w:rPr>
        <w:t>maintenance treatment of adult patients with delet</w:t>
      </w:r>
      <w:r w:rsidR="002C1586" w:rsidRPr="002C1586">
        <w:rPr>
          <w:i/>
        </w:rPr>
        <w:t xml:space="preserve">erious or suspected deleterious </w:t>
      </w:r>
      <w:proofErr w:type="spellStart"/>
      <w:r w:rsidRPr="002C1586">
        <w:rPr>
          <w:i/>
        </w:rPr>
        <w:t>gBRCAm</w:t>
      </w:r>
      <w:proofErr w:type="spellEnd"/>
      <w:r w:rsidRPr="002C1586">
        <w:rPr>
          <w:i/>
        </w:rPr>
        <w:t xml:space="preserve"> metastatic pancreatic adenocarcinoma whose d</w:t>
      </w:r>
      <w:r w:rsidR="002C1586" w:rsidRPr="002C1586">
        <w:rPr>
          <w:i/>
        </w:rPr>
        <w:t xml:space="preserve">isease has not progressed on at </w:t>
      </w:r>
      <w:r w:rsidRPr="002C1586">
        <w:rPr>
          <w:i/>
        </w:rPr>
        <w:t>least 16 weeks of a first-line platinum-based chem</w:t>
      </w:r>
      <w:r w:rsidR="002C1586" w:rsidRPr="002C1586">
        <w:rPr>
          <w:i/>
        </w:rPr>
        <w:t xml:space="preserve">otherapy regimen. Germline BRCA </w:t>
      </w:r>
      <w:r w:rsidRPr="002C1586">
        <w:rPr>
          <w:i/>
        </w:rPr>
        <w:t>mutation (</w:t>
      </w:r>
      <w:proofErr w:type="spellStart"/>
      <w:r w:rsidRPr="002C1586">
        <w:rPr>
          <w:i/>
        </w:rPr>
        <w:t>gBRCAm</w:t>
      </w:r>
      <w:proofErr w:type="spellEnd"/>
      <w:r w:rsidRPr="002C1586">
        <w:rPr>
          <w:i/>
        </w:rPr>
        <w:t>) status should be determined by an</w:t>
      </w:r>
      <w:r w:rsidR="002C1586" w:rsidRPr="002C1586">
        <w:rPr>
          <w:i/>
        </w:rPr>
        <w:t xml:space="preserve"> experienced laboratory using a validated test method.</w:t>
      </w:r>
    </w:p>
    <w:p w14:paraId="0C92AFDE" w14:textId="77777777" w:rsidR="00D23139" w:rsidRPr="00D23139" w:rsidRDefault="00D23139" w:rsidP="00D23139">
      <w:pPr>
        <w:pStyle w:val="Heading4"/>
      </w:pPr>
      <w:r w:rsidRPr="00D23139">
        <w:t>Specific conditions of registration applying to these goods</w:t>
      </w:r>
    </w:p>
    <w:p w14:paraId="72717E3C" w14:textId="2E260F86" w:rsidR="009752A5" w:rsidRDefault="002C1586" w:rsidP="002C1586">
      <w:r>
        <w:t xml:space="preserve">This approval does not impose any requirement for the submission of periodic safety update reports (PSURs). </w:t>
      </w:r>
      <w:r w:rsidR="00DE09B1">
        <w:t>The sponsor</w:t>
      </w:r>
      <w:r>
        <w:t xml:space="preserve"> should note that it is a requirement that all existing requirements for the submission of PSURs as a consequence of the initial registration or subsequent changes must be completed.</w:t>
      </w:r>
    </w:p>
    <w:p w14:paraId="0704B28B" w14:textId="77777777" w:rsidR="008E7846" w:rsidRDefault="00A80B5B" w:rsidP="00D23139">
      <w:pPr>
        <w:pStyle w:val="Heading2"/>
      </w:pPr>
      <w:bookmarkStart w:id="57" w:name="_Toc71183721"/>
      <w:r>
        <w:t xml:space="preserve">Attachment 1. </w:t>
      </w:r>
      <w:r w:rsidR="008E7846">
        <w:t xml:space="preserve">Product </w:t>
      </w:r>
      <w:r w:rsidR="00AA0ED0">
        <w:t>I</w:t>
      </w:r>
      <w:r w:rsidR="008E7846">
        <w:t>nformation</w:t>
      </w:r>
      <w:bookmarkEnd w:id="55"/>
      <w:bookmarkEnd w:id="56"/>
      <w:bookmarkEnd w:id="57"/>
    </w:p>
    <w:p w14:paraId="5A4243F4" w14:textId="3B4578C2" w:rsidR="00291957" w:rsidRPr="002C1586" w:rsidRDefault="006136D7" w:rsidP="002C1586">
      <w:pPr>
        <w:rPr>
          <w:color w:val="000000"/>
          <w:lang w:eastAsia="en-AU"/>
        </w:rPr>
      </w:pPr>
      <w:r w:rsidRPr="002B3624">
        <w:t xml:space="preserve">The </w:t>
      </w:r>
      <w:r>
        <w:t>PI</w:t>
      </w:r>
      <w:r w:rsidRPr="002B3624">
        <w:t xml:space="preserve"> for </w:t>
      </w:r>
      <w:r w:rsidR="002C1586">
        <w:t>Lynparza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0" w:history="1">
        <w:r w:rsidR="007C6B9B" w:rsidRPr="007C6B9B">
          <w:rPr>
            <w:rStyle w:val="Hyperlink"/>
          </w:rPr>
          <w:t>https://www.tga.gov.au/product-information-pi</w:t>
        </w:r>
      </w:hyperlink>
      <w:r w:rsidR="002C1586">
        <w:t>&gt;.</w:t>
      </w:r>
    </w:p>
    <w:p w14:paraId="3B35D017" w14:textId="77777777" w:rsidR="00744121" w:rsidRDefault="00744121" w:rsidP="00744121">
      <w:pPr>
        <w:rPr>
          <w:lang w:eastAsia="ja-JP"/>
        </w:rPr>
      </w:pPr>
    </w:p>
    <w:p w14:paraId="1A7CE424" w14:textId="77777777"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CE4328B" w14:textId="77777777" w:rsidTr="00A05FA4">
        <w:trPr>
          <w:trHeight w:hRule="exact" w:val="704"/>
        </w:trPr>
        <w:tc>
          <w:tcPr>
            <w:tcW w:w="9175" w:type="dxa"/>
          </w:tcPr>
          <w:p w14:paraId="4448EE21" w14:textId="77777777" w:rsidR="001C32CD" w:rsidRPr="00487162" w:rsidRDefault="001C32CD" w:rsidP="00A05FA4">
            <w:pPr>
              <w:pStyle w:val="TGASignoff"/>
            </w:pPr>
            <w:r w:rsidRPr="00487162">
              <w:t>Therapeutic Goods Administration</w:t>
            </w:r>
          </w:p>
        </w:tc>
      </w:tr>
      <w:tr w:rsidR="001C32CD" w:rsidRPr="004C239D" w14:paraId="697EB980" w14:textId="77777777" w:rsidTr="00A05FA4">
        <w:trPr>
          <w:trHeight w:val="1221"/>
        </w:trPr>
        <w:tc>
          <w:tcPr>
            <w:tcW w:w="9175" w:type="dxa"/>
            <w:tcMar>
              <w:top w:w="28" w:type="dxa"/>
            </w:tcMar>
          </w:tcPr>
          <w:p w14:paraId="1973CE13" w14:textId="77777777" w:rsidR="001C32CD" w:rsidRPr="00487162" w:rsidRDefault="001C32CD" w:rsidP="00A05FA4">
            <w:pPr>
              <w:pStyle w:val="Address"/>
            </w:pPr>
            <w:r w:rsidRPr="00487162">
              <w:t>PO Box 100 Woden ACT 2606 Australia</w:t>
            </w:r>
          </w:p>
          <w:p w14:paraId="0AB55EA3" w14:textId="73367254" w:rsidR="001C32CD" w:rsidRPr="00487162" w:rsidRDefault="001C32CD" w:rsidP="00A05FA4">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14:paraId="6AFC3B60" w14:textId="0ACD0824" w:rsidR="001C32CD" w:rsidRPr="004C239D" w:rsidRDefault="00EC1515" w:rsidP="00A05FA4">
            <w:pPr>
              <w:pStyle w:val="Address"/>
              <w:spacing w:line="260" w:lineRule="atLeast"/>
              <w:rPr>
                <w:b/>
                <w:color w:val="0000FF"/>
                <w:u w:val="single"/>
              </w:rPr>
            </w:pPr>
            <w:hyperlink r:id="rId26" w:history="1">
              <w:r w:rsidR="007C6B9B" w:rsidRPr="007C6B9B">
                <w:rPr>
                  <w:rStyle w:val="Hyperlink"/>
                  <w:b/>
                </w:rPr>
                <w:t>https://www.tga.gov.au</w:t>
              </w:r>
            </w:hyperlink>
          </w:p>
        </w:tc>
      </w:tr>
    </w:tbl>
    <w:p w14:paraId="3D9F456F" w14:textId="77777777"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B270" w16cex:dateUtc="2021-03-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9EF647" w16cid:durableId="240CB2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960D4" w14:textId="77777777" w:rsidR="00D0384C" w:rsidRDefault="00D0384C" w:rsidP="00C40A36">
      <w:pPr>
        <w:spacing w:after="0"/>
      </w:pPr>
      <w:r>
        <w:separator/>
      </w:r>
    </w:p>
  </w:endnote>
  <w:endnote w:type="continuationSeparator" w:id="0">
    <w:p w14:paraId="52C14D27" w14:textId="77777777" w:rsidR="00D0384C" w:rsidRDefault="00D0384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ΩA‘˛">
    <w:altName w:val="Calibri"/>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_M}¡˛">
    <w:altName w:val="Calibri"/>
    <w:panose1 w:val="00000000000000000000"/>
    <w:charset w:val="4D"/>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EEBD" w14:textId="77777777" w:rsidR="001C2BA9" w:rsidRDefault="001C2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0384C" w:rsidRPr="00487162" w14:paraId="642C466D" w14:textId="77777777" w:rsidTr="00DB750B">
      <w:trPr>
        <w:trHeight w:val="269"/>
      </w:trPr>
      <w:tc>
        <w:tcPr>
          <w:tcW w:w="7371" w:type="dxa"/>
          <w:tcMar>
            <w:top w:w="142" w:type="dxa"/>
            <w:bottom w:w="0" w:type="dxa"/>
          </w:tcMar>
        </w:tcPr>
        <w:p w14:paraId="6A39CF9C" w14:textId="2FF62668" w:rsidR="00D0384C" w:rsidRPr="00487162" w:rsidRDefault="00D0384C" w:rsidP="00EE2E1E">
          <w:pPr>
            <w:pStyle w:val="Footer"/>
          </w:pPr>
          <w:r w:rsidRPr="00487162">
            <w:t>AusPA</w:t>
          </w:r>
          <w:r>
            <w:t xml:space="preserve">R - </w:t>
          </w:r>
          <w:r w:rsidRPr="00482091">
            <w:t xml:space="preserve">LYNPARZA - </w:t>
          </w:r>
          <w:proofErr w:type="spellStart"/>
          <w:r w:rsidRPr="00482091">
            <w:t>olaparib</w:t>
          </w:r>
          <w:proofErr w:type="spellEnd"/>
          <w:r w:rsidRPr="00482091">
            <w:t xml:space="preserve"> - AstraZeneca Pty Ltd - PM-2020-00161-1-4</w:t>
          </w:r>
          <w:r>
            <w:br/>
          </w:r>
          <w:r w:rsidR="00EE2E1E">
            <w:t>FINAL 15 April 2021</w:t>
          </w:r>
        </w:p>
      </w:tc>
      <w:tc>
        <w:tcPr>
          <w:tcW w:w="1490" w:type="dxa"/>
          <w:tcMar>
            <w:top w:w="142" w:type="dxa"/>
            <w:bottom w:w="0" w:type="dxa"/>
          </w:tcMar>
        </w:tcPr>
        <w:p w14:paraId="46DE95F9" w14:textId="5CFBE0E3" w:rsidR="00D0384C" w:rsidRPr="00487162" w:rsidRDefault="00D0384C" w:rsidP="00DB750B">
          <w:pPr>
            <w:pStyle w:val="Footer"/>
            <w:jc w:val="right"/>
          </w:pPr>
          <w:r w:rsidRPr="00487162">
            <w:t xml:space="preserve">Page </w:t>
          </w:r>
          <w:r>
            <w:fldChar w:fldCharType="begin"/>
          </w:r>
          <w:r>
            <w:instrText xml:space="preserve"> PAGE  \* Arabic </w:instrText>
          </w:r>
          <w:r>
            <w:fldChar w:fldCharType="separate"/>
          </w:r>
          <w:r w:rsidR="00EC1515">
            <w:rPr>
              <w:noProof/>
            </w:rPr>
            <w:t>21</w:t>
          </w:r>
          <w:r>
            <w:fldChar w:fldCharType="end"/>
          </w:r>
          <w:r w:rsidRPr="00487162">
            <w:t xml:space="preserve"> of </w:t>
          </w:r>
          <w:r w:rsidR="00EC1515">
            <w:fldChar w:fldCharType="begin"/>
          </w:r>
          <w:r w:rsidR="00EC1515">
            <w:instrText xml:space="preserve"> NUMPAGES  \* Arabic </w:instrText>
          </w:r>
          <w:r w:rsidR="00EC1515">
            <w:fldChar w:fldCharType="separate"/>
          </w:r>
          <w:r w:rsidR="00EC1515">
            <w:rPr>
              <w:noProof/>
            </w:rPr>
            <w:t>30</w:t>
          </w:r>
          <w:r w:rsidR="00EC1515">
            <w:rPr>
              <w:noProof/>
            </w:rPr>
            <w:fldChar w:fldCharType="end"/>
          </w:r>
        </w:p>
      </w:tc>
    </w:tr>
  </w:tbl>
  <w:p w14:paraId="11969CB1" w14:textId="77777777" w:rsidR="00D0384C" w:rsidRDefault="00D0384C"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C252" w14:textId="77777777" w:rsidR="001C2BA9" w:rsidRDefault="001C2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0384C" w:rsidRPr="00487162" w14:paraId="7E959D5F" w14:textId="77777777" w:rsidTr="00E45619">
      <w:trPr>
        <w:trHeight w:val="269"/>
      </w:trPr>
      <w:tc>
        <w:tcPr>
          <w:tcW w:w="4519" w:type="dxa"/>
          <w:tcBorders>
            <w:top w:val="single" w:sz="4" w:space="0" w:color="auto"/>
          </w:tcBorders>
          <w:tcMar>
            <w:top w:w="142" w:type="dxa"/>
            <w:bottom w:w="0" w:type="dxa"/>
          </w:tcMar>
        </w:tcPr>
        <w:p w14:paraId="3A322188" w14:textId="77777777" w:rsidR="00D0384C" w:rsidRPr="00487162" w:rsidRDefault="00D0384C" w:rsidP="00FE1DEE">
          <w:pPr>
            <w:pStyle w:val="Footer"/>
          </w:pPr>
          <w:r w:rsidRPr="00487162">
            <w:t>Document title, Part #, Section # - Section title</w:t>
          </w:r>
        </w:p>
        <w:p w14:paraId="303D4330" w14:textId="77777777" w:rsidR="00D0384C" w:rsidRPr="00487162" w:rsidRDefault="00D0384C" w:rsidP="00FE1DEE">
          <w:pPr>
            <w:pStyle w:val="Footer"/>
          </w:pPr>
          <w:r w:rsidRPr="00487162">
            <w:t>V1.0 October 2010</w:t>
          </w:r>
        </w:p>
      </w:tc>
      <w:tc>
        <w:tcPr>
          <w:tcW w:w="4342" w:type="dxa"/>
          <w:tcBorders>
            <w:top w:val="single" w:sz="4" w:space="0" w:color="auto"/>
          </w:tcBorders>
          <w:tcMar>
            <w:top w:w="142" w:type="dxa"/>
            <w:bottom w:w="0" w:type="dxa"/>
          </w:tcMar>
        </w:tcPr>
        <w:p w14:paraId="394747AD" w14:textId="77777777" w:rsidR="00D0384C" w:rsidRPr="00487162" w:rsidRDefault="00D0384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EC1515">
            <w:fldChar w:fldCharType="begin"/>
          </w:r>
          <w:r w:rsidR="00EC1515">
            <w:instrText xml:space="preserve"> NUMPAGES  </w:instrText>
          </w:r>
          <w:r w:rsidR="00EC1515">
            <w:fldChar w:fldCharType="separate"/>
          </w:r>
          <w:r>
            <w:rPr>
              <w:noProof/>
            </w:rPr>
            <w:t>3</w:t>
          </w:r>
          <w:r w:rsidR="00EC1515">
            <w:rPr>
              <w:noProof/>
            </w:rPr>
            <w:fldChar w:fldCharType="end"/>
          </w:r>
        </w:p>
      </w:tc>
    </w:tr>
  </w:tbl>
  <w:p w14:paraId="4CC34A6F" w14:textId="77777777" w:rsidR="00D0384C" w:rsidRDefault="00D038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360F5" w14:textId="77777777" w:rsidR="00D0384C" w:rsidRPr="001C32CD" w:rsidRDefault="00D0384C"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0384C" w14:paraId="00B246E6" w14:textId="77777777" w:rsidTr="0010601F">
      <w:trPr>
        <w:trHeight w:val="108"/>
      </w:trPr>
      <w:tc>
        <w:tcPr>
          <w:tcW w:w="8875" w:type="dxa"/>
          <w:gridSpan w:val="2"/>
          <w:tcBorders>
            <w:bottom w:val="single" w:sz="4" w:space="0" w:color="auto"/>
          </w:tcBorders>
          <w:tcMar>
            <w:right w:w="284" w:type="dxa"/>
          </w:tcMar>
        </w:tcPr>
        <w:p w14:paraId="6979F951" w14:textId="77777777" w:rsidR="00D0384C" w:rsidRDefault="00D0384C" w:rsidP="006E08B3">
          <w:pPr>
            <w:pStyle w:val="Heading3"/>
          </w:pPr>
          <w:r>
            <w:t>Copyright</w:t>
          </w:r>
        </w:p>
        <w:p w14:paraId="075E8A3F" w14:textId="77777777" w:rsidR="00D0384C" w:rsidRDefault="00D0384C" w:rsidP="006E08B3">
          <w:r>
            <w:rPr>
              <w:rFonts w:cs="Arial"/>
            </w:rPr>
            <w:t>©</w:t>
          </w:r>
          <w:r>
            <w:t xml:space="preserve"> Commonwealth of Australia [add year]</w:t>
          </w:r>
        </w:p>
        <w:p w14:paraId="50EA42FD" w14:textId="77777777" w:rsidR="00D0384C" w:rsidRDefault="00D0384C" w:rsidP="006E08B3"/>
        <w:p w14:paraId="4618D547" w14:textId="77777777" w:rsidR="00D0384C" w:rsidRDefault="00D0384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1BAD7D0" w14:textId="77777777" w:rsidR="00D0384C" w:rsidRDefault="00D0384C" w:rsidP="006E08B3"/>
        <w:p w14:paraId="37F62A4B" w14:textId="77777777" w:rsidR="00D0384C" w:rsidRDefault="00D0384C" w:rsidP="006E08B3">
          <w:pPr>
            <w:pStyle w:val="Heading3"/>
          </w:pPr>
          <w:r>
            <w:t>Confidentiality</w:t>
          </w:r>
        </w:p>
        <w:p w14:paraId="79C15004" w14:textId="77777777" w:rsidR="00D0384C" w:rsidRDefault="00D0384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827A251" w14:textId="77777777" w:rsidR="00D0384C" w:rsidRDefault="00D0384C" w:rsidP="006E08B3"/>
        <w:p w14:paraId="738AB073" w14:textId="77777777" w:rsidR="00D0384C" w:rsidRDefault="00D0384C" w:rsidP="006E08B3">
          <w:r>
            <w:t>For submission made by individuals, all personal details, other than your name, will be removed from your submission before it is published on the TGA’s Internet site.</w:t>
          </w:r>
        </w:p>
        <w:p w14:paraId="2AA0205E" w14:textId="77777777" w:rsidR="00D0384C" w:rsidRDefault="00D0384C" w:rsidP="006E08B3"/>
        <w:p w14:paraId="5C0681E6" w14:textId="77777777" w:rsidR="00D0384C" w:rsidRDefault="00D0384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0384C" w14:paraId="52C1B807" w14:textId="77777777" w:rsidTr="0010601F">
      <w:trPr>
        <w:trHeight w:val="417"/>
      </w:trPr>
      <w:tc>
        <w:tcPr>
          <w:tcW w:w="4519" w:type="dxa"/>
          <w:tcBorders>
            <w:top w:val="single" w:sz="4" w:space="0" w:color="auto"/>
          </w:tcBorders>
          <w:tcMar>
            <w:top w:w="142" w:type="dxa"/>
            <w:bottom w:w="0" w:type="dxa"/>
          </w:tcMar>
        </w:tcPr>
        <w:p w14:paraId="5256A013" w14:textId="77777777" w:rsidR="00D0384C" w:rsidRDefault="00D0384C" w:rsidP="006E08B3">
          <w:r>
            <w:t>Document title, Part #, Section # - Section title</w:t>
          </w:r>
        </w:p>
        <w:p w14:paraId="6047CD6C" w14:textId="77777777" w:rsidR="00D0384C" w:rsidRDefault="00D0384C" w:rsidP="006E08B3">
          <w:r>
            <w:t>V1.0 October 2010</w:t>
          </w:r>
        </w:p>
      </w:tc>
      <w:tc>
        <w:tcPr>
          <w:tcW w:w="4356" w:type="dxa"/>
          <w:tcBorders>
            <w:top w:val="single" w:sz="4" w:space="0" w:color="auto"/>
          </w:tcBorders>
          <w:tcMar>
            <w:top w:w="142" w:type="dxa"/>
            <w:bottom w:w="0" w:type="dxa"/>
          </w:tcMar>
        </w:tcPr>
        <w:p w14:paraId="3DA08958" w14:textId="77777777" w:rsidR="00D0384C" w:rsidRDefault="00D0384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EC1515">
            <w:fldChar w:fldCharType="begin"/>
          </w:r>
          <w:r w:rsidR="00EC1515">
            <w:instrText xml:space="preserve"> NUMPAGES  \* Arabic </w:instrText>
          </w:r>
          <w:r w:rsidR="00EC1515">
            <w:fldChar w:fldCharType="separate"/>
          </w:r>
          <w:r>
            <w:rPr>
              <w:noProof/>
            </w:rPr>
            <w:t>3</w:t>
          </w:r>
          <w:r w:rsidR="00EC1515">
            <w:rPr>
              <w:noProof/>
            </w:rPr>
            <w:fldChar w:fldCharType="end"/>
          </w:r>
          <w:r>
            <w:t xml:space="preserve">  </w:t>
          </w:r>
        </w:p>
      </w:tc>
    </w:tr>
  </w:tbl>
  <w:p w14:paraId="6CBDD42F" w14:textId="77777777" w:rsidR="00D0384C" w:rsidRDefault="00D038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C83A5" w14:textId="77777777" w:rsidR="00D0384C" w:rsidRDefault="00D0384C" w:rsidP="00C40A36">
      <w:pPr>
        <w:spacing w:after="0"/>
      </w:pPr>
      <w:r>
        <w:separator/>
      </w:r>
    </w:p>
  </w:footnote>
  <w:footnote w:type="continuationSeparator" w:id="0">
    <w:p w14:paraId="00C81596" w14:textId="77777777" w:rsidR="00D0384C" w:rsidRDefault="00D0384C" w:rsidP="00C40A36">
      <w:pPr>
        <w:spacing w:after="0"/>
      </w:pPr>
      <w:r>
        <w:continuationSeparator/>
      </w:r>
    </w:p>
  </w:footnote>
  <w:footnote w:id="1">
    <w:p w14:paraId="3FBF4704" w14:textId="77777777" w:rsidR="00D0384C" w:rsidRDefault="00D0384C">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352C3D92" w14:textId="44A4D622" w:rsidR="00D0384C" w:rsidRDefault="00D0384C">
      <w:pPr>
        <w:pStyle w:val="FootnoteText"/>
      </w:pPr>
      <w:r>
        <w:rPr>
          <w:rStyle w:val="FootnoteReference"/>
        </w:rPr>
        <w:footnoteRef/>
      </w:r>
      <w:r>
        <w:t xml:space="preserve"> Chen, L-M and </w:t>
      </w:r>
      <w:proofErr w:type="spellStart"/>
      <w:r>
        <w:t>Berek</w:t>
      </w:r>
      <w:proofErr w:type="spellEnd"/>
      <w:r>
        <w:t xml:space="preserve">, JS. Epithelial carcinoma of the ovary, fallopian tube and peritoneum: Clinical features and diagnosis, </w:t>
      </w:r>
      <w:proofErr w:type="spellStart"/>
      <w:r>
        <w:t>UpToDate</w:t>
      </w:r>
      <w:proofErr w:type="spellEnd"/>
      <w:r>
        <w:t xml:space="preserve">. </w:t>
      </w:r>
      <w:proofErr w:type="spellStart"/>
      <w:r>
        <w:t>UpToDate</w:t>
      </w:r>
      <w:proofErr w:type="spellEnd"/>
      <w:r>
        <w:t xml:space="preserve"> accessed 13 August 2020.</w:t>
      </w:r>
    </w:p>
  </w:footnote>
  <w:footnote w:id="3">
    <w:p w14:paraId="7EAA966F" w14:textId="0B58E0C1" w:rsidR="00D0384C" w:rsidRDefault="00D0384C">
      <w:pPr>
        <w:pStyle w:val="FootnoteText"/>
      </w:pPr>
      <w:r>
        <w:rPr>
          <w:rStyle w:val="FootnoteReference"/>
        </w:rPr>
        <w:footnoteRef/>
      </w:r>
      <w:r>
        <w:t xml:space="preserve"> Chen, L-M and </w:t>
      </w:r>
      <w:proofErr w:type="spellStart"/>
      <w:r>
        <w:t>Berek</w:t>
      </w:r>
      <w:proofErr w:type="spellEnd"/>
      <w:r>
        <w:t>, JS. O</w:t>
      </w:r>
      <w:r w:rsidRPr="00AD26D6">
        <w:t>verview of epithelial carcinoma of the ovary, fallopian tube, and peritoneum</w:t>
      </w:r>
      <w:r>
        <w:t xml:space="preserve">, </w:t>
      </w:r>
      <w:proofErr w:type="spellStart"/>
      <w:r>
        <w:t>UpToDate</w:t>
      </w:r>
      <w:proofErr w:type="spellEnd"/>
      <w:r>
        <w:t xml:space="preserve">. </w:t>
      </w:r>
      <w:proofErr w:type="spellStart"/>
      <w:r>
        <w:t>UpToDate</w:t>
      </w:r>
      <w:proofErr w:type="spellEnd"/>
      <w:r>
        <w:t xml:space="preserve"> accessed 13 August 2020</w:t>
      </w:r>
      <w:r w:rsidR="00EE2E1E">
        <w:t>.</w:t>
      </w:r>
    </w:p>
  </w:footnote>
  <w:footnote w:id="4">
    <w:p w14:paraId="4564298A" w14:textId="779F4496" w:rsidR="00D0384C" w:rsidRDefault="00D0384C">
      <w:pPr>
        <w:pStyle w:val="FootnoteText"/>
      </w:pPr>
      <w:r>
        <w:rPr>
          <w:rStyle w:val="FootnoteReference"/>
        </w:rPr>
        <w:footnoteRef/>
      </w:r>
      <w:r>
        <w:t xml:space="preserve"> Takaya, H. </w:t>
      </w:r>
      <w:r w:rsidRPr="00F60CFE">
        <w:t>et al. Homologous recombination deficiency status-based classification of high-grade se</w:t>
      </w:r>
      <w:r>
        <w:t xml:space="preserve">rous ovarian carcinoma. </w:t>
      </w:r>
      <w:proofErr w:type="spellStart"/>
      <w:r w:rsidRPr="00A6416A">
        <w:rPr>
          <w:i/>
        </w:rPr>
        <w:t>Sci</w:t>
      </w:r>
      <w:proofErr w:type="spellEnd"/>
      <w:r w:rsidRPr="00A6416A">
        <w:rPr>
          <w:i/>
        </w:rPr>
        <w:t xml:space="preserve"> Rep</w:t>
      </w:r>
      <w:r>
        <w:t>, 2020; 10.</w:t>
      </w:r>
    </w:p>
  </w:footnote>
  <w:footnote w:id="5">
    <w:p w14:paraId="0C923BA9" w14:textId="6339ECE3" w:rsidR="00D0384C" w:rsidRDefault="00D0384C">
      <w:pPr>
        <w:pStyle w:val="FootnoteText"/>
      </w:pPr>
      <w:r>
        <w:rPr>
          <w:rStyle w:val="FootnoteReference"/>
        </w:rPr>
        <w:footnoteRef/>
      </w:r>
      <w:r>
        <w:t xml:space="preserve"> Cancer Council, Types of cancer: Pancreatic cancer. Accessed 3 November 2020 from the Cancer Council website.</w:t>
      </w:r>
    </w:p>
  </w:footnote>
  <w:footnote w:id="6">
    <w:p w14:paraId="7B307405" w14:textId="0760E3FC" w:rsidR="00D0384C" w:rsidRDefault="00D0384C">
      <w:pPr>
        <w:pStyle w:val="FootnoteText"/>
      </w:pPr>
      <w:r>
        <w:rPr>
          <w:rStyle w:val="FootnoteReference"/>
        </w:rPr>
        <w:footnoteRef/>
      </w:r>
      <w:r>
        <w:t xml:space="preserve"> </w:t>
      </w:r>
      <w:r w:rsidRPr="00AD26D6">
        <w:t xml:space="preserve">Carlos </w:t>
      </w:r>
      <w:proofErr w:type="spellStart"/>
      <w:r w:rsidRPr="00AD26D6">
        <w:t>Fernandex</w:t>
      </w:r>
      <w:proofErr w:type="spellEnd"/>
      <w:r w:rsidRPr="00AD26D6">
        <w:t xml:space="preserve">-del Castillo. Clinical manifestations, diagnosis, and staging of exocrine pancreatic cancer in </w:t>
      </w:r>
      <w:proofErr w:type="spellStart"/>
      <w:r w:rsidRPr="00AD26D6">
        <w:t>UpToDate</w:t>
      </w:r>
      <w:proofErr w:type="spellEnd"/>
      <w:r w:rsidRPr="00AD26D6">
        <w:t>. Up to date accessed 3 Nov</w:t>
      </w:r>
      <w:r>
        <w:t>ember</w:t>
      </w:r>
      <w:r w:rsidRPr="00AD26D6">
        <w:t xml:space="preserve"> 2020</w:t>
      </w:r>
      <w:r>
        <w:t>.</w:t>
      </w:r>
    </w:p>
  </w:footnote>
  <w:footnote w:id="7">
    <w:p w14:paraId="0DB41574" w14:textId="7103A1E9" w:rsidR="00D0384C" w:rsidRPr="00EE2E1E" w:rsidRDefault="00D0384C">
      <w:pPr>
        <w:pStyle w:val="FootnoteText"/>
        <w:rPr>
          <w:lang w:val="en-US"/>
        </w:rPr>
      </w:pPr>
      <w:r>
        <w:rPr>
          <w:rStyle w:val="FootnoteReference"/>
        </w:rPr>
        <w:footnoteRef/>
      </w:r>
      <w:r>
        <w:t xml:space="preserve"> </w:t>
      </w:r>
      <w:proofErr w:type="spellStart"/>
      <w:r w:rsidRPr="007E0E56">
        <w:t>Folfirinox</w:t>
      </w:r>
      <w:proofErr w:type="spellEnd"/>
      <w:r w:rsidRPr="007E0E56">
        <w:t xml:space="preserve"> is the name of a combination of ca</w:t>
      </w:r>
      <w:r>
        <w:t xml:space="preserve">ncer drugs that includes: FOL, </w:t>
      </w:r>
      <w:proofErr w:type="spellStart"/>
      <w:r w:rsidRPr="007E0E56">
        <w:t>folinic</w:t>
      </w:r>
      <w:proofErr w:type="spellEnd"/>
      <w:r w:rsidRPr="007E0E56">
        <w:t xml:space="preserve"> acid (also called </w:t>
      </w:r>
      <w:proofErr w:type="spellStart"/>
      <w:r w:rsidRPr="007E0E56">
        <w:t>le</w:t>
      </w:r>
      <w:r>
        <w:t>ucovorin</w:t>
      </w:r>
      <w:proofErr w:type="spellEnd"/>
      <w:r>
        <w:t xml:space="preserve">, or calcium </w:t>
      </w:r>
      <w:proofErr w:type="spellStart"/>
      <w:r>
        <w:t>folinate</w:t>
      </w:r>
      <w:proofErr w:type="spellEnd"/>
      <w:r w:rsidRPr="007E0E56">
        <w:t>)</w:t>
      </w:r>
      <w:r>
        <w:t xml:space="preserve">; F, fluorouracil (also called 5FU); IRIN, </w:t>
      </w:r>
      <w:proofErr w:type="spellStart"/>
      <w:r>
        <w:t>irinotecan</w:t>
      </w:r>
      <w:proofErr w:type="spellEnd"/>
      <w:r>
        <w:t xml:space="preserve">; and OX, </w:t>
      </w:r>
      <w:proofErr w:type="spellStart"/>
      <w:r w:rsidRPr="007E0E56">
        <w:t>oxaliplatin</w:t>
      </w:r>
      <w:proofErr w:type="spellEnd"/>
      <w:r w:rsidRPr="007E0E56">
        <w:t>.</w:t>
      </w:r>
    </w:p>
  </w:footnote>
  <w:footnote w:id="8">
    <w:p w14:paraId="426AB69F" w14:textId="650BE987" w:rsidR="00D0384C" w:rsidRDefault="00D0384C" w:rsidP="00AD26D6">
      <w:pPr>
        <w:pStyle w:val="FootnoteText"/>
      </w:pPr>
      <w:r>
        <w:rPr>
          <w:rStyle w:val="FootnoteReference"/>
        </w:rPr>
        <w:footnoteRef/>
      </w:r>
      <w:r>
        <w:t xml:space="preserve"> </w:t>
      </w:r>
      <w:proofErr w:type="spellStart"/>
      <w:r>
        <w:t>Ducreux</w:t>
      </w:r>
      <w:proofErr w:type="spellEnd"/>
      <w:r>
        <w:t xml:space="preserve"> M, et al. Cancer of the pancreas: ESMO Clinical Practice Guidelines for diagnosis, treatment and follow-up. </w:t>
      </w:r>
      <w:r w:rsidRPr="00AD26D6">
        <w:rPr>
          <w:i/>
        </w:rPr>
        <w:t xml:space="preserve">Ann </w:t>
      </w:r>
      <w:proofErr w:type="spellStart"/>
      <w:r w:rsidRPr="00AD26D6">
        <w:rPr>
          <w:i/>
        </w:rPr>
        <w:t>Oncol</w:t>
      </w:r>
      <w:proofErr w:type="spellEnd"/>
      <w:r>
        <w:t>, 2015; 26(</w:t>
      </w:r>
      <w:proofErr w:type="spellStart"/>
      <w:r>
        <w:t>Suppl</w:t>
      </w:r>
      <w:proofErr w:type="spellEnd"/>
      <w:r>
        <w:t xml:space="preserve"> 5): v56-68.</w:t>
      </w:r>
    </w:p>
  </w:footnote>
  <w:footnote w:id="9">
    <w:p w14:paraId="28BB5406" w14:textId="4416E16C" w:rsidR="00D0384C" w:rsidRDefault="00D0384C" w:rsidP="00AD26D6">
      <w:pPr>
        <w:pStyle w:val="FootnoteText"/>
      </w:pPr>
      <w:r>
        <w:rPr>
          <w:rStyle w:val="FootnoteReference"/>
        </w:rPr>
        <w:footnoteRef/>
      </w:r>
      <w:r>
        <w:t xml:space="preserve"> National Comprehensive Cancer Network (NCCN) clinical practice guidelines in oncology: pancreatic adenocarcinoma. Version 1.2019. Available from the NCCN website.</w:t>
      </w:r>
    </w:p>
  </w:footnote>
  <w:footnote w:id="10">
    <w:p w14:paraId="14421699" w14:textId="1FE59577" w:rsidR="00D0384C" w:rsidRDefault="00D0384C" w:rsidP="00AD26D6">
      <w:pPr>
        <w:pStyle w:val="FootnoteText"/>
      </w:pPr>
      <w:r>
        <w:rPr>
          <w:rStyle w:val="FootnoteReference"/>
        </w:rPr>
        <w:footnoteRef/>
      </w:r>
      <w:r>
        <w:t xml:space="preserve"> </w:t>
      </w:r>
      <w:proofErr w:type="spellStart"/>
      <w:r>
        <w:t>Sohal</w:t>
      </w:r>
      <w:proofErr w:type="spellEnd"/>
      <w:r>
        <w:t xml:space="preserve"> DPS, et al. Metastatic Pancreatic Cancer: ASCO Clinical Practice Guideline Update. </w:t>
      </w:r>
      <w:r w:rsidRPr="00AD26D6">
        <w:rPr>
          <w:i/>
        </w:rPr>
        <w:t xml:space="preserve">J </w:t>
      </w:r>
      <w:proofErr w:type="spellStart"/>
      <w:r w:rsidRPr="00AD26D6">
        <w:rPr>
          <w:i/>
        </w:rPr>
        <w:t>Clin</w:t>
      </w:r>
      <w:proofErr w:type="spellEnd"/>
      <w:r w:rsidRPr="00AD26D6">
        <w:rPr>
          <w:i/>
        </w:rPr>
        <w:t xml:space="preserve"> </w:t>
      </w:r>
      <w:proofErr w:type="spellStart"/>
      <w:r w:rsidRPr="00AD26D6">
        <w:rPr>
          <w:i/>
        </w:rPr>
        <w:t>Oncol</w:t>
      </w:r>
      <w:proofErr w:type="spellEnd"/>
      <w:r>
        <w:t xml:space="preserve"> 2018; 36(24): 2545-2556.</w:t>
      </w:r>
    </w:p>
  </w:footnote>
  <w:footnote w:id="11">
    <w:p w14:paraId="05F34EB9" w14:textId="050589B1" w:rsidR="00D0384C" w:rsidRDefault="00D0384C" w:rsidP="008330ED">
      <w:pPr>
        <w:pStyle w:val="FootnoteText"/>
      </w:pPr>
      <w:r>
        <w:rPr>
          <w:rStyle w:val="FootnoteReference"/>
        </w:rPr>
        <w:footnoteRef/>
      </w:r>
      <w:r>
        <w:t xml:space="preserve"> </w:t>
      </w:r>
      <w:r w:rsidRPr="008330ED">
        <w:rPr>
          <w:b/>
        </w:rPr>
        <w:t>PFS1</w:t>
      </w:r>
      <w:r>
        <w:t xml:space="preserve"> = progression-free survival (defined as the time from randomisation until the date of objective radiological disease progression according to modified RECIST 1.1 or death (by any cause in the absence of progression) regardless of whether the patient discontinued randomised therapy or received another anticancer therapy prior to progression).</w:t>
      </w:r>
    </w:p>
  </w:footnote>
  <w:footnote w:id="12">
    <w:p w14:paraId="1F9F78E0" w14:textId="33BD96F0" w:rsidR="00D0384C" w:rsidRDefault="00D0384C" w:rsidP="008330ED">
      <w:pPr>
        <w:pStyle w:val="FootnoteText"/>
      </w:pPr>
      <w:r>
        <w:rPr>
          <w:rStyle w:val="FootnoteReference"/>
        </w:rPr>
        <w:footnoteRef/>
      </w:r>
      <w:r>
        <w:t xml:space="preserve"> </w:t>
      </w:r>
      <w:r w:rsidRPr="008330ED">
        <w:rPr>
          <w:b/>
        </w:rPr>
        <w:t>PFS2</w:t>
      </w:r>
      <w:r>
        <w:t xml:space="preserve"> = Time from randomisation to second progression or death (defined as time from the date of randomisation to the earliest of the progression event subsequent to that used for the primary variable PFS or death)</w:t>
      </w:r>
    </w:p>
  </w:footnote>
  <w:footnote w:id="13">
    <w:p w14:paraId="52CFFC61" w14:textId="132E4309" w:rsidR="00D0384C" w:rsidRDefault="00D0384C" w:rsidP="00777F82">
      <w:pPr>
        <w:pStyle w:val="FootnoteText"/>
      </w:pPr>
      <w:r>
        <w:rPr>
          <w:rStyle w:val="FootnoteReference"/>
        </w:rPr>
        <w:footnoteRef/>
      </w:r>
      <w:r>
        <w:t xml:space="preserve"> Ovarian cancer/high grade serous carcinoma, including endometrial ovarian carcinoma, fallopian tube and peritoneal carcinoma is staged according to the </w:t>
      </w:r>
      <w:proofErr w:type="spellStart"/>
      <w:r w:rsidRPr="00D460C1">
        <w:t>Fédération</w:t>
      </w:r>
      <w:proofErr w:type="spellEnd"/>
      <w:r w:rsidRPr="00D460C1">
        <w:t xml:space="preserve"> Internationale de </w:t>
      </w:r>
      <w:proofErr w:type="spellStart"/>
      <w:r w:rsidRPr="00D460C1">
        <w:t>Gynécologie</w:t>
      </w:r>
      <w:proofErr w:type="spellEnd"/>
      <w:r w:rsidRPr="00D460C1">
        <w:t xml:space="preserve"> et </w:t>
      </w:r>
      <w:proofErr w:type="spellStart"/>
      <w:r w:rsidRPr="00D460C1">
        <w:t>d’Obstétrique</w:t>
      </w:r>
      <w:proofErr w:type="spellEnd"/>
      <w:r w:rsidRPr="00D460C1">
        <w:t xml:space="preserve"> </w:t>
      </w:r>
      <w:r>
        <w:t>(</w:t>
      </w:r>
      <w:r w:rsidRPr="00EE2E1E">
        <w:rPr>
          <w:b/>
        </w:rPr>
        <w:t>FIGO</w:t>
      </w:r>
      <w:r>
        <w:t xml:space="preserve">) </w:t>
      </w:r>
      <w:r>
        <w:rPr>
          <w:b/>
        </w:rPr>
        <w:t>staging system.</w:t>
      </w:r>
    </w:p>
    <w:p w14:paraId="72437B26" w14:textId="27A8A84A" w:rsidR="00D0384C" w:rsidRDefault="00D0384C" w:rsidP="00777F82">
      <w:pPr>
        <w:pStyle w:val="FootnoteText"/>
      </w:pPr>
      <w:r w:rsidRPr="00EE2E1E">
        <w:rPr>
          <w:b/>
        </w:rPr>
        <w:t>Stage IIIB</w:t>
      </w:r>
      <w:r>
        <w:t>: The cancer has visibly spread past the pelvis to the abdomen and is 2 cm or smaller, with or without spread to the retroperitoneal lymph nodes.</w:t>
      </w:r>
    </w:p>
    <w:p w14:paraId="04B25F9E" w14:textId="07EFBBBA" w:rsidR="00D0384C" w:rsidRDefault="00D0384C" w:rsidP="00777F82">
      <w:pPr>
        <w:pStyle w:val="FootnoteText"/>
      </w:pPr>
      <w:r w:rsidRPr="00EE2E1E">
        <w:rPr>
          <w:b/>
        </w:rPr>
        <w:t>Stage IIIC</w:t>
      </w:r>
      <w:r>
        <w:t>: The cancer has visibly spread past the pelvis to the abdomen and is larger than 2 cm, with or without spread to the retroperitoneal lymph nodes.</w:t>
      </w:r>
    </w:p>
    <w:p w14:paraId="1C93140B" w14:textId="7C10E2D9" w:rsidR="00D0384C" w:rsidRDefault="00D0384C" w:rsidP="00777F82">
      <w:pPr>
        <w:pStyle w:val="FootnoteText"/>
      </w:pPr>
      <w:r w:rsidRPr="00EE2E1E">
        <w:rPr>
          <w:b/>
        </w:rPr>
        <w:t>Stage IV</w:t>
      </w:r>
      <w:r>
        <w:t>: The cancer has spread to organs outside of the abdominal area.</w:t>
      </w:r>
    </w:p>
    <w:p w14:paraId="051FB639" w14:textId="5A953B34" w:rsidR="00D0384C" w:rsidRDefault="00D0384C" w:rsidP="00777F82">
      <w:pPr>
        <w:pStyle w:val="FootnoteText"/>
      </w:pPr>
      <w:r w:rsidRPr="00EE2E1E">
        <w:rPr>
          <w:b/>
        </w:rPr>
        <w:t>Stage IVA</w:t>
      </w:r>
      <w:r>
        <w:t>: The cancer has spread to fluid around the lungs.</w:t>
      </w:r>
    </w:p>
    <w:p w14:paraId="6A7A113A" w14:textId="768D02F8" w:rsidR="00D0384C" w:rsidRPr="00EE2E1E" w:rsidRDefault="00D0384C" w:rsidP="00777F82">
      <w:pPr>
        <w:pStyle w:val="FootnoteText"/>
        <w:rPr>
          <w:lang w:val="en-US"/>
        </w:rPr>
      </w:pPr>
      <w:r w:rsidRPr="00EE2E1E">
        <w:rPr>
          <w:b/>
        </w:rPr>
        <w:t>Stage IVB</w:t>
      </w:r>
      <w:r>
        <w:t>: The cancer has spread to the liver or spleen or to organs beyond the abdomen, including lymph nodes in the groin outside of the abdominal cavity.</w:t>
      </w:r>
    </w:p>
  </w:footnote>
  <w:footnote w:id="14">
    <w:p w14:paraId="251DEF2A" w14:textId="77777777" w:rsidR="00D0384C" w:rsidRDefault="00D0384C" w:rsidP="00660733">
      <w:pPr>
        <w:spacing w:before="0" w:after="0" w:line="240" w:lineRule="auto"/>
        <w:rPr>
          <w:rFonts w:eastAsia="Times New Roman" w:cs="Calibri"/>
          <w:color w:val="000000"/>
          <w:sz w:val="18"/>
          <w:szCs w:val="18"/>
          <w:lang w:eastAsia="en-AU"/>
        </w:rPr>
      </w:pPr>
      <w:r>
        <w:rPr>
          <w:rStyle w:val="FootnoteReference"/>
        </w:rPr>
        <w:footnoteRef/>
      </w:r>
      <w:r>
        <w:t xml:space="preserve"> </w:t>
      </w:r>
      <w:r w:rsidRPr="00660733">
        <w:rPr>
          <w:rFonts w:eastAsia="Times New Roman" w:cs="Calibri"/>
          <w:b/>
          <w:color w:val="000000"/>
          <w:sz w:val="18"/>
          <w:szCs w:val="18"/>
          <w:lang w:eastAsia="en-AU"/>
        </w:rPr>
        <w:t>ECOG Performance Status</w:t>
      </w:r>
      <w:r w:rsidRPr="00660733">
        <w:rPr>
          <w:rFonts w:eastAsia="Times New Roman" w:cs="Calibri"/>
          <w:color w:val="000000"/>
          <w:sz w:val="18"/>
          <w:szCs w:val="18"/>
          <w:lang w:eastAsia="en-AU"/>
        </w:rPr>
        <w:t>: The Eastern Cooperative Oncology Group (ECOG) has developed criteria used by doctors and researchers to assess how a patient's disease is progressing, assess how the disease affects the daily living abilities of the patient, and determine appropriate treatment and prog</w:t>
      </w:r>
      <w:r>
        <w:rPr>
          <w:rFonts w:eastAsia="Times New Roman" w:cs="Calibri"/>
          <w:color w:val="000000"/>
          <w:sz w:val="18"/>
          <w:szCs w:val="18"/>
          <w:lang w:eastAsia="en-AU"/>
        </w:rPr>
        <w:t xml:space="preserve">nosis. The following are used: </w:t>
      </w:r>
    </w:p>
    <w:p w14:paraId="7AF1C1CC" w14:textId="77777777" w:rsidR="00D0384C" w:rsidRDefault="00D0384C" w:rsidP="00660733">
      <w:pPr>
        <w:spacing w:before="0" w:after="0" w:line="240" w:lineRule="auto"/>
        <w:rPr>
          <w:rFonts w:eastAsia="Times New Roman" w:cs="Calibri"/>
          <w:color w:val="000000"/>
          <w:sz w:val="18"/>
          <w:szCs w:val="18"/>
          <w:lang w:eastAsia="en-AU"/>
        </w:rPr>
      </w:pPr>
      <w:r w:rsidRPr="00660733">
        <w:rPr>
          <w:rFonts w:eastAsia="Times New Roman" w:cs="Calibri"/>
          <w:color w:val="000000"/>
          <w:sz w:val="18"/>
          <w:szCs w:val="18"/>
          <w:lang w:eastAsia="en-AU"/>
        </w:rPr>
        <w:t>0 - Fully active, able to carry on all pre-disease performance without restriction</w:t>
      </w:r>
    </w:p>
    <w:p w14:paraId="38EDBC90" w14:textId="77B5144A" w:rsidR="00D0384C" w:rsidRDefault="00D0384C" w:rsidP="00660733">
      <w:pPr>
        <w:spacing w:before="0" w:after="0" w:line="240" w:lineRule="auto"/>
        <w:rPr>
          <w:rFonts w:eastAsia="Times New Roman" w:cs="Calibri"/>
          <w:color w:val="000000"/>
          <w:sz w:val="18"/>
          <w:szCs w:val="18"/>
          <w:lang w:eastAsia="en-AU"/>
        </w:rPr>
      </w:pPr>
      <w:r w:rsidRPr="00660733">
        <w:rPr>
          <w:rFonts w:eastAsia="Times New Roman" w:cs="Calibri"/>
          <w:color w:val="000000"/>
          <w:sz w:val="18"/>
          <w:szCs w:val="18"/>
          <w:lang w:eastAsia="en-AU"/>
        </w:rPr>
        <w:t xml:space="preserve">1- Restricted in physically strenuous activity but ambulatory and able to carry out work of a light or sedentary nature, </w:t>
      </w:r>
      <w:r>
        <w:rPr>
          <w:rFonts w:eastAsia="Times New Roman" w:cs="Calibri"/>
          <w:color w:val="000000"/>
          <w:sz w:val="18"/>
          <w:szCs w:val="18"/>
          <w:lang w:eastAsia="en-AU"/>
        </w:rPr>
        <w:t>for example, light house work, office work</w:t>
      </w:r>
    </w:p>
    <w:p w14:paraId="5D81E0D3" w14:textId="77777777" w:rsidR="00D0384C" w:rsidRDefault="00D0384C" w:rsidP="00660733">
      <w:pPr>
        <w:spacing w:before="0" w:after="0" w:line="240" w:lineRule="auto"/>
        <w:rPr>
          <w:rFonts w:eastAsia="Times New Roman" w:cs="Calibri"/>
          <w:color w:val="000000"/>
          <w:sz w:val="18"/>
          <w:szCs w:val="18"/>
          <w:lang w:eastAsia="en-AU"/>
        </w:rPr>
      </w:pPr>
      <w:r w:rsidRPr="00660733">
        <w:rPr>
          <w:rFonts w:eastAsia="Times New Roman" w:cs="Calibri"/>
          <w:color w:val="000000"/>
          <w:sz w:val="18"/>
          <w:szCs w:val="18"/>
          <w:lang w:eastAsia="en-AU"/>
        </w:rPr>
        <w:t xml:space="preserve">2 - Ambulatory and capable of all </w:t>
      </w:r>
      <w:proofErr w:type="spellStart"/>
      <w:r w:rsidRPr="00660733">
        <w:rPr>
          <w:rFonts w:eastAsia="Times New Roman" w:cs="Calibri"/>
          <w:color w:val="000000"/>
          <w:sz w:val="18"/>
          <w:szCs w:val="18"/>
          <w:lang w:eastAsia="en-AU"/>
        </w:rPr>
        <w:t>selfcare</w:t>
      </w:r>
      <w:proofErr w:type="spellEnd"/>
      <w:r w:rsidRPr="00660733">
        <w:rPr>
          <w:rFonts w:eastAsia="Times New Roman" w:cs="Calibri"/>
          <w:color w:val="000000"/>
          <w:sz w:val="18"/>
          <w:szCs w:val="18"/>
          <w:lang w:eastAsia="en-AU"/>
        </w:rPr>
        <w:t xml:space="preserve"> but unable to carry out any work activities. Up and abou</w:t>
      </w:r>
      <w:r>
        <w:rPr>
          <w:rFonts w:eastAsia="Times New Roman" w:cs="Calibri"/>
          <w:color w:val="000000"/>
          <w:sz w:val="18"/>
          <w:szCs w:val="18"/>
          <w:lang w:eastAsia="en-AU"/>
        </w:rPr>
        <w:t>t more than 50% of waking hours</w:t>
      </w:r>
    </w:p>
    <w:p w14:paraId="7C5E710A" w14:textId="77777777" w:rsidR="00D0384C" w:rsidRDefault="00D0384C" w:rsidP="00660733">
      <w:pPr>
        <w:spacing w:before="0" w:after="0" w:line="240" w:lineRule="auto"/>
        <w:rPr>
          <w:rFonts w:eastAsia="Times New Roman" w:cs="Calibri"/>
          <w:color w:val="000000"/>
          <w:sz w:val="18"/>
          <w:szCs w:val="18"/>
          <w:lang w:eastAsia="en-AU"/>
        </w:rPr>
      </w:pPr>
      <w:r w:rsidRPr="00660733">
        <w:rPr>
          <w:rFonts w:eastAsia="Times New Roman" w:cs="Calibri"/>
          <w:color w:val="000000"/>
          <w:sz w:val="18"/>
          <w:szCs w:val="18"/>
          <w:lang w:eastAsia="en-AU"/>
        </w:rPr>
        <w:t xml:space="preserve">3 - Capable of only limited </w:t>
      </w:r>
      <w:proofErr w:type="spellStart"/>
      <w:r w:rsidRPr="00660733">
        <w:rPr>
          <w:rFonts w:eastAsia="Times New Roman" w:cs="Calibri"/>
          <w:color w:val="000000"/>
          <w:sz w:val="18"/>
          <w:szCs w:val="18"/>
          <w:lang w:eastAsia="en-AU"/>
        </w:rPr>
        <w:t>selfcare</w:t>
      </w:r>
      <w:proofErr w:type="spellEnd"/>
      <w:r w:rsidRPr="00660733">
        <w:rPr>
          <w:rFonts w:eastAsia="Times New Roman" w:cs="Calibri"/>
          <w:color w:val="000000"/>
          <w:sz w:val="18"/>
          <w:szCs w:val="18"/>
          <w:lang w:eastAsia="en-AU"/>
        </w:rPr>
        <w:t>, confined to bed or chai</w:t>
      </w:r>
      <w:r>
        <w:rPr>
          <w:rFonts w:eastAsia="Times New Roman" w:cs="Calibri"/>
          <w:color w:val="000000"/>
          <w:sz w:val="18"/>
          <w:szCs w:val="18"/>
          <w:lang w:eastAsia="en-AU"/>
        </w:rPr>
        <w:t>r more than 50% of waking hours</w:t>
      </w:r>
    </w:p>
    <w:p w14:paraId="5BF80A19" w14:textId="77777777" w:rsidR="00D0384C" w:rsidRDefault="00D0384C" w:rsidP="00660733">
      <w:pPr>
        <w:spacing w:before="0" w:after="0" w:line="240" w:lineRule="auto"/>
        <w:rPr>
          <w:rFonts w:eastAsia="Times New Roman" w:cs="Calibri"/>
          <w:color w:val="000000"/>
          <w:sz w:val="18"/>
          <w:szCs w:val="18"/>
          <w:lang w:eastAsia="en-AU"/>
        </w:rPr>
      </w:pPr>
      <w:r w:rsidRPr="00660733">
        <w:rPr>
          <w:rFonts w:eastAsia="Times New Roman" w:cs="Calibri"/>
          <w:color w:val="000000"/>
          <w:sz w:val="18"/>
          <w:szCs w:val="18"/>
          <w:lang w:eastAsia="en-AU"/>
        </w:rPr>
        <w:t xml:space="preserve">4 - Completely disabled. Cannot carry on any </w:t>
      </w:r>
      <w:proofErr w:type="spellStart"/>
      <w:r w:rsidRPr="00660733">
        <w:rPr>
          <w:rFonts w:eastAsia="Times New Roman" w:cs="Calibri"/>
          <w:color w:val="000000"/>
          <w:sz w:val="18"/>
          <w:szCs w:val="18"/>
          <w:lang w:eastAsia="en-AU"/>
        </w:rPr>
        <w:t>selfcare</w:t>
      </w:r>
      <w:proofErr w:type="spellEnd"/>
      <w:r w:rsidRPr="00660733">
        <w:rPr>
          <w:rFonts w:eastAsia="Times New Roman" w:cs="Calibri"/>
          <w:color w:val="000000"/>
          <w:sz w:val="18"/>
          <w:szCs w:val="18"/>
          <w:lang w:eastAsia="en-AU"/>
        </w:rPr>
        <w:t>. T</w:t>
      </w:r>
      <w:r>
        <w:rPr>
          <w:rFonts w:eastAsia="Times New Roman" w:cs="Calibri"/>
          <w:color w:val="000000"/>
          <w:sz w:val="18"/>
          <w:szCs w:val="18"/>
          <w:lang w:eastAsia="en-AU"/>
        </w:rPr>
        <w:t>otally confined to bed or chair</w:t>
      </w:r>
    </w:p>
    <w:p w14:paraId="1BADB881" w14:textId="12C99F7C" w:rsidR="00D0384C" w:rsidRPr="00660733" w:rsidRDefault="00D0384C" w:rsidP="00660733">
      <w:pPr>
        <w:spacing w:before="0" w:after="0" w:line="240" w:lineRule="auto"/>
        <w:rPr>
          <w:rFonts w:eastAsia="Times New Roman" w:cs="Calibri"/>
          <w:color w:val="000000"/>
          <w:sz w:val="18"/>
          <w:szCs w:val="18"/>
          <w:lang w:eastAsia="en-AU"/>
        </w:rPr>
      </w:pPr>
      <w:r w:rsidRPr="00660733">
        <w:rPr>
          <w:rFonts w:eastAsia="Times New Roman" w:cs="Calibri"/>
          <w:color w:val="000000"/>
          <w:sz w:val="18"/>
          <w:szCs w:val="18"/>
          <w:lang w:eastAsia="en-AU"/>
        </w:rPr>
        <w:t>5 – Dead</w:t>
      </w:r>
    </w:p>
  </w:footnote>
  <w:footnote w:id="15">
    <w:p w14:paraId="19FEF57D" w14:textId="77777777" w:rsidR="00D0384C" w:rsidRDefault="00D0384C" w:rsidP="00E52DFB">
      <w:pPr>
        <w:pStyle w:val="FootnoteText"/>
        <w:rPr>
          <w:b/>
        </w:rPr>
      </w:pPr>
      <w:r>
        <w:rPr>
          <w:rStyle w:val="FootnoteReference"/>
        </w:rPr>
        <w:footnoteRef/>
      </w:r>
      <w:r>
        <w:t xml:space="preserve"> In the </w:t>
      </w:r>
      <w:r w:rsidRPr="00A037C8">
        <w:rPr>
          <w:b/>
        </w:rPr>
        <w:t>FIGO</w:t>
      </w:r>
      <w:r>
        <w:t xml:space="preserve"> </w:t>
      </w:r>
      <w:r>
        <w:rPr>
          <w:b/>
        </w:rPr>
        <w:t xml:space="preserve">staging system, </w:t>
      </w:r>
      <w:r w:rsidRPr="00EE2E1E">
        <w:t>Stage IA and IB, and Grades I to III are defined as:</w:t>
      </w:r>
    </w:p>
    <w:p w14:paraId="071F180D" w14:textId="701902A5" w:rsidR="00D0384C" w:rsidRDefault="00D0384C" w:rsidP="00E52DFB">
      <w:pPr>
        <w:pStyle w:val="FootnoteText"/>
      </w:pPr>
      <w:r>
        <w:rPr>
          <w:b/>
        </w:rPr>
        <w:t xml:space="preserve">Stage IA: </w:t>
      </w:r>
      <w:r w:rsidRPr="00E52DFB">
        <w:t xml:space="preserve">The cancer is only inside one </w:t>
      </w:r>
      <w:r w:rsidRPr="00EE2E1E">
        <w:t>ovary or fallopian tube. No cancer is found on the ovarian or fallopian tube surface or in the abdomen.</w:t>
      </w:r>
    </w:p>
    <w:p w14:paraId="1E0AFEE5" w14:textId="40C531FC" w:rsidR="00D0384C" w:rsidRDefault="00D0384C" w:rsidP="00E52DFB">
      <w:pPr>
        <w:pStyle w:val="FootnoteText"/>
      </w:pPr>
      <w:r w:rsidRPr="00EE2E1E">
        <w:rPr>
          <w:b/>
        </w:rPr>
        <w:t>Stage IB</w:t>
      </w:r>
      <w:r>
        <w:t xml:space="preserve">: </w:t>
      </w:r>
      <w:r w:rsidRPr="007C794D">
        <w:t xml:space="preserve">The cancer is in both ovaries or fallopian tubes. No cancer is found on the surface of the ovary or fallopian </w:t>
      </w:r>
      <w:r>
        <w:t>tube or in the peritoneal fluid.</w:t>
      </w:r>
    </w:p>
    <w:p w14:paraId="62CFE4DC" w14:textId="4717F74E" w:rsidR="00D0384C" w:rsidRPr="007C794D" w:rsidRDefault="00D0384C" w:rsidP="007C794D">
      <w:pPr>
        <w:pStyle w:val="FootnoteText"/>
        <w:rPr>
          <w:lang w:val="en-US"/>
        </w:rPr>
      </w:pPr>
      <w:r w:rsidRPr="00EE2E1E">
        <w:rPr>
          <w:b/>
          <w:lang w:val="en-US"/>
        </w:rPr>
        <w:t>Grade 1</w:t>
      </w:r>
      <w:r w:rsidRPr="007C794D">
        <w:rPr>
          <w:lang w:val="en-US"/>
        </w:rPr>
        <w:t>: The tissue is well differentiated. This mean</w:t>
      </w:r>
      <w:r>
        <w:rPr>
          <w:lang w:val="en-US"/>
        </w:rPr>
        <w:t xml:space="preserve">s the cells look and are </w:t>
      </w:r>
      <w:proofErr w:type="spellStart"/>
      <w:r>
        <w:rPr>
          <w:lang w:val="en-US"/>
        </w:rPr>
        <w:t>organis</w:t>
      </w:r>
      <w:r w:rsidRPr="007C794D">
        <w:rPr>
          <w:lang w:val="en-US"/>
        </w:rPr>
        <w:t>ed</w:t>
      </w:r>
      <w:proofErr w:type="spellEnd"/>
      <w:r w:rsidRPr="007C794D">
        <w:rPr>
          <w:lang w:val="en-US"/>
        </w:rPr>
        <w:t xml:space="preserve"> within the </w:t>
      </w:r>
      <w:proofErr w:type="spellStart"/>
      <w:r w:rsidRPr="007C794D">
        <w:rPr>
          <w:lang w:val="en-US"/>
        </w:rPr>
        <w:t>tumo</w:t>
      </w:r>
      <w:r>
        <w:rPr>
          <w:lang w:val="en-US"/>
        </w:rPr>
        <w:t>u</w:t>
      </w:r>
      <w:r w:rsidRPr="007C794D">
        <w:rPr>
          <w:lang w:val="en-US"/>
        </w:rPr>
        <w:t>r</w:t>
      </w:r>
      <w:proofErr w:type="spellEnd"/>
      <w:r w:rsidRPr="007C794D">
        <w:rPr>
          <w:lang w:val="en-US"/>
        </w:rPr>
        <w:t xml:space="preserve"> like normal cells. These </w:t>
      </w:r>
      <w:proofErr w:type="spellStart"/>
      <w:r w:rsidRPr="007C794D">
        <w:rPr>
          <w:lang w:val="en-US"/>
        </w:rPr>
        <w:t>tumo</w:t>
      </w:r>
      <w:r>
        <w:rPr>
          <w:lang w:val="en-US"/>
        </w:rPr>
        <w:t>u</w:t>
      </w:r>
      <w:r w:rsidRPr="007C794D">
        <w:rPr>
          <w:lang w:val="en-US"/>
        </w:rPr>
        <w:t>rs</w:t>
      </w:r>
      <w:proofErr w:type="spellEnd"/>
      <w:r w:rsidRPr="007C794D">
        <w:rPr>
          <w:lang w:val="en-US"/>
        </w:rPr>
        <w:t xml:space="preserve"> tend to grow</w:t>
      </w:r>
      <w:r>
        <w:rPr>
          <w:lang w:val="en-US"/>
        </w:rPr>
        <w:t xml:space="preserve"> more</w:t>
      </w:r>
      <w:r w:rsidRPr="007C794D">
        <w:rPr>
          <w:lang w:val="en-US"/>
        </w:rPr>
        <w:t xml:space="preserve"> slowly.</w:t>
      </w:r>
    </w:p>
    <w:p w14:paraId="74ADB825" w14:textId="4273A217" w:rsidR="00D0384C" w:rsidRPr="007C794D" w:rsidRDefault="00D0384C" w:rsidP="007C794D">
      <w:pPr>
        <w:pStyle w:val="FootnoteText"/>
        <w:rPr>
          <w:lang w:val="en-US"/>
        </w:rPr>
      </w:pPr>
      <w:r w:rsidRPr="00EE2E1E">
        <w:rPr>
          <w:b/>
          <w:lang w:val="en-US"/>
        </w:rPr>
        <w:t>Grade 2</w:t>
      </w:r>
      <w:r w:rsidRPr="007C794D">
        <w:rPr>
          <w:lang w:val="en-US"/>
        </w:rPr>
        <w:t xml:space="preserve">: The tissue is moderately differentiated. It shares features between </w:t>
      </w:r>
      <w:r>
        <w:rPr>
          <w:lang w:val="en-US"/>
        </w:rPr>
        <w:t>well and poorly differentiated.</w:t>
      </w:r>
    </w:p>
    <w:p w14:paraId="681B5973" w14:textId="4A2673EA" w:rsidR="00D0384C" w:rsidRPr="00EE2E1E" w:rsidRDefault="00D0384C" w:rsidP="007C794D">
      <w:pPr>
        <w:pStyle w:val="FootnoteText"/>
        <w:rPr>
          <w:lang w:val="en-US"/>
        </w:rPr>
      </w:pPr>
      <w:r w:rsidRPr="00EE2E1E">
        <w:rPr>
          <w:b/>
          <w:lang w:val="en-US"/>
        </w:rPr>
        <w:t>Grade 3</w:t>
      </w:r>
      <w:r w:rsidRPr="007C794D">
        <w:rPr>
          <w:lang w:val="en-US"/>
        </w:rPr>
        <w:t xml:space="preserve">: The tissue is poorly differentiated or undifferentiated. All or most cells appear very abnormal and do not have any normal tissue structure. These </w:t>
      </w:r>
      <w:proofErr w:type="spellStart"/>
      <w:r w:rsidRPr="007C794D">
        <w:rPr>
          <w:lang w:val="en-US"/>
        </w:rPr>
        <w:t>tumo</w:t>
      </w:r>
      <w:r>
        <w:rPr>
          <w:lang w:val="en-US"/>
        </w:rPr>
        <w:t>u</w:t>
      </w:r>
      <w:r w:rsidRPr="007C794D">
        <w:rPr>
          <w:lang w:val="en-US"/>
        </w:rPr>
        <w:t>rs</w:t>
      </w:r>
      <w:proofErr w:type="spellEnd"/>
      <w:r w:rsidRPr="007C794D">
        <w:rPr>
          <w:lang w:val="en-US"/>
        </w:rPr>
        <w:t xml:space="preserve"> tend to grow fast and can spread rapidly.</w:t>
      </w:r>
    </w:p>
  </w:footnote>
  <w:footnote w:id="16">
    <w:p w14:paraId="46A09CB6" w14:textId="77777777" w:rsidR="00D0384C" w:rsidRDefault="00D0384C">
      <w:pPr>
        <w:pStyle w:val="FootnoteText"/>
      </w:pPr>
      <w:r>
        <w:rPr>
          <w:rStyle w:val="FootnoteReference"/>
        </w:rPr>
        <w:footnoteRef/>
      </w:r>
      <w:r>
        <w:t xml:space="preserve"> </w:t>
      </w:r>
      <w:r w:rsidRPr="007D53B6">
        <w:t>The sponsor must still comply with routine product vigilance and risk minimisation requirements.</w:t>
      </w:r>
    </w:p>
  </w:footnote>
  <w:footnote w:id="17">
    <w:p w14:paraId="49C4DCEC" w14:textId="77777777" w:rsidR="00D0384C" w:rsidRDefault="00D0384C"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05C21DA" w14:textId="77777777" w:rsidR="00D0384C" w:rsidRPr="00456765" w:rsidRDefault="00D0384C"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303" w14:textId="77777777" w:rsidR="001C2BA9" w:rsidRDefault="001C2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5965" w14:textId="77777777" w:rsidR="00D0384C" w:rsidRDefault="00D0384C"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B6E8" w14:textId="77777777" w:rsidR="00D0384C" w:rsidRDefault="00D0384C">
    <w:pPr>
      <w:rPr>
        <w:noProof/>
        <w:lang w:eastAsia="en-AU"/>
      </w:rPr>
    </w:pPr>
    <w:r w:rsidRPr="00347824">
      <w:rPr>
        <w:noProof/>
        <w:lang w:eastAsia="en-AU"/>
      </w:rPr>
      <w:drawing>
        <wp:anchor distT="0" distB="0" distL="114300" distR="114300" simplePos="0" relativeHeight="251659264" behindDoc="1" locked="0" layoutInCell="1" allowOverlap="1" wp14:anchorId="75268E63" wp14:editId="633164F9">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B72ACC3" w14:textId="2A6511AC" w:rsidR="00D0384C" w:rsidRDefault="00D0384C"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58A0" w14:textId="77777777" w:rsidR="00D0384C" w:rsidRDefault="00D03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E65C" w14:textId="77777777" w:rsidR="00D0384C" w:rsidRDefault="00D0384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776E" w14:textId="77777777" w:rsidR="00D0384C" w:rsidRDefault="00D0384C">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13368" w14:textId="77777777" w:rsidR="00D0384C" w:rsidRDefault="00D038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03A92" w14:textId="77777777" w:rsidR="00D0384C" w:rsidRDefault="00D0384C"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48CF" w14:textId="77777777" w:rsidR="00D0384C" w:rsidRDefault="00D0384C" w:rsidP="006E08B3">
    <w:r>
      <w:t>Therapeutic Goods Administration</w:t>
    </w:r>
  </w:p>
  <w:p w14:paraId="6459E7CB" w14:textId="77777777" w:rsidR="00D0384C" w:rsidRDefault="00D0384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D8EE81A"/>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8EF83E8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518B2"/>
    <w:multiLevelType w:val="hybridMultilevel"/>
    <w:tmpl w:val="99FCBFE8"/>
    <w:lvl w:ilvl="0" w:tplc="29E0FEBE">
      <w:numFmt w:val="bullet"/>
      <w:lvlText w:val="-"/>
      <w:lvlJc w:val="left"/>
      <w:pPr>
        <w:ind w:left="720" w:hanging="360"/>
      </w:pPr>
      <w:rPr>
        <w:rFonts w:ascii="_ΩA‘˛" w:eastAsiaTheme="minorHAnsi" w:hAnsi="_ΩA‘˛" w:cs="_Ω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A3C448A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A5E1726"/>
    <w:multiLevelType w:val="hybridMultilevel"/>
    <w:tmpl w:val="89B43592"/>
    <w:lvl w:ilvl="0" w:tplc="29E0FEBE">
      <w:numFmt w:val="bullet"/>
      <w:lvlText w:val="-"/>
      <w:lvlJc w:val="left"/>
      <w:pPr>
        <w:ind w:left="720" w:hanging="360"/>
      </w:pPr>
      <w:rPr>
        <w:rFonts w:ascii="_ΩA‘˛" w:eastAsiaTheme="minorHAnsi" w:hAnsi="_ΩA‘˛" w:cs="_Ω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93A9E"/>
    <w:multiLevelType w:val="hybridMultilevel"/>
    <w:tmpl w:val="72ACC6CE"/>
    <w:lvl w:ilvl="0" w:tplc="521EABD2">
      <w:start w:val="100"/>
      <w:numFmt w:val="bullet"/>
      <w:lvlText w:val="-"/>
      <w:lvlJc w:val="left"/>
      <w:pPr>
        <w:ind w:left="405" w:hanging="360"/>
      </w:pPr>
      <w:rPr>
        <w:rFonts w:ascii="Cambria" w:eastAsia="Cambria" w:hAnsi="Cambria"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54732E"/>
    <w:multiLevelType w:val="hybridMultilevel"/>
    <w:tmpl w:val="F2B6B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ED31CA"/>
    <w:multiLevelType w:val="hybridMultilevel"/>
    <w:tmpl w:val="8E1A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AF0F44"/>
    <w:multiLevelType w:val="hybridMultilevel"/>
    <w:tmpl w:val="84B0D4C8"/>
    <w:lvl w:ilvl="0" w:tplc="905458D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8503B0"/>
    <w:multiLevelType w:val="hybridMultilevel"/>
    <w:tmpl w:val="71AEC39E"/>
    <w:lvl w:ilvl="0" w:tplc="29E0FEBE">
      <w:numFmt w:val="bullet"/>
      <w:lvlText w:val="-"/>
      <w:lvlJc w:val="left"/>
      <w:pPr>
        <w:ind w:left="720" w:hanging="360"/>
      </w:pPr>
      <w:rPr>
        <w:rFonts w:ascii="_ΩA‘˛" w:eastAsiaTheme="minorHAnsi" w:hAnsi="_ΩA‘˛" w:cs="_Ω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8C2229"/>
    <w:multiLevelType w:val="hybridMultilevel"/>
    <w:tmpl w:val="4F04D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5"/>
  </w:num>
  <w:num w:numId="17">
    <w:abstractNumId w:val="5"/>
  </w:num>
  <w:num w:numId="18">
    <w:abstractNumId w:val="5"/>
  </w:num>
  <w:num w:numId="19">
    <w:abstractNumId w:val="8"/>
  </w:num>
  <w:num w:numId="20">
    <w:abstractNumId w:val="8"/>
  </w:num>
  <w:num w:numId="21">
    <w:abstractNumId w:val="8"/>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8"/>
  </w:num>
  <w:num w:numId="29">
    <w:abstractNumId w:val="6"/>
  </w:num>
  <w:num w:numId="30">
    <w:abstractNumId w:val="11"/>
  </w:num>
  <w:num w:numId="31">
    <w:abstractNumId w:val="4"/>
  </w:num>
  <w:num w:numId="32">
    <w:abstractNumId w:val="14"/>
  </w:num>
  <w:num w:numId="33">
    <w:abstractNumId w:val="12"/>
  </w:num>
  <w:num w:numId="34">
    <w:abstractNumId w:val="19"/>
  </w:num>
  <w:num w:numId="35">
    <w:abstractNumId w:val="16"/>
  </w:num>
  <w:num w:numId="36">
    <w:abstractNumId w:val="9"/>
  </w:num>
  <w:num w:numId="37">
    <w:abstractNumId w:val="17"/>
  </w:num>
  <w:num w:numId="38">
    <w:abstractNumId w:val="7"/>
  </w:num>
  <w:num w:numId="39">
    <w:abstractNumId w:val="1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26"/>
    <w:rsid w:val="00002031"/>
    <w:rsid w:val="00003849"/>
    <w:rsid w:val="00004734"/>
    <w:rsid w:val="00006B22"/>
    <w:rsid w:val="00006FAB"/>
    <w:rsid w:val="0001276A"/>
    <w:rsid w:val="000246AE"/>
    <w:rsid w:val="00025C67"/>
    <w:rsid w:val="00044772"/>
    <w:rsid w:val="0004541C"/>
    <w:rsid w:val="0005559E"/>
    <w:rsid w:val="000604D6"/>
    <w:rsid w:val="000734D8"/>
    <w:rsid w:val="00077775"/>
    <w:rsid w:val="00090471"/>
    <w:rsid w:val="000904E1"/>
    <w:rsid w:val="00094A0B"/>
    <w:rsid w:val="00096AA7"/>
    <w:rsid w:val="00097994"/>
    <w:rsid w:val="000A3AED"/>
    <w:rsid w:val="000B05CE"/>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2C2E"/>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2BA9"/>
    <w:rsid w:val="001C32CD"/>
    <w:rsid w:val="001D2984"/>
    <w:rsid w:val="001E07CF"/>
    <w:rsid w:val="001E59F1"/>
    <w:rsid w:val="001F2CEE"/>
    <w:rsid w:val="001F49EB"/>
    <w:rsid w:val="001F6CBA"/>
    <w:rsid w:val="00201D4E"/>
    <w:rsid w:val="002076C9"/>
    <w:rsid w:val="00220B8A"/>
    <w:rsid w:val="002257F3"/>
    <w:rsid w:val="00233456"/>
    <w:rsid w:val="002337C8"/>
    <w:rsid w:val="002339A5"/>
    <w:rsid w:val="00250271"/>
    <w:rsid w:val="00257848"/>
    <w:rsid w:val="002578E8"/>
    <w:rsid w:val="0027084A"/>
    <w:rsid w:val="00280265"/>
    <w:rsid w:val="00281ED7"/>
    <w:rsid w:val="00286434"/>
    <w:rsid w:val="00286C59"/>
    <w:rsid w:val="00291957"/>
    <w:rsid w:val="002942D1"/>
    <w:rsid w:val="0029501A"/>
    <w:rsid w:val="002A3721"/>
    <w:rsid w:val="002B1638"/>
    <w:rsid w:val="002B2034"/>
    <w:rsid w:val="002B3624"/>
    <w:rsid w:val="002C1586"/>
    <w:rsid w:val="002D0952"/>
    <w:rsid w:val="002E40B3"/>
    <w:rsid w:val="002E4C9A"/>
    <w:rsid w:val="002F11F8"/>
    <w:rsid w:val="002F3F56"/>
    <w:rsid w:val="002F44B5"/>
    <w:rsid w:val="002F5122"/>
    <w:rsid w:val="00305623"/>
    <w:rsid w:val="00311AC0"/>
    <w:rsid w:val="003176FC"/>
    <w:rsid w:val="00324E45"/>
    <w:rsid w:val="0032583B"/>
    <w:rsid w:val="00327883"/>
    <w:rsid w:val="0033465C"/>
    <w:rsid w:val="00335504"/>
    <w:rsid w:val="00340C18"/>
    <w:rsid w:val="003442FD"/>
    <w:rsid w:val="00347824"/>
    <w:rsid w:val="00350567"/>
    <w:rsid w:val="003521E8"/>
    <w:rsid w:val="00370CE3"/>
    <w:rsid w:val="00372841"/>
    <w:rsid w:val="003728F3"/>
    <w:rsid w:val="003735BC"/>
    <w:rsid w:val="0037496E"/>
    <w:rsid w:val="00383221"/>
    <w:rsid w:val="00386150"/>
    <w:rsid w:val="003874CE"/>
    <w:rsid w:val="00390900"/>
    <w:rsid w:val="003A7F6C"/>
    <w:rsid w:val="003B4D60"/>
    <w:rsid w:val="003B7E39"/>
    <w:rsid w:val="003C58DC"/>
    <w:rsid w:val="003D0EAB"/>
    <w:rsid w:val="003D1E62"/>
    <w:rsid w:val="003E0B99"/>
    <w:rsid w:val="003E2486"/>
    <w:rsid w:val="003E3208"/>
    <w:rsid w:val="003F0B04"/>
    <w:rsid w:val="0040134E"/>
    <w:rsid w:val="004142C5"/>
    <w:rsid w:val="004334C7"/>
    <w:rsid w:val="00440A2D"/>
    <w:rsid w:val="00441C3F"/>
    <w:rsid w:val="00444D1A"/>
    <w:rsid w:val="0045186A"/>
    <w:rsid w:val="004564A7"/>
    <w:rsid w:val="00456765"/>
    <w:rsid w:val="00460036"/>
    <w:rsid w:val="004617BF"/>
    <w:rsid w:val="00463658"/>
    <w:rsid w:val="004637A0"/>
    <w:rsid w:val="004722CC"/>
    <w:rsid w:val="00472669"/>
    <w:rsid w:val="00482091"/>
    <w:rsid w:val="00485380"/>
    <w:rsid w:val="00490483"/>
    <w:rsid w:val="004936E4"/>
    <w:rsid w:val="00494E60"/>
    <w:rsid w:val="00497487"/>
    <w:rsid w:val="004A2771"/>
    <w:rsid w:val="004A5A02"/>
    <w:rsid w:val="004A6189"/>
    <w:rsid w:val="004A7390"/>
    <w:rsid w:val="004B7B76"/>
    <w:rsid w:val="004C239D"/>
    <w:rsid w:val="004C2DCA"/>
    <w:rsid w:val="004C4FBE"/>
    <w:rsid w:val="004C61D2"/>
    <w:rsid w:val="004C74B9"/>
    <w:rsid w:val="004D7517"/>
    <w:rsid w:val="004F0C4A"/>
    <w:rsid w:val="004F0F38"/>
    <w:rsid w:val="004F47D6"/>
    <w:rsid w:val="00500337"/>
    <w:rsid w:val="00501921"/>
    <w:rsid w:val="005221D6"/>
    <w:rsid w:val="00530354"/>
    <w:rsid w:val="0053625B"/>
    <w:rsid w:val="005366A6"/>
    <w:rsid w:val="005434C6"/>
    <w:rsid w:val="00543B39"/>
    <w:rsid w:val="00546154"/>
    <w:rsid w:val="00550096"/>
    <w:rsid w:val="00555280"/>
    <w:rsid w:val="00557FF9"/>
    <w:rsid w:val="00562327"/>
    <w:rsid w:val="00570DE6"/>
    <w:rsid w:val="005711D5"/>
    <w:rsid w:val="00576378"/>
    <w:rsid w:val="00577130"/>
    <w:rsid w:val="00577945"/>
    <w:rsid w:val="00577E38"/>
    <w:rsid w:val="005848F3"/>
    <w:rsid w:val="00585322"/>
    <w:rsid w:val="005857C6"/>
    <w:rsid w:val="00592F6E"/>
    <w:rsid w:val="00593AD1"/>
    <w:rsid w:val="005A68B6"/>
    <w:rsid w:val="005C1B8F"/>
    <w:rsid w:val="005C255A"/>
    <w:rsid w:val="005C5570"/>
    <w:rsid w:val="005C5B66"/>
    <w:rsid w:val="005C79A4"/>
    <w:rsid w:val="005D5442"/>
    <w:rsid w:val="005E0EB3"/>
    <w:rsid w:val="00601799"/>
    <w:rsid w:val="00603F32"/>
    <w:rsid w:val="00605AD4"/>
    <w:rsid w:val="006136D7"/>
    <w:rsid w:val="006162BE"/>
    <w:rsid w:val="00625A6E"/>
    <w:rsid w:val="0063208C"/>
    <w:rsid w:val="00632398"/>
    <w:rsid w:val="00640FC3"/>
    <w:rsid w:val="00642020"/>
    <w:rsid w:val="006430EE"/>
    <w:rsid w:val="0065337B"/>
    <w:rsid w:val="0065419D"/>
    <w:rsid w:val="006603BC"/>
    <w:rsid w:val="006604D8"/>
    <w:rsid w:val="00660733"/>
    <w:rsid w:val="006631E7"/>
    <w:rsid w:val="00664A5B"/>
    <w:rsid w:val="0066735C"/>
    <w:rsid w:val="006763D2"/>
    <w:rsid w:val="00680C08"/>
    <w:rsid w:val="006916A0"/>
    <w:rsid w:val="006931B1"/>
    <w:rsid w:val="00694337"/>
    <w:rsid w:val="006A15C0"/>
    <w:rsid w:val="006A58A8"/>
    <w:rsid w:val="006C3E2A"/>
    <w:rsid w:val="006C642F"/>
    <w:rsid w:val="006D03E5"/>
    <w:rsid w:val="006D5D3E"/>
    <w:rsid w:val="006D6F36"/>
    <w:rsid w:val="006E08B3"/>
    <w:rsid w:val="006F17AC"/>
    <w:rsid w:val="006F25B8"/>
    <w:rsid w:val="006F572E"/>
    <w:rsid w:val="007046D6"/>
    <w:rsid w:val="00705DB0"/>
    <w:rsid w:val="0071648D"/>
    <w:rsid w:val="00722B57"/>
    <w:rsid w:val="00730D31"/>
    <w:rsid w:val="00730F8A"/>
    <w:rsid w:val="00735A8C"/>
    <w:rsid w:val="0074253D"/>
    <w:rsid w:val="00744121"/>
    <w:rsid w:val="0074429B"/>
    <w:rsid w:val="007615BC"/>
    <w:rsid w:val="00762F05"/>
    <w:rsid w:val="007652FF"/>
    <w:rsid w:val="00770CAC"/>
    <w:rsid w:val="00770EF1"/>
    <w:rsid w:val="00773EF7"/>
    <w:rsid w:val="00774E1D"/>
    <w:rsid w:val="007765D8"/>
    <w:rsid w:val="0077675A"/>
    <w:rsid w:val="00777F82"/>
    <w:rsid w:val="00780355"/>
    <w:rsid w:val="007819FD"/>
    <w:rsid w:val="00785717"/>
    <w:rsid w:val="00785721"/>
    <w:rsid w:val="00793A59"/>
    <w:rsid w:val="007A46F5"/>
    <w:rsid w:val="007A6505"/>
    <w:rsid w:val="007B6132"/>
    <w:rsid w:val="007B6E9F"/>
    <w:rsid w:val="007C0A6C"/>
    <w:rsid w:val="007C1216"/>
    <w:rsid w:val="007C1AF7"/>
    <w:rsid w:val="007C6B9B"/>
    <w:rsid w:val="007C794D"/>
    <w:rsid w:val="007D53B6"/>
    <w:rsid w:val="007E0E56"/>
    <w:rsid w:val="00805D27"/>
    <w:rsid w:val="00806DCB"/>
    <w:rsid w:val="00821776"/>
    <w:rsid w:val="00821803"/>
    <w:rsid w:val="008321F5"/>
    <w:rsid w:val="00832369"/>
    <w:rsid w:val="008330ED"/>
    <w:rsid w:val="00834660"/>
    <w:rsid w:val="00836BC2"/>
    <w:rsid w:val="00842B51"/>
    <w:rsid w:val="0085156D"/>
    <w:rsid w:val="00852B28"/>
    <w:rsid w:val="0085641B"/>
    <w:rsid w:val="00857136"/>
    <w:rsid w:val="00861FF6"/>
    <w:rsid w:val="00862E90"/>
    <w:rsid w:val="0086372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C7630"/>
    <w:rsid w:val="008E0079"/>
    <w:rsid w:val="008E086D"/>
    <w:rsid w:val="008E7846"/>
    <w:rsid w:val="008F02E5"/>
    <w:rsid w:val="008F1CCC"/>
    <w:rsid w:val="008F2967"/>
    <w:rsid w:val="008F6943"/>
    <w:rsid w:val="00902A21"/>
    <w:rsid w:val="00912CE8"/>
    <w:rsid w:val="0091523F"/>
    <w:rsid w:val="00920330"/>
    <w:rsid w:val="009219D7"/>
    <w:rsid w:val="00922D53"/>
    <w:rsid w:val="00923B70"/>
    <w:rsid w:val="00924482"/>
    <w:rsid w:val="00930237"/>
    <w:rsid w:val="00937C17"/>
    <w:rsid w:val="00940A89"/>
    <w:rsid w:val="00941F77"/>
    <w:rsid w:val="009427B6"/>
    <w:rsid w:val="00946EA5"/>
    <w:rsid w:val="00960520"/>
    <w:rsid w:val="00963C08"/>
    <w:rsid w:val="009752A5"/>
    <w:rsid w:val="0098585A"/>
    <w:rsid w:val="00994478"/>
    <w:rsid w:val="009A4CED"/>
    <w:rsid w:val="009A690D"/>
    <w:rsid w:val="009B1D12"/>
    <w:rsid w:val="009B416B"/>
    <w:rsid w:val="009C4BD5"/>
    <w:rsid w:val="009D7B77"/>
    <w:rsid w:val="009E0BB0"/>
    <w:rsid w:val="009E3FBB"/>
    <w:rsid w:val="009F7353"/>
    <w:rsid w:val="00A04F85"/>
    <w:rsid w:val="00A05FA4"/>
    <w:rsid w:val="00A102E4"/>
    <w:rsid w:val="00A11EA7"/>
    <w:rsid w:val="00A1219C"/>
    <w:rsid w:val="00A12C42"/>
    <w:rsid w:val="00A14DF7"/>
    <w:rsid w:val="00A22D57"/>
    <w:rsid w:val="00A3246D"/>
    <w:rsid w:val="00A36FA7"/>
    <w:rsid w:val="00A44DDB"/>
    <w:rsid w:val="00A475B7"/>
    <w:rsid w:val="00A47AF7"/>
    <w:rsid w:val="00A47C3E"/>
    <w:rsid w:val="00A50226"/>
    <w:rsid w:val="00A60BAD"/>
    <w:rsid w:val="00A6416A"/>
    <w:rsid w:val="00A77F87"/>
    <w:rsid w:val="00A80B5B"/>
    <w:rsid w:val="00A84E36"/>
    <w:rsid w:val="00A964D1"/>
    <w:rsid w:val="00AA0ED0"/>
    <w:rsid w:val="00AA7124"/>
    <w:rsid w:val="00AC2B40"/>
    <w:rsid w:val="00AC2BB2"/>
    <w:rsid w:val="00AC2C3C"/>
    <w:rsid w:val="00AC512D"/>
    <w:rsid w:val="00AD0083"/>
    <w:rsid w:val="00AD26D6"/>
    <w:rsid w:val="00AD3935"/>
    <w:rsid w:val="00AD4ADE"/>
    <w:rsid w:val="00AE22B1"/>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652EF"/>
    <w:rsid w:val="00B67678"/>
    <w:rsid w:val="00B76B91"/>
    <w:rsid w:val="00B77EB1"/>
    <w:rsid w:val="00B811C6"/>
    <w:rsid w:val="00B855B0"/>
    <w:rsid w:val="00B92E08"/>
    <w:rsid w:val="00BA35D7"/>
    <w:rsid w:val="00BA4244"/>
    <w:rsid w:val="00BB13FE"/>
    <w:rsid w:val="00BC622A"/>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5A2"/>
    <w:rsid w:val="00C52E24"/>
    <w:rsid w:val="00C6316B"/>
    <w:rsid w:val="00C634A9"/>
    <w:rsid w:val="00C64586"/>
    <w:rsid w:val="00C70A36"/>
    <w:rsid w:val="00C70D53"/>
    <w:rsid w:val="00C7300B"/>
    <w:rsid w:val="00C73D0B"/>
    <w:rsid w:val="00C74F5C"/>
    <w:rsid w:val="00C772FF"/>
    <w:rsid w:val="00C80137"/>
    <w:rsid w:val="00C801AF"/>
    <w:rsid w:val="00C80256"/>
    <w:rsid w:val="00C94CD4"/>
    <w:rsid w:val="00C9747E"/>
    <w:rsid w:val="00CA6225"/>
    <w:rsid w:val="00CB6BC0"/>
    <w:rsid w:val="00CC1B7C"/>
    <w:rsid w:val="00CC727F"/>
    <w:rsid w:val="00CF15C3"/>
    <w:rsid w:val="00CF2B6F"/>
    <w:rsid w:val="00CF2F3E"/>
    <w:rsid w:val="00CF58B6"/>
    <w:rsid w:val="00CF5DAD"/>
    <w:rsid w:val="00D0062D"/>
    <w:rsid w:val="00D017ED"/>
    <w:rsid w:val="00D0384C"/>
    <w:rsid w:val="00D040D3"/>
    <w:rsid w:val="00D04C65"/>
    <w:rsid w:val="00D07381"/>
    <w:rsid w:val="00D153D8"/>
    <w:rsid w:val="00D201D2"/>
    <w:rsid w:val="00D21090"/>
    <w:rsid w:val="00D224FE"/>
    <w:rsid w:val="00D23139"/>
    <w:rsid w:val="00D425BB"/>
    <w:rsid w:val="00D453FA"/>
    <w:rsid w:val="00D460C1"/>
    <w:rsid w:val="00D6493E"/>
    <w:rsid w:val="00D65374"/>
    <w:rsid w:val="00D7195D"/>
    <w:rsid w:val="00D7301E"/>
    <w:rsid w:val="00D83AE1"/>
    <w:rsid w:val="00D855D4"/>
    <w:rsid w:val="00D85905"/>
    <w:rsid w:val="00D902C9"/>
    <w:rsid w:val="00D93466"/>
    <w:rsid w:val="00D940B0"/>
    <w:rsid w:val="00DA1124"/>
    <w:rsid w:val="00DA64CB"/>
    <w:rsid w:val="00DB06B8"/>
    <w:rsid w:val="00DB203B"/>
    <w:rsid w:val="00DB6124"/>
    <w:rsid w:val="00DB750B"/>
    <w:rsid w:val="00DB75B7"/>
    <w:rsid w:val="00DC0A2F"/>
    <w:rsid w:val="00DC1948"/>
    <w:rsid w:val="00DC6E02"/>
    <w:rsid w:val="00DD28CD"/>
    <w:rsid w:val="00DE02AE"/>
    <w:rsid w:val="00DE09B1"/>
    <w:rsid w:val="00DE39D1"/>
    <w:rsid w:val="00DE5766"/>
    <w:rsid w:val="00DF1D7F"/>
    <w:rsid w:val="00DF4BE4"/>
    <w:rsid w:val="00E02382"/>
    <w:rsid w:val="00E02FB4"/>
    <w:rsid w:val="00E13FC7"/>
    <w:rsid w:val="00E20571"/>
    <w:rsid w:val="00E235F7"/>
    <w:rsid w:val="00E23659"/>
    <w:rsid w:val="00E239D4"/>
    <w:rsid w:val="00E26130"/>
    <w:rsid w:val="00E33D42"/>
    <w:rsid w:val="00E40B22"/>
    <w:rsid w:val="00E44ED1"/>
    <w:rsid w:val="00E45619"/>
    <w:rsid w:val="00E4588F"/>
    <w:rsid w:val="00E46DA3"/>
    <w:rsid w:val="00E50063"/>
    <w:rsid w:val="00E51BB1"/>
    <w:rsid w:val="00E52DFB"/>
    <w:rsid w:val="00E55CB0"/>
    <w:rsid w:val="00E568F5"/>
    <w:rsid w:val="00E624A5"/>
    <w:rsid w:val="00E64BA4"/>
    <w:rsid w:val="00E72B50"/>
    <w:rsid w:val="00E7344E"/>
    <w:rsid w:val="00E82665"/>
    <w:rsid w:val="00EB0798"/>
    <w:rsid w:val="00EB40AD"/>
    <w:rsid w:val="00EB52DD"/>
    <w:rsid w:val="00EB586E"/>
    <w:rsid w:val="00EB5FC8"/>
    <w:rsid w:val="00EC1515"/>
    <w:rsid w:val="00EC463D"/>
    <w:rsid w:val="00EC7A85"/>
    <w:rsid w:val="00ED2922"/>
    <w:rsid w:val="00ED3CAD"/>
    <w:rsid w:val="00ED5A41"/>
    <w:rsid w:val="00EE1DE8"/>
    <w:rsid w:val="00EE27C2"/>
    <w:rsid w:val="00EE2E1E"/>
    <w:rsid w:val="00EE5895"/>
    <w:rsid w:val="00EF4BAD"/>
    <w:rsid w:val="00EF59DC"/>
    <w:rsid w:val="00EF6C6A"/>
    <w:rsid w:val="00F033EC"/>
    <w:rsid w:val="00F04F68"/>
    <w:rsid w:val="00F12670"/>
    <w:rsid w:val="00F14B27"/>
    <w:rsid w:val="00F15D5C"/>
    <w:rsid w:val="00F21676"/>
    <w:rsid w:val="00F3148D"/>
    <w:rsid w:val="00F325C5"/>
    <w:rsid w:val="00F32FE0"/>
    <w:rsid w:val="00F35298"/>
    <w:rsid w:val="00F47333"/>
    <w:rsid w:val="00F47E37"/>
    <w:rsid w:val="00F53C07"/>
    <w:rsid w:val="00F54B65"/>
    <w:rsid w:val="00F55DF6"/>
    <w:rsid w:val="00F63DBF"/>
    <w:rsid w:val="00F640B6"/>
    <w:rsid w:val="00F66DF2"/>
    <w:rsid w:val="00F80E40"/>
    <w:rsid w:val="00F848D9"/>
    <w:rsid w:val="00F849C1"/>
    <w:rsid w:val="00FA3D1B"/>
    <w:rsid w:val="00FA5069"/>
    <w:rsid w:val="00FA5B82"/>
    <w:rsid w:val="00FA639E"/>
    <w:rsid w:val="00FC1FCA"/>
    <w:rsid w:val="00FC25E4"/>
    <w:rsid w:val="00FC4EF7"/>
    <w:rsid w:val="00FD0824"/>
    <w:rsid w:val="00FD119B"/>
    <w:rsid w:val="00FD1EDC"/>
    <w:rsid w:val="00FE1DEE"/>
    <w:rsid w:val="00FE3581"/>
    <w:rsid w:val="00FF2126"/>
    <w:rsid w:val="00FF5755"/>
    <w:rsid w:val="00FF69BE"/>
    <w:rsid w:val="00FF7B3B"/>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C3BC97"/>
  <w15:docId w15:val="{E8442D90-DB72-4520-9B03-FA21F445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42C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C151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482091"/>
    <w:pPr>
      <w:ind w:left="720"/>
      <w:contextualSpacing/>
    </w:pPr>
  </w:style>
  <w:style w:type="paragraph" w:customStyle="1" w:styleId="Default">
    <w:name w:val="Default"/>
    <w:rsid w:val="0037284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4018">
      <w:bodyDiv w:val="1"/>
      <w:marLeft w:val="0"/>
      <w:marRight w:val="0"/>
      <w:marTop w:val="0"/>
      <w:marBottom w:val="0"/>
      <w:divBdr>
        <w:top w:val="none" w:sz="0" w:space="0" w:color="auto"/>
        <w:left w:val="none" w:sz="0" w:space="0" w:color="auto"/>
        <w:bottom w:val="none" w:sz="0" w:space="0" w:color="auto"/>
        <w:right w:val="none" w:sz="0" w:space="0" w:color="auto"/>
      </w:divBdr>
    </w:div>
    <w:div w:id="871647000">
      <w:bodyDiv w:val="1"/>
      <w:marLeft w:val="0"/>
      <w:marRight w:val="0"/>
      <w:marTop w:val="0"/>
      <w:marBottom w:val="0"/>
      <w:divBdr>
        <w:top w:val="none" w:sz="0" w:space="0" w:color="auto"/>
        <w:left w:val="none" w:sz="0" w:space="0" w:color="auto"/>
        <w:bottom w:val="none" w:sz="0" w:space="0" w:color="auto"/>
        <w:right w:val="none" w:sz="0" w:space="0" w:color="auto"/>
      </w:divBdr>
    </w:div>
    <w:div w:id="1053232672">
      <w:bodyDiv w:val="1"/>
      <w:marLeft w:val="0"/>
      <w:marRight w:val="0"/>
      <w:marTop w:val="0"/>
      <w:marBottom w:val="0"/>
      <w:divBdr>
        <w:top w:val="none" w:sz="0" w:space="0" w:color="auto"/>
        <w:left w:val="none" w:sz="0" w:space="0" w:color="auto"/>
        <w:bottom w:val="none" w:sz="0" w:space="0" w:color="auto"/>
        <w:right w:val="none" w:sz="0" w:space="0" w:color="auto"/>
      </w:divBdr>
    </w:div>
    <w:div w:id="14443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tga.gov.au" TargetMode="External"/><Relationship Id="rId3" Type="http://schemas.openxmlformats.org/officeDocument/2006/relationships/numbering" Target="numbering.xml"/><Relationship Id="rId21" Type="http://schemas.openxmlformats.org/officeDocument/2006/relationships/header" Target="header4.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ga.gov.au/product-information-p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91660\t0QSBWP4.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S i m c y p D a t a   x m l n s = " h t t p : / / w w w . s i m c y p . c o m / " >  
     < P r o f i l e C h a r t s / >  
     < R e s u l t s T a b l e s / >  
     < S t a t i s t i c s C h a r t s / >  
     < R e g i o n a l F r a c t i o n C h a r t s / >  
     < P i e C h a r t s / >  
     < F o r e s t P l o t s / >  
     < I n p u t T a b l e s / >  
     < S t a t i s t i c s P a r a m e t e r s / >  
     < M u l t i p l e S t u d i e s / >  
 < / S i m c y p 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B9E6-8097-41A3-AF61-370D9F814FEA}">
  <ds:schemaRefs>
    <ds:schemaRef ds:uri="http://www.simcyp.com/"/>
  </ds:schemaRefs>
</ds:datastoreItem>
</file>

<file path=customXml/itemProps2.xml><?xml version="1.0" encoding="utf-8"?>
<ds:datastoreItem xmlns:ds="http://schemas.openxmlformats.org/officeDocument/2006/customXml" ds:itemID="{EDC8F027-EAB3-46F9-B38A-3B01C453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t0QSBWP4.DOTX</Template>
  <TotalTime>15</TotalTime>
  <Pages>30</Pages>
  <Words>9792</Words>
  <Characters>55818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65480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Olaparib</dc:title>
  <dc:subject>prescription medicines</dc:subject>
  <dc:creator> Therapeutic Goods Administration</dc:creator>
  <cp:keywords/>
  <cp:lastPrinted>2019-08-14T04:30:00Z</cp:lastPrinted>
  <dcterms:created xsi:type="dcterms:W3CDTF">2021-05-05T22:40:00Z</dcterms:created>
  <dcterms:modified xsi:type="dcterms:W3CDTF">2021-05-05T22:55:00Z</dcterms:modified>
  <cp:category/>
</cp:coreProperties>
</file>