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ACBA" w14:textId="4356BD06" w:rsidR="00CF311A" w:rsidRPr="000D4E5B" w:rsidRDefault="006018AE" w:rsidP="00CF311A">
      <w:pPr>
        <w:pStyle w:val="Heading1Unnumbered"/>
        <w:jc w:val="center"/>
        <w:rPr>
          <w:rFonts w:eastAsia="SimSun"/>
        </w:rPr>
      </w:pPr>
      <w:r w:rsidRPr="000D4E5B">
        <w:rPr>
          <w:rFonts w:eastAsia="SimSun"/>
        </w:rPr>
        <w:t>Australian P</w:t>
      </w:r>
      <w:r w:rsidR="00A32E10" w:rsidRPr="000D4E5B">
        <w:rPr>
          <w:rFonts w:eastAsia="SimSun"/>
        </w:rPr>
        <w:t xml:space="preserve">RODUCT </w:t>
      </w:r>
      <w:r w:rsidRPr="000D4E5B">
        <w:rPr>
          <w:rFonts w:eastAsia="SimSun"/>
        </w:rPr>
        <w:t>I</w:t>
      </w:r>
      <w:r w:rsidR="00A32E10" w:rsidRPr="000D4E5B">
        <w:rPr>
          <w:rFonts w:eastAsia="SimSun"/>
        </w:rPr>
        <w:t>NFORMATION</w:t>
      </w:r>
    </w:p>
    <w:p w14:paraId="3B420D3D" w14:textId="5D95C785" w:rsidR="006018AE" w:rsidRPr="000D4E5B" w:rsidRDefault="00126C4D" w:rsidP="00CF311A">
      <w:pPr>
        <w:pStyle w:val="Heading2Unnumbered"/>
        <w:jc w:val="center"/>
        <w:rPr>
          <w:rFonts w:eastAsia="SimSun"/>
          <w:sz w:val="28"/>
          <w:szCs w:val="28"/>
        </w:rPr>
      </w:pPr>
      <w:r w:rsidRPr="000D4E5B">
        <w:rPr>
          <w:rFonts w:eastAsia="SimSun"/>
          <w:sz w:val="28"/>
          <w:szCs w:val="28"/>
        </w:rPr>
        <w:t>LYNPARZA</w:t>
      </w:r>
      <w:r w:rsidR="00A36815" w:rsidRPr="000D4E5B">
        <w:rPr>
          <w:rFonts w:eastAsia="SimSun" w:cs="Times New Roman"/>
          <w:sz w:val="28"/>
          <w:szCs w:val="28"/>
          <w:vertAlign w:val="superscript"/>
        </w:rPr>
        <w:t>®</w:t>
      </w:r>
      <w:r w:rsidRPr="000D4E5B">
        <w:rPr>
          <w:rFonts w:eastAsia="SimSun"/>
          <w:sz w:val="28"/>
          <w:szCs w:val="28"/>
        </w:rPr>
        <w:br/>
        <w:t>O</w:t>
      </w:r>
      <w:r w:rsidR="00CF311A" w:rsidRPr="000D4E5B">
        <w:rPr>
          <w:rFonts w:eastAsia="SimSun"/>
          <w:sz w:val="28"/>
          <w:szCs w:val="28"/>
        </w:rPr>
        <w:t>laparib</w:t>
      </w:r>
      <w:r w:rsidR="00A32E10" w:rsidRPr="000D4E5B">
        <w:rPr>
          <w:rFonts w:eastAsia="SimSun"/>
          <w:sz w:val="28"/>
          <w:szCs w:val="28"/>
        </w:rPr>
        <w:t xml:space="preserve"> </w:t>
      </w:r>
      <w:r w:rsidR="000B429F" w:rsidRPr="000D4E5B">
        <w:rPr>
          <w:rFonts w:eastAsia="SimSun"/>
          <w:sz w:val="28"/>
          <w:szCs w:val="28"/>
        </w:rPr>
        <w:t>Tablets</w:t>
      </w:r>
    </w:p>
    <w:p w14:paraId="7002BD97" w14:textId="77777777" w:rsidR="001A3992" w:rsidRPr="000D4E5B" w:rsidRDefault="001A3992" w:rsidP="00D42AF8">
      <w:pPr>
        <w:pStyle w:val="Heading1"/>
        <w:tabs>
          <w:tab w:val="clear" w:pos="1134"/>
          <w:tab w:val="num" w:pos="720"/>
        </w:tabs>
        <w:ind w:left="720" w:hanging="720"/>
      </w:pPr>
      <w:r w:rsidRPr="000D4E5B">
        <w:t>Name of the medicine</w:t>
      </w:r>
    </w:p>
    <w:p w14:paraId="3A45A267" w14:textId="0EBA1B41" w:rsidR="0080644B" w:rsidRPr="000D4E5B" w:rsidRDefault="000B429F" w:rsidP="00126C4D">
      <w:pPr>
        <w:pStyle w:val="Paragraph"/>
      </w:pPr>
      <w:r w:rsidRPr="000D4E5B">
        <w:t>Olaparib</w:t>
      </w:r>
    </w:p>
    <w:p w14:paraId="1C742030" w14:textId="77777777" w:rsidR="001A3992" w:rsidRPr="000D4E5B" w:rsidRDefault="001A3992" w:rsidP="00D42AF8">
      <w:pPr>
        <w:pStyle w:val="Heading1"/>
        <w:tabs>
          <w:tab w:val="clear" w:pos="1134"/>
          <w:tab w:val="num" w:pos="720"/>
        </w:tabs>
        <w:ind w:left="720" w:hanging="720"/>
      </w:pPr>
      <w:bookmarkStart w:id="0" w:name="_Hlk528766160"/>
      <w:r w:rsidRPr="000D4E5B">
        <w:t>Qualitative and quantitative composition</w:t>
      </w:r>
    </w:p>
    <w:bookmarkEnd w:id="0"/>
    <w:p w14:paraId="734695B2" w14:textId="6F701291" w:rsidR="00D42AF8" w:rsidRPr="000D4E5B" w:rsidRDefault="00D42AF8" w:rsidP="00D42AF8">
      <w:pPr>
        <w:pStyle w:val="Paragraph"/>
      </w:pPr>
      <w:r w:rsidRPr="000D4E5B">
        <w:t xml:space="preserve">LYNPARZA </w:t>
      </w:r>
      <w:r w:rsidR="000B429F" w:rsidRPr="000D4E5B">
        <w:t xml:space="preserve">tablets </w:t>
      </w:r>
      <w:r w:rsidRPr="000D4E5B">
        <w:t xml:space="preserve">consist of </w:t>
      </w:r>
      <w:r w:rsidR="000B429F" w:rsidRPr="000D4E5B">
        <w:t xml:space="preserve">either 100 mg or 150 </w:t>
      </w:r>
      <w:r w:rsidRPr="000D4E5B">
        <w:t xml:space="preserve">mg </w:t>
      </w:r>
      <w:proofErr w:type="spellStart"/>
      <w:r w:rsidRPr="000D4E5B">
        <w:t>olaparib</w:t>
      </w:r>
      <w:proofErr w:type="spellEnd"/>
      <w:r w:rsidRPr="000D4E5B">
        <w:t xml:space="preserve"> drug substance</w:t>
      </w:r>
      <w:r w:rsidR="00BE77D8" w:rsidRPr="000D4E5B">
        <w:t xml:space="preserve"> and the following inactive ingredients; </w:t>
      </w:r>
      <w:proofErr w:type="spellStart"/>
      <w:r w:rsidR="00BE77D8" w:rsidRPr="000D4E5B">
        <w:t>copovidone</w:t>
      </w:r>
      <w:proofErr w:type="spellEnd"/>
      <w:r w:rsidR="00BE77D8" w:rsidRPr="000D4E5B">
        <w:t xml:space="preserve">, colloidal anhydrous silica, mannitol, sodium </w:t>
      </w:r>
      <w:proofErr w:type="spellStart"/>
      <w:r w:rsidR="00BE77D8" w:rsidRPr="000D4E5B">
        <w:t>stearylfumarate</w:t>
      </w:r>
      <w:proofErr w:type="spellEnd"/>
      <w:r w:rsidRPr="000D4E5B">
        <w:t xml:space="preserve"> </w:t>
      </w:r>
      <w:proofErr w:type="spellStart"/>
      <w:r w:rsidRPr="000D4E5B">
        <w:t>hypromellose</w:t>
      </w:r>
      <w:proofErr w:type="spellEnd"/>
      <w:r w:rsidRPr="000D4E5B">
        <w:t>,</w:t>
      </w:r>
      <w:r w:rsidR="00BE77D8" w:rsidRPr="000D4E5B">
        <w:t xml:space="preserve"> </w:t>
      </w:r>
      <w:proofErr w:type="spellStart"/>
      <w:r w:rsidR="00BE77D8" w:rsidRPr="000D4E5B">
        <w:t>macrogol</w:t>
      </w:r>
      <w:proofErr w:type="spellEnd"/>
      <w:r w:rsidR="00BE77D8" w:rsidRPr="000D4E5B">
        <w:t xml:space="preserve"> 400, titanium dioxide and iron oxide yellow.  LYNPARZA 150 mg tablets also contain iron oxide black.</w:t>
      </w:r>
      <w:r w:rsidRPr="000D4E5B">
        <w:t xml:space="preserve"> </w:t>
      </w:r>
    </w:p>
    <w:p w14:paraId="70E51369" w14:textId="77777777" w:rsidR="001A3992" w:rsidRPr="000D4E5B" w:rsidRDefault="001A3992" w:rsidP="00D42AF8">
      <w:pPr>
        <w:pStyle w:val="Heading1"/>
        <w:tabs>
          <w:tab w:val="clear" w:pos="1134"/>
          <w:tab w:val="num" w:pos="720"/>
        </w:tabs>
        <w:ind w:left="720" w:hanging="720"/>
      </w:pPr>
      <w:r w:rsidRPr="000D4E5B">
        <w:t>Pharmaceutical form</w:t>
      </w:r>
    </w:p>
    <w:p w14:paraId="28A2ABB6" w14:textId="421C496C" w:rsidR="0055006D" w:rsidRPr="000D4E5B" w:rsidRDefault="0055006D" w:rsidP="0055006D">
      <w:pPr>
        <w:pStyle w:val="Paragraph"/>
      </w:pPr>
      <w:r w:rsidRPr="000D4E5B">
        <w:t>LYNPARZA 150 mg tablets are a green to green/grey, oval, bi-convex tablet debossed with ‘OP150’ on one side and plain on the reverse.</w:t>
      </w:r>
    </w:p>
    <w:p w14:paraId="55DC6E4A" w14:textId="191855FC" w:rsidR="0055006D" w:rsidRPr="000D4E5B" w:rsidRDefault="0055006D" w:rsidP="0055006D">
      <w:pPr>
        <w:pStyle w:val="Paragraph"/>
      </w:pPr>
      <w:r w:rsidRPr="000D4E5B">
        <w:t>LYNPARZA 100 mg tablets are a yellow to dark yellow, oval, bi-convex tablet debossed with ‘OP100’ on one side and plain on the reverse.</w:t>
      </w:r>
    </w:p>
    <w:p w14:paraId="5D729081" w14:textId="77777777" w:rsidR="001A3992" w:rsidRPr="000D4E5B" w:rsidRDefault="001A3992" w:rsidP="00D42AF8">
      <w:pPr>
        <w:pStyle w:val="Heading1"/>
        <w:tabs>
          <w:tab w:val="clear" w:pos="1134"/>
          <w:tab w:val="num" w:pos="720"/>
        </w:tabs>
        <w:ind w:left="720" w:hanging="720"/>
      </w:pPr>
      <w:r w:rsidRPr="000D4E5B">
        <w:t>Clinical particulars</w:t>
      </w:r>
    </w:p>
    <w:p w14:paraId="0F1E83BA" w14:textId="77777777" w:rsidR="001A3992" w:rsidRPr="000D4E5B" w:rsidRDefault="001A3992" w:rsidP="00D42AF8">
      <w:pPr>
        <w:pStyle w:val="Heading2"/>
        <w:tabs>
          <w:tab w:val="clear" w:pos="1134"/>
          <w:tab w:val="num" w:pos="720"/>
        </w:tabs>
        <w:ind w:left="720" w:hanging="720"/>
      </w:pPr>
      <w:r w:rsidRPr="000D4E5B">
        <w:t>Therapeutic indi</w:t>
      </w:r>
      <w:r w:rsidR="003B7CFF" w:rsidRPr="000D4E5B">
        <w:t>cations</w:t>
      </w:r>
    </w:p>
    <w:p w14:paraId="17498ABF" w14:textId="3987CA14" w:rsidR="004F1B98" w:rsidRPr="000D4E5B" w:rsidRDefault="004F1B98" w:rsidP="00E91177">
      <w:pPr>
        <w:pStyle w:val="Heading2Unnumbered"/>
      </w:pPr>
      <w:r w:rsidRPr="000D4E5B">
        <w:t>Ovarian Cancer</w:t>
      </w:r>
    </w:p>
    <w:p w14:paraId="08412CA5" w14:textId="38394F65" w:rsidR="004F1B98" w:rsidRPr="000D4E5B" w:rsidRDefault="00BE77D8" w:rsidP="00ED36E4">
      <w:pPr>
        <w:pStyle w:val="Paragraph"/>
      </w:pPr>
      <w:r w:rsidRPr="000D4E5B">
        <w:t xml:space="preserve">LYNPARZA </w:t>
      </w:r>
      <w:r w:rsidR="00ED36E4" w:rsidRPr="000D4E5B">
        <w:t>is indicated as monotherapy for the</w:t>
      </w:r>
      <w:r w:rsidR="00297CA1" w:rsidRPr="000D4E5B">
        <w:t>:</w:t>
      </w:r>
    </w:p>
    <w:p w14:paraId="432439CF" w14:textId="6603259B" w:rsidR="004F1B98" w:rsidRPr="000D4E5B" w:rsidRDefault="004F1B98" w:rsidP="001328FA">
      <w:pPr>
        <w:pStyle w:val="Paragraph"/>
        <w:numPr>
          <w:ilvl w:val="0"/>
          <w:numId w:val="39"/>
        </w:numPr>
        <w:spacing w:after="120"/>
        <w:ind w:left="714" w:hanging="357"/>
      </w:pPr>
      <w:r w:rsidRPr="000D4E5B">
        <w:t xml:space="preserve">maintenance treatment of adult patients with advanced </w:t>
      </w:r>
      <w:r w:rsidRPr="000D4E5B">
        <w:rPr>
          <w:i/>
        </w:rPr>
        <w:t>BRCA</w:t>
      </w:r>
      <w:r w:rsidRPr="000D4E5B">
        <w:t>-mutated</w:t>
      </w:r>
      <w:r w:rsidR="005204BF" w:rsidRPr="000D4E5B">
        <w:t xml:space="preserve"> (germline or somatic)</w:t>
      </w:r>
      <w:r w:rsidRPr="000D4E5B">
        <w:t xml:space="preserve"> high-grade epithelial ovarian, fallopian tube or primary peritoneal cancer who are in response (complete response or partial response) to first-line platinum-based chemotherapy</w:t>
      </w:r>
      <w:r w:rsidR="006F32D2" w:rsidRPr="000D4E5B">
        <w:t>.</w:t>
      </w:r>
      <w:r w:rsidR="005204BF" w:rsidRPr="000D4E5B">
        <w:t xml:space="preserve"> </w:t>
      </w:r>
      <w:r w:rsidR="005204BF" w:rsidRPr="000D4E5B">
        <w:rPr>
          <w:i/>
        </w:rPr>
        <w:t>BRCA</w:t>
      </w:r>
      <w:r w:rsidR="005204BF" w:rsidRPr="000D4E5B">
        <w:t xml:space="preserve"> mutation status should be determined by an experienced laboratory using a validated test method.</w:t>
      </w:r>
    </w:p>
    <w:p w14:paraId="210AA2E1" w14:textId="421556A4" w:rsidR="00C85696" w:rsidRPr="000D4E5B" w:rsidRDefault="00ED36E4" w:rsidP="00E91177">
      <w:pPr>
        <w:pStyle w:val="Paragraph"/>
        <w:numPr>
          <w:ilvl w:val="0"/>
          <w:numId w:val="39"/>
        </w:numPr>
      </w:pPr>
      <w:r w:rsidRPr="000D4E5B">
        <w:t xml:space="preserve">maintenance treatment of </w:t>
      </w:r>
      <w:r w:rsidR="00BE77D8" w:rsidRPr="000D4E5B">
        <w:t xml:space="preserve">adult </w:t>
      </w:r>
      <w:r w:rsidRPr="000D4E5B">
        <w:t>patients with platinum-sensitive relapsed high grade epithelial ovarian, fallopian tube or primary peritoneal cancer who are in response (complete response or partial response) after platinum-based chemotherapy.  Prior treatment must have included at least 2 courses of platinum-based regimens.</w:t>
      </w:r>
    </w:p>
    <w:p w14:paraId="264999A8" w14:textId="77777777" w:rsidR="00C73225" w:rsidRPr="000D4E5B" w:rsidRDefault="00C73225" w:rsidP="00C73225">
      <w:pPr>
        <w:pStyle w:val="Paragraph"/>
      </w:pPr>
      <w:r w:rsidRPr="000D4E5B">
        <w:t>Lynparza in combination with bevacizumab is indicated for the:</w:t>
      </w:r>
    </w:p>
    <w:p w14:paraId="6D2BC3D7" w14:textId="121A71E5" w:rsidR="00B04896" w:rsidRPr="000D4E5B" w:rsidRDefault="00C73225" w:rsidP="00B04896">
      <w:pPr>
        <w:pStyle w:val="Paragraph"/>
        <w:numPr>
          <w:ilvl w:val="0"/>
          <w:numId w:val="39"/>
        </w:numPr>
        <w:spacing w:after="0"/>
        <w:ind w:left="714" w:hanging="357"/>
      </w:pPr>
      <w:r w:rsidRPr="000D4E5B">
        <w:t xml:space="preserve">maintenance treatment of adult patients with advanced epithelial ovarian, fallopian tube or primary peritoneal cancer who are in </w:t>
      </w:r>
      <w:r w:rsidR="00B04896" w:rsidRPr="000D4E5B">
        <w:t xml:space="preserve">complete or partial </w:t>
      </w:r>
      <w:r w:rsidRPr="000D4E5B">
        <w:t xml:space="preserve">response to first-line platinum-based chemotherapy </w:t>
      </w:r>
      <w:r w:rsidR="00B04896" w:rsidRPr="000D4E5B">
        <w:t xml:space="preserve">and whose cancer is associated with homologous recombination deficiency (HRD)-positive status defined by either: </w:t>
      </w:r>
    </w:p>
    <w:p w14:paraId="0E967845" w14:textId="0FD0BFEF" w:rsidR="00B04896" w:rsidRPr="000D4E5B" w:rsidRDefault="00B04896" w:rsidP="007A01DE">
      <w:pPr>
        <w:pStyle w:val="Paragraph"/>
        <w:numPr>
          <w:ilvl w:val="1"/>
          <w:numId w:val="39"/>
        </w:numPr>
        <w:spacing w:after="0"/>
        <w:ind w:left="1434" w:hanging="357"/>
      </w:pPr>
      <w:r w:rsidRPr="000D4E5B">
        <w:t>a deleterious or suspected deleterious BRCA mutation (germline or somatic), and/or</w:t>
      </w:r>
    </w:p>
    <w:p w14:paraId="461CF713" w14:textId="77777777" w:rsidR="007A01DE" w:rsidRPr="000D4E5B" w:rsidRDefault="00B04896" w:rsidP="007A01DE">
      <w:pPr>
        <w:pStyle w:val="Paragraph"/>
        <w:numPr>
          <w:ilvl w:val="1"/>
          <w:numId w:val="39"/>
        </w:numPr>
        <w:spacing w:after="0"/>
      </w:pPr>
      <w:r w:rsidRPr="000D4E5B">
        <w:t xml:space="preserve">genomic instability </w:t>
      </w:r>
    </w:p>
    <w:p w14:paraId="2CCD20E1" w14:textId="15645BA8" w:rsidR="007A01DE" w:rsidRPr="000D4E5B" w:rsidRDefault="007A01DE" w:rsidP="00315067">
      <w:pPr>
        <w:pStyle w:val="Paragraph"/>
        <w:ind w:left="1080"/>
      </w:pPr>
      <w:r w:rsidRPr="000D4E5B">
        <w:t>HRD status should be determined by an experienced laboratory using a validated test method.</w:t>
      </w:r>
    </w:p>
    <w:p w14:paraId="47A9A054" w14:textId="4774E95A" w:rsidR="00297CA1" w:rsidRPr="000D4E5B" w:rsidRDefault="00297CA1" w:rsidP="00E91177">
      <w:pPr>
        <w:pStyle w:val="Heading2Unnumbered"/>
      </w:pPr>
      <w:r w:rsidRPr="000D4E5B">
        <w:lastRenderedPageBreak/>
        <w:t>Breast Cancer</w:t>
      </w:r>
    </w:p>
    <w:p w14:paraId="4A42C5B5" w14:textId="77777777" w:rsidR="00297CA1" w:rsidRPr="000D4E5B" w:rsidRDefault="009B7DD9" w:rsidP="00ED36E4">
      <w:pPr>
        <w:pStyle w:val="Paragraph"/>
      </w:pPr>
      <w:r w:rsidRPr="000D4E5B">
        <w:t>LYNPARZA is indicated as monotherapy for the</w:t>
      </w:r>
      <w:r w:rsidR="00297CA1" w:rsidRPr="000D4E5B">
        <w:t>:</w:t>
      </w:r>
    </w:p>
    <w:p w14:paraId="7F0F87B9" w14:textId="50C62C66" w:rsidR="001B30BF" w:rsidRPr="000D4E5B" w:rsidRDefault="009B7DD9" w:rsidP="00297CA1">
      <w:pPr>
        <w:pStyle w:val="Paragraph"/>
        <w:numPr>
          <w:ilvl w:val="0"/>
          <w:numId w:val="40"/>
        </w:numPr>
        <w:ind w:hanging="330"/>
      </w:pPr>
      <w:r w:rsidRPr="000D4E5B">
        <w:t xml:space="preserve">treatment of adult patients with germline </w:t>
      </w:r>
      <w:r w:rsidRPr="000D4E5B">
        <w:rPr>
          <w:i/>
        </w:rPr>
        <w:t>BRCA</w:t>
      </w:r>
      <w:r w:rsidRPr="000D4E5B">
        <w:t>-mutated HER2-negative metastatic breast cancer who have previously been treated with chemotherapy</w:t>
      </w:r>
      <w:r w:rsidRPr="000D4E5B">
        <w:rPr>
          <w:lang w:val="en-AU"/>
        </w:rPr>
        <w:t xml:space="preserve"> </w:t>
      </w:r>
      <w:r w:rsidRPr="000D4E5B">
        <w:t xml:space="preserve">in the </w:t>
      </w:r>
      <w:proofErr w:type="spellStart"/>
      <w:r w:rsidRPr="000D4E5B">
        <w:t>neoadjuvant</w:t>
      </w:r>
      <w:proofErr w:type="spellEnd"/>
      <w:r w:rsidRPr="000D4E5B">
        <w:t>, adjuvant or metastatic setting.</w:t>
      </w:r>
      <w:r w:rsidR="005625F4" w:rsidRPr="000D4E5B">
        <w:t xml:space="preserve">  Germline </w:t>
      </w:r>
      <w:r w:rsidR="005625F4" w:rsidRPr="000D4E5B">
        <w:rPr>
          <w:i/>
        </w:rPr>
        <w:t>BRCA</w:t>
      </w:r>
      <w:r w:rsidR="005625F4" w:rsidRPr="000D4E5B">
        <w:t xml:space="preserve"> mutation (</w:t>
      </w:r>
      <w:proofErr w:type="spellStart"/>
      <w:r w:rsidR="005625F4" w:rsidRPr="000D4E5B">
        <w:rPr>
          <w:i/>
        </w:rPr>
        <w:t>gBRCAm</w:t>
      </w:r>
      <w:proofErr w:type="spellEnd"/>
      <w:r w:rsidR="005625F4" w:rsidRPr="000D4E5B">
        <w:t>) status should be determined by an experienced laboratory using a validated test method.</w:t>
      </w:r>
    </w:p>
    <w:p w14:paraId="112DA6AB" w14:textId="77777777" w:rsidR="00F7141B" w:rsidRPr="000D4E5B" w:rsidRDefault="00F7141B" w:rsidP="00F7141B">
      <w:pPr>
        <w:pStyle w:val="Heading2Unnumbered"/>
      </w:pPr>
      <w:r w:rsidRPr="000D4E5B">
        <w:t>Adenocarcinoma of the pancreas</w:t>
      </w:r>
    </w:p>
    <w:p w14:paraId="6F6C6DE6" w14:textId="77777777" w:rsidR="002748FF" w:rsidRPr="000D4E5B" w:rsidRDefault="002748FF" w:rsidP="002748FF">
      <w:r w:rsidRPr="000D4E5B">
        <w:t>Lynparza is indicated as monotherapy for the:</w:t>
      </w:r>
    </w:p>
    <w:p w14:paraId="3A9C3451" w14:textId="4C92BBC3" w:rsidR="004B0B00" w:rsidRPr="000D4E5B" w:rsidRDefault="002748FF" w:rsidP="003639E6">
      <w:pPr>
        <w:pStyle w:val="ListParagraph"/>
        <w:numPr>
          <w:ilvl w:val="0"/>
          <w:numId w:val="40"/>
        </w:numPr>
        <w:spacing w:after="0" w:line="240" w:lineRule="auto"/>
      </w:pPr>
      <w:bookmarkStart w:id="1" w:name="_Hlk517120"/>
      <w:r w:rsidRPr="000D4E5B">
        <w:rPr>
          <w:rFonts w:eastAsiaTheme="minorEastAsia"/>
          <w:iCs/>
          <w:color w:val="000000" w:themeColor="text1"/>
          <w:kern w:val="24"/>
          <w:lang w:eastAsia="en-GB"/>
        </w:rPr>
        <w:t xml:space="preserve">maintenance treatment of adult patients with </w:t>
      </w:r>
      <w:r w:rsidR="004B0B00" w:rsidRPr="006C634A">
        <w:t xml:space="preserve">deleterious or suspected deleterious </w:t>
      </w:r>
      <w:proofErr w:type="spellStart"/>
      <w:r w:rsidR="004B0B00" w:rsidRPr="006C634A">
        <w:t>gBRCAm</w:t>
      </w:r>
      <w:proofErr w:type="spellEnd"/>
      <w:r w:rsidR="004B0B00" w:rsidRPr="006C634A">
        <w:rPr>
          <w:rFonts w:eastAsiaTheme="minorEastAsia"/>
          <w:iCs/>
          <w:kern w:val="24"/>
          <w:lang w:eastAsia="en-GB"/>
        </w:rPr>
        <w:t xml:space="preserve"> </w:t>
      </w:r>
      <w:r w:rsidRPr="006C634A">
        <w:rPr>
          <w:rFonts w:eastAsiaTheme="minorEastAsia"/>
          <w:iCs/>
          <w:kern w:val="24"/>
          <w:lang w:eastAsia="en-GB"/>
        </w:rPr>
        <w:t xml:space="preserve">metastatic </w:t>
      </w:r>
      <w:r w:rsidR="004B0B00" w:rsidRPr="006C634A">
        <w:rPr>
          <w:rFonts w:eastAsiaTheme="minorEastAsia"/>
          <w:iCs/>
          <w:kern w:val="24"/>
          <w:lang w:eastAsia="en-GB"/>
        </w:rPr>
        <w:t xml:space="preserve">pancreatic </w:t>
      </w:r>
      <w:r w:rsidRPr="006C634A">
        <w:rPr>
          <w:rFonts w:eastAsiaTheme="minorEastAsia"/>
          <w:iCs/>
          <w:kern w:val="24"/>
          <w:lang w:eastAsia="en-GB"/>
        </w:rPr>
        <w:t xml:space="preserve">adenocarcinoma </w:t>
      </w:r>
      <w:bookmarkStart w:id="2" w:name="_Hlk517794"/>
      <w:r w:rsidRPr="006C634A">
        <w:rPr>
          <w:rFonts w:eastAsiaTheme="minorEastAsia"/>
          <w:iCs/>
          <w:kern w:val="24"/>
          <w:lang w:eastAsia="en-GB"/>
        </w:rPr>
        <w:t xml:space="preserve">whose disease has not progressed on </w:t>
      </w:r>
      <w:r w:rsidR="00D27373" w:rsidRPr="006C634A">
        <w:t>at least 16 weeks of a</w:t>
      </w:r>
      <w:r w:rsidR="00D27373" w:rsidRPr="006C634A">
        <w:rPr>
          <w:i/>
          <w:iCs/>
        </w:rPr>
        <w:t xml:space="preserve"> </w:t>
      </w:r>
      <w:r w:rsidRPr="006C634A">
        <w:rPr>
          <w:rFonts w:eastAsiaTheme="minorEastAsia"/>
          <w:iCs/>
          <w:kern w:val="24"/>
          <w:lang w:eastAsia="en-GB"/>
        </w:rPr>
        <w:t>first-line platinum-based chemotherapy</w:t>
      </w:r>
      <w:r w:rsidR="003639E6" w:rsidRPr="006C634A">
        <w:rPr>
          <w:rFonts w:eastAsiaTheme="minorEastAsia"/>
          <w:iCs/>
          <w:kern w:val="24"/>
          <w:lang w:eastAsia="en-GB"/>
        </w:rPr>
        <w:t xml:space="preserve"> regimen</w:t>
      </w:r>
      <w:r w:rsidRPr="006C634A">
        <w:rPr>
          <w:rFonts w:eastAsiaTheme="minorEastAsia"/>
          <w:iCs/>
          <w:kern w:val="24"/>
          <w:lang w:eastAsia="en-GB"/>
        </w:rPr>
        <w:t>.</w:t>
      </w:r>
      <w:bookmarkEnd w:id="1"/>
      <w:bookmarkEnd w:id="2"/>
      <w:r w:rsidR="003639E6" w:rsidRPr="006C634A">
        <w:rPr>
          <w:rFonts w:eastAsiaTheme="minorEastAsia"/>
          <w:iCs/>
          <w:kern w:val="24"/>
          <w:lang w:eastAsia="en-GB"/>
        </w:rPr>
        <w:t xml:space="preserve"> </w:t>
      </w:r>
      <w:r w:rsidR="004B0B00" w:rsidRPr="006C634A">
        <w:t>Germline BRCA mutation (</w:t>
      </w:r>
      <w:proofErr w:type="spellStart"/>
      <w:r w:rsidR="004B0B00" w:rsidRPr="006C634A">
        <w:rPr>
          <w:i/>
          <w:iCs/>
        </w:rPr>
        <w:t>gBRCAm</w:t>
      </w:r>
      <w:proofErr w:type="spellEnd"/>
      <w:r w:rsidR="004B0B00" w:rsidRPr="006C634A">
        <w:t>) status should be determined by an experienced laboratory using a validated test method.</w:t>
      </w:r>
    </w:p>
    <w:p w14:paraId="5768CC24" w14:textId="77777777" w:rsidR="002748FF" w:rsidRPr="000D4E5B" w:rsidRDefault="002748FF" w:rsidP="002748FF">
      <w:pPr>
        <w:pStyle w:val="ListParagraph"/>
        <w:spacing w:after="0" w:line="240" w:lineRule="auto"/>
        <w:ind w:left="778"/>
      </w:pPr>
    </w:p>
    <w:p w14:paraId="301752B4" w14:textId="77777777" w:rsidR="003B7CFF" w:rsidRPr="000D4E5B" w:rsidRDefault="001A3992" w:rsidP="00CD331E">
      <w:pPr>
        <w:pStyle w:val="Heading2"/>
        <w:tabs>
          <w:tab w:val="clear" w:pos="1134"/>
          <w:tab w:val="num" w:pos="720"/>
        </w:tabs>
        <w:ind w:left="720" w:hanging="720"/>
      </w:pPr>
      <w:bookmarkStart w:id="3" w:name="_Hlk505946421"/>
      <w:r w:rsidRPr="000D4E5B">
        <w:t>Dose and method of administration</w:t>
      </w:r>
    </w:p>
    <w:bookmarkEnd w:id="3"/>
    <w:p w14:paraId="0EAFA669" w14:textId="48433C92" w:rsidR="00C85696" w:rsidRPr="000D4E5B" w:rsidRDefault="00ED36E4" w:rsidP="00ED36E4">
      <w:pPr>
        <w:pStyle w:val="Paragraph"/>
      </w:pPr>
      <w:r w:rsidRPr="000D4E5B">
        <w:t>Treatment with LYNPARZA should be initiated and supervised by a physician experienced in the use of anticancer medicinal products.</w:t>
      </w:r>
    </w:p>
    <w:p w14:paraId="5E617C2F" w14:textId="2F20CD85" w:rsidR="00A36815" w:rsidRPr="000D4E5B" w:rsidRDefault="00CA24AB" w:rsidP="00C51443">
      <w:pPr>
        <w:pStyle w:val="Heading3Unnumbered"/>
      </w:pPr>
      <w:r w:rsidRPr="000D4E5B">
        <w:t>Important Administration Information</w:t>
      </w:r>
    </w:p>
    <w:p w14:paraId="23F547DD" w14:textId="77777777" w:rsidR="006D2122" w:rsidRPr="000D4E5B" w:rsidRDefault="00CA24AB" w:rsidP="00C51443">
      <w:pPr>
        <w:pStyle w:val="Paragraph"/>
      </w:pPr>
      <w:r w:rsidRPr="000D4E5B">
        <w:t>LYNPARZA is also available as a 50 mg capsule.  DO NOT substitute LYNPARZA tablets (100 mg and 150 mg) with LYNPARZA capsules (50 mg) on a milligram-to-milligram basis due to differences in the dosing and bioavailability of each formulation.  Refer to the full prescribing information for LYNPARZA capsules for specific capsule dosing.</w:t>
      </w:r>
    </w:p>
    <w:p w14:paraId="3FD00EC7" w14:textId="6C044A22" w:rsidR="006D2122" w:rsidRPr="00315067" w:rsidRDefault="006D2122" w:rsidP="006D2122">
      <w:pPr>
        <w:tabs>
          <w:tab w:val="left" w:pos="567"/>
        </w:tabs>
        <w:spacing w:after="0" w:line="260" w:lineRule="exact"/>
        <w:rPr>
          <w:i/>
          <w:sz w:val="22"/>
        </w:rPr>
      </w:pPr>
      <w:r w:rsidRPr="00315067">
        <w:rPr>
          <w:u w:val="single"/>
        </w:rPr>
        <w:t xml:space="preserve">Detection of </w:t>
      </w:r>
      <w:r w:rsidRPr="00315067">
        <w:rPr>
          <w:i/>
          <w:u w:val="single"/>
        </w:rPr>
        <w:t xml:space="preserve">BRCA </w:t>
      </w:r>
      <w:r w:rsidRPr="00315067">
        <w:rPr>
          <w:u w:val="single"/>
        </w:rPr>
        <w:t>mutations</w:t>
      </w:r>
    </w:p>
    <w:p w14:paraId="2BD3B1CD" w14:textId="77777777" w:rsidR="006D2122" w:rsidRPr="000D4E5B" w:rsidRDefault="006D2122" w:rsidP="006D2122">
      <w:pPr>
        <w:tabs>
          <w:tab w:val="left" w:pos="567"/>
        </w:tabs>
        <w:spacing w:after="0" w:line="260" w:lineRule="exact"/>
        <w:rPr>
          <w:i/>
        </w:rPr>
      </w:pPr>
    </w:p>
    <w:p w14:paraId="6CB4E541" w14:textId="7666DB54" w:rsidR="006C634A" w:rsidRPr="000D4E5B" w:rsidRDefault="002900D3" w:rsidP="006D2122">
      <w:pPr>
        <w:pStyle w:val="Paragraph"/>
      </w:pPr>
      <w:r w:rsidRPr="000D4E5B">
        <w:rPr>
          <w:i/>
        </w:rPr>
        <w:t xml:space="preserve">BRCA </w:t>
      </w:r>
      <w:r w:rsidRPr="000D4E5B">
        <w:t>mutation status should be determined by an experienced laboratory using a validated test method.</w:t>
      </w:r>
    </w:p>
    <w:p w14:paraId="4234DC46" w14:textId="3149F4C9" w:rsidR="009E21D9" w:rsidRPr="000D4E5B" w:rsidRDefault="00C73225" w:rsidP="00957DE6">
      <w:pPr>
        <w:pStyle w:val="Heading3Unnumbered"/>
      </w:pPr>
      <w:r w:rsidRPr="000D4E5B">
        <w:t>Monotherapy</w:t>
      </w:r>
      <w:r w:rsidRPr="000D4E5B" w:rsidDel="00C73225">
        <w:t xml:space="preserve"> </w:t>
      </w:r>
      <w:r w:rsidRPr="000D4E5B">
        <w:t>m</w:t>
      </w:r>
      <w:r w:rsidR="00297CA1" w:rsidRPr="000D4E5B">
        <w:t xml:space="preserve">aintenance treatment of newly diagnosed advanced </w:t>
      </w:r>
      <w:r w:rsidRPr="000D4E5B">
        <w:rPr>
          <w:i/>
        </w:rPr>
        <w:t>BRCA</w:t>
      </w:r>
      <w:r w:rsidRPr="000D4E5B">
        <w:t xml:space="preserve">-mutated </w:t>
      </w:r>
      <w:r w:rsidR="00297CA1" w:rsidRPr="000D4E5B">
        <w:t>ovarian cancer:</w:t>
      </w:r>
    </w:p>
    <w:p w14:paraId="0988086C" w14:textId="77777777" w:rsidR="006C634A" w:rsidRPr="006C634A" w:rsidRDefault="00297CA1" w:rsidP="006C634A">
      <w:pPr>
        <w:pStyle w:val="Paragraph"/>
        <w:rPr>
          <w:lang w:val="en-AU"/>
        </w:rPr>
      </w:pPr>
      <w:r w:rsidRPr="006C634A">
        <w:rPr>
          <w:lang w:val="en-AU"/>
        </w:rPr>
        <w:t xml:space="preserve">Patients must have confirmation of a </w:t>
      </w:r>
      <w:r w:rsidR="00140C1A" w:rsidRPr="006C634A">
        <w:rPr>
          <w:lang w:val="en-AU"/>
        </w:rPr>
        <w:t xml:space="preserve">deleterious or suspected deleterious </w:t>
      </w:r>
      <w:r w:rsidRPr="006C634A">
        <w:rPr>
          <w:lang w:val="en-AU"/>
        </w:rPr>
        <w:t>breast cancer susceptibility gene (BRCA) mutation (identified by either germline or tumour testing) before L</w:t>
      </w:r>
      <w:r w:rsidR="009E21D9" w:rsidRPr="006C634A">
        <w:rPr>
          <w:lang w:val="en-AU"/>
        </w:rPr>
        <w:t>YNPARZA</w:t>
      </w:r>
      <w:r w:rsidRPr="006C634A">
        <w:rPr>
          <w:lang w:val="en-AU"/>
        </w:rPr>
        <w:t xml:space="preserve"> treatment is initiated. </w:t>
      </w:r>
    </w:p>
    <w:p w14:paraId="70B08B48" w14:textId="62F91ADA" w:rsidR="002E6508" w:rsidRPr="000D4E5B" w:rsidRDefault="009E21D9" w:rsidP="00D67AA8">
      <w:pPr>
        <w:pStyle w:val="Heading3Unnumbered"/>
        <w:rPr>
          <w:lang w:val="en-AU"/>
        </w:rPr>
      </w:pPr>
      <w:r w:rsidRPr="000D4E5B">
        <w:rPr>
          <w:lang w:val="en-AU"/>
        </w:rPr>
        <w:t>Metastatic HER2-negative breast cancer:</w:t>
      </w:r>
    </w:p>
    <w:p w14:paraId="7D21283D" w14:textId="214C9BF6" w:rsidR="002E6508" w:rsidRPr="000D4E5B" w:rsidRDefault="002E6508" w:rsidP="00C51443">
      <w:pPr>
        <w:pStyle w:val="Paragraph"/>
        <w:rPr>
          <w:lang w:val="en-AU"/>
        </w:rPr>
      </w:pPr>
      <w:r w:rsidRPr="000D4E5B">
        <w:rPr>
          <w:lang w:val="en-AU"/>
        </w:rPr>
        <w:t xml:space="preserve">Patients must have confirmation of a </w:t>
      </w:r>
      <w:r w:rsidR="00140C1A" w:rsidRPr="000D4E5B">
        <w:rPr>
          <w:lang w:val="en-AU"/>
        </w:rPr>
        <w:t xml:space="preserve">deleterious or suspected deleterious </w:t>
      </w:r>
      <w:r w:rsidRPr="000D4E5B">
        <w:rPr>
          <w:i/>
          <w:lang w:val="en-AU"/>
        </w:rPr>
        <w:t>BRCA</w:t>
      </w:r>
      <w:r w:rsidRPr="000D4E5B">
        <w:rPr>
          <w:lang w:val="en-AU"/>
        </w:rPr>
        <w:t xml:space="preserve"> mutation (identified by germline testing) before LYNPARZA treatment is initiated.  </w:t>
      </w:r>
    </w:p>
    <w:p w14:paraId="79ED50C7" w14:textId="77777777" w:rsidR="00E13D8B" w:rsidRPr="000D4E5B" w:rsidRDefault="002748FF" w:rsidP="00E13D8B">
      <w:pPr>
        <w:pStyle w:val="Heading3Unnumbered"/>
        <w:rPr>
          <w:lang w:val="en-AU"/>
        </w:rPr>
      </w:pPr>
      <w:r w:rsidRPr="000D4E5B">
        <w:rPr>
          <w:lang w:val="en-AU"/>
        </w:rPr>
        <w:t>Maintenance following first-line treatment of metastatic adenocarcinoma of the pancreas:</w:t>
      </w:r>
    </w:p>
    <w:p w14:paraId="786E628D" w14:textId="57B08770" w:rsidR="002748FF" w:rsidRPr="000D4E5B" w:rsidRDefault="002748FF" w:rsidP="00E13D8B">
      <w:pPr>
        <w:pStyle w:val="Paragraph"/>
      </w:pPr>
      <w:r w:rsidRPr="000D4E5B">
        <w:t xml:space="preserve">Patients must have confirmation of a </w:t>
      </w:r>
      <w:r w:rsidR="00912A70" w:rsidRPr="000D4E5B">
        <w:rPr>
          <w:lang w:val="en-AU"/>
        </w:rPr>
        <w:t xml:space="preserve">deleterious or suspected deleterious </w:t>
      </w:r>
      <w:r w:rsidRPr="000D4E5B">
        <w:rPr>
          <w:i/>
        </w:rPr>
        <w:t>BRCA</w:t>
      </w:r>
      <w:r w:rsidRPr="000D4E5B">
        <w:t xml:space="preserve"> mutation (identified by germline testing) before Lynparza treatment is initiated.</w:t>
      </w:r>
    </w:p>
    <w:p w14:paraId="56D9DE73" w14:textId="77777777" w:rsidR="00AC3B30" w:rsidRPr="000D4E5B" w:rsidRDefault="00AC3B30" w:rsidP="00AC3B30">
      <w:pPr>
        <w:pStyle w:val="Heading3Unnumbered"/>
        <w:rPr>
          <w:lang w:val="en-AU"/>
        </w:rPr>
      </w:pPr>
      <w:r w:rsidRPr="000D4E5B">
        <w:rPr>
          <w:lang w:val="en-AU"/>
        </w:rPr>
        <w:t xml:space="preserve">Maintenance treatment of newly diagnosed advanced ovarian cancer in combination with bevacizumab: </w:t>
      </w:r>
    </w:p>
    <w:p w14:paraId="3064C873" w14:textId="5F62F5A7" w:rsidR="00AC3B30" w:rsidRPr="000D4E5B" w:rsidRDefault="00AC3B30" w:rsidP="00AC3B30">
      <w:pPr>
        <w:pStyle w:val="Paragraph"/>
      </w:pPr>
      <w:r w:rsidRPr="000D4E5B">
        <w:t>Select patients for the treatment based on the presence of deleterious or suspected deleterious BRCA-mutations (germline or somatic) or tumour genomic instability</w:t>
      </w:r>
      <w:r w:rsidR="003D5633" w:rsidRPr="000D4E5B">
        <w:t xml:space="preserve"> as measured by </w:t>
      </w:r>
      <w:r w:rsidR="002408B9" w:rsidRPr="000D4E5B">
        <w:t>a</w:t>
      </w:r>
      <w:r w:rsidR="00FE59FE" w:rsidRPr="000D4E5B">
        <w:t xml:space="preserve"> </w:t>
      </w:r>
      <w:r w:rsidR="003D5633" w:rsidRPr="000D4E5B">
        <w:t>HRD assay</w:t>
      </w:r>
      <w:r w:rsidRPr="000D4E5B">
        <w:t xml:space="preserve">. </w:t>
      </w:r>
    </w:p>
    <w:p w14:paraId="5299C964" w14:textId="76A8643C" w:rsidR="00ED36E4" w:rsidRPr="000D4E5B" w:rsidRDefault="00A52CB3" w:rsidP="00FA5DD2">
      <w:pPr>
        <w:pStyle w:val="Heading3Unnumbered"/>
      </w:pPr>
      <w:bookmarkStart w:id="4" w:name="_Hlk513031229"/>
      <w:r w:rsidRPr="000D4E5B">
        <w:t>Method of administration</w:t>
      </w:r>
      <w:bookmarkEnd w:id="4"/>
    </w:p>
    <w:p w14:paraId="0D153046" w14:textId="0A78CE49" w:rsidR="00FA5DD2" w:rsidRPr="000D4E5B" w:rsidRDefault="00A52CB3" w:rsidP="00FA5DD2">
      <w:pPr>
        <w:pStyle w:val="Paragraph"/>
      </w:pPr>
      <w:bookmarkStart w:id="5" w:name="_Hlk513031192"/>
      <w:r w:rsidRPr="000D4E5B">
        <w:t>For oral use. Patients should be instructed to take LYNPARZA tablets at approximately the same times each day.  LYNPARZA tablets should be swallowed whole and not chewed, crushed, dissolved or divided.  LYNPARZA tablets can be taken with or without food.</w:t>
      </w:r>
      <w:bookmarkEnd w:id="5"/>
    </w:p>
    <w:p w14:paraId="73702EE1" w14:textId="55F51B21" w:rsidR="00FA5DD2" w:rsidRPr="000D4E5B" w:rsidRDefault="00FA5DD2" w:rsidP="00FA5DD2">
      <w:pPr>
        <w:pStyle w:val="Heading3Unnumbered"/>
      </w:pPr>
      <w:r w:rsidRPr="000D4E5B">
        <w:t>Dosage in adults</w:t>
      </w:r>
    </w:p>
    <w:p w14:paraId="7B8A6FEC" w14:textId="1C5C3940" w:rsidR="00FA5DD2" w:rsidRPr="000D4E5B" w:rsidRDefault="00A52CB3" w:rsidP="00FA5DD2">
      <w:pPr>
        <w:pStyle w:val="Paragraph"/>
      </w:pPr>
      <w:bookmarkStart w:id="6" w:name="_Hlk513031273"/>
      <w:r w:rsidRPr="000D4E5B">
        <w:t>LYNPARZA is available as 100 mg and 150 mg tablets.</w:t>
      </w:r>
      <w:bookmarkEnd w:id="6"/>
    </w:p>
    <w:p w14:paraId="6963DAB3" w14:textId="47B665DD" w:rsidR="00FA5DD2" w:rsidRPr="000D4E5B" w:rsidRDefault="00A52CB3" w:rsidP="00FA5DD2">
      <w:pPr>
        <w:pStyle w:val="Paragraph"/>
      </w:pPr>
      <w:bookmarkStart w:id="7" w:name="_Hlk513031299"/>
      <w:r w:rsidRPr="000D4E5B">
        <w:t>The recommended dose of LYNPARZA is 300 mg (two 150 mg tablets) taken twice daily, equivalent to a total daily dose of 600 mg.  The 100 mg tablet is available for dose reductions only.</w:t>
      </w:r>
      <w:bookmarkEnd w:id="7"/>
    </w:p>
    <w:p w14:paraId="2DD7DA25" w14:textId="77777777" w:rsidR="0095121C" w:rsidRPr="000D4E5B" w:rsidRDefault="0095121C" w:rsidP="0095121C">
      <w:pPr>
        <w:pStyle w:val="Heading3Unnumbered"/>
      </w:pPr>
      <w:r w:rsidRPr="000D4E5B">
        <w:t>Duration of Treatment</w:t>
      </w:r>
    </w:p>
    <w:p w14:paraId="4CD89B8D" w14:textId="59D21A90" w:rsidR="0095121C" w:rsidRPr="000D4E5B" w:rsidRDefault="00485F1F" w:rsidP="0095121C">
      <w:pPr>
        <w:pStyle w:val="Paragraph"/>
      </w:pPr>
      <w:r w:rsidRPr="000D4E5B">
        <w:rPr>
          <w:b/>
        </w:rPr>
        <w:t>Monotherapy</w:t>
      </w:r>
      <w:r w:rsidRPr="000D4E5B" w:rsidDel="00485F1F">
        <w:rPr>
          <w:b/>
        </w:rPr>
        <w:t xml:space="preserve"> </w:t>
      </w:r>
      <w:r w:rsidRPr="000D4E5B">
        <w:rPr>
          <w:b/>
        </w:rPr>
        <w:t>m</w:t>
      </w:r>
      <w:r w:rsidR="0095121C" w:rsidRPr="000D4E5B">
        <w:rPr>
          <w:b/>
        </w:rPr>
        <w:t xml:space="preserve">aintenance treatment of newly diagnosed advanced </w:t>
      </w:r>
      <w:r w:rsidRPr="000D4E5B">
        <w:rPr>
          <w:b/>
          <w:i/>
        </w:rPr>
        <w:t>BRCA</w:t>
      </w:r>
      <w:r w:rsidRPr="000D4E5B">
        <w:rPr>
          <w:b/>
        </w:rPr>
        <w:t xml:space="preserve">-mutated </w:t>
      </w:r>
      <w:r w:rsidR="0095121C" w:rsidRPr="000D4E5B">
        <w:rPr>
          <w:b/>
        </w:rPr>
        <w:t>ovarian cancer:</w:t>
      </w:r>
      <w:r w:rsidR="0095121C" w:rsidRPr="000D4E5B">
        <w:t xml:space="preserve"> Patients can continue treatment for 2 years or until disease progression. Patients with a complete response (no radiological evidence of disease) at 2 years should stop treatment. Patients with evidence of disease at 2 years, who in the opinion of the treating physician can derive further benefit from continuous treatment, can be treated beyond 2 years.</w:t>
      </w:r>
    </w:p>
    <w:p w14:paraId="6E76F248" w14:textId="07BBADCA" w:rsidR="003835C6" w:rsidRPr="000D4E5B" w:rsidRDefault="0095121C" w:rsidP="00485F1F">
      <w:pPr>
        <w:autoSpaceDE w:val="0"/>
        <w:autoSpaceDN w:val="0"/>
        <w:adjustRightInd w:val="0"/>
        <w:spacing w:line="240" w:lineRule="auto"/>
        <w:rPr>
          <w:b/>
        </w:rPr>
      </w:pPr>
      <w:r w:rsidRPr="000D4E5B">
        <w:rPr>
          <w:b/>
        </w:rPr>
        <w:t>Platinum-sensitive relapsed ovarian cancer</w:t>
      </w:r>
      <w:r w:rsidR="00315067">
        <w:rPr>
          <w:b/>
        </w:rPr>
        <w:t>:</w:t>
      </w:r>
      <w:r w:rsidRPr="000D4E5B">
        <w:rPr>
          <w:b/>
        </w:rPr>
        <w:t xml:space="preserve"> </w:t>
      </w:r>
      <w:r w:rsidRPr="000D4E5B">
        <w:t xml:space="preserve">For patients with platinum-sensitive relapsed high-grade epithelial ovarian, fallopian tube or primary peritoneal cancer, </w:t>
      </w:r>
      <w:r w:rsidRPr="000D4E5B" w:rsidDel="00760E7E">
        <w:t xml:space="preserve">it </w:t>
      </w:r>
      <w:r w:rsidR="00FA5DD2" w:rsidRPr="000D4E5B" w:rsidDel="00760E7E">
        <w:t xml:space="preserve">is recommended that treatment be continued until progression of the underlying disease.  </w:t>
      </w:r>
      <w:r w:rsidR="00FA5DD2" w:rsidRPr="000D4E5B">
        <w:t>There are no</w:t>
      </w:r>
      <w:r w:rsidR="00CB02B8" w:rsidRPr="000D4E5B">
        <w:t xml:space="preserve"> trial</w:t>
      </w:r>
      <w:r w:rsidR="00FA5DD2" w:rsidRPr="000D4E5B">
        <w:t xml:space="preserve"> data to support retreatment with </w:t>
      </w:r>
      <w:proofErr w:type="spellStart"/>
      <w:r w:rsidR="00FA5DD2" w:rsidRPr="000D4E5B">
        <w:t>olaparib</w:t>
      </w:r>
      <w:proofErr w:type="spellEnd"/>
      <w:r w:rsidR="00FA5DD2" w:rsidRPr="000D4E5B">
        <w:t xml:space="preserve"> as maintenance following subsequent relapse.</w:t>
      </w:r>
      <w:r w:rsidR="003835C6" w:rsidRPr="000D4E5B">
        <w:t xml:space="preserve"> </w:t>
      </w:r>
    </w:p>
    <w:p w14:paraId="0FDF12D2" w14:textId="2AE0A27D" w:rsidR="00485F1F" w:rsidRPr="000D4E5B" w:rsidRDefault="00485F1F" w:rsidP="00485F1F">
      <w:pPr>
        <w:autoSpaceDE w:val="0"/>
        <w:autoSpaceDN w:val="0"/>
        <w:adjustRightInd w:val="0"/>
        <w:spacing w:line="240" w:lineRule="auto"/>
      </w:pPr>
      <w:r w:rsidRPr="000D4E5B">
        <w:rPr>
          <w:b/>
        </w:rPr>
        <w:t>Maintenance treatment of newly diagnosed advanced ovarian cancer in combination with bevacizumab:</w:t>
      </w:r>
      <w:r w:rsidRPr="000D4E5B">
        <w:rPr>
          <w:rFonts w:ascii="TimesNewRoman" w:eastAsia="TimesNewRoman" w:hAnsi="TimesNewRoman,Italic" w:cs="TimesNewRoman"/>
          <w:color w:val="B6082E"/>
          <w:sz w:val="18"/>
          <w:szCs w:val="18"/>
          <w:lang w:val="en-AU"/>
        </w:rPr>
        <w:t xml:space="preserve"> </w:t>
      </w:r>
      <w:r w:rsidRPr="000D4E5B">
        <w:t>patients can continue treatment for 2 years or until disease progression. Patients with a complete response (no radiological evidence of disease) at 2 years should stop treatment. Patients with evidence of disease at 2 years, who in the opinion of the treating physician can derive further benefit from continuous Lynparza treatment, can be treated beyond 2 years.</w:t>
      </w:r>
      <w:r w:rsidR="00283E73" w:rsidRPr="000D4E5B">
        <w:t xml:space="preserve"> </w:t>
      </w:r>
      <w:r w:rsidRPr="000D4E5B">
        <w:t xml:space="preserve">When Lynparza is used in combination with bevacizumab, refer to the </w:t>
      </w:r>
      <w:r w:rsidR="00283E73" w:rsidRPr="000D4E5B">
        <w:t>Product</w:t>
      </w:r>
      <w:r w:rsidRPr="000D4E5B">
        <w:t xml:space="preserve"> Information for bevacizumab for recommended dosing information (see section 5.1).</w:t>
      </w:r>
    </w:p>
    <w:p w14:paraId="47B78648" w14:textId="2D66DB5E" w:rsidR="00B652C2" w:rsidRPr="000D4E5B" w:rsidRDefault="00760E7E" w:rsidP="00B652C2">
      <w:pPr>
        <w:autoSpaceDE w:val="0"/>
        <w:autoSpaceDN w:val="0"/>
        <w:adjustRightInd w:val="0"/>
        <w:spacing w:line="240" w:lineRule="auto"/>
      </w:pPr>
      <w:r w:rsidRPr="000D4E5B">
        <w:rPr>
          <w:b/>
        </w:rPr>
        <w:t>Metastatic HER2-negative breast cancer:</w:t>
      </w:r>
      <w:r w:rsidRPr="000D4E5B">
        <w:t xml:space="preserve"> </w:t>
      </w:r>
      <w:r w:rsidR="00113F0C" w:rsidRPr="000D4E5B">
        <w:t xml:space="preserve"> For patients with germline </w:t>
      </w:r>
      <w:r w:rsidR="00113F0C" w:rsidRPr="000D4E5B">
        <w:rPr>
          <w:i/>
        </w:rPr>
        <w:t>BRCA</w:t>
      </w:r>
      <w:r w:rsidR="00113F0C" w:rsidRPr="000D4E5B">
        <w:t xml:space="preserve">-mutated HER2-negative metastatic breast cancer, </w:t>
      </w:r>
      <w:r w:rsidR="003B38D8" w:rsidRPr="000D4E5B" w:rsidDel="00760E7E">
        <w:t>it is recommended that treatment be continued until progression of the underlying disease</w:t>
      </w:r>
      <w:r w:rsidR="003B38D8" w:rsidRPr="000D4E5B">
        <w:t>.</w:t>
      </w:r>
    </w:p>
    <w:p w14:paraId="157AC647" w14:textId="4606DD06" w:rsidR="00760E7E" w:rsidRPr="000D4E5B" w:rsidRDefault="003649B6" w:rsidP="00575602">
      <w:r w:rsidRPr="000D4E5B">
        <w:rPr>
          <w:b/>
        </w:rPr>
        <w:t>Maintenance following first-line treatment of metastatic adenocarcinoma of the pancreas:</w:t>
      </w:r>
      <w:r w:rsidRPr="000D4E5B">
        <w:t xml:space="preserve"> it is recommended that treatment be continued until progression of the underlying disease.</w:t>
      </w:r>
    </w:p>
    <w:p w14:paraId="30020D69" w14:textId="5B7AED2E" w:rsidR="00FA5DD2" w:rsidRPr="000D4E5B" w:rsidRDefault="00FA5DD2" w:rsidP="00FA5DD2">
      <w:pPr>
        <w:pStyle w:val="Heading3Unnumbered"/>
      </w:pPr>
      <w:r w:rsidRPr="000D4E5B">
        <w:t>Missing dose</w:t>
      </w:r>
    </w:p>
    <w:p w14:paraId="15E9F1DA" w14:textId="307C8588" w:rsidR="00FA5DD2" w:rsidRPr="000D4E5B" w:rsidRDefault="00FA5DD2" w:rsidP="00FA5DD2">
      <w:pPr>
        <w:pStyle w:val="Paragraph"/>
      </w:pPr>
      <w:r w:rsidRPr="000D4E5B">
        <w:t>If a patient misses a dose of LYNPARZA, they should take their next normal dose at its scheduled time.</w:t>
      </w:r>
    </w:p>
    <w:p w14:paraId="2F4B19ED" w14:textId="77777777" w:rsidR="00FA5DD2" w:rsidRPr="000D4E5B" w:rsidRDefault="00FA5DD2" w:rsidP="00FA5DD2">
      <w:pPr>
        <w:pStyle w:val="Heading3Unnumbered"/>
      </w:pPr>
      <w:r w:rsidRPr="000D4E5B">
        <w:t>Dose adjustments</w:t>
      </w:r>
    </w:p>
    <w:p w14:paraId="61F3EA44" w14:textId="45205E6D" w:rsidR="00FA5DD2" w:rsidRPr="000D4E5B" w:rsidRDefault="00FA5DD2" w:rsidP="00FA5DD2">
      <w:pPr>
        <w:pStyle w:val="Paragraph"/>
      </w:pPr>
      <w:r w:rsidRPr="000D4E5B">
        <w:t>Treatment may be interrupted to manage adverse reactions such as nausea, vomiting, diarrhoea, and anaemia and dose reduction can be considered.</w:t>
      </w:r>
    </w:p>
    <w:p w14:paraId="6E9AFA04" w14:textId="77777777" w:rsidR="00CA2E47" w:rsidRPr="000D4E5B" w:rsidRDefault="00FA5DD2" w:rsidP="00FA5DD2">
      <w:pPr>
        <w:pStyle w:val="Paragraph"/>
      </w:pPr>
      <w:r w:rsidRPr="000D4E5B">
        <w:t xml:space="preserve">Gastrointestinal toxicities are frequently reported with </w:t>
      </w:r>
      <w:proofErr w:type="spellStart"/>
      <w:r w:rsidRPr="000D4E5B">
        <w:t>olaparib</w:t>
      </w:r>
      <w:proofErr w:type="spellEnd"/>
      <w:r w:rsidRPr="000D4E5B">
        <w:t xml:space="preserve"> therapy (see</w:t>
      </w:r>
      <w:r w:rsidR="00277942" w:rsidRPr="000D4E5B">
        <w:t xml:space="preserve"> </w:t>
      </w:r>
      <w:r w:rsidR="00A52CB3" w:rsidRPr="000D4E5B">
        <w:t xml:space="preserve">Section </w:t>
      </w:r>
      <w:r w:rsidR="00277942" w:rsidRPr="000D4E5B">
        <w:t>4.8 - Adverse effects</w:t>
      </w:r>
      <w:r w:rsidRPr="000D4E5B">
        <w:t xml:space="preserve">) and are generally low grade (CTCAE grade 1 or 2) and intermittent. In addition to dose interruption or reduction, concomitant medicinal products (e.g. antiemetic therapy) may also be considered. Antiemetic prophylaxis is not required. </w:t>
      </w:r>
      <w:r w:rsidR="00C90193" w:rsidRPr="000D4E5B">
        <w:t xml:space="preserve"> </w:t>
      </w:r>
      <w:r w:rsidR="00F449B6" w:rsidRPr="000D4E5B">
        <w:t>Refer to Table 1 below for recommended dose adjustments to manage adverse reactions.</w:t>
      </w:r>
      <w:r w:rsidR="00CA2E47" w:rsidRPr="000D4E5B">
        <w:t xml:space="preserve"> </w:t>
      </w:r>
    </w:p>
    <w:p w14:paraId="3EE0A029" w14:textId="059984C3" w:rsidR="00CA2E47" w:rsidRPr="000D4E5B" w:rsidRDefault="00CA2E47" w:rsidP="00CA2E47">
      <w:pPr>
        <w:pStyle w:val="TableTitle"/>
      </w:pPr>
      <w:r w:rsidRPr="000D4E5B">
        <w:t>Table 1. Recommended dose adjustments to manage adverse reactions</w:t>
      </w:r>
    </w:p>
    <w:tbl>
      <w:tblPr>
        <w:tblStyle w:val="TableGrid"/>
        <w:tblW w:w="0" w:type="auto"/>
        <w:tblInd w:w="-5" w:type="dxa"/>
        <w:tblLook w:val="04A0" w:firstRow="1" w:lastRow="0" w:firstColumn="1" w:lastColumn="0" w:noHBand="0" w:noVBand="1"/>
      </w:tblPr>
      <w:tblGrid>
        <w:gridCol w:w="2425"/>
        <w:gridCol w:w="7203"/>
      </w:tblGrid>
      <w:tr w:rsidR="00F449B6" w:rsidRPr="000D4E5B" w14:paraId="3F8AC17E" w14:textId="77777777" w:rsidTr="001C6C1A">
        <w:trPr>
          <w:tblHeader/>
        </w:trPr>
        <w:tc>
          <w:tcPr>
            <w:tcW w:w="2425" w:type="dxa"/>
          </w:tcPr>
          <w:p w14:paraId="4D1D4CCA" w14:textId="77777777" w:rsidR="00F449B6" w:rsidRPr="000D4E5B" w:rsidRDefault="00F449B6" w:rsidP="00EA65E3">
            <w:pPr>
              <w:pStyle w:val="TableHead"/>
              <w:jc w:val="left"/>
              <w:rPr>
                <w:sz w:val="22"/>
                <w:szCs w:val="22"/>
              </w:rPr>
            </w:pPr>
            <w:r w:rsidRPr="000D4E5B">
              <w:rPr>
                <w:sz w:val="22"/>
                <w:szCs w:val="22"/>
              </w:rPr>
              <w:t>Dose Level</w:t>
            </w:r>
          </w:p>
        </w:tc>
        <w:tc>
          <w:tcPr>
            <w:tcW w:w="7203" w:type="dxa"/>
          </w:tcPr>
          <w:p w14:paraId="7817AE68" w14:textId="77777777" w:rsidR="00F449B6" w:rsidRPr="000D4E5B" w:rsidRDefault="00F449B6" w:rsidP="00EA65E3">
            <w:pPr>
              <w:pStyle w:val="TableHead"/>
              <w:jc w:val="left"/>
              <w:rPr>
                <w:sz w:val="22"/>
                <w:szCs w:val="22"/>
              </w:rPr>
            </w:pPr>
            <w:r w:rsidRPr="000D4E5B">
              <w:rPr>
                <w:sz w:val="22"/>
                <w:szCs w:val="22"/>
              </w:rPr>
              <w:t>Dose</w:t>
            </w:r>
          </w:p>
        </w:tc>
      </w:tr>
      <w:tr w:rsidR="00F449B6" w:rsidRPr="000D4E5B" w14:paraId="147EA507" w14:textId="77777777" w:rsidTr="00CA2E47">
        <w:tc>
          <w:tcPr>
            <w:tcW w:w="2425" w:type="dxa"/>
          </w:tcPr>
          <w:p w14:paraId="492DE666" w14:textId="77777777" w:rsidR="00F449B6" w:rsidRPr="000D4E5B" w:rsidRDefault="00F449B6" w:rsidP="00EA65E3">
            <w:pPr>
              <w:pStyle w:val="TableLeft"/>
              <w:rPr>
                <w:sz w:val="22"/>
                <w:szCs w:val="22"/>
              </w:rPr>
            </w:pPr>
            <w:r w:rsidRPr="000D4E5B">
              <w:rPr>
                <w:sz w:val="22"/>
                <w:szCs w:val="22"/>
              </w:rPr>
              <w:t>Starting Dose</w:t>
            </w:r>
          </w:p>
        </w:tc>
        <w:tc>
          <w:tcPr>
            <w:tcW w:w="7203" w:type="dxa"/>
          </w:tcPr>
          <w:p w14:paraId="00ECB8EA" w14:textId="77777777" w:rsidR="00F449B6" w:rsidRPr="000D4E5B" w:rsidRDefault="00F449B6" w:rsidP="00EA65E3">
            <w:pPr>
              <w:pStyle w:val="TableLeft"/>
              <w:rPr>
                <w:sz w:val="24"/>
              </w:rPr>
            </w:pPr>
            <w:r w:rsidRPr="000D4E5B">
              <w:rPr>
                <w:sz w:val="24"/>
              </w:rPr>
              <w:t>300 mg (two 150 mg tablets) taken twice daily, equivalent to 600 mg daily</w:t>
            </w:r>
          </w:p>
        </w:tc>
      </w:tr>
      <w:tr w:rsidR="00F449B6" w:rsidRPr="000D4E5B" w14:paraId="6AD01D52" w14:textId="77777777" w:rsidTr="00CA2E47">
        <w:tc>
          <w:tcPr>
            <w:tcW w:w="2425" w:type="dxa"/>
          </w:tcPr>
          <w:p w14:paraId="598DC3FA" w14:textId="77777777" w:rsidR="00F449B6" w:rsidRPr="000D4E5B" w:rsidRDefault="00F449B6" w:rsidP="00EA65E3">
            <w:pPr>
              <w:pStyle w:val="TableLeft"/>
              <w:rPr>
                <w:sz w:val="22"/>
                <w:szCs w:val="22"/>
              </w:rPr>
            </w:pPr>
            <w:r w:rsidRPr="000D4E5B">
              <w:rPr>
                <w:sz w:val="22"/>
                <w:szCs w:val="22"/>
              </w:rPr>
              <w:t>First dose reduction</w:t>
            </w:r>
          </w:p>
        </w:tc>
        <w:tc>
          <w:tcPr>
            <w:tcW w:w="7203" w:type="dxa"/>
          </w:tcPr>
          <w:p w14:paraId="2EA42946" w14:textId="77777777" w:rsidR="00F449B6" w:rsidRPr="000D4E5B" w:rsidRDefault="00F449B6" w:rsidP="00EA65E3">
            <w:pPr>
              <w:pStyle w:val="TableLeft"/>
              <w:rPr>
                <w:sz w:val="24"/>
              </w:rPr>
            </w:pPr>
            <w:r w:rsidRPr="000D4E5B">
              <w:rPr>
                <w:sz w:val="24"/>
              </w:rPr>
              <w:t>250 mg (one 150 mg tablet and one 100 mg tablet) twice daily, equivalent to 500 mg daily</w:t>
            </w:r>
          </w:p>
        </w:tc>
      </w:tr>
      <w:tr w:rsidR="00F449B6" w:rsidRPr="000D4E5B" w14:paraId="3218CD14" w14:textId="77777777" w:rsidTr="00CA2E47">
        <w:tc>
          <w:tcPr>
            <w:tcW w:w="2425" w:type="dxa"/>
          </w:tcPr>
          <w:p w14:paraId="4D01CA26" w14:textId="77777777" w:rsidR="00F449B6" w:rsidRPr="000D4E5B" w:rsidRDefault="00F449B6" w:rsidP="00EA65E3">
            <w:pPr>
              <w:pStyle w:val="TableLeft"/>
              <w:rPr>
                <w:sz w:val="22"/>
                <w:szCs w:val="22"/>
              </w:rPr>
            </w:pPr>
            <w:r w:rsidRPr="000D4E5B">
              <w:rPr>
                <w:sz w:val="22"/>
                <w:szCs w:val="22"/>
              </w:rPr>
              <w:t>Second dose reduction</w:t>
            </w:r>
          </w:p>
        </w:tc>
        <w:tc>
          <w:tcPr>
            <w:tcW w:w="7203" w:type="dxa"/>
          </w:tcPr>
          <w:p w14:paraId="58B4FB48" w14:textId="77777777" w:rsidR="00F449B6" w:rsidRPr="000D4E5B" w:rsidRDefault="00F449B6" w:rsidP="00EA65E3">
            <w:pPr>
              <w:pStyle w:val="TableLeft"/>
              <w:rPr>
                <w:sz w:val="24"/>
              </w:rPr>
            </w:pPr>
            <w:r w:rsidRPr="000D4E5B">
              <w:rPr>
                <w:sz w:val="24"/>
              </w:rPr>
              <w:t>200 mg (two 100 mg tablets) twice daily, equivalent to 400 mg daily</w:t>
            </w:r>
          </w:p>
        </w:tc>
      </w:tr>
    </w:tbl>
    <w:p w14:paraId="5107FECF" w14:textId="742467AC" w:rsidR="00F449B6" w:rsidRPr="000D4E5B" w:rsidRDefault="00F449B6" w:rsidP="00DA4D88">
      <w:pPr>
        <w:spacing w:after="0" w:line="240" w:lineRule="auto"/>
      </w:pPr>
    </w:p>
    <w:p w14:paraId="6A2704B7" w14:textId="23F9468A" w:rsidR="00314F16" w:rsidRPr="000D4E5B" w:rsidRDefault="00314F16" w:rsidP="00314F16">
      <w:pPr>
        <w:pStyle w:val="Heading3Unnumbered"/>
      </w:pPr>
      <w:r w:rsidRPr="000D4E5B">
        <w:t>Co-administration with CYP3A inhibitors</w:t>
      </w:r>
    </w:p>
    <w:p w14:paraId="65AB8ED7" w14:textId="5060AA2B" w:rsidR="00314F16" w:rsidRPr="000D4E5B" w:rsidRDefault="00314F16" w:rsidP="00DD2F4F">
      <w:pPr>
        <w:pStyle w:val="Paragraph"/>
      </w:pPr>
      <w:r w:rsidRPr="000D4E5B">
        <w:t xml:space="preserve">Concomitant use of strong or moderate CYP3A inhibitors is not recommended and alternative agents should be considered.  If a strong CYP3A inhibitor must be co-administered, the recommended LYNPARZA dose reduction is to </w:t>
      </w:r>
      <w:r w:rsidR="004B15E9" w:rsidRPr="000D4E5B">
        <w:t>100 mg (one 100 mg tablet</w:t>
      </w:r>
      <w:r w:rsidR="00DD2F4F" w:rsidRPr="000D4E5B">
        <w:t>)</w:t>
      </w:r>
      <w:r w:rsidRPr="000D4E5B">
        <w:t xml:space="preserve"> taken twice daily (equivalent to a total daily dose of </w:t>
      </w:r>
      <w:bookmarkStart w:id="8" w:name="_Hlk513032403"/>
      <w:r w:rsidR="00DD2F4F" w:rsidRPr="000D4E5B">
        <w:t>200</w:t>
      </w:r>
      <w:bookmarkEnd w:id="8"/>
      <w:r w:rsidRPr="000D4E5B">
        <w:t xml:space="preserve"> mg).  If a moderate CYP3A inhibitor must be co-administered, the recommended LYNPARZA dose reduction is to </w:t>
      </w:r>
      <w:bookmarkStart w:id="9" w:name="_Hlk513032484"/>
      <w:r w:rsidR="00DD2F4F" w:rsidRPr="000D4E5B">
        <w:t>150 mg (one 150 mg tablet)</w:t>
      </w:r>
      <w:bookmarkEnd w:id="9"/>
      <w:r w:rsidRPr="000D4E5B">
        <w:t xml:space="preserve"> taken twice daily (equivalent to a total daily dose of </w:t>
      </w:r>
      <w:r w:rsidR="00DD2F4F" w:rsidRPr="000D4E5B">
        <w:t>300</w:t>
      </w:r>
      <w:r w:rsidRPr="000D4E5B">
        <w:t xml:space="preserve"> mg).  The patient should be carefully monitored for adverse events. (see </w:t>
      </w:r>
      <w:r w:rsidR="00DD2F4F" w:rsidRPr="000D4E5B">
        <w:rPr>
          <w:lang w:val="en-AU"/>
        </w:rPr>
        <w:t>Section 4.5 - Interactions with other medicines and other forms of interactions</w:t>
      </w:r>
      <w:r w:rsidRPr="000D4E5B">
        <w:t>).</w:t>
      </w:r>
    </w:p>
    <w:p w14:paraId="4F219015" w14:textId="5ED53AEB" w:rsidR="00B13576" w:rsidRPr="000D4E5B" w:rsidRDefault="00314F16" w:rsidP="00314F16">
      <w:pPr>
        <w:pStyle w:val="Heading3Unnumbered"/>
      </w:pPr>
      <w:r w:rsidRPr="000D4E5B">
        <w:t>Special patient populations</w:t>
      </w:r>
    </w:p>
    <w:p w14:paraId="72DBC45E" w14:textId="73471947" w:rsidR="00314F16" w:rsidRPr="000D4E5B" w:rsidRDefault="00314F16" w:rsidP="00314F16">
      <w:pPr>
        <w:pStyle w:val="Heading4Unnumbered"/>
      </w:pPr>
      <w:r w:rsidRPr="000D4E5B">
        <w:t>Children or Adolescents</w:t>
      </w:r>
    </w:p>
    <w:p w14:paraId="35423831" w14:textId="31F082EE" w:rsidR="00314F16" w:rsidRPr="000D4E5B" w:rsidRDefault="00314F16" w:rsidP="00314F16">
      <w:pPr>
        <w:pStyle w:val="Paragraph"/>
      </w:pPr>
      <w:r w:rsidRPr="000D4E5B">
        <w:t>LYNPARZA is not indicated for use in paediatric patients, as safety and efficacy of LYNPARZA in children and adolescents have not been established.</w:t>
      </w:r>
    </w:p>
    <w:p w14:paraId="7D8E044C" w14:textId="164A39C8" w:rsidR="00314F16" w:rsidRPr="000D4E5B" w:rsidRDefault="00314F16" w:rsidP="00314F16">
      <w:pPr>
        <w:pStyle w:val="Heading4Unnumbered"/>
      </w:pPr>
      <w:r w:rsidRPr="000D4E5B">
        <w:t>Elderly (&gt;65 years)</w:t>
      </w:r>
    </w:p>
    <w:p w14:paraId="3897616F" w14:textId="01790040" w:rsidR="00314F16" w:rsidRPr="000D4E5B" w:rsidRDefault="00314F16" w:rsidP="00314F16">
      <w:pPr>
        <w:pStyle w:val="Paragraph"/>
      </w:pPr>
      <w:r w:rsidRPr="000D4E5B">
        <w:t xml:space="preserve">No adjustment in starting dose is required for elderly patients.  There are limited clinical data in patients aged 75 </w:t>
      </w:r>
      <w:r w:rsidR="004D2415" w:rsidRPr="000D4E5B">
        <w:t xml:space="preserve">years and </w:t>
      </w:r>
      <w:r w:rsidRPr="000D4E5B">
        <w:t>over.</w:t>
      </w:r>
    </w:p>
    <w:p w14:paraId="684AE9C3" w14:textId="32FF0196" w:rsidR="00314F16" w:rsidRPr="000D4E5B" w:rsidRDefault="00314F16" w:rsidP="00314F16">
      <w:pPr>
        <w:pStyle w:val="Heading4Unnumbered"/>
      </w:pPr>
      <w:r w:rsidRPr="000D4E5B">
        <w:t>Renal impairment</w:t>
      </w:r>
    </w:p>
    <w:p w14:paraId="0F6AEB7C" w14:textId="48837258" w:rsidR="00314F16" w:rsidRPr="000D4E5B" w:rsidRDefault="00314F16" w:rsidP="00314F16">
      <w:pPr>
        <w:pStyle w:val="Paragraph"/>
      </w:pPr>
      <w:r w:rsidRPr="000D4E5B">
        <w:t xml:space="preserve">For patients with moderate renal impairment (creatinine clearance 31-50 mL/min) the recommended dose of LYNPARZA is </w:t>
      </w:r>
      <w:r w:rsidR="00556CC0" w:rsidRPr="000D4E5B">
        <w:t>200</w:t>
      </w:r>
      <w:r w:rsidRPr="000D4E5B">
        <w:t xml:space="preserve"> mg </w:t>
      </w:r>
      <w:r w:rsidR="00556CC0" w:rsidRPr="000D4E5B">
        <w:t xml:space="preserve">(two 100 mg tablets) </w:t>
      </w:r>
      <w:r w:rsidRPr="000D4E5B">
        <w:t>twice daily (equivalent to</w:t>
      </w:r>
      <w:r w:rsidR="002D7D9F" w:rsidRPr="000D4E5B">
        <w:t xml:space="preserve"> </w:t>
      </w:r>
      <w:r w:rsidRPr="000D4E5B">
        <w:t xml:space="preserve">a total daily dose of </w:t>
      </w:r>
      <w:r w:rsidR="00556CC0" w:rsidRPr="000D4E5B">
        <w:t>400</w:t>
      </w:r>
      <w:r w:rsidRPr="000D4E5B">
        <w:t xml:space="preserve"> mg). </w:t>
      </w:r>
      <w:r w:rsidR="002D7D9F" w:rsidRPr="000D4E5B">
        <w:t xml:space="preserve"> </w:t>
      </w:r>
      <w:r w:rsidRPr="000D4E5B">
        <w:t>LYNPARZA is not recommended for patients with severe</w:t>
      </w:r>
      <w:r w:rsidR="002D7D9F" w:rsidRPr="000D4E5B">
        <w:t xml:space="preserve"> </w:t>
      </w:r>
      <w:r w:rsidRPr="000D4E5B">
        <w:t xml:space="preserve">renal impairment or end-stage renal disease (creatinine clearance ≤30 mL/min) </w:t>
      </w:r>
      <w:r w:rsidR="00887040" w:rsidRPr="000D4E5B">
        <w:t xml:space="preserve">as safety and </w:t>
      </w:r>
      <w:r w:rsidR="0092216B" w:rsidRPr="000D4E5B">
        <w:t xml:space="preserve">pharmacokinetics </w:t>
      </w:r>
      <w:r w:rsidR="00887040" w:rsidRPr="000D4E5B">
        <w:t xml:space="preserve">have not been studied in these </w:t>
      </w:r>
      <w:r w:rsidRPr="000D4E5B">
        <w:t xml:space="preserve">patients. </w:t>
      </w:r>
      <w:r w:rsidR="002D7D9F" w:rsidRPr="000D4E5B">
        <w:t xml:space="preserve"> </w:t>
      </w:r>
      <w:r w:rsidRPr="000D4E5B">
        <w:t>LYNPARZA can be administered to</w:t>
      </w:r>
      <w:r w:rsidR="002D7D9F" w:rsidRPr="000D4E5B">
        <w:t xml:space="preserve"> </w:t>
      </w:r>
      <w:r w:rsidRPr="000D4E5B">
        <w:t>patients with mild renal impairment (creatinine clearance 51-80 mL/min) with no dose</w:t>
      </w:r>
      <w:r w:rsidR="002D7D9F" w:rsidRPr="000D4E5B">
        <w:t xml:space="preserve"> </w:t>
      </w:r>
      <w:r w:rsidRPr="000D4E5B">
        <w:t xml:space="preserve">adjustment. </w:t>
      </w:r>
      <w:r w:rsidR="002D7D9F" w:rsidRPr="000D4E5B">
        <w:t xml:space="preserve"> </w:t>
      </w:r>
      <w:r w:rsidRPr="000D4E5B">
        <w:t>Patients should be monitored closely for renal function and adverse events.</w:t>
      </w:r>
    </w:p>
    <w:p w14:paraId="1D1ADBEC" w14:textId="67DA9B44" w:rsidR="002D7D9F" w:rsidRPr="000D4E5B" w:rsidRDefault="002D7D9F" w:rsidP="002D7D9F">
      <w:pPr>
        <w:pStyle w:val="Heading4Unnumbered"/>
      </w:pPr>
      <w:r w:rsidRPr="000D4E5B">
        <w:t>Hepatic impairment</w:t>
      </w:r>
    </w:p>
    <w:p w14:paraId="4C7C380E" w14:textId="73EF466E" w:rsidR="002D7D9F" w:rsidRPr="000D4E5B" w:rsidRDefault="002D7D9F" w:rsidP="002D7D9F">
      <w:pPr>
        <w:pStyle w:val="Paragraph"/>
      </w:pPr>
      <w:r w:rsidRPr="000D4E5B">
        <w:t>LYNPARZA can be administered to patients with mild</w:t>
      </w:r>
      <w:r w:rsidR="0092216B" w:rsidRPr="000D4E5B">
        <w:t xml:space="preserve"> or moderate</w:t>
      </w:r>
      <w:r w:rsidRPr="000D4E5B">
        <w:t xml:space="preserve"> hepatic impairment (Child-Pugh classification A</w:t>
      </w:r>
      <w:r w:rsidR="0092216B" w:rsidRPr="000D4E5B">
        <w:t xml:space="preserve"> or B</w:t>
      </w:r>
      <w:r w:rsidRPr="000D4E5B">
        <w:t xml:space="preserve">) with no dose adjustment however, patients should be monitored closely for hepatic function and adverse events (see </w:t>
      </w:r>
      <w:r w:rsidR="00887040" w:rsidRPr="000D4E5B">
        <w:rPr>
          <w:lang w:val="en-AU"/>
        </w:rPr>
        <w:t>Section 5.2- Pharmacokinetic</w:t>
      </w:r>
      <w:r w:rsidR="00887040" w:rsidRPr="000D4E5B">
        <w:t xml:space="preserve"> properties</w:t>
      </w:r>
      <w:r w:rsidRPr="000D4E5B">
        <w:t>).  LYNPARZA is not recommended for use in patients with severe hepatic impairment</w:t>
      </w:r>
      <w:r w:rsidR="0092216B" w:rsidRPr="000D4E5B">
        <w:t xml:space="preserve"> (Child-Pugh classification C)</w:t>
      </w:r>
      <w:r w:rsidRPr="000D4E5B">
        <w:t xml:space="preserve">, as safety and </w:t>
      </w:r>
      <w:r w:rsidR="0092216B" w:rsidRPr="000D4E5B">
        <w:t xml:space="preserve">pharmacokinetics </w:t>
      </w:r>
      <w:r w:rsidRPr="000D4E5B">
        <w:t>have not been studied in these patients.</w:t>
      </w:r>
    </w:p>
    <w:p w14:paraId="07468B00" w14:textId="1A25817D" w:rsidR="002D7D9F" w:rsidRPr="000D4E5B" w:rsidRDefault="002D7D9F" w:rsidP="002D7D9F">
      <w:pPr>
        <w:pStyle w:val="Heading4Unnumbered"/>
      </w:pPr>
      <w:r w:rsidRPr="000D4E5B">
        <w:t>Women of childbearing potential</w:t>
      </w:r>
    </w:p>
    <w:p w14:paraId="2BE56391" w14:textId="24CE8EC7" w:rsidR="002D7D9F" w:rsidRPr="000D4E5B" w:rsidRDefault="002D7D9F" w:rsidP="00887040">
      <w:pPr>
        <w:pStyle w:val="Paragraph"/>
      </w:pPr>
      <w:r w:rsidRPr="000D4E5B">
        <w:t>Women of child-bearing potential must use effective contraception during therapy and for 1 month after receiving the last dose of LYNPARZA</w:t>
      </w:r>
      <w:r w:rsidR="00887040" w:rsidRPr="000D4E5B">
        <w:t xml:space="preserve"> </w:t>
      </w:r>
      <w:r w:rsidRPr="000D4E5B">
        <w:t xml:space="preserve">(see </w:t>
      </w:r>
      <w:r w:rsidR="00525DB7" w:rsidRPr="000D4E5B">
        <w:t xml:space="preserve">Section </w:t>
      </w:r>
      <w:r w:rsidR="00BE5BA2" w:rsidRPr="000D4E5B">
        <w:t>4.</w:t>
      </w:r>
      <w:r w:rsidR="000230A8" w:rsidRPr="000D4E5B">
        <w:t xml:space="preserve">6 </w:t>
      </w:r>
      <w:r w:rsidR="00BE5BA2" w:rsidRPr="000D4E5B">
        <w:t>-</w:t>
      </w:r>
      <w:r w:rsidR="000230A8" w:rsidRPr="000D4E5B">
        <w:t>Fertility,</w:t>
      </w:r>
      <w:r w:rsidR="004D2415" w:rsidRPr="000D4E5B">
        <w:t xml:space="preserve"> </w:t>
      </w:r>
      <w:r w:rsidR="000230A8" w:rsidRPr="000D4E5B">
        <w:t>pregnancy and lactation</w:t>
      </w:r>
      <w:r w:rsidRPr="000D4E5B">
        <w:t>).</w:t>
      </w:r>
    </w:p>
    <w:p w14:paraId="79D9F763" w14:textId="2A5C7BA6" w:rsidR="002D7D9F" w:rsidRPr="000D4E5B" w:rsidRDefault="002D7D9F" w:rsidP="002D7D9F">
      <w:pPr>
        <w:pStyle w:val="Heading4Unnumbered"/>
      </w:pPr>
      <w:r w:rsidRPr="000D4E5B">
        <w:t>Non-Caucasian patients</w:t>
      </w:r>
    </w:p>
    <w:p w14:paraId="39005E6E" w14:textId="2B7F525E" w:rsidR="002D7D9F" w:rsidRPr="000D4E5B" w:rsidRDefault="002D7D9F" w:rsidP="002D7D9F">
      <w:pPr>
        <w:pStyle w:val="Paragraph"/>
      </w:pPr>
      <w:r w:rsidRPr="000D4E5B">
        <w:t>There are limited clinical data available in non-Caucasian patients.  However, no dose adjustment is required on the basis of ethnicity (</w:t>
      </w:r>
      <w:r w:rsidR="00064D89" w:rsidRPr="000D4E5B">
        <w:t xml:space="preserve">see </w:t>
      </w:r>
      <w:r w:rsidR="00064D89" w:rsidRPr="000D4E5B">
        <w:rPr>
          <w:lang w:val="en-AU"/>
        </w:rPr>
        <w:t>Section 5.2- Pharmacokinetic</w:t>
      </w:r>
      <w:r w:rsidR="00064D89" w:rsidRPr="000D4E5B">
        <w:t xml:space="preserve"> properties</w:t>
      </w:r>
      <w:r w:rsidRPr="000D4E5B">
        <w:t>).</w:t>
      </w:r>
    </w:p>
    <w:p w14:paraId="2F080605" w14:textId="77777777" w:rsidR="002D7D9F" w:rsidRPr="000D4E5B" w:rsidRDefault="002D7D9F" w:rsidP="002D7D9F">
      <w:pPr>
        <w:pStyle w:val="Heading4Unnumbered"/>
      </w:pPr>
      <w:r w:rsidRPr="000D4E5B">
        <w:t>Patients with performance status 2 to 4</w:t>
      </w:r>
    </w:p>
    <w:p w14:paraId="3AEF54B6" w14:textId="61DBBF43" w:rsidR="002D7D9F" w:rsidRPr="000D4E5B" w:rsidRDefault="002D7D9F" w:rsidP="002D7D9F">
      <w:pPr>
        <w:pStyle w:val="Paragraph"/>
      </w:pPr>
      <w:r w:rsidRPr="000D4E5B">
        <w:t>There are very limited clinical data available in patients with performance status 2 to 4.</w:t>
      </w:r>
    </w:p>
    <w:p w14:paraId="038FD0CE" w14:textId="77777777" w:rsidR="001A3992" w:rsidRPr="000D4E5B" w:rsidRDefault="001A3992" w:rsidP="00CD331E">
      <w:pPr>
        <w:pStyle w:val="Heading2"/>
        <w:tabs>
          <w:tab w:val="clear" w:pos="1134"/>
        </w:tabs>
        <w:ind w:left="720" w:hanging="720"/>
      </w:pPr>
      <w:r w:rsidRPr="000D4E5B">
        <w:t>Contraindications</w:t>
      </w:r>
    </w:p>
    <w:p w14:paraId="60042D40" w14:textId="7DC8B237" w:rsidR="00C85696" w:rsidRPr="000D4E5B" w:rsidRDefault="003A0D39" w:rsidP="00C85696">
      <w:pPr>
        <w:pStyle w:val="Paragraph"/>
      </w:pPr>
      <w:r w:rsidRPr="000D4E5B">
        <w:t>Hypersensitivity to the active substance (</w:t>
      </w:r>
      <w:proofErr w:type="spellStart"/>
      <w:r w:rsidRPr="000D4E5B">
        <w:t>olaparib</w:t>
      </w:r>
      <w:proofErr w:type="spellEnd"/>
      <w:r w:rsidRPr="000D4E5B">
        <w:t>) or to any of the excipients.</w:t>
      </w:r>
    </w:p>
    <w:p w14:paraId="1B48E451" w14:textId="534F4A55" w:rsidR="001A3992" w:rsidRPr="000D4E5B" w:rsidRDefault="00E74A56" w:rsidP="00CD331E">
      <w:pPr>
        <w:pStyle w:val="Heading2"/>
        <w:tabs>
          <w:tab w:val="clear" w:pos="1134"/>
          <w:tab w:val="num" w:pos="720"/>
        </w:tabs>
        <w:ind w:left="720" w:hanging="720"/>
      </w:pPr>
      <w:bookmarkStart w:id="10" w:name="_Hlk505945447"/>
      <w:r w:rsidRPr="000D4E5B">
        <w:t>Special warnings and p</w:t>
      </w:r>
      <w:r w:rsidR="001A3992" w:rsidRPr="000D4E5B">
        <w:t xml:space="preserve">recautions </w:t>
      </w:r>
      <w:r w:rsidRPr="000D4E5B">
        <w:t>for use</w:t>
      </w:r>
      <w:bookmarkEnd w:id="10"/>
    </w:p>
    <w:p w14:paraId="429F294B" w14:textId="7C09EEB9" w:rsidR="001A3992" w:rsidRPr="000D4E5B" w:rsidRDefault="00555E8D" w:rsidP="00D347D7">
      <w:pPr>
        <w:pStyle w:val="Heading3Unnumbered"/>
      </w:pPr>
      <w:r w:rsidRPr="000D4E5B">
        <w:t>Haematological toxicity</w:t>
      </w:r>
    </w:p>
    <w:p w14:paraId="2F31BE30" w14:textId="4C01380A" w:rsidR="00EC60F8" w:rsidRPr="000D4E5B" w:rsidRDefault="00555E8D" w:rsidP="00555E8D">
      <w:pPr>
        <w:pStyle w:val="Paragraph"/>
      </w:pPr>
      <w:r w:rsidRPr="000D4E5B">
        <w:t xml:space="preserve">Haematological toxicity occurs commonly in patients treated with </w:t>
      </w:r>
      <w:proofErr w:type="spellStart"/>
      <w:r w:rsidRPr="000D4E5B">
        <w:t>olaparib</w:t>
      </w:r>
      <w:proofErr w:type="spellEnd"/>
      <w:r w:rsidRPr="000D4E5B">
        <w:t xml:space="preserve">.  While the majority were generally mild or moderate (CTCAE Grade 1 or 2), Grade 3 or higher events of anaemia (decrease in haemoglobin) occurred in 7.4% of patients in Study 19, and one patient died from a haemorrhagic stroke associated with thrombocytopenia.  Patients should not start treatment with LYNPARZA until they have recovered from haematological toxicity caused by previous anti-cancer therapy (haemoglobin, platelet, and neutrophil levels should be ≤CTCAE grade 1).  Baseline testing, followed by monthly monitoring, of complete blood counts is recommended for the first 12 months of treatment and periodically after this time to monitor for clinically significant changes in any parameter during treatment (see </w:t>
      </w:r>
      <w:r w:rsidR="00064D89" w:rsidRPr="000D4E5B">
        <w:t xml:space="preserve">Section </w:t>
      </w:r>
      <w:r w:rsidR="00277942" w:rsidRPr="000D4E5B">
        <w:t>4.8 – Adverse effects</w:t>
      </w:r>
      <w:r w:rsidRPr="000D4E5B">
        <w:t>).</w:t>
      </w:r>
    </w:p>
    <w:p w14:paraId="05DFC5C0" w14:textId="0C76422E" w:rsidR="00555E8D" w:rsidRPr="000D4E5B" w:rsidRDefault="00555E8D" w:rsidP="00555E8D">
      <w:pPr>
        <w:pStyle w:val="Paragraph"/>
      </w:pPr>
      <w:r w:rsidRPr="000D4E5B">
        <w:t>If a patient develops severe haematological toxicity or blood transfusion dependence, treatment with LYNPARZA should be interrupted and appropriate haematological testing should be initiated.  If the blood parameters remain clinically abnormal after 4 weeks of LYNPARZA dose interruption, bone marrow analysis and/or blood cytogenetic analysis are recommended.</w:t>
      </w:r>
    </w:p>
    <w:p w14:paraId="2FD5853A" w14:textId="04CE4438" w:rsidR="00555E8D" w:rsidRPr="000D4E5B" w:rsidRDefault="00555E8D" w:rsidP="00555E8D">
      <w:pPr>
        <w:pStyle w:val="Heading3Unnumbered"/>
      </w:pPr>
      <w:r w:rsidRPr="000D4E5B">
        <w:t>Myelodysplastic syndrome/Acute Myeloid Leukaemia</w:t>
      </w:r>
    </w:p>
    <w:p w14:paraId="781BC1A0" w14:textId="739E2AE1" w:rsidR="00555E8D" w:rsidRPr="000D4E5B" w:rsidRDefault="00064D89" w:rsidP="00E775A0">
      <w:pPr>
        <w:pStyle w:val="Paragraph"/>
      </w:pPr>
      <w:bookmarkStart w:id="11" w:name="_Hlk513033920"/>
      <w:r w:rsidRPr="000D4E5B">
        <w:t xml:space="preserve">The incidence of MDS/AML in patients treated in clinical trials with LYNPARZA monotherapy, including long-term survival follow up, was &lt;1.5% </w:t>
      </w:r>
      <w:bookmarkEnd w:id="11"/>
      <w:r w:rsidR="00555E8D" w:rsidRPr="000D4E5B">
        <w:t xml:space="preserve">and the majority of events had a fatal outcome.  The reports were typical of secondary MDS/cancer therapy-related AML.  The duration of therapy with </w:t>
      </w:r>
      <w:proofErr w:type="spellStart"/>
      <w:r w:rsidR="00555E8D" w:rsidRPr="000D4E5B">
        <w:t>olaparib</w:t>
      </w:r>
      <w:proofErr w:type="spellEnd"/>
      <w:r w:rsidR="00555E8D" w:rsidRPr="000D4E5B">
        <w:t xml:space="preserve"> in patients who developed secondary MDS/AML varied from &lt;6 months to &gt;2 years.  All patients had potential contributing factors for the development of MDS/AML, having received previous chemotherapy with platinum agents.  Many had also received other DNA damaging treatments.  The majority of reports were in germline </w:t>
      </w:r>
      <w:r w:rsidR="00555E8D" w:rsidRPr="000D4E5B">
        <w:rPr>
          <w:i/>
        </w:rPr>
        <w:t>BRCA</w:t>
      </w:r>
      <w:r w:rsidR="00555E8D" w:rsidRPr="000D4E5B">
        <w:t xml:space="preserve"> mutation </w:t>
      </w:r>
      <w:r w:rsidR="00E775A0" w:rsidRPr="000D4E5B">
        <w:t>(</w:t>
      </w:r>
      <w:proofErr w:type="spellStart"/>
      <w:r w:rsidR="00E775A0" w:rsidRPr="000D4E5B">
        <w:rPr>
          <w:i/>
        </w:rPr>
        <w:t>gBRCAm</w:t>
      </w:r>
      <w:proofErr w:type="spellEnd"/>
      <w:r w:rsidR="00E775A0" w:rsidRPr="000D4E5B">
        <w:t xml:space="preserve">) </w:t>
      </w:r>
      <w:r w:rsidR="00555E8D" w:rsidRPr="000D4E5B">
        <w:t xml:space="preserve">carriers and some of the patients had a history of previous </w:t>
      </w:r>
      <w:r w:rsidR="009B7DD9" w:rsidRPr="000D4E5B">
        <w:t xml:space="preserve">more than one primary malignancy </w:t>
      </w:r>
      <w:r w:rsidR="00555E8D" w:rsidRPr="000D4E5B">
        <w:t>or of bone marrow dysplasia.  If MDS and/or AML are confirmed while on treatment with LYNPARZA, it is recommended that LYNPARZA should be discontinued and the patient be treated appropriately.</w:t>
      </w:r>
    </w:p>
    <w:p w14:paraId="14267F55" w14:textId="32DA99AC" w:rsidR="00086411" w:rsidRPr="000D4E5B" w:rsidRDefault="00086411" w:rsidP="00086411">
      <w:pPr>
        <w:pStyle w:val="Heading3Unnumbered"/>
      </w:pPr>
      <w:r w:rsidRPr="000D4E5B">
        <w:t>Pneumonitis</w:t>
      </w:r>
    </w:p>
    <w:p w14:paraId="074632A1" w14:textId="50542CEC" w:rsidR="00086411" w:rsidRPr="000D4E5B" w:rsidRDefault="00086411" w:rsidP="00E775A0">
      <w:pPr>
        <w:pStyle w:val="Paragraph"/>
      </w:pPr>
      <w:r w:rsidRPr="000D4E5B">
        <w:t xml:space="preserve">Pneumonitis has been reported in </w:t>
      </w:r>
      <w:r w:rsidR="00E775A0" w:rsidRPr="000D4E5B">
        <w:t>&lt;1.0% patients treated with LYNPARZA monotherapy in clinical studies</w:t>
      </w:r>
      <w:r w:rsidRPr="000D4E5B">
        <w:t xml:space="preserve">.  Reports of pneumonitis had no consistent clinical pattern and were confounded by a number of pre-disposing factors (cancer and/or metastases in lungs, underlying pulmonary disease, smoking history, and/or previous chemotherapy and radiotherapy).  </w:t>
      </w:r>
      <w:r w:rsidR="00EC0CD9" w:rsidRPr="000D4E5B">
        <w:t>When LYNPARZA was used in clinical studies in combination with other therapies there have been events with a fatal outcome</w:t>
      </w:r>
      <w:r w:rsidRPr="000D4E5B">
        <w:t>.</w:t>
      </w:r>
      <w:r w:rsidR="00CF69E5" w:rsidRPr="000D4E5B">
        <w:t xml:space="preserve"> </w:t>
      </w:r>
      <w:r w:rsidRPr="000D4E5B">
        <w:t xml:space="preserve"> If patients present with new or worsening respiratory symptoms such as dyspnoea, cough and fever, or an abnormal chest radiologic finding is observed, LYNPARZA treatment should be interrupted and prompt investigation initiated.  If pneumonitis is confirmed, LYNPARZA treatment should be discontinued and the patient treated appropriately.</w:t>
      </w:r>
    </w:p>
    <w:p w14:paraId="225A139A" w14:textId="38BD362C" w:rsidR="001A3992" w:rsidRPr="000D4E5B" w:rsidRDefault="001A3992" w:rsidP="00D347D7">
      <w:pPr>
        <w:pStyle w:val="Heading3Unnumbered"/>
      </w:pPr>
      <w:r w:rsidRPr="000D4E5B">
        <w:t>Use in hepatic impairment</w:t>
      </w:r>
    </w:p>
    <w:p w14:paraId="5731C046" w14:textId="3D835E6C" w:rsidR="00EC60F8" w:rsidRPr="000D4E5B" w:rsidRDefault="005C05E8" w:rsidP="00130E08">
      <w:pPr>
        <w:pStyle w:val="Paragraph"/>
      </w:pPr>
      <w:r w:rsidRPr="000D4E5B">
        <w:t>Exposure is increased in hepatic impairment</w:t>
      </w:r>
      <w:r w:rsidR="00130E08" w:rsidRPr="000D4E5B">
        <w:t xml:space="preserve"> </w:t>
      </w:r>
      <w:bookmarkStart w:id="12" w:name="_Hlk513035439"/>
      <w:r w:rsidR="00130E08" w:rsidRPr="000D4E5B">
        <w:t xml:space="preserve">(see </w:t>
      </w:r>
      <w:r w:rsidR="00130E08" w:rsidRPr="000D4E5B">
        <w:rPr>
          <w:lang w:val="en-AU"/>
        </w:rPr>
        <w:t>Section 5.2 - Pharmacokinetic properties and Section 4.2 - Dose and method of administration)</w:t>
      </w:r>
      <w:bookmarkEnd w:id="12"/>
      <w:r w:rsidRPr="000D4E5B">
        <w:t>.</w:t>
      </w:r>
      <w:r w:rsidR="00CF69E5" w:rsidRPr="000D4E5B">
        <w:t xml:space="preserve"> </w:t>
      </w:r>
      <w:r w:rsidRPr="000D4E5B">
        <w:t xml:space="preserve"> </w:t>
      </w:r>
    </w:p>
    <w:p w14:paraId="2AAA0F2E" w14:textId="4417DB16" w:rsidR="001A3992" w:rsidRPr="000D4E5B" w:rsidRDefault="001A3992" w:rsidP="00D347D7">
      <w:pPr>
        <w:pStyle w:val="Heading3Unnumbered"/>
      </w:pPr>
      <w:r w:rsidRPr="000D4E5B">
        <w:t>Use in renal impairment</w:t>
      </w:r>
    </w:p>
    <w:p w14:paraId="135AC20D" w14:textId="0DB28B27" w:rsidR="00EC60F8" w:rsidRPr="000D4E5B" w:rsidRDefault="005C05E8" w:rsidP="005C05E8">
      <w:pPr>
        <w:pStyle w:val="Paragraph"/>
      </w:pPr>
      <w:r w:rsidRPr="000D4E5B">
        <w:t>Exposure is increased in renal impairment</w:t>
      </w:r>
      <w:r w:rsidR="00130E08" w:rsidRPr="000D4E5B">
        <w:t xml:space="preserve"> (see </w:t>
      </w:r>
      <w:r w:rsidR="00130E08" w:rsidRPr="000D4E5B">
        <w:rPr>
          <w:lang w:val="en-AU"/>
        </w:rPr>
        <w:t>Section 5.2 - Pharmacokinetic properties and Section 4.2 - Dose and method of administration)</w:t>
      </w:r>
      <w:r w:rsidRPr="000D4E5B">
        <w:t>.</w:t>
      </w:r>
    </w:p>
    <w:p w14:paraId="31970292" w14:textId="113B20F0" w:rsidR="00020CD1" w:rsidRPr="000D4E5B" w:rsidRDefault="00020CD1" w:rsidP="00C51443">
      <w:pPr>
        <w:pStyle w:val="Heading3Unnumbered"/>
      </w:pPr>
      <w:r w:rsidRPr="000D4E5B">
        <w:t>Use in the elderly</w:t>
      </w:r>
    </w:p>
    <w:p w14:paraId="2C301789" w14:textId="3E734F21" w:rsidR="00020CD1" w:rsidRPr="000D4E5B" w:rsidRDefault="00130E08" w:rsidP="00130E08">
      <w:pPr>
        <w:pStyle w:val="Paragraph"/>
      </w:pPr>
      <w:r w:rsidRPr="000D4E5B">
        <w:rPr>
          <w:lang w:val="en-AU"/>
        </w:rPr>
        <w:t>There are limited clinical data in patients aged 75 years and over (see Section 4.2- Dose and method of administration).</w:t>
      </w:r>
    </w:p>
    <w:p w14:paraId="2F6F4D4E" w14:textId="77777777" w:rsidR="001A3992" w:rsidRPr="000D4E5B" w:rsidRDefault="001A3992" w:rsidP="00D347D7">
      <w:pPr>
        <w:pStyle w:val="Heading3Unnumbered"/>
      </w:pPr>
      <w:r w:rsidRPr="000D4E5B">
        <w:t>Paediatric use</w:t>
      </w:r>
    </w:p>
    <w:p w14:paraId="5BF56D5F" w14:textId="5210B547" w:rsidR="00EC60F8" w:rsidRPr="000D4E5B" w:rsidRDefault="00E34080" w:rsidP="00E34080">
      <w:pPr>
        <w:pStyle w:val="Paragraph"/>
      </w:pPr>
      <w:r w:rsidRPr="000D4E5B">
        <w:t>The safety and efficacy of LYNPARZA in children and adolescents have not been established.</w:t>
      </w:r>
    </w:p>
    <w:p w14:paraId="75D43E73" w14:textId="44A95C9E" w:rsidR="00130E08" w:rsidRPr="000D4E5B" w:rsidRDefault="00130E08" w:rsidP="00C51443">
      <w:pPr>
        <w:pStyle w:val="Heading3Unnumbered"/>
      </w:pPr>
      <w:r w:rsidRPr="000D4E5B">
        <w:t>Effects on laboratory tests</w:t>
      </w:r>
    </w:p>
    <w:p w14:paraId="5C387D5C" w14:textId="4E5260B5" w:rsidR="00130E08" w:rsidRPr="000D4E5B" w:rsidRDefault="00130E08">
      <w:pPr>
        <w:pStyle w:val="Paragraph"/>
      </w:pPr>
      <w:r w:rsidRPr="000D4E5B">
        <w:t>No data available.</w:t>
      </w:r>
    </w:p>
    <w:p w14:paraId="2D2BD58D" w14:textId="19FA26CB" w:rsidR="004C6418" w:rsidRPr="000D4E5B" w:rsidRDefault="00CF69E5" w:rsidP="00CF69E5">
      <w:pPr>
        <w:pStyle w:val="Heading3Unnumbered"/>
      </w:pPr>
      <w:r w:rsidRPr="000D4E5B">
        <w:t>Interactions with other medicinal products</w:t>
      </w:r>
    </w:p>
    <w:p w14:paraId="429FCBA2" w14:textId="1557670C" w:rsidR="00CF69E5" w:rsidRPr="000D4E5B" w:rsidRDefault="00CF69E5" w:rsidP="00CF69E5">
      <w:pPr>
        <w:pStyle w:val="Paragraph"/>
      </w:pPr>
      <w:r w:rsidRPr="000D4E5B">
        <w:t>Olaparib co-administration with strong or moderate CYP3A inhibitors is not recommended (</w:t>
      </w:r>
      <w:bookmarkStart w:id="13" w:name="_Hlk505946691"/>
      <w:r w:rsidRPr="000D4E5B">
        <w:t xml:space="preserve">see </w:t>
      </w:r>
      <w:r w:rsidR="00686766" w:rsidRPr="000D4E5B">
        <w:t xml:space="preserve">Section </w:t>
      </w:r>
      <w:r w:rsidR="00277942" w:rsidRPr="000D4E5B">
        <w:t>4.</w:t>
      </w:r>
      <w:r w:rsidR="00686766" w:rsidRPr="000D4E5B">
        <w:t xml:space="preserve">5 </w:t>
      </w:r>
      <w:r w:rsidR="00277942" w:rsidRPr="000D4E5B">
        <w:t xml:space="preserve">- </w:t>
      </w:r>
      <w:r w:rsidR="006F2A76" w:rsidRPr="000D4E5B">
        <w:t>Interactions with other medicines and other forms of interactions</w:t>
      </w:r>
      <w:bookmarkEnd w:id="13"/>
      <w:r w:rsidRPr="000D4E5B">
        <w:t xml:space="preserve">).  If a strong or moderate CYP3A inhibitor must be co-administered, the dose of </w:t>
      </w:r>
      <w:proofErr w:type="spellStart"/>
      <w:r w:rsidRPr="000D4E5B">
        <w:t>olaparib</w:t>
      </w:r>
      <w:proofErr w:type="spellEnd"/>
      <w:r w:rsidRPr="000D4E5B">
        <w:t xml:space="preserve"> should be reduced (see </w:t>
      </w:r>
      <w:r w:rsidR="00686766" w:rsidRPr="000D4E5B">
        <w:t xml:space="preserve">Section </w:t>
      </w:r>
      <w:r w:rsidR="00BE5BA2" w:rsidRPr="000D4E5B">
        <w:t>4.2 - Dose and method of administration</w:t>
      </w:r>
      <w:r w:rsidRPr="000D4E5B">
        <w:t>).</w:t>
      </w:r>
    </w:p>
    <w:p w14:paraId="2CAF0C65" w14:textId="22096E9A" w:rsidR="00CF69E5" w:rsidRPr="000D4E5B" w:rsidRDefault="00CF69E5" w:rsidP="00CF69E5">
      <w:pPr>
        <w:pStyle w:val="Paragraph"/>
      </w:pPr>
      <w:r w:rsidRPr="000D4E5B">
        <w:t xml:space="preserve">Olaparib co-administration with strong </w:t>
      </w:r>
      <w:r w:rsidR="00686766" w:rsidRPr="000D4E5B">
        <w:t xml:space="preserve">or moderate </w:t>
      </w:r>
      <w:r w:rsidRPr="000D4E5B">
        <w:t>CYP3A inducers is not recommended (</w:t>
      </w:r>
      <w:r w:rsidR="00277942" w:rsidRPr="000D4E5B">
        <w:t xml:space="preserve">see </w:t>
      </w:r>
      <w:r w:rsidR="00686766" w:rsidRPr="000D4E5B">
        <w:t xml:space="preserve">Section </w:t>
      </w:r>
      <w:r w:rsidR="00277942" w:rsidRPr="000D4E5B">
        <w:t>4.</w:t>
      </w:r>
      <w:r w:rsidR="00686766" w:rsidRPr="000D4E5B">
        <w:t xml:space="preserve">5 </w:t>
      </w:r>
      <w:r w:rsidR="00277942" w:rsidRPr="000D4E5B">
        <w:t>- Interactions with other medicines and other forms of interactions</w:t>
      </w:r>
      <w:r w:rsidRPr="000D4E5B">
        <w:t xml:space="preserve">).  In the event that a patient already receiving </w:t>
      </w:r>
      <w:proofErr w:type="spellStart"/>
      <w:r w:rsidRPr="000D4E5B">
        <w:t>olaparib</w:t>
      </w:r>
      <w:proofErr w:type="spellEnd"/>
      <w:r w:rsidRPr="000D4E5B">
        <w:t xml:space="preserve"> requires treatment with a strong </w:t>
      </w:r>
      <w:r w:rsidR="00686766" w:rsidRPr="000D4E5B">
        <w:t xml:space="preserve">or moderate </w:t>
      </w:r>
      <w:r w:rsidRPr="000D4E5B">
        <w:t xml:space="preserve">CYP3A inducer, the prescriber should be aware that the efficacy of </w:t>
      </w:r>
      <w:proofErr w:type="spellStart"/>
      <w:r w:rsidRPr="000D4E5B">
        <w:t>olaparib</w:t>
      </w:r>
      <w:proofErr w:type="spellEnd"/>
      <w:r w:rsidRPr="000D4E5B">
        <w:t xml:space="preserve"> may be substantially reduced (see </w:t>
      </w:r>
      <w:r w:rsidR="00686766" w:rsidRPr="000D4E5B">
        <w:t xml:space="preserve">Section </w:t>
      </w:r>
      <w:r w:rsidR="00BE5BA2" w:rsidRPr="000D4E5B">
        <w:t>4.2 - Dose and method of administration.</w:t>
      </w:r>
      <w:r w:rsidRPr="000D4E5B">
        <w:t>).</w:t>
      </w:r>
    </w:p>
    <w:p w14:paraId="6ACBC89F" w14:textId="77777777" w:rsidR="001A3992" w:rsidRPr="000D4E5B" w:rsidRDefault="001A3992" w:rsidP="00CD331E">
      <w:pPr>
        <w:pStyle w:val="Heading2"/>
        <w:tabs>
          <w:tab w:val="clear" w:pos="1134"/>
          <w:tab w:val="num" w:pos="720"/>
        </w:tabs>
        <w:ind w:left="720" w:hanging="720"/>
      </w:pPr>
      <w:r w:rsidRPr="000D4E5B">
        <w:t>Interactions with other medicines and other forms of interactions</w:t>
      </w:r>
    </w:p>
    <w:p w14:paraId="41CA5AD7" w14:textId="601F9495" w:rsidR="00EC60F8" w:rsidRPr="000D4E5B" w:rsidRDefault="001A3F6E" w:rsidP="001A3F6E">
      <w:pPr>
        <w:pStyle w:val="Paragraph"/>
      </w:pPr>
      <w:r w:rsidRPr="000D4E5B">
        <w:t xml:space="preserve">Clinical studies of </w:t>
      </w:r>
      <w:proofErr w:type="spellStart"/>
      <w:r w:rsidRPr="000D4E5B">
        <w:t>olaparib</w:t>
      </w:r>
      <w:proofErr w:type="spellEnd"/>
      <w:r w:rsidRPr="000D4E5B">
        <w:t xml:space="preserve"> in combination with other anticancer agents, including DNA damaging agents, indicate a potentiation and prolongation of </w:t>
      </w:r>
      <w:proofErr w:type="spellStart"/>
      <w:r w:rsidRPr="000D4E5B">
        <w:t>myelosuppressive</w:t>
      </w:r>
      <w:proofErr w:type="spellEnd"/>
      <w:r w:rsidRPr="000D4E5B">
        <w:t xml:space="preserve"> toxicity.  The recommended LYNPARZA monotherapy dose is not suitable for combination with other </w:t>
      </w:r>
      <w:proofErr w:type="spellStart"/>
      <w:r w:rsidR="00D722F8" w:rsidRPr="000D4E5B">
        <w:t>myelosuppressive</w:t>
      </w:r>
      <w:proofErr w:type="spellEnd"/>
      <w:r w:rsidR="00D722F8" w:rsidRPr="000D4E5B">
        <w:t xml:space="preserve"> </w:t>
      </w:r>
      <w:r w:rsidRPr="000D4E5B">
        <w:t>anticancer agents.</w:t>
      </w:r>
    </w:p>
    <w:p w14:paraId="0B0BC526" w14:textId="681E20AA" w:rsidR="00E45826" w:rsidRPr="000D4E5B" w:rsidRDefault="001A3F6E" w:rsidP="00E45826">
      <w:pPr>
        <w:pStyle w:val="Heading3Unnumbered"/>
      </w:pPr>
      <w:r w:rsidRPr="000D4E5B">
        <w:t xml:space="preserve">Effect of other drugs on </w:t>
      </w:r>
      <w:proofErr w:type="spellStart"/>
      <w:r w:rsidRPr="000D4E5B">
        <w:t>olaparib</w:t>
      </w:r>
      <w:proofErr w:type="spellEnd"/>
    </w:p>
    <w:p w14:paraId="1EA1E45C" w14:textId="505F5B7C" w:rsidR="001A3F6E" w:rsidRPr="000D4E5B" w:rsidRDefault="001A3F6E" w:rsidP="001A3F6E">
      <w:pPr>
        <w:pStyle w:val="Heading4Unnumbered"/>
      </w:pPr>
      <w:r w:rsidRPr="000D4E5B">
        <w:t>Strong and moderate CYP3A inhibitors</w:t>
      </w:r>
    </w:p>
    <w:p w14:paraId="75458F91" w14:textId="52EABB56" w:rsidR="001A3F6E" w:rsidRPr="000D4E5B" w:rsidRDefault="001A3F6E" w:rsidP="00D722F8">
      <w:pPr>
        <w:pStyle w:val="Paragraph"/>
      </w:pPr>
      <w:r w:rsidRPr="000D4E5B">
        <w:t xml:space="preserve">CYP3A4/5 are the isozymes predominantly responsible for the metabolic clearance of </w:t>
      </w:r>
      <w:proofErr w:type="spellStart"/>
      <w:r w:rsidRPr="000D4E5B">
        <w:t>olaparib</w:t>
      </w:r>
      <w:proofErr w:type="spellEnd"/>
      <w:r w:rsidRPr="000D4E5B">
        <w:t xml:space="preserve">.  </w:t>
      </w:r>
      <w:r w:rsidR="00D722F8" w:rsidRPr="000D4E5B">
        <w:t xml:space="preserve">Co-administration </w:t>
      </w:r>
      <w:r w:rsidRPr="000D4E5B">
        <w:t xml:space="preserve">of </w:t>
      </w:r>
      <w:proofErr w:type="spellStart"/>
      <w:r w:rsidRPr="000D4E5B">
        <w:t>olaparib</w:t>
      </w:r>
      <w:proofErr w:type="spellEnd"/>
      <w:r w:rsidRPr="000D4E5B">
        <w:t xml:space="preserve"> with a strong CYP3A inhibitor (</w:t>
      </w:r>
      <w:proofErr w:type="spellStart"/>
      <w:r w:rsidRPr="000D4E5B">
        <w:t>itraconazole</w:t>
      </w:r>
      <w:proofErr w:type="spellEnd"/>
      <w:r w:rsidRPr="000D4E5B">
        <w:t xml:space="preserve">) increased </w:t>
      </w:r>
      <w:proofErr w:type="spellStart"/>
      <w:r w:rsidRPr="000D4E5B">
        <w:t>olaparib</w:t>
      </w:r>
      <w:proofErr w:type="spellEnd"/>
      <w:r w:rsidRPr="000D4E5B">
        <w:t xml:space="preserve"> </w:t>
      </w:r>
      <w:proofErr w:type="spellStart"/>
      <w:r w:rsidRPr="000D4E5B">
        <w:t>Cmax</w:t>
      </w:r>
      <w:proofErr w:type="spellEnd"/>
      <w:r w:rsidRPr="000D4E5B">
        <w:t xml:space="preserve"> by 42% (90% CI: 33% to 52%) and mean AUC by 170% (90% CI: 144% to 197%).  It is therefore recommended that known strong inhibitors of these isozymes are not co-administered with LYNPARZA.  These include but are not limited to inhibitors such as </w:t>
      </w:r>
      <w:proofErr w:type="spellStart"/>
      <w:r w:rsidRPr="000D4E5B">
        <w:t>itraconazole</w:t>
      </w:r>
      <w:proofErr w:type="spellEnd"/>
      <w:r w:rsidRPr="000D4E5B">
        <w:t xml:space="preserve">, clarithromycin, boosted protease inhibitors with ritonavir or </w:t>
      </w:r>
      <w:proofErr w:type="spellStart"/>
      <w:r w:rsidRPr="000D4E5B">
        <w:t>cobicistat</w:t>
      </w:r>
      <w:proofErr w:type="spellEnd"/>
      <w:r w:rsidRPr="000D4E5B">
        <w:t xml:space="preserve">, </w:t>
      </w:r>
      <w:proofErr w:type="spellStart"/>
      <w:r w:rsidRPr="000D4E5B">
        <w:t>indinavir</w:t>
      </w:r>
      <w:proofErr w:type="spellEnd"/>
      <w:r w:rsidRPr="000D4E5B">
        <w:t xml:space="preserve">, </w:t>
      </w:r>
      <w:proofErr w:type="spellStart"/>
      <w:r w:rsidRPr="000D4E5B">
        <w:t>saquinavir</w:t>
      </w:r>
      <w:proofErr w:type="spellEnd"/>
      <w:r w:rsidRPr="000D4E5B">
        <w:t xml:space="preserve"> and </w:t>
      </w:r>
      <w:proofErr w:type="spellStart"/>
      <w:r w:rsidRPr="000D4E5B">
        <w:t>boceprevir</w:t>
      </w:r>
      <w:proofErr w:type="spellEnd"/>
      <w:r w:rsidRPr="000D4E5B">
        <w:t xml:space="preserve"> (see</w:t>
      </w:r>
      <w:r w:rsidR="00643A19" w:rsidRPr="000D4E5B">
        <w:t xml:space="preserve"> </w:t>
      </w:r>
      <w:r w:rsidR="00D722F8" w:rsidRPr="000D4E5B">
        <w:t xml:space="preserve">Section </w:t>
      </w:r>
      <w:r w:rsidR="004834EC" w:rsidRPr="000D4E5B">
        <w:t>4.4 - Special warnings and precautions for use)</w:t>
      </w:r>
      <w:r w:rsidRPr="000D4E5B">
        <w:t>.</w:t>
      </w:r>
    </w:p>
    <w:p w14:paraId="24051C77" w14:textId="7C79DCAF" w:rsidR="001A3F6E" w:rsidRPr="000D4E5B" w:rsidRDefault="001A3F6E" w:rsidP="001A3F6E">
      <w:pPr>
        <w:pStyle w:val="Paragraph"/>
      </w:pPr>
      <w:r w:rsidRPr="000D4E5B">
        <w:t xml:space="preserve">Physiologically-based pharmacokinetic modelling has suggested that moderate CYP3A inhibitors will alter the clearance of </w:t>
      </w:r>
      <w:proofErr w:type="spellStart"/>
      <w:r w:rsidRPr="000D4E5B">
        <w:t>olaparib</w:t>
      </w:r>
      <w:proofErr w:type="spellEnd"/>
      <w:r w:rsidRPr="000D4E5B">
        <w:t xml:space="preserve"> and therefore concomitant use of moderate CYP3A inhibitors such as, but not limited to ciprofloxacin, erythromycin, diltiazem, fluconazole and verapamil is not recommended with LYNPARZA (see </w:t>
      </w:r>
      <w:r w:rsidR="00D722F8" w:rsidRPr="000D4E5B">
        <w:t xml:space="preserve">Section </w:t>
      </w:r>
      <w:r w:rsidR="004834EC" w:rsidRPr="000D4E5B">
        <w:t>4.4 - Special warnings and precautions for use</w:t>
      </w:r>
      <w:r w:rsidRPr="000D4E5B">
        <w:t>).</w:t>
      </w:r>
    </w:p>
    <w:p w14:paraId="70B0C351" w14:textId="5ABF7B58" w:rsidR="001A3F6E" w:rsidRPr="000D4E5B" w:rsidRDefault="001A3F6E" w:rsidP="001A3F6E">
      <w:pPr>
        <w:pStyle w:val="Paragraph"/>
      </w:pPr>
      <w:r w:rsidRPr="000D4E5B">
        <w:t xml:space="preserve">If a strong or moderate CYP3A inhibitor must be co-administered, the dose of LYNPARZA should be reduced (see </w:t>
      </w:r>
      <w:r w:rsidR="00D722F8" w:rsidRPr="000D4E5B">
        <w:t xml:space="preserve">Section </w:t>
      </w:r>
      <w:r w:rsidR="00BE5BA2" w:rsidRPr="000D4E5B">
        <w:t>4.2 - Dose and method of administration.</w:t>
      </w:r>
      <w:r w:rsidRPr="000D4E5B">
        <w:t>).</w:t>
      </w:r>
    </w:p>
    <w:p w14:paraId="6394CFC4" w14:textId="296B5846" w:rsidR="001A3F6E" w:rsidRPr="000D4E5B" w:rsidRDefault="001A3F6E" w:rsidP="001A3F6E">
      <w:pPr>
        <w:pStyle w:val="Paragraph"/>
      </w:pPr>
      <w:r w:rsidRPr="000D4E5B">
        <w:t>Patients should avoid star fruit, grapefruit and Seville oranges because these foods are known to inhibit CYP3A enzymes.</w:t>
      </w:r>
    </w:p>
    <w:p w14:paraId="5D96EA84" w14:textId="2E7FC525" w:rsidR="00E45826" w:rsidRPr="000D4E5B" w:rsidRDefault="001A3F6E" w:rsidP="001A3F6E">
      <w:pPr>
        <w:pStyle w:val="Heading4Unnumbered"/>
      </w:pPr>
      <w:r w:rsidRPr="000D4E5B">
        <w:t>Strong and moderate CYP3A inducers</w:t>
      </w:r>
    </w:p>
    <w:p w14:paraId="76BADF80" w14:textId="17FFCBA7" w:rsidR="001A3F6E" w:rsidRPr="000D4E5B" w:rsidRDefault="00253F02" w:rsidP="00253F02">
      <w:pPr>
        <w:pStyle w:val="Paragraph"/>
        <w:rPr>
          <w:lang w:val="en-AU"/>
        </w:rPr>
      </w:pPr>
      <w:r w:rsidRPr="000D4E5B">
        <w:rPr>
          <w:lang w:val="en-AU"/>
        </w:rPr>
        <w:t xml:space="preserve">A clinical study to evaluate the impact of rifampicin, a known CYP3A inducer has shown that co-administration with </w:t>
      </w:r>
      <w:proofErr w:type="spellStart"/>
      <w:r w:rsidRPr="000D4E5B">
        <w:rPr>
          <w:lang w:val="en-AU"/>
        </w:rPr>
        <w:t>olaparib</w:t>
      </w:r>
      <w:proofErr w:type="spellEnd"/>
      <w:r w:rsidRPr="000D4E5B">
        <w:rPr>
          <w:lang w:val="en-AU"/>
        </w:rPr>
        <w:t xml:space="preserve"> decreased </w:t>
      </w:r>
      <w:proofErr w:type="spellStart"/>
      <w:r w:rsidRPr="000D4E5B">
        <w:rPr>
          <w:lang w:val="en-AU"/>
        </w:rPr>
        <w:t>olaparib</w:t>
      </w:r>
      <w:proofErr w:type="spellEnd"/>
      <w:r w:rsidRPr="000D4E5B">
        <w:rPr>
          <w:lang w:val="en-AU"/>
        </w:rPr>
        <w:t xml:space="preserve"> </w:t>
      </w:r>
      <w:proofErr w:type="spellStart"/>
      <w:r w:rsidRPr="000D4E5B">
        <w:rPr>
          <w:lang w:val="en-AU"/>
        </w:rPr>
        <w:t>C</w:t>
      </w:r>
      <w:r w:rsidRPr="000D4E5B">
        <w:rPr>
          <w:vertAlign w:val="subscript"/>
          <w:lang w:val="en-AU"/>
        </w:rPr>
        <w:t>max</w:t>
      </w:r>
      <w:proofErr w:type="spellEnd"/>
      <w:r w:rsidRPr="000D4E5B">
        <w:rPr>
          <w:lang w:val="en-AU"/>
        </w:rPr>
        <w:t xml:space="preserve"> by 71% (90% CI: 76% to 67%) and mean AUC by 87% (90% CI: 89% to 84%).  It is therefore possible that CYP3A inducers could substantially diminish the clinical efficacy of LYNPARZA and as such, concomitant use of strong inducers such as, but not limited to phenytoin, </w:t>
      </w:r>
      <w:proofErr w:type="spellStart"/>
      <w:r w:rsidRPr="000D4E5B">
        <w:rPr>
          <w:lang w:val="en-AU"/>
        </w:rPr>
        <w:t>rifabutin</w:t>
      </w:r>
      <w:proofErr w:type="spellEnd"/>
      <w:r w:rsidRPr="000D4E5B">
        <w:rPr>
          <w:lang w:val="en-AU"/>
        </w:rPr>
        <w:t xml:space="preserve">, rifampicin, carbamazepine, </w:t>
      </w:r>
      <w:proofErr w:type="spellStart"/>
      <w:r w:rsidRPr="000D4E5B">
        <w:rPr>
          <w:lang w:val="en-AU"/>
        </w:rPr>
        <w:t>nevirapine</w:t>
      </w:r>
      <w:proofErr w:type="spellEnd"/>
      <w:r w:rsidRPr="000D4E5B">
        <w:rPr>
          <w:lang w:val="en-AU"/>
        </w:rPr>
        <w:t xml:space="preserve">, phenobarbital and St John's </w:t>
      </w:r>
      <w:proofErr w:type="spellStart"/>
      <w:r w:rsidRPr="000D4E5B">
        <w:rPr>
          <w:lang w:val="en-AU"/>
        </w:rPr>
        <w:t>Wort</w:t>
      </w:r>
      <w:proofErr w:type="spellEnd"/>
      <w:r w:rsidRPr="000D4E5B">
        <w:rPr>
          <w:lang w:val="en-AU"/>
        </w:rPr>
        <w:t xml:space="preserve"> (</w:t>
      </w:r>
      <w:proofErr w:type="spellStart"/>
      <w:r w:rsidRPr="000D4E5B">
        <w:rPr>
          <w:i/>
          <w:lang w:val="en-AU"/>
        </w:rPr>
        <w:t>Hypericum</w:t>
      </w:r>
      <w:proofErr w:type="spellEnd"/>
      <w:r w:rsidRPr="000D4E5B">
        <w:rPr>
          <w:i/>
          <w:lang w:val="en-AU"/>
        </w:rPr>
        <w:t xml:space="preserve"> </w:t>
      </w:r>
      <w:proofErr w:type="spellStart"/>
      <w:r w:rsidRPr="000D4E5B">
        <w:rPr>
          <w:i/>
          <w:lang w:val="en-AU"/>
        </w:rPr>
        <w:t>perforatum</w:t>
      </w:r>
      <w:proofErr w:type="spellEnd"/>
      <w:r w:rsidRPr="000D4E5B">
        <w:rPr>
          <w:lang w:val="en-AU"/>
        </w:rPr>
        <w:t>) is not recommended with LYNPARZA.</w:t>
      </w:r>
    </w:p>
    <w:p w14:paraId="1C754878" w14:textId="742E0951" w:rsidR="00253F02" w:rsidRPr="000D4E5B" w:rsidRDefault="00253F02" w:rsidP="00253F02">
      <w:pPr>
        <w:pStyle w:val="Paragraph"/>
      </w:pPr>
      <w:r w:rsidRPr="000D4E5B">
        <w:t xml:space="preserve">Physiologically-based pharmacokinetic modelling has suggested that moderate CYP3A inducers will decrease </w:t>
      </w:r>
      <w:proofErr w:type="spellStart"/>
      <w:r w:rsidRPr="000D4E5B">
        <w:t>olaparib</w:t>
      </w:r>
      <w:proofErr w:type="spellEnd"/>
      <w:r w:rsidRPr="000D4E5B">
        <w:t xml:space="preserve"> AUC by approximately </w:t>
      </w:r>
      <w:r w:rsidR="00D722F8" w:rsidRPr="000D4E5B">
        <w:t>60</w:t>
      </w:r>
      <w:r w:rsidRPr="000D4E5B">
        <w:t xml:space="preserve">% and therefore concomitant use of moderate CYP3A inducers such as, but not limited to, </w:t>
      </w:r>
      <w:proofErr w:type="spellStart"/>
      <w:r w:rsidRPr="000D4E5B">
        <w:t>bosentan</w:t>
      </w:r>
      <w:proofErr w:type="spellEnd"/>
      <w:r w:rsidRPr="000D4E5B">
        <w:t xml:space="preserve">, </w:t>
      </w:r>
      <w:proofErr w:type="spellStart"/>
      <w:r w:rsidRPr="000D4E5B">
        <w:t>efavirenz</w:t>
      </w:r>
      <w:proofErr w:type="spellEnd"/>
      <w:r w:rsidRPr="000D4E5B">
        <w:t xml:space="preserve">, </w:t>
      </w:r>
      <w:proofErr w:type="spellStart"/>
      <w:r w:rsidRPr="000D4E5B">
        <w:t>etravirine</w:t>
      </w:r>
      <w:proofErr w:type="spellEnd"/>
      <w:r w:rsidRPr="000D4E5B">
        <w:t xml:space="preserve"> and </w:t>
      </w:r>
      <w:proofErr w:type="spellStart"/>
      <w:r w:rsidRPr="000D4E5B">
        <w:t>modafinil</w:t>
      </w:r>
      <w:proofErr w:type="spellEnd"/>
      <w:r w:rsidRPr="000D4E5B">
        <w:t xml:space="preserve"> is not recommended with LYNPARZA.  If a moderate CYP3A inducer must be co-administered, the prescriber should be aware of a potential for decreased efficacy of LYNPARZA (</w:t>
      </w:r>
      <w:r w:rsidR="00E12D6A" w:rsidRPr="000D4E5B">
        <w:t>s</w:t>
      </w:r>
      <w:r w:rsidR="004834EC" w:rsidRPr="000D4E5B">
        <w:t xml:space="preserve">ee </w:t>
      </w:r>
      <w:r w:rsidR="00E12D6A" w:rsidRPr="000D4E5B">
        <w:t xml:space="preserve">Section </w:t>
      </w:r>
      <w:r w:rsidR="004834EC" w:rsidRPr="000D4E5B">
        <w:t>4.4 - Special warnings and precautions for use</w:t>
      </w:r>
      <w:r w:rsidRPr="000D4E5B">
        <w:t>).</w:t>
      </w:r>
    </w:p>
    <w:p w14:paraId="6604AE39" w14:textId="7FE2E7F3" w:rsidR="00253F02" w:rsidRPr="000D4E5B" w:rsidRDefault="00253F02" w:rsidP="00253F02">
      <w:pPr>
        <w:pStyle w:val="Heading3Unnumbered"/>
      </w:pPr>
      <w:r w:rsidRPr="000D4E5B">
        <w:t xml:space="preserve">Effect of </w:t>
      </w:r>
      <w:proofErr w:type="spellStart"/>
      <w:r w:rsidRPr="000D4E5B">
        <w:t>olaparib</w:t>
      </w:r>
      <w:proofErr w:type="spellEnd"/>
      <w:r w:rsidRPr="000D4E5B">
        <w:t xml:space="preserve"> on other drugs</w:t>
      </w:r>
    </w:p>
    <w:p w14:paraId="3EE958C7" w14:textId="0B021C2E" w:rsidR="00253F02" w:rsidRPr="000D4E5B" w:rsidRDefault="00253F02" w:rsidP="00253F02">
      <w:pPr>
        <w:pStyle w:val="Heading4Unnumbered"/>
      </w:pPr>
      <w:r w:rsidRPr="000D4E5B">
        <w:t>CYP interactions</w:t>
      </w:r>
    </w:p>
    <w:p w14:paraId="3A089C64" w14:textId="22A01D96" w:rsidR="00253F02" w:rsidRPr="000D4E5B" w:rsidRDefault="001E16E9" w:rsidP="00194D6B">
      <w:pPr>
        <w:pStyle w:val="Paragraph"/>
      </w:pPr>
      <w:r w:rsidRPr="000D4E5B">
        <w:t xml:space="preserve">Both induction and inhibition of CYP3A4 has been shown </w:t>
      </w:r>
      <w:r w:rsidRPr="000D4E5B">
        <w:rPr>
          <w:i/>
        </w:rPr>
        <w:t>in vitro,</w:t>
      </w:r>
      <w:r w:rsidRPr="000D4E5B">
        <w:t xml:space="preserve"> however, physiologically based pharmacokinetic modelling simulations and clinical data suggest that the </w:t>
      </w:r>
      <w:bookmarkStart w:id="14" w:name="_Hlk498691388"/>
      <w:r w:rsidRPr="000D4E5B">
        <w:t xml:space="preserve">net effect of </w:t>
      </w:r>
      <w:proofErr w:type="spellStart"/>
      <w:r w:rsidRPr="000D4E5B">
        <w:t>olaparib</w:t>
      </w:r>
      <w:proofErr w:type="spellEnd"/>
      <w:r w:rsidRPr="000D4E5B">
        <w:t xml:space="preserve"> </w:t>
      </w:r>
      <w:r w:rsidRPr="000D4E5B">
        <w:rPr>
          <w:i/>
        </w:rPr>
        <w:t>in vivo</w:t>
      </w:r>
      <w:r w:rsidRPr="000D4E5B">
        <w:t xml:space="preserve"> is weak inhibition of CYP3A</w:t>
      </w:r>
      <w:bookmarkEnd w:id="14"/>
      <w:r w:rsidRPr="000D4E5B">
        <w:t xml:space="preserve">.  </w:t>
      </w:r>
      <w:r w:rsidR="00194D6B" w:rsidRPr="000D4E5B">
        <w:t xml:space="preserve">Therefore, caution </w:t>
      </w:r>
      <w:r w:rsidR="00253F02" w:rsidRPr="000D4E5B">
        <w:t xml:space="preserve">should be exercised when sensitive CYP3A substrates or substrates with a narrow therapeutic margin (e.g. simvastatin, ciclosporin, midazolam ergot alkaloids, </w:t>
      </w:r>
      <w:proofErr w:type="spellStart"/>
      <w:r w:rsidR="00253F02" w:rsidRPr="000D4E5B">
        <w:t>sirolimus</w:t>
      </w:r>
      <w:proofErr w:type="spellEnd"/>
      <w:r w:rsidR="00253F02" w:rsidRPr="000D4E5B">
        <w:t xml:space="preserve">, fentanyl, tacrolimus and quetiapine) are combined with LYNPARZA. </w:t>
      </w:r>
      <w:r w:rsidR="005A4B71" w:rsidRPr="000D4E5B">
        <w:t xml:space="preserve"> </w:t>
      </w:r>
      <w:r w:rsidR="00253F02" w:rsidRPr="000D4E5B">
        <w:t>Appropriate clinical monitoring is recommended for patients receiving CYP3A substrates with a narrow therapeutic margin concomitantly with LYNPARZA.</w:t>
      </w:r>
    </w:p>
    <w:p w14:paraId="6AFFC742" w14:textId="65F73715" w:rsidR="00253F02" w:rsidRPr="000D4E5B" w:rsidRDefault="00253F02" w:rsidP="00253F02">
      <w:pPr>
        <w:pStyle w:val="Paragraph"/>
      </w:pPr>
      <w:r w:rsidRPr="000D4E5B">
        <w:t>Induction of CYP1A2</w:t>
      </w:r>
      <w:r w:rsidR="00194D6B" w:rsidRPr="000D4E5B">
        <w:t xml:space="preserve"> and </w:t>
      </w:r>
      <w:r w:rsidRPr="000D4E5B">
        <w:t xml:space="preserve">2B6 has been shown </w:t>
      </w:r>
      <w:r w:rsidRPr="000D4E5B">
        <w:rPr>
          <w:i/>
        </w:rPr>
        <w:t>in vitro</w:t>
      </w:r>
      <w:r w:rsidRPr="000D4E5B">
        <w:t xml:space="preserve">. </w:t>
      </w:r>
      <w:r w:rsidR="005A4B71" w:rsidRPr="000D4E5B">
        <w:t xml:space="preserve"> </w:t>
      </w:r>
      <w:r w:rsidRPr="000D4E5B">
        <w:t>Therefore, LYNPARZA upon co-administration may reduce the exposure to substrates of these metabolic enzymes.</w:t>
      </w:r>
    </w:p>
    <w:p w14:paraId="4DF73C4F" w14:textId="0300BFA6" w:rsidR="00876C37" w:rsidRPr="000D4E5B" w:rsidRDefault="00876C37" w:rsidP="00876C37">
      <w:pPr>
        <w:pStyle w:val="Paragraph"/>
      </w:pPr>
      <w:r w:rsidRPr="000D4E5B">
        <w:rPr>
          <w:lang w:val="en-AU"/>
        </w:rPr>
        <w:t xml:space="preserve">Olaparib produced little/no direct inhibition </w:t>
      </w:r>
      <w:r w:rsidRPr="000D4E5B">
        <w:rPr>
          <w:i/>
          <w:iCs/>
          <w:lang w:val="en-AU"/>
        </w:rPr>
        <w:t xml:space="preserve">in vitro </w:t>
      </w:r>
      <w:r w:rsidRPr="000D4E5B">
        <w:rPr>
          <w:lang w:val="en-AU"/>
        </w:rPr>
        <w:t xml:space="preserve">of UGT2B7 or CYPs 1A2, 2A6, 2B6, 2C8, 2C9, 2C19, 2D6 or 2E1. Olaparib was not a time dependent inhibitor of CYPs 1A2, 2A6, 2B6, 2C8, 2C9, 2D6 or 2E1. Olaparib inhibited UGT1A1 </w:t>
      </w:r>
      <w:r w:rsidRPr="000D4E5B">
        <w:rPr>
          <w:i/>
          <w:iCs/>
          <w:lang w:val="en-AU"/>
        </w:rPr>
        <w:t>in vitro</w:t>
      </w:r>
      <w:r w:rsidRPr="000D4E5B">
        <w:rPr>
          <w:lang w:val="en-AU"/>
        </w:rPr>
        <w:t xml:space="preserve">.  Based on evaluation using enzyme activity, </w:t>
      </w:r>
      <w:proofErr w:type="spellStart"/>
      <w:r w:rsidRPr="000D4E5B">
        <w:rPr>
          <w:lang w:val="en-AU"/>
        </w:rPr>
        <w:t>olaparib</w:t>
      </w:r>
      <w:proofErr w:type="spellEnd"/>
      <w:r w:rsidRPr="000D4E5B">
        <w:rPr>
          <w:lang w:val="en-AU"/>
        </w:rPr>
        <w:t xml:space="preserve"> was not an inducer of CYP2C9 or 2C19.</w:t>
      </w:r>
    </w:p>
    <w:p w14:paraId="50130BBF" w14:textId="03A83AD8" w:rsidR="005A4B71" w:rsidRPr="000D4E5B" w:rsidRDefault="005A4B71" w:rsidP="005A4B71">
      <w:pPr>
        <w:pStyle w:val="Heading4Unnumbered"/>
      </w:pPr>
      <w:r w:rsidRPr="000D4E5B">
        <w:t>Drug transporter interactions</w:t>
      </w:r>
    </w:p>
    <w:p w14:paraId="23FB9A2F" w14:textId="2CFF057A" w:rsidR="005A4B71" w:rsidRPr="000D4E5B" w:rsidRDefault="00876C37" w:rsidP="005A4B71">
      <w:pPr>
        <w:pStyle w:val="Paragraph"/>
      </w:pPr>
      <w:bookmarkStart w:id="15" w:name="_Hlk513036997"/>
      <w:r w:rsidRPr="000D4E5B">
        <w:rPr>
          <w:i/>
        </w:rPr>
        <w:t xml:space="preserve">In vitro, </w:t>
      </w:r>
      <w:proofErr w:type="spellStart"/>
      <w:r w:rsidRPr="000D4E5B">
        <w:t>olaparib</w:t>
      </w:r>
      <w:proofErr w:type="spellEnd"/>
      <w:r w:rsidRPr="000D4E5B">
        <w:t xml:space="preserve"> inhibits the efflux transporter P-</w:t>
      </w:r>
      <w:proofErr w:type="spellStart"/>
      <w:r w:rsidRPr="000D4E5B">
        <w:t>gp</w:t>
      </w:r>
      <w:proofErr w:type="spellEnd"/>
      <w:r w:rsidRPr="000D4E5B">
        <w:t xml:space="preserve"> (IC50=76 </w:t>
      </w:r>
      <w:proofErr w:type="spellStart"/>
      <w:r w:rsidRPr="000D4E5B">
        <w:t>μM</w:t>
      </w:r>
      <w:proofErr w:type="spellEnd"/>
      <w:r w:rsidRPr="000D4E5B">
        <w:t>).  Therefore, it cannot be excluded that LYNPARZA may cause clinically relevant drug interactions with substrates of P-</w:t>
      </w:r>
      <w:proofErr w:type="spellStart"/>
      <w:r w:rsidRPr="000D4E5B">
        <w:t>gp</w:t>
      </w:r>
      <w:proofErr w:type="spellEnd"/>
      <w:r w:rsidRPr="000D4E5B">
        <w:t xml:space="preserve"> (e.g. simvastatin, pravastatin, dabigatran, digoxin, colchicine).  Appropriate clinical monitoring is recommended for patients receiving this type of medication concomitantly.  The potential for </w:t>
      </w:r>
      <w:proofErr w:type="spellStart"/>
      <w:r w:rsidRPr="000D4E5B">
        <w:t>olaparib</w:t>
      </w:r>
      <w:proofErr w:type="spellEnd"/>
      <w:r w:rsidRPr="000D4E5B">
        <w:t xml:space="preserve"> to induce P-</w:t>
      </w:r>
      <w:proofErr w:type="spellStart"/>
      <w:r w:rsidRPr="000D4E5B">
        <w:t>gp</w:t>
      </w:r>
      <w:proofErr w:type="spellEnd"/>
      <w:r w:rsidRPr="000D4E5B">
        <w:t xml:space="preserve"> has not been evaluated.</w:t>
      </w:r>
      <w:r w:rsidRPr="000D4E5B">
        <w:rPr>
          <w:i/>
        </w:rPr>
        <w:t xml:space="preserve"> </w:t>
      </w:r>
      <w:bookmarkEnd w:id="15"/>
    </w:p>
    <w:p w14:paraId="2DF4CB4E" w14:textId="696CD026" w:rsidR="005A4B71" w:rsidRPr="000D4E5B" w:rsidRDefault="005A4B71" w:rsidP="005A4B71">
      <w:pPr>
        <w:pStyle w:val="Paragraph"/>
      </w:pPr>
      <w:r w:rsidRPr="000D4E5B">
        <w:t xml:space="preserve">Olaparib has also been shown to be an </w:t>
      </w:r>
      <w:r w:rsidRPr="000D4E5B">
        <w:rPr>
          <w:i/>
        </w:rPr>
        <w:t>in vitro</w:t>
      </w:r>
      <w:r w:rsidRPr="000D4E5B">
        <w:t xml:space="preserve"> inhibitor of OATP1B1, </w:t>
      </w:r>
      <w:bookmarkStart w:id="16" w:name="_Hlk513037145"/>
      <w:r w:rsidR="00876C37" w:rsidRPr="000D4E5B">
        <w:t>OCT1</w:t>
      </w:r>
      <w:bookmarkEnd w:id="16"/>
      <w:r w:rsidRPr="000D4E5B">
        <w:t xml:space="preserve">, OCT2, OAT3, MATE1 and MATE2K.  The clinical relevance of these findings is unknown, however, it cannot be excluded that LYNPARZA may increase the exposure to substrates of OATP1B1 (e.g. </w:t>
      </w:r>
      <w:proofErr w:type="spellStart"/>
      <w:r w:rsidRPr="000D4E5B">
        <w:t>bosentan</w:t>
      </w:r>
      <w:proofErr w:type="spellEnd"/>
      <w:r w:rsidRPr="000D4E5B">
        <w:t xml:space="preserve">, </w:t>
      </w:r>
      <w:proofErr w:type="spellStart"/>
      <w:r w:rsidRPr="000D4E5B">
        <w:t>glibenclamide</w:t>
      </w:r>
      <w:proofErr w:type="spellEnd"/>
      <w:r w:rsidRPr="000D4E5B">
        <w:t xml:space="preserve">, </w:t>
      </w:r>
      <w:proofErr w:type="spellStart"/>
      <w:r w:rsidRPr="000D4E5B">
        <w:t>repaglinide</w:t>
      </w:r>
      <w:proofErr w:type="spellEnd"/>
      <w:r w:rsidRPr="000D4E5B">
        <w:t>, statins, and valsartan), OCT1 (e.g. metformin), OCT2 (e.g. serum creatinine), OAT3 (e.g. furosemide and methotrexate), MATE1 (e.g. metformin and cisplatin) and MATE2K (e.g. metformin).  In particular, caution should be exercised if LYNPARZA is administered in combination with any statin.</w:t>
      </w:r>
    </w:p>
    <w:p w14:paraId="4D4F4305" w14:textId="1F045BE0" w:rsidR="00876C37" w:rsidRPr="000D4E5B" w:rsidRDefault="00876C37" w:rsidP="00876C37">
      <w:pPr>
        <w:pStyle w:val="Paragraph"/>
        <w:rPr>
          <w:i/>
        </w:rPr>
      </w:pPr>
      <w:r w:rsidRPr="000D4E5B">
        <w:rPr>
          <w:i/>
        </w:rPr>
        <w:t xml:space="preserve">In vitro </w:t>
      </w:r>
      <w:r w:rsidRPr="000D4E5B">
        <w:t xml:space="preserve">data also show that </w:t>
      </w:r>
      <w:proofErr w:type="spellStart"/>
      <w:r w:rsidRPr="000D4E5B">
        <w:t>olaparib</w:t>
      </w:r>
      <w:proofErr w:type="spellEnd"/>
      <w:r w:rsidRPr="000D4E5B">
        <w:t xml:space="preserve"> is not a substrate for OATP1B1, OATP1B3, OCT1, BCRP or MRP2, is a weak inhibitor of BCRP and not an inhibitor of OATP1B3, OAT1 or MRP2.</w:t>
      </w:r>
    </w:p>
    <w:p w14:paraId="01AFAE23" w14:textId="77777777" w:rsidR="001A3992" w:rsidRPr="000D4E5B" w:rsidRDefault="001A3992" w:rsidP="00771E3F">
      <w:pPr>
        <w:pStyle w:val="Heading2"/>
        <w:tabs>
          <w:tab w:val="clear" w:pos="1134"/>
          <w:tab w:val="num" w:pos="720"/>
        </w:tabs>
        <w:ind w:left="720" w:hanging="720"/>
      </w:pPr>
      <w:r w:rsidRPr="000D4E5B">
        <w:t>Fer</w:t>
      </w:r>
      <w:r w:rsidR="00EC60F8" w:rsidRPr="000D4E5B">
        <w:t>tility, pregnancy and lactation</w:t>
      </w:r>
    </w:p>
    <w:p w14:paraId="72131B2C" w14:textId="77777777" w:rsidR="001A3992" w:rsidRPr="000D4E5B" w:rsidRDefault="001A3992" w:rsidP="0026491B">
      <w:pPr>
        <w:pStyle w:val="Heading3Unnumbered"/>
      </w:pPr>
      <w:r w:rsidRPr="000D4E5B">
        <w:t>Effects on fertility</w:t>
      </w:r>
    </w:p>
    <w:p w14:paraId="6206598C" w14:textId="0F9D9F4F" w:rsidR="00446EDD" w:rsidRPr="000D4E5B" w:rsidRDefault="00086411" w:rsidP="00086411">
      <w:pPr>
        <w:pStyle w:val="Paragraph"/>
      </w:pPr>
      <w:r w:rsidRPr="000D4E5B">
        <w:t xml:space="preserve">Olaparib had no effect on fertility in male rats.  In a female fertility study in rats, extended oestrus was observed in some animals although mating performance and fertility was not affected.  </w:t>
      </w:r>
      <w:proofErr w:type="spellStart"/>
      <w:r w:rsidRPr="000D4E5B">
        <w:t>Embryofoetal</w:t>
      </w:r>
      <w:proofErr w:type="spellEnd"/>
      <w:r w:rsidRPr="000D4E5B">
        <w:t xml:space="preserve"> survival was reduced in this study.  Exposures achieved in these studies were subclinical and the full effects on fertility may not have been revealed.</w:t>
      </w:r>
    </w:p>
    <w:p w14:paraId="28A645B9" w14:textId="3D31282E" w:rsidR="001A3992" w:rsidRPr="000D4E5B" w:rsidRDefault="00446EDD" w:rsidP="0026491B">
      <w:pPr>
        <w:pStyle w:val="Heading3Unnumbered"/>
      </w:pPr>
      <w:r w:rsidRPr="000D4E5B">
        <w:t xml:space="preserve">Use in pregnancy </w:t>
      </w:r>
      <w:r w:rsidR="00E45826" w:rsidRPr="000D4E5B">
        <w:t xml:space="preserve">– Category </w:t>
      </w:r>
      <w:r w:rsidR="00086411" w:rsidRPr="000D4E5B">
        <w:t>D</w:t>
      </w:r>
    </w:p>
    <w:p w14:paraId="2C763879" w14:textId="77EB6575" w:rsidR="00086411" w:rsidRPr="000D4E5B" w:rsidRDefault="00086411" w:rsidP="00086411">
      <w:pPr>
        <w:pStyle w:val="Paragraph"/>
      </w:pPr>
      <w:r w:rsidRPr="000D4E5B">
        <w:t xml:space="preserve">Based on its mechanism of action (PARP inhibition), LYNPARZA could cause foetal harm when administered to a pregnant woman. </w:t>
      </w:r>
      <w:r w:rsidR="005C05E8" w:rsidRPr="000D4E5B">
        <w:t xml:space="preserve"> </w:t>
      </w:r>
      <w:r w:rsidRPr="000D4E5B">
        <w:t xml:space="preserve">Studies in rats have shown that </w:t>
      </w:r>
      <w:proofErr w:type="spellStart"/>
      <w:r w:rsidRPr="000D4E5B">
        <w:t>olaparib</w:t>
      </w:r>
      <w:proofErr w:type="spellEnd"/>
      <w:r w:rsidRPr="000D4E5B">
        <w:t xml:space="preserve"> causes</w:t>
      </w:r>
      <w:r w:rsidR="005C05E8" w:rsidRPr="000D4E5B">
        <w:t xml:space="preserve"> </w:t>
      </w:r>
      <w:proofErr w:type="spellStart"/>
      <w:r w:rsidRPr="000D4E5B">
        <w:t>embryofoetal</w:t>
      </w:r>
      <w:proofErr w:type="spellEnd"/>
      <w:r w:rsidRPr="000D4E5B">
        <w:t xml:space="preserve"> lethality and induces major foetal malformations (major eye and vertebral/rib</w:t>
      </w:r>
      <w:r w:rsidR="005C05E8" w:rsidRPr="000D4E5B">
        <w:t xml:space="preserve"> </w:t>
      </w:r>
      <w:r w:rsidRPr="000D4E5B">
        <w:t>malformations) at exposures below those expected at the recommended human dose of</w:t>
      </w:r>
      <w:r w:rsidR="005C05E8" w:rsidRPr="000D4E5B">
        <w:t xml:space="preserve"> </w:t>
      </w:r>
      <w:r w:rsidR="00F67C7F" w:rsidRPr="000D4E5B">
        <w:t>300</w:t>
      </w:r>
      <w:r w:rsidRPr="000D4E5B">
        <w:t xml:space="preserve"> mg twice daily.</w:t>
      </w:r>
    </w:p>
    <w:p w14:paraId="05855A0C" w14:textId="7B572D9B" w:rsidR="00086411" w:rsidRPr="000D4E5B" w:rsidRDefault="00086411" w:rsidP="00086411">
      <w:pPr>
        <w:pStyle w:val="Paragraph"/>
      </w:pPr>
      <w:r w:rsidRPr="000D4E5B">
        <w:t>LYNPARZA should not be used during pregnancy due to the teratogenic and genotoxic</w:t>
      </w:r>
      <w:r w:rsidR="005C05E8" w:rsidRPr="000D4E5B">
        <w:t xml:space="preserve"> </w:t>
      </w:r>
      <w:r w:rsidRPr="000D4E5B">
        <w:t xml:space="preserve">potential of </w:t>
      </w:r>
      <w:proofErr w:type="spellStart"/>
      <w:r w:rsidRPr="000D4E5B">
        <w:t>olaparib</w:t>
      </w:r>
      <w:proofErr w:type="spellEnd"/>
      <w:r w:rsidRPr="000D4E5B">
        <w:t xml:space="preserve">. </w:t>
      </w:r>
      <w:r w:rsidR="005C05E8" w:rsidRPr="000D4E5B">
        <w:t xml:space="preserve"> </w:t>
      </w:r>
      <w:r w:rsidR="009B7DD9" w:rsidRPr="000D4E5B">
        <w:t xml:space="preserve">Female partners of male patients taking LYNPARZA should also avoid pregnancy.  </w:t>
      </w:r>
      <w:r w:rsidRPr="000D4E5B">
        <w:t>No studies have been conducted in pregnant women.</w:t>
      </w:r>
    </w:p>
    <w:p w14:paraId="038246A9" w14:textId="3C7A62B2" w:rsidR="00086411" w:rsidRPr="000D4E5B" w:rsidRDefault="00086411" w:rsidP="00086411">
      <w:pPr>
        <w:pStyle w:val="Paragraph"/>
      </w:pPr>
      <w:r w:rsidRPr="000D4E5B">
        <w:t xml:space="preserve">If a </w:t>
      </w:r>
      <w:r w:rsidR="009B7DD9" w:rsidRPr="000D4E5B">
        <w:t xml:space="preserve">female </w:t>
      </w:r>
      <w:r w:rsidRPr="000D4E5B">
        <w:t>patient</w:t>
      </w:r>
      <w:r w:rsidR="009B7DD9" w:rsidRPr="000D4E5B">
        <w:rPr>
          <w:lang w:val="en-AU"/>
        </w:rPr>
        <w:t xml:space="preserve"> or female partner of a male patient receiving LYNPARZA</w:t>
      </w:r>
      <w:r w:rsidRPr="000D4E5B">
        <w:t xml:space="preserve"> becomes pregnant, she should be informed of the</w:t>
      </w:r>
      <w:r w:rsidR="005C05E8" w:rsidRPr="000D4E5B">
        <w:t xml:space="preserve"> </w:t>
      </w:r>
      <w:r w:rsidRPr="000D4E5B">
        <w:t>potential hazard to the foetus or potential risk of loss of the pregnancy.</w:t>
      </w:r>
    </w:p>
    <w:p w14:paraId="0DCD9956" w14:textId="64B22FDD" w:rsidR="00446EDD" w:rsidRPr="000D4E5B" w:rsidRDefault="00086411" w:rsidP="00F67C7F">
      <w:pPr>
        <w:pStyle w:val="Paragraph"/>
      </w:pPr>
      <w:r w:rsidRPr="000D4E5B">
        <w:t>Women of child-bearing potential must use effective contraception during therapy and for</w:t>
      </w:r>
      <w:r w:rsidR="005C05E8" w:rsidRPr="000D4E5B">
        <w:t xml:space="preserve"> </w:t>
      </w:r>
      <w:r w:rsidRPr="000D4E5B">
        <w:t>1 month after receiving the last dose of LYNPARZA.</w:t>
      </w:r>
      <w:r w:rsidR="005C05E8" w:rsidRPr="000D4E5B">
        <w:t xml:space="preserve"> </w:t>
      </w:r>
      <w:r w:rsidRPr="000D4E5B">
        <w:t xml:space="preserve"> A pregnancy test should be performed</w:t>
      </w:r>
      <w:r w:rsidR="005C05E8" w:rsidRPr="000D4E5B">
        <w:t xml:space="preserve"> </w:t>
      </w:r>
      <w:r w:rsidRPr="000D4E5B">
        <w:t xml:space="preserve">on all women </w:t>
      </w:r>
      <w:r w:rsidR="009B7DD9" w:rsidRPr="000D4E5B">
        <w:t xml:space="preserve">of child bearing potential </w:t>
      </w:r>
      <w:r w:rsidRPr="000D4E5B">
        <w:t>prior to treatment, and pregnancy tests should be performed</w:t>
      </w:r>
      <w:r w:rsidR="005C05E8" w:rsidRPr="000D4E5B">
        <w:t xml:space="preserve"> </w:t>
      </w:r>
      <w:r w:rsidRPr="000D4E5B">
        <w:t>at regular intervals during treatment and at one month after receiving the last dose.</w:t>
      </w:r>
    </w:p>
    <w:p w14:paraId="5398E969" w14:textId="77777777" w:rsidR="009B7DD9" w:rsidRPr="000D4E5B" w:rsidRDefault="009B7DD9" w:rsidP="009B7DD9">
      <w:pPr>
        <w:pStyle w:val="Paragraph"/>
      </w:pPr>
      <w:r w:rsidRPr="000D4E5B">
        <w:t>Male patients and their female partners of childbearing potential should be advised that they must use effective contraception during LYNPARZA treatment and for 3 months after receiving the last dose of LYNPARZA.</w:t>
      </w:r>
    </w:p>
    <w:p w14:paraId="4EFAB837" w14:textId="7EA22766" w:rsidR="009B7DD9" w:rsidRPr="000D4E5B" w:rsidRDefault="009B7DD9" w:rsidP="009B7DD9">
      <w:pPr>
        <w:pStyle w:val="Paragraph"/>
      </w:pPr>
      <w:r w:rsidRPr="000D4E5B">
        <w:rPr>
          <w:lang w:val="en-AU"/>
        </w:rPr>
        <w:t xml:space="preserve">It is not known whether </w:t>
      </w:r>
      <w:proofErr w:type="spellStart"/>
      <w:r w:rsidRPr="000D4E5B">
        <w:rPr>
          <w:lang w:val="en-AU"/>
        </w:rPr>
        <w:t>olaparib</w:t>
      </w:r>
      <w:proofErr w:type="spellEnd"/>
      <w:r w:rsidRPr="000D4E5B">
        <w:rPr>
          <w:lang w:val="en-AU"/>
        </w:rPr>
        <w:t xml:space="preserve"> or its metabolites are found in seminal fluid.  Male patients must use a condom during therapy and for 3 months after receiving the last dose of LYNPARZA when having sexual intercourse with a pregnant woman or with a woman of childbearing potential.  Female partners of male patients must also use effective contraception if they are of childbearing potential.  Male patients should not donate sperm during therapy and for 3 months after receiving the last dose of LYNPARZA.</w:t>
      </w:r>
    </w:p>
    <w:p w14:paraId="23802487" w14:textId="77777777" w:rsidR="001A3992" w:rsidRPr="000D4E5B" w:rsidRDefault="00446EDD" w:rsidP="0026491B">
      <w:pPr>
        <w:pStyle w:val="Heading3Unnumbered"/>
      </w:pPr>
      <w:r w:rsidRPr="000D4E5B">
        <w:t>Use in lactation</w:t>
      </w:r>
    </w:p>
    <w:p w14:paraId="06060FEF" w14:textId="00DD9C82" w:rsidR="00446EDD" w:rsidRPr="000D4E5B" w:rsidRDefault="005C05E8" w:rsidP="005C05E8">
      <w:pPr>
        <w:pStyle w:val="Paragraph"/>
      </w:pPr>
      <w:r w:rsidRPr="000D4E5B">
        <w:t xml:space="preserve">There are no data on the use of LYNPARZA in breast-feeding women.  The excretion of </w:t>
      </w:r>
      <w:proofErr w:type="spellStart"/>
      <w:r w:rsidRPr="000D4E5B">
        <w:t>olaparib</w:t>
      </w:r>
      <w:proofErr w:type="spellEnd"/>
      <w:r w:rsidRPr="000D4E5B">
        <w:t xml:space="preserve"> in milk has not been studied in animals or in breast-feeding mothers.  A risk to the </w:t>
      </w:r>
      <w:proofErr w:type="spellStart"/>
      <w:r w:rsidRPr="000D4E5B">
        <w:t>newborn</w:t>
      </w:r>
      <w:proofErr w:type="spellEnd"/>
      <w:r w:rsidRPr="000D4E5B">
        <w:t xml:space="preserve"> breast-feeding child cannot be excluded.  Breast-feeding mothers are advised not to breast-feed during treatment with LYNPARZA and for one month after receiving the last dose.</w:t>
      </w:r>
    </w:p>
    <w:p w14:paraId="319E02D7" w14:textId="77777777" w:rsidR="001A3992" w:rsidRPr="000D4E5B" w:rsidRDefault="001A3992" w:rsidP="00771E3F">
      <w:pPr>
        <w:pStyle w:val="Heading2"/>
        <w:tabs>
          <w:tab w:val="clear" w:pos="1134"/>
          <w:tab w:val="num" w:pos="720"/>
        </w:tabs>
        <w:ind w:left="720" w:hanging="720"/>
      </w:pPr>
      <w:r w:rsidRPr="000D4E5B">
        <w:t>Effects on ability to drive and use machines</w:t>
      </w:r>
    </w:p>
    <w:p w14:paraId="75ACBE62" w14:textId="614AB059" w:rsidR="00446EDD" w:rsidRPr="000D4E5B" w:rsidRDefault="00F67C7F" w:rsidP="005C05E8">
      <w:pPr>
        <w:pStyle w:val="Paragraph"/>
      </w:pPr>
      <w:r w:rsidRPr="000D4E5B">
        <w:t xml:space="preserve">No studies to establish the effects of </w:t>
      </w:r>
      <w:proofErr w:type="spellStart"/>
      <w:r w:rsidRPr="000D4E5B">
        <w:t>olaparib</w:t>
      </w:r>
      <w:proofErr w:type="spellEnd"/>
      <w:r w:rsidRPr="000D4E5B">
        <w:t xml:space="preserve"> on the ability to drive and use machinery have been conducted.  However, during treatment with LYNPARZA, asthenia, fatigue and dizziness have been reported and those patients who experience these symptoms should observe caution when driving or using machines</w:t>
      </w:r>
      <w:r w:rsidR="005C05E8" w:rsidRPr="000D4E5B">
        <w:t>.</w:t>
      </w:r>
    </w:p>
    <w:p w14:paraId="7F10B2E1" w14:textId="77777777" w:rsidR="001A3992" w:rsidRPr="000D4E5B" w:rsidRDefault="001A3992" w:rsidP="00CD331E">
      <w:pPr>
        <w:pStyle w:val="Heading2"/>
        <w:tabs>
          <w:tab w:val="clear" w:pos="1134"/>
          <w:tab w:val="num" w:pos="720"/>
        </w:tabs>
        <w:ind w:left="720" w:hanging="720"/>
      </w:pPr>
      <w:r w:rsidRPr="000D4E5B">
        <w:t>Adverse effects (Undesirable effects)</w:t>
      </w:r>
    </w:p>
    <w:p w14:paraId="6DBE78A3" w14:textId="77777777" w:rsidR="00F83E84" w:rsidRPr="000D4E5B" w:rsidRDefault="00F83E84" w:rsidP="00F83E84">
      <w:pPr>
        <w:pStyle w:val="Heading3Unnumbered"/>
      </w:pPr>
      <w:r w:rsidRPr="000D4E5B">
        <w:t>Overall Summary of Adverse Drug Reactions</w:t>
      </w:r>
    </w:p>
    <w:p w14:paraId="6ABACF09" w14:textId="4671EF26" w:rsidR="00F83E84" w:rsidRPr="000D4E5B" w:rsidRDefault="00F83E84" w:rsidP="00F83E84">
      <w:pPr>
        <w:pStyle w:val="Paragraph"/>
      </w:pPr>
      <w:r w:rsidRPr="000D4E5B">
        <w:t xml:space="preserve">LYNPARZA has been associated with laboratory findings and/or clinical diagnoses generally of mild or moderate severity (CTCAE </w:t>
      </w:r>
      <w:r w:rsidR="002B3A2E" w:rsidRPr="000D4E5B">
        <w:t xml:space="preserve">grade </w:t>
      </w:r>
      <w:r w:rsidRPr="000D4E5B">
        <w:t>1 or 2) and generally not requiring treatment discontinuation.</w:t>
      </w:r>
    </w:p>
    <w:p w14:paraId="1BA56EF4" w14:textId="4A93993E" w:rsidR="00F83E84" w:rsidRPr="000D4E5B" w:rsidRDefault="00F83E84" w:rsidP="00F83E84">
      <w:pPr>
        <w:pStyle w:val="Heading3Unnumbered"/>
      </w:pPr>
      <w:r w:rsidRPr="000D4E5B">
        <w:t>Adverse Drug Reactions during Clinical Trials</w:t>
      </w:r>
    </w:p>
    <w:p w14:paraId="166F1214" w14:textId="39C3799B" w:rsidR="00F83E84" w:rsidRPr="000D4E5B" w:rsidRDefault="000F4C62" w:rsidP="00F035C7">
      <w:pPr>
        <w:pStyle w:val="Paragraph"/>
      </w:pPr>
      <w:bookmarkStart w:id="17" w:name="_Hlk513037437"/>
      <w:r w:rsidRPr="000D4E5B">
        <w:t xml:space="preserve">The safety profile is based on pooled data from </w:t>
      </w:r>
      <w:r w:rsidR="00F035C7" w:rsidRPr="000D4E5B">
        <w:t>2</w:t>
      </w:r>
      <w:r w:rsidR="009A3ED7" w:rsidRPr="000D4E5B">
        <w:t>351</w:t>
      </w:r>
      <w:r w:rsidR="00BC244D" w:rsidRPr="000D4E5B">
        <w:t xml:space="preserve"> </w:t>
      </w:r>
      <w:r w:rsidRPr="000D4E5B">
        <w:t xml:space="preserve">patients </w:t>
      </w:r>
      <w:r w:rsidR="00882F9B" w:rsidRPr="000D4E5B">
        <w:t xml:space="preserve">with solid tumours </w:t>
      </w:r>
      <w:r w:rsidRPr="000D4E5B">
        <w:t xml:space="preserve">treated with LYNPARZA monotherapy </w:t>
      </w:r>
      <w:r w:rsidR="00F035C7" w:rsidRPr="000D4E5B">
        <w:t>and 535 patients treated with Lynparza in combination with</w:t>
      </w:r>
      <w:r w:rsidR="00C84BDF" w:rsidRPr="000D4E5B">
        <w:t xml:space="preserve"> </w:t>
      </w:r>
      <w:r w:rsidR="00F035C7" w:rsidRPr="000D4E5B">
        <w:t xml:space="preserve">bevacizumab </w:t>
      </w:r>
      <w:r w:rsidRPr="000D4E5B">
        <w:t xml:space="preserve">in clinical trials at the recommended dose. </w:t>
      </w:r>
      <w:bookmarkEnd w:id="17"/>
    </w:p>
    <w:p w14:paraId="5E6BA42D" w14:textId="4F231C48" w:rsidR="00C84BDF" w:rsidRPr="000D4E5B" w:rsidRDefault="00F035C7" w:rsidP="00C84BDF">
      <w:pPr>
        <w:pStyle w:val="Paragraph"/>
      </w:pPr>
      <w:r w:rsidRPr="000D4E5B">
        <w:t>When Lynparza is used in combination with bevacizumab the safety profile is generally consistent with that of the individual therapies.</w:t>
      </w:r>
    </w:p>
    <w:p w14:paraId="06C4B0DD" w14:textId="1100D086" w:rsidR="00C84BDF" w:rsidRPr="000D4E5B" w:rsidRDefault="00C84BDF" w:rsidP="00C84BDF">
      <w:pPr>
        <w:pStyle w:val="Paragraph"/>
      </w:pPr>
      <w:r w:rsidRPr="000D4E5B">
        <w:t xml:space="preserve">Adverse events led to dose interruption and/ or reduction of </w:t>
      </w:r>
      <w:proofErr w:type="spellStart"/>
      <w:r w:rsidRPr="000D4E5B">
        <w:t>olaparib</w:t>
      </w:r>
      <w:proofErr w:type="spellEnd"/>
      <w:r w:rsidRPr="000D4E5B">
        <w:t xml:space="preserve"> in 57.4% of patients when used in combination with bevacizumab and led to permanent discontinuation of treatment with </w:t>
      </w:r>
      <w:proofErr w:type="spellStart"/>
      <w:r w:rsidRPr="000D4E5B">
        <w:t>olaparib</w:t>
      </w:r>
      <w:proofErr w:type="spellEnd"/>
      <w:r w:rsidRPr="000D4E5B">
        <w:t>/bevacizumab and placebo/bevacizumab in 20.4% and 5.6% of patients, respectively. The adverse reactions that most commonly led to dose interruption and/or reduction were anaemia (20.6%) and nausea (7.5%). The adverse reactions that most commonly led to permanent discontinuation were anaemia (3.6%), nausea (3.4%) and fatigue/asthenia (1.5%).</w:t>
      </w:r>
    </w:p>
    <w:p w14:paraId="2A5B6794" w14:textId="0FA1577C" w:rsidR="00C3273B" w:rsidRPr="000D4E5B" w:rsidRDefault="00F83E84" w:rsidP="003573E5">
      <w:pPr>
        <w:pStyle w:val="Paragraph"/>
      </w:pPr>
      <w:r w:rsidRPr="000D4E5B">
        <w:t>The following adverse reactions have been identified in clinical studies with patients receiving LYNPARZA monotherapy</w:t>
      </w:r>
      <w:r w:rsidR="003573E5" w:rsidRPr="000D4E5B">
        <w:t xml:space="preserve"> where patient exposure is known.  Adverse Drug Reactions are organised by MedDRA System Organ Class (SOC) and then by MedDRA preferred term in Table 2.  Within each SOC, preferred terms are arranged by decreasing frequency and then by decreasing seriousness</w:t>
      </w:r>
      <w:bookmarkStart w:id="18" w:name="_Hlk513037583"/>
      <w:r w:rsidR="003573E5" w:rsidRPr="000D4E5B">
        <w:t xml:space="preserve">. </w:t>
      </w:r>
      <w:r w:rsidRPr="000D4E5B">
        <w:t xml:space="preserve"> </w:t>
      </w:r>
      <w:bookmarkEnd w:id="18"/>
      <w:r w:rsidRPr="000D4E5B">
        <w:t xml:space="preserve">Frequencies of occurrence of </w:t>
      </w:r>
      <w:r w:rsidR="003573E5" w:rsidRPr="000D4E5B">
        <w:rPr>
          <w:lang w:val="en-AU"/>
        </w:rPr>
        <w:t>adverse reactions</w:t>
      </w:r>
      <w:r w:rsidRPr="000D4E5B">
        <w:t xml:space="preserve"> are defined as: very common (≥1/10); common (≥1/100 to &lt;1/10); uncommon (≥1/1,000 to &lt;1/100); rare (≥1/10,000 </w:t>
      </w:r>
      <w:r w:rsidR="00F035C7" w:rsidRPr="000D4E5B">
        <w:br/>
      </w:r>
      <w:r w:rsidRPr="000D4E5B">
        <w:t>to &lt;1/1000); very rare (&lt;1/10,000) including isolated reports.</w:t>
      </w:r>
      <w:r w:rsidR="003573E5" w:rsidRPr="000D4E5B">
        <w:t xml:space="preserve">  </w:t>
      </w:r>
    </w:p>
    <w:p w14:paraId="0226F0A6" w14:textId="3134C8B3" w:rsidR="001D3AF3" w:rsidRPr="000D4E5B" w:rsidRDefault="00E92A04" w:rsidP="006A6677">
      <w:pPr>
        <w:pStyle w:val="TableTitle"/>
        <w:tabs>
          <w:tab w:val="clear" w:pos="1701"/>
          <w:tab w:val="left" w:pos="1080"/>
        </w:tabs>
        <w:ind w:left="1080" w:hanging="1080"/>
      </w:pPr>
      <w:r w:rsidRPr="000D4E5B">
        <w:t>Table 2</w:t>
      </w:r>
      <w:r w:rsidRPr="000D4E5B">
        <w:tab/>
        <w:t xml:space="preserve">Adverse Drug Reactions </w:t>
      </w:r>
      <w:r w:rsidR="00124FAE" w:rsidRPr="000D4E5B">
        <w:t xml:space="preserve">reported in </w:t>
      </w:r>
      <w:r w:rsidRPr="000D4E5B">
        <w:t>Clinical Trials</w:t>
      </w:r>
      <w:r w:rsidR="00124FAE" w:rsidRPr="000D4E5B">
        <w:t xml:space="preserve"> with LYNPARZA monotherapy</w:t>
      </w:r>
    </w:p>
    <w:tbl>
      <w:tblPr>
        <w:tblW w:w="5000" w:type="pct"/>
        <w:tblLayout w:type="fixed"/>
        <w:tblLook w:val="0000" w:firstRow="0" w:lastRow="0" w:firstColumn="0" w:lastColumn="0" w:noHBand="0" w:noVBand="0"/>
      </w:tblPr>
      <w:tblGrid>
        <w:gridCol w:w="2161"/>
        <w:gridCol w:w="2234"/>
        <w:gridCol w:w="2606"/>
        <w:gridCol w:w="2637"/>
      </w:tblGrid>
      <w:tr w:rsidR="00F83E84" w:rsidRPr="000D4E5B" w14:paraId="603886C2" w14:textId="77777777" w:rsidTr="00C67915">
        <w:trPr>
          <w:cantSplit/>
          <w:tblHeader/>
        </w:trPr>
        <w:tc>
          <w:tcPr>
            <w:tcW w:w="1121" w:type="pct"/>
            <w:tcBorders>
              <w:top w:val="single" w:sz="8" w:space="0" w:color="auto"/>
              <w:left w:val="nil"/>
              <w:bottom w:val="single" w:sz="6" w:space="0" w:color="auto"/>
              <w:right w:val="nil"/>
            </w:tcBorders>
          </w:tcPr>
          <w:p w14:paraId="58CC6A49" w14:textId="77777777" w:rsidR="00F83E84" w:rsidRPr="000D4E5B" w:rsidRDefault="00F83E84" w:rsidP="002D19FD">
            <w:pPr>
              <w:pStyle w:val="TableHead"/>
              <w:jc w:val="left"/>
              <w:rPr>
                <w:sz w:val="22"/>
                <w:szCs w:val="22"/>
              </w:rPr>
            </w:pPr>
            <w:r w:rsidRPr="000D4E5B">
              <w:rPr>
                <w:sz w:val="22"/>
                <w:szCs w:val="22"/>
              </w:rPr>
              <w:t>MedDRA SOC</w:t>
            </w:r>
          </w:p>
        </w:tc>
        <w:tc>
          <w:tcPr>
            <w:tcW w:w="1159" w:type="pct"/>
            <w:tcBorders>
              <w:top w:val="single" w:sz="8" w:space="0" w:color="auto"/>
              <w:left w:val="nil"/>
              <w:bottom w:val="single" w:sz="6" w:space="0" w:color="auto"/>
              <w:right w:val="nil"/>
            </w:tcBorders>
          </w:tcPr>
          <w:p w14:paraId="35164B63" w14:textId="77777777" w:rsidR="00F83E84" w:rsidRPr="000D4E5B" w:rsidRDefault="00F83E84" w:rsidP="002D19FD">
            <w:pPr>
              <w:pStyle w:val="TableHead"/>
              <w:jc w:val="left"/>
              <w:rPr>
                <w:sz w:val="22"/>
                <w:szCs w:val="22"/>
              </w:rPr>
            </w:pPr>
            <w:r w:rsidRPr="000D4E5B">
              <w:rPr>
                <w:sz w:val="22"/>
                <w:szCs w:val="22"/>
              </w:rPr>
              <w:t>MedDRA Term</w:t>
            </w:r>
          </w:p>
        </w:tc>
        <w:tc>
          <w:tcPr>
            <w:tcW w:w="1352" w:type="pct"/>
            <w:tcBorders>
              <w:top w:val="single" w:sz="8" w:space="0" w:color="auto"/>
              <w:left w:val="nil"/>
              <w:bottom w:val="single" w:sz="6" w:space="0" w:color="auto"/>
              <w:right w:val="nil"/>
            </w:tcBorders>
          </w:tcPr>
          <w:p w14:paraId="3356D8C7" w14:textId="77777777" w:rsidR="00F83E84" w:rsidRPr="000D4E5B" w:rsidRDefault="00F83E84" w:rsidP="002D19FD">
            <w:pPr>
              <w:pStyle w:val="TableHead"/>
              <w:jc w:val="left"/>
              <w:rPr>
                <w:sz w:val="22"/>
                <w:szCs w:val="22"/>
              </w:rPr>
            </w:pPr>
            <w:r w:rsidRPr="000D4E5B">
              <w:rPr>
                <w:sz w:val="22"/>
                <w:szCs w:val="22"/>
              </w:rPr>
              <w:t xml:space="preserve">CIOMS descriptor/ Overall Frequency </w:t>
            </w:r>
            <w:r w:rsidRPr="000D4E5B">
              <w:rPr>
                <w:sz w:val="22"/>
                <w:szCs w:val="22"/>
              </w:rPr>
              <w:br/>
              <w:t>(All CTCAE grades)</w:t>
            </w:r>
          </w:p>
        </w:tc>
        <w:tc>
          <w:tcPr>
            <w:tcW w:w="1368" w:type="pct"/>
            <w:tcBorders>
              <w:top w:val="single" w:sz="8" w:space="0" w:color="auto"/>
              <w:left w:val="nil"/>
              <w:bottom w:val="single" w:sz="6" w:space="0" w:color="auto"/>
              <w:right w:val="nil"/>
            </w:tcBorders>
          </w:tcPr>
          <w:p w14:paraId="25C70C88" w14:textId="77777777" w:rsidR="00F83E84" w:rsidRPr="000D4E5B" w:rsidRDefault="00F83E84" w:rsidP="002D19FD">
            <w:pPr>
              <w:pStyle w:val="TableHead"/>
              <w:jc w:val="left"/>
              <w:rPr>
                <w:sz w:val="22"/>
                <w:szCs w:val="22"/>
              </w:rPr>
            </w:pPr>
            <w:r w:rsidRPr="000D4E5B">
              <w:rPr>
                <w:sz w:val="22"/>
                <w:szCs w:val="22"/>
              </w:rPr>
              <w:t>Frequency of CTCAE grade 3 and above</w:t>
            </w:r>
          </w:p>
        </w:tc>
      </w:tr>
      <w:tr w:rsidR="004060ED" w:rsidRPr="000D4E5B" w14:paraId="030C08AD" w14:textId="77777777" w:rsidTr="00D86947">
        <w:trPr>
          <w:cantSplit/>
        </w:trPr>
        <w:tc>
          <w:tcPr>
            <w:tcW w:w="1121" w:type="pct"/>
            <w:vMerge w:val="restart"/>
            <w:tcBorders>
              <w:top w:val="nil"/>
              <w:left w:val="nil"/>
              <w:right w:val="nil"/>
            </w:tcBorders>
          </w:tcPr>
          <w:p w14:paraId="7396BA02" w14:textId="4392E012" w:rsidR="004060ED" w:rsidRPr="000D4E5B" w:rsidRDefault="004060ED" w:rsidP="00283E73">
            <w:pPr>
              <w:pStyle w:val="Paragraph"/>
              <w:spacing w:before="60" w:after="60"/>
              <w:rPr>
                <w:sz w:val="22"/>
                <w:szCs w:val="22"/>
              </w:rPr>
            </w:pPr>
            <w:r w:rsidRPr="000D4E5B">
              <w:rPr>
                <w:sz w:val="22"/>
                <w:szCs w:val="22"/>
              </w:rPr>
              <w:t>Blood and lymphatic system disorders</w:t>
            </w:r>
          </w:p>
        </w:tc>
        <w:tc>
          <w:tcPr>
            <w:tcW w:w="1159" w:type="pct"/>
            <w:tcBorders>
              <w:top w:val="nil"/>
              <w:left w:val="nil"/>
              <w:right w:val="nil"/>
            </w:tcBorders>
          </w:tcPr>
          <w:p w14:paraId="786AD064" w14:textId="2F481655" w:rsidR="004060ED" w:rsidRPr="000D4E5B" w:rsidRDefault="004060ED" w:rsidP="00283E73">
            <w:pPr>
              <w:pStyle w:val="Paragraph"/>
              <w:spacing w:before="60" w:after="60"/>
              <w:rPr>
                <w:sz w:val="22"/>
                <w:szCs w:val="22"/>
              </w:rPr>
            </w:pPr>
            <w:proofErr w:type="spellStart"/>
            <w:r w:rsidRPr="000D4E5B">
              <w:rPr>
                <w:sz w:val="22"/>
                <w:szCs w:val="22"/>
              </w:rPr>
              <w:t>Anaemia</w:t>
            </w:r>
            <w:r w:rsidRPr="000D4E5B">
              <w:rPr>
                <w:sz w:val="22"/>
                <w:szCs w:val="22"/>
                <w:vertAlign w:val="superscript"/>
              </w:rPr>
              <w:t>a</w:t>
            </w:r>
            <w:proofErr w:type="spellEnd"/>
          </w:p>
        </w:tc>
        <w:tc>
          <w:tcPr>
            <w:tcW w:w="1352" w:type="pct"/>
            <w:tcBorders>
              <w:top w:val="nil"/>
              <w:left w:val="nil"/>
              <w:right w:val="nil"/>
            </w:tcBorders>
          </w:tcPr>
          <w:p w14:paraId="34C97B4C" w14:textId="60B1AD8B" w:rsidR="004060ED" w:rsidRPr="000D4E5B" w:rsidRDefault="004060ED" w:rsidP="00283E73">
            <w:pPr>
              <w:pStyle w:val="Paragraph"/>
              <w:spacing w:before="60" w:after="60"/>
              <w:rPr>
                <w:sz w:val="22"/>
                <w:szCs w:val="22"/>
              </w:rPr>
            </w:pPr>
            <w:r w:rsidRPr="000D4E5B">
              <w:rPr>
                <w:sz w:val="22"/>
                <w:szCs w:val="22"/>
              </w:rPr>
              <w:t>Very common</w:t>
            </w:r>
          </w:p>
        </w:tc>
        <w:tc>
          <w:tcPr>
            <w:tcW w:w="1368" w:type="pct"/>
            <w:tcBorders>
              <w:top w:val="nil"/>
              <w:left w:val="nil"/>
              <w:right w:val="nil"/>
            </w:tcBorders>
          </w:tcPr>
          <w:p w14:paraId="308BECE6" w14:textId="51F19142" w:rsidR="004060ED" w:rsidRPr="000D4E5B" w:rsidRDefault="004060ED" w:rsidP="00283E73">
            <w:pPr>
              <w:pStyle w:val="Paragraph"/>
              <w:spacing w:before="60" w:after="60"/>
              <w:rPr>
                <w:sz w:val="22"/>
                <w:szCs w:val="22"/>
              </w:rPr>
            </w:pPr>
            <w:r w:rsidRPr="000D4E5B">
              <w:rPr>
                <w:sz w:val="22"/>
                <w:szCs w:val="22"/>
              </w:rPr>
              <w:t>Very common</w:t>
            </w:r>
          </w:p>
        </w:tc>
      </w:tr>
      <w:tr w:rsidR="004060ED" w:rsidRPr="000D4E5B" w14:paraId="2490569A" w14:textId="77777777" w:rsidTr="00D86947">
        <w:trPr>
          <w:cantSplit/>
        </w:trPr>
        <w:tc>
          <w:tcPr>
            <w:tcW w:w="1121" w:type="pct"/>
            <w:vMerge/>
            <w:tcBorders>
              <w:left w:val="nil"/>
              <w:right w:val="nil"/>
            </w:tcBorders>
          </w:tcPr>
          <w:p w14:paraId="7FB59582" w14:textId="77777777" w:rsidR="004060ED" w:rsidRPr="000D4E5B" w:rsidRDefault="004060ED" w:rsidP="00283E73">
            <w:pPr>
              <w:pStyle w:val="Paragraph"/>
              <w:spacing w:before="60" w:after="60"/>
              <w:rPr>
                <w:sz w:val="22"/>
                <w:szCs w:val="22"/>
              </w:rPr>
            </w:pPr>
          </w:p>
        </w:tc>
        <w:tc>
          <w:tcPr>
            <w:tcW w:w="1159" w:type="pct"/>
            <w:tcBorders>
              <w:top w:val="nil"/>
              <w:left w:val="nil"/>
              <w:right w:val="nil"/>
            </w:tcBorders>
          </w:tcPr>
          <w:p w14:paraId="74359310" w14:textId="4CA8F787" w:rsidR="004060ED" w:rsidRPr="000D4E5B" w:rsidRDefault="004060ED" w:rsidP="00283E73">
            <w:pPr>
              <w:pStyle w:val="Paragraph"/>
              <w:spacing w:before="60" w:after="60"/>
              <w:rPr>
                <w:sz w:val="22"/>
                <w:szCs w:val="22"/>
              </w:rPr>
            </w:pPr>
            <w:r w:rsidRPr="000D4E5B">
              <w:rPr>
                <w:sz w:val="22"/>
                <w:szCs w:val="22"/>
              </w:rPr>
              <w:t>Neutropenia</w:t>
            </w:r>
            <w:r w:rsidRPr="000D4E5B">
              <w:rPr>
                <w:sz w:val="22"/>
                <w:szCs w:val="22"/>
                <w:vertAlign w:val="superscript"/>
                <w:lang w:val="en-AU"/>
              </w:rPr>
              <w:t>a</w:t>
            </w:r>
          </w:p>
        </w:tc>
        <w:tc>
          <w:tcPr>
            <w:tcW w:w="1352" w:type="pct"/>
            <w:tcBorders>
              <w:top w:val="nil"/>
              <w:left w:val="nil"/>
              <w:right w:val="nil"/>
            </w:tcBorders>
          </w:tcPr>
          <w:p w14:paraId="4657C0E0" w14:textId="361E19AA" w:rsidR="004060ED" w:rsidRPr="000D4E5B" w:rsidRDefault="00E906A0" w:rsidP="00283E73">
            <w:pPr>
              <w:pStyle w:val="Paragraph"/>
              <w:spacing w:before="60" w:after="60"/>
              <w:rPr>
                <w:sz w:val="22"/>
                <w:szCs w:val="22"/>
              </w:rPr>
            </w:pPr>
            <w:r w:rsidRPr="000D4E5B">
              <w:rPr>
                <w:sz w:val="22"/>
                <w:szCs w:val="22"/>
              </w:rPr>
              <w:t xml:space="preserve">Very </w:t>
            </w:r>
            <w:r w:rsidR="00B52FFD" w:rsidRPr="000D4E5B">
              <w:rPr>
                <w:sz w:val="22"/>
                <w:szCs w:val="22"/>
              </w:rPr>
              <w:t>c</w:t>
            </w:r>
            <w:r w:rsidR="004060ED" w:rsidRPr="000D4E5B">
              <w:rPr>
                <w:sz w:val="22"/>
                <w:szCs w:val="22"/>
              </w:rPr>
              <w:t>ommon</w:t>
            </w:r>
          </w:p>
        </w:tc>
        <w:tc>
          <w:tcPr>
            <w:tcW w:w="1368" w:type="pct"/>
            <w:tcBorders>
              <w:top w:val="nil"/>
              <w:left w:val="nil"/>
              <w:right w:val="nil"/>
            </w:tcBorders>
          </w:tcPr>
          <w:p w14:paraId="2F8F3927" w14:textId="74A09327" w:rsidR="004060ED" w:rsidRPr="000D4E5B" w:rsidRDefault="004060ED" w:rsidP="00283E73">
            <w:pPr>
              <w:pStyle w:val="Paragraph"/>
              <w:spacing w:before="60" w:after="60"/>
              <w:rPr>
                <w:sz w:val="22"/>
                <w:szCs w:val="22"/>
              </w:rPr>
            </w:pPr>
            <w:r w:rsidRPr="000D4E5B">
              <w:rPr>
                <w:sz w:val="22"/>
                <w:szCs w:val="22"/>
              </w:rPr>
              <w:t>Common</w:t>
            </w:r>
          </w:p>
        </w:tc>
      </w:tr>
      <w:tr w:rsidR="009E443D" w:rsidRPr="000D4E5B" w14:paraId="4F663FC7" w14:textId="77777777" w:rsidTr="00D86947">
        <w:trPr>
          <w:cantSplit/>
        </w:trPr>
        <w:tc>
          <w:tcPr>
            <w:tcW w:w="1121" w:type="pct"/>
            <w:vMerge/>
            <w:tcBorders>
              <w:left w:val="nil"/>
              <w:right w:val="nil"/>
            </w:tcBorders>
          </w:tcPr>
          <w:p w14:paraId="561713DD" w14:textId="77777777" w:rsidR="009E443D" w:rsidRPr="000D4E5B" w:rsidRDefault="009E443D" w:rsidP="00283E73">
            <w:pPr>
              <w:pStyle w:val="Paragraph"/>
              <w:spacing w:before="60" w:after="60"/>
              <w:rPr>
                <w:sz w:val="22"/>
                <w:szCs w:val="22"/>
              </w:rPr>
            </w:pPr>
          </w:p>
        </w:tc>
        <w:tc>
          <w:tcPr>
            <w:tcW w:w="1159" w:type="pct"/>
            <w:tcBorders>
              <w:top w:val="nil"/>
              <w:left w:val="nil"/>
              <w:right w:val="nil"/>
            </w:tcBorders>
          </w:tcPr>
          <w:p w14:paraId="4E61EE1C" w14:textId="593C1C54" w:rsidR="009E443D" w:rsidRPr="000D4E5B" w:rsidRDefault="009E443D" w:rsidP="00283E73">
            <w:pPr>
              <w:pStyle w:val="Paragraph"/>
              <w:spacing w:before="60" w:after="60"/>
              <w:rPr>
                <w:sz w:val="22"/>
                <w:szCs w:val="22"/>
              </w:rPr>
            </w:pPr>
            <w:r w:rsidRPr="000D4E5B">
              <w:rPr>
                <w:sz w:val="22"/>
                <w:szCs w:val="22"/>
              </w:rPr>
              <w:t>Leukopenia</w:t>
            </w:r>
            <w:r w:rsidRPr="000D4E5B">
              <w:rPr>
                <w:sz w:val="22"/>
                <w:szCs w:val="22"/>
                <w:vertAlign w:val="superscript"/>
                <w:lang w:val="en-AU"/>
              </w:rPr>
              <w:t>a</w:t>
            </w:r>
          </w:p>
        </w:tc>
        <w:tc>
          <w:tcPr>
            <w:tcW w:w="1352" w:type="pct"/>
            <w:tcBorders>
              <w:top w:val="nil"/>
              <w:left w:val="nil"/>
              <w:right w:val="nil"/>
            </w:tcBorders>
          </w:tcPr>
          <w:p w14:paraId="1DF8866F" w14:textId="2DFE2222" w:rsidR="009E443D" w:rsidRPr="000D4E5B" w:rsidRDefault="009E443D" w:rsidP="00283E73">
            <w:pPr>
              <w:pStyle w:val="Paragraph"/>
              <w:spacing w:before="60" w:after="60"/>
              <w:rPr>
                <w:sz w:val="22"/>
                <w:szCs w:val="22"/>
              </w:rPr>
            </w:pPr>
            <w:r w:rsidRPr="000D4E5B">
              <w:rPr>
                <w:sz w:val="22"/>
                <w:szCs w:val="22"/>
                <w:lang w:val="en-AU"/>
              </w:rPr>
              <w:t>Very common</w:t>
            </w:r>
          </w:p>
        </w:tc>
        <w:tc>
          <w:tcPr>
            <w:tcW w:w="1368" w:type="pct"/>
            <w:tcBorders>
              <w:top w:val="nil"/>
              <w:left w:val="nil"/>
              <w:right w:val="nil"/>
            </w:tcBorders>
          </w:tcPr>
          <w:p w14:paraId="624A1721" w14:textId="7A3AC48B" w:rsidR="009E443D" w:rsidRPr="000D4E5B" w:rsidRDefault="009E443D" w:rsidP="00283E73">
            <w:pPr>
              <w:pStyle w:val="Paragraph"/>
              <w:spacing w:before="60" w:after="60"/>
              <w:rPr>
                <w:sz w:val="22"/>
                <w:szCs w:val="22"/>
              </w:rPr>
            </w:pPr>
            <w:r w:rsidRPr="000D4E5B">
              <w:rPr>
                <w:sz w:val="22"/>
                <w:szCs w:val="22"/>
                <w:lang w:val="en-AU"/>
              </w:rPr>
              <w:t>Common</w:t>
            </w:r>
          </w:p>
        </w:tc>
      </w:tr>
      <w:tr w:rsidR="009E443D" w:rsidRPr="000D4E5B" w14:paraId="58918D58" w14:textId="77777777" w:rsidTr="00D86947">
        <w:trPr>
          <w:cantSplit/>
        </w:trPr>
        <w:tc>
          <w:tcPr>
            <w:tcW w:w="1121" w:type="pct"/>
            <w:vMerge/>
            <w:tcBorders>
              <w:left w:val="nil"/>
              <w:right w:val="nil"/>
            </w:tcBorders>
          </w:tcPr>
          <w:p w14:paraId="505705B8" w14:textId="77777777" w:rsidR="009E443D" w:rsidRPr="000D4E5B" w:rsidRDefault="009E443D" w:rsidP="00283E73">
            <w:pPr>
              <w:pStyle w:val="Paragraph"/>
              <w:spacing w:before="60" w:after="60"/>
              <w:rPr>
                <w:sz w:val="22"/>
                <w:szCs w:val="22"/>
              </w:rPr>
            </w:pPr>
          </w:p>
        </w:tc>
        <w:tc>
          <w:tcPr>
            <w:tcW w:w="1159" w:type="pct"/>
            <w:tcBorders>
              <w:top w:val="nil"/>
              <w:left w:val="nil"/>
              <w:right w:val="nil"/>
            </w:tcBorders>
          </w:tcPr>
          <w:p w14:paraId="35835164" w14:textId="6CE2942B" w:rsidR="009E443D" w:rsidRPr="000D4E5B" w:rsidRDefault="009E443D" w:rsidP="00283E73">
            <w:pPr>
              <w:pStyle w:val="Paragraph"/>
              <w:spacing w:before="60" w:after="60"/>
              <w:rPr>
                <w:sz w:val="22"/>
                <w:szCs w:val="22"/>
              </w:rPr>
            </w:pPr>
            <w:r w:rsidRPr="000D4E5B">
              <w:rPr>
                <w:sz w:val="22"/>
                <w:szCs w:val="22"/>
              </w:rPr>
              <w:t>Thrombocytopenia</w:t>
            </w:r>
            <w:r w:rsidRPr="000D4E5B">
              <w:rPr>
                <w:sz w:val="22"/>
                <w:szCs w:val="22"/>
                <w:vertAlign w:val="superscript"/>
                <w:lang w:val="en-AU"/>
              </w:rPr>
              <w:t>a</w:t>
            </w:r>
          </w:p>
        </w:tc>
        <w:tc>
          <w:tcPr>
            <w:tcW w:w="1352" w:type="pct"/>
            <w:tcBorders>
              <w:top w:val="nil"/>
              <w:left w:val="nil"/>
              <w:right w:val="nil"/>
            </w:tcBorders>
          </w:tcPr>
          <w:p w14:paraId="09D6323D" w14:textId="4F0FFF52" w:rsidR="009E443D" w:rsidRPr="000D4E5B" w:rsidRDefault="00E55624" w:rsidP="00283E73">
            <w:pPr>
              <w:pStyle w:val="Paragraph"/>
              <w:spacing w:before="60" w:after="60"/>
              <w:rPr>
                <w:sz w:val="22"/>
                <w:szCs w:val="22"/>
              </w:rPr>
            </w:pPr>
            <w:r w:rsidRPr="000D4E5B">
              <w:rPr>
                <w:sz w:val="22"/>
                <w:szCs w:val="22"/>
                <w:lang w:val="en-AU"/>
              </w:rPr>
              <w:t xml:space="preserve">Very </w:t>
            </w:r>
            <w:r w:rsidR="009E443D" w:rsidRPr="000D4E5B">
              <w:rPr>
                <w:sz w:val="22"/>
                <w:szCs w:val="22"/>
                <w:lang w:val="en-AU"/>
              </w:rPr>
              <w:t>Common</w:t>
            </w:r>
          </w:p>
        </w:tc>
        <w:tc>
          <w:tcPr>
            <w:tcW w:w="1368" w:type="pct"/>
            <w:tcBorders>
              <w:top w:val="nil"/>
              <w:left w:val="nil"/>
              <w:right w:val="nil"/>
            </w:tcBorders>
          </w:tcPr>
          <w:p w14:paraId="7951F784" w14:textId="2A98F5C6" w:rsidR="009E443D" w:rsidRPr="000D4E5B" w:rsidRDefault="009E443D" w:rsidP="00283E73">
            <w:pPr>
              <w:pStyle w:val="Paragraph"/>
              <w:spacing w:before="60" w:after="60"/>
              <w:rPr>
                <w:sz w:val="22"/>
                <w:szCs w:val="22"/>
              </w:rPr>
            </w:pPr>
            <w:r w:rsidRPr="000D4E5B">
              <w:rPr>
                <w:sz w:val="22"/>
                <w:szCs w:val="22"/>
                <w:lang w:val="en-AU"/>
              </w:rPr>
              <w:t>Common</w:t>
            </w:r>
          </w:p>
        </w:tc>
      </w:tr>
      <w:tr w:rsidR="001328FA" w:rsidRPr="000D4E5B" w14:paraId="028823AF" w14:textId="77777777" w:rsidTr="001328FA">
        <w:trPr>
          <w:cantSplit/>
          <w:trHeight w:val="80"/>
        </w:trPr>
        <w:tc>
          <w:tcPr>
            <w:tcW w:w="1121" w:type="pct"/>
            <w:vMerge/>
            <w:tcBorders>
              <w:left w:val="nil"/>
              <w:right w:val="nil"/>
            </w:tcBorders>
          </w:tcPr>
          <w:p w14:paraId="62E855B0" w14:textId="77777777" w:rsidR="001328FA" w:rsidRPr="000D4E5B" w:rsidRDefault="001328FA" w:rsidP="00283E73">
            <w:pPr>
              <w:pStyle w:val="Paragraph"/>
              <w:spacing w:before="60" w:after="60"/>
              <w:rPr>
                <w:sz w:val="22"/>
                <w:szCs w:val="22"/>
              </w:rPr>
            </w:pPr>
          </w:p>
        </w:tc>
        <w:tc>
          <w:tcPr>
            <w:tcW w:w="1159" w:type="pct"/>
            <w:tcBorders>
              <w:top w:val="nil"/>
              <w:left w:val="nil"/>
              <w:right w:val="nil"/>
            </w:tcBorders>
          </w:tcPr>
          <w:p w14:paraId="062C3049" w14:textId="470E43EA" w:rsidR="001328FA" w:rsidRPr="000D4E5B" w:rsidRDefault="001328FA" w:rsidP="00283E73">
            <w:pPr>
              <w:pStyle w:val="Paragraph"/>
              <w:spacing w:before="60" w:after="60"/>
              <w:rPr>
                <w:sz w:val="22"/>
                <w:szCs w:val="22"/>
              </w:rPr>
            </w:pPr>
            <w:proofErr w:type="spellStart"/>
            <w:r w:rsidRPr="000D4E5B">
              <w:rPr>
                <w:sz w:val="22"/>
                <w:szCs w:val="22"/>
              </w:rPr>
              <w:t>Lymphopenia</w:t>
            </w:r>
            <w:proofErr w:type="spellEnd"/>
          </w:p>
        </w:tc>
        <w:tc>
          <w:tcPr>
            <w:tcW w:w="1352" w:type="pct"/>
            <w:tcBorders>
              <w:top w:val="nil"/>
              <w:left w:val="nil"/>
              <w:right w:val="nil"/>
            </w:tcBorders>
          </w:tcPr>
          <w:p w14:paraId="684510D9" w14:textId="09503D48" w:rsidR="001328FA" w:rsidRPr="000D4E5B" w:rsidRDefault="001328FA" w:rsidP="00283E73">
            <w:pPr>
              <w:pStyle w:val="Paragraph"/>
              <w:spacing w:before="60" w:after="60"/>
              <w:rPr>
                <w:sz w:val="22"/>
                <w:szCs w:val="22"/>
              </w:rPr>
            </w:pPr>
            <w:r w:rsidRPr="000D4E5B">
              <w:rPr>
                <w:sz w:val="22"/>
                <w:szCs w:val="22"/>
              </w:rPr>
              <w:t>Common</w:t>
            </w:r>
          </w:p>
        </w:tc>
        <w:tc>
          <w:tcPr>
            <w:tcW w:w="1368" w:type="pct"/>
            <w:tcBorders>
              <w:top w:val="nil"/>
              <w:left w:val="nil"/>
              <w:right w:val="nil"/>
            </w:tcBorders>
          </w:tcPr>
          <w:p w14:paraId="3CA434BE" w14:textId="664B9B64" w:rsidR="001328FA" w:rsidRPr="000D4E5B" w:rsidRDefault="001328FA" w:rsidP="00283E73">
            <w:pPr>
              <w:pStyle w:val="Paragraph"/>
              <w:spacing w:before="60" w:after="60"/>
              <w:rPr>
                <w:sz w:val="22"/>
                <w:szCs w:val="22"/>
              </w:rPr>
            </w:pPr>
            <w:r w:rsidRPr="000D4E5B">
              <w:rPr>
                <w:sz w:val="22"/>
                <w:szCs w:val="22"/>
              </w:rPr>
              <w:t>Uncommon</w:t>
            </w:r>
          </w:p>
        </w:tc>
      </w:tr>
      <w:tr w:rsidR="0023311C" w:rsidRPr="000D4E5B" w14:paraId="1140F04E" w14:textId="77777777" w:rsidTr="0023311C">
        <w:trPr>
          <w:cantSplit/>
        </w:trPr>
        <w:tc>
          <w:tcPr>
            <w:tcW w:w="1121" w:type="pct"/>
            <w:tcBorders>
              <w:top w:val="single" w:sz="4" w:space="0" w:color="auto"/>
              <w:bottom w:val="single" w:sz="4" w:space="0" w:color="auto"/>
            </w:tcBorders>
          </w:tcPr>
          <w:p w14:paraId="1448FA8A" w14:textId="7C93E87E" w:rsidR="0023311C" w:rsidRPr="000D4E5B" w:rsidRDefault="0023311C" w:rsidP="0023311C">
            <w:pPr>
              <w:pStyle w:val="Paragraph"/>
              <w:spacing w:before="60" w:after="60"/>
              <w:rPr>
                <w:sz w:val="22"/>
                <w:szCs w:val="22"/>
              </w:rPr>
            </w:pPr>
            <w:r w:rsidRPr="000D4E5B">
              <w:rPr>
                <w:sz w:val="22"/>
                <w:szCs w:val="22"/>
              </w:rPr>
              <w:t>Immune system disorders</w:t>
            </w:r>
          </w:p>
        </w:tc>
        <w:tc>
          <w:tcPr>
            <w:tcW w:w="1159" w:type="pct"/>
            <w:tcBorders>
              <w:top w:val="single" w:sz="4" w:space="0" w:color="auto"/>
              <w:bottom w:val="single" w:sz="4" w:space="0" w:color="auto"/>
            </w:tcBorders>
          </w:tcPr>
          <w:p w14:paraId="4EC03A80" w14:textId="0A8E6E91" w:rsidR="0023311C" w:rsidRPr="000D4E5B" w:rsidRDefault="0023311C" w:rsidP="0023311C">
            <w:pPr>
              <w:pStyle w:val="Paragraph"/>
              <w:spacing w:before="60" w:after="60"/>
              <w:rPr>
                <w:sz w:val="22"/>
                <w:szCs w:val="22"/>
              </w:rPr>
            </w:pPr>
            <w:proofErr w:type="spellStart"/>
            <w:r w:rsidRPr="000D4E5B">
              <w:rPr>
                <w:sz w:val="22"/>
                <w:szCs w:val="22"/>
              </w:rPr>
              <w:t>Hypersensitivity</w:t>
            </w:r>
            <w:r w:rsidRPr="000D4E5B">
              <w:rPr>
                <w:sz w:val="22"/>
                <w:szCs w:val="22"/>
                <w:vertAlign w:val="superscript"/>
              </w:rPr>
              <w:t>a</w:t>
            </w:r>
            <w:proofErr w:type="spellEnd"/>
          </w:p>
        </w:tc>
        <w:tc>
          <w:tcPr>
            <w:tcW w:w="1352" w:type="pct"/>
            <w:tcBorders>
              <w:top w:val="single" w:sz="4" w:space="0" w:color="auto"/>
              <w:bottom w:val="single" w:sz="4" w:space="0" w:color="auto"/>
            </w:tcBorders>
          </w:tcPr>
          <w:p w14:paraId="3F912D72" w14:textId="15347384" w:rsidR="0023311C" w:rsidRPr="000D4E5B" w:rsidRDefault="0023311C" w:rsidP="0023311C">
            <w:pPr>
              <w:pStyle w:val="Paragraph"/>
              <w:spacing w:before="60" w:after="60"/>
              <w:rPr>
                <w:sz w:val="22"/>
                <w:szCs w:val="22"/>
              </w:rPr>
            </w:pPr>
            <w:r w:rsidRPr="000D4E5B">
              <w:rPr>
                <w:sz w:val="22"/>
                <w:szCs w:val="22"/>
              </w:rPr>
              <w:t>Uncommon</w:t>
            </w:r>
          </w:p>
        </w:tc>
        <w:tc>
          <w:tcPr>
            <w:tcW w:w="1368" w:type="pct"/>
            <w:tcBorders>
              <w:top w:val="single" w:sz="4" w:space="0" w:color="auto"/>
              <w:bottom w:val="single" w:sz="4" w:space="0" w:color="auto"/>
            </w:tcBorders>
          </w:tcPr>
          <w:p w14:paraId="3F894C4D" w14:textId="1D31665B" w:rsidR="0023311C" w:rsidRPr="000D4E5B" w:rsidRDefault="007415A9" w:rsidP="0023311C">
            <w:pPr>
              <w:pStyle w:val="Paragraph"/>
              <w:spacing w:before="60" w:after="60"/>
              <w:rPr>
                <w:sz w:val="22"/>
                <w:szCs w:val="22"/>
              </w:rPr>
            </w:pPr>
            <w:r>
              <w:rPr>
                <w:sz w:val="22"/>
                <w:szCs w:val="22"/>
              </w:rPr>
              <w:t>Rare</w:t>
            </w:r>
          </w:p>
        </w:tc>
      </w:tr>
      <w:tr w:rsidR="0023311C" w:rsidRPr="000D4E5B" w14:paraId="1B7FF234" w14:textId="77777777" w:rsidTr="0023311C">
        <w:trPr>
          <w:cantSplit/>
        </w:trPr>
        <w:tc>
          <w:tcPr>
            <w:tcW w:w="1121" w:type="pct"/>
            <w:tcBorders>
              <w:top w:val="single" w:sz="4" w:space="0" w:color="auto"/>
              <w:left w:val="nil"/>
              <w:bottom w:val="single" w:sz="4" w:space="0" w:color="auto"/>
              <w:right w:val="nil"/>
            </w:tcBorders>
          </w:tcPr>
          <w:p w14:paraId="6C28DADF" w14:textId="77777777" w:rsidR="0023311C" w:rsidRPr="000D4E5B" w:rsidRDefault="0023311C" w:rsidP="0023311C">
            <w:pPr>
              <w:pStyle w:val="Paragraph"/>
              <w:spacing w:before="60" w:after="60"/>
              <w:rPr>
                <w:sz w:val="22"/>
                <w:szCs w:val="22"/>
              </w:rPr>
            </w:pPr>
            <w:r w:rsidRPr="000D4E5B">
              <w:rPr>
                <w:sz w:val="22"/>
                <w:szCs w:val="22"/>
              </w:rPr>
              <w:t>Metabolism and nutrition disorders</w:t>
            </w:r>
          </w:p>
        </w:tc>
        <w:tc>
          <w:tcPr>
            <w:tcW w:w="1159" w:type="pct"/>
            <w:tcBorders>
              <w:top w:val="single" w:sz="4" w:space="0" w:color="auto"/>
              <w:left w:val="nil"/>
              <w:bottom w:val="single" w:sz="4" w:space="0" w:color="auto"/>
              <w:right w:val="nil"/>
            </w:tcBorders>
          </w:tcPr>
          <w:p w14:paraId="76618695" w14:textId="77777777" w:rsidR="0023311C" w:rsidRPr="000D4E5B" w:rsidRDefault="0023311C" w:rsidP="0023311C">
            <w:pPr>
              <w:pStyle w:val="Paragraph"/>
              <w:spacing w:before="60" w:after="60"/>
              <w:rPr>
                <w:sz w:val="22"/>
                <w:szCs w:val="22"/>
              </w:rPr>
            </w:pPr>
            <w:r w:rsidRPr="000D4E5B">
              <w:rPr>
                <w:sz w:val="22"/>
                <w:szCs w:val="22"/>
              </w:rPr>
              <w:t>Decreased appetite</w:t>
            </w:r>
          </w:p>
        </w:tc>
        <w:tc>
          <w:tcPr>
            <w:tcW w:w="1352" w:type="pct"/>
            <w:tcBorders>
              <w:top w:val="single" w:sz="4" w:space="0" w:color="auto"/>
              <w:left w:val="nil"/>
              <w:bottom w:val="single" w:sz="4" w:space="0" w:color="auto"/>
              <w:right w:val="nil"/>
            </w:tcBorders>
          </w:tcPr>
          <w:p w14:paraId="1674FFC9" w14:textId="77777777"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single" w:sz="4" w:space="0" w:color="auto"/>
              <w:left w:val="nil"/>
              <w:bottom w:val="single" w:sz="4" w:space="0" w:color="auto"/>
              <w:right w:val="nil"/>
            </w:tcBorders>
          </w:tcPr>
          <w:p w14:paraId="21858D06" w14:textId="5800C234" w:rsidR="0023311C" w:rsidRPr="000D4E5B" w:rsidRDefault="0023311C" w:rsidP="0023311C">
            <w:pPr>
              <w:pStyle w:val="Paragraph"/>
              <w:spacing w:before="60" w:after="60"/>
              <w:rPr>
                <w:sz w:val="22"/>
                <w:szCs w:val="22"/>
              </w:rPr>
            </w:pPr>
            <w:r w:rsidRPr="000D4E5B">
              <w:rPr>
                <w:sz w:val="22"/>
                <w:szCs w:val="22"/>
              </w:rPr>
              <w:t>Uncommon</w:t>
            </w:r>
          </w:p>
        </w:tc>
      </w:tr>
      <w:tr w:rsidR="0023311C" w:rsidRPr="000D4E5B" w14:paraId="17C16226" w14:textId="77777777" w:rsidTr="00D86947">
        <w:trPr>
          <w:cantSplit/>
        </w:trPr>
        <w:tc>
          <w:tcPr>
            <w:tcW w:w="1121" w:type="pct"/>
            <w:vMerge w:val="restart"/>
            <w:tcBorders>
              <w:top w:val="single" w:sz="4" w:space="0" w:color="auto"/>
              <w:left w:val="nil"/>
              <w:right w:val="nil"/>
            </w:tcBorders>
          </w:tcPr>
          <w:p w14:paraId="167B7242" w14:textId="2B10ADA7" w:rsidR="0023311C" w:rsidRPr="000D4E5B" w:rsidRDefault="0023311C" w:rsidP="0023311C">
            <w:pPr>
              <w:pStyle w:val="Paragraph"/>
              <w:spacing w:before="60" w:after="60"/>
              <w:rPr>
                <w:sz w:val="22"/>
                <w:szCs w:val="22"/>
              </w:rPr>
            </w:pPr>
            <w:r w:rsidRPr="000D4E5B">
              <w:rPr>
                <w:sz w:val="22"/>
                <w:szCs w:val="22"/>
              </w:rPr>
              <w:t>Nervous system disorders</w:t>
            </w:r>
          </w:p>
        </w:tc>
        <w:tc>
          <w:tcPr>
            <w:tcW w:w="1159" w:type="pct"/>
            <w:tcBorders>
              <w:top w:val="single" w:sz="4" w:space="0" w:color="auto"/>
              <w:left w:val="nil"/>
              <w:bottom w:val="nil"/>
              <w:right w:val="nil"/>
            </w:tcBorders>
          </w:tcPr>
          <w:p w14:paraId="18DB1EC1" w14:textId="7393D60C" w:rsidR="0023311C" w:rsidRPr="000D4E5B" w:rsidRDefault="0023311C" w:rsidP="0023311C">
            <w:pPr>
              <w:pStyle w:val="Paragraph"/>
              <w:spacing w:before="60" w:after="60"/>
              <w:rPr>
                <w:sz w:val="22"/>
                <w:szCs w:val="22"/>
              </w:rPr>
            </w:pPr>
            <w:r w:rsidRPr="000D4E5B">
              <w:rPr>
                <w:sz w:val="22"/>
                <w:szCs w:val="22"/>
              </w:rPr>
              <w:t xml:space="preserve">Dizziness </w:t>
            </w:r>
          </w:p>
        </w:tc>
        <w:tc>
          <w:tcPr>
            <w:tcW w:w="1352" w:type="pct"/>
            <w:tcBorders>
              <w:top w:val="single" w:sz="4" w:space="0" w:color="auto"/>
              <w:left w:val="nil"/>
              <w:bottom w:val="nil"/>
              <w:right w:val="nil"/>
            </w:tcBorders>
          </w:tcPr>
          <w:p w14:paraId="29377E3F" w14:textId="021F017F"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single" w:sz="4" w:space="0" w:color="auto"/>
              <w:left w:val="nil"/>
              <w:bottom w:val="nil"/>
              <w:right w:val="nil"/>
            </w:tcBorders>
          </w:tcPr>
          <w:p w14:paraId="50F31033" w14:textId="170AAC37" w:rsidR="0023311C" w:rsidRPr="000D4E5B" w:rsidRDefault="0023311C" w:rsidP="0023311C">
            <w:pPr>
              <w:pStyle w:val="Paragraph"/>
              <w:spacing w:before="60" w:after="60"/>
              <w:rPr>
                <w:sz w:val="22"/>
                <w:szCs w:val="22"/>
              </w:rPr>
            </w:pPr>
            <w:r w:rsidRPr="000D4E5B">
              <w:rPr>
                <w:sz w:val="22"/>
                <w:szCs w:val="22"/>
              </w:rPr>
              <w:t>Uncommon</w:t>
            </w:r>
          </w:p>
        </w:tc>
      </w:tr>
      <w:tr w:rsidR="0023311C" w:rsidRPr="000D4E5B" w14:paraId="0A7DF339" w14:textId="77777777" w:rsidTr="00D86947">
        <w:trPr>
          <w:cantSplit/>
        </w:trPr>
        <w:tc>
          <w:tcPr>
            <w:tcW w:w="1121" w:type="pct"/>
            <w:vMerge/>
            <w:tcBorders>
              <w:left w:val="nil"/>
              <w:right w:val="nil"/>
            </w:tcBorders>
          </w:tcPr>
          <w:p w14:paraId="70DF1BAD" w14:textId="77777777" w:rsidR="0023311C" w:rsidRPr="000D4E5B" w:rsidRDefault="0023311C" w:rsidP="0023311C">
            <w:pPr>
              <w:pStyle w:val="Paragraph"/>
              <w:spacing w:before="60" w:after="60"/>
              <w:rPr>
                <w:sz w:val="22"/>
                <w:szCs w:val="22"/>
              </w:rPr>
            </w:pPr>
          </w:p>
        </w:tc>
        <w:tc>
          <w:tcPr>
            <w:tcW w:w="1159" w:type="pct"/>
            <w:tcBorders>
              <w:top w:val="nil"/>
              <w:left w:val="nil"/>
              <w:right w:val="nil"/>
            </w:tcBorders>
          </w:tcPr>
          <w:p w14:paraId="3A35ADD0" w14:textId="5CF75265" w:rsidR="0023311C" w:rsidRPr="000D4E5B" w:rsidRDefault="0023311C" w:rsidP="0023311C">
            <w:pPr>
              <w:pStyle w:val="Paragraph"/>
              <w:spacing w:before="60" w:after="60"/>
              <w:rPr>
                <w:sz w:val="22"/>
                <w:szCs w:val="22"/>
              </w:rPr>
            </w:pPr>
            <w:r w:rsidRPr="000D4E5B">
              <w:rPr>
                <w:sz w:val="22"/>
                <w:szCs w:val="22"/>
              </w:rPr>
              <w:t xml:space="preserve">Headache </w:t>
            </w:r>
          </w:p>
        </w:tc>
        <w:tc>
          <w:tcPr>
            <w:tcW w:w="1352" w:type="pct"/>
            <w:tcBorders>
              <w:top w:val="nil"/>
              <w:left w:val="nil"/>
              <w:right w:val="nil"/>
            </w:tcBorders>
          </w:tcPr>
          <w:p w14:paraId="3859E90B" w14:textId="4D839C57"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nil"/>
              <w:left w:val="nil"/>
              <w:right w:val="nil"/>
            </w:tcBorders>
          </w:tcPr>
          <w:p w14:paraId="6C4E14B9" w14:textId="56354C4C" w:rsidR="0023311C" w:rsidRPr="000D4E5B" w:rsidRDefault="0023311C" w:rsidP="0023311C">
            <w:pPr>
              <w:pStyle w:val="Paragraph"/>
              <w:spacing w:before="60" w:after="60"/>
              <w:rPr>
                <w:sz w:val="22"/>
                <w:szCs w:val="22"/>
              </w:rPr>
            </w:pPr>
            <w:r w:rsidRPr="000D4E5B">
              <w:rPr>
                <w:sz w:val="22"/>
                <w:szCs w:val="22"/>
              </w:rPr>
              <w:t>Uncommon</w:t>
            </w:r>
            <w:r w:rsidRPr="000D4E5B" w:rsidDel="009D3C16">
              <w:rPr>
                <w:sz w:val="22"/>
                <w:szCs w:val="22"/>
              </w:rPr>
              <w:t xml:space="preserve"> </w:t>
            </w:r>
          </w:p>
        </w:tc>
      </w:tr>
      <w:tr w:rsidR="0023311C" w:rsidRPr="000D4E5B" w14:paraId="10C3F74F" w14:textId="77777777" w:rsidTr="001107B7">
        <w:trPr>
          <w:cantSplit/>
        </w:trPr>
        <w:tc>
          <w:tcPr>
            <w:tcW w:w="1121" w:type="pct"/>
            <w:vMerge/>
            <w:tcBorders>
              <w:left w:val="nil"/>
              <w:bottom w:val="single" w:sz="4" w:space="0" w:color="auto"/>
              <w:right w:val="nil"/>
            </w:tcBorders>
          </w:tcPr>
          <w:p w14:paraId="1CE8887B" w14:textId="77777777" w:rsidR="0023311C" w:rsidRPr="000D4E5B" w:rsidRDefault="0023311C" w:rsidP="0023311C">
            <w:pPr>
              <w:pStyle w:val="Paragraph"/>
              <w:spacing w:before="60" w:after="60"/>
              <w:rPr>
                <w:sz w:val="22"/>
                <w:szCs w:val="22"/>
              </w:rPr>
            </w:pPr>
          </w:p>
        </w:tc>
        <w:tc>
          <w:tcPr>
            <w:tcW w:w="1159" w:type="pct"/>
            <w:tcBorders>
              <w:top w:val="nil"/>
              <w:left w:val="nil"/>
              <w:bottom w:val="single" w:sz="4" w:space="0" w:color="auto"/>
              <w:right w:val="nil"/>
            </w:tcBorders>
          </w:tcPr>
          <w:p w14:paraId="1FC8A80F" w14:textId="3EF6A06F" w:rsidR="0023311C" w:rsidRPr="000D4E5B" w:rsidRDefault="0023311C" w:rsidP="0023311C">
            <w:pPr>
              <w:pStyle w:val="Paragraph"/>
              <w:spacing w:before="60" w:after="60"/>
              <w:rPr>
                <w:sz w:val="22"/>
                <w:szCs w:val="22"/>
              </w:rPr>
            </w:pPr>
            <w:proofErr w:type="spellStart"/>
            <w:r w:rsidRPr="000D4E5B">
              <w:rPr>
                <w:sz w:val="22"/>
                <w:szCs w:val="22"/>
              </w:rPr>
              <w:t>Dysgeusia</w:t>
            </w:r>
            <w:proofErr w:type="spellEnd"/>
            <w:r w:rsidRPr="000D4E5B">
              <w:rPr>
                <w:sz w:val="22"/>
                <w:szCs w:val="22"/>
              </w:rPr>
              <w:t xml:space="preserve"> </w:t>
            </w:r>
          </w:p>
        </w:tc>
        <w:tc>
          <w:tcPr>
            <w:tcW w:w="1352" w:type="pct"/>
            <w:tcBorders>
              <w:top w:val="nil"/>
              <w:left w:val="nil"/>
              <w:bottom w:val="single" w:sz="4" w:space="0" w:color="auto"/>
              <w:right w:val="nil"/>
            </w:tcBorders>
          </w:tcPr>
          <w:p w14:paraId="6FE404F6" w14:textId="16D59859" w:rsidR="0023311C" w:rsidRPr="000D4E5B" w:rsidRDefault="0023311C" w:rsidP="0023311C">
            <w:pPr>
              <w:pStyle w:val="Paragraph"/>
              <w:spacing w:before="60" w:after="60"/>
              <w:rPr>
                <w:sz w:val="22"/>
                <w:szCs w:val="22"/>
              </w:rPr>
            </w:pPr>
            <w:r w:rsidRPr="000D4E5B">
              <w:rPr>
                <w:sz w:val="22"/>
                <w:szCs w:val="22"/>
              </w:rPr>
              <w:t xml:space="preserve">Very common </w:t>
            </w:r>
          </w:p>
        </w:tc>
        <w:tc>
          <w:tcPr>
            <w:tcW w:w="1368" w:type="pct"/>
            <w:tcBorders>
              <w:top w:val="nil"/>
              <w:left w:val="nil"/>
              <w:bottom w:val="single" w:sz="4" w:space="0" w:color="auto"/>
              <w:right w:val="nil"/>
            </w:tcBorders>
          </w:tcPr>
          <w:p w14:paraId="199F5671" w14:textId="44EE32AD" w:rsidR="0023311C" w:rsidRPr="000D4E5B" w:rsidRDefault="0023311C" w:rsidP="0023311C">
            <w:pPr>
              <w:pStyle w:val="Paragraph"/>
              <w:spacing w:before="60" w:after="60"/>
              <w:rPr>
                <w:sz w:val="22"/>
                <w:szCs w:val="22"/>
              </w:rPr>
            </w:pPr>
            <w:r w:rsidRPr="000D4E5B">
              <w:rPr>
                <w:sz w:val="22"/>
                <w:szCs w:val="22"/>
              </w:rPr>
              <w:t xml:space="preserve">- </w:t>
            </w:r>
          </w:p>
        </w:tc>
      </w:tr>
      <w:tr w:rsidR="0023311C" w:rsidRPr="000D4E5B" w14:paraId="72CC43B6" w14:textId="77777777" w:rsidTr="00957DE6">
        <w:trPr>
          <w:cantSplit/>
        </w:trPr>
        <w:tc>
          <w:tcPr>
            <w:tcW w:w="1121" w:type="pct"/>
            <w:vMerge w:val="restart"/>
            <w:tcBorders>
              <w:top w:val="single" w:sz="4" w:space="0" w:color="auto"/>
              <w:left w:val="nil"/>
              <w:right w:val="nil"/>
            </w:tcBorders>
          </w:tcPr>
          <w:p w14:paraId="3B3872A5" w14:textId="162DC881" w:rsidR="0023311C" w:rsidRPr="000D4E5B" w:rsidRDefault="0023311C" w:rsidP="0023311C">
            <w:pPr>
              <w:pStyle w:val="Paragraph"/>
              <w:spacing w:before="60" w:after="60"/>
              <w:rPr>
                <w:sz w:val="22"/>
                <w:szCs w:val="22"/>
              </w:rPr>
            </w:pPr>
            <w:r w:rsidRPr="000D4E5B">
              <w:rPr>
                <w:sz w:val="22"/>
                <w:szCs w:val="22"/>
                <w:lang w:val="en-AU"/>
              </w:rPr>
              <w:t>Respiratory, thoracic and mediastinal disorders</w:t>
            </w:r>
          </w:p>
        </w:tc>
        <w:tc>
          <w:tcPr>
            <w:tcW w:w="1159" w:type="pct"/>
            <w:tcBorders>
              <w:top w:val="single" w:sz="4" w:space="0" w:color="auto"/>
              <w:left w:val="nil"/>
              <w:right w:val="nil"/>
            </w:tcBorders>
          </w:tcPr>
          <w:p w14:paraId="7F9304F8" w14:textId="689F347A" w:rsidR="0023311C" w:rsidRPr="000D4E5B" w:rsidRDefault="0023311C" w:rsidP="0023311C">
            <w:pPr>
              <w:pStyle w:val="Paragraph"/>
              <w:spacing w:before="60" w:after="60"/>
              <w:rPr>
                <w:sz w:val="22"/>
                <w:szCs w:val="22"/>
                <w:vertAlign w:val="superscript"/>
              </w:rPr>
            </w:pPr>
            <w:proofErr w:type="spellStart"/>
            <w:r w:rsidRPr="000D4E5B">
              <w:rPr>
                <w:sz w:val="22"/>
                <w:szCs w:val="22"/>
              </w:rPr>
              <w:t>Cough</w:t>
            </w:r>
            <w:r w:rsidRPr="000D4E5B">
              <w:rPr>
                <w:sz w:val="22"/>
                <w:szCs w:val="22"/>
                <w:vertAlign w:val="superscript"/>
              </w:rPr>
              <w:t>a</w:t>
            </w:r>
            <w:proofErr w:type="spellEnd"/>
          </w:p>
        </w:tc>
        <w:tc>
          <w:tcPr>
            <w:tcW w:w="1352" w:type="pct"/>
            <w:tcBorders>
              <w:top w:val="single" w:sz="4" w:space="0" w:color="auto"/>
              <w:left w:val="nil"/>
              <w:right w:val="nil"/>
            </w:tcBorders>
          </w:tcPr>
          <w:p w14:paraId="4632A6EA" w14:textId="356BFD92"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single" w:sz="4" w:space="0" w:color="auto"/>
              <w:left w:val="nil"/>
              <w:right w:val="nil"/>
            </w:tcBorders>
          </w:tcPr>
          <w:p w14:paraId="203A2C90" w14:textId="0E6D4936" w:rsidR="0023311C" w:rsidRPr="000D4E5B" w:rsidRDefault="0023311C" w:rsidP="0023311C">
            <w:pPr>
              <w:pStyle w:val="Paragraph"/>
              <w:spacing w:before="60" w:after="60"/>
              <w:rPr>
                <w:sz w:val="22"/>
                <w:szCs w:val="22"/>
              </w:rPr>
            </w:pPr>
            <w:r w:rsidRPr="000D4E5B">
              <w:rPr>
                <w:sz w:val="22"/>
                <w:szCs w:val="22"/>
              </w:rPr>
              <w:t>Uncommon</w:t>
            </w:r>
          </w:p>
        </w:tc>
      </w:tr>
      <w:tr w:rsidR="0023311C" w:rsidRPr="000D4E5B" w14:paraId="54814613" w14:textId="77777777" w:rsidTr="00957DE6">
        <w:trPr>
          <w:cantSplit/>
        </w:trPr>
        <w:tc>
          <w:tcPr>
            <w:tcW w:w="1121" w:type="pct"/>
            <w:vMerge/>
            <w:tcBorders>
              <w:left w:val="nil"/>
              <w:bottom w:val="single" w:sz="4" w:space="0" w:color="auto"/>
              <w:right w:val="nil"/>
            </w:tcBorders>
          </w:tcPr>
          <w:p w14:paraId="06807EF6" w14:textId="77777777" w:rsidR="0023311C" w:rsidRPr="000D4E5B" w:rsidRDefault="0023311C" w:rsidP="0023311C">
            <w:pPr>
              <w:pStyle w:val="Paragraph"/>
              <w:spacing w:before="60" w:after="60"/>
              <w:rPr>
                <w:sz w:val="22"/>
                <w:szCs w:val="22"/>
                <w:lang w:val="en-AU"/>
              </w:rPr>
            </w:pPr>
          </w:p>
        </w:tc>
        <w:tc>
          <w:tcPr>
            <w:tcW w:w="1159" w:type="pct"/>
            <w:tcBorders>
              <w:left w:val="nil"/>
              <w:bottom w:val="single" w:sz="4" w:space="0" w:color="auto"/>
              <w:right w:val="nil"/>
            </w:tcBorders>
          </w:tcPr>
          <w:p w14:paraId="0A934829" w14:textId="56FEA487" w:rsidR="0023311C" w:rsidRPr="000D4E5B" w:rsidRDefault="0023311C" w:rsidP="0023311C">
            <w:pPr>
              <w:pStyle w:val="Paragraph"/>
              <w:spacing w:before="60" w:after="60"/>
              <w:rPr>
                <w:sz w:val="22"/>
                <w:szCs w:val="22"/>
              </w:rPr>
            </w:pPr>
            <w:proofErr w:type="spellStart"/>
            <w:r w:rsidRPr="000D4E5B">
              <w:rPr>
                <w:sz w:val="22"/>
                <w:szCs w:val="22"/>
              </w:rPr>
              <w:t>Dyspnoea</w:t>
            </w:r>
            <w:r w:rsidRPr="000D4E5B">
              <w:rPr>
                <w:sz w:val="22"/>
                <w:szCs w:val="22"/>
                <w:vertAlign w:val="superscript"/>
              </w:rPr>
              <w:t>a</w:t>
            </w:r>
            <w:proofErr w:type="spellEnd"/>
          </w:p>
        </w:tc>
        <w:tc>
          <w:tcPr>
            <w:tcW w:w="1352" w:type="pct"/>
            <w:tcBorders>
              <w:left w:val="nil"/>
              <w:bottom w:val="single" w:sz="4" w:space="0" w:color="auto"/>
              <w:right w:val="nil"/>
            </w:tcBorders>
          </w:tcPr>
          <w:p w14:paraId="4F44077D" w14:textId="72D8EAF9"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left w:val="nil"/>
              <w:bottom w:val="single" w:sz="4" w:space="0" w:color="auto"/>
              <w:right w:val="nil"/>
            </w:tcBorders>
          </w:tcPr>
          <w:p w14:paraId="7FE021E5" w14:textId="658F51A6" w:rsidR="0023311C" w:rsidRPr="000D4E5B" w:rsidRDefault="0023311C" w:rsidP="0023311C">
            <w:pPr>
              <w:pStyle w:val="Paragraph"/>
              <w:spacing w:before="60" w:after="60"/>
              <w:rPr>
                <w:sz w:val="22"/>
                <w:szCs w:val="22"/>
              </w:rPr>
            </w:pPr>
            <w:r w:rsidRPr="000D4E5B">
              <w:rPr>
                <w:sz w:val="22"/>
                <w:szCs w:val="22"/>
              </w:rPr>
              <w:t>Common</w:t>
            </w:r>
          </w:p>
        </w:tc>
      </w:tr>
      <w:tr w:rsidR="0023311C" w:rsidRPr="000D4E5B" w14:paraId="17C7699F" w14:textId="77777777" w:rsidTr="00710156">
        <w:trPr>
          <w:cantSplit/>
        </w:trPr>
        <w:tc>
          <w:tcPr>
            <w:tcW w:w="1121" w:type="pct"/>
            <w:vMerge w:val="restart"/>
            <w:tcBorders>
              <w:top w:val="single" w:sz="4" w:space="0" w:color="auto"/>
              <w:left w:val="nil"/>
              <w:right w:val="nil"/>
            </w:tcBorders>
          </w:tcPr>
          <w:p w14:paraId="48F34566" w14:textId="77777777" w:rsidR="0023311C" w:rsidRPr="000D4E5B" w:rsidRDefault="0023311C" w:rsidP="0023311C">
            <w:pPr>
              <w:pStyle w:val="Paragraph"/>
              <w:spacing w:before="60" w:after="60"/>
              <w:rPr>
                <w:sz w:val="22"/>
                <w:szCs w:val="22"/>
              </w:rPr>
            </w:pPr>
            <w:r w:rsidRPr="000D4E5B">
              <w:rPr>
                <w:sz w:val="22"/>
                <w:szCs w:val="22"/>
              </w:rPr>
              <w:t>Gastrointestinal disorders</w:t>
            </w:r>
          </w:p>
        </w:tc>
        <w:tc>
          <w:tcPr>
            <w:tcW w:w="1159" w:type="pct"/>
            <w:tcBorders>
              <w:top w:val="single" w:sz="4" w:space="0" w:color="auto"/>
              <w:left w:val="nil"/>
              <w:bottom w:val="nil"/>
              <w:right w:val="nil"/>
            </w:tcBorders>
          </w:tcPr>
          <w:p w14:paraId="37BA40A2" w14:textId="028524BB" w:rsidR="0023311C" w:rsidRPr="000D4E5B" w:rsidRDefault="0023311C" w:rsidP="0023311C">
            <w:pPr>
              <w:pStyle w:val="Paragraph"/>
              <w:spacing w:before="60" w:after="60"/>
              <w:rPr>
                <w:sz w:val="22"/>
                <w:szCs w:val="22"/>
              </w:rPr>
            </w:pPr>
            <w:r w:rsidRPr="000D4E5B">
              <w:rPr>
                <w:sz w:val="22"/>
                <w:szCs w:val="22"/>
              </w:rPr>
              <w:t xml:space="preserve">Vomiting </w:t>
            </w:r>
          </w:p>
        </w:tc>
        <w:tc>
          <w:tcPr>
            <w:tcW w:w="1352" w:type="pct"/>
            <w:tcBorders>
              <w:top w:val="single" w:sz="4" w:space="0" w:color="auto"/>
              <w:left w:val="nil"/>
              <w:bottom w:val="nil"/>
              <w:right w:val="nil"/>
            </w:tcBorders>
          </w:tcPr>
          <w:p w14:paraId="7F4E53E0" w14:textId="415C89A9"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single" w:sz="4" w:space="0" w:color="auto"/>
              <w:left w:val="nil"/>
              <w:bottom w:val="nil"/>
              <w:right w:val="nil"/>
            </w:tcBorders>
          </w:tcPr>
          <w:p w14:paraId="7AF4AE16" w14:textId="1619E041" w:rsidR="0023311C" w:rsidRPr="000D4E5B" w:rsidRDefault="0023311C" w:rsidP="0023311C">
            <w:pPr>
              <w:pStyle w:val="Paragraph"/>
              <w:spacing w:before="60" w:after="60"/>
              <w:rPr>
                <w:sz w:val="22"/>
                <w:szCs w:val="22"/>
              </w:rPr>
            </w:pPr>
            <w:r w:rsidRPr="000D4E5B">
              <w:rPr>
                <w:sz w:val="22"/>
                <w:szCs w:val="22"/>
              </w:rPr>
              <w:t>Common</w:t>
            </w:r>
          </w:p>
        </w:tc>
      </w:tr>
      <w:tr w:rsidR="0023311C" w:rsidRPr="000D4E5B" w14:paraId="58435359" w14:textId="77777777" w:rsidTr="00D86947">
        <w:trPr>
          <w:cantSplit/>
        </w:trPr>
        <w:tc>
          <w:tcPr>
            <w:tcW w:w="1121" w:type="pct"/>
            <w:vMerge/>
            <w:tcBorders>
              <w:left w:val="nil"/>
              <w:right w:val="nil"/>
            </w:tcBorders>
          </w:tcPr>
          <w:p w14:paraId="582BB454" w14:textId="77777777" w:rsidR="0023311C" w:rsidRPr="000D4E5B" w:rsidRDefault="0023311C" w:rsidP="0023311C">
            <w:pPr>
              <w:pStyle w:val="Paragraph"/>
              <w:spacing w:before="60" w:after="60"/>
              <w:rPr>
                <w:sz w:val="22"/>
                <w:szCs w:val="22"/>
              </w:rPr>
            </w:pPr>
          </w:p>
        </w:tc>
        <w:tc>
          <w:tcPr>
            <w:tcW w:w="1159" w:type="pct"/>
            <w:tcBorders>
              <w:top w:val="nil"/>
              <w:left w:val="nil"/>
              <w:bottom w:val="nil"/>
              <w:right w:val="nil"/>
            </w:tcBorders>
          </w:tcPr>
          <w:p w14:paraId="1FB1E3DE" w14:textId="0E4B67E7" w:rsidR="0023311C" w:rsidRPr="000D4E5B" w:rsidRDefault="0023311C" w:rsidP="0023311C">
            <w:pPr>
              <w:pStyle w:val="Paragraph"/>
              <w:spacing w:before="60" w:after="60"/>
              <w:rPr>
                <w:sz w:val="22"/>
                <w:szCs w:val="22"/>
              </w:rPr>
            </w:pPr>
            <w:r w:rsidRPr="000D4E5B">
              <w:rPr>
                <w:sz w:val="22"/>
                <w:szCs w:val="22"/>
              </w:rPr>
              <w:t xml:space="preserve">Diarrhoea </w:t>
            </w:r>
          </w:p>
        </w:tc>
        <w:tc>
          <w:tcPr>
            <w:tcW w:w="1352" w:type="pct"/>
            <w:tcBorders>
              <w:top w:val="nil"/>
              <w:left w:val="nil"/>
              <w:bottom w:val="nil"/>
              <w:right w:val="nil"/>
            </w:tcBorders>
          </w:tcPr>
          <w:p w14:paraId="067F7DF7" w14:textId="79BCD881"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nil"/>
              <w:left w:val="nil"/>
              <w:bottom w:val="nil"/>
              <w:right w:val="nil"/>
            </w:tcBorders>
          </w:tcPr>
          <w:p w14:paraId="641016B0" w14:textId="5CCAC439" w:rsidR="0023311C" w:rsidRPr="000D4E5B" w:rsidRDefault="0023311C" w:rsidP="0023311C">
            <w:pPr>
              <w:pStyle w:val="Paragraph"/>
              <w:spacing w:before="60" w:after="60"/>
              <w:rPr>
                <w:sz w:val="22"/>
                <w:szCs w:val="22"/>
              </w:rPr>
            </w:pPr>
            <w:r w:rsidRPr="000D4E5B">
              <w:rPr>
                <w:sz w:val="22"/>
                <w:szCs w:val="22"/>
              </w:rPr>
              <w:t>Common</w:t>
            </w:r>
          </w:p>
        </w:tc>
      </w:tr>
      <w:tr w:rsidR="0023311C" w:rsidRPr="000D4E5B" w14:paraId="73CEE9CD" w14:textId="77777777" w:rsidTr="00D86947">
        <w:trPr>
          <w:cantSplit/>
        </w:trPr>
        <w:tc>
          <w:tcPr>
            <w:tcW w:w="1121" w:type="pct"/>
            <w:vMerge/>
            <w:tcBorders>
              <w:left w:val="nil"/>
              <w:right w:val="nil"/>
            </w:tcBorders>
          </w:tcPr>
          <w:p w14:paraId="29E16F60" w14:textId="77777777" w:rsidR="0023311C" w:rsidRPr="000D4E5B" w:rsidRDefault="0023311C" w:rsidP="0023311C">
            <w:pPr>
              <w:pStyle w:val="Paragraph"/>
              <w:spacing w:before="60" w:after="60"/>
              <w:rPr>
                <w:sz w:val="22"/>
                <w:szCs w:val="22"/>
              </w:rPr>
            </w:pPr>
          </w:p>
        </w:tc>
        <w:tc>
          <w:tcPr>
            <w:tcW w:w="1159" w:type="pct"/>
            <w:tcBorders>
              <w:top w:val="nil"/>
              <w:left w:val="nil"/>
              <w:bottom w:val="nil"/>
              <w:right w:val="nil"/>
            </w:tcBorders>
          </w:tcPr>
          <w:p w14:paraId="487A7AE2" w14:textId="38D477A8" w:rsidR="0023311C" w:rsidRPr="000D4E5B" w:rsidRDefault="0023311C" w:rsidP="0023311C">
            <w:pPr>
              <w:pStyle w:val="Paragraph"/>
              <w:spacing w:before="60" w:after="60"/>
              <w:rPr>
                <w:sz w:val="22"/>
                <w:szCs w:val="22"/>
              </w:rPr>
            </w:pPr>
            <w:r w:rsidRPr="000D4E5B">
              <w:rPr>
                <w:sz w:val="22"/>
                <w:szCs w:val="22"/>
              </w:rPr>
              <w:t xml:space="preserve">Nausea </w:t>
            </w:r>
          </w:p>
        </w:tc>
        <w:tc>
          <w:tcPr>
            <w:tcW w:w="1352" w:type="pct"/>
            <w:tcBorders>
              <w:top w:val="nil"/>
              <w:left w:val="nil"/>
              <w:bottom w:val="nil"/>
              <w:right w:val="nil"/>
            </w:tcBorders>
          </w:tcPr>
          <w:p w14:paraId="1DC9151B" w14:textId="69D6A62E"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nil"/>
              <w:left w:val="nil"/>
              <w:bottom w:val="nil"/>
              <w:right w:val="nil"/>
            </w:tcBorders>
          </w:tcPr>
          <w:p w14:paraId="463B80F4" w14:textId="6AB22CFE" w:rsidR="0023311C" w:rsidRPr="000D4E5B" w:rsidRDefault="0023311C" w:rsidP="0023311C">
            <w:pPr>
              <w:pStyle w:val="Paragraph"/>
              <w:spacing w:before="60" w:after="60"/>
              <w:rPr>
                <w:sz w:val="22"/>
                <w:szCs w:val="22"/>
              </w:rPr>
            </w:pPr>
            <w:r w:rsidRPr="000D4E5B">
              <w:rPr>
                <w:sz w:val="22"/>
                <w:szCs w:val="22"/>
              </w:rPr>
              <w:t>Common</w:t>
            </w:r>
          </w:p>
        </w:tc>
      </w:tr>
      <w:tr w:rsidR="0023311C" w:rsidRPr="000D4E5B" w14:paraId="1A6B52EC" w14:textId="77777777" w:rsidTr="00D86947">
        <w:trPr>
          <w:cantSplit/>
        </w:trPr>
        <w:tc>
          <w:tcPr>
            <w:tcW w:w="1121" w:type="pct"/>
            <w:vMerge/>
            <w:tcBorders>
              <w:left w:val="nil"/>
              <w:right w:val="nil"/>
            </w:tcBorders>
          </w:tcPr>
          <w:p w14:paraId="63EC6384" w14:textId="77777777" w:rsidR="0023311C" w:rsidRPr="000D4E5B" w:rsidRDefault="0023311C" w:rsidP="0023311C">
            <w:pPr>
              <w:pStyle w:val="Paragraph"/>
              <w:spacing w:before="60" w:after="60"/>
              <w:rPr>
                <w:sz w:val="22"/>
                <w:szCs w:val="22"/>
              </w:rPr>
            </w:pPr>
          </w:p>
        </w:tc>
        <w:tc>
          <w:tcPr>
            <w:tcW w:w="1159" w:type="pct"/>
            <w:tcBorders>
              <w:top w:val="nil"/>
              <w:left w:val="nil"/>
              <w:right w:val="nil"/>
            </w:tcBorders>
          </w:tcPr>
          <w:p w14:paraId="7EB2BD81" w14:textId="77777777" w:rsidR="0023311C" w:rsidRPr="000D4E5B" w:rsidRDefault="0023311C" w:rsidP="0023311C">
            <w:pPr>
              <w:pStyle w:val="Paragraph"/>
              <w:spacing w:before="60" w:after="60"/>
              <w:rPr>
                <w:sz w:val="22"/>
                <w:szCs w:val="22"/>
              </w:rPr>
            </w:pPr>
            <w:r w:rsidRPr="000D4E5B">
              <w:rPr>
                <w:sz w:val="22"/>
                <w:szCs w:val="22"/>
              </w:rPr>
              <w:t>Dyspepsia</w:t>
            </w:r>
          </w:p>
        </w:tc>
        <w:tc>
          <w:tcPr>
            <w:tcW w:w="1352" w:type="pct"/>
            <w:tcBorders>
              <w:top w:val="nil"/>
              <w:left w:val="nil"/>
              <w:right w:val="nil"/>
            </w:tcBorders>
          </w:tcPr>
          <w:p w14:paraId="2A1CF60D" w14:textId="77777777"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nil"/>
              <w:left w:val="nil"/>
              <w:right w:val="nil"/>
            </w:tcBorders>
          </w:tcPr>
          <w:p w14:paraId="341811B0" w14:textId="33372F51" w:rsidR="0023311C" w:rsidRPr="000D4E5B" w:rsidRDefault="0023311C" w:rsidP="0023311C">
            <w:pPr>
              <w:pStyle w:val="Paragraph"/>
              <w:spacing w:before="60" w:after="60"/>
              <w:rPr>
                <w:sz w:val="22"/>
                <w:szCs w:val="22"/>
              </w:rPr>
            </w:pPr>
            <w:r w:rsidRPr="000D4E5B">
              <w:rPr>
                <w:sz w:val="22"/>
                <w:szCs w:val="22"/>
              </w:rPr>
              <w:t>-</w:t>
            </w:r>
          </w:p>
        </w:tc>
      </w:tr>
      <w:tr w:rsidR="0023311C" w:rsidRPr="000D4E5B" w14:paraId="22AAFD08" w14:textId="77777777" w:rsidTr="00D86947">
        <w:trPr>
          <w:cantSplit/>
        </w:trPr>
        <w:tc>
          <w:tcPr>
            <w:tcW w:w="1121" w:type="pct"/>
            <w:vMerge/>
            <w:tcBorders>
              <w:left w:val="nil"/>
              <w:right w:val="nil"/>
            </w:tcBorders>
          </w:tcPr>
          <w:p w14:paraId="2258F43D" w14:textId="77777777" w:rsidR="0023311C" w:rsidRPr="000D4E5B" w:rsidRDefault="0023311C" w:rsidP="0023311C">
            <w:pPr>
              <w:pStyle w:val="Paragraph"/>
              <w:spacing w:before="60" w:after="60"/>
              <w:rPr>
                <w:sz w:val="22"/>
                <w:szCs w:val="22"/>
              </w:rPr>
            </w:pPr>
          </w:p>
        </w:tc>
        <w:tc>
          <w:tcPr>
            <w:tcW w:w="1159" w:type="pct"/>
            <w:tcBorders>
              <w:top w:val="nil"/>
              <w:left w:val="nil"/>
              <w:right w:val="nil"/>
            </w:tcBorders>
          </w:tcPr>
          <w:p w14:paraId="499E8D18" w14:textId="7456FC75" w:rsidR="0023311C" w:rsidRPr="000D4E5B" w:rsidRDefault="0023311C" w:rsidP="0023311C">
            <w:pPr>
              <w:pStyle w:val="Paragraph"/>
              <w:spacing w:before="60" w:after="60"/>
              <w:rPr>
                <w:sz w:val="22"/>
                <w:szCs w:val="22"/>
              </w:rPr>
            </w:pPr>
            <w:proofErr w:type="spellStart"/>
            <w:r w:rsidRPr="000D4E5B">
              <w:rPr>
                <w:sz w:val="22"/>
                <w:szCs w:val="22"/>
              </w:rPr>
              <w:t>Stomatitis</w:t>
            </w:r>
            <w:r w:rsidRPr="000D4E5B">
              <w:rPr>
                <w:sz w:val="22"/>
                <w:szCs w:val="22"/>
                <w:vertAlign w:val="superscript"/>
              </w:rPr>
              <w:t>a</w:t>
            </w:r>
            <w:proofErr w:type="spellEnd"/>
          </w:p>
        </w:tc>
        <w:tc>
          <w:tcPr>
            <w:tcW w:w="1352" w:type="pct"/>
            <w:tcBorders>
              <w:top w:val="nil"/>
              <w:left w:val="nil"/>
              <w:right w:val="nil"/>
            </w:tcBorders>
          </w:tcPr>
          <w:p w14:paraId="6297AFC1" w14:textId="77777777" w:rsidR="0023311C" w:rsidRPr="000D4E5B" w:rsidRDefault="0023311C" w:rsidP="0023311C">
            <w:pPr>
              <w:pStyle w:val="Paragraph"/>
              <w:spacing w:before="60" w:after="60"/>
              <w:rPr>
                <w:sz w:val="22"/>
                <w:szCs w:val="22"/>
              </w:rPr>
            </w:pPr>
            <w:r w:rsidRPr="000D4E5B">
              <w:rPr>
                <w:sz w:val="22"/>
                <w:szCs w:val="22"/>
              </w:rPr>
              <w:t>Common</w:t>
            </w:r>
          </w:p>
        </w:tc>
        <w:tc>
          <w:tcPr>
            <w:tcW w:w="1368" w:type="pct"/>
            <w:tcBorders>
              <w:top w:val="nil"/>
              <w:left w:val="nil"/>
              <w:right w:val="nil"/>
            </w:tcBorders>
          </w:tcPr>
          <w:p w14:paraId="703E5760" w14:textId="77777777" w:rsidR="0023311C" w:rsidRPr="000D4E5B" w:rsidRDefault="0023311C" w:rsidP="0023311C">
            <w:pPr>
              <w:pStyle w:val="Paragraph"/>
              <w:spacing w:before="60" w:after="60"/>
              <w:rPr>
                <w:sz w:val="22"/>
                <w:szCs w:val="22"/>
              </w:rPr>
            </w:pPr>
            <w:r w:rsidRPr="000D4E5B">
              <w:rPr>
                <w:sz w:val="22"/>
                <w:szCs w:val="22"/>
              </w:rPr>
              <w:t>Uncommon</w:t>
            </w:r>
          </w:p>
        </w:tc>
      </w:tr>
      <w:tr w:rsidR="0023311C" w:rsidRPr="000D4E5B" w14:paraId="5EE10C33" w14:textId="77777777" w:rsidTr="00D86947">
        <w:trPr>
          <w:cantSplit/>
        </w:trPr>
        <w:tc>
          <w:tcPr>
            <w:tcW w:w="1121" w:type="pct"/>
            <w:vMerge/>
            <w:tcBorders>
              <w:left w:val="nil"/>
              <w:bottom w:val="single" w:sz="4" w:space="0" w:color="auto"/>
              <w:right w:val="nil"/>
            </w:tcBorders>
          </w:tcPr>
          <w:p w14:paraId="14B9D8D3" w14:textId="77777777" w:rsidR="0023311C" w:rsidRPr="000D4E5B" w:rsidRDefault="0023311C" w:rsidP="0023311C">
            <w:pPr>
              <w:pStyle w:val="Paragraph"/>
              <w:spacing w:before="60" w:after="60"/>
              <w:rPr>
                <w:sz w:val="22"/>
                <w:szCs w:val="22"/>
              </w:rPr>
            </w:pPr>
          </w:p>
        </w:tc>
        <w:tc>
          <w:tcPr>
            <w:tcW w:w="1159" w:type="pct"/>
            <w:tcBorders>
              <w:left w:val="nil"/>
              <w:bottom w:val="single" w:sz="4" w:space="0" w:color="auto"/>
              <w:right w:val="nil"/>
            </w:tcBorders>
          </w:tcPr>
          <w:p w14:paraId="38BFE3FB" w14:textId="1E9C3F81" w:rsidR="0023311C" w:rsidRPr="000D4E5B" w:rsidRDefault="0023311C" w:rsidP="0023311C">
            <w:pPr>
              <w:pStyle w:val="Paragraph"/>
              <w:spacing w:before="60" w:after="60"/>
              <w:rPr>
                <w:sz w:val="22"/>
                <w:szCs w:val="22"/>
              </w:rPr>
            </w:pPr>
            <w:r w:rsidRPr="000D4E5B">
              <w:rPr>
                <w:sz w:val="22"/>
                <w:szCs w:val="22"/>
              </w:rPr>
              <w:t xml:space="preserve">Upper abdominal </w:t>
            </w:r>
            <w:r w:rsidRPr="000D4E5B">
              <w:rPr>
                <w:sz w:val="22"/>
                <w:szCs w:val="22"/>
              </w:rPr>
              <w:br/>
              <w:t>pain</w:t>
            </w:r>
          </w:p>
        </w:tc>
        <w:tc>
          <w:tcPr>
            <w:tcW w:w="1352" w:type="pct"/>
            <w:tcBorders>
              <w:left w:val="nil"/>
              <w:bottom w:val="single" w:sz="4" w:space="0" w:color="auto"/>
              <w:right w:val="nil"/>
            </w:tcBorders>
          </w:tcPr>
          <w:p w14:paraId="3499D90B" w14:textId="36E0C29A" w:rsidR="0023311C" w:rsidRPr="000D4E5B" w:rsidRDefault="0023311C" w:rsidP="0023311C">
            <w:pPr>
              <w:pStyle w:val="Paragraph"/>
              <w:spacing w:before="60" w:after="60"/>
              <w:rPr>
                <w:sz w:val="22"/>
                <w:szCs w:val="22"/>
              </w:rPr>
            </w:pPr>
            <w:r w:rsidRPr="000D4E5B">
              <w:rPr>
                <w:sz w:val="22"/>
                <w:szCs w:val="22"/>
              </w:rPr>
              <w:t>Common</w:t>
            </w:r>
          </w:p>
        </w:tc>
        <w:tc>
          <w:tcPr>
            <w:tcW w:w="1368" w:type="pct"/>
            <w:tcBorders>
              <w:left w:val="nil"/>
              <w:bottom w:val="single" w:sz="4" w:space="0" w:color="auto"/>
              <w:right w:val="nil"/>
            </w:tcBorders>
          </w:tcPr>
          <w:p w14:paraId="0D285211" w14:textId="5074F6E5" w:rsidR="0023311C" w:rsidRPr="000D4E5B" w:rsidRDefault="0023311C" w:rsidP="0023311C">
            <w:pPr>
              <w:pStyle w:val="Paragraph"/>
              <w:spacing w:before="60" w:after="60"/>
              <w:rPr>
                <w:sz w:val="22"/>
                <w:szCs w:val="22"/>
              </w:rPr>
            </w:pPr>
            <w:r w:rsidRPr="000D4E5B">
              <w:rPr>
                <w:sz w:val="22"/>
                <w:szCs w:val="22"/>
              </w:rPr>
              <w:t>Uncommon</w:t>
            </w:r>
          </w:p>
        </w:tc>
      </w:tr>
      <w:tr w:rsidR="0023311C" w:rsidRPr="000D4E5B" w14:paraId="6925C328" w14:textId="77777777" w:rsidTr="00D86947">
        <w:trPr>
          <w:cantSplit/>
        </w:trPr>
        <w:tc>
          <w:tcPr>
            <w:tcW w:w="1121" w:type="pct"/>
            <w:tcBorders>
              <w:left w:val="nil"/>
              <w:bottom w:val="single" w:sz="4" w:space="0" w:color="auto"/>
              <w:right w:val="nil"/>
            </w:tcBorders>
          </w:tcPr>
          <w:p w14:paraId="494551D8" w14:textId="4AFC8752" w:rsidR="0023311C" w:rsidRPr="000D4E5B" w:rsidRDefault="0023311C" w:rsidP="0023311C">
            <w:pPr>
              <w:pStyle w:val="Paragraph"/>
              <w:spacing w:before="60" w:after="60"/>
              <w:rPr>
                <w:sz w:val="22"/>
                <w:szCs w:val="22"/>
              </w:rPr>
            </w:pPr>
            <w:r w:rsidRPr="0092463D">
              <w:rPr>
                <w:sz w:val="22"/>
                <w:szCs w:val="22"/>
              </w:rPr>
              <w:t>Skin and</w:t>
            </w:r>
            <w:r>
              <w:rPr>
                <w:sz w:val="22"/>
                <w:szCs w:val="22"/>
              </w:rPr>
              <w:t xml:space="preserve"> </w:t>
            </w:r>
            <w:r w:rsidRPr="0092463D">
              <w:rPr>
                <w:sz w:val="22"/>
                <w:szCs w:val="22"/>
              </w:rPr>
              <w:t>subcutaneous tissue</w:t>
            </w:r>
            <w:r>
              <w:rPr>
                <w:sz w:val="22"/>
                <w:szCs w:val="22"/>
              </w:rPr>
              <w:t xml:space="preserve"> </w:t>
            </w:r>
            <w:r w:rsidRPr="0092463D">
              <w:rPr>
                <w:sz w:val="22"/>
                <w:szCs w:val="22"/>
              </w:rPr>
              <w:t>disorders</w:t>
            </w:r>
          </w:p>
        </w:tc>
        <w:tc>
          <w:tcPr>
            <w:tcW w:w="1159" w:type="pct"/>
            <w:tcBorders>
              <w:left w:val="nil"/>
              <w:bottom w:val="single" w:sz="4" w:space="0" w:color="auto"/>
              <w:right w:val="nil"/>
            </w:tcBorders>
          </w:tcPr>
          <w:p w14:paraId="54E02D47" w14:textId="77777777" w:rsidR="0023311C" w:rsidRPr="0092463D" w:rsidRDefault="0023311C" w:rsidP="0023311C">
            <w:pPr>
              <w:pStyle w:val="Paragraph"/>
              <w:spacing w:before="60" w:after="60"/>
              <w:rPr>
                <w:sz w:val="22"/>
                <w:szCs w:val="22"/>
              </w:rPr>
            </w:pPr>
            <w:proofErr w:type="spellStart"/>
            <w:r w:rsidRPr="0092463D">
              <w:rPr>
                <w:sz w:val="22"/>
                <w:szCs w:val="22"/>
              </w:rPr>
              <w:t>Rash</w:t>
            </w:r>
            <w:r w:rsidRPr="0092463D">
              <w:rPr>
                <w:sz w:val="22"/>
                <w:szCs w:val="22"/>
                <w:vertAlign w:val="superscript"/>
              </w:rPr>
              <w:t>a</w:t>
            </w:r>
            <w:proofErr w:type="spellEnd"/>
            <w:r w:rsidRPr="0092463D">
              <w:rPr>
                <w:sz w:val="22"/>
                <w:szCs w:val="22"/>
                <w:vertAlign w:val="superscript"/>
              </w:rPr>
              <w:t xml:space="preserve"> </w:t>
            </w:r>
          </w:p>
          <w:p w14:paraId="3735EA7D" w14:textId="77777777" w:rsidR="0023311C" w:rsidRPr="0092463D" w:rsidRDefault="0023311C" w:rsidP="0023311C">
            <w:pPr>
              <w:pStyle w:val="Paragraph"/>
              <w:spacing w:before="60" w:after="60"/>
              <w:rPr>
                <w:sz w:val="22"/>
                <w:szCs w:val="22"/>
              </w:rPr>
            </w:pPr>
            <w:proofErr w:type="spellStart"/>
            <w:r w:rsidRPr="0092463D">
              <w:rPr>
                <w:sz w:val="22"/>
                <w:szCs w:val="22"/>
              </w:rPr>
              <w:t>Dermatitis</w:t>
            </w:r>
            <w:r w:rsidRPr="0092463D">
              <w:rPr>
                <w:sz w:val="22"/>
                <w:szCs w:val="22"/>
                <w:vertAlign w:val="superscript"/>
              </w:rPr>
              <w:t>a</w:t>
            </w:r>
            <w:proofErr w:type="spellEnd"/>
            <w:r w:rsidRPr="0092463D">
              <w:rPr>
                <w:sz w:val="22"/>
                <w:szCs w:val="22"/>
              </w:rPr>
              <w:t xml:space="preserve"> </w:t>
            </w:r>
          </w:p>
          <w:p w14:paraId="0361956D" w14:textId="2A719441" w:rsidR="0023311C" w:rsidRPr="000D4E5B" w:rsidRDefault="0023311C" w:rsidP="0023311C">
            <w:pPr>
              <w:pStyle w:val="Paragraph"/>
              <w:spacing w:before="60" w:after="60"/>
              <w:rPr>
                <w:sz w:val="22"/>
                <w:szCs w:val="22"/>
              </w:rPr>
            </w:pPr>
            <w:r w:rsidRPr="0092463D">
              <w:rPr>
                <w:sz w:val="22"/>
                <w:szCs w:val="22"/>
              </w:rPr>
              <w:t xml:space="preserve">Erythema </w:t>
            </w:r>
            <w:proofErr w:type="spellStart"/>
            <w:r w:rsidRPr="0092463D">
              <w:rPr>
                <w:sz w:val="22"/>
                <w:szCs w:val="22"/>
              </w:rPr>
              <w:t>nodosum</w:t>
            </w:r>
            <w:proofErr w:type="spellEnd"/>
            <w:r w:rsidRPr="0092463D">
              <w:rPr>
                <w:sz w:val="22"/>
                <w:szCs w:val="22"/>
              </w:rPr>
              <w:t xml:space="preserve"> </w:t>
            </w:r>
          </w:p>
        </w:tc>
        <w:tc>
          <w:tcPr>
            <w:tcW w:w="1352" w:type="pct"/>
            <w:tcBorders>
              <w:left w:val="nil"/>
              <w:bottom w:val="single" w:sz="4" w:space="0" w:color="auto"/>
              <w:right w:val="nil"/>
            </w:tcBorders>
          </w:tcPr>
          <w:p w14:paraId="62514918" w14:textId="77777777" w:rsidR="0023311C" w:rsidRPr="0092463D" w:rsidRDefault="0023311C" w:rsidP="0023311C">
            <w:pPr>
              <w:pStyle w:val="Paragraph"/>
              <w:spacing w:before="60" w:after="60"/>
              <w:rPr>
                <w:sz w:val="22"/>
                <w:szCs w:val="22"/>
              </w:rPr>
            </w:pPr>
            <w:r w:rsidRPr="0092463D">
              <w:rPr>
                <w:sz w:val="22"/>
                <w:szCs w:val="22"/>
              </w:rPr>
              <w:t xml:space="preserve">Common </w:t>
            </w:r>
          </w:p>
          <w:p w14:paraId="636E027F" w14:textId="77777777" w:rsidR="0023311C" w:rsidRDefault="0023311C" w:rsidP="0023311C">
            <w:pPr>
              <w:pStyle w:val="Paragraph"/>
              <w:spacing w:before="60" w:after="60"/>
              <w:rPr>
                <w:sz w:val="22"/>
                <w:szCs w:val="22"/>
              </w:rPr>
            </w:pPr>
            <w:r w:rsidRPr="0092463D">
              <w:rPr>
                <w:sz w:val="22"/>
                <w:szCs w:val="22"/>
              </w:rPr>
              <w:t xml:space="preserve">Uncommon </w:t>
            </w:r>
          </w:p>
          <w:p w14:paraId="51AE34CA" w14:textId="0E62A7BE" w:rsidR="0023311C" w:rsidRPr="000D4E5B" w:rsidRDefault="0023311C" w:rsidP="0023311C">
            <w:pPr>
              <w:pStyle w:val="Paragraph"/>
              <w:spacing w:before="60" w:after="60"/>
              <w:rPr>
                <w:sz w:val="22"/>
                <w:szCs w:val="22"/>
              </w:rPr>
            </w:pPr>
            <w:r w:rsidRPr="0092463D">
              <w:rPr>
                <w:sz w:val="22"/>
                <w:szCs w:val="22"/>
              </w:rPr>
              <w:t>Rare</w:t>
            </w:r>
          </w:p>
        </w:tc>
        <w:tc>
          <w:tcPr>
            <w:tcW w:w="1368" w:type="pct"/>
            <w:tcBorders>
              <w:left w:val="nil"/>
              <w:bottom w:val="single" w:sz="4" w:space="0" w:color="auto"/>
              <w:right w:val="nil"/>
            </w:tcBorders>
          </w:tcPr>
          <w:p w14:paraId="79C9E32F" w14:textId="55305855" w:rsidR="0023311C" w:rsidRPr="0092463D" w:rsidRDefault="007415A9" w:rsidP="0023311C">
            <w:pPr>
              <w:pStyle w:val="Paragraph"/>
              <w:spacing w:before="60" w:after="60"/>
              <w:rPr>
                <w:sz w:val="22"/>
                <w:szCs w:val="22"/>
              </w:rPr>
            </w:pPr>
            <w:r>
              <w:rPr>
                <w:sz w:val="22"/>
                <w:szCs w:val="22"/>
              </w:rPr>
              <w:t>Rare</w:t>
            </w:r>
          </w:p>
          <w:p w14:paraId="511D86FF" w14:textId="77777777" w:rsidR="0023311C" w:rsidRDefault="0023311C" w:rsidP="0023311C">
            <w:pPr>
              <w:pStyle w:val="Paragraph"/>
              <w:spacing w:before="60" w:after="60"/>
              <w:rPr>
                <w:sz w:val="22"/>
                <w:szCs w:val="22"/>
              </w:rPr>
            </w:pPr>
            <w:r w:rsidRPr="0092463D">
              <w:rPr>
                <w:sz w:val="22"/>
                <w:szCs w:val="22"/>
              </w:rPr>
              <w:t>-</w:t>
            </w:r>
          </w:p>
          <w:p w14:paraId="232BFA15" w14:textId="74D0C777" w:rsidR="0023311C" w:rsidRPr="000D4E5B" w:rsidRDefault="0023311C" w:rsidP="0023311C">
            <w:pPr>
              <w:pStyle w:val="Paragraph"/>
              <w:spacing w:before="60" w:after="60"/>
              <w:rPr>
                <w:sz w:val="22"/>
                <w:szCs w:val="22"/>
              </w:rPr>
            </w:pPr>
            <w:r w:rsidRPr="0092463D">
              <w:rPr>
                <w:sz w:val="22"/>
                <w:szCs w:val="22"/>
              </w:rPr>
              <w:t>-</w:t>
            </w:r>
          </w:p>
        </w:tc>
      </w:tr>
      <w:tr w:rsidR="0023311C" w:rsidRPr="000D4E5B" w14:paraId="7925D551" w14:textId="77777777" w:rsidTr="00D86947">
        <w:trPr>
          <w:cantSplit/>
        </w:trPr>
        <w:tc>
          <w:tcPr>
            <w:tcW w:w="1121" w:type="pct"/>
            <w:tcBorders>
              <w:top w:val="single" w:sz="4" w:space="0" w:color="auto"/>
              <w:left w:val="nil"/>
              <w:bottom w:val="single" w:sz="4" w:space="0" w:color="auto"/>
              <w:right w:val="nil"/>
            </w:tcBorders>
          </w:tcPr>
          <w:p w14:paraId="7A9DD8F1" w14:textId="77777777" w:rsidR="0023311C" w:rsidRPr="000D4E5B" w:rsidRDefault="0023311C" w:rsidP="0023311C">
            <w:pPr>
              <w:pStyle w:val="Paragraph"/>
              <w:spacing w:before="60" w:after="60"/>
              <w:rPr>
                <w:sz w:val="22"/>
                <w:szCs w:val="22"/>
              </w:rPr>
            </w:pPr>
            <w:r w:rsidRPr="000D4E5B">
              <w:rPr>
                <w:sz w:val="22"/>
                <w:szCs w:val="22"/>
              </w:rPr>
              <w:t>General disorders</w:t>
            </w:r>
          </w:p>
        </w:tc>
        <w:tc>
          <w:tcPr>
            <w:tcW w:w="1159" w:type="pct"/>
            <w:tcBorders>
              <w:top w:val="single" w:sz="4" w:space="0" w:color="auto"/>
              <w:left w:val="nil"/>
              <w:bottom w:val="single" w:sz="4" w:space="0" w:color="auto"/>
              <w:right w:val="nil"/>
            </w:tcBorders>
          </w:tcPr>
          <w:p w14:paraId="14987C48" w14:textId="127B1AAF" w:rsidR="0023311C" w:rsidRPr="000D4E5B" w:rsidRDefault="0023311C" w:rsidP="0023311C">
            <w:pPr>
              <w:pStyle w:val="Paragraph"/>
              <w:spacing w:before="60" w:after="60"/>
              <w:rPr>
                <w:sz w:val="22"/>
                <w:szCs w:val="22"/>
              </w:rPr>
            </w:pPr>
            <w:r w:rsidRPr="000D4E5B">
              <w:rPr>
                <w:sz w:val="22"/>
                <w:szCs w:val="22"/>
              </w:rPr>
              <w:t>Fatigue (including asthenia)</w:t>
            </w:r>
          </w:p>
        </w:tc>
        <w:tc>
          <w:tcPr>
            <w:tcW w:w="1352" w:type="pct"/>
            <w:tcBorders>
              <w:top w:val="single" w:sz="4" w:space="0" w:color="auto"/>
              <w:left w:val="nil"/>
              <w:bottom w:val="single" w:sz="4" w:space="0" w:color="auto"/>
              <w:right w:val="nil"/>
            </w:tcBorders>
          </w:tcPr>
          <w:p w14:paraId="38E48AD5" w14:textId="32309B3D" w:rsidR="0023311C" w:rsidRPr="000D4E5B" w:rsidRDefault="0023311C" w:rsidP="0023311C">
            <w:pPr>
              <w:pStyle w:val="Paragraph"/>
              <w:spacing w:before="60" w:after="60"/>
              <w:rPr>
                <w:sz w:val="22"/>
                <w:szCs w:val="22"/>
              </w:rPr>
            </w:pPr>
            <w:r w:rsidRPr="000D4E5B">
              <w:rPr>
                <w:sz w:val="22"/>
                <w:szCs w:val="22"/>
              </w:rPr>
              <w:t>Very common</w:t>
            </w:r>
          </w:p>
        </w:tc>
        <w:tc>
          <w:tcPr>
            <w:tcW w:w="1368" w:type="pct"/>
            <w:tcBorders>
              <w:top w:val="single" w:sz="4" w:space="0" w:color="auto"/>
              <w:left w:val="nil"/>
              <w:bottom w:val="single" w:sz="4" w:space="0" w:color="auto"/>
              <w:right w:val="nil"/>
            </w:tcBorders>
          </w:tcPr>
          <w:p w14:paraId="32AEDB75" w14:textId="0DC04A28" w:rsidR="0023311C" w:rsidRPr="000D4E5B" w:rsidRDefault="0023311C" w:rsidP="0023311C">
            <w:pPr>
              <w:pStyle w:val="Paragraph"/>
              <w:spacing w:before="60" w:after="60"/>
              <w:rPr>
                <w:sz w:val="22"/>
                <w:szCs w:val="22"/>
              </w:rPr>
            </w:pPr>
            <w:r w:rsidRPr="000D4E5B">
              <w:rPr>
                <w:sz w:val="22"/>
                <w:szCs w:val="22"/>
              </w:rPr>
              <w:t>Common</w:t>
            </w:r>
          </w:p>
        </w:tc>
      </w:tr>
      <w:tr w:rsidR="0023311C" w:rsidRPr="000D4E5B" w14:paraId="7F234476" w14:textId="77777777" w:rsidTr="00D86947">
        <w:trPr>
          <w:cantSplit/>
          <w:trHeight w:val="341"/>
        </w:trPr>
        <w:tc>
          <w:tcPr>
            <w:tcW w:w="1121" w:type="pct"/>
            <w:vMerge w:val="restart"/>
            <w:tcBorders>
              <w:top w:val="nil"/>
              <w:left w:val="nil"/>
              <w:right w:val="nil"/>
            </w:tcBorders>
          </w:tcPr>
          <w:p w14:paraId="3B757F02" w14:textId="77777777" w:rsidR="0023311C" w:rsidRPr="000D4E5B" w:rsidRDefault="0023311C" w:rsidP="0023311C">
            <w:pPr>
              <w:pStyle w:val="Paragraph"/>
              <w:spacing w:before="60" w:after="60"/>
              <w:rPr>
                <w:sz w:val="22"/>
                <w:szCs w:val="22"/>
              </w:rPr>
            </w:pPr>
            <w:r w:rsidRPr="000D4E5B">
              <w:rPr>
                <w:sz w:val="22"/>
                <w:szCs w:val="22"/>
                <w:lang w:val="en-AU"/>
              </w:rPr>
              <w:t>Investigations</w:t>
            </w:r>
          </w:p>
        </w:tc>
        <w:tc>
          <w:tcPr>
            <w:tcW w:w="1159" w:type="pct"/>
            <w:tcBorders>
              <w:top w:val="nil"/>
              <w:left w:val="nil"/>
              <w:right w:val="nil"/>
            </w:tcBorders>
          </w:tcPr>
          <w:p w14:paraId="25964FDD" w14:textId="0E29F1F0" w:rsidR="0023311C" w:rsidRPr="000D4E5B" w:rsidRDefault="0023311C" w:rsidP="0023311C">
            <w:pPr>
              <w:pStyle w:val="Paragraph"/>
              <w:spacing w:before="60" w:after="60"/>
              <w:rPr>
                <w:sz w:val="22"/>
                <w:szCs w:val="22"/>
              </w:rPr>
            </w:pPr>
            <w:r w:rsidRPr="000D4E5B">
              <w:rPr>
                <w:sz w:val="22"/>
                <w:szCs w:val="22"/>
              </w:rPr>
              <w:t>Blood creatinine increased</w:t>
            </w:r>
          </w:p>
        </w:tc>
        <w:tc>
          <w:tcPr>
            <w:tcW w:w="1352" w:type="pct"/>
            <w:tcBorders>
              <w:top w:val="nil"/>
              <w:left w:val="nil"/>
              <w:right w:val="nil"/>
            </w:tcBorders>
          </w:tcPr>
          <w:p w14:paraId="1282867D" w14:textId="1FE1A71F" w:rsidR="0023311C" w:rsidRPr="000D4E5B" w:rsidRDefault="0023311C" w:rsidP="0023311C">
            <w:pPr>
              <w:pStyle w:val="Paragraph"/>
              <w:spacing w:before="60" w:after="60"/>
              <w:rPr>
                <w:sz w:val="22"/>
                <w:szCs w:val="22"/>
              </w:rPr>
            </w:pPr>
            <w:r w:rsidRPr="000D4E5B">
              <w:rPr>
                <w:sz w:val="22"/>
                <w:szCs w:val="22"/>
              </w:rPr>
              <w:t xml:space="preserve">Common </w:t>
            </w:r>
          </w:p>
        </w:tc>
        <w:tc>
          <w:tcPr>
            <w:tcW w:w="1368" w:type="pct"/>
            <w:tcBorders>
              <w:top w:val="nil"/>
              <w:left w:val="nil"/>
              <w:right w:val="nil"/>
            </w:tcBorders>
          </w:tcPr>
          <w:p w14:paraId="346E1B8A" w14:textId="3F76ACE2" w:rsidR="0023311C" w:rsidRPr="000D4E5B" w:rsidRDefault="0023311C" w:rsidP="0023311C">
            <w:pPr>
              <w:pStyle w:val="Paragraph"/>
              <w:spacing w:before="60" w:after="60"/>
              <w:rPr>
                <w:sz w:val="22"/>
                <w:szCs w:val="22"/>
              </w:rPr>
            </w:pPr>
            <w:r w:rsidRPr="000D4E5B">
              <w:rPr>
                <w:sz w:val="22"/>
                <w:szCs w:val="22"/>
              </w:rPr>
              <w:t>Uncommon</w:t>
            </w:r>
            <w:r w:rsidRPr="000D4E5B" w:rsidDel="004B217C">
              <w:rPr>
                <w:sz w:val="22"/>
                <w:szCs w:val="22"/>
              </w:rPr>
              <w:t xml:space="preserve"> </w:t>
            </w:r>
          </w:p>
        </w:tc>
      </w:tr>
      <w:tr w:rsidR="0023311C" w:rsidRPr="000D4E5B" w14:paraId="17D807F1" w14:textId="77777777" w:rsidTr="00EA65E3">
        <w:trPr>
          <w:cantSplit/>
        </w:trPr>
        <w:tc>
          <w:tcPr>
            <w:tcW w:w="1121" w:type="pct"/>
            <w:vMerge/>
            <w:tcBorders>
              <w:left w:val="nil"/>
              <w:bottom w:val="single" w:sz="4" w:space="0" w:color="auto"/>
              <w:right w:val="nil"/>
            </w:tcBorders>
          </w:tcPr>
          <w:p w14:paraId="374B8562" w14:textId="77777777" w:rsidR="0023311C" w:rsidRPr="000D4E5B" w:rsidRDefault="0023311C" w:rsidP="0023311C">
            <w:pPr>
              <w:pStyle w:val="Paragraph"/>
              <w:spacing w:before="60" w:after="60"/>
              <w:rPr>
                <w:sz w:val="22"/>
                <w:szCs w:val="22"/>
              </w:rPr>
            </w:pPr>
          </w:p>
        </w:tc>
        <w:tc>
          <w:tcPr>
            <w:tcW w:w="1159" w:type="pct"/>
            <w:tcBorders>
              <w:top w:val="nil"/>
              <w:left w:val="nil"/>
              <w:bottom w:val="single" w:sz="4" w:space="0" w:color="auto"/>
              <w:right w:val="nil"/>
            </w:tcBorders>
          </w:tcPr>
          <w:p w14:paraId="6748D485" w14:textId="77703553" w:rsidR="0023311C" w:rsidRPr="000D4E5B" w:rsidRDefault="0023311C" w:rsidP="0023311C">
            <w:pPr>
              <w:pStyle w:val="Paragraph"/>
              <w:spacing w:before="60" w:after="60"/>
              <w:rPr>
                <w:sz w:val="22"/>
                <w:szCs w:val="22"/>
              </w:rPr>
            </w:pPr>
            <w:r w:rsidRPr="000D4E5B">
              <w:rPr>
                <w:sz w:val="22"/>
                <w:szCs w:val="22"/>
              </w:rPr>
              <w:t>Mean cell volume increased</w:t>
            </w:r>
          </w:p>
        </w:tc>
        <w:tc>
          <w:tcPr>
            <w:tcW w:w="1352" w:type="pct"/>
            <w:tcBorders>
              <w:top w:val="nil"/>
              <w:left w:val="nil"/>
              <w:bottom w:val="single" w:sz="4" w:space="0" w:color="auto"/>
              <w:right w:val="nil"/>
            </w:tcBorders>
          </w:tcPr>
          <w:p w14:paraId="700DDCF0" w14:textId="39E997A2" w:rsidR="0023311C" w:rsidRPr="000D4E5B" w:rsidRDefault="0023311C" w:rsidP="0023311C">
            <w:pPr>
              <w:pStyle w:val="Paragraph"/>
              <w:spacing w:before="60" w:after="60"/>
              <w:rPr>
                <w:sz w:val="22"/>
                <w:szCs w:val="22"/>
              </w:rPr>
            </w:pPr>
            <w:r w:rsidRPr="000D4E5B">
              <w:rPr>
                <w:sz w:val="22"/>
                <w:szCs w:val="22"/>
              </w:rPr>
              <w:t>Uncommon</w:t>
            </w:r>
          </w:p>
        </w:tc>
        <w:tc>
          <w:tcPr>
            <w:tcW w:w="1368" w:type="pct"/>
            <w:tcBorders>
              <w:top w:val="nil"/>
              <w:left w:val="nil"/>
              <w:bottom w:val="single" w:sz="4" w:space="0" w:color="auto"/>
              <w:right w:val="nil"/>
            </w:tcBorders>
          </w:tcPr>
          <w:p w14:paraId="5EE1CF3C" w14:textId="332DBE34" w:rsidR="0023311C" w:rsidRPr="000D4E5B" w:rsidRDefault="0023311C" w:rsidP="0023311C">
            <w:pPr>
              <w:pStyle w:val="Paragraph"/>
              <w:spacing w:before="60" w:after="60"/>
              <w:rPr>
                <w:sz w:val="22"/>
                <w:szCs w:val="22"/>
              </w:rPr>
            </w:pPr>
            <w:r w:rsidRPr="000D4E5B">
              <w:rPr>
                <w:sz w:val="22"/>
                <w:szCs w:val="22"/>
              </w:rPr>
              <w:t>-</w:t>
            </w:r>
          </w:p>
        </w:tc>
      </w:tr>
    </w:tbl>
    <w:p w14:paraId="5939CFD2" w14:textId="4CAF714A" w:rsidR="004144FE" w:rsidRPr="000D4E5B" w:rsidRDefault="004144FE" w:rsidP="00704F88">
      <w:pPr>
        <w:pStyle w:val="TableFootnoteLetter"/>
      </w:pPr>
      <w:bookmarkStart w:id="19" w:name="_Hlk513039566"/>
      <w:r w:rsidRPr="000D4E5B">
        <w:t xml:space="preserve">Anaemia includes preferred terms (PTs) of anaemia, </w:t>
      </w:r>
      <w:r w:rsidR="00F963C3" w:rsidRPr="000D4E5B">
        <w:t xml:space="preserve">anaemia macrocytic, </w:t>
      </w:r>
      <w:proofErr w:type="spellStart"/>
      <w:r w:rsidR="00F963C3" w:rsidRPr="000D4E5B">
        <w:t>erythropenia</w:t>
      </w:r>
      <w:proofErr w:type="spellEnd"/>
      <w:r w:rsidR="00F963C3" w:rsidRPr="000D4E5B">
        <w:t xml:space="preserve">, haematocrit decreased, </w:t>
      </w:r>
      <w:r w:rsidRPr="000D4E5B">
        <w:t xml:space="preserve">haemoglobin decreased, </w:t>
      </w:r>
      <w:r w:rsidR="00F963C3" w:rsidRPr="000D4E5B">
        <w:t xml:space="preserve">normochromic anaemia, normochromic normocytic anaemia, normocytic anaemia and </w:t>
      </w:r>
      <w:r w:rsidRPr="000D4E5B">
        <w:t xml:space="preserve">red blood cell count decreased; Neutropenia includes PTs of </w:t>
      </w:r>
      <w:r w:rsidR="00F963C3" w:rsidRPr="000D4E5B">
        <w:t xml:space="preserve">agranulocytosis, febrile neutropenia, granulocyte count decreased, </w:t>
      </w:r>
      <w:proofErr w:type="spellStart"/>
      <w:r w:rsidR="00F963C3" w:rsidRPr="000D4E5B">
        <w:t>granulocytopenia</w:t>
      </w:r>
      <w:proofErr w:type="spellEnd"/>
      <w:r w:rsidR="00F963C3" w:rsidRPr="000D4E5B">
        <w:t xml:space="preserve">, idiopathic neutropenia, </w:t>
      </w:r>
      <w:r w:rsidRPr="000D4E5B">
        <w:t>neutropenia,</w:t>
      </w:r>
      <w:r w:rsidR="00F963C3" w:rsidRPr="000D4E5B">
        <w:t xml:space="preserve"> neutropenic infection, neutropenic sepsis and</w:t>
      </w:r>
      <w:r w:rsidRPr="000D4E5B">
        <w:t xml:space="preserve"> neutrophil count decreased; Thrombocytopenia includes PTs of </w:t>
      </w:r>
      <w:r w:rsidR="00DF02CB" w:rsidRPr="000D4E5B">
        <w:t xml:space="preserve">platelet count decreased, platelet production decreased, </w:t>
      </w:r>
      <w:proofErr w:type="spellStart"/>
      <w:r w:rsidR="00DF02CB" w:rsidRPr="000D4E5B">
        <w:t>plateletcrit</w:t>
      </w:r>
      <w:proofErr w:type="spellEnd"/>
      <w:r w:rsidR="00DF02CB" w:rsidRPr="000D4E5B">
        <w:t xml:space="preserve"> decreased and </w:t>
      </w:r>
      <w:r w:rsidRPr="000D4E5B">
        <w:t>thrombocytopenia,</w:t>
      </w:r>
      <w:r w:rsidR="00FB1844" w:rsidRPr="000D4E5B">
        <w:t xml:space="preserve"> </w:t>
      </w:r>
      <w:r w:rsidRPr="000D4E5B">
        <w:t xml:space="preserve">; Leukopenia includes PTs of leukopenia and white blood cell count decreased; </w:t>
      </w:r>
      <w:proofErr w:type="spellStart"/>
      <w:r w:rsidR="00BB789D" w:rsidRPr="000D4E5B">
        <w:t>Lymphopenia</w:t>
      </w:r>
      <w:proofErr w:type="spellEnd"/>
      <w:r w:rsidR="00BB789D" w:rsidRPr="000D4E5B">
        <w:t xml:space="preserve"> includes PTs of</w:t>
      </w:r>
      <w:r w:rsidR="00FB1844" w:rsidRPr="000D4E5B">
        <w:t xml:space="preserve"> B-lymphocyte count decreased, lymphocyte count decreased,</w:t>
      </w:r>
      <w:r w:rsidR="00BB789D" w:rsidRPr="000D4E5B">
        <w:t xml:space="preserve"> </w:t>
      </w:r>
      <w:proofErr w:type="spellStart"/>
      <w:r w:rsidR="00BB789D" w:rsidRPr="000D4E5B">
        <w:t>lymphopenia</w:t>
      </w:r>
      <w:proofErr w:type="spellEnd"/>
      <w:r w:rsidR="00FB1844" w:rsidRPr="000D4E5B">
        <w:t xml:space="preserve"> and T-lymphocyte count decreased</w:t>
      </w:r>
      <w:r w:rsidR="00BB789D" w:rsidRPr="000D4E5B">
        <w:t xml:space="preserve">; Cough includes PTs of cough and productive cough; </w:t>
      </w:r>
      <w:r w:rsidRPr="000D4E5B">
        <w:t xml:space="preserve">Rash includes PTs of </w:t>
      </w:r>
      <w:proofErr w:type="spellStart"/>
      <w:r w:rsidR="00FB1844" w:rsidRPr="000D4E5B">
        <w:t>exfoliative</w:t>
      </w:r>
      <w:proofErr w:type="spellEnd"/>
      <w:r w:rsidR="00FB1844" w:rsidRPr="000D4E5B">
        <w:t xml:space="preserve"> rash, generalised erythema </w:t>
      </w:r>
      <w:r w:rsidRPr="000D4E5B">
        <w:t xml:space="preserve">rash, rash erythematous, rash generalised, rash macular, rash </w:t>
      </w:r>
      <w:proofErr w:type="spellStart"/>
      <w:r w:rsidRPr="000D4E5B">
        <w:t>maculo-papular</w:t>
      </w:r>
      <w:proofErr w:type="spellEnd"/>
      <w:r w:rsidRPr="000D4E5B">
        <w:t xml:space="preserve">, rash </w:t>
      </w:r>
      <w:proofErr w:type="spellStart"/>
      <w:r w:rsidRPr="000D4E5B">
        <w:t>papular</w:t>
      </w:r>
      <w:proofErr w:type="spellEnd"/>
      <w:r w:rsidRPr="000D4E5B">
        <w:t xml:space="preserve">, </w:t>
      </w:r>
      <w:r w:rsidR="00FB1844" w:rsidRPr="000D4E5B">
        <w:t xml:space="preserve">and </w:t>
      </w:r>
      <w:r w:rsidRPr="000D4E5B">
        <w:t xml:space="preserve">rash pruritic; Hypersensitivity includes PTs of </w:t>
      </w:r>
      <w:r w:rsidR="00FB1844" w:rsidRPr="000D4E5B">
        <w:t xml:space="preserve">drug hypersensitivity and </w:t>
      </w:r>
      <w:r w:rsidRPr="000D4E5B">
        <w:t>hypersensitivity; Dermatitis includes PTs of dermatitis, dermatitis allergic and dermatitis</w:t>
      </w:r>
      <w:bookmarkEnd w:id="19"/>
      <w:r w:rsidR="001B006F" w:rsidRPr="000D4E5B">
        <w:t xml:space="preserve"> </w:t>
      </w:r>
      <w:proofErr w:type="spellStart"/>
      <w:r w:rsidR="001B006F" w:rsidRPr="000D4E5B">
        <w:t>exfoliative</w:t>
      </w:r>
      <w:proofErr w:type="spellEnd"/>
      <w:r w:rsidR="00704F88" w:rsidRPr="000D4E5B">
        <w:t xml:space="preserve">; Dyspnoea includes PTs of dyspnoea and dyspnoea exertional; Stomatitis includes PTs of </w:t>
      </w:r>
      <w:proofErr w:type="spellStart"/>
      <w:r w:rsidR="00704F88" w:rsidRPr="000D4E5B">
        <w:t>aphthous</w:t>
      </w:r>
      <w:proofErr w:type="spellEnd"/>
      <w:r w:rsidR="00704F88" w:rsidRPr="000D4E5B">
        <w:t xml:space="preserve"> ulcer, mouth ulceration and stomatitis</w:t>
      </w:r>
      <w:r w:rsidRPr="000D4E5B">
        <w:t>.</w:t>
      </w:r>
    </w:p>
    <w:p w14:paraId="6D563C96" w14:textId="397B08A3" w:rsidR="004144FE" w:rsidRPr="000D4E5B" w:rsidRDefault="004144FE" w:rsidP="00F74333">
      <w:pPr>
        <w:pStyle w:val="Paragraph"/>
        <w:spacing w:after="0"/>
      </w:pPr>
    </w:p>
    <w:p w14:paraId="0A377908" w14:textId="7D1C9617" w:rsidR="00E92A04" w:rsidRPr="000D4E5B" w:rsidRDefault="00E92A04" w:rsidP="00E92A04">
      <w:pPr>
        <w:pStyle w:val="Heading3Unnumbered"/>
      </w:pPr>
      <w:r w:rsidRPr="000D4E5B">
        <w:t>Description of selected adverse reactions</w:t>
      </w:r>
    </w:p>
    <w:p w14:paraId="4CFAF39C" w14:textId="008D7213" w:rsidR="004144FE" w:rsidRPr="000D4E5B" w:rsidRDefault="004144FE" w:rsidP="004144FE">
      <w:pPr>
        <w:pStyle w:val="Heading4Unnumbered"/>
      </w:pPr>
      <w:r w:rsidRPr="000D4E5B">
        <w:t>Haematological toxicity</w:t>
      </w:r>
    </w:p>
    <w:p w14:paraId="52607572" w14:textId="2E51A35A" w:rsidR="004144FE" w:rsidRPr="000D4E5B" w:rsidRDefault="004144FE" w:rsidP="004144FE">
      <w:pPr>
        <w:pStyle w:val="Paragraph"/>
      </w:pPr>
      <w:r w:rsidRPr="000D4E5B">
        <w:t xml:space="preserve">Anaemia and other haematological toxicities are generally low grade (CTCAE grade 1 or 2), however, there are reports of CTCAE grade 3 and higher events.  Anaemia was the most common CTCAE grade ≥3 adverse reaction reported in clinical studies with first onset generally reported in the first 3 months of treatment.  An exposure-response relationship between </w:t>
      </w:r>
      <w:proofErr w:type="spellStart"/>
      <w:r w:rsidRPr="000D4E5B">
        <w:t>olaparib</w:t>
      </w:r>
      <w:proofErr w:type="spellEnd"/>
      <w:r w:rsidRPr="000D4E5B">
        <w:t xml:space="preserve"> and decreases in haemoglobin has been demonstrated.  In clinical studies with LYNPARZA </w:t>
      </w:r>
      <w:r w:rsidR="00F00D1D" w:rsidRPr="000D4E5B">
        <w:t xml:space="preserve">monotherapy </w:t>
      </w:r>
      <w:r w:rsidRPr="000D4E5B">
        <w:t>the incidence of CTCAE grade ≥2 shifts (decreases) from baseline in haemoglobin was 2</w:t>
      </w:r>
      <w:r w:rsidR="00777DEC" w:rsidRPr="000D4E5B">
        <w:t>3</w:t>
      </w:r>
      <w:r w:rsidRPr="000D4E5B">
        <w:t xml:space="preserve">%, absolute neutrophils </w:t>
      </w:r>
      <w:r w:rsidR="00777DEC" w:rsidRPr="000D4E5B">
        <w:t>19</w:t>
      </w:r>
      <w:r w:rsidRPr="000D4E5B">
        <w:t xml:space="preserve">%, platelets </w:t>
      </w:r>
      <w:r w:rsidR="00A827C2" w:rsidRPr="000D4E5B">
        <w:t>6</w:t>
      </w:r>
      <w:r w:rsidRPr="000D4E5B">
        <w:t xml:space="preserve">%, lymphocytes </w:t>
      </w:r>
      <w:r w:rsidR="00A827C2" w:rsidRPr="000D4E5B">
        <w:t>29</w:t>
      </w:r>
      <w:r w:rsidRPr="000D4E5B">
        <w:t>% and leucocytes 20% (all % approximate).</w:t>
      </w:r>
    </w:p>
    <w:p w14:paraId="59868515" w14:textId="7E9ED4AB" w:rsidR="004144FE" w:rsidRPr="000D4E5B" w:rsidRDefault="004144FE" w:rsidP="004144FE">
      <w:pPr>
        <w:pStyle w:val="Paragraph"/>
      </w:pPr>
      <w:r w:rsidRPr="000D4E5B">
        <w:t xml:space="preserve">The incidence of elevations in mean corpuscular volume from low or normal at baseline to above the upper limit of normal was approximately </w:t>
      </w:r>
      <w:r w:rsidR="00A827C2" w:rsidRPr="000D4E5B">
        <w:t>58</w:t>
      </w:r>
      <w:r w:rsidRPr="000D4E5B">
        <w:t>%.  Levels appeared to return to normal after treatment discontinuation and did not appear to have any clinical consequences.</w:t>
      </w:r>
    </w:p>
    <w:p w14:paraId="18AC5B56" w14:textId="77777777" w:rsidR="004144FE" w:rsidRPr="000D4E5B" w:rsidRDefault="004144FE" w:rsidP="004144FE">
      <w:pPr>
        <w:pStyle w:val="Paragraph"/>
      </w:pPr>
      <w:r w:rsidRPr="000D4E5B">
        <w:t>Baseline testing, followed by monthly monitoring, of complete blood counts is recommended for the first 12 months of treatment, and periodically after this time, to monitor for clinically significant changes in any parameter during treatment which may require dose interruption or reduction and/or further treatment (see Section 4.4 - Special warnings and precautions for use and Section 4.2 - Dose and method of administration.)</w:t>
      </w:r>
    </w:p>
    <w:p w14:paraId="2738AA84" w14:textId="77777777" w:rsidR="004144FE" w:rsidRPr="000D4E5B" w:rsidRDefault="004144FE" w:rsidP="004144FE">
      <w:pPr>
        <w:pStyle w:val="Heading3Unnumbered"/>
      </w:pPr>
      <w:r w:rsidRPr="000D4E5B">
        <w:t>Other laboratory findings</w:t>
      </w:r>
    </w:p>
    <w:p w14:paraId="26278735" w14:textId="0CF477A9" w:rsidR="004144FE" w:rsidRPr="000D4E5B" w:rsidRDefault="004144FE" w:rsidP="002D19FD">
      <w:pPr>
        <w:pStyle w:val="Paragraph"/>
      </w:pPr>
      <w:r w:rsidRPr="000D4E5B">
        <w:t xml:space="preserve">In clinical studies with LYNPARZA </w:t>
      </w:r>
      <w:r w:rsidR="00F00D1D" w:rsidRPr="000D4E5B">
        <w:t xml:space="preserve">monotherapy </w:t>
      </w:r>
      <w:r w:rsidRPr="000D4E5B">
        <w:t xml:space="preserve">the incidence of CTCAE grade ≥2 shifts (elevations) from baseline in blood creatinine was approximately </w:t>
      </w:r>
      <w:r w:rsidR="00A827C2" w:rsidRPr="000D4E5B">
        <w:t>11</w:t>
      </w:r>
      <w:r w:rsidRPr="000D4E5B">
        <w:t>%.  Data from a double-blind placebo-controlled study showed median increase up to 23% from baseline remaining consistent over time and returning to baseline after treatment discontinuation, with no apparent clinical sequelae.  90% of patients had creatinine values of CTCAE grade 0 at baseline and 10% were CTCAE grade 1 at baseline.</w:t>
      </w:r>
    </w:p>
    <w:p w14:paraId="6AB3246D" w14:textId="09685E32" w:rsidR="00AE034C" w:rsidRPr="000D4E5B" w:rsidRDefault="00AE034C" w:rsidP="00AE034C">
      <w:pPr>
        <w:pStyle w:val="Heading3Unnumbered"/>
      </w:pPr>
      <w:r w:rsidRPr="000D4E5B">
        <w:t>Nausea and vomiting</w:t>
      </w:r>
    </w:p>
    <w:p w14:paraId="23AB41AD" w14:textId="4F69895D" w:rsidR="00AE034C" w:rsidRPr="000D4E5B" w:rsidRDefault="00AE034C" w:rsidP="00AE034C">
      <w:pPr>
        <w:pStyle w:val="Paragraph"/>
      </w:pPr>
      <w:r w:rsidRPr="000D4E5B">
        <w:t>Nausea was generally reported very early, with first onset within the first month of LYNPARZA treatment in the majority of patients.  Vomiting was reported early, with first onset within the first two months of LYNPARZA treatment in the majority of patients.  Both nausea and vomiting were reported to be intermittent for the majority of patients.</w:t>
      </w:r>
    </w:p>
    <w:p w14:paraId="55948DE8" w14:textId="6CDD1F17" w:rsidR="004C4757" w:rsidRPr="000D4E5B" w:rsidRDefault="004C4757" w:rsidP="00C51443">
      <w:pPr>
        <w:pStyle w:val="Heading3Unnumbered"/>
      </w:pPr>
      <w:r w:rsidRPr="000D4E5B">
        <w:t>Reporting suspected adverse effects</w:t>
      </w:r>
    </w:p>
    <w:p w14:paraId="1ECD8611" w14:textId="44E3863C" w:rsidR="001D3AF3" w:rsidRPr="000D4E5B" w:rsidRDefault="004C4757" w:rsidP="004C4757">
      <w:pPr>
        <w:pStyle w:val="Paragraph"/>
        <w:rPr>
          <w:lang w:val="en-AU"/>
        </w:rPr>
      </w:pPr>
      <w:r w:rsidRPr="000D4E5B">
        <w:rPr>
          <w:lang w:val="en-AU"/>
        </w:rPr>
        <w:t xml:space="preserve">Reporting suspected adverse reactions after registration of the medicinal product is important.  </w:t>
      </w:r>
      <w:r w:rsidR="00F035C7" w:rsidRPr="000D4E5B">
        <w:rPr>
          <w:lang w:val="en-AU"/>
        </w:rPr>
        <w:br/>
      </w:r>
      <w:r w:rsidRPr="000D4E5B">
        <w:rPr>
          <w:lang w:val="en-AU"/>
        </w:rPr>
        <w:t>It allows continued monitoring of the benefit-risk balance of the medicinal product.  Healthcare professionals are asked to report any suspected adverse reactions at www.tga.gov.au/reporting-problem</w:t>
      </w:r>
      <w:r w:rsidRPr="000D4E5B">
        <w:t>s</w:t>
      </w:r>
      <w:r w:rsidRPr="000D4E5B">
        <w:rPr>
          <w:lang w:val="en-AU"/>
        </w:rPr>
        <w:t>.</w:t>
      </w:r>
    </w:p>
    <w:p w14:paraId="4D9CED6D" w14:textId="799F6B1D" w:rsidR="001A3992" w:rsidRPr="000D4E5B" w:rsidRDefault="001A3992" w:rsidP="00CD331E">
      <w:pPr>
        <w:pStyle w:val="Heading2"/>
        <w:tabs>
          <w:tab w:val="clear" w:pos="1134"/>
          <w:tab w:val="num" w:pos="720"/>
        </w:tabs>
        <w:ind w:left="720" w:hanging="720"/>
      </w:pPr>
      <w:r w:rsidRPr="000D4E5B">
        <w:t>Overdose</w:t>
      </w:r>
    </w:p>
    <w:p w14:paraId="73DD42E6" w14:textId="3A252F61" w:rsidR="00AE034C" w:rsidRPr="000D4E5B" w:rsidRDefault="00AE034C" w:rsidP="00AE034C">
      <w:pPr>
        <w:pStyle w:val="Paragraph"/>
      </w:pPr>
      <w:r w:rsidRPr="000D4E5B">
        <w:t>Symptoms of overdose are not established and there is no specific treatment in the event of LYNPARZA overdose.  In the event of an overdose, physicians should follow general supportive measures and should treat the patient symptomatically.</w:t>
      </w:r>
    </w:p>
    <w:p w14:paraId="184D51BB" w14:textId="7284CCD9" w:rsidR="001D3AF3" w:rsidRPr="000D4E5B" w:rsidRDefault="006C44D9" w:rsidP="001D3AF3">
      <w:pPr>
        <w:pStyle w:val="Paragraph"/>
      </w:pPr>
      <w:bookmarkStart w:id="20" w:name="_Hlk513040215"/>
      <w:r w:rsidRPr="000D4E5B">
        <w:t>For information on the management of overdose, contact the Poison Information Centre on 131126 (Australia).</w:t>
      </w:r>
    </w:p>
    <w:bookmarkEnd w:id="20"/>
    <w:p w14:paraId="77B321CA" w14:textId="77777777" w:rsidR="001A3992" w:rsidRPr="000D4E5B" w:rsidRDefault="001A3992" w:rsidP="00CD331E">
      <w:pPr>
        <w:pStyle w:val="Heading1"/>
        <w:keepNext w:val="0"/>
        <w:tabs>
          <w:tab w:val="clear" w:pos="1134"/>
          <w:tab w:val="num" w:pos="720"/>
        </w:tabs>
        <w:ind w:left="720" w:hanging="720"/>
      </w:pPr>
      <w:r w:rsidRPr="000D4E5B">
        <w:t>Pharmacological properties</w:t>
      </w:r>
    </w:p>
    <w:p w14:paraId="2E243E51" w14:textId="77777777" w:rsidR="001A3992" w:rsidRPr="000D4E5B" w:rsidRDefault="007403BD" w:rsidP="00CD331E">
      <w:pPr>
        <w:pStyle w:val="Heading2"/>
        <w:tabs>
          <w:tab w:val="clear" w:pos="1134"/>
          <w:tab w:val="num" w:pos="720"/>
        </w:tabs>
        <w:ind w:left="720" w:hanging="720"/>
      </w:pPr>
      <w:r w:rsidRPr="000D4E5B">
        <w:t>Pharmacodynamic properties</w:t>
      </w:r>
      <w:bookmarkStart w:id="21" w:name="_Hlk61007537"/>
    </w:p>
    <w:p w14:paraId="3F776DB0" w14:textId="77777777" w:rsidR="001A3992" w:rsidRPr="000D4E5B" w:rsidRDefault="001A3992" w:rsidP="0026491B">
      <w:pPr>
        <w:pStyle w:val="Heading3Unnumbered"/>
      </w:pPr>
      <w:r w:rsidRPr="000D4E5B">
        <w:t>Mechanism of action</w:t>
      </w:r>
    </w:p>
    <w:p w14:paraId="0B08DF99" w14:textId="12AC235D" w:rsidR="005A4AAE" w:rsidRPr="000D4E5B" w:rsidRDefault="005A4AAE" w:rsidP="005A4AAE">
      <w:pPr>
        <w:pStyle w:val="Paragraph"/>
      </w:pPr>
      <w:r w:rsidRPr="000D4E5B">
        <w:t xml:space="preserve">Olaparib is an </w:t>
      </w:r>
      <w:r w:rsidR="006C44D9" w:rsidRPr="000D4E5B">
        <w:t xml:space="preserve">orally active </w:t>
      </w:r>
      <w:r w:rsidRPr="000D4E5B">
        <w:t>inhibitor of human poly (ADP-ribose) polymerase enzymes (PARP-1, PARP-2,</w:t>
      </w:r>
      <w:r w:rsidR="0024684F" w:rsidRPr="000D4E5B">
        <w:t xml:space="preserve"> </w:t>
      </w:r>
      <w:r w:rsidRPr="000D4E5B">
        <w:t xml:space="preserve">and PARP-3), and has been shown to inhibit the growth of selected tumour cell lines </w:t>
      </w:r>
      <w:r w:rsidRPr="000D4E5B">
        <w:rPr>
          <w:i/>
        </w:rPr>
        <w:t>in vitro</w:t>
      </w:r>
      <w:r w:rsidRPr="000D4E5B">
        <w:t xml:space="preserve"> and tumour growth in mice either as a standalone treatment or in combination with established chemotherapies</w:t>
      </w:r>
      <w:bookmarkEnd w:id="21"/>
      <w:r w:rsidRPr="000D4E5B">
        <w:t>.</w:t>
      </w:r>
    </w:p>
    <w:p w14:paraId="05D8735E" w14:textId="5A7D728D" w:rsidR="005A4AAE" w:rsidRPr="000D4E5B" w:rsidRDefault="005A4AAE" w:rsidP="00A85490">
      <w:pPr>
        <w:pStyle w:val="Paragraph"/>
      </w:pPr>
      <w:r w:rsidRPr="000D4E5B">
        <w:t xml:space="preserve">PARP enzymes are required for the efficient repair of DNA single strand breaks and an important aspect of PARP-induced repair requires that after chromatin modification, PARP auto-modifies itself and dissociates from the DNA to facilitate access for base excision repair (BER) enzymes.  When </w:t>
      </w:r>
      <w:proofErr w:type="spellStart"/>
      <w:r w:rsidRPr="000D4E5B">
        <w:t>olaparib</w:t>
      </w:r>
      <w:proofErr w:type="spellEnd"/>
      <w:r w:rsidRPr="000D4E5B">
        <w:t xml:space="preserve"> is bound to the active site of DNA-associated PARP it prevents the dissociation of PARP and traps it on the DNA, thus blocking repair.  In replicating cells this leads to DNA double strand breaks (DSBs) when replication forks meet the PARP-DNA adduct</w:t>
      </w:r>
      <w:r w:rsidR="00A85490" w:rsidRPr="000D4E5B">
        <w:t>s</w:t>
      </w:r>
      <w:r w:rsidRPr="000D4E5B">
        <w:t xml:space="preserve">.  In normal cells, homologous recombination repair (HRR) </w:t>
      </w:r>
      <w:r w:rsidR="00A85490" w:rsidRPr="000D4E5B">
        <w:rPr>
          <w:lang w:val="en-AU"/>
        </w:rPr>
        <w:t>pathway</w:t>
      </w:r>
      <w:r w:rsidRPr="000D4E5B">
        <w:t xml:space="preserve"> is effective at repairing these DNA double-strand breaks. </w:t>
      </w:r>
      <w:r w:rsidR="00E07B43" w:rsidRPr="000D4E5B">
        <w:t xml:space="preserve"> </w:t>
      </w:r>
      <w:bookmarkStart w:id="22" w:name="_Hlk513040595"/>
      <w:r w:rsidR="00A85490" w:rsidRPr="000D4E5B">
        <w:t xml:space="preserve">In cancers that lack functional components of HRR, such as </w:t>
      </w:r>
      <w:r w:rsidR="00A85490" w:rsidRPr="000D4E5B">
        <w:rPr>
          <w:i/>
        </w:rPr>
        <w:t>BRCA</w:t>
      </w:r>
      <w:r w:rsidR="00A85490" w:rsidRPr="000D4E5B">
        <w:t>1 or 2, DNA DSBs cannot be repaired accurately or effectively.</w:t>
      </w:r>
      <w:bookmarkEnd w:id="22"/>
      <w:r w:rsidRPr="000D4E5B">
        <w:t xml:space="preserve">  Instead, alternative and error-prone pathways are activated, such as the non-homologous end joining (NHEJ) pathway, leading to increased genomic instability.  After a number of rounds of replication, genomic instability can reach insupportable levels and result in cancer cell death, as cancer cells </w:t>
      </w:r>
      <w:r w:rsidR="00A85490" w:rsidRPr="000D4E5B">
        <w:t>already</w:t>
      </w:r>
      <w:r w:rsidRPr="000D4E5B">
        <w:t xml:space="preserve"> have a high DNA damage load relative to normal cells. </w:t>
      </w:r>
      <w:r w:rsidR="0024684F" w:rsidRPr="000D4E5B">
        <w:t xml:space="preserve"> </w:t>
      </w:r>
      <w:bookmarkStart w:id="23" w:name="_Hlk513040769"/>
      <w:r w:rsidR="0024684F" w:rsidRPr="000D4E5B">
        <w:t xml:space="preserve">In the absence of </w:t>
      </w:r>
      <w:r w:rsidR="0024684F" w:rsidRPr="000D4E5B">
        <w:rPr>
          <w:i/>
        </w:rPr>
        <w:t>BRCA1</w:t>
      </w:r>
      <w:r w:rsidR="0024684F" w:rsidRPr="000D4E5B">
        <w:t xml:space="preserve"> or </w:t>
      </w:r>
      <w:r w:rsidR="0024684F" w:rsidRPr="000D4E5B">
        <w:rPr>
          <w:i/>
        </w:rPr>
        <w:t>BRCA2</w:t>
      </w:r>
      <w:r w:rsidR="0024684F" w:rsidRPr="000D4E5B">
        <w:t xml:space="preserve"> mutations, HRR pathway may be compromised by other mechanisms, although the causative aberrancy and penetrance are not fully elucidated.  Absence of fully functional HRR pathway is one of the key determinants of platinum sensitivity in ovarian and other cancers.</w:t>
      </w:r>
      <w:bookmarkEnd w:id="23"/>
      <w:r w:rsidR="0024684F" w:rsidRPr="000D4E5B">
        <w:t xml:space="preserve"> </w:t>
      </w:r>
    </w:p>
    <w:p w14:paraId="2837DFB9" w14:textId="5940A68E" w:rsidR="005A4AAE" w:rsidRPr="000D4E5B" w:rsidRDefault="005A4AAE" w:rsidP="005A4AAE">
      <w:pPr>
        <w:pStyle w:val="Paragraph"/>
      </w:pPr>
      <w:r w:rsidRPr="000D4E5B">
        <w:t xml:space="preserve">In </w:t>
      </w:r>
      <w:r w:rsidRPr="000D4E5B">
        <w:rPr>
          <w:i/>
        </w:rPr>
        <w:t>BRCA</w:t>
      </w:r>
      <w:r w:rsidRPr="000D4E5B">
        <w:t xml:space="preserve">-deficient animal models, </w:t>
      </w:r>
      <w:proofErr w:type="spellStart"/>
      <w:r w:rsidRPr="000D4E5B">
        <w:t>olaparib</w:t>
      </w:r>
      <w:proofErr w:type="spellEnd"/>
      <w:r w:rsidRPr="000D4E5B">
        <w:t xml:space="preserve"> given after platinum treatment resulted in a delay in tumour progression and an increase in overall survival compared to platinum treatment alone.</w:t>
      </w:r>
    </w:p>
    <w:p w14:paraId="1B18B0C2" w14:textId="257B312E" w:rsidR="007403BD" w:rsidRPr="000D4E5B" w:rsidRDefault="005A4AAE" w:rsidP="005A4AAE">
      <w:pPr>
        <w:pStyle w:val="Paragraph"/>
      </w:pPr>
      <w:r w:rsidRPr="000D4E5B">
        <w:t>There was no correlation between the dose and degree of PARP-1 inhibition observed in the pharmacodynamic studies, with maximal inhibition achieved at relatively low doses.  Therefore, the dose selection was based upon the higher clinical response rates observed at higher doses.</w:t>
      </w:r>
    </w:p>
    <w:p w14:paraId="1D41B189" w14:textId="33AD86DC" w:rsidR="001A3992" w:rsidRPr="000D4E5B" w:rsidRDefault="001A3992" w:rsidP="0026491B">
      <w:pPr>
        <w:pStyle w:val="Heading3Unnumbered"/>
      </w:pPr>
      <w:r w:rsidRPr="000D4E5B">
        <w:t>Clinical trials</w:t>
      </w:r>
    </w:p>
    <w:p w14:paraId="6DC57A4D" w14:textId="7460146F" w:rsidR="008B7318" w:rsidRPr="000D4E5B" w:rsidRDefault="006810D3" w:rsidP="00590DA8">
      <w:pPr>
        <w:pStyle w:val="Heading4Unnumbered"/>
      </w:pPr>
      <w:r w:rsidRPr="000D4E5B">
        <w:t>First-line Maintenance Treatment of BRCA-Mutated Advanced Ovarian Cancer</w:t>
      </w:r>
      <w:r w:rsidR="008B7318" w:rsidRPr="000D4E5B">
        <w:t xml:space="preserve">SOLO1 </w:t>
      </w:r>
      <w:r w:rsidR="008B7318" w:rsidRPr="000D4E5B">
        <w:rPr>
          <w:vanish/>
          <w:szCs w:val="24"/>
          <w:lang w:val="en-US" w:eastAsia="en-GB"/>
        </w:rPr>
        <w:t>Study (D0816C00001) in newly diagnosed advanced patients with a BRCA mutation</w:t>
      </w:r>
    </w:p>
    <w:p w14:paraId="0B89AD49" w14:textId="46DDCFFF" w:rsidR="008B7318" w:rsidRPr="000D4E5B" w:rsidRDefault="008B7318" w:rsidP="00590DA8">
      <w:pPr>
        <w:pStyle w:val="Paragraph"/>
      </w:pPr>
      <w:r w:rsidRPr="000D4E5B">
        <w:t>SOLO1 was a Phase III randomised, double-blind, placebo-controlled, multicentre trial that compared the efficacy of L</w:t>
      </w:r>
      <w:r w:rsidR="00D265DE" w:rsidRPr="000D4E5B">
        <w:t>YNPARZA</w:t>
      </w:r>
      <w:r w:rsidRPr="000D4E5B">
        <w:t xml:space="preserve"> maintenance treatment (300 mg [2 x 150 mg tablets] twice daily) with placebo in advanced (FIGO Stage III-IV) high-grade serous or </w:t>
      </w:r>
      <w:proofErr w:type="spellStart"/>
      <w:r w:rsidRPr="000D4E5B">
        <w:t>endometrioid</w:t>
      </w:r>
      <w:proofErr w:type="spellEnd"/>
      <w:r w:rsidRPr="000D4E5B">
        <w:t xml:space="preserve"> </w:t>
      </w:r>
      <w:r w:rsidRPr="000D4E5B">
        <w:rPr>
          <w:i/>
        </w:rPr>
        <w:t>BRCA</w:t>
      </w:r>
      <w:r w:rsidRPr="000D4E5B">
        <w:t>-mutated (</w:t>
      </w:r>
      <w:proofErr w:type="spellStart"/>
      <w:r w:rsidRPr="000D4E5B">
        <w:rPr>
          <w:i/>
        </w:rPr>
        <w:t>BRCAm</w:t>
      </w:r>
      <w:proofErr w:type="spellEnd"/>
      <w:r w:rsidRPr="000D4E5B">
        <w:rPr>
          <w:i/>
        </w:rPr>
        <w:t>)</w:t>
      </w:r>
      <w:r w:rsidRPr="000D4E5B">
        <w:t xml:space="preserve"> ovarian cancer. The study randomised 391 patients (2:1 randomisation: 260 </w:t>
      </w:r>
      <w:proofErr w:type="spellStart"/>
      <w:r w:rsidRPr="000D4E5B">
        <w:t>olaparib</w:t>
      </w:r>
      <w:proofErr w:type="spellEnd"/>
      <w:r w:rsidRPr="000D4E5B">
        <w:t xml:space="preserve"> and 131 placebo) who were in response (CR [complete response] or PR [partial response]) following completion of first-line platinum-containing chemotherapy</w:t>
      </w:r>
      <w:r w:rsidR="00D265DE" w:rsidRPr="000D4E5B">
        <w:t>.  Patients were stratified by response to first-line platinum chemotherapy (CR or PR). Treatment was continued for 2 years or until progression of the underlying disease.  For patients who remained in complete clinical response (i.e. no radiological evidence of disease), the maximum duration of treatment was 2 years; however, patients who had evidence of disease that remained stable (i.e. no evidence of disease progression) could continue to receive LYNPARZA beyond 2 years.</w:t>
      </w:r>
    </w:p>
    <w:p w14:paraId="1CED740D" w14:textId="59665199" w:rsidR="00D46682" w:rsidRPr="000D4E5B" w:rsidRDefault="00866446" w:rsidP="00590DA8">
      <w:pPr>
        <w:pStyle w:val="Paragraph"/>
        <w:rPr>
          <w:vertAlign w:val="superscript"/>
        </w:rPr>
      </w:pPr>
      <w:r w:rsidRPr="000D4E5B">
        <w:t xml:space="preserve">Patients with </w:t>
      </w:r>
      <w:r w:rsidR="00140C1A" w:rsidRPr="000D4E5B">
        <w:t xml:space="preserve">deleterious or suspected deleterious </w:t>
      </w:r>
      <w:r w:rsidRPr="000D4E5B">
        <w:rPr>
          <w:i/>
        </w:rPr>
        <w:t>BRCA</w:t>
      </w:r>
      <w:r w:rsidRPr="000D4E5B">
        <w:t xml:space="preserve"> mutations were identified either from germline testing in blood via a local test or central test (i.e. Myriad Integrated </w:t>
      </w:r>
      <w:proofErr w:type="spellStart"/>
      <w:r w:rsidRPr="000D4E5B">
        <w:t>BRAC</w:t>
      </w:r>
      <w:r w:rsidRPr="000D4E5B">
        <w:rPr>
          <w:i/>
        </w:rPr>
        <w:t>Analysis</w:t>
      </w:r>
      <w:proofErr w:type="spellEnd"/>
      <w:r w:rsidRPr="000D4E5B">
        <w:rPr>
          <w:vertAlign w:val="superscript"/>
        </w:rPr>
        <w:t>®</w:t>
      </w:r>
      <w:r w:rsidRPr="000D4E5B">
        <w:t xml:space="preserve"> test, Myriad </w:t>
      </w:r>
      <w:proofErr w:type="spellStart"/>
      <w:r w:rsidRPr="000D4E5B">
        <w:t>BRAC</w:t>
      </w:r>
      <w:r w:rsidRPr="000D4E5B">
        <w:rPr>
          <w:i/>
        </w:rPr>
        <w:t>Analysis</w:t>
      </w:r>
      <w:proofErr w:type="spellEnd"/>
      <w:r w:rsidRPr="000D4E5B">
        <w:t xml:space="preserve"> </w:t>
      </w:r>
      <w:proofErr w:type="spellStart"/>
      <w:r w:rsidRPr="000D4E5B">
        <w:t>CDx</w:t>
      </w:r>
      <w:proofErr w:type="spellEnd"/>
      <w:r w:rsidRPr="000D4E5B">
        <w:rPr>
          <w:vertAlign w:val="superscript"/>
        </w:rPr>
        <w:t>®</w:t>
      </w:r>
      <w:r w:rsidRPr="000D4E5B">
        <w:t xml:space="preserve">, China BGI test) or from testing a tumour sample using a local test. The </w:t>
      </w:r>
      <w:proofErr w:type="spellStart"/>
      <w:r w:rsidRPr="000D4E5B">
        <w:rPr>
          <w:i/>
        </w:rPr>
        <w:t>BRCAm</w:t>
      </w:r>
      <w:proofErr w:type="spellEnd"/>
      <w:r w:rsidRPr="000D4E5B">
        <w:t xml:space="preserve"> status of all patients was confirmed where possible using the Myriad Integrated </w:t>
      </w:r>
      <w:proofErr w:type="spellStart"/>
      <w:r w:rsidRPr="000D4E5B">
        <w:t>BRAC</w:t>
      </w:r>
      <w:r w:rsidRPr="000D4E5B">
        <w:rPr>
          <w:i/>
        </w:rPr>
        <w:t>Analysis</w:t>
      </w:r>
      <w:proofErr w:type="spellEnd"/>
      <w:r w:rsidRPr="000D4E5B">
        <w:rPr>
          <w:vertAlign w:val="superscript"/>
        </w:rPr>
        <w:t>®</w:t>
      </w:r>
      <w:r w:rsidRPr="000D4E5B">
        <w:t xml:space="preserve"> test, the Myriad </w:t>
      </w:r>
      <w:proofErr w:type="spellStart"/>
      <w:r w:rsidRPr="000D4E5B">
        <w:t>BRACAnalysis</w:t>
      </w:r>
      <w:proofErr w:type="spellEnd"/>
      <w:r w:rsidRPr="000D4E5B">
        <w:t xml:space="preserve"> </w:t>
      </w:r>
      <w:proofErr w:type="spellStart"/>
      <w:r w:rsidRPr="000D4E5B">
        <w:t>CDx</w:t>
      </w:r>
      <w:proofErr w:type="spellEnd"/>
      <w:r w:rsidRPr="000D4E5B">
        <w:rPr>
          <w:vertAlign w:val="superscript"/>
        </w:rPr>
        <w:t>®</w:t>
      </w:r>
      <w:r w:rsidRPr="000D4E5B">
        <w:t xml:space="preserve"> or the Foundation Medicine </w:t>
      </w:r>
      <w:proofErr w:type="spellStart"/>
      <w:r w:rsidRPr="000D4E5B">
        <w:t>FoundationOne</w:t>
      </w:r>
      <w:proofErr w:type="spellEnd"/>
      <w:r w:rsidRPr="000D4E5B">
        <w:t xml:space="preserve"> </w:t>
      </w:r>
      <w:proofErr w:type="spellStart"/>
      <w:r w:rsidRPr="000D4E5B">
        <w:t>CDxTM</w:t>
      </w:r>
      <w:proofErr w:type="spellEnd"/>
      <w:r w:rsidRPr="000D4E5B">
        <w:t xml:space="preserve"> Clinical Trial Assay.</w:t>
      </w:r>
    </w:p>
    <w:p w14:paraId="0A802930" w14:textId="5C037BC1" w:rsidR="00866446" w:rsidRPr="000D4E5B" w:rsidRDefault="00866446" w:rsidP="00590DA8">
      <w:pPr>
        <w:pStyle w:val="Paragraph"/>
      </w:pPr>
      <w:r w:rsidRPr="000D4E5B">
        <w:t xml:space="preserve">There were 389 patients who were germline </w:t>
      </w:r>
      <w:proofErr w:type="spellStart"/>
      <w:r w:rsidRPr="000D4E5B">
        <w:rPr>
          <w:i/>
        </w:rPr>
        <w:t>BRCAm</w:t>
      </w:r>
      <w:proofErr w:type="spellEnd"/>
      <w:r w:rsidRPr="000D4E5B">
        <w:t xml:space="preserve"> and 2 who were somatic </w:t>
      </w:r>
      <w:proofErr w:type="spellStart"/>
      <w:r w:rsidRPr="000D4E5B">
        <w:rPr>
          <w:i/>
        </w:rPr>
        <w:t>BRCAm</w:t>
      </w:r>
      <w:proofErr w:type="spellEnd"/>
      <w:r w:rsidRPr="000D4E5B">
        <w:t xml:space="preserve"> in SOLO1.</w:t>
      </w:r>
    </w:p>
    <w:p w14:paraId="57D0D711" w14:textId="46813E88" w:rsidR="00866446" w:rsidRPr="000D4E5B" w:rsidRDefault="00E759D2" w:rsidP="00590DA8">
      <w:pPr>
        <w:pStyle w:val="Paragraph"/>
      </w:pPr>
      <w:r w:rsidRPr="000D4E5B">
        <w:t xml:space="preserve">Demographic and baseline characteristics were generally well balanced between the </w:t>
      </w:r>
      <w:proofErr w:type="spellStart"/>
      <w:r w:rsidRPr="000D4E5B">
        <w:t>olaparib</w:t>
      </w:r>
      <w:proofErr w:type="spellEnd"/>
      <w:r w:rsidRPr="000D4E5B">
        <w:t xml:space="preserve"> and placebo treatment arms. </w:t>
      </w:r>
      <w:r w:rsidR="00DA6373" w:rsidRPr="000D4E5B">
        <w:t xml:space="preserve"> </w:t>
      </w:r>
      <w:r w:rsidRPr="000D4E5B">
        <w:t xml:space="preserve">Median age was 53 years in both arms.  Ovarian cancer was the primary tumour in 85% of the patients. The most common histological type was serous (96%), </w:t>
      </w:r>
      <w:proofErr w:type="spellStart"/>
      <w:r w:rsidRPr="000D4E5B">
        <w:t>endometrioid</w:t>
      </w:r>
      <w:proofErr w:type="spellEnd"/>
      <w:r w:rsidRPr="000D4E5B">
        <w:t xml:space="preserve"> histology was reported in 2% of the patients. Most patients were ECOG performance status 0 (78%). All patients had received first-line platinum-based therapy; response to prior platinum chemotherapy was complete in 82% and partial in 18% of the patients. Ninety three percent (93%) of patients were randomised within 8 weeks of their last dose of platinum-based chemotherapy.</w:t>
      </w:r>
    </w:p>
    <w:p w14:paraId="73D9FC9F" w14:textId="18CAF519" w:rsidR="00E759D2" w:rsidRPr="000D4E5B" w:rsidRDefault="00E759D2" w:rsidP="00590DA8">
      <w:pPr>
        <w:pStyle w:val="Paragraph"/>
      </w:pPr>
      <w:r w:rsidRPr="000D4E5B">
        <w:t xml:space="preserve">The primary endpoint was progression-free survival (PFS), defined as time from randomisation to progression determined by investigator assessment using modified Response Evaluation Criteria in Solid </w:t>
      </w:r>
      <w:proofErr w:type="spellStart"/>
      <w:r w:rsidRPr="000D4E5B">
        <w:t>Tumors</w:t>
      </w:r>
      <w:proofErr w:type="spellEnd"/>
      <w:r w:rsidRPr="000D4E5B">
        <w:t xml:space="preserve"> (RECIST) 1.1, or death.  Secondary efficacy endpoints included time from randomisation to second progression or death (PFS2), overall survival (OS), time from randomisation to first subsequent anti-cancer therapy or death (TFST) and health related quality of life (</w:t>
      </w:r>
      <w:proofErr w:type="spellStart"/>
      <w:r w:rsidRPr="000D4E5B">
        <w:t>HRQoL</w:t>
      </w:r>
      <w:proofErr w:type="spellEnd"/>
      <w:r w:rsidRPr="000D4E5B">
        <w:t>).  Patients had tumour assessments at baseline and every 12 weeks for 3 years, and then every 24 weeks relative to the date of randomisation, until objective radiological disease progression.</w:t>
      </w:r>
    </w:p>
    <w:p w14:paraId="318FD5B7" w14:textId="79EB67E4" w:rsidR="00E759D2" w:rsidRPr="000D4E5B" w:rsidRDefault="00E759D2" w:rsidP="00590DA8">
      <w:pPr>
        <w:pStyle w:val="Paragraph"/>
      </w:pPr>
      <w:r w:rsidRPr="000D4E5B">
        <w:t xml:space="preserve">The study demonstrated a clinically relevant and statistically significant improvement in investigator assessed PFS for </w:t>
      </w:r>
      <w:proofErr w:type="spellStart"/>
      <w:r w:rsidRPr="000D4E5B">
        <w:t>olaparib</w:t>
      </w:r>
      <w:proofErr w:type="spellEnd"/>
      <w:r w:rsidRPr="000D4E5B">
        <w:t xml:space="preserve"> compared to placebo, with a hazard ratio (HR) of 0.30 (95% CI 0.23–0.41; p&lt;0.0001; the median was not reached for </w:t>
      </w:r>
      <w:proofErr w:type="spellStart"/>
      <w:r w:rsidRPr="000D4E5B">
        <w:t>olaparib</w:t>
      </w:r>
      <w:proofErr w:type="spellEnd"/>
      <w:r w:rsidRPr="000D4E5B">
        <w:t xml:space="preserve"> versus 13.8 months for placebo).  Based on Kaplan -Meier estimates, the proportion of patients that were progression free at 12, 24 and 36 months were 88%, 74%, and 60% for </w:t>
      </w:r>
      <w:proofErr w:type="spellStart"/>
      <w:r w:rsidRPr="000D4E5B">
        <w:t>olaparib</w:t>
      </w:r>
      <w:proofErr w:type="spellEnd"/>
      <w:r w:rsidRPr="000D4E5B">
        <w:t xml:space="preserve"> versus 51%, 35% and 27% for placebo; the median follow-up time was 41 months for both the </w:t>
      </w:r>
      <w:proofErr w:type="spellStart"/>
      <w:r w:rsidRPr="000D4E5B">
        <w:t>olapa</w:t>
      </w:r>
      <w:r w:rsidR="008B5513" w:rsidRPr="000D4E5B">
        <w:t>rib</w:t>
      </w:r>
      <w:proofErr w:type="spellEnd"/>
      <w:r w:rsidR="008B5513" w:rsidRPr="000D4E5B">
        <w:t xml:space="preserve"> and placebo treatment arms.</w:t>
      </w:r>
      <w:r w:rsidRPr="000D4E5B">
        <w:t xml:space="preserve"> The investigator assessment of PFS was supported with a blinded independent central radiological (BICR) review of PFS (HR 0.28; 95% CI 0.20-0.39; p&lt;0.0001; median not reached for </w:t>
      </w:r>
      <w:proofErr w:type="spellStart"/>
      <w:r w:rsidRPr="000D4E5B">
        <w:t>olaparib</w:t>
      </w:r>
      <w:proofErr w:type="spellEnd"/>
      <w:r w:rsidRPr="000D4E5B">
        <w:t xml:space="preserve"> vs. 14.1 months for placebo).  A clinically meaningful and statistically significant improvement in PFS2 was also observed with a HR of 0.50 (95% CI 0.35-0.72; p=0.0002; median not reached for </w:t>
      </w:r>
      <w:proofErr w:type="spellStart"/>
      <w:r w:rsidRPr="000D4E5B">
        <w:t>olaparib</w:t>
      </w:r>
      <w:proofErr w:type="spellEnd"/>
      <w:r w:rsidRPr="000D4E5B">
        <w:t xml:space="preserve"> vs. 41.9 months for placebo) indicating that the benefit observed with </w:t>
      </w:r>
      <w:proofErr w:type="spellStart"/>
      <w:r w:rsidRPr="000D4E5B">
        <w:t>olaparib</w:t>
      </w:r>
      <w:proofErr w:type="spellEnd"/>
      <w:r w:rsidRPr="000D4E5B">
        <w:t xml:space="preserve"> continued to be evident even with the use of subsequent therapies (see Table </w:t>
      </w:r>
      <w:r w:rsidR="008B5513" w:rsidRPr="000D4E5B">
        <w:t>3</w:t>
      </w:r>
      <w:r w:rsidRPr="000D4E5B">
        <w:t>).</w:t>
      </w:r>
    </w:p>
    <w:p w14:paraId="672DD2EF" w14:textId="1827D0C9" w:rsidR="00E759D2" w:rsidRPr="000D4E5B" w:rsidRDefault="00E759D2" w:rsidP="00590DA8">
      <w:pPr>
        <w:pStyle w:val="Paragraph"/>
      </w:pPr>
      <w:r w:rsidRPr="000D4E5B">
        <w:t xml:space="preserve">At the time of PFS analysis, interim OS data were immature with events in 82/391 (21%) patients (HR 0.95; 95% CI 0.60-1.53; p=0.8903; medians not reached).  </w:t>
      </w:r>
    </w:p>
    <w:p w14:paraId="11B36802" w14:textId="1C1433A7" w:rsidR="008B5513" w:rsidRPr="000D4E5B" w:rsidRDefault="008B5513" w:rsidP="00D74A68">
      <w:pPr>
        <w:pStyle w:val="TableTitle"/>
        <w:tabs>
          <w:tab w:val="clear" w:pos="1701"/>
          <w:tab w:val="left" w:pos="1440"/>
        </w:tabs>
        <w:ind w:left="1440" w:hanging="1440"/>
      </w:pPr>
      <w:r w:rsidRPr="000D4E5B">
        <w:t>Table 3</w:t>
      </w:r>
      <w:r w:rsidRPr="000D4E5B">
        <w:tab/>
        <w:t xml:space="preserve">Summary of key efficacy findings for newly diagnosed patients with </w:t>
      </w:r>
      <w:r w:rsidRPr="000D4E5B">
        <w:rPr>
          <w:i/>
        </w:rPr>
        <w:t>BRCA</w:t>
      </w:r>
      <w:r w:rsidRPr="000D4E5B">
        <w:t>-mutated advanced ovarian cancer in SOLO1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26"/>
      </w:tblGrid>
      <w:tr w:rsidR="00783946" w:rsidRPr="000D4E5B" w14:paraId="56FA14E4" w14:textId="77777777" w:rsidTr="001C6C1A">
        <w:trPr>
          <w:tblHeader/>
        </w:trPr>
        <w:tc>
          <w:tcPr>
            <w:tcW w:w="4503" w:type="dxa"/>
            <w:tcBorders>
              <w:top w:val="single" w:sz="8" w:space="0" w:color="auto"/>
              <w:left w:val="nil"/>
              <w:right w:val="nil"/>
            </w:tcBorders>
            <w:shd w:val="clear" w:color="auto" w:fill="auto"/>
          </w:tcPr>
          <w:p w14:paraId="0E07325E" w14:textId="77777777" w:rsidR="00783946" w:rsidRPr="000D4E5B" w:rsidRDefault="00783946" w:rsidP="00783946">
            <w:pPr>
              <w:spacing w:before="40" w:after="40" w:line="240" w:lineRule="auto"/>
              <w:jc w:val="center"/>
              <w:rPr>
                <w:b/>
                <w:sz w:val="22"/>
                <w:szCs w:val="22"/>
              </w:rPr>
            </w:pPr>
          </w:p>
        </w:tc>
        <w:tc>
          <w:tcPr>
            <w:tcW w:w="2693" w:type="dxa"/>
            <w:tcBorders>
              <w:top w:val="single" w:sz="8" w:space="0" w:color="auto"/>
              <w:left w:val="nil"/>
              <w:right w:val="nil"/>
            </w:tcBorders>
            <w:shd w:val="clear" w:color="auto" w:fill="auto"/>
          </w:tcPr>
          <w:p w14:paraId="4523FAE4" w14:textId="77777777" w:rsidR="00783946" w:rsidRPr="000D4E5B" w:rsidRDefault="00783946" w:rsidP="00783946">
            <w:pPr>
              <w:spacing w:before="40" w:after="40" w:line="240" w:lineRule="auto"/>
              <w:jc w:val="center"/>
              <w:rPr>
                <w:b/>
                <w:sz w:val="22"/>
                <w:szCs w:val="22"/>
              </w:rPr>
            </w:pPr>
            <w:r w:rsidRPr="000D4E5B">
              <w:rPr>
                <w:b/>
                <w:sz w:val="22"/>
                <w:szCs w:val="22"/>
              </w:rPr>
              <w:t>LYNPARZA tablet</w:t>
            </w:r>
            <w:r w:rsidRPr="000D4E5B">
              <w:rPr>
                <w:b/>
                <w:sz w:val="22"/>
                <w:szCs w:val="22"/>
              </w:rPr>
              <w:br/>
              <w:t xml:space="preserve">300 mg </w:t>
            </w:r>
            <w:proofErr w:type="spellStart"/>
            <w:r w:rsidRPr="000D4E5B">
              <w:rPr>
                <w:b/>
                <w:sz w:val="22"/>
                <w:szCs w:val="22"/>
              </w:rPr>
              <w:t>bd</w:t>
            </w:r>
            <w:proofErr w:type="spellEnd"/>
          </w:p>
        </w:tc>
        <w:tc>
          <w:tcPr>
            <w:tcW w:w="2126" w:type="dxa"/>
            <w:tcBorders>
              <w:top w:val="single" w:sz="8" w:space="0" w:color="auto"/>
              <w:left w:val="nil"/>
              <w:right w:val="nil"/>
            </w:tcBorders>
            <w:shd w:val="clear" w:color="auto" w:fill="auto"/>
          </w:tcPr>
          <w:p w14:paraId="105CE641" w14:textId="77777777" w:rsidR="00783946" w:rsidRPr="000D4E5B" w:rsidRDefault="00783946" w:rsidP="00783946">
            <w:pPr>
              <w:spacing w:before="40" w:after="40" w:line="240" w:lineRule="auto"/>
              <w:jc w:val="center"/>
              <w:rPr>
                <w:b/>
                <w:sz w:val="22"/>
                <w:szCs w:val="22"/>
              </w:rPr>
            </w:pPr>
            <w:r w:rsidRPr="000D4E5B">
              <w:rPr>
                <w:b/>
                <w:sz w:val="22"/>
                <w:szCs w:val="22"/>
              </w:rPr>
              <w:t>Placebo</w:t>
            </w:r>
          </w:p>
        </w:tc>
      </w:tr>
      <w:tr w:rsidR="00783946" w:rsidRPr="000D4E5B" w14:paraId="50A52F1D" w14:textId="77777777" w:rsidTr="00957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53006165" w14:textId="00E22107" w:rsidR="00783946" w:rsidRPr="000D4E5B" w:rsidRDefault="00783946" w:rsidP="00783946">
            <w:pPr>
              <w:spacing w:before="40" w:after="40" w:line="240" w:lineRule="auto"/>
              <w:rPr>
                <w:b/>
                <w:sz w:val="22"/>
                <w:szCs w:val="22"/>
              </w:rPr>
            </w:pPr>
            <w:r w:rsidRPr="000D4E5B">
              <w:rPr>
                <w:b/>
                <w:sz w:val="22"/>
                <w:szCs w:val="22"/>
              </w:rPr>
              <w:t>PFS (51% maturity)</w:t>
            </w:r>
          </w:p>
        </w:tc>
      </w:tr>
      <w:tr w:rsidR="008B5513" w:rsidRPr="000D4E5B" w14:paraId="0D0ECE2F" w14:textId="77777777" w:rsidTr="00D74A68">
        <w:tc>
          <w:tcPr>
            <w:tcW w:w="4503" w:type="dxa"/>
            <w:tcBorders>
              <w:left w:val="nil"/>
              <w:bottom w:val="nil"/>
              <w:right w:val="nil"/>
            </w:tcBorders>
            <w:shd w:val="clear" w:color="auto" w:fill="auto"/>
            <w:vAlign w:val="center"/>
          </w:tcPr>
          <w:p w14:paraId="6C0D5A0D" w14:textId="77777777" w:rsidR="008B5513" w:rsidRPr="000D4E5B" w:rsidRDefault="008B5513" w:rsidP="00D74A68">
            <w:pPr>
              <w:pStyle w:val="TableLeft"/>
              <w:rPr>
                <w:bCs w:val="0"/>
                <w:sz w:val="22"/>
                <w:szCs w:val="22"/>
                <w:lang w:val="en-US"/>
              </w:rPr>
            </w:pPr>
            <w:r w:rsidRPr="000D4E5B">
              <w:rPr>
                <w:sz w:val="22"/>
                <w:szCs w:val="22"/>
              </w:rPr>
              <w:t>Number of events: Total number of patients (%)</w:t>
            </w:r>
          </w:p>
        </w:tc>
        <w:tc>
          <w:tcPr>
            <w:tcW w:w="2693" w:type="dxa"/>
            <w:tcBorders>
              <w:left w:val="nil"/>
              <w:bottom w:val="nil"/>
              <w:right w:val="nil"/>
            </w:tcBorders>
            <w:shd w:val="clear" w:color="auto" w:fill="auto"/>
          </w:tcPr>
          <w:p w14:paraId="5744A1DA" w14:textId="20231490" w:rsidR="008B5513" w:rsidRPr="000D4E5B" w:rsidRDefault="008B5513" w:rsidP="00D74A68">
            <w:pPr>
              <w:pStyle w:val="TableCenter"/>
              <w:rPr>
                <w:sz w:val="22"/>
                <w:szCs w:val="22"/>
                <w:lang w:val="en-US"/>
              </w:rPr>
            </w:pPr>
            <w:r w:rsidRPr="000D4E5B">
              <w:rPr>
                <w:sz w:val="22"/>
                <w:szCs w:val="22"/>
              </w:rPr>
              <w:t>102:260 (39)</w:t>
            </w:r>
          </w:p>
        </w:tc>
        <w:tc>
          <w:tcPr>
            <w:tcW w:w="2126" w:type="dxa"/>
            <w:tcBorders>
              <w:left w:val="nil"/>
              <w:bottom w:val="nil"/>
              <w:right w:val="nil"/>
            </w:tcBorders>
            <w:shd w:val="clear" w:color="auto" w:fill="auto"/>
          </w:tcPr>
          <w:p w14:paraId="7F020F38" w14:textId="1DD5FAC3" w:rsidR="008B5513" w:rsidRPr="000D4E5B" w:rsidRDefault="008B5513" w:rsidP="00D74A68">
            <w:pPr>
              <w:pStyle w:val="TableCenter"/>
              <w:rPr>
                <w:sz w:val="22"/>
                <w:szCs w:val="22"/>
                <w:lang w:val="en-US"/>
              </w:rPr>
            </w:pPr>
            <w:r w:rsidRPr="000D4E5B">
              <w:rPr>
                <w:sz w:val="22"/>
                <w:szCs w:val="22"/>
              </w:rPr>
              <w:t>96:131 (73)</w:t>
            </w:r>
          </w:p>
        </w:tc>
      </w:tr>
      <w:tr w:rsidR="00783946" w:rsidRPr="000D4E5B" w14:paraId="63BB1346" w14:textId="77777777" w:rsidTr="00957DE6">
        <w:tc>
          <w:tcPr>
            <w:tcW w:w="4503" w:type="dxa"/>
            <w:tcBorders>
              <w:top w:val="nil"/>
              <w:left w:val="nil"/>
              <w:bottom w:val="nil"/>
              <w:right w:val="nil"/>
            </w:tcBorders>
            <w:shd w:val="clear" w:color="auto" w:fill="auto"/>
            <w:vAlign w:val="center"/>
          </w:tcPr>
          <w:p w14:paraId="0C0897DA" w14:textId="77777777" w:rsidR="00783946" w:rsidRPr="000D4E5B" w:rsidRDefault="00783946" w:rsidP="00D74A68">
            <w:pPr>
              <w:pStyle w:val="TableLeft"/>
              <w:rPr>
                <w:bCs w:val="0"/>
                <w:sz w:val="22"/>
                <w:szCs w:val="22"/>
                <w:lang w:val="en-US"/>
              </w:rPr>
            </w:pPr>
            <w:r w:rsidRPr="000D4E5B">
              <w:rPr>
                <w:sz w:val="22"/>
                <w:szCs w:val="22"/>
              </w:rPr>
              <w:t>Median time (months)</w:t>
            </w:r>
          </w:p>
        </w:tc>
        <w:tc>
          <w:tcPr>
            <w:tcW w:w="2693" w:type="dxa"/>
            <w:tcBorders>
              <w:top w:val="nil"/>
              <w:left w:val="nil"/>
              <w:bottom w:val="nil"/>
              <w:right w:val="nil"/>
            </w:tcBorders>
            <w:shd w:val="clear" w:color="auto" w:fill="auto"/>
            <w:vAlign w:val="center"/>
          </w:tcPr>
          <w:p w14:paraId="40B63134" w14:textId="317E6362" w:rsidR="00783946" w:rsidRPr="000D4E5B" w:rsidRDefault="008B5513" w:rsidP="00D74A68">
            <w:pPr>
              <w:pStyle w:val="TableCenter"/>
              <w:rPr>
                <w:sz w:val="22"/>
                <w:szCs w:val="22"/>
                <w:lang w:val="en-US"/>
              </w:rPr>
            </w:pPr>
            <w:r w:rsidRPr="000D4E5B">
              <w:rPr>
                <w:sz w:val="22"/>
                <w:szCs w:val="22"/>
              </w:rPr>
              <w:t>NR</w:t>
            </w:r>
          </w:p>
        </w:tc>
        <w:tc>
          <w:tcPr>
            <w:tcW w:w="2126" w:type="dxa"/>
            <w:tcBorders>
              <w:top w:val="nil"/>
              <w:left w:val="nil"/>
              <w:bottom w:val="nil"/>
              <w:right w:val="nil"/>
            </w:tcBorders>
            <w:shd w:val="clear" w:color="auto" w:fill="auto"/>
            <w:vAlign w:val="center"/>
          </w:tcPr>
          <w:p w14:paraId="288A7BC6" w14:textId="10D7C55D" w:rsidR="00783946" w:rsidRPr="000D4E5B" w:rsidRDefault="008B5513" w:rsidP="00D74A68">
            <w:pPr>
              <w:pStyle w:val="TableCenter"/>
              <w:rPr>
                <w:sz w:val="22"/>
                <w:szCs w:val="22"/>
                <w:lang w:val="en-US"/>
              </w:rPr>
            </w:pPr>
            <w:r w:rsidRPr="000D4E5B">
              <w:rPr>
                <w:sz w:val="22"/>
                <w:szCs w:val="22"/>
              </w:rPr>
              <w:t>13.8</w:t>
            </w:r>
          </w:p>
        </w:tc>
      </w:tr>
      <w:tr w:rsidR="008B5513" w:rsidRPr="000D4E5B" w14:paraId="4516BA08" w14:textId="77777777" w:rsidTr="00F468A1">
        <w:tc>
          <w:tcPr>
            <w:tcW w:w="4503" w:type="dxa"/>
            <w:tcBorders>
              <w:top w:val="nil"/>
              <w:left w:val="nil"/>
              <w:bottom w:val="nil"/>
              <w:right w:val="nil"/>
            </w:tcBorders>
            <w:shd w:val="clear" w:color="auto" w:fill="auto"/>
          </w:tcPr>
          <w:p w14:paraId="457331E7" w14:textId="7FF94B69" w:rsidR="008B5513" w:rsidRPr="000D4E5B" w:rsidRDefault="008B5513" w:rsidP="009775E1">
            <w:pPr>
              <w:pStyle w:val="TableLeft"/>
              <w:rPr>
                <w:bCs w:val="0"/>
                <w:sz w:val="22"/>
                <w:szCs w:val="22"/>
              </w:rPr>
            </w:pPr>
            <w:r w:rsidRPr="000D4E5B">
              <w:rPr>
                <w:sz w:val="22"/>
                <w:szCs w:val="22"/>
              </w:rPr>
              <w:t>Progression-free at 12 months (%)</w:t>
            </w:r>
            <w:r w:rsidRPr="000D4E5B">
              <w:rPr>
                <w:sz w:val="22"/>
                <w:szCs w:val="22"/>
                <w:vertAlign w:val="superscript"/>
              </w:rPr>
              <w:t>a</w:t>
            </w:r>
          </w:p>
        </w:tc>
        <w:tc>
          <w:tcPr>
            <w:tcW w:w="2693" w:type="dxa"/>
            <w:tcBorders>
              <w:top w:val="nil"/>
              <w:left w:val="nil"/>
              <w:bottom w:val="nil"/>
              <w:right w:val="nil"/>
            </w:tcBorders>
            <w:shd w:val="clear" w:color="auto" w:fill="auto"/>
          </w:tcPr>
          <w:p w14:paraId="6F4E45A7" w14:textId="19CEF967" w:rsidR="008B5513" w:rsidRPr="000D4E5B" w:rsidRDefault="008B5513" w:rsidP="00F468A1">
            <w:pPr>
              <w:pStyle w:val="TableCenter"/>
              <w:rPr>
                <w:sz w:val="22"/>
                <w:szCs w:val="22"/>
              </w:rPr>
            </w:pPr>
            <w:r w:rsidRPr="000D4E5B">
              <w:rPr>
                <w:sz w:val="22"/>
                <w:szCs w:val="22"/>
              </w:rPr>
              <w:t>88</w:t>
            </w:r>
          </w:p>
        </w:tc>
        <w:tc>
          <w:tcPr>
            <w:tcW w:w="2126" w:type="dxa"/>
            <w:tcBorders>
              <w:top w:val="nil"/>
              <w:left w:val="nil"/>
              <w:bottom w:val="nil"/>
              <w:right w:val="nil"/>
            </w:tcBorders>
            <w:shd w:val="clear" w:color="auto" w:fill="auto"/>
          </w:tcPr>
          <w:p w14:paraId="28D31699" w14:textId="34429A71" w:rsidR="008B5513" w:rsidRPr="000D4E5B" w:rsidRDefault="008B5513" w:rsidP="00F468A1">
            <w:pPr>
              <w:pStyle w:val="TableCenter"/>
              <w:rPr>
                <w:sz w:val="22"/>
                <w:szCs w:val="22"/>
                <w:lang w:val="en-US"/>
              </w:rPr>
            </w:pPr>
            <w:r w:rsidRPr="000D4E5B">
              <w:rPr>
                <w:sz w:val="22"/>
                <w:szCs w:val="22"/>
              </w:rPr>
              <w:t>51</w:t>
            </w:r>
          </w:p>
        </w:tc>
      </w:tr>
      <w:tr w:rsidR="008B5513" w:rsidRPr="000D4E5B" w14:paraId="3D4CB7B1" w14:textId="77777777" w:rsidTr="00F468A1">
        <w:tc>
          <w:tcPr>
            <w:tcW w:w="4503" w:type="dxa"/>
            <w:tcBorders>
              <w:top w:val="nil"/>
              <w:left w:val="nil"/>
              <w:bottom w:val="nil"/>
              <w:right w:val="nil"/>
            </w:tcBorders>
            <w:shd w:val="clear" w:color="auto" w:fill="auto"/>
          </w:tcPr>
          <w:p w14:paraId="5AE8605B" w14:textId="7A2BB977" w:rsidR="008B5513" w:rsidRPr="000D4E5B" w:rsidRDefault="008B5513" w:rsidP="009775E1">
            <w:pPr>
              <w:pStyle w:val="TableLeft"/>
              <w:rPr>
                <w:bCs w:val="0"/>
                <w:sz w:val="22"/>
                <w:szCs w:val="22"/>
                <w:vertAlign w:val="superscript"/>
              </w:rPr>
            </w:pPr>
            <w:r w:rsidRPr="000D4E5B">
              <w:rPr>
                <w:sz w:val="22"/>
                <w:szCs w:val="22"/>
              </w:rPr>
              <w:t>Progression-free at 24 months (%)</w:t>
            </w:r>
            <w:r w:rsidRPr="000D4E5B">
              <w:rPr>
                <w:sz w:val="22"/>
                <w:szCs w:val="22"/>
                <w:vertAlign w:val="superscript"/>
              </w:rPr>
              <w:t>a</w:t>
            </w:r>
          </w:p>
        </w:tc>
        <w:tc>
          <w:tcPr>
            <w:tcW w:w="2693" w:type="dxa"/>
            <w:tcBorders>
              <w:top w:val="nil"/>
              <w:left w:val="nil"/>
              <w:bottom w:val="nil"/>
              <w:right w:val="nil"/>
            </w:tcBorders>
            <w:shd w:val="clear" w:color="auto" w:fill="auto"/>
          </w:tcPr>
          <w:p w14:paraId="1FC558A1" w14:textId="7A76F0F4" w:rsidR="008B5513" w:rsidRPr="000D4E5B" w:rsidRDefault="008B5513" w:rsidP="009775E1">
            <w:pPr>
              <w:pStyle w:val="TableCenter"/>
              <w:rPr>
                <w:sz w:val="22"/>
                <w:szCs w:val="22"/>
              </w:rPr>
            </w:pPr>
            <w:r w:rsidRPr="000D4E5B">
              <w:rPr>
                <w:sz w:val="22"/>
                <w:szCs w:val="22"/>
              </w:rPr>
              <w:t>74</w:t>
            </w:r>
          </w:p>
        </w:tc>
        <w:tc>
          <w:tcPr>
            <w:tcW w:w="2126" w:type="dxa"/>
            <w:tcBorders>
              <w:top w:val="nil"/>
              <w:left w:val="nil"/>
              <w:bottom w:val="nil"/>
              <w:right w:val="nil"/>
            </w:tcBorders>
            <w:shd w:val="clear" w:color="auto" w:fill="auto"/>
          </w:tcPr>
          <w:p w14:paraId="70E5DC98" w14:textId="4006C20B" w:rsidR="008B5513" w:rsidRPr="000D4E5B" w:rsidRDefault="008B5513" w:rsidP="009775E1">
            <w:pPr>
              <w:pStyle w:val="TableCenter"/>
              <w:rPr>
                <w:sz w:val="22"/>
                <w:szCs w:val="22"/>
                <w:lang w:val="en-US"/>
              </w:rPr>
            </w:pPr>
            <w:r w:rsidRPr="000D4E5B">
              <w:rPr>
                <w:sz w:val="22"/>
                <w:szCs w:val="22"/>
              </w:rPr>
              <w:t>35</w:t>
            </w:r>
          </w:p>
        </w:tc>
      </w:tr>
      <w:tr w:rsidR="00351978" w:rsidRPr="000D4E5B" w14:paraId="2F383C92" w14:textId="77777777" w:rsidTr="00F468A1">
        <w:tc>
          <w:tcPr>
            <w:tcW w:w="4503" w:type="dxa"/>
            <w:tcBorders>
              <w:top w:val="nil"/>
              <w:left w:val="nil"/>
              <w:bottom w:val="nil"/>
              <w:right w:val="nil"/>
            </w:tcBorders>
            <w:shd w:val="clear" w:color="auto" w:fill="auto"/>
          </w:tcPr>
          <w:p w14:paraId="7237F76D" w14:textId="4C400ED9" w:rsidR="00351978" w:rsidRPr="000D4E5B" w:rsidRDefault="00351978" w:rsidP="009775E1">
            <w:pPr>
              <w:pStyle w:val="TableLeft"/>
              <w:rPr>
                <w:bCs w:val="0"/>
                <w:sz w:val="22"/>
                <w:szCs w:val="22"/>
              </w:rPr>
            </w:pPr>
            <w:r w:rsidRPr="000D4E5B">
              <w:rPr>
                <w:sz w:val="22"/>
                <w:szCs w:val="22"/>
              </w:rPr>
              <w:t>Progression-free at 36 months (%)</w:t>
            </w:r>
            <w:r w:rsidRPr="000D4E5B">
              <w:rPr>
                <w:sz w:val="22"/>
                <w:szCs w:val="22"/>
                <w:vertAlign w:val="superscript"/>
              </w:rPr>
              <w:t>a</w:t>
            </w:r>
          </w:p>
        </w:tc>
        <w:tc>
          <w:tcPr>
            <w:tcW w:w="2693" w:type="dxa"/>
            <w:tcBorders>
              <w:top w:val="nil"/>
              <w:left w:val="nil"/>
              <w:bottom w:val="nil"/>
              <w:right w:val="nil"/>
            </w:tcBorders>
            <w:shd w:val="clear" w:color="auto" w:fill="auto"/>
          </w:tcPr>
          <w:p w14:paraId="681C01D0" w14:textId="50868215" w:rsidR="00351978" w:rsidRPr="000D4E5B" w:rsidRDefault="00351978" w:rsidP="009775E1">
            <w:pPr>
              <w:pStyle w:val="TableCenter"/>
              <w:rPr>
                <w:sz w:val="22"/>
                <w:szCs w:val="22"/>
              </w:rPr>
            </w:pPr>
            <w:r w:rsidRPr="000D4E5B">
              <w:rPr>
                <w:sz w:val="22"/>
                <w:szCs w:val="22"/>
              </w:rPr>
              <w:t>60</w:t>
            </w:r>
          </w:p>
        </w:tc>
        <w:tc>
          <w:tcPr>
            <w:tcW w:w="2126" w:type="dxa"/>
            <w:tcBorders>
              <w:top w:val="nil"/>
              <w:left w:val="nil"/>
              <w:bottom w:val="nil"/>
              <w:right w:val="nil"/>
            </w:tcBorders>
            <w:shd w:val="clear" w:color="auto" w:fill="auto"/>
          </w:tcPr>
          <w:p w14:paraId="157E7416" w14:textId="53394502" w:rsidR="00351978" w:rsidRPr="000D4E5B" w:rsidRDefault="00351978" w:rsidP="009775E1">
            <w:pPr>
              <w:pStyle w:val="TableCenter"/>
              <w:rPr>
                <w:sz w:val="22"/>
                <w:szCs w:val="22"/>
                <w:lang w:val="en-US"/>
              </w:rPr>
            </w:pPr>
            <w:r w:rsidRPr="000D4E5B">
              <w:rPr>
                <w:sz w:val="22"/>
                <w:szCs w:val="22"/>
              </w:rPr>
              <w:t>27</w:t>
            </w:r>
          </w:p>
        </w:tc>
      </w:tr>
      <w:tr w:rsidR="00351978" w:rsidRPr="000D4E5B" w14:paraId="3EAD9897" w14:textId="77777777" w:rsidTr="00957DE6">
        <w:tc>
          <w:tcPr>
            <w:tcW w:w="4503" w:type="dxa"/>
            <w:tcBorders>
              <w:top w:val="nil"/>
              <w:left w:val="nil"/>
              <w:bottom w:val="nil"/>
              <w:right w:val="nil"/>
            </w:tcBorders>
            <w:shd w:val="clear" w:color="auto" w:fill="auto"/>
            <w:vAlign w:val="center"/>
          </w:tcPr>
          <w:p w14:paraId="1ADF550D" w14:textId="2A959CCE" w:rsidR="00351978" w:rsidRPr="000D4E5B" w:rsidRDefault="00351978" w:rsidP="009775E1">
            <w:pPr>
              <w:pStyle w:val="TableLeft"/>
              <w:rPr>
                <w:bCs w:val="0"/>
                <w:sz w:val="22"/>
                <w:szCs w:val="22"/>
                <w:lang w:val="en-US"/>
              </w:rPr>
            </w:pPr>
            <w:r w:rsidRPr="000D4E5B">
              <w:rPr>
                <w:sz w:val="22"/>
                <w:szCs w:val="22"/>
              </w:rPr>
              <w:t xml:space="preserve">HR (95% CI) </w:t>
            </w:r>
            <w:r w:rsidR="0025220E" w:rsidRPr="000D4E5B">
              <w:rPr>
                <w:sz w:val="22"/>
                <w:szCs w:val="22"/>
                <w:vertAlign w:val="superscript"/>
              </w:rPr>
              <w:t>b</w:t>
            </w:r>
          </w:p>
        </w:tc>
        <w:tc>
          <w:tcPr>
            <w:tcW w:w="4819" w:type="dxa"/>
            <w:gridSpan w:val="2"/>
            <w:tcBorders>
              <w:top w:val="nil"/>
              <w:left w:val="nil"/>
              <w:bottom w:val="nil"/>
              <w:right w:val="nil"/>
            </w:tcBorders>
            <w:shd w:val="clear" w:color="auto" w:fill="auto"/>
            <w:vAlign w:val="center"/>
          </w:tcPr>
          <w:p w14:paraId="022E20D1" w14:textId="4561147F" w:rsidR="00351978" w:rsidRPr="000D4E5B" w:rsidRDefault="00351978" w:rsidP="009775E1">
            <w:pPr>
              <w:pStyle w:val="TableCenter"/>
              <w:rPr>
                <w:sz w:val="22"/>
                <w:szCs w:val="22"/>
                <w:lang w:val="en-US"/>
              </w:rPr>
            </w:pPr>
            <w:r w:rsidRPr="000D4E5B">
              <w:rPr>
                <w:sz w:val="22"/>
                <w:szCs w:val="22"/>
              </w:rPr>
              <w:t>0.30 (0.23-0.41)</w:t>
            </w:r>
          </w:p>
        </w:tc>
      </w:tr>
      <w:tr w:rsidR="00351978" w:rsidRPr="000D4E5B" w14:paraId="0305E921" w14:textId="77777777" w:rsidTr="00957DE6">
        <w:tc>
          <w:tcPr>
            <w:tcW w:w="4503" w:type="dxa"/>
            <w:tcBorders>
              <w:top w:val="nil"/>
              <w:left w:val="nil"/>
              <w:right w:val="nil"/>
            </w:tcBorders>
            <w:shd w:val="clear" w:color="auto" w:fill="auto"/>
            <w:vAlign w:val="center"/>
          </w:tcPr>
          <w:p w14:paraId="24C3A835" w14:textId="77777777" w:rsidR="00351978" w:rsidRPr="000D4E5B" w:rsidRDefault="00351978" w:rsidP="009775E1">
            <w:pPr>
              <w:pStyle w:val="TableLeft"/>
              <w:rPr>
                <w:bCs w:val="0"/>
                <w:sz w:val="22"/>
                <w:szCs w:val="22"/>
                <w:lang w:val="en-US"/>
              </w:rPr>
            </w:pPr>
            <w:r w:rsidRPr="000D4E5B">
              <w:rPr>
                <w:sz w:val="22"/>
                <w:szCs w:val="22"/>
              </w:rPr>
              <w:t>P value (2-sided)</w:t>
            </w:r>
          </w:p>
        </w:tc>
        <w:tc>
          <w:tcPr>
            <w:tcW w:w="4819" w:type="dxa"/>
            <w:gridSpan w:val="2"/>
            <w:tcBorders>
              <w:top w:val="nil"/>
              <w:left w:val="nil"/>
              <w:right w:val="nil"/>
            </w:tcBorders>
            <w:shd w:val="clear" w:color="auto" w:fill="auto"/>
            <w:vAlign w:val="center"/>
          </w:tcPr>
          <w:p w14:paraId="3027D43D" w14:textId="4053785E" w:rsidR="00351978" w:rsidRPr="000D4E5B" w:rsidRDefault="00351978" w:rsidP="009775E1">
            <w:pPr>
              <w:pStyle w:val="TableCenter"/>
              <w:rPr>
                <w:sz w:val="22"/>
                <w:szCs w:val="22"/>
                <w:lang w:val="en-US"/>
              </w:rPr>
            </w:pPr>
            <w:r w:rsidRPr="000D4E5B">
              <w:rPr>
                <w:sz w:val="22"/>
                <w:szCs w:val="22"/>
              </w:rPr>
              <w:t>p&lt;0.0001</w:t>
            </w:r>
          </w:p>
        </w:tc>
      </w:tr>
      <w:tr w:rsidR="00783946" w:rsidRPr="000D4E5B" w14:paraId="216E0754" w14:textId="77777777" w:rsidTr="00957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14CD421D" w14:textId="1A7119E5" w:rsidR="00783946" w:rsidRPr="000D4E5B" w:rsidRDefault="00783946" w:rsidP="00783946">
            <w:pPr>
              <w:spacing w:before="40" w:after="40" w:line="240" w:lineRule="auto"/>
              <w:rPr>
                <w:b/>
                <w:sz w:val="22"/>
                <w:szCs w:val="22"/>
              </w:rPr>
            </w:pPr>
            <w:r w:rsidRPr="000D4E5B">
              <w:rPr>
                <w:b/>
                <w:sz w:val="22"/>
                <w:szCs w:val="22"/>
              </w:rPr>
              <w:t>PFS2 (31% maturity)</w:t>
            </w:r>
          </w:p>
        </w:tc>
      </w:tr>
      <w:tr w:rsidR="00351978" w:rsidRPr="000D4E5B" w14:paraId="21F55365" w14:textId="77777777" w:rsidTr="00C768BE">
        <w:tblPrEx>
          <w:tblBorders>
            <w:left w:val="none" w:sz="0" w:space="0" w:color="auto"/>
            <w:right w:val="none" w:sz="0" w:space="0" w:color="auto"/>
          </w:tblBorders>
        </w:tblPrEx>
        <w:tc>
          <w:tcPr>
            <w:tcW w:w="4503" w:type="dxa"/>
            <w:tcBorders>
              <w:bottom w:val="nil"/>
              <w:right w:val="nil"/>
            </w:tcBorders>
            <w:shd w:val="clear" w:color="auto" w:fill="auto"/>
          </w:tcPr>
          <w:p w14:paraId="151BD781" w14:textId="77777777" w:rsidR="00351978" w:rsidRPr="000D4E5B" w:rsidRDefault="00351978" w:rsidP="00351978">
            <w:pPr>
              <w:spacing w:before="40" w:after="40"/>
              <w:rPr>
                <w:rFonts w:cs="Arial"/>
                <w:bCs/>
                <w:kern w:val="32"/>
                <w:sz w:val="22"/>
                <w:szCs w:val="22"/>
                <w:lang w:val="en-US"/>
              </w:rPr>
            </w:pPr>
            <w:r w:rsidRPr="000D4E5B">
              <w:rPr>
                <w:rFonts w:cs="Arial"/>
                <w:bCs/>
                <w:kern w:val="32"/>
                <w:sz w:val="22"/>
                <w:szCs w:val="22"/>
              </w:rPr>
              <w:t>Number of events: Total number of patients (%)</w:t>
            </w:r>
          </w:p>
        </w:tc>
        <w:tc>
          <w:tcPr>
            <w:tcW w:w="2693" w:type="dxa"/>
            <w:tcBorders>
              <w:left w:val="nil"/>
              <w:bottom w:val="nil"/>
              <w:right w:val="nil"/>
            </w:tcBorders>
            <w:shd w:val="clear" w:color="auto" w:fill="auto"/>
          </w:tcPr>
          <w:p w14:paraId="6827319C" w14:textId="60615408" w:rsidR="00351978" w:rsidRPr="00E86E1A" w:rsidRDefault="00351978" w:rsidP="00E86E1A">
            <w:pPr>
              <w:pStyle w:val="TableCenter"/>
              <w:rPr>
                <w:sz w:val="22"/>
                <w:szCs w:val="22"/>
              </w:rPr>
            </w:pPr>
            <w:r w:rsidRPr="00E86E1A">
              <w:rPr>
                <w:sz w:val="22"/>
                <w:szCs w:val="22"/>
              </w:rPr>
              <w:t>69:260 (27)</w:t>
            </w:r>
          </w:p>
        </w:tc>
        <w:tc>
          <w:tcPr>
            <w:tcW w:w="2126" w:type="dxa"/>
            <w:tcBorders>
              <w:left w:val="nil"/>
              <w:bottom w:val="nil"/>
            </w:tcBorders>
            <w:shd w:val="clear" w:color="auto" w:fill="auto"/>
          </w:tcPr>
          <w:p w14:paraId="42A729A4" w14:textId="3C88725F" w:rsidR="00351978" w:rsidRPr="00E86E1A" w:rsidRDefault="00351978" w:rsidP="00E86E1A">
            <w:pPr>
              <w:pStyle w:val="TableCenter"/>
              <w:rPr>
                <w:sz w:val="22"/>
                <w:szCs w:val="22"/>
              </w:rPr>
            </w:pPr>
            <w:r w:rsidRPr="00E86E1A">
              <w:rPr>
                <w:sz w:val="22"/>
                <w:szCs w:val="22"/>
              </w:rPr>
              <w:t>52:131 (40)</w:t>
            </w:r>
          </w:p>
        </w:tc>
      </w:tr>
      <w:tr w:rsidR="00351978" w:rsidRPr="000D4E5B" w14:paraId="6ED094D9" w14:textId="77777777" w:rsidTr="00C768BE">
        <w:trPr>
          <w:trHeight w:val="342"/>
        </w:trPr>
        <w:tc>
          <w:tcPr>
            <w:tcW w:w="4503" w:type="dxa"/>
            <w:tcBorders>
              <w:top w:val="nil"/>
              <w:left w:val="nil"/>
              <w:bottom w:val="nil"/>
              <w:right w:val="nil"/>
            </w:tcBorders>
            <w:shd w:val="clear" w:color="auto" w:fill="auto"/>
          </w:tcPr>
          <w:p w14:paraId="5B8D02DC" w14:textId="77777777" w:rsidR="00351978" w:rsidRPr="000D4E5B" w:rsidRDefault="00351978" w:rsidP="00351978">
            <w:pPr>
              <w:spacing w:before="40" w:after="40"/>
              <w:rPr>
                <w:rFonts w:cs="Arial"/>
                <w:bCs/>
                <w:kern w:val="32"/>
                <w:sz w:val="22"/>
                <w:szCs w:val="22"/>
                <w:lang w:val="en-US"/>
              </w:rPr>
            </w:pPr>
            <w:r w:rsidRPr="000D4E5B">
              <w:rPr>
                <w:rFonts w:cs="Arial"/>
                <w:bCs/>
                <w:kern w:val="32"/>
                <w:sz w:val="22"/>
                <w:szCs w:val="22"/>
              </w:rPr>
              <w:t>Median time (months)</w:t>
            </w:r>
          </w:p>
        </w:tc>
        <w:tc>
          <w:tcPr>
            <w:tcW w:w="2693" w:type="dxa"/>
            <w:tcBorders>
              <w:top w:val="nil"/>
              <w:left w:val="nil"/>
              <w:bottom w:val="nil"/>
              <w:right w:val="nil"/>
            </w:tcBorders>
            <w:shd w:val="clear" w:color="auto" w:fill="auto"/>
          </w:tcPr>
          <w:p w14:paraId="4BB3A277" w14:textId="4BB46087" w:rsidR="00351978" w:rsidRPr="00E86E1A" w:rsidRDefault="00351978" w:rsidP="00E86E1A">
            <w:pPr>
              <w:pStyle w:val="TableCenter"/>
              <w:rPr>
                <w:sz w:val="22"/>
                <w:szCs w:val="22"/>
              </w:rPr>
            </w:pPr>
            <w:r w:rsidRPr="00E86E1A">
              <w:rPr>
                <w:sz w:val="22"/>
                <w:szCs w:val="22"/>
              </w:rPr>
              <w:t>NR</w:t>
            </w:r>
          </w:p>
        </w:tc>
        <w:tc>
          <w:tcPr>
            <w:tcW w:w="2126" w:type="dxa"/>
            <w:tcBorders>
              <w:top w:val="nil"/>
              <w:left w:val="nil"/>
              <w:bottom w:val="nil"/>
              <w:right w:val="nil"/>
            </w:tcBorders>
            <w:shd w:val="clear" w:color="auto" w:fill="auto"/>
          </w:tcPr>
          <w:p w14:paraId="456C8253" w14:textId="1D81930E" w:rsidR="00351978" w:rsidRPr="00E86E1A" w:rsidRDefault="00351978" w:rsidP="00E86E1A">
            <w:pPr>
              <w:pStyle w:val="TableCenter"/>
              <w:rPr>
                <w:sz w:val="22"/>
                <w:szCs w:val="22"/>
              </w:rPr>
            </w:pPr>
            <w:r w:rsidRPr="00E86E1A">
              <w:rPr>
                <w:sz w:val="22"/>
                <w:szCs w:val="22"/>
              </w:rPr>
              <w:t>41.9</w:t>
            </w:r>
          </w:p>
        </w:tc>
      </w:tr>
      <w:tr w:rsidR="00351978" w:rsidRPr="000D4E5B" w14:paraId="0E0EF6FC" w14:textId="77777777" w:rsidTr="00C67915">
        <w:tblPrEx>
          <w:tblBorders>
            <w:left w:val="none" w:sz="0" w:space="0" w:color="auto"/>
            <w:right w:val="none" w:sz="0" w:space="0" w:color="auto"/>
          </w:tblBorders>
        </w:tblPrEx>
        <w:tc>
          <w:tcPr>
            <w:tcW w:w="4503" w:type="dxa"/>
            <w:tcBorders>
              <w:top w:val="nil"/>
              <w:bottom w:val="nil"/>
              <w:right w:val="nil"/>
            </w:tcBorders>
            <w:shd w:val="clear" w:color="auto" w:fill="auto"/>
          </w:tcPr>
          <w:p w14:paraId="52EB3BD9" w14:textId="3CCD09A9" w:rsidR="00351978" w:rsidRPr="000D4E5B" w:rsidRDefault="00351978" w:rsidP="00783946">
            <w:pPr>
              <w:spacing w:before="40" w:after="40"/>
              <w:rPr>
                <w:rFonts w:cs="Arial"/>
                <w:bCs/>
                <w:kern w:val="32"/>
                <w:sz w:val="22"/>
                <w:szCs w:val="22"/>
                <w:lang w:val="en-US"/>
              </w:rPr>
            </w:pPr>
            <w:r w:rsidRPr="000D4E5B">
              <w:rPr>
                <w:rFonts w:cs="Arial"/>
                <w:bCs/>
                <w:kern w:val="32"/>
                <w:sz w:val="22"/>
                <w:szCs w:val="22"/>
              </w:rPr>
              <w:t xml:space="preserve">HR (95% CI) </w:t>
            </w:r>
            <w:r w:rsidR="0025220E" w:rsidRPr="000D4E5B">
              <w:rPr>
                <w:rFonts w:cs="Arial"/>
                <w:bCs/>
                <w:kern w:val="32"/>
                <w:sz w:val="22"/>
                <w:szCs w:val="22"/>
                <w:vertAlign w:val="superscript"/>
              </w:rPr>
              <w:t>b</w:t>
            </w:r>
          </w:p>
        </w:tc>
        <w:tc>
          <w:tcPr>
            <w:tcW w:w="4819" w:type="dxa"/>
            <w:gridSpan w:val="2"/>
            <w:tcBorders>
              <w:top w:val="nil"/>
              <w:left w:val="nil"/>
              <w:bottom w:val="nil"/>
            </w:tcBorders>
            <w:shd w:val="clear" w:color="auto" w:fill="auto"/>
          </w:tcPr>
          <w:p w14:paraId="7FCD9D0D" w14:textId="21E8D5AC" w:rsidR="00351978" w:rsidRPr="00E86E1A" w:rsidRDefault="00351978" w:rsidP="00E86E1A">
            <w:pPr>
              <w:pStyle w:val="TableCenter"/>
              <w:rPr>
                <w:sz w:val="22"/>
                <w:szCs w:val="22"/>
              </w:rPr>
            </w:pPr>
            <w:r w:rsidRPr="000D4E5B">
              <w:rPr>
                <w:sz w:val="22"/>
                <w:szCs w:val="22"/>
              </w:rPr>
              <w:t>0.50 (0.35-0.72)</w:t>
            </w:r>
          </w:p>
        </w:tc>
      </w:tr>
      <w:tr w:rsidR="00351978" w:rsidRPr="000D4E5B" w14:paraId="1BE1200A" w14:textId="77777777" w:rsidTr="00C67915">
        <w:tblPrEx>
          <w:tblBorders>
            <w:left w:val="none" w:sz="0" w:space="0" w:color="auto"/>
            <w:right w:val="none" w:sz="0" w:space="0" w:color="auto"/>
          </w:tblBorders>
        </w:tblPrEx>
        <w:tc>
          <w:tcPr>
            <w:tcW w:w="4503" w:type="dxa"/>
            <w:tcBorders>
              <w:top w:val="nil"/>
              <w:bottom w:val="single" w:sz="8" w:space="0" w:color="auto"/>
              <w:right w:val="nil"/>
            </w:tcBorders>
            <w:shd w:val="clear" w:color="auto" w:fill="auto"/>
          </w:tcPr>
          <w:p w14:paraId="6F25CD61" w14:textId="77777777" w:rsidR="00351978" w:rsidRPr="000D4E5B" w:rsidRDefault="00351978" w:rsidP="00783946">
            <w:pPr>
              <w:spacing w:before="40" w:after="40"/>
              <w:rPr>
                <w:rFonts w:cs="Arial"/>
                <w:bCs/>
                <w:kern w:val="32"/>
                <w:sz w:val="22"/>
                <w:szCs w:val="22"/>
                <w:lang w:val="en-US"/>
              </w:rPr>
            </w:pPr>
            <w:r w:rsidRPr="000D4E5B">
              <w:rPr>
                <w:rFonts w:cs="Arial"/>
                <w:bCs/>
                <w:kern w:val="32"/>
                <w:sz w:val="22"/>
                <w:szCs w:val="22"/>
              </w:rPr>
              <w:t>P value (2-sided)</w:t>
            </w:r>
          </w:p>
        </w:tc>
        <w:tc>
          <w:tcPr>
            <w:tcW w:w="4819" w:type="dxa"/>
            <w:gridSpan w:val="2"/>
            <w:tcBorders>
              <w:top w:val="nil"/>
              <w:left w:val="nil"/>
              <w:bottom w:val="single" w:sz="8" w:space="0" w:color="auto"/>
            </w:tcBorders>
            <w:shd w:val="clear" w:color="auto" w:fill="auto"/>
          </w:tcPr>
          <w:p w14:paraId="263A0BBD" w14:textId="3AE5F48A" w:rsidR="00351978" w:rsidRPr="000D4E5B" w:rsidRDefault="00351978" w:rsidP="00783946">
            <w:pPr>
              <w:spacing w:before="40" w:after="40"/>
              <w:jc w:val="center"/>
              <w:rPr>
                <w:sz w:val="22"/>
                <w:szCs w:val="22"/>
                <w:lang w:val="en-US"/>
              </w:rPr>
            </w:pPr>
            <w:r w:rsidRPr="000D4E5B">
              <w:rPr>
                <w:sz w:val="22"/>
                <w:szCs w:val="22"/>
              </w:rPr>
              <w:t>p=0.0002</w:t>
            </w:r>
          </w:p>
        </w:tc>
      </w:tr>
    </w:tbl>
    <w:p w14:paraId="6A000246" w14:textId="77777777" w:rsidR="00C67915" w:rsidRPr="000D4E5B" w:rsidRDefault="00C67915">
      <w:r w:rsidRPr="000D4E5B">
        <w:br w:type="page"/>
      </w:r>
    </w:p>
    <w:tbl>
      <w:tblPr>
        <w:tblW w:w="9322" w:type="dxa"/>
        <w:tblLayout w:type="fixed"/>
        <w:tblCellMar>
          <w:left w:w="0" w:type="dxa"/>
          <w:right w:w="0" w:type="dxa"/>
        </w:tblCellMar>
        <w:tblLook w:val="04A0" w:firstRow="1" w:lastRow="0" w:firstColumn="1" w:lastColumn="0" w:noHBand="0" w:noVBand="1"/>
      </w:tblPr>
      <w:tblGrid>
        <w:gridCol w:w="4503"/>
        <w:gridCol w:w="2693"/>
        <w:gridCol w:w="2126"/>
      </w:tblGrid>
      <w:tr w:rsidR="00783946" w:rsidRPr="000D4E5B" w14:paraId="0327EB1B" w14:textId="77777777" w:rsidTr="00957DE6">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2696D2F6" w14:textId="43C7FB49" w:rsidR="00783946" w:rsidRPr="000D4E5B" w:rsidRDefault="00783946" w:rsidP="00783946">
            <w:pPr>
              <w:spacing w:before="40" w:after="40" w:line="240" w:lineRule="auto"/>
              <w:rPr>
                <w:b/>
                <w:sz w:val="22"/>
                <w:szCs w:val="22"/>
              </w:rPr>
            </w:pPr>
            <w:r w:rsidRPr="000D4E5B">
              <w:rPr>
                <w:b/>
                <w:sz w:val="22"/>
                <w:szCs w:val="22"/>
              </w:rPr>
              <w:t>Interim OS (21% maturity)</w:t>
            </w:r>
          </w:p>
        </w:tc>
      </w:tr>
      <w:tr w:rsidR="0025220E" w:rsidRPr="000D4E5B" w14:paraId="65B3E869" w14:textId="77777777" w:rsidTr="00957DE6">
        <w:tblPrEx>
          <w:tblBorders>
            <w:top w:val="single" w:sz="4" w:space="0" w:color="auto"/>
            <w:bottom w:val="single" w:sz="12" w:space="0" w:color="auto"/>
            <w:insideH w:val="single" w:sz="4" w:space="0" w:color="auto"/>
            <w:insideV w:val="single" w:sz="4" w:space="0" w:color="auto"/>
          </w:tblBorders>
          <w:tblCellMar>
            <w:left w:w="108" w:type="dxa"/>
            <w:right w:w="108" w:type="dxa"/>
          </w:tblCellMar>
        </w:tblPrEx>
        <w:tc>
          <w:tcPr>
            <w:tcW w:w="4503" w:type="dxa"/>
            <w:tcBorders>
              <w:bottom w:val="nil"/>
              <w:right w:val="nil"/>
            </w:tcBorders>
            <w:shd w:val="clear" w:color="auto" w:fill="auto"/>
          </w:tcPr>
          <w:p w14:paraId="2D732614" w14:textId="77777777" w:rsidR="0025220E" w:rsidRPr="000D4E5B" w:rsidRDefault="0025220E" w:rsidP="0025220E">
            <w:pPr>
              <w:spacing w:before="40" w:after="40"/>
              <w:rPr>
                <w:rFonts w:cs="Arial"/>
                <w:bCs/>
                <w:kern w:val="32"/>
                <w:sz w:val="22"/>
                <w:szCs w:val="22"/>
                <w:lang w:val="en-US"/>
              </w:rPr>
            </w:pPr>
            <w:r w:rsidRPr="000D4E5B">
              <w:rPr>
                <w:rFonts w:cs="Arial"/>
                <w:bCs/>
                <w:kern w:val="32"/>
                <w:sz w:val="22"/>
                <w:szCs w:val="22"/>
              </w:rPr>
              <w:t>Number of events: Total number of patients (%)</w:t>
            </w:r>
          </w:p>
        </w:tc>
        <w:tc>
          <w:tcPr>
            <w:tcW w:w="2693" w:type="dxa"/>
            <w:tcBorders>
              <w:left w:val="nil"/>
              <w:bottom w:val="nil"/>
              <w:right w:val="nil"/>
            </w:tcBorders>
            <w:shd w:val="clear" w:color="auto" w:fill="auto"/>
          </w:tcPr>
          <w:p w14:paraId="35889ABF" w14:textId="61EE214A" w:rsidR="0025220E" w:rsidRPr="000D4E5B" w:rsidRDefault="0025220E" w:rsidP="0025220E">
            <w:pPr>
              <w:spacing w:before="40" w:after="40"/>
              <w:jc w:val="center"/>
              <w:rPr>
                <w:sz w:val="22"/>
                <w:szCs w:val="22"/>
                <w:lang w:val="en-US"/>
              </w:rPr>
            </w:pPr>
            <w:r w:rsidRPr="000D4E5B">
              <w:rPr>
                <w:sz w:val="22"/>
                <w:szCs w:val="22"/>
              </w:rPr>
              <w:t>55:260 (21)</w:t>
            </w:r>
          </w:p>
        </w:tc>
        <w:tc>
          <w:tcPr>
            <w:tcW w:w="2126" w:type="dxa"/>
            <w:tcBorders>
              <w:left w:val="nil"/>
              <w:bottom w:val="nil"/>
            </w:tcBorders>
            <w:shd w:val="clear" w:color="auto" w:fill="auto"/>
          </w:tcPr>
          <w:p w14:paraId="54A554D2" w14:textId="5BBAB476" w:rsidR="0025220E" w:rsidRPr="000D4E5B" w:rsidRDefault="0025220E" w:rsidP="0025220E">
            <w:pPr>
              <w:spacing w:before="40" w:after="40"/>
              <w:jc w:val="center"/>
              <w:rPr>
                <w:sz w:val="22"/>
                <w:szCs w:val="22"/>
                <w:lang w:val="en-US"/>
              </w:rPr>
            </w:pPr>
            <w:r w:rsidRPr="000D4E5B">
              <w:rPr>
                <w:sz w:val="22"/>
                <w:szCs w:val="22"/>
              </w:rPr>
              <w:t>27:131 (21)</w:t>
            </w:r>
            <w:r w:rsidR="00E86E1A">
              <w:rPr>
                <w:sz w:val="22"/>
                <w:szCs w:val="22"/>
              </w:rPr>
              <w:t xml:space="preserve"> </w:t>
            </w:r>
            <w:r w:rsidRPr="00F255A9">
              <w:rPr>
                <w:sz w:val="22"/>
                <w:szCs w:val="22"/>
                <w:vertAlign w:val="superscript"/>
              </w:rPr>
              <w:t>c</w:t>
            </w:r>
          </w:p>
        </w:tc>
      </w:tr>
      <w:tr w:rsidR="0025220E" w:rsidRPr="000D4E5B" w14:paraId="413AACAD" w14:textId="77777777" w:rsidTr="00957DE6">
        <w:tblPrEx>
          <w:tblBorders>
            <w:top w:val="single" w:sz="4" w:space="0" w:color="auto"/>
            <w:bottom w:val="single" w:sz="12" w:space="0" w:color="auto"/>
            <w:insideH w:val="single" w:sz="4" w:space="0" w:color="auto"/>
            <w:insideV w:val="single" w:sz="4" w:space="0" w:color="auto"/>
          </w:tblBorders>
          <w:tblCellMar>
            <w:left w:w="108" w:type="dxa"/>
            <w:right w:w="108" w:type="dxa"/>
          </w:tblCellMar>
        </w:tblPrEx>
        <w:tc>
          <w:tcPr>
            <w:tcW w:w="4503" w:type="dxa"/>
            <w:tcBorders>
              <w:top w:val="nil"/>
              <w:bottom w:val="nil"/>
              <w:right w:val="nil"/>
            </w:tcBorders>
            <w:shd w:val="clear" w:color="auto" w:fill="auto"/>
          </w:tcPr>
          <w:p w14:paraId="41E7E21B" w14:textId="77777777" w:rsidR="0025220E" w:rsidRPr="000D4E5B" w:rsidRDefault="0025220E" w:rsidP="0025220E">
            <w:pPr>
              <w:spacing w:before="40" w:after="40"/>
              <w:rPr>
                <w:rFonts w:cs="Arial"/>
                <w:bCs/>
                <w:kern w:val="32"/>
                <w:sz w:val="22"/>
                <w:szCs w:val="22"/>
                <w:lang w:val="en-US"/>
              </w:rPr>
            </w:pPr>
            <w:r w:rsidRPr="000D4E5B">
              <w:rPr>
                <w:rFonts w:cs="Arial"/>
                <w:bCs/>
                <w:kern w:val="32"/>
                <w:sz w:val="22"/>
                <w:szCs w:val="22"/>
              </w:rPr>
              <w:t>Median time (months)</w:t>
            </w:r>
          </w:p>
        </w:tc>
        <w:tc>
          <w:tcPr>
            <w:tcW w:w="2693" w:type="dxa"/>
            <w:tcBorders>
              <w:top w:val="nil"/>
              <w:left w:val="nil"/>
              <w:bottom w:val="nil"/>
              <w:right w:val="nil"/>
            </w:tcBorders>
            <w:shd w:val="clear" w:color="auto" w:fill="auto"/>
          </w:tcPr>
          <w:p w14:paraId="77D9F71A" w14:textId="1F9DF360" w:rsidR="0025220E" w:rsidRPr="000D4E5B" w:rsidRDefault="0025220E" w:rsidP="0025220E">
            <w:pPr>
              <w:spacing w:before="40" w:after="40"/>
              <w:jc w:val="center"/>
              <w:rPr>
                <w:sz w:val="22"/>
                <w:szCs w:val="22"/>
                <w:lang w:val="en-US"/>
              </w:rPr>
            </w:pPr>
            <w:r w:rsidRPr="000D4E5B">
              <w:rPr>
                <w:sz w:val="22"/>
                <w:szCs w:val="22"/>
              </w:rPr>
              <w:t>NR</w:t>
            </w:r>
          </w:p>
        </w:tc>
        <w:tc>
          <w:tcPr>
            <w:tcW w:w="2126" w:type="dxa"/>
            <w:tcBorders>
              <w:top w:val="nil"/>
              <w:left w:val="nil"/>
              <w:bottom w:val="nil"/>
            </w:tcBorders>
            <w:shd w:val="clear" w:color="auto" w:fill="auto"/>
          </w:tcPr>
          <w:p w14:paraId="7FE9A3B7" w14:textId="38017BF3" w:rsidR="0025220E" w:rsidRPr="000D4E5B" w:rsidRDefault="0025220E" w:rsidP="0025220E">
            <w:pPr>
              <w:spacing w:before="40" w:after="40"/>
              <w:jc w:val="center"/>
              <w:rPr>
                <w:sz w:val="22"/>
                <w:szCs w:val="22"/>
                <w:lang w:val="en-US"/>
              </w:rPr>
            </w:pPr>
            <w:r w:rsidRPr="000D4E5B">
              <w:rPr>
                <w:sz w:val="22"/>
                <w:szCs w:val="22"/>
              </w:rPr>
              <w:t>NR</w:t>
            </w:r>
          </w:p>
        </w:tc>
      </w:tr>
      <w:tr w:rsidR="0025220E" w:rsidRPr="000D4E5B" w14:paraId="4D20B50E" w14:textId="77777777" w:rsidTr="00957DE6">
        <w:tblPrEx>
          <w:tblBorders>
            <w:top w:val="single" w:sz="4" w:space="0" w:color="auto"/>
            <w:bottom w:val="single" w:sz="12" w:space="0" w:color="auto"/>
            <w:insideH w:val="single" w:sz="4" w:space="0" w:color="auto"/>
            <w:insideV w:val="single" w:sz="4" w:space="0" w:color="auto"/>
          </w:tblBorders>
          <w:tblCellMar>
            <w:left w:w="108" w:type="dxa"/>
            <w:right w:w="108" w:type="dxa"/>
          </w:tblCellMar>
        </w:tblPrEx>
        <w:tc>
          <w:tcPr>
            <w:tcW w:w="4503" w:type="dxa"/>
            <w:tcBorders>
              <w:top w:val="nil"/>
              <w:bottom w:val="nil"/>
              <w:right w:val="nil"/>
            </w:tcBorders>
            <w:shd w:val="clear" w:color="auto" w:fill="auto"/>
          </w:tcPr>
          <w:p w14:paraId="02FF32CE" w14:textId="74F2E899" w:rsidR="0025220E" w:rsidRPr="000D4E5B" w:rsidRDefault="0025220E" w:rsidP="0025220E">
            <w:pPr>
              <w:spacing w:before="40" w:after="40"/>
              <w:rPr>
                <w:rFonts w:cs="Arial"/>
                <w:bCs/>
                <w:kern w:val="32"/>
                <w:sz w:val="22"/>
                <w:szCs w:val="22"/>
                <w:lang w:val="en-US"/>
              </w:rPr>
            </w:pPr>
            <w:r w:rsidRPr="000D4E5B">
              <w:rPr>
                <w:rFonts w:cs="Arial"/>
                <w:bCs/>
                <w:kern w:val="32"/>
                <w:sz w:val="22"/>
                <w:szCs w:val="22"/>
              </w:rPr>
              <w:t xml:space="preserve">HR (95% CI) </w:t>
            </w:r>
            <w:r w:rsidRPr="000D4E5B">
              <w:rPr>
                <w:rFonts w:cs="Arial"/>
                <w:bCs/>
                <w:kern w:val="32"/>
                <w:sz w:val="22"/>
                <w:szCs w:val="22"/>
                <w:vertAlign w:val="superscript"/>
              </w:rPr>
              <w:t>b</w:t>
            </w:r>
          </w:p>
        </w:tc>
        <w:tc>
          <w:tcPr>
            <w:tcW w:w="4819" w:type="dxa"/>
            <w:gridSpan w:val="2"/>
            <w:tcBorders>
              <w:top w:val="nil"/>
              <w:left w:val="nil"/>
              <w:bottom w:val="nil"/>
            </w:tcBorders>
            <w:shd w:val="clear" w:color="auto" w:fill="auto"/>
          </w:tcPr>
          <w:p w14:paraId="037C283F" w14:textId="51CE4C68" w:rsidR="0025220E" w:rsidRPr="000D4E5B" w:rsidRDefault="0025220E" w:rsidP="0025220E">
            <w:pPr>
              <w:spacing w:before="40" w:after="40"/>
              <w:jc w:val="center"/>
              <w:rPr>
                <w:sz w:val="22"/>
                <w:szCs w:val="22"/>
                <w:lang w:val="en-US"/>
              </w:rPr>
            </w:pPr>
            <w:r w:rsidRPr="000D4E5B">
              <w:rPr>
                <w:sz w:val="22"/>
                <w:szCs w:val="22"/>
              </w:rPr>
              <w:t>0.95 (0.60-1.53)</w:t>
            </w:r>
          </w:p>
        </w:tc>
      </w:tr>
      <w:tr w:rsidR="0025220E" w:rsidRPr="000D4E5B" w14:paraId="305EE84D" w14:textId="77777777" w:rsidTr="008E4B4E">
        <w:tblPrEx>
          <w:tblBorders>
            <w:top w:val="single" w:sz="4" w:space="0" w:color="auto"/>
            <w:bottom w:val="single" w:sz="12" w:space="0" w:color="auto"/>
            <w:insideH w:val="single" w:sz="4" w:space="0" w:color="auto"/>
            <w:insideV w:val="single" w:sz="4" w:space="0" w:color="auto"/>
          </w:tblBorders>
          <w:tblCellMar>
            <w:left w:w="108" w:type="dxa"/>
            <w:right w:w="108" w:type="dxa"/>
          </w:tblCellMar>
        </w:tblPrEx>
        <w:tc>
          <w:tcPr>
            <w:tcW w:w="4503" w:type="dxa"/>
            <w:tcBorders>
              <w:top w:val="nil"/>
              <w:bottom w:val="single" w:sz="8" w:space="0" w:color="auto"/>
              <w:right w:val="nil"/>
            </w:tcBorders>
            <w:shd w:val="clear" w:color="auto" w:fill="auto"/>
          </w:tcPr>
          <w:p w14:paraId="7ACEAE74" w14:textId="77777777" w:rsidR="0025220E" w:rsidRPr="000D4E5B" w:rsidRDefault="0025220E" w:rsidP="0025220E">
            <w:pPr>
              <w:spacing w:before="40" w:after="40"/>
              <w:rPr>
                <w:rFonts w:cs="Arial"/>
                <w:bCs/>
                <w:kern w:val="32"/>
                <w:sz w:val="22"/>
                <w:szCs w:val="22"/>
                <w:lang w:val="en-US"/>
              </w:rPr>
            </w:pPr>
            <w:r w:rsidRPr="000D4E5B">
              <w:rPr>
                <w:rFonts w:cs="Arial"/>
                <w:bCs/>
                <w:kern w:val="32"/>
                <w:sz w:val="22"/>
                <w:szCs w:val="22"/>
              </w:rPr>
              <w:t>P value (2-sided)</w:t>
            </w:r>
          </w:p>
        </w:tc>
        <w:tc>
          <w:tcPr>
            <w:tcW w:w="4819" w:type="dxa"/>
            <w:gridSpan w:val="2"/>
            <w:tcBorders>
              <w:top w:val="nil"/>
              <w:left w:val="nil"/>
              <w:bottom w:val="single" w:sz="8" w:space="0" w:color="auto"/>
            </w:tcBorders>
            <w:shd w:val="clear" w:color="auto" w:fill="auto"/>
          </w:tcPr>
          <w:p w14:paraId="49B49903" w14:textId="3FC815B9" w:rsidR="0025220E" w:rsidRPr="000D4E5B" w:rsidRDefault="0025220E" w:rsidP="0025220E">
            <w:pPr>
              <w:spacing w:before="40" w:after="40"/>
              <w:jc w:val="center"/>
              <w:rPr>
                <w:sz w:val="22"/>
                <w:szCs w:val="22"/>
                <w:lang w:val="en-US"/>
              </w:rPr>
            </w:pPr>
            <w:r w:rsidRPr="000D4E5B">
              <w:rPr>
                <w:sz w:val="22"/>
                <w:szCs w:val="22"/>
              </w:rPr>
              <w:t>p=0.8903</w:t>
            </w:r>
          </w:p>
        </w:tc>
      </w:tr>
      <w:tr w:rsidR="00783946" w:rsidRPr="000D4E5B" w14:paraId="3113CF73" w14:textId="77777777" w:rsidTr="008E4B4E">
        <w:tblPrEx>
          <w:tblBorders>
            <w:top w:val="single" w:sz="8" w:space="0" w:color="auto"/>
            <w:bottom w:val="single" w:sz="12" w:space="0" w:color="auto"/>
          </w:tblBorders>
        </w:tblPrEx>
        <w:trPr>
          <w:cantSplit/>
        </w:trPr>
        <w:tc>
          <w:tcPr>
            <w:tcW w:w="9322" w:type="dxa"/>
            <w:gridSpan w:val="3"/>
            <w:tcBorders>
              <w:top w:val="single" w:sz="8" w:space="0" w:color="auto"/>
              <w:bottom w:val="single" w:sz="8" w:space="0" w:color="auto"/>
            </w:tcBorders>
            <w:shd w:val="clear" w:color="auto" w:fill="E0E0E0"/>
            <w:tcMar>
              <w:top w:w="0" w:type="dxa"/>
              <w:left w:w="108" w:type="dxa"/>
              <w:bottom w:w="0" w:type="dxa"/>
              <w:right w:w="108" w:type="dxa"/>
            </w:tcMar>
            <w:hideMark/>
          </w:tcPr>
          <w:p w14:paraId="44028E24" w14:textId="75B45000" w:rsidR="00783946" w:rsidRPr="000D4E5B" w:rsidRDefault="00783946" w:rsidP="00783946">
            <w:pPr>
              <w:spacing w:before="40" w:after="40" w:line="240" w:lineRule="auto"/>
              <w:rPr>
                <w:b/>
                <w:sz w:val="22"/>
                <w:szCs w:val="22"/>
              </w:rPr>
            </w:pPr>
            <w:r w:rsidRPr="000D4E5B">
              <w:rPr>
                <w:b/>
                <w:sz w:val="22"/>
                <w:szCs w:val="22"/>
              </w:rPr>
              <w:t>TFST</w:t>
            </w:r>
          </w:p>
        </w:tc>
      </w:tr>
      <w:tr w:rsidR="0025220E" w:rsidRPr="000D4E5B" w14:paraId="6332459E" w14:textId="77777777" w:rsidTr="008E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3" w:type="dxa"/>
            <w:tcBorders>
              <w:top w:val="single" w:sz="8" w:space="0" w:color="auto"/>
              <w:left w:val="nil"/>
              <w:bottom w:val="nil"/>
              <w:right w:val="nil"/>
            </w:tcBorders>
            <w:shd w:val="clear" w:color="auto" w:fill="auto"/>
            <w:vAlign w:val="center"/>
          </w:tcPr>
          <w:p w14:paraId="600A367B" w14:textId="77777777" w:rsidR="0025220E" w:rsidRPr="000D4E5B" w:rsidRDefault="0025220E" w:rsidP="0025220E">
            <w:pPr>
              <w:spacing w:before="40" w:after="40"/>
              <w:rPr>
                <w:rFonts w:cs="Arial"/>
                <w:bCs/>
                <w:kern w:val="32"/>
                <w:sz w:val="22"/>
                <w:szCs w:val="22"/>
              </w:rPr>
            </w:pPr>
            <w:r w:rsidRPr="000D4E5B">
              <w:rPr>
                <w:rFonts w:cs="Arial"/>
                <w:bCs/>
                <w:kern w:val="32"/>
                <w:sz w:val="22"/>
                <w:szCs w:val="22"/>
              </w:rPr>
              <w:t>Number of events: Total number of patients (%)</w:t>
            </w:r>
          </w:p>
        </w:tc>
        <w:tc>
          <w:tcPr>
            <w:tcW w:w="2693" w:type="dxa"/>
            <w:tcBorders>
              <w:top w:val="single" w:sz="8" w:space="0" w:color="auto"/>
              <w:left w:val="nil"/>
              <w:bottom w:val="nil"/>
              <w:right w:val="nil"/>
            </w:tcBorders>
            <w:shd w:val="clear" w:color="auto" w:fill="auto"/>
          </w:tcPr>
          <w:p w14:paraId="02D9065F" w14:textId="02ED1DF1" w:rsidR="0025220E" w:rsidRPr="000D4E5B" w:rsidRDefault="0025220E" w:rsidP="0025220E">
            <w:pPr>
              <w:spacing w:before="40" w:after="40"/>
              <w:jc w:val="center"/>
              <w:rPr>
                <w:sz w:val="22"/>
                <w:szCs w:val="22"/>
              </w:rPr>
            </w:pPr>
            <w:r w:rsidRPr="000D4E5B">
              <w:rPr>
                <w:sz w:val="22"/>
                <w:szCs w:val="22"/>
              </w:rPr>
              <w:t>99:260 (38)</w:t>
            </w:r>
          </w:p>
        </w:tc>
        <w:tc>
          <w:tcPr>
            <w:tcW w:w="2126" w:type="dxa"/>
            <w:tcBorders>
              <w:top w:val="single" w:sz="8" w:space="0" w:color="auto"/>
              <w:left w:val="nil"/>
              <w:bottom w:val="nil"/>
              <w:right w:val="nil"/>
            </w:tcBorders>
            <w:shd w:val="clear" w:color="auto" w:fill="auto"/>
          </w:tcPr>
          <w:p w14:paraId="5AD61D63" w14:textId="3802D49D" w:rsidR="0025220E" w:rsidRPr="000D4E5B" w:rsidRDefault="0025220E" w:rsidP="0025220E">
            <w:pPr>
              <w:spacing w:before="40" w:after="40"/>
              <w:jc w:val="center"/>
              <w:rPr>
                <w:sz w:val="22"/>
                <w:szCs w:val="22"/>
                <w:lang w:val="en-US"/>
              </w:rPr>
            </w:pPr>
            <w:r w:rsidRPr="000D4E5B">
              <w:rPr>
                <w:sz w:val="22"/>
                <w:szCs w:val="22"/>
              </w:rPr>
              <w:t>94:131 (72)</w:t>
            </w:r>
          </w:p>
        </w:tc>
      </w:tr>
      <w:tr w:rsidR="0025220E" w:rsidRPr="000D4E5B" w14:paraId="03E39B3B" w14:textId="77777777" w:rsidTr="00977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3" w:type="dxa"/>
            <w:tcBorders>
              <w:top w:val="nil"/>
              <w:left w:val="nil"/>
              <w:bottom w:val="nil"/>
              <w:right w:val="nil"/>
            </w:tcBorders>
            <w:shd w:val="clear" w:color="auto" w:fill="auto"/>
            <w:vAlign w:val="center"/>
          </w:tcPr>
          <w:p w14:paraId="1AA5A966" w14:textId="77777777" w:rsidR="0025220E" w:rsidRPr="000D4E5B" w:rsidRDefault="0025220E" w:rsidP="0025220E">
            <w:pPr>
              <w:spacing w:before="40" w:after="40"/>
              <w:rPr>
                <w:rFonts w:cs="Arial"/>
                <w:bCs/>
                <w:kern w:val="32"/>
                <w:sz w:val="22"/>
                <w:szCs w:val="22"/>
              </w:rPr>
            </w:pPr>
            <w:r w:rsidRPr="000D4E5B">
              <w:rPr>
                <w:rFonts w:cs="Arial"/>
                <w:bCs/>
                <w:kern w:val="32"/>
                <w:sz w:val="22"/>
                <w:szCs w:val="22"/>
              </w:rPr>
              <w:t>Median time (months)</w:t>
            </w:r>
          </w:p>
        </w:tc>
        <w:tc>
          <w:tcPr>
            <w:tcW w:w="2693" w:type="dxa"/>
            <w:tcBorders>
              <w:top w:val="nil"/>
              <w:left w:val="nil"/>
              <w:bottom w:val="nil"/>
              <w:right w:val="nil"/>
            </w:tcBorders>
            <w:shd w:val="clear" w:color="auto" w:fill="auto"/>
          </w:tcPr>
          <w:p w14:paraId="60607037" w14:textId="1BC34724" w:rsidR="0025220E" w:rsidRPr="000D4E5B" w:rsidRDefault="0025220E" w:rsidP="0025220E">
            <w:pPr>
              <w:spacing w:before="40" w:after="40"/>
              <w:jc w:val="center"/>
              <w:rPr>
                <w:sz w:val="22"/>
                <w:szCs w:val="22"/>
              </w:rPr>
            </w:pPr>
            <w:r w:rsidRPr="000D4E5B">
              <w:rPr>
                <w:sz w:val="22"/>
                <w:szCs w:val="22"/>
              </w:rPr>
              <w:t>51.8</w:t>
            </w:r>
          </w:p>
        </w:tc>
        <w:tc>
          <w:tcPr>
            <w:tcW w:w="2126" w:type="dxa"/>
            <w:tcBorders>
              <w:top w:val="nil"/>
              <w:left w:val="nil"/>
              <w:bottom w:val="nil"/>
              <w:right w:val="nil"/>
            </w:tcBorders>
            <w:shd w:val="clear" w:color="auto" w:fill="auto"/>
          </w:tcPr>
          <w:p w14:paraId="6EBDD6BA" w14:textId="1577BCEB" w:rsidR="0025220E" w:rsidRPr="000D4E5B" w:rsidRDefault="0025220E" w:rsidP="0025220E">
            <w:pPr>
              <w:spacing w:before="40" w:after="40"/>
              <w:jc w:val="center"/>
              <w:rPr>
                <w:sz w:val="22"/>
                <w:szCs w:val="22"/>
                <w:lang w:val="en-US"/>
              </w:rPr>
            </w:pPr>
            <w:r w:rsidRPr="000D4E5B">
              <w:rPr>
                <w:sz w:val="22"/>
                <w:szCs w:val="22"/>
              </w:rPr>
              <w:t>15.1</w:t>
            </w:r>
          </w:p>
        </w:tc>
      </w:tr>
      <w:tr w:rsidR="00921404" w:rsidRPr="000D4E5B" w14:paraId="2F527D01" w14:textId="77777777" w:rsidTr="008E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3" w:type="dxa"/>
            <w:tcBorders>
              <w:top w:val="nil"/>
              <w:left w:val="nil"/>
              <w:bottom w:val="nil"/>
              <w:right w:val="nil"/>
            </w:tcBorders>
            <w:shd w:val="clear" w:color="auto" w:fill="auto"/>
            <w:vAlign w:val="center"/>
          </w:tcPr>
          <w:p w14:paraId="4DC6CB13" w14:textId="09D9AF0D" w:rsidR="00921404" w:rsidRPr="000D4E5B" w:rsidRDefault="00921404" w:rsidP="00921404">
            <w:pPr>
              <w:spacing w:before="40" w:after="40"/>
              <w:rPr>
                <w:rFonts w:cs="Arial"/>
                <w:bCs/>
                <w:kern w:val="32"/>
                <w:sz w:val="22"/>
                <w:szCs w:val="22"/>
              </w:rPr>
            </w:pPr>
            <w:r w:rsidRPr="000D4E5B">
              <w:rPr>
                <w:rFonts w:cs="Arial"/>
                <w:bCs/>
                <w:kern w:val="32"/>
                <w:sz w:val="22"/>
                <w:szCs w:val="22"/>
              </w:rPr>
              <w:t xml:space="preserve">HR (95% CI) </w:t>
            </w:r>
            <w:r w:rsidRPr="000D4E5B">
              <w:rPr>
                <w:rFonts w:cs="Arial"/>
                <w:bCs/>
                <w:kern w:val="32"/>
                <w:sz w:val="22"/>
                <w:szCs w:val="22"/>
                <w:vertAlign w:val="superscript"/>
              </w:rPr>
              <w:t>b</w:t>
            </w:r>
          </w:p>
        </w:tc>
        <w:tc>
          <w:tcPr>
            <w:tcW w:w="4819" w:type="dxa"/>
            <w:gridSpan w:val="2"/>
            <w:tcBorders>
              <w:top w:val="nil"/>
              <w:left w:val="nil"/>
              <w:bottom w:val="nil"/>
              <w:right w:val="nil"/>
            </w:tcBorders>
            <w:shd w:val="clear" w:color="auto" w:fill="auto"/>
          </w:tcPr>
          <w:p w14:paraId="0D37C378" w14:textId="1BF9DBCF" w:rsidR="00921404" w:rsidRPr="000D4E5B" w:rsidRDefault="00921404" w:rsidP="00921404">
            <w:pPr>
              <w:spacing w:before="40" w:after="40"/>
              <w:jc w:val="center"/>
              <w:rPr>
                <w:sz w:val="22"/>
                <w:szCs w:val="22"/>
                <w:lang w:val="en-US"/>
              </w:rPr>
            </w:pPr>
            <w:r w:rsidRPr="000D4E5B">
              <w:rPr>
                <w:sz w:val="22"/>
                <w:szCs w:val="22"/>
              </w:rPr>
              <w:t>0.30 (0.22-0.40)</w:t>
            </w:r>
          </w:p>
        </w:tc>
      </w:tr>
      <w:tr w:rsidR="00921404" w:rsidRPr="000D4E5B" w14:paraId="4FDF35BE" w14:textId="77777777" w:rsidTr="008E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3" w:type="dxa"/>
            <w:tcBorders>
              <w:top w:val="nil"/>
              <w:left w:val="nil"/>
              <w:bottom w:val="single" w:sz="12" w:space="0" w:color="auto"/>
              <w:right w:val="nil"/>
            </w:tcBorders>
            <w:shd w:val="clear" w:color="auto" w:fill="auto"/>
            <w:vAlign w:val="center"/>
          </w:tcPr>
          <w:p w14:paraId="0A9261DD" w14:textId="77777777" w:rsidR="00921404" w:rsidRPr="000D4E5B" w:rsidRDefault="00921404" w:rsidP="00921404">
            <w:pPr>
              <w:spacing w:before="40" w:after="40"/>
              <w:rPr>
                <w:rFonts w:cs="Arial"/>
                <w:bCs/>
                <w:kern w:val="32"/>
                <w:sz w:val="22"/>
                <w:szCs w:val="22"/>
              </w:rPr>
            </w:pPr>
            <w:r w:rsidRPr="000D4E5B">
              <w:rPr>
                <w:rFonts w:cs="Arial"/>
                <w:bCs/>
                <w:kern w:val="32"/>
                <w:sz w:val="22"/>
                <w:szCs w:val="22"/>
              </w:rPr>
              <w:t>P value* (2-sided)</w:t>
            </w:r>
          </w:p>
        </w:tc>
        <w:tc>
          <w:tcPr>
            <w:tcW w:w="4819" w:type="dxa"/>
            <w:gridSpan w:val="2"/>
            <w:tcBorders>
              <w:top w:val="nil"/>
              <w:left w:val="nil"/>
              <w:bottom w:val="single" w:sz="12" w:space="0" w:color="auto"/>
              <w:right w:val="nil"/>
            </w:tcBorders>
            <w:shd w:val="clear" w:color="auto" w:fill="auto"/>
          </w:tcPr>
          <w:p w14:paraId="054C016C" w14:textId="4EDA93FA" w:rsidR="00921404" w:rsidRPr="000D4E5B" w:rsidRDefault="00921404" w:rsidP="00921404">
            <w:pPr>
              <w:spacing w:before="40" w:after="40"/>
              <w:jc w:val="center"/>
              <w:rPr>
                <w:sz w:val="22"/>
                <w:szCs w:val="22"/>
                <w:lang w:val="en-US"/>
              </w:rPr>
            </w:pPr>
            <w:r w:rsidRPr="000D4E5B">
              <w:rPr>
                <w:sz w:val="22"/>
                <w:szCs w:val="22"/>
              </w:rPr>
              <w:t>p&lt;0.0001</w:t>
            </w:r>
          </w:p>
        </w:tc>
      </w:tr>
    </w:tbl>
    <w:p w14:paraId="623D679D" w14:textId="409A4325" w:rsidR="00783946" w:rsidRPr="000D4E5B" w:rsidRDefault="00921404" w:rsidP="009775E1">
      <w:pPr>
        <w:pStyle w:val="TableFootnoteLetter"/>
        <w:numPr>
          <w:ilvl w:val="0"/>
          <w:numId w:val="0"/>
        </w:numPr>
        <w:tabs>
          <w:tab w:val="left" w:pos="360"/>
        </w:tabs>
        <w:ind w:left="360" w:hanging="360"/>
      </w:pPr>
      <w:r w:rsidRPr="000D4E5B">
        <w:t>a</w:t>
      </w:r>
      <w:r w:rsidRPr="000D4E5B">
        <w:tab/>
        <w:t>Kaplan-Meier estimates.</w:t>
      </w:r>
    </w:p>
    <w:p w14:paraId="6B0EBC94" w14:textId="71619DF6" w:rsidR="00921404" w:rsidRPr="000D4E5B" w:rsidRDefault="00921404" w:rsidP="009775E1">
      <w:pPr>
        <w:pStyle w:val="TableFootnoteLetter"/>
        <w:numPr>
          <w:ilvl w:val="0"/>
          <w:numId w:val="0"/>
        </w:numPr>
        <w:tabs>
          <w:tab w:val="left" w:pos="360"/>
        </w:tabs>
        <w:ind w:left="360" w:hanging="360"/>
      </w:pPr>
      <w:r w:rsidRPr="000D4E5B">
        <w:t>b</w:t>
      </w:r>
      <w:r w:rsidRPr="000D4E5B">
        <w:tab/>
        <w:t xml:space="preserve">A value &lt;1 favours </w:t>
      </w:r>
      <w:proofErr w:type="spellStart"/>
      <w:r w:rsidRPr="000D4E5B">
        <w:t>olaparib</w:t>
      </w:r>
      <w:proofErr w:type="spellEnd"/>
      <w:r w:rsidRPr="000D4E5B">
        <w:t>. The analysis was performed using a Cox proportional hazards model including response to previous platinum chemotherapy (CR or PR) as a covariate</w:t>
      </w:r>
    </w:p>
    <w:p w14:paraId="033D6616" w14:textId="00F92B33" w:rsidR="00921404" w:rsidRPr="000D4E5B" w:rsidRDefault="00921404" w:rsidP="009775E1">
      <w:pPr>
        <w:pStyle w:val="TableFootnoteLetter"/>
        <w:numPr>
          <w:ilvl w:val="0"/>
          <w:numId w:val="0"/>
        </w:numPr>
        <w:tabs>
          <w:tab w:val="left" w:pos="360"/>
        </w:tabs>
        <w:ind w:left="360" w:hanging="360"/>
      </w:pPr>
      <w:r w:rsidRPr="000D4E5B">
        <w:t>c</w:t>
      </w:r>
      <w:r w:rsidRPr="000D4E5B">
        <w:tab/>
        <w:t>Of the 94 patients on the placebo arm who received subsequent therapy, 49 (52%) received a PARP inhibitor.</w:t>
      </w:r>
    </w:p>
    <w:p w14:paraId="16D038DA" w14:textId="460C8A0C" w:rsidR="00921404" w:rsidRPr="000D4E5B" w:rsidRDefault="00921404" w:rsidP="009775E1">
      <w:pPr>
        <w:pStyle w:val="TableFootnoteLetter"/>
        <w:numPr>
          <w:ilvl w:val="0"/>
          <w:numId w:val="0"/>
        </w:numPr>
        <w:tabs>
          <w:tab w:val="left" w:pos="360"/>
        </w:tabs>
        <w:ind w:left="360" w:hanging="360"/>
      </w:pPr>
      <w:r w:rsidRPr="000D4E5B">
        <w:t>*</w:t>
      </w:r>
      <w:r w:rsidRPr="000D4E5B">
        <w:tab/>
        <w:t>Not controlled for multiplicity.</w:t>
      </w:r>
    </w:p>
    <w:p w14:paraId="2CC8B20B" w14:textId="2B1027FD" w:rsidR="00921404" w:rsidRPr="000D4E5B" w:rsidRDefault="00921404" w:rsidP="009775E1">
      <w:pPr>
        <w:pStyle w:val="TableFootnoteLetter"/>
        <w:numPr>
          <w:ilvl w:val="0"/>
          <w:numId w:val="0"/>
        </w:numPr>
        <w:tabs>
          <w:tab w:val="left" w:pos="360"/>
          <w:tab w:val="left" w:pos="1890"/>
          <w:tab w:val="left" w:pos="3240"/>
        </w:tabs>
        <w:ind w:left="360" w:hanging="360"/>
      </w:pPr>
      <w:proofErr w:type="spellStart"/>
      <w:r w:rsidRPr="000D4E5B">
        <w:t>bd</w:t>
      </w:r>
      <w:proofErr w:type="spellEnd"/>
      <w:r w:rsidRPr="000D4E5B">
        <w:tab/>
      </w:r>
      <w:r w:rsidR="00195B22" w:rsidRPr="000D4E5B">
        <w:t>Twice daily; NR</w:t>
      </w:r>
      <w:r w:rsidR="00195B22" w:rsidRPr="000D4E5B">
        <w:tab/>
        <w:t>not reached; CI</w:t>
      </w:r>
      <w:r w:rsidR="00195B22" w:rsidRPr="000D4E5B">
        <w:tab/>
        <w:t>Confidence interval</w:t>
      </w:r>
    </w:p>
    <w:p w14:paraId="25DAE084" w14:textId="58E3E5FE" w:rsidR="00800EC1" w:rsidRPr="000D4E5B" w:rsidRDefault="00800EC1" w:rsidP="009775E1">
      <w:pPr>
        <w:spacing w:after="0"/>
      </w:pPr>
    </w:p>
    <w:p w14:paraId="39FB2A66" w14:textId="4E0E4EC8" w:rsidR="00800EC1" w:rsidRPr="000D4E5B" w:rsidRDefault="00CE0D6A" w:rsidP="00877F2D">
      <w:pPr>
        <w:pStyle w:val="FigureTitle"/>
        <w:tabs>
          <w:tab w:val="clear" w:pos="1701"/>
          <w:tab w:val="left" w:pos="1440"/>
        </w:tabs>
        <w:ind w:left="1440" w:hanging="1440"/>
        <w:rPr>
          <w:b w:val="0"/>
        </w:rPr>
      </w:pPr>
      <w:r w:rsidRPr="000D4E5B">
        <w:t>Figure 1</w:t>
      </w:r>
      <w:r w:rsidRPr="000D4E5B">
        <w:tab/>
        <w:t xml:space="preserve">SOLO1: Kaplan-Meier plot of PFS for newly diagnosed patients with </w:t>
      </w:r>
      <w:proofErr w:type="spellStart"/>
      <w:r w:rsidRPr="000D4E5B">
        <w:rPr>
          <w:i/>
        </w:rPr>
        <w:t>BRCAm</w:t>
      </w:r>
      <w:proofErr w:type="spellEnd"/>
      <w:r w:rsidRPr="000D4E5B">
        <w:t xml:space="preserve"> advanced ovarian cancer (51% maturity - investigator assessment)</w:t>
      </w:r>
    </w:p>
    <w:p w14:paraId="4A655222" w14:textId="6FC0E838" w:rsidR="00CE0D6A" w:rsidRPr="000D4E5B" w:rsidRDefault="00A962C4" w:rsidP="00877F2D">
      <w:pPr>
        <w:pStyle w:val="Figure"/>
      </w:pPr>
      <w:r w:rsidRPr="000D4E5B">
        <w:rPr>
          <w:noProof/>
          <w:lang w:val="en-AU" w:eastAsia="en-AU"/>
        </w:rPr>
        <w:drawing>
          <wp:inline distT="0" distB="0" distL="0" distR="0" wp14:anchorId="72FA87EA" wp14:editId="33802821">
            <wp:extent cx="5566410" cy="4224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6410" cy="4224655"/>
                    </a:xfrm>
                    <a:prstGeom prst="rect">
                      <a:avLst/>
                    </a:prstGeom>
                    <a:noFill/>
                  </pic:spPr>
                </pic:pic>
              </a:graphicData>
            </a:graphic>
          </wp:inline>
        </w:drawing>
      </w:r>
    </w:p>
    <w:p w14:paraId="431C59B7" w14:textId="259A6B7C" w:rsidR="00A962C4" w:rsidRPr="000D4E5B" w:rsidRDefault="00A962C4" w:rsidP="00877F2D">
      <w:pPr>
        <w:pStyle w:val="Paragraph"/>
      </w:pPr>
      <w:r w:rsidRPr="000D4E5B">
        <w:t xml:space="preserve">There was no </w:t>
      </w:r>
      <w:r w:rsidR="00140C1A" w:rsidRPr="000D4E5B">
        <w:t xml:space="preserve">clinically significant </w:t>
      </w:r>
      <w:r w:rsidRPr="000D4E5B">
        <w:t xml:space="preserve">decrease in </w:t>
      </w:r>
      <w:proofErr w:type="spellStart"/>
      <w:r w:rsidRPr="000D4E5B">
        <w:t>HRQoL</w:t>
      </w:r>
      <w:proofErr w:type="spellEnd"/>
      <w:r w:rsidRPr="000D4E5B">
        <w:t xml:space="preserve"> from baseline for </w:t>
      </w:r>
      <w:proofErr w:type="spellStart"/>
      <w:r w:rsidRPr="000D4E5B">
        <w:t>olaparib</w:t>
      </w:r>
      <w:proofErr w:type="spellEnd"/>
      <w:r w:rsidRPr="000D4E5B">
        <w:t xml:space="preserve">-treated patients over the 24-month treatment period and no clinically relevant differences in </w:t>
      </w:r>
      <w:proofErr w:type="spellStart"/>
      <w:r w:rsidRPr="000D4E5B">
        <w:t>HRQoL</w:t>
      </w:r>
      <w:proofErr w:type="spellEnd"/>
      <w:r w:rsidRPr="000D4E5B">
        <w:t xml:space="preserve"> compared with placebo-treated patients as assessed by the change from baseline in the Trial Outcome Index (TOI) of the Functional Assessment of Cancer Therapy – Ovarian (FACT-O).</w:t>
      </w:r>
    </w:p>
    <w:p w14:paraId="04A323F3" w14:textId="4B873A29" w:rsidR="007403BD" w:rsidRPr="000D4E5B" w:rsidRDefault="00C36C0F" w:rsidP="00751313">
      <w:pPr>
        <w:pStyle w:val="Heading3Unnumbered"/>
      </w:pPr>
      <w:r w:rsidRPr="000D4E5B">
        <w:t>Platinum-</w:t>
      </w:r>
      <w:r w:rsidR="00751313" w:rsidRPr="000D4E5B">
        <w:t>sensitive relapsed (PSR) ovarian cancer</w:t>
      </w:r>
    </w:p>
    <w:p w14:paraId="7499602F" w14:textId="77777777" w:rsidR="00B07F7B" w:rsidRPr="000D4E5B" w:rsidRDefault="00B07F7B" w:rsidP="0076578D">
      <w:pPr>
        <w:pStyle w:val="Paragraph"/>
        <w:tabs>
          <w:tab w:val="left" w:pos="360"/>
        </w:tabs>
      </w:pPr>
      <w:bookmarkStart w:id="24" w:name="_Hlk513045383"/>
      <w:r w:rsidRPr="000D4E5B">
        <w:t xml:space="preserve">The efficacy of LYNPARZA in the maintenance treatment setting in platinum-sensitive relapsed (PSR) ovarian, fallopian tube or primary peritoneal cancer is supported by two randomised, double-blind, placebo-controlled trials in patients with PSR and </w:t>
      </w:r>
      <w:r w:rsidRPr="000D4E5B">
        <w:rPr>
          <w:i/>
        </w:rPr>
        <w:t>BRCA</w:t>
      </w:r>
      <w:r w:rsidRPr="000D4E5B">
        <w:t xml:space="preserve">-mutated disease (SOLO2) and in patients with PSR disease (Study 19).  In both studies, PSR patients who were in response following completion of platinum-based chemotherapy and whose disease had recurred &gt;6 months after completion of penultimate platinum-based chemotherapy were enrolled.  Patients could not have received prior </w:t>
      </w:r>
      <w:proofErr w:type="spellStart"/>
      <w:r w:rsidRPr="000D4E5B">
        <w:t>olaparib</w:t>
      </w:r>
      <w:proofErr w:type="spellEnd"/>
      <w:r w:rsidRPr="000D4E5B">
        <w:t xml:space="preserve"> or other PARP inhibitor treatment.  Patients could have received prior bevacizumab, except in the regimen immediately prior to randomisation.  Patients with </w:t>
      </w:r>
      <w:r w:rsidRPr="000D4E5B">
        <w:rPr>
          <w:i/>
        </w:rPr>
        <w:t xml:space="preserve">BRCA </w:t>
      </w:r>
      <w:r w:rsidRPr="000D4E5B">
        <w:t xml:space="preserve">mutations were identified either from germline testing in blood via a local test or the Myriad CLIA Integrated </w:t>
      </w:r>
      <w:proofErr w:type="spellStart"/>
      <w:r w:rsidRPr="000D4E5B">
        <w:t>BRAC</w:t>
      </w:r>
      <w:r w:rsidRPr="000D4E5B">
        <w:rPr>
          <w:i/>
        </w:rPr>
        <w:t>Analysis</w:t>
      </w:r>
      <w:proofErr w:type="spellEnd"/>
      <w:r w:rsidRPr="000D4E5B">
        <w:rPr>
          <w:vertAlign w:val="superscript"/>
        </w:rPr>
        <w:t>®</w:t>
      </w:r>
      <w:r w:rsidRPr="000D4E5B">
        <w:t xml:space="preserve"> test or from testing a tumour sample using a local test or a test performed by Foundation Medicine.</w:t>
      </w:r>
    </w:p>
    <w:bookmarkEnd w:id="24"/>
    <w:p w14:paraId="573E738F" w14:textId="6D8C9663" w:rsidR="00B07F7B" w:rsidRPr="00F255A9" w:rsidRDefault="00B07F7B" w:rsidP="00F255A9">
      <w:pPr>
        <w:pStyle w:val="Heading4Unnumbered"/>
      </w:pPr>
      <w:r w:rsidRPr="00F255A9">
        <w:t>SOLO2 Study</w:t>
      </w:r>
      <w:r w:rsidR="00961841" w:rsidRPr="00F255A9">
        <w:t xml:space="preserve"> </w:t>
      </w:r>
      <w:r w:rsidRPr="00F255A9">
        <w:t>in PSR patients with a BRCA mutation</w:t>
      </w:r>
    </w:p>
    <w:p w14:paraId="11E420C6" w14:textId="351F10F9" w:rsidR="00B07F7B" w:rsidRPr="000D4E5B" w:rsidRDefault="00B07F7B" w:rsidP="00B07F7B">
      <w:pPr>
        <w:pStyle w:val="Paragraph"/>
      </w:pPr>
      <w:r w:rsidRPr="000D4E5B">
        <w:t xml:space="preserve">The study compared the efficacy of LYNPARZA maintenance treatment </w:t>
      </w:r>
      <w:r w:rsidR="000A62D4" w:rsidRPr="000D4E5B">
        <w:t>(</w:t>
      </w:r>
      <w:r w:rsidRPr="000D4E5B">
        <w:t xml:space="preserve">300 mg </w:t>
      </w:r>
      <w:r w:rsidR="000A62D4" w:rsidRPr="000D4E5B">
        <w:t>[</w:t>
      </w:r>
      <w:r w:rsidRPr="000D4E5B">
        <w:t>2 x 150 mg tablets</w:t>
      </w:r>
      <w:r w:rsidR="000A62D4" w:rsidRPr="000D4E5B">
        <w:t>]</w:t>
      </w:r>
      <w:r w:rsidRPr="000D4E5B">
        <w:t xml:space="preserve"> twice daily</w:t>
      </w:r>
      <w:r w:rsidR="00B56438" w:rsidRPr="000D4E5B">
        <w:t>)</w:t>
      </w:r>
      <w:r w:rsidRPr="000D4E5B">
        <w:t xml:space="preserve"> taken to progression with placebo treatment in 295 patients with high-grade serous or </w:t>
      </w:r>
      <w:proofErr w:type="spellStart"/>
      <w:r w:rsidRPr="000D4E5B">
        <w:t>endometrioid</w:t>
      </w:r>
      <w:proofErr w:type="spellEnd"/>
      <w:r w:rsidRPr="000D4E5B">
        <w:t xml:space="preserve"> PSR ovarian cancer (2:1 randomisation: 196 </w:t>
      </w:r>
      <w:proofErr w:type="spellStart"/>
      <w:r w:rsidRPr="000D4E5B">
        <w:t>olaparib</w:t>
      </w:r>
      <w:proofErr w:type="spellEnd"/>
      <w:r w:rsidRPr="000D4E5B">
        <w:t xml:space="preserve"> and 99 placebo) who were in response (CR or PR) following completion of platinum-containing chemotherapy.  All patients had evidence of germline </w:t>
      </w:r>
      <w:r w:rsidRPr="000D4E5B">
        <w:rPr>
          <w:i/>
        </w:rPr>
        <w:t>BRCA</w:t>
      </w:r>
      <w:r w:rsidRPr="000D4E5B">
        <w:t xml:space="preserve"> mutation (</w:t>
      </w:r>
      <w:proofErr w:type="spellStart"/>
      <w:r w:rsidRPr="000D4E5B">
        <w:rPr>
          <w:i/>
        </w:rPr>
        <w:t>gBRCAm</w:t>
      </w:r>
      <w:proofErr w:type="spellEnd"/>
      <w:r w:rsidRPr="000D4E5B">
        <w:t xml:space="preserve">) at baseline. </w:t>
      </w:r>
    </w:p>
    <w:p w14:paraId="77CA0E03" w14:textId="0B9D1314" w:rsidR="00B07F7B" w:rsidRPr="000D4E5B" w:rsidRDefault="00B07F7B" w:rsidP="00B07F7B">
      <w:pPr>
        <w:pStyle w:val="Paragraph"/>
      </w:pPr>
      <w:r w:rsidRPr="000D4E5B">
        <w:t xml:space="preserve">The primary endpoint was PFS determined by investigator assessment using RECIST 1.1.  Secondary efficacy endpoints included time from randomisation to PFS2; OS, time from randomisation to discontinuation of treatment or death (TDT), TFST, time from randomisation to start of second subsequent anti-cancer therapy or death (TSST); and </w:t>
      </w:r>
      <w:proofErr w:type="spellStart"/>
      <w:r w:rsidRPr="000D4E5B">
        <w:t>HRQoL</w:t>
      </w:r>
      <w:proofErr w:type="spellEnd"/>
      <w:r w:rsidRPr="000D4E5B">
        <w:t>.</w:t>
      </w:r>
    </w:p>
    <w:p w14:paraId="1D88913D" w14:textId="20396E3C" w:rsidR="00B07F7B" w:rsidRPr="000D4E5B" w:rsidRDefault="00B07F7B" w:rsidP="00B07F7B">
      <w:pPr>
        <w:pStyle w:val="Paragraph"/>
      </w:pPr>
      <w:r w:rsidRPr="000D4E5B">
        <w:t xml:space="preserve">The study met its primary objective demonstrating a clinically meaningful and statistically significant improvement in investigator assessed PFS for </w:t>
      </w:r>
      <w:proofErr w:type="spellStart"/>
      <w:r w:rsidRPr="000D4E5B">
        <w:t>olaparib</w:t>
      </w:r>
      <w:proofErr w:type="spellEnd"/>
      <w:r w:rsidRPr="000D4E5B">
        <w:t xml:space="preserve"> compared with placebo with a HR of 0.30 (95% CI 0.22-0.41; p&lt;0.0001; median 19.1 months for </w:t>
      </w:r>
      <w:proofErr w:type="spellStart"/>
      <w:r w:rsidRPr="000D4E5B">
        <w:t>olaparib</w:t>
      </w:r>
      <w:proofErr w:type="spellEnd"/>
      <w:r w:rsidRPr="000D4E5B">
        <w:t xml:space="preserve"> vs. 5.5 months for placebo).  The investigator assessment of PFS was supported with a blinded independent central radiological review of PFS (HR 0.25; 95% CI 0.18-0.35; p&lt;0.0001; median 30.2 months for </w:t>
      </w:r>
      <w:proofErr w:type="spellStart"/>
      <w:r w:rsidRPr="000D4E5B">
        <w:t>olaparib</w:t>
      </w:r>
      <w:proofErr w:type="spellEnd"/>
      <w:r w:rsidRPr="000D4E5B">
        <w:t xml:space="preserve"> vs. 5.5 months for placebo).  At 2 years, 43% </w:t>
      </w:r>
      <w:proofErr w:type="spellStart"/>
      <w:r w:rsidRPr="000D4E5B">
        <w:t>olaparib</w:t>
      </w:r>
      <w:proofErr w:type="spellEnd"/>
      <w:r w:rsidRPr="000D4E5B">
        <w:t xml:space="preserve"> treated patients remained progression-free compared with only 15% placebo-treated patients.  A clinically meaningful and statistically significant improvement in PFS2 was also observed with a HR of 0.50 (95% CI 0.34-0.72; p=0.0002; median not reached for </w:t>
      </w:r>
      <w:proofErr w:type="spellStart"/>
      <w:r w:rsidRPr="000D4E5B">
        <w:t>olaparib</w:t>
      </w:r>
      <w:proofErr w:type="spellEnd"/>
      <w:r w:rsidRPr="000D4E5B">
        <w:t xml:space="preserve"> vs. 18.4 months for placebo) indicating that the benefit observed with </w:t>
      </w:r>
      <w:proofErr w:type="spellStart"/>
      <w:r w:rsidRPr="000D4E5B">
        <w:t>olaparib</w:t>
      </w:r>
      <w:proofErr w:type="spellEnd"/>
      <w:r w:rsidRPr="000D4E5B">
        <w:t xml:space="preserve"> continued to be evident even with the use of subsequent therapies.  Interim OS was immature with events in only 24% patients (HR 0.80; 95% CI 0.50-1.31; p=0.4267; medians not reached).  Clinically meaningful and statistically significant improvements in TDT, TFST and TSST were also observed for </w:t>
      </w:r>
      <w:proofErr w:type="spellStart"/>
      <w:r w:rsidRPr="000D4E5B">
        <w:t>olaparib</w:t>
      </w:r>
      <w:proofErr w:type="spellEnd"/>
      <w:r w:rsidRPr="000D4E5B">
        <w:t xml:space="preserve">-treated patients (Table </w:t>
      </w:r>
      <w:r w:rsidR="00CE0D6A" w:rsidRPr="000D4E5B">
        <w:t>4</w:t>
      </w:r>
      <w:r w:rsidRPr="000D4E5B">
        <w:t>).</w:t>
      </w:r>
    </w:p>
    <w:p w14:paraId="44158368" w14:textId="5646CA57" w:rsidR="00B07F7B" w:rsidRPr="000D4E5B" w:rsidRDefault="00B07F7B" w:rsidP="006A6677">
      <w:pPr>
        <w:pStyle w:val="Paragraph"/>
      </w:pPr>
      <w:r w:rsidRPr="000D4E5B">
        <w:t xml:space="preserve">A summary of key efficacy findings for patients with </w:t>
      </w:r>
      <w:proofErr w:type="spellStart"/>
      <w:r w:rsidRPr="000D4E5B">
        <w:rPr>
          <w:i/>
        </w:rPr>
        <w:t>gBRCAm</w:t>
      </w:r>
      <w:proofErr w:type="spellEnd"/>
      <w:r w:rsidRPr="000D4E5B">
        <w:t xml:space="preserve"> PSR ovarian cancer in SOLO2 is presented in Table </w:t>
      </w:r>
      <w:r w:rsidR="00CE0D6A" w:rsidRPr="000D4E5B">
        <w:t>4</w:t>
      </w:r>
      <w:r w:rsidRPr="000D4E5B">
        <w:t>.</w:t>
      </w:r>
    </w:p>
    <w:p w14:paraId="6C693534" w14:textId="77777777" w:rsidR="00445A9F" w:rsidRPr="000D4E5B" w:rsidRDefault="00445A9F">
      <w:pPr>
        <w:spacing w:after="200"/>
        <w:rPr>
          <w:b/>
          <w:color w:val="000000"/>
        </w:rPr>
      </w:pPr>
      <w:bookmarkStart w:id="25" w:name="_Hlk513045700"/>
      <w:r w:rsidRPr="000D4E5B">
        <w:br w:type="page"/>
      </w:r>
    </w:p>
    <w:p w14:paraId="6F577CD6" w14:textId="13584FF0" w:rsidR="005B486D" w:rsidRPr="000D4E5B" w:rsidRDefault="005B486D">
      <w:pPr>
        <w:pStyle w:val="TableTitle"/>
        <w:tabs>
          <w:tab w:val="clear" w:pos="1701"/>
          <w:tab w:val="left" w:pos="1080"/>
        </w:tabs>
        <w:ind w:left="1080" w:hanging="1080"/>
      </w:pPr>
      <w:r w:rsidRPr="000D4E5B">
        <w:t xml:space="preserve">Table </w:t>
      </w:r>
      <w:r w:rsidR="00CE0D6A" w:rsidRPr="000D4E5B">
        <w:t>4</w:t>
      </w:r>
      <w:r w:rsidRPr="000D4E5B">
        <w:tab/>
        <w:t xml:space="preserve">Summary of key efficacy findings for patients with </w:t>
      </w:r>
      <w:proofErr w:type="spellStart"/>
      <w:r w:rsidRPr="000D4E5B">
        <w:rPr>
          <w:i/>
        </w:rPr>
        <w:t>gBRCAm</w:t>
      </w:r>
      <w:proofErr w:type="spellEnd"/>
      <w:r w:rsidRPr="000D4E5B">
        <w:t xml:space="preserve"> PSR ovarian cancer in SOLO2</w:t>
      </w:r>
      <w:bookmarkEnd w:id="2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26"/>
      </w:tblGrid>
      <w:tr w:rsidR="005B486D" w:rsidRPr="000D4E5B" w14:paraId="10D6F503" w14:textId="77777777" w:rsidTr="001C4C83">
        <w:tc>
          <w:tcPr>
            <w:tcW w:w="4503" w:type="dxa"/>
            <w:tcBorders>
              <w:top w:val="single" w:sz="12" w:space="0" w:color="auto"/>
              <w:left w:val="nil"/>
              <w:right w:val="nil"/>
            </w:tcBorders>
            <w:shd w:val="clear" w:color="auto" w:fill="auto"/>
          </w:tcPr>
          <w:p w14:paraId="5EE20CE3" w14:textId="77777777" w:rsidR="005B486D" w:rsidRPr="000D4E5B" w:rsidRDefault="005B486D" w:rsidP="001C4C83">
            <w:pPr>
              <w:pStyle w:val="TableHead"/>
              <w:rPr>
                <w:sz w:val="22"/>
                <w:szCs w:val="22"/>
              </w:rPr>
            </w:pPr>
            <w:bookmarkStart w:id="26" w:name="_Hlk528846181"/>
          </w:p>
        </w:tc>
        <w:tc>
          <w:tcPr>
            <w:tcW w:w="2693" w:type="dxa"/>
            <w:tcBorders>
              <w:top w:val="single" w:sz="12" w:space="0" w:color="auto"/>
              <w:left w:val="nil"/>
              <w:right w:val="nil"/>
            </w:tcBorders>
            <w:shd w:val="clear" w:color="auto" w:fill="auto"/>
          </w:tcPr>
          <w:p w14:paraId="211540C1" w14:textId="77777777" w:rsidR="005B486D" w:rsidRPr="000D4E5B" w:rsidRDefault="005B486D" w:rsidP="001C4C83">
            <w:pPr>
              <w:pStyle w:val="TableHead"/>
              <w:rPr>
                <w:sz w:val="22"/>
                <w:szCs w:val="22"/>
              </w:rPr>
            </w:pPr>
            <w:r w:rsidRPr="000D4E5B">
              <w:rPr>
                <w:sz w:val="22"/>
                <w:szCs w:val="22"/>
              </w:rPr>
              <w:t>LYNPARZA tablet</w:t>
            </w:r>
            <w:r w:rsidRPr="000D4E5B">
              <w:rPr>
                <w:sz w:val="22"/>
                <w:szCs w:val="22"/>
              </w:rPr>
              <w:br/>
              <w:t xml:space="preserve">300 mg </w:t>
            </w:r>
            <w:proofErr w:type="spellStart"/>
            <w:r w:rsidRPr="000D4E5B">
              <w:rPr>
                <w:sz w:val="22"/>
                <w:szCs w:val="22"/>
              </w:rPr>
              <w:t>bd</w:t>
            </w:r>
            <w:proofErr w:type="spellEnd"/>
          </w:p>
        </w:tc>
        <w:tc>
          <w:tcPr>
            <w:tcW w:w="2126" w:type="dxa"/>
            <w:tcBorders>
              <w:top w:val="single" w:sz="12" w:space="0" w:color="auto"/>
              <w:left w:val="nil"/>
              <w:right w:val="nil"/>
            </w:tcBorders>
            <w:shd w:val="clear" w:color="auto" w:fill="auto"/>
          </w:tcPr>
          <w:p w14:paraId="4761DFE3" w14:textId="77777777" w:rsidR="005B486D" w:rsidRPr="000D4E5B" w:rsidRDefault="005B486D" w:rsidP="001C4C83">
            <w:pPr>
              <w:pStyle w:val="TableHead"/>
              <w:rPr>
                <w:sz w:val="22"/>
                <w:szCs w:val="22"/>
              </w:rPr>
            </w:pPr>
            <w:r w:rsidRPr="000D4E5B">
              <w:rPr>
                <w:sz w:val="22"/>
                <w:szCs w:val="22"/>
              </w:rPr>
              <w:t>Placebo</w:t>
            </w:r>
          </w:p>
        </w:tc>
      </w:tr>
      <w:tr w:rsidR="005B486D" w:rsidRPr="000D4E5B" w14:paraId="1C6AD25D"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21823CFF" w14:textId="77777777" w:rsidR="005B486D" w:rsidRPr="000D4E5B" w:rsidRDefault="005B486D" w:rsidP="001C4C83">
            <w:pPr>
              <w:pStyle w:val="TableHead"/>
              <w:jc w:val="left"/>
              <w:rPr>
                <w:sz w:val="22"/>
                <w:szCs w:val="22"/>
              </w:rPr>
            </w:pPr>
            <w:r w:rsidRPr="000D4E5B">
              <w:rPr>
                <w:sz w:val="22"/>
                <w:szCs w:val="22"/>
              </w:rPr>
              <w:t>PFS (63% maturity)</w:t>
            </w:r>
          </w:p>
        </w:tc>
      </w:tr>
      <w:tr w:rsidR="005B486D" w:rsidRPr="000D4E5B" w14:paraId="0FB5D17D" w14:textId="77777777" w:rsidTr="001C4C83">
        <w:tc>
          <w:tcPr>
            <w:tcW w:w="4503" w:type="dxa"/>
            <w:tcBorders>
              <w:left w:val="nil"/>
              <w:bottom w:val="nil"/>
              <w:right w:val="nil"/>
            </w:tcBorders>
            <w:shd w:val="clear" w:color="auto" w:fill="auto"/>
            <w:vAlign w:val="center"/>
          </w:tcPr>
          <w:p w14:paraId="4914F773" w14:textId="77777777" w:rsidR="005B486D" w:rsidRPr="000D4E5B" w:rsidRDefault="005B486D" w:rsidP="001C4C83">
            <w:pPr>
              <w:pStyle w:val="TableLeft"/>
              <w:rPr>
                <w:sz w:val="22"/>
                <w:szCs w:val="22"/>
                <w:lang w:val="en-US"/>
              </w:rPr>
            </w:pPr>
            <w:r w:rsidRPr="000D4E5B">
              <w:rPr>
                <w:sz w:val="22"/>
                <w:szCs w:val="22"/>
              </w:rPr>
              <w:t>Number of events: Total number of patients (%)</w:t>
            </w:r>
          </w:p>
        </w:tc>
        <w:tc>
          <w:tcPr>
            <w:tcW w:w="2693" w:type="dxa"/>
            <w:tcBorders>
              <w:left w:val="nil"/>
              <w:bottom w:val="nil"/>
              <w:right w:val="nil"/>
            </w:tcBorders>
            <w:shd w:val="clear" w:color="auto" w:fill="auto"/>
            <w:vAlign w:val="center"/>
          </w:tcPr>
          <w:p w14:paraId="4465E36C" w14:textId="77777777" w:rsidR="005B486D" w:rsidRPr="000D4E5B" w:rsidRDefault="005B486D" w:rsidP="001C4C83">
            <w:pPr>
              <w:pStyle w:val="TableCenter"/>
              <w:rPr>
                <w:sz w:val="22"/>
                <w:szCs w:val="22"/>
                <w:lang w:val="en-US"/>
              </w:rPr>
            </w:pPr>
            <w:r w:rsidRPr="000D4E5B">
              <w:rPr>
                <w:sz w:val="22"/>
                <w:szCs w:val="22"/>
              </w:rPr>
              <w:t>107:196 (55)</w:t>
            </w:r>
          </w:p>
        </w:tc>
        <w:tc>
          <w:tcPr>
            <w:tcW w:w="2126" w:type="dxa"/>
            <w:tcBorders>
              <w:left w:val="nil"/>
              <w:bottom w:val="nil"/>
              <w:right w:val="nil"/>
            </w:tcBorders>
            <w:shd w:val="clear" w:color="auto" w:fill="auto"/>
            <w:vAlign w:val="center"/>
          </w:tcPr>
          <w:p w14:paraId="13D28E9D" w14:textId="77777777" w:rsidR="005B486D" w:rsidRPr="000D4E5B" w:rsidRDefault="005B486D" w:rsidP="001C4C83">
            <w:pPr>
              <w:pStyle w:val="TableCenter"/>
              <w:rPr>
                <w:sz w:val="22"/>
                <w:szCs w:val="22"/>
                <w:lang w:val="en-US"/>
              </w:rPr>
            </w:pPr>
            <w:r w:rsidRPr="000D4E5B">
              <w:rPr>
                <w:sz w:val="22"/>
                <w:szCs w:val="22"/>
              </w:rPr>
              <w:t>80:99 (81)</w:t>
            </w:r>
          </w:p>
        </w:tc>
      </w:tr>
      <w:tr w:rsidR="005B486D" w:rsidRPr="000D4E5B" w14:paraId="0AB32E73" w14:textId="77777777" w:rsidTr="001C4C83">
        <w:tc>
          <w:tcPr>
            <w:tcW w:w="4503" w:type="dxa"/>
            <w:tcBorders>
              <w:top w:val="nil"/>
              <w:left w:val="nil"/>
              <w:bottom w:val="nil"/>
              <w:right w:val="nil"/>
            </w:tcBorders>
            <w:shd w:val="clear" w:color="auto" w:fill="auto"/>
            <w:vAlign w:val="center"/>
          </w:tcPr>
          <w:p w14:paraId="4D326194" w14:textId="77777777" w:rsidR="005B486D" w:rsidRPr="000D4E5B" w:rsidRDefault="005B486D" w:rsidP="001C4C83">
            <w:pPr>
              <w:pStyle w:val="TableLeft"/>
              <w:rPr>
                <w:sz w:val="22"/>
                <w:szCs w:val="22"/>
                <w:lang w:val="en-US"/>
              </w:rPr>
            </w:pPr>
            <w:r w:rsidRPr="000D4E5B">
              <w:rPr>
                <w:sz w:val="22"/>
                <w:szCs w:val="22"/>
              </w:rPr>
              <w:t>Median time (months)</w:t>
            </w:r>
          </w:p>
        </w:tc>
        <w:tc>
          <w:tcPr>
            <w:tcW w:w="2693" w:type="dxa"/>
            <w:tcBorders>
              <w:top w:val="nil"/>
              <w:left w:val="nil"/>
              <w:bottom w:val="nil"/>
              <w:right w:val="nil"/>
            </w:tcBorders>
            <w:shd w:val="clear" w:color="auto" w:fill="auto"/>
            <w:vAlign w:val="center"/>
          </w:tcPr>
          <w:p w14:paraId="20D65B4F" w14:textId="77777777" w:rsidR="005B486D" w:rsidRPr="000D4E5B" w:rsidRDefault="005B486D" w:rsidP="001C4C83">
            <w:pPr>
              <w:pStyle w:val="TableCenter"/>
              <w:rPr>
                <w:sz w:val="22"/>
                <w:szCs w:val="22"/>
                <w:lang w:val="en-US"/>
              </w:rPr>
            </w:pPr>
            <w:r w:rsidRPr="000D4E5B">
              <w:rPr>
                <w:sz w:val="22"/>
                <w:szCs w:val="22"/>
              </w:rPr>
              <w:t>19.1</w:t>
            </w:r>
          </w:p>
        </w:tc>
        <w:tc>
          <w:tcPr>
            <w:tcW w:w="2126" w:type="dxa"/>
            <w:tcBorders>
              <w:top w:val="nil"/>
              <w:left w:val="nil"/>
              <w:bottom w:val="nil"/>
              <w:right w:val="nil"/>
            </w:tcBorders>
            <w:shd w:val="clear" w:color="auto" w:fill="auto"/>
            <w:vAlign w:val="center"/>
          </w:tcPr>
          <w:p w14:paraId="5A79B8CB" w14:textId="77777777" w:rsidR="005B486D" w:rsidRPr="000D4E5B" w:rsidRDefault="005B486D" w:rsidP="001C4C83">
            <w:pPr>
              <w:pStyle w:val="TableCenter"/>
              <w:rPr>
                <w:sz w:val="22"/>
                <w:szCs w:val="22"/>
                <w:lang w:val="en-US"/>
              </w:rPr>
            </w:pPr>
            <w:r w:rsidRPr="000D4E5B">
              <w:rPr>
                <w:sz w:val="22"/>
                <w:szCs w:val="22"/>
              </w:rPr>
              <w:t>5.5</w:t>
            </w:r>
          </w:p>
        </w:tc>
      </w:tr>
      <w:tr w:rsidR="005B486D" w:rsidRPr="000D4E5B" w14:paraId="4E941A2F" w14:textId="77777777" w:rsidTr="00163466">
        <w:tc>
          <w:tcPr>
            <w:tcW w:w="4503" w:type="dxa"/>
            <w:tcBorders>
              <w:top w:val="nil"/>
              <w:left w:val="nil"/>
              <w:bottom w:val="nil"/>
              <w:right w:val="nil"/>
            </w:tcBorders>
            <w:shd w:val="clear" w:color="auto" w:fill="auto"/>
            <w:vAlign w:val="center"/>
          </w:tcPr>
          <w:p w14:paraId="17099812" w14:textId="77777777" w:rsidR="005B486D" w:rsidRPr="000D4E5B" w:rsidRDefault="005B486D" w:rsidP="001C4C83">
            <w:pPr>
              <w:pStyle w:val="TableLeft"/>
              <w:rPr>
                <w:sz w:val="22"/>
                <w:szCs w:val="22"/>
                <w:lang w:val="en-US"/>
              </w:rPr>
            </w:pPr>
            <w:r w:rsidRPr="000D4E5B">
              <w:rPr>
                <w:sz w:val="22"/>
                <w:szCs w:val="22"/>
              </w:rPr>
              <w:t xml:space="preserve">HR (95% CI) </w:t>
            </w:r>
            <w:r w:rsidRPr="000D4E5B">
              <w:rPr>
                <w:sz w:val="22"/>
                <w:szCs w:val="22"/>
                <w:vertAlign w:val="superscript"/>
              </w:rPr>
              <w:t>a</w:t>
            </w:r>
          </w:p>
        </w:tc>
        <w:tc>
          <w:tcPr>
            <w:tcW w:w="2693" w:type="dxa"/>
            <w:tcBorders>
              <w:top w:val="nil"/>
              <w:left w:val="nil"/>
              <w:bottom w:val="nil"/>
              <w:right w:val="nil"/>
            </w:tcBorders>
            <w:shd w:val="clear" w:color="auto" w:fill="auto"/>
            <w:vAlign w:val="center"/>
          </w:tcPr>
          <w:p w14:paraId="661B970B" w14:textId="77777777" w:rsidR="005B486D" w:rsidRPr="000D4E5B" w:rsidRDefault="005B486D" w:rsidP="001C4C83">
            <w:pPr>
              <w:pStyle w:val="TableCenter"/>
              <w:rPr>
                <w:sz w:val="22"/>
                <w:szCs w:val="22"/>
                <w:lang w:val="en-US"/>
              </w:rPr>
            </w:pPr>
            <w:r w:rsidRPr="000D4E5B">
              <w:rPr>
                <w:sz w:val="22"/>
                <w:szCs w:val="22"/>
              </w:rPr>
              <w:t>0.30 (0.22-0.41)</w:t>
            </w:r>
          </w:p>
        </w:tc>
        <w:tc>
          <w:tcPr>
            <w:tcW w:w="2126" w:type="dxa"/>
            <w:tcBorders>
              <w:top w:val="nil"/>
              <w:left w:val="nil"/>
              <w:bottom w:val="nil"/>
              <w:right w:val="nil"/>
            </w:tcBorders>
            <w:shd w:val="clear" w:color="auto" w:fill="auto"/>
            <w:vAlign w:val="center"/>
          </w:tcPr>
          <w:p w14:paraId="4B7E7D27" w14:textId="77777777" w:rsidR="005B486D" w:rsidRPr="000D4E5B" w:rsidRDefault="005B486D" w:rsidP="001C4C83">
            <w:pPr>
              <w:pStyle w:val="TableCenter"/>
              <w:rPr>
                <w:sz w:val="22"/>
                <w:szCs w:val="22"/>
                <w:lang w:val="en-US"/>
              </w:rPr>
            </w:pPr>
          </w:p>
        </w:tc>
      </w:tr>
      <w:tr w:rsidR="005B486D" w:rsidRPr="000D4E5B" w14:paraId="2672E846" w14:textId="77777777" w:rsidTr="00163466">
        <w:tc>
          <w:tcPr>
            <w:tcW w:w="4503" w:type="dxa"/>
            <w:tcBorders>
              <w:top w:val="nil"/>
              <w:left w:val="nil"/>
              <w:bottom w:val="single" w:sz="8" w:space="0" w:color="auto"/>
              <w:right w:val="nil"/>
            </w:tcBorders>
            <w:shd w:val="clear" w:color="auto" w:fill="auto"/>
            <w:vAlign w:val="center"/>
          </w:tcPr>
          <w:p w14:paraId="22BD4ED3" w14:textId="77777777" w:rsidR="005B486D" w:rsidRPr="000D4E5B" w:rsidRDefault="005B486D" w:rsidP="001C4C83">
            <w:pPr>
              <w:pStyle w:val="TableLeft"/>
              <w:rPr>
                <w:sz w:val="22"/>
                <w:szCs w:val="22"/>
                <w:lang w:val="en-US"/>
              </w:rPr>
            </w:pPr>
            <w:r w:rsidRPr="000D4E5B">
              <w:rPr>
                <w:sz w:val="22"/>
                <w:szCs w:val="22"/>
              </w:rPr>
              <w:t>P value (2-sided)</w:t>
            </w:r>
          </w:p>
        </w:tc>
        <w:tc>
          <w:tcPr>
            <w:tcW w:w="2693" w:type="dxa"/>
            <w:tcBorders>
              <w:top w:val="nil"/>
              <w:left w:val="nil"/>
              <w:bottom w:val="single" w:sz="8" w:space="0" w:color="auto"/>
              <w:right w:val="nil"/>
            </w:tcBorders>
            <w:shd w:val="clear" w:color="auto" w:fill="auto"/>
            <w:vAlign w:val="center"/>
          </w:tcPr>
          <w:p w14:paraId="5385AEA5" w14:textId="77777777" w:rsidR="005B486D" w:rsidRPr="000D4E5B" w:rsidRDefault="005B486D" w:rsidP="001C4C83">
            <w:pPr>
              <w:pStyle w:val="TableCenter"/>
              <w:rPr>
                <w:sz w:val="22"/>
                <w:szCs w:val="22"/>
                <w:lang w:val="en-US"/>
              </w:rPr>
            </w:pPr>
            <w:r w:rsidRPr="000D4E5B">
              <w:rPr>
                <w:sz w:val="22"/>
                <w:szCs w:val="22"/>
              </w:rPr>
              <w:t>p&lt;0.0001</w:t>
            </w:r>
          </w:p>
        </w:tc>
        <w:tc>
          <w:tcPr>
            <w:tcW w:w="2126" w:type="dxa"/>
            <w:tcBorders>
              <w:top w:val="nil"/>
              <w:left w:val="nil"/>
              <w:bottom w:val="single" w:sz="8" w:space="0" w:color="auto"/>
              <w:right w:val="nil"/>
            </w:tcBorders>
            <w:shd w:val="clear" w:color="auto" w:fill="auto"/>
            <w:vAlign w:val="center"/>
          </w:tcPr>
          <w:p w14:paraId="4A89E069" w14:textId="77777777" w:rsidR="005B486D" w:rsidRPr="000D4E5B" w:rsidRDefault="005B486D" w:rsidP="001C4C83">
            <w:pPr>
              <w:pStyle w:val="TableCenter"/>
              <w:rPr>
                <w:sz w:val="22"/>
                <w:szCs w:val="22"/>
                <w:lang w:val="en-US"/>
              </w:rPr>
            </w:pPr>
          </w:p>
        </w:tc>
      </w:tr>
      <w:tr w:rsidR="005B486D" w:rsidRPr="000D4E5B" w14:paraId="046109BF" w14:textId="77777777" w:rsidTr="00163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21458DE3" w14:textId="20BD130F" w:rsidR="005B486D" w:rsidRPr="000D4E5B" w:rsidRDefault="005B486D" w:rsidP="001C4C83">
            <w:pPr>
              <w:pStyle w:val="TableHead"/>
              <w:jc w:val="left"/>
              <w:rPr>
                <w:sz w:val="22"/>
                <w:szCs w:val="22"/>
              </w:rPr>
            </w:pPr>
            <w:r w:rsidRPr="000D4E5B">
              <w:rPr>
                <w:sz w:val="22"/>
                <w:szCs w:val="22"/>
              </w:rPr>
              <w:t>PFS2 (~40% maturity)</w:t>
            </w:r>
          </w:p>
        </w:tc>
      </w:tr>
      <w:tr w:rsidR="005B486D" w:rsidRPr="000D4E5B" w14:paraId="75007196" w14:textId="77777777" w:rsidTr="001C4C83">
        <w:tblPrEx>
          <w:tblBorders>
            <w:left w:val="none" w:sz="0" w:space="0" w:color="auto"/>
            <w:right w:val="none" w:sz="0" w:space="0" w:color="auto"/>
          </w:tblBorders>
        </w:tblPrEx>
        <w:tc>
          <w:tcPr>
            <w:tcW w:w="4503" w:type="dxa"/>
            <w:tcBorders>
              <w:bottom w:val="nil"/>
              <w:right w:val="nil"/>
            </w:tcBorders>
            <w:shd w:val="clear" w:color="auto" w:fill="auto"/>
          </w:tcPr>
          <w:p w14:paraId="19BF946B" w14:textId="77777777" w:rsidR="005B486D" w:rsidRPr="000D4E5B" w:rsidRDefault="005B486D" w:rsidP="001C4C83">
            <w:pPr>
              <w:pStyle w:val="TableLeft"/>
              <w:rPr>
                <w:sz w:val="22"/>
                <w:szCs w:val="22"/>
                <w:lang w:val="en-US"/>
              </w:rPr>
            </w:pPr>
            <w:r w:rsidRPr="000D4E5B">
              <w:rPr>
                <w:sz w:val="22"/>
                <w:szCs w:val="22"/>
              </w:rPr>
              <w:t>Number of events: Total number of patients (%)</w:t>
            </w:r>
          </w:p>
        </w:tc>
        <w:tc>
          <w:tcPr>
            <w:tcW w:w="2693" w:type="dxa"/>
            <w:tcBorders>
              <w:left w:val="nil"/>
              <w:bottom w:val="nil"/>
              <w:right w:val="nil"/>
            </w:tcBorders>
            <w:shd w:val="clear" w:color="auto" w:fill="auto"/>
          </w:tcPr>
          <w:p w14:paraId="65AD90E7" w14:textId="77777777" w:rsidR="005B486D" w:rsidRPr="000D4E5B" w:rsidRDefault="005B486D" w:rsidP="001C4C83">
            <w:pPr>
              <w:pStyle w:val="TableCenter"/>
              <w:rPr>
                <w:sz w:val="22"/>
                <w:szCs w:val="22"/>
                <w:lang w:val="en-US"/>
              </w:rPr>
            </w:pPr>
            <w:r w:rsidRPr="000D4E5B">
              <w:rPr>
                <w:sz w:val="22"/>
                <w:szCs w:val="22"/>
              </w:rPr>
              <w:t>70:196 (36)</w:t>
            </w:r>
          </w:p>
        </w:tc>
        <w:tc>
          <w:tcPr>
            <w:tcW w:w="2126" w:type="dxa"/>
            <w:tcBorders>
              <w:left w:val="nil"/>
              <w:bottom w:val="nil"/>
            </w:tcBorders>
            <w:shd w:val="clear" w:color="auto" w:fill="auto"/>
          </w:tcPr>
          <w:p w14:paraId="4E9CEB6C" w14:textId="77777777" w:rsidR="005B486D" w:rsidRPr="000D4E5B" w:rsidRDefault="005B486D" w:rsidP="001C4C83">
            <w:pPr>
              <w:pStyle w:val="TableCenter"/>
              <w:rPr>
                <w:sz w:val="22"/>
                <w:szCs w:val="22"/>
                <w:lang w:val="en-US"/>
              </w:rPr>
            </w:pPr>
            <w:r w:rsidRPr="000D4E5B">
              <w:rPr>
                <w:sz w:val="22"/>
                <w:szCs w:val="22"/>
              </w:rPr>
              <w:t>49:99 (50)</w:t>
            </w:r>
          </w:p>
        </w:tc>
      </w:tr>
      <w:tr w:rsidR="005B486D" w:rsidRPr="000D4E5B" w14:paraId="5B7A2CF6" w14:textId="77777777" w:rsidTr="001C4C83">
        <w:tblPrEx>
          <w:tblBorders>
            <w:left w:val="none" w:sz="0" w:space="0" w:color="auto"/>
            <w:right w:val="none" w:sz="0" w:space="0" w:color="auto"/>
          </w:tblBorders>
        </w:tblPrEx>
        <w:tc>
          <w:tcPr>
            <w:tcW w:w="4503" w:type="dxa"/>
            <w:tcBorders>
              <w:top w:val="nil"/>
              <w:bottom w:val="nil"/>
              <w:right w:val="nil"/>
            </w:tcBorders>
            <w:shd w:val="clear" w:color="auto" w:fill="auto"/>
          </w:tcPr>
          <w:p w14:paraId="2D128227" w14:textId="77777777" w:rsidR="005B486D" w:rsidRPr="000D4E5B" w:rsidRDefault="005B486D" w:rsidP="001C4C83">
            <w:pPr>
              <w:pStyle w:val="TableLeft"/>
              <w:rPr>
                <w:sz w:val="22"/>
                <w:szCs w:val="22"/>
                <w:lang w:val="en-US"/>
              </w:rPr>
            </w:pPr>
            <w:r w:rsidRPr="000D4E5B">
              <w:rPr>
                <w:sz w:val="22"/>
                <w:szCs w:val="22"/>
              </w:rPr>
              <w:t>Median time (months)</w:t>
            </w:r>
          </w:p>
        </w:tc>
        <w:tc>
          <w:tcPr>
            <w:tcW w:w="2693" w:type="dxa"/>
            <w:tcBorders>
              <w:top w:val="nil"/>
              <w:left w:val="nil"/>
              <w:bottom w:val="nil"/>
              <w:right w:val="nil"/>
            </w:tcBorders>
            <w:shd w:val="clear" w:color="auto" w:fill="auto"/>
          </w:tcPr>
          <w:p w14:paraId="3A17D2FB" w14:textId="77777777" w:rsidR="005B486D" w:rsidRPr="000D4E5B" w:rsidRDefault="005B486D" w:rsidP="001C4C83">
            <w:pPr>
              <w:pStyle w:val="TableCenter"/>
              <w:rPr>
                <w:sz w:val="22"/>
                <w:szCs w:val="22"/>
                <w:lang w:val="en-US"/>
              </w:rPr>
            </w:pPr>
            <w:r w:rsidRPr="000D4E5B">
              <w:rPr>
                <w:sz w:val="22"/>
                <w:szCs w:val="22"/>
              </w:rPr>
              <w:t>NR</w:t>
            </w:r>
          </w:p>
        </w:tc>
        <w:tc>
          <w:tcPr>
            <w:tcW w:w="2126" w:type="dxa"/>
            <w:tcBorders>
              <w:top w:val="nil"/>
              <w:left w:val="nil"/>
              <w:bottom w:val="nil"/>
            </w:tcBorders>
            <w:shd w:val="clear" w:color="auto" w:fill="auto"/>
          </w:tcPr>
          <w:p w14:paraId="3F05C598" w14:textId="77777777" w:rsidR="005B486D" w:rsidRPr="000D4E5B" w:rsidRDefault="005B486D" w:rsidP="001C4C83">
            <w:pPr>
              <w:pStyle w:val="TableCenter"/>
              <w:rPr>
                <w:sz w:val="22"/>
                <w:szCs w:val="22"/>
                <w:lang w:val="en-US"/>
              </w:rPr>
            </w:pPr>
            <w:r w:rsidRPr="000D4E5B">
              <w:rPr>
                <w:sz w:val="22"/>
                <w:szCs w:val="22"/>
              </w:rPr>
              <w:t>18.4</w:t>
            </w:r>
          </w:p>
        </w:tc>
      </w:tr>
      <w:tr w:rsidR="005B486D" w:rsidRPr="000D4E5B" w14:paraId="67E4E0B9" w14:textId="77777777" w:rsidTr="001C4C83">
        <w:tblPrEx>
          <w:tblBorders>
            <w:left w:val="none" w:sz="0" w:space="0" w:color="auto"/>
            <w:right w:val="none" w:sz="0" w:space="0" w:color="auto"/>
          </w:tblBorders>
        </w:tblPrEx>
        <w:tc>
          <w:tcPr>
            <w:tcW w:w="4503" w:type="dxa"/>
            <w:tcBorders>
              <w:top w:val="nil"/>
              <w:bottom w:val="nil"/>
              <w:right w:val="nil"/>
            </w:tcBorders>
            <w:shd w:val="clear" w:color="auto" w:fill="auto"/>
          </w:tcPr>
          <w:p w14:paraId="791BC3E9" w14:textId="77777777" w:rsidR="005B486D" w:rsidRPr="000D4E5B" w:rsidRDefault="005B486D" w:rsidP="001C4C83">
            <w:pPr>
              <w:pStyle w:val="TableLeft"/>
              <w:rPr>
                <w:sz w:val="22"/>
                <w:szCs w:val="22"/>
                <w:lang w:val="en-US"/>
              </w:rPr>
            </w:pPr>
            <w:r w:rsidRPr="000D4E5B">
              <w:rPr>
                <w:sz w:val="22"/>
                <w:szCs w:val="22"/>
              </w:rPr>
              <w:t xml:space="preserve">HR (95% CI) </w:t>
            </w:r>
            <w:r w:rsidRPr="000D4E5B">
              <w:rPr>
                <w:sz w:val="22"/>
                <w:szCs w:val="22"/>
                <w:vertAlign w:val="superscript"/>
              </w:rPr>
              <w:t>a</w:t>
            </w:r>
          </w:p>
        </w:tc>
        <w:tc>
          <w:tcPr>
            <w:tcW w:w="2693" w:type="dxa"/>
            <w:tcBorders>
              <w:top w:val="nil"/>
              <w:left w:val="nil"/>
              <w:bottom w:val="nil"/>
              <w:right w:val="nil"/>
            </w:tcBorders>
            <w:shd w:val="clear" w:color="auto" w:fill="auto"/>
          </w:tcPr>
          <w:p w14:paraId="3937CD16" w14:textId="77777777" w:rsidR="005B486D" w:rsidRPr="000D4E5B" w:rsidRDefault="005B486D" w:rsidP="001C4C83">
            <w:pPr>
              <w:pStyle w:val="TableCenter"/>
              <w:rPr>
                <w:sz w:val="22"/>
                <w:szCs w:val="22"/>
                <w:lang w:val="en-US"/>
              </w:rPr>
            </w:pPr>
            <w:r w:rsidRPr="000D4E5B">
              <w:rPr>
                <w:sz w:val="22"/>
                <w:szCs w:val="22"/>
              </w:rPr>
              <w:t>0.50 (0.34-0.72)</w:t>
            </w:r>
          </w:p>
        </w:tc>
        <w:tc>
          <w:tcPr>
            <w:tcW w:w="2126" w:type="dxa"/>
            <w:tcBorders>
              <w:top w:val="nil"/>
              <w:left w:val="nil"/>
              <w:bottom w:val="nil"/>
            </w:tcBorders>
            <w:shd w:val="clear" w:color="auto" w:fill="auto"/>
          </w:tcPr>
          <w:p w14:paraId="2CC3A02E" w14:textId="77777777" w:rsidR="005B486D" w:rsidRPr="000D4E5B" w:rsidRDefault="005B486D" w:rsidP="001C4C83">
            <w:pPr>
              <w:pStyle w:val="TableCenter"/>
              <w:rPr>
                <w:sz w:val="22"/>
                <w:szCs w:val="22"/>
                <w:lang w:val="en-US"/>
              </w:rPr>
            </w:pPr>
          </w:p>
        </w:tc>
      </w:tr>
      <w:tr w:rsidR="005B486D" w:rsidRPr="000D4E5B" w14:paraId="18112084" w14:textId="77777777" w:rsidTr="001C4C83">
        <w:tblPrEx>
          <w:tblBorders>
            <w:left w:val="none" w:sz="0" w:space="0" w:color="auto"/>
            <w:right w:val="none" w:sz="0" w:space="0" w:color="auto"/>
          </w:tblBorders>
        </w:tblPrEx>
        <w:tc>
          <w:tcPr>
            <w:tcW w:w="4503" w:type="dxa"/>
            <w:tcBorders>
              <w:top w:val="nil"/>
              <w:right w:val="nil"/>
            </w:tcBorders>
            <w:shd w:val="clear" w:color="auto" w:fill="auto"/>
          </w:tcPr>
          <w:p w14:paraId="528DF525" w14:textId="77777777" w:rsidR="005B486D" w:rsidRPr="000D4E5B" w:rsidRDefault="005B486D" w:rsidP="001C4C83">
            <w:pPr>
              <w:pStyle w:val="TableLeft"/>
              <w:rPr>
                <w:sz w:val="22"/>
                <w:szCs w:val="22"/>
                <w:lang w:val="en-US"/>
              </w:rPr>
            </w:pPr>
            <w:r w:rsidRPr="000D4E5B">
              <w:rPr>
                <w:sz w:val="22"/>
                <w:szCs w:val="22"/>
              </w:rPr>
              <w:t>P value (2-sided)</w:t>
            </w:r>
          </w:p>
        </w:tc>
        <w:tc>
          <w:tcPr>
            <w:tcW w:w="2693" w:type="dxa"/>
            <w:tcBorders>
              <w:top w:val="nil"/>
              <w:left w:val="nil"/>
              <w:right w:val="nil"/>
            </w:tcBorders>
            <w:shd w:val="clear" w:color="auto" w:fill="auto"/>
          </w:tcPr>
          <w:p w14:paraId="2B026169" w14:textId="77777777" w:rsidR="005B486D" w:rsidRPr="000D4E5B" w:rsidRDefault="005B486D" w:rsidP="001C4C83">
            <w:pPr>
              <w:pStyle w:val="TableCenter"/>
              <w:rPr>
                <w:sz w:val="22"/>
                <w:szCs w:val="22"/>
                <w:lang w:val="en-US"/>
              </w:rPr>
            </w:pPr>
            <w:r w:rsidRPr="000D4E5B">
              <w:rPr>
                <w:sz w:val="22"/>
                <w:szCs w:val="22"/>
              </w:rPr>
              <w:t>p=0.0002</w:t>
            </w:r>
          </w:p>
        </w:tc>
        <w:tc>
          <w:tcPr>
            <w:tcW w:w="2126" w:type="dxa"/>
            <w:tcBorders>
              <w:top w:val="nil"/>
              <w:left w:val="nil"/>
            </w:tcBorders>
            <w:shd w:val="clear" w:color="auto" w:fill="auto"/>
          </w:tcPr>
          <w:p w14:paraId="155FD23D" w14:textId="77777777" w:rsidR="005B486D" w:rsidRPr="000D4E5B" w:rsidRDefault="005B486D" w:rsidP="001C4C83">
            <w:pPr>
              <w:pStyle w:val="TableCenter"/>
              <w:rPr>
                <w:sz w:val="22"/>
                <w:szCs w:val="22"/>
                <w:lang w:val="en-US"/>
              </w:rPr>
            </w:pPr>
          </w:p>
        </w:tc>
      </w:tr>
      <w:tr w:rsidR="005B486D" w:rsidRPr="000D4E5B" w14:paraId="329A187F"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64191DD3" w14:textId="77777777" w:rsidR="005B486D" w:rsidRPr="000D4E5B" w:rsidRDefault="005B486D" w:rsidP="001C4C83">
            <w:pPr>
              <w:pStyle w:val="TableHead"/>
              <w:jc w:val="left"/>
              <w:rPr>
                <w:sz w:val="22"/>
                <w:szCs w:val="22"/>
              </w:rPr>
            </w:pPr>
            <w:r w:rsidRPr="000D4E5B">
              <w:rPr>
                <w:sz w:val="22"/>
                <w:szCs w:val="22"/>
              </w:rPr>
              <w:t>Interim OS (24% maturity)</w:t>
            </w:r>
          </w:p>
        </w:tc>
      </w:tr>
      <w:tr w:rsidR="005B486D" w:rsidRPr="000D4E5B" w14:paraId="184B7ED9" w14:textId="77777777" w:rsidTr="001C4C83">
        <w:tblPrEx>
          <w:tblBorders>
            <w:left w:val="none" w:sz="0" w:space="0" w:color="auto"/>
            <w:bottom w:val="single" w:sz="12" w:space="0" w:color="auto"/>
            <w:right w:val="none" w:sz="0" w:space="0" w:color="auto"/>
          </w:tblBorders>
        </w:tblPrEx>
        <w:tc>
          <w:tcPr>
            <w:tcW w:w="4503" w:type="dxa"/>
            <w:tcBorders>
              <w:bottom w:val="nil"/>
              <w:right w:val="nil"/>
            </w:tcBorders>
            <w:shd w:val="clear" w:color="auto" w:fill="auto"/>
          </w:tcPr>
          <w:p w14:paraId="5CAA88BE" w14:textId="77777777" w:rsidR="005B486D" w:rsidRPr="000D4E5B" w:rsidRDefault="005B486D" w:rsidP="001C4C83">
            <w:pPr>
              <w:pStyle w:val="TableLeft"/>
              <w:rPr>
                <w:sz w:val="22"/>
                <w:szCs w:val="22"/>
                <w:lang w:val="en-US"/>
              </w:rPr>
            </w:pPr>
            <w:r w:rsidRPr="000D4E5B">
              <w:rPr>
                <w:sz w:val="22"/>
                <w:szCs w:val="22"/>
              </w:rPr>
              <w:t>Number of events: Total number of patients (%)</w:t>
            </w:r>
          </w:p>
        </w:tc>
        <w:tc>
          <w:tcPr>
            <w:tcW w:w="2693" w:type="dxa"/>
            <w:tcBorders>
              <w:left w:val="nil"/>
              <w:bottom w:val="nil"/>
              <w:right w:val="nil"/>
            </w:tcBorders>
            <w:shd w:val="clear" w:color="auto" w:fill="auto"/>
          </w:tcPr>
          <w:p w14:paraId="154CBB3D" w14:textId="77777777" w:rsidR="005B486D" w:rsidRPr="000D4E5B" w:rsidRDefault="005B486D" w:rsidP="001C4C83">
            <w:pPr>
              <w:pStyle w:val="TableCenter"/>
              <w:rPr>
                <w:sz w:val="22"/>
                <w:szCs w:val="22"/>
                <w:lang w:val="en-US"/>
              </w:rPr>
            </w:pPr>
            <w:r w:rsidRPr="000D4E5B">
              <w:rPr>
                <w:sz w:val="22"/>
                <w:szCs w:val="22"/>
                <w:lang w:val="en-US"/>
              </w:rPr>
              <w:t>45:196 (23)</w:t>
            </w:r>
          </w:p>
        </w:tc>
        <w:tc>
          <w:tcPr>
            <w:tcW w:w="2126" w:type="dxa"/>
            <w:tcBorders>
              <w:left w:val="nil"/>
              <w:bottom w:val="nil"/>
            </w:tcBorders>
            <w:shd w:val="clear" w:color="auto" w:fill="auto"/>
          </w:tcPr>
          <w:p w14:paraId="3BB7E150" w14:textId="77777777" w:rsidR="005B486D" w:rsidRPr="000D4E5B" w:rsidRDefault="005B486D" w:rsidP="001C4C83">
            <w:pPr>
              <w:pStyle w:val="TableCenter"/>
              <w:rPr>
                <w:sz w:val="22"/>
                <w:szCs w:val="22"/>
                <w:lang w:val="en-US"/>
              </w:rPr>
            </w:pPr>
            <w:r w:rsidRPr="000D4E5B">
              <w:rPr>
                <w:sz w:val="22"/>
                <w:szCs w:val="22"/>
                <w:lang w:val="en-US"/>
              </w:rPr>
              <w:t>27:99 (27)</w:t>
            </w:r>
            <w:r w:rsidRPr="000D4E5B">
              <w:rPr>
                <w:sz w:val="22"/>
                <w:szCs w:val="22"/>
                <w:vertAlign w:val="superscript"/>
                <w:lang w:val="en-US"/>
              </w:rPr>
              <w:t>b</w:t>
            </w:r>
          </w:p>
        </w:tc>
      </w:tr>
      <w:tr w:rsidR="005B486D" w:rsidRPr="000D4E5B" w14:paraId="305D989A" w14:textId="77777777" w:rsidTr="001C4C83">
        <w:tblPrEx>
          <w:tblBorders>
            <w:left w:val="none" w:sz="0" w:space="0" w:color="auto"/>
            <w:bottom w:val="single" w:sz="12" w:space="0" w:color="auto"/>
            <w:right w:val="none" w:sz="0" w:space="0" w:color="auto"/>
          </w:tblBorders>
        </w:tblPrEx>
        <w:tc>
          <w:tcPr>
            <w:tcW w:w="4503" w:type="dxa"/>
            <w:tcBorders>
              <w:top w:val="nil"/>
              <w:bottom w:val="nil"/>
              <w:right w:val="nil"/>
            </w:tcBorders>
            <w:shd w:val="clear" w:color="auto" w:fill="auto"/>
          </w:tcPr>
          <w:p w14:paraId="234E1AEF" w14:textId="77777777" w:rsidR="005B486D" w:rsidRPr="000D4E5B" w:rsidRDefault="005B486D" w:rsidP="001C4C83">
            <w:pPr>
              <w:pStyle w:val="TableLeft"/>
              <w:rPr>
                <w:sz w:val="22"/>
                <w:szCs w:val="22"/>
                <w:lang w:val="en-US"/>
              </w:rPr>
            </w:pPr>
            <w:r w:rsidRPr="000D4E5B">
              <w:rPr>
                <w:sz w:val="22"/>
                <w:szCs w:val="22"/>
              </w:rPr>
              <w:t>Median time (months)</w:t>
            </w:r>
          </w:p>
        </w:tc>
        <w:tc>
          <w:tcPr>
            <w:tcW w:w="2693" w:type="dxa"/>
            <w:tcBorders>
              <w:top w:val="nil"/>
              <w:left w:val="nil"/>
              <w:bottom w:val="nil"/>
              <w:right w:val="nil"/>
            </w:tcBorders>
            <w:shd w:val="clear" w:color="auto" w:fill="auto"/>
          </w:tcPr>
          <w:p w14:paraId="066BFCF9" w14:textId="77777777" w:rsidR="005B486D" w:rsidRPr="000D4E5B" w:rsidRDefault="005B486D" w:rsidP="001C4C83">
            <w:pPr>
              <w:pStyle w:val="TableCenter"/>
              <w:rPr>
                <w:sz w:val="22"/>
                <w:szCs w:val="22"/>
                <w:lang w:val="en-US"/>
              </w:rPr>
            </w:pPr>
            <w:r w:rsidRPr="000D4E5B">
              <w:rPr>
                <w:sz w:val="22"/>
                <w:szCs w:val="22"/>
                <w:lang w:val="en-US"/>
              </w:rPr>
              <w:t>NR</w:t>
            </w:r>
          </w:p>
        </w:tc>
        <w:tc>
          <w:tcPr>
            <w:tcW w:w="2126" w:type="dxa"/>
            <w:tcBorders>
              <w:top w:val="nil"/>
              <w:left w:val="nil"/>
              <w:bottom w:val="nil"/>
            </w:tcBorders>
            <w:shd w:val="clear" w:color="auto" w:fill="auto"/>
          </w:tcPr>
          <w:p w14:paraId="77D48E22" w14:textId="77777777" w:rsidR="005B486D" w:rsidRPr="000D4E5B" w:rsidRDefault="005B486D" w:rsidP="001C4C83">
            <w:pPr>
              <w:pStyle w:val="TableCenter"/>
              <w:rPr>
                <w:sz w:val="22"/>
                <w:szCs w:val="22"/>
                <w:lang w:val="en-US"/>
              </w:rPr>
            </w:pPr>
            <w:r w:rsidRPr="000D4E5B">
              <w:rPr>
                <w:sz w:val="22"/>
                <w:szCs w:val="22"/>
                <w:lang w:val="en-US"/>
              </w:rPr>
              <w:t>NR</w:t>
            </w:r>
          </w:p>
        </w:tc>
      </w:tr>
      <w:tr w:rsidR="005B486D" w:rsidRPr="000D4E5B" w14:paraId="274D13EB" w14:textId="77777777" w:rsidTr="001C4C83">
        <w:tblPrEx>
          <w:tblBorders>
            <w:left w:val="none" w:sz="0" w:space="0" w:color="auto"/>
            <w:bottom w:val="single" w:sz="12" w:space="0" w:color="auto"/>
            <w:right w:val="none" w:sz="0" w:space="0" w:color="auto"/>
          </w:tblBorders>
        </w:tblPrEx>
        <w:tc>
          <w:tcPr>
            <w:tcW w:w="4503" w:type="dxa"/>
            <w:tcBorders>
              <w:top w:val="nil"/>
              <w:bottom w:val="nil"/>
              <w:right w:val="nil"/>
            </w:tcBorders>
            <w:shd w:val="clear" w:color="auto" w:fill="auto"/>
          </w:tcPr>
          <w:p w14:paraId="11B4154E" w14:textId="77777777" w:rsidR="005B486D" w:rsidRPr="000D4E5B" w:rsidRDefault="005B486D" w:rsidP="001C4C83">
            <w:pPr>
              <w:pStyle w:val="TableLeft"/>
              <w:rPr>
                <w:sz w:val="22"/>
                <w:szCs w:val="22"/>
                <w:lang w:val="en-US"/>
              </w:rPr>
            </w:pPr>
            <w:r w:rsidRPr="000D4E5B">
              <w:rPr>
                <w:sz w:val="22"/>
                <w:szCs w:val="22"/>
              </w:rPr>
              <w:t xml:space="preserve">HR (95% CI) </w:t>
            </w:r>
            <w:r w:rsidRPr="000D4E5B">
              <w:rPr>
                <w:sz w:val="22"/>
                <w:szCs w:val="22"/>
                <w:vertAlign w:val="superscript"/>
              </w:rPr>
              <w:t>a</w:t>
            </w:r>
          </w:p>
        </w:tc>
        <w:tc>
          <w:tcPr>
            <w:tcW w:w="2693" w:type="dxa"/>
            <w:tcBorders>
              <w:top w:val="nil"/>
              <w:left w:val="nil"/>
              <w:bottom w:val="nil"/>
              <w:right w:val="nil"/>
            </w:tcBorders>
            <w:shd w:val="clear" w:color="auto" w:fill="auto"/>
          </w:tcPr>
          <w:p w14:paraId="44A1FE25" w14:textId="77777777" w:rsidR="005B486D" w:rsidRPr="000D4E5B" w:rsidRDefault="005B486D" w:rsidP="001C4C83">
            <w:pPr>
              <w:pStyle w:val="TableCenter"/>
              <w:rPr>
                <w:sz w:val="22"/>
                <w:szCs w:val="22"/>
                <w:lang w:val="en-US"/>
              </w:rPr>
            </w:pPr>
            <w:r w:rsidRPr="000D4E5B">
              <w:rPr>
                <w:sz w:val="22"/>
                <w:szCs w:val="22"/>
              </w:rPr>
              <w:t>0.80 (0.50-1.31)</w:t>
            </w:r>
          </w:p>
        </w:tc>
        <w:tc>
          <w:tcPr>
            <w:tcW w:w="2126" w:type="dxa"/>
            <w:tcBorders>
              <w:top w:val="nil"/>
              <w:left w:val="nil"/>
              <w:bottom w:val="nil"/>
            </w:tcBorders>
            <w:shd w:val="clear" w:color="auto" w:fill="auto"/>
          </w:tcPr>
          <w:p w14:paraId="159F9CBF" w14:textId="77777777" w:rsidR="005B486D" w:rsidRPr="000D4E5B" w:rsidRDefault="005B486D" w:rsidP="001C4C83">
            <w:pPr>
              <w:pStyle w:val="TableCenter"/>
              <w:rPr>
                <w:sz w:val="22"/>
                <w:szCs w:val="22"/>
                <w:lang w:val="en-US"/>
              </w:rPr>
            </w:pPr>
          </w:p>
        </w:tc>
      </w:tr>
      <w:tr w:rsidR="005B486D" w:rsidRPr="000D4E5B" w14:paraId="7967B2CF" w14:textId="77777777" w:rsidTr="008E4B4E">
        <w:tblPrEx>
          <w:tblBorders>
            <w:left w:val="none" w:sz="0" w:space="0" w:color="auto"/>
            <w:bottom w:val="single" w:sz="12" w:space="0" w:color="auto"/>
            <w:right w:val="none" w:sz="0" w:space="0" w:color="auto"/>
          </w:tblBorders>
        </w:tblPrEx>
        <w:tc>
          <w:tcPr>
            <w:tcW w:w="4503" w:type="dxa"/>
            <w:tcBorders>
              <w:top w:val="nil"/>
              <w:bottom w:val="single" w:sz="8" w:space="0" w:color="auto"/>
              <w:right w:val="nil"/>
            </w:tcBorders>
            <w:shd w:val="clear" w:color="auto" w:fill="auto"/>
          </w:tcPr>
          <w:p w14:paraId="5301F19E" w14:textId="77777777" w:rsidR="005B486D" w:rsidRPr="000D4E5B" w:rsidRDefault="005B486D" w:rsidP="001C4C83">
            <w:pPr>
              <w:pStyle w:val="TableLeft"/>
              <w:rPr>
                <w:sz w:val="22"/>
                <w:szCs w:val="22"/>
                <w:lang w:val="en-US"/>
              </w:rPr>
            </w:pPr>
            <w:r w:rsidRPr="000D4E5B">
              <w:rPr>
                <w:sz w:val="22"/>
                <w:szCs w:val="22"/>
              </w:rPr>
              <w:t>P value (2-sided)</w:t>
            </w:r>
          </w:p>
        </w:tc>
        <w:tc>
          <w:tcPr>
            <w:tcW w:w="2693" w:type="dxa"/>
            <w:tcBorders>
              <w:top w:val="nil"/>
              <w:left w:val="nil"/>
              <w:bottom w:val="single" w:sz="8" w:space="0" w:color="auto"/>
              <w:right w:val="nil"/>
            </w:tcBorders>
            <w:shd w:val="clear" w:color="auto" w:fill="auto"/>
          </w:tcPr>
          <w:p w14:paraId="0C9F0CAC" w14:textId="77777777" w:rsidR="005B486D" w:rsidRPr="000D4E5B" w:rsidRDefault="005B486D" w:rsidP="001C4C83">
            <w:pPr>
              <w:pStyle w:val="TableCenter"/>
              <w:rPr>
                <w:sz w:val="22"/>
                <w:szCs w:val="22"/>
                <w:lang w:val="en-US"/>
              </w:rPr>
            </w:pPr>
            <w:r w:rsidRPr="000D4E5B">
              <w:rPr>
                <w:sz w:val="22"/>
                <w:szCs w:val="22"/>
              </w:rPr>
              <w:t>p=0.4267</w:t>
            </w:r>
          </w:p>
        </w:tc>
        <w:tc>
          <w:tcPr>
            <w:tcW w:w="2126" w:type="dxa"/>
            <w:tcBorders>
              <w:top w:val="nil"/>
              <w:left w:val="nil"/>
              <w:bottom w:val="single" w:sz="8" w:space="0" w:color="auto"/>
            </w:tcBorders>
            <w:shd w:val="clear" w:color="auto" w:fill="auto"/>
          </w:tcPr>
          <w:p w14:paraId="4CB5E6E5" w14:textId="77777777" w:rsidR="005B486D" w:rsidRPr="000D4E5B" w:rsidRDefault="005B486D" w:rsidP="001C4C83">
            <w:pPr>
              <w:pStyle w:val="TableCenter"/>
              <w:rPr>
                <w:sz w:val="22"/>
                <w:szCs w:val="22"/>
                <w:lang w:val="en-US"/>
              </w:rPr>
            </w:pPr>
          </w:p>
        </w:tc>
      </w:tr>
      <w:tr w:rsidR="005B486D" w:rsidRPr="000D4E5B" w14:paraId="3003674E" w14:textId="77777777" w:rsidTr="008E4B4E">
        <w:tblPrEx>
          <w:tblBorders>
            <w:top w:val="single" w:sz="8"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bottom w:val="single" w:sz="8" w:space="0" w:color="auto"/>
            </w:tcBorders>
            <w:shd w:val="clear" w:color="auto" w:fill="E0E0E0"/>
            <w:tcMar>
              <w:top w:w="0" w:type="dxa"/>
              <w:left w:w="108" w:type="dxa"/>
              <w:bottom w:w="0" w:type="dxa"/>
              <w:right w:w="108" w:type="dxa"/>
            </w:tcMar>
            <w:hideMark/>
          </w:tcPr>
          <w:p w14:paraId="1A43A451" w14:textId="77777777" w:rsidR="005B486D" w:rsidRPr="000D4E5B" w:rsidRDefault="005B486D" w:rsidP="001C4C83">
            <w:pPr>
              <w:pStyle w:val="TableHead"/>
              <w:jc w:val="left"/>
              <w:rPr>
                <w:sz w:val="22"/>
                <w:szCs w:val="22"/>
              </w:rPr>
            </w:pPr>
            <w:r w:rsidRPr="000D4E5B">
              <w:rPr>
                <w:sz w:val="22"/>
                <w:szCs w:val="22"/>
              </w:rPr>
              <w:t>TFST</w:t>
            </w:r>
          </w:p>
        </w:tc>
      </w:tr>
      <w:tr w:rsidR="005B486D" w:rsidRPr="000D4E5B" w14:paraId="6D592493" w14:textId="77777777" w:rsidTr="008E4B4E">
        <w:tc>
          <w:tcPr>
            <w:tcW w:w="4503" w:type="dxa"/>
            <w:tcBorders>
              <w:top w:val="single" w:sz="8" w:space="0" w:color="auto"/>
              <w:left w:val="nil"/>
              <w:bottom w:val="nil"/>
              <w:right w:val="nil"/>
            </w:tcBorders>
            <w:shd w:val="clear" w:color="auto" w:fill="auto"/>
            <w:vAlign w:val="center"/>
          </w:tcPr>
          <w:p w14:paraId="0D9EF7CD" w14:textId="77777777" w:rsidR="005B486D" w:rsidRPr="000D4E5B" w:rsidRDefault="005B486D" w:rsidP="001C4C83">
            <w:pPr>
              <w:pStyle w:val="TableLeft"/>
              <w:rPr>
                <w:sz w:val="22"/>
                <w:szCs w:val="22"/>
              </w:rPr>
            </w:pPr>
            <w:r w:rsidRPr="000D4E5B">
              <w:rPr>
                <w:sz w:val="22"/>
                <w:szCs w:val="22"/>
              </w:rPr>
              <w:t>Number of events: Total number of patients (%)</w:t>
            </w:r>
          </w:p>
        </w:tc>
        <w:tc>
          <w:tcPr>
            <w:tcW w:w="2693" w:type="dxa"/>
            <w:tcBorders>
              <w:top w:val="single" w:sz="8" w:space="0" w:color="auto"/>
              <w:left w:val="nil"/>
              <w:bottom w:val="nil"/>
              <w:right w:val="nil"/>
            </w:tcBorders>
            <w:shd w:val="clear" w:color="auto" w:fill="auto"/>
            <w:vAlign w:val="center"/>
          </w:tcPr>
          <w:p w14:paraId="26952C7F" w14:textId="77777777" w:rsidR="005B486D" w:rsidRPr="000D4E5B" w:rsidRDefault="005B486D" w:rsidP="001C4C83">
            <w:pPr>
              <w:pStyle w:val="TableCenter"/>
              <w:rPr>
                <w:sz w:val="22"/>
                <w:szCs w:val="22"/>
              </w:rPr>
            </w:pPr>
            <w:r w:rsidRPr="000D4E5B">
              <w:rPr>
                <w:sz w:val="22"/>
                <w:szCs w:val="22"/>
              </w:rPr>
              <w:t>92:196 (47)</w:t>
            </w:r>
          </w:p>
        </w:tc>
        <w:tc>
          <w:tcPr>
            <w:tcW w:w="2126" w:type="dxa"/>
            <w:tcBorders>
              <w:top w:val="single" w:sz="8" w:space="0" w:color="auto"/>
              <w:left w:val="nil"/>
              <w:bottom w:val="nil"/>
              <w:right w:val="nil"/>
            </w:tcBorders>
            <w:shd w:val="clear" w:color="auto" w:fill="auto"/>
            <w:vAlign w:val="center"/>
          </w:tcPr>
          <w:p w14:paraId="43D8C061" w14:textId="77777777" w:rsidR="005B486D" w:rsidRPr="000D4E5B" w:rsidRDefault="005B486D" w:rsidP="001C4C83">
            <w:pPr>
              <w:pStyle w:val="TableCenter"/>
              <w:rPr>
                <w:sz w:val="22"/>
                <w:szCs w:val="22"/>
                <w:lang w:val="en-US"/>
              </w:rPr>
            </w:pPr>
            <w:r w:rsidRPr="000D4E5B">
              <w:rPr>
                <w:sz w:val="22"/>
                <w:szCs w:val="22"/>
              </w:rPr>
              <w:t>79:99 (80)</w:t>
            </w:r>
          </w:p>
        </w:tc>
      </w:tr>
      <w:tr w:rsidR="005B486D" w:rsidRPr="000D4E5B" w14:paraId="70D4A52F" w14:textId="77777777" w:rsidTr="001C4C83">
        <w:tc>
          <w:tcPr>
            <w:tcW w:w="4503" w:type="dxa"/>
            <w:tcBorders>
              <w:top w:val="nil"/>
              <w:left w:val="nil"/>
              <w:bottom w:val="nil"/>
              <w:right w:val="nil"/>
            </w:tcBorders>
            <w:shd w:val="clear" w:color="auto" w:fill="auto"/>
            <w:vAlign w:val="center"/>
          </w:tcPr>
          <w:p w14:paraId="0FDD055B" w14:textId="77777777" w:rsidR="005B486D" w:rsidRPr="000D4E5B" w:rsidRDefault="005B486D" w:rsidP="001C4C83">
            <w:pPr>
              <w:pStyle w:val="TableLeft"/>
              <w:rPr>
                <w:sz w:val="22"/>
                <w:szCs w:val="22"/>
              </w:rPr>
            </w:pPr>
            <w:r w:rsidRPr="000D4E5B">
              <w:rPr>
                <w:sz w:val="22"/>
                <w:szCs w:val="22"/>
              </w:rPr>
              <w:t>Median time (months)</w:t>
            </w:r>
          </w:p>
        </w:tc>
        <w:tc>
          <w:tcPr>
            <w:tcW w:w="2693" w:type="dxa"/>
            <w:tcBorders>
              <w:top w:val="nil"/>
              <w:left w:val="nil"/>
              <w:bottom w:val="nil"/>
              <w:right w:val="nil"/>
            </w:tcBorders>
            <w:shd w:val="clear" w:color="auto" w:fill="auto"/>
            <w:vAlign w:val="center"/>
          </w:tcPr>
          <w:p w14:paraId="2D23218B" w14:textId="77777777" w:rsidR="005B486D" w:rsidRPr="000D4E5B" w:rsidRDefault="005B486D" w:rsidP="001C4C83">
            <w:pPr>
              <w:pStyle w:val="TableCenter"/>
              <w:rPr>
                <w:sz w:val="22"/>
                <w:szCs w:val="22"/>
              </w:rPr>
            </w:pPr>
            <w:r w:rsidRPr="000D4E5B">
              <w:rPr>
                <w:sz w:val="22"/>
                <w:szCs w:val="22"/>
              </w:rPr>
              <w:t>27.9</w:t>
            </w:r>
          </w:p>
        </w:tc>
        <w:tc>
          <w:tcPr>
            <w:tcW w:w="2126" w:type="dxa"/>
            <w:tcBorders>
              <w:top w:val="nil"/>
              <w:left w:val="nil"/>
              <w:bottom w:val="nil"/>
              <w:right w:val="nil"/>
            </w:tcBorders>
            <w:shd w:val="clear" w:color="auto" w:fill="auto"/>
            <w:vAlign w:val="center"/>
          </w:tcPr>
          <w:p w14:paraId="37CA8ECA" w14:textId="77777777" w:rsidR="005B486D" w:rsidRPr="000D4E5B" w:rsidRDefault="005B486D" w:rsidP="001C4C83">
            <w:pPr>
              <w:pStyle w:val="TableCenter"/>
              <w:rPr>
                <w:sz w:val="22"/>
                <w:szCs w:val="22"/>
                <w:lang w:val="en-US"/>
              </w:rPr>
            </w:pPr>
            <w:r w:rsidRPr="000D4E5B">
              <w:rPr>
                <w:sz w:val="22"/>
                <w:szCs w:val="22"/>
              </w:rPr>
              <w:t>7.1</w:t>
            </w:r>
          </w:p>
        </w:tc>
      </w:tr>
      <w:tr w:rsidR="005B486D" w:rsidRPr="000D4E5B" w14:paraId="64122844" w14:textId="77777777" w:rsidTr="001C4C83">
        <w:tc>
          <w:tcPr>
            <w:tcW w:w="4503" w:type="dxa"/>
            <w:tcBorders>
              <w:top w:val="nil"/>
              <w:left w:val="nil"/>
              <w:bottom w:val="nil"/>
              <w:right w:val="nil"/>
            </w:tcBorders>
            <w:shd w:val="clear" w:color="auto" w:fill="auto"/>
            <w:vAlign w:val="center"/>
          </w:tcPr>
          <w:p w14:paraId="28D1F90E" w14:textId="77777777" w:rsidR="005B486D" w:rsidRPr="000D4E5B" w:rsidRDefault="005B486D" w:rsidP="001C4C83">
            <w:pPr>
              <w:pStyle w:val="TableLeft"/>
              <w:rPr>
                <w:sz w:val="22"/>
                <w:szCs w:val="22"/>
              </w:rPr>
            </w:pPr>
            <w:r w:rsidRPr="000D4E5B">
              <w:rPr>
                <w:sz w:val="22"/>
                <w:szCs w:val="22"/>
              </w:rPr>
              <w:t xml:space="preserve">HR (95% CI) </w:t>
            </w:r>
            <w:r w:rsidRPr="000D4E5B">
              <w:rPr>
                <w:sz w:val="22"/>
                <w:szCs w:val="22"/>
                <w:vertAlign w:val="superscript"/>
              </w:rPr>
              <w:t>a</w:t>
            </w:r>
          </w:p>
        </w:tc>
        <w:tc>
          <w:tcPr>
            <w:tcW w:w="2693" w:type="dxa"/>
            <w:tcBorders>
              <w:top w:val="nil"/>
              <w:left w:val="nil"/>
              <w:bottom w:val="nil"/>
              <w:right w:val="nil"/>
            </w:tcBorders>
            <w:shd w:val="clear" w:color="auto" w:fill="auto"/>
            <w:vAlign w:val="center"/>
          </w:tcPr>
          <w:p w14:paraId="1A4C6707" w14:textId="77777777" w:rsidR="005B486D" w:rsidRPr="000D4E5B" w:rsidRDefault="005B486D" w:rsidP="001C4C83">
            <w:pPr>
              <w:pStyle w:val="TableCenter"/>
              <w:rPr>
                <w:sz w:val="22"/>
                <w:szCs w:val="22"/>
              </w:rPr>
            </w:pPr>
            <w:r w:rsidRPr="000D4E5B">
              <w:rPr>
                <w:sz w:val="22"/>
                <w:szCs w:val="22"/>
              </w:rPr>
              <w:t>0.28 (0.21-0.38)</w:t>
            </w:r>
          </w:p>
        </w:tc>
        <w:tc>
          <w:tcPr>
            <w:tcW w:w="2126" w:type="dxa"/>
            <w:tcBorders>
              <w:top w:val="nil"/>
              <w:left w:val="nil"/>
              <w:bottom w:val="nil"/>
              <w:right w:val="nil"/>
            </w:tcBorders>
            <w:shd w:val="clear" w:color="auto" w:fill="auto"/>
            <w:vAlign w:val="center"/>
          </w:tcPr>
          <w:p w14:paraId="00194253" w14:textId="77777777" w:rsidR="005B486D" w:rsidRPr="000D4E5B" w:rsidRDefault="005B486D" w:rsidP="001C4C83">
            <w:pPr>
              <w:pStyle w:val="TableCenter"/>
              <w:rPr>
                <w:sz w:val="22"/>
                <w:szCs w:val="22"/>
                <w:lang w:val="en-US"/>
              </w:rPr>
            </w:pPr>
          </w:p>
        </w:tc>
      </w:tr>
      <w:tr w:rsidR="005B486D" w:rsidRPr="000D4E5B" w14:paraId="4CF104A3" w14:textId="77777777" w:rsidTr="008E4B4E">
        <w:tc>
          <w:tcPr>
            <w:tcW w:w="4503" w:type="dxa"/>
            <w:tcBorders>
              <w:top w:val="nil"/>
              <w:left w:val="nil"/>
              <w:bottom w:val="single" w:sz="8" w:space="0" w:color="auto"/>
              <w:right w:val="nil"/>
            </w:tcBorders>
            <w:shd w:val="clear" w:color="auto" w:fill="auto"/>
            <w:vAlign w:val="center"/>
          </w:tcPr>
          <w:p w14:paraId="279FA8CD" w14:textId="77777777" w:rsidR="005B486D" w:rsidRPr="000D4E5B" w:rsidRDefault="005B486D" w:rsidP="001C4C83">
            <w:pPr>
              <w:pStyle w:val="TableLeft"/>
              <w:rPr>
                <w:sz w:val="22"/>
                <w:szCs w:val="22"/>
              </w:rPr>
            </w:pPr>
            <w:r w:rsidRPr="000D4E5B">
              <w:rPr>
                <w:sz w:val="22"/>
                <w:szCs w:val="22"/>
              </w:rPr>
              <w:t>P value* (2-sided)</w:t>
            </w:r>
          </w:p>
        </w:tc>
        <w:tc>
          <w:tcPr>
            <w:tcW w:w="2693" w:type="dxa"/>
            <w:tcBorders>
              <w:top w:val="nil"/>
              <w:left w:val="nil"/>
              <w:bottom w:val="single" w:sz="8" w:space="0" w:color="auto"/>
              <w:right w:val="nil"/>
            </w:tcBorders>
            <w:shd w:val="clear" w:color="auto" w:fill="auto"/>
            <w:vAlign w:val="center"/>
          </w:tcPr>
          <w:p w14:paraId="331B7765" w14:textId="77777777" w:rsidR="005B486D" w:rsidRPr="000D4E5B" w:rsidRDefault="005B486D" w:rsidP="001C4C83">
            <w:pPr>
              <w:pStyle w:val="TableCenter"/>
              <w:rPr>
                <w:sz w:val="22"/>
                <w:szCs w:val="22"/>
              </w:rPr>
            </w:pPr>
            <w:r w:rsidRPr="000D4E5B">
              <w:rPr>
                <w:sz w:val="22"/>
                <w:szCs w:val="22"/>
              </w:rPr>
              <w:t>p&lt;0.0001</w:t>
            </w:r>
          </w:p>
        </w:tc>
        <w:tc>
          <w:tcPr>
            <w:tcW w:w="2126" w:type="dxa"/>
            <w:tcBorders>
              <w:top w:val="nil"/>
              <w:left w:val="nil"/>
              <w:bottom w:val="single" w:sz="8" w:space="0" w:color="auto"/>
              <w:right w:val="nil"/>
            </w:tcBorders>
            <w:shd w:val="clear" w:color="auto" w:fill="auto"/>
            <w:vAlign w:val="center"/>
          </w:tcPr>
          <w:p w14:paraId="3FC03D00" w14:textId="77777777" w:rsidR="005B486D" w:rsidRPr="000D4E5B" w:rsidRDefault="005B486D" w:rsidP="001C4C83">
            <w:pPr>
              <w:pStyle w:val="TableCenter"/>
              <w:rPr>
                <w:sz w:val="22"/>
                <w:szCs w:val="22"/>
                <w:lang w:val="en-US"/>
              </w:rPr>
            </w:pPr>
          </w:p>
        </w:tc>
      </w:tr>
      <w:tr w:rsidR="005B486D" w:rsidRPr="000D4E5B" w14:paraId="562B700F" w14:textId="77777777" w:rsidTr="008E4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bottom w:val="single" w:sz="8" w:space="0" w:color="auto"/>
            </w:tcBorders>
            <w:shd w:val="clear" w:color="auto" w:fill="D9D9D9"/>
            <w:tcMar>
              <w:top w:w="0" w:type="dxa"/>
              <w:left w:w="108" w:type="dxa"/>
              <w:bottom w:w="0" w:type="dxa"/>
              <w:right w:w="108" w:type="dxa"/>
            </w:tcMar>
          </w:tcPr>
          <w:p w14:paraId="554BC0AC" w14:textId="77777777" w:rsidR="005B486D" w:rsidRPr="000D4E5B" w:rsidRDefault="005B486D" w:rsidP="001C4C83">
            <w:pPr>
              <w:pStyle w:val="TableHead"/>
              <w:jc w:val="left"/>
              <w:rPr>
                <w:sz w:val="22"/>
                <w:szCs w:val="22"/>
              </w:rPr>
            </w:pPr>
            <w:r w:rsidRPr="000D4E5B">
              <w:rPr>
                <w:sz w:val="22"/>
                <w:szCs w:val="22"/>
              </w:rPr>
              <w:t>TDT</w:t>
            </w:r>
          </w:p>
        </w:tc>
      </w:tr>
      <w:tr w:rsidR="005B486D" w:rsidRPr="000D4E5B" w14:paraId="59500319" w14:textId="77777777" w:rsidTr="008E4B4E">
        <w:tc>
          <w:tcPr>
            <w:tcW w:w="4503" w:type="dxa"/>
            <w:tcBorders>
              <w:top w:val="single" w:sz="8" w:space="0" w:color="auto"/>
              <w:left w:val="nil"/>
              <w:bottom w:val="nil"/>
              <w:right w:val="nil"/>
            </w:tcBorders>
            <w:shd w:val="clear" w:color="auto" w:fill="auto"/>
          </w:tcPr>
          <w:p w14:paraId="5B76C6AA" w14:textId="77777777" w:rsidR="005B486D" w:rsidRPr="000D4E5B" w:rsidRDefault="005B486D" w:rsidP="001C4C83">
            <w:pPr>
              <w:pStyle w:val="TableLeft"/>
              <w:rPr>
                <w:sz w:val="22"/>
                <w:szCs w:val="22"/>
                <w:lang w:val="en-US"/>
              </w:rPr>
            </w:pPr>
            <w:r w:rsidRPr="000D4E5B">
              <w:rPr>
                <w:sz w:val="22"/>
                <w:szCs w:val="22"/>
              </w:rPr>
              <w:t>Number of events: Total number of patients (%)</w:t>
            </w:r>
          </w:p>
        </w:tc>
        <w:tc>
          <w:tcPr>
            <w:tcW w:w="2693" w:type="dxa"/>
            <w:tcBorders>
              <w:top w:val="single" w:sz="8" w:space="0" w:color="auto"/>
              <w:left w:val="nil"/>
              <w:bottom w:val="nil"/>
              <w:right w:val="nil"/>
            </w:tcBorders>
            <w:shd w:val="clear" w:color="auto" w:fill="auto"/>
          </w:tcPr>
          <w:p w14:paraId="76B05214" w14:textId="77777777" w:rsidR="005B486D" w:rsidRPr="000D4E5B" w:rsidRDefault="005B486D" w:rsidP="001C4C83">
            <w:pPr>
              <w:pStyle w:val="TableCenter"/>
              <w:rPr>
                <w:sz w:val="22"/>
                <w:szCs w:val="22"/>
                <w:lang w:val="en-US"/>
              </w:rPr>
            </w:pPr>
            <w:r w:rsidRPr="000D4E5B">
              <w:rPr>
                <w:sz w:val="22"/>
                <w:szCs w:val="22"/>
              </w:rPr>
              <w:t>112:196 (57)</w:t>
            </w:r>
          </w:p>
        </w:tc>
        <w:tc>
          <w:tcPr>
            <w:tcW w:w="2126" w:type="dxa"/>
            <w:tcBorders>
              <w:top w:val="single" w:sz="8" w:space="0" w:color="auto"/>
              <w:left w:val="nil"/>
              <w:bottom w:val="nil"/>
              <w:right w:val="nil"/>
            </w:tcBorders>
            <w:shd w:val="clear" w:color="auto" w:fill="auto"/>
          </w:tcPr>
          <w:p w14:paraId="6549BFCD" w14:textId="77777777" w:rsidR="005B486D" w:rsidRPr="000D4E5B" w:rsidRDefault="005B486D" w:rsidP="001C4C83">
            <w:pPr>
              <w:pStyle w:val="TableCenter"/>
              <w:rPr>
                <w:sz w:val="22"/>
                <w:szCs w:val="22"/>
                <w:lang w:val="en-US"/>
              </w:rPr>
            </w:pPr>
            <w:r w:rsidRPr="000D4E5B">
              <w:rPr>
                <w:sz w:val="22"/>
                <w:szCs w:val="22"/>
              </w:rPr>
              <w:t>86:99 (87)</w:t>
            </w:r>
          </w:p>
        </w:tc>
      </w:tr>
      <w:tr w:rsidR="005B486D" w:rsidRPr="000D4E5B" w14:paraId="4BEC70C7" w14:textId="77777777" w:rsidTr="001C4C83">
        <w:tc>
          <w:tcPr>
            <w:tcW w:w="4503" w:type="dxa"/>
            <w:tcBorders>
              <w:top w:val="nil"/>
              <w:left w:val="nil"/>
              <w:bottom w:val="nil"/>
              <w:right w:val="nil"/>
            </w:tcBorders>
            <w:shd w:val="clear" w:color="auto" w:fill="auto"/>
          </w:tcPr>
          <w:p w14:paraId="6D93B7F0" w14:textId="77777777" w:rsidR="005B486D" w:rsidRPr="000D4E5B" w:rsidRDefault="005B486D" w:rsidP="001C4C83">
            <w:pPr>
              <w:pStyle w:val="TableLeft"/>
              <w:rPr>
                <w:sz w:val="22"/>
                <w:szCs w:val="22"/>
                <w:lang w:val="en-US"/>
              </w:rPr>
            </w:pPr>
            <w:r w:rsidRPr="000D4E5B">
              <w:rPr>
                <w:sz w:val="22"/>
                <w:szCs w:val="22"/>
              </w:rPr>
              <w:t>Median time (months)</w:t>
            </w:r>
          </w:p>
        </w:tc>
        <w:tc>
          <w:tcPr>
            <w:tcW w:w="2693" w:type="dxa"/>
            <w:tcBorders>
              <w:top w:val="nil"/>
              <w:left w:val="nil"/>
              <w:bottom w:val="nil"/>
              <w:right w:val="nil"/>
            </w:tcBorders>
            <w:shd w:val="clear" w:color="auto" w:fill="auto"/>
          </w:tcPr>
          <w:p w14:paraId="57045491" w14:textId="77777777" w:rsidR="005B486D" w:rsidRPr="000D4E5B" w:rsidRDefault="005B486D" w:rsidP="001C4C83">
            <w:pPr>
              <w:pStyle w:val="TableCenter"/>
              <w:rPr>
                <w:sz w:val="22"/>
                <w:szCs w:val="22"/>
                <w:lang w:val="en-US"/>
              </w:rPr>
            </w:pPr>
            <w:r w:rsidRPr="000D4E5B">
              <w:rPr>
                <w:sz w:val="22"/>
                <w:szCs w:val="22"/>
              </w:rPr>
              <w:t>19.4</w:t>
            </w:r>
          </w:p>
        </w:tc>
        <w:tc>
          <w:tcPr>
            <w:tcW w:w="2126" w:type="dxa"/>
            <w:tcBorders>
              <w:top w:val="nil"/>
              <w:left w:val="nil"/>
              <w:bottom w:val="nil"/>
              <w:right w:val="nil"/>
            </w:tcBorders>
            <w:shd w:val="clear" w:color="auto" w:fill="auto"/>
          </w:tcPr>
          <w:p w14:paraId="5C2D2B8C" w14:textId="77777777" w:rsidR="005B486D" w:rsidRPr="000D4E5B" w:rsidRDefault="005B486D" w:rsidP="001C4C83">
            <w:pPr>
              <w:pStyle w:val="TableCenter"/>
              <w:rPr>
                <w:sz w:val="22"/>
                <w:szCs w:val="22"/>
                <w:lang w:val="en-US"/>
              </w:rPr>
            </w:pPr>
            <w:r w:rsidRPr="000D4E5B">
              <w:rPr>
                <w:sz w:val="22"/>
                <w:szCs w:val="22"/>
              </w:rPr>
              <w:t>5.6</w:t>
            </w:r>
          </w:p>
        </w:tc>
      </w:tr>
      <w:tr w:rsidR="005B486D" w:rsidRPr="000D4E5B" w14:paraId="544AF971" w14:textId="77777777" w:rsidTr="001C4C83">
        <w:tc>
          <w:tcPr>
            <w:tcW w:w="4503" w:type="dxa"/>
            <w:tcBorders>
              <w:top w:val="nil"/>
              <w:left w:val="nil"/>
              <w:bottom w:val="nil"/>
              <w:right w:val="nil"/>
            </w:tcBorders>
            <w:shd w:val="clear" w:color="auto" w:fill="auto"/>
          </w:tcPr>
          <w:p w14:paraId="48AF50BE" w14:textId="77777777" w:rsidR="005B486D" w:rsidRPr="000D4E5B" w:rsidRDefault="005B486D" w:rsidP="001C4C83">
            <w:pPr>
              <w:pStyle w:val="TableLeft"/>
              <w:rPr>
                <w:sz w:val="22"/>
                <w:szCs w:val="22"/>
                <w:lang w:val="en-US"/>
              </w:rPr>
            </w:pPr>
            <w:r w:rsidRPr="000D4E5B">
              <w:rPr>
                <w:sz w:val="22"/>
                <w:szCs w:val="22"/>
              </w:rPr>
              <w:t xml:space="preserve">HR (95% CI) </w:t>
            </w:r>
            <w:r w:rsidRPr="000D4E5B">
              <w:rPr>
                <w:sz w:val="22"/>
                <w:szCs w:val="22"/>
                <w:vertAlign w:val="superscript"/>
              </w:rPr>
              <w:t>a</w:t>
            </w:r>
          </w:p>
        </w:tc>
        <w:tc>
          <w:tcPr>
            <w:tcW w:w="2693" w:type="dxa"/>
            <w:tcBorders>
              <w:top w:val="nil"/>
              <w:left w:val="nil"/>
              <w:bottom w:val="nil"/>
              <w:right w:val="nil"/>
            </w:tcBorders>
            <w:shd w:val="clear" w:color="auto" w:fill="auto"/>
          </w:tcPr>
          <w:p w14:paraId="08B969AF" w14:textId="77777777" w:rsidR="005B486D" w:rsidRPr="000D4E5B" w:rsidRDefault="005B486D" w:rsidP="001C4C83">
            <w:pPr>
              <w:pStyle w:val="TableCenter"/>
              <w:rPr>
                <w:sz w:val="22"/>
                <w:szCs w:val="22"/>
                <w:lang w:val="en-US"/>
              </w:rPr>
            </w:pPr>
            <w:r w:rsidRPr="000D4E5B">
              <w:rPr>
                <w:sz w:val="22"/>
                <w:szCs w:val="22"/>
              </w:rPr>
              <w:t>0.31 (0.23-0.42)</w:t>
            </w:r>
          </w:p>
        </w:tc>
        <w:tc>
          <w:tcPr>
            <w:tcW w:w="2126" w:type="dxa"/>
            <w:tcBorders>
              <w:top w:val="nil"/>
              <w:left w:val="nil"/>
              <w:bottom w:val="nil"/>
              <w:right w:val="nil"/>
            </w:tcBorders>
            <w:shd w:val="clear" w:color="auto" w:fill="auto"/>
          </w:tcPr>
          <w:p w14:paraId="4C181E30" w14:textId="77777777" w:rsidR="005B486D" w:rsidRPr="000D4E5B" w:rsidRDefault="005B486D" w:rsidP="001C4C83">
            <w:pPr>
              <w:pStyle w:val="TableCenter"/>
              <w:rPr>
                <w:sz w:val="22"/>
                <w:szCs w:val="22"/>
                <w:lang w:val="en-US"/>
              </w:rPr>
            </w:pPr>
          </w:p>
        </w:tc>
      </w:tr>
      <w:tr w:rsidR="005B486D" w:rsidRPr="000D4E5B" w14:paraId="5F728DE2" w14:textId="77777777" w:rsidTr="00D67AA8">
        <w:trPr>
          <w:trHeight w:val="396"/>
        </w:trPr>
        <w:tc>
          <w:tcPr>
            <w:tcW w:w="4503" w:type="dxa"/>
            <w:tcBorders>
              <w:top w:val="nil"/>
              <w:left w:val="nil"/>
              <w:right w:val="nil"/>
            </w:tcBorders>
            <w:shd w:val="clear" w:color="auto" w:fill="auto"/>
          </w:tcPr>
          <w:p w14:paraId="5B50545E" w14:textId="77777777" w:rsidR="005B486D" w:rsidRPr="000D4E5B" w:rsidRDefault="005B486D" w:rsidP="001C4C83">
            <w:pPr>
              <w:pStyle w:val="TableLeft"/>
              <w:rPr>
                <w:sz w:val="22"/>
                <w:szCs w:val="22"/>
                <w:lang w:val="en-US"/>
              </w:rPr>
            </w:pPr>
            <w:r w:rsidRPr="000D4E5B">
              <w:rPr>
                <w:sz w:val="22"/>
                <w:szCs w:val="22"/>
              </w:rPr>
              <w:t>P value* (2-sided)</w:t>
            </w:r>
          </w:p>
        </w:tc>
        <w:tc>
          <w:tcPr>
            <w:tcW w:w="2693" w:type="dxa"/>
            <w:tcBorders>
              <w:top w:val="nil"/>
              <w:left w:val="nil"/>
              <w:right w:val="nil"/>
            </w:tcBorders>
            <w:shd w:val="clear" w:color="auto" w:fill="auto"/>
          </w:tcPr>
          <w:p w14:paraId="33C17EB4" w14:textId="77777777" w:rsidR="005B486D" w:rsidRPr="000D4E5B" w:rsidRDefault="005B486D" w:rsidP="00DF1241">
            <w:pPr>
              <w:pStyle w:val="Paragraph"/>
              <w:jc w:val="center"/>
              <w:rPr>
                <w:sz w:val="22"/>
                <w:szCs w:val="22"/>
                <w:lang w:val="en-US"/>
              </w:rPr>
            </w:pPr>
            <w:r w:rsidRPr="000D4E5B">
              <w:rPr>
                <w:sz w:val="22"/>
                <w:szCs w:val="22"/>
              </w:rPr>
              <w:t>p&lt;0.0001</w:t>
            </w:r>
          </w:p>
        </w:tc>
        <w:tc>
          <w:tcPr>
            <w:tcW w:w="2126" w:type="dxa"/>
            <w:tcBorders>
              <w:top w:val="nil"/>
              <w:left w:val="nil"/>
              <w:right w:val="nil"/>
            </w:tcBorders>
            <w:shd w:val="clear" w:color="auto" w:fill="auto"/>
          </w:tcPr>
          <w:p w14:paraId="21269017" w14:textId="77777777" w:rsidR="005B486D" w:rsidRPr="000D4E5B" w:rsidRDefault="005B486D" w:rsidP="001C4C83">
            <w:pPr>
              <w:pStyle w:val="Paragraph"/>
              <w:rPr>
                <w:sz w:val="22"/>
                <w:szCs w:val="22"/>
                <w:lang w:val="en-US"/>
              </w:rPr>
            </w:pPr>
          </w:p>
        </w:tc>
      </w:tr>
      <w:tr w:rsidR="005B486D" w:rsidRPr="000D4E5B" w14:paraId="20E71904"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48B9F489" w14:textId="77777777" w:rsidR="005B486D" w:rsidRPr="000D4E5B" w:rsidRDefault="005B486D" w:rsidP="001C4C83">
            <w:pPr>
              <w:pStyle w:val="TableHead"/>
              <w:jc w:val="left"/>
              <w:rPr>
                <w:sz w:val="22"/>
                <w:szCs w:val="22"/>
              </w:rPr>
            </w:pPr>
            <w:r w:rsidRPr="000D4E5B">
              <w:rPr>
                <w:sz w:val="22"/>
                <w:szCs w:val="22"/>
              </w:rPr>
              <w:t>TSST</w:t>
            </w:r>
          </w:p>
        </w:tc>
      </w:tr>
      <w:tr w:rsidR="005B486D" w:rsidRPr="000D4E5B" w14:paraId="466B8BA1" w14:textId="77777777" w:rsidTr="001C4C83">
        <w:tc>
          <w:tcPr>
            <w:tcW w:w="4503" w:type="dxa"/>
            <w:tcBorders>
              <w:left w:val="nil"/>
              <w:bottom w:val="nil"/>
              <w:right w:val="nil"/>
            </w:tcBorders>
            <w:shd w:val="clear" w:color="auto" w:fill="auto"/>
          </w:tcPr>
          <w:p w14:paraId="5CB781D9" w14:textId="77777777" w:rsidR="005B486D" w:rsidRPr="000D4E5B" w:rsidRDefault="005B486D" w:rsidP="001C4C83">
            <w:pPr>
              <w:pStyle w:val="TableLeft"/>
              <w:rPr>
                <w:sz w:val="22"/>
                <w:szCs w:val="22"/>
                <w:lang w:val="en-US"/>
              </w:rPr>
            </w:pPr>
            <w:r w:rsidRPr="000D4E5B">
              <w:rPr>
                <w:sz w:val="22"/>
                <w:szCs w:val="22"/>
              </w:rPr>
              <w:t>Number of events: Total number of patients (%)</w:t>
            </w:r>
          </w:p>
        </w:tc>
        <w:tc>
          <w:tcPr>
            <w:tcW w:w="2693" w:type="dxa"/>
            <w:tcBorders>
              <w:left w:val="nil"/>
              <w:bottom w:val="nil"/>
              <w:right w:val="nil"/>
            </w:tcBorders>
            <w:shd w:val="clear" w:color="auto" w:fill="auto"/>
          </w:tcPr>
          <w:p w14:paraId="06FD420B" w14:textId="77777777" w:rsidR="005B486D" w:rsidRPr="000D4E5B" w:rsidRDefault="005B486D" w:rsidP="001C4C83">
            <w:pPr>
              <w:pStyle w:val="TableCenter"/>
              <w:rPr>
                <w:sz w:val="22"/>
                <w:szCs w:val="22"/>
                <w:lang w:val="en-US"/>
              </w:rPr>
            </w:pPr>
            <w:r w:rsidRPr="000D4E5B">
              <w:rPr>
                <w:sz w:val="22"/>
                <w:szCs w:val="22"/>
              </w:rPr>
              <w:t>68:196 (35)</w:t>
            </w:r>
          </w:p>
        </w:tc>
        <w:tc>
          <w:tcPr>
            <w:tcW w:w="2126" w:type="dxa"/>
            <w:tcBorders>
              <w:left w:val="nil"/>
              <w:bottom w:val="nil"/>
              <w:right w:val="nil"/>
            </w:tcBorders>
            <w:shd w:val="clear" w:color="auto" w:fill="auto"/>
          </w:tcPr>
          <w:p w14:paraId="3CDB5C2A" w14:textId="77777777" w:rsidR="005B486D" w:rsidRPr="000D4E5B" w:rsidRDefault="005B486D" w:rsidP="001C4C83">
            <w:pPr>
              <w:pStyle w:val="TableCenter"/>
              <w:rPr>
                <w:sz w:val="22"/>
                <w:szCs w:val="22"/>
                <w:lang w:val="en-US"/>
              </w:rPr>
            </w:pPr>
            <w:r w:rsidRPr="000D4E5B">
              <w:rPr>
                <w:sz w:val="22"/>
                <w:szCs w:val="22"/>
              </w:rPr>
              <w:t>60:99 (61)</w:t>
            </w:r>
          </w:p>
        </w:tc>
      </w:tr>
      <w:tr w:rsidR="005B486D" w:rsidRPr="000D4E5B" w14:paraId="0949692D" w14:textId="77777777" w:rsidTr="001C4C83">
        <w:tc>
          <w:tcPr>
            <w:tcW w:w="4503" w:type="dxa"/>
            <w:tcBorders>
              <w:top w:val="nil"/>
              <w:left w:val="nil"/>
              <w:bottom w:val="nil"/>
              <w:right w:val="nil"/>
            </w:tcBorders>
            <w:shd w:val="clear" w:color="auto" w:fill="auto"/>
          </w:tcPr>
          <w:p w14:paraId="26D86732" w14:textId="77777777" w:rsidR="005B486D" w:rsidRPr="000D4E5B" w:rsidRDefault="005B486D" w:rsidP="001C4C83">
            <w:pPr>
              <w:pStyle w:val="TableLeft"/>
              <w:rPr>
                <w:sz w:val="22"/>
                <w:szCs w:val="22"/>
                <w:lang w:val="en-US"/>
              </w:rPr>
            </w:pPr>
            <w:r w:rsidRPr="000D4E5B">
              <w:rPr>
                <w:sz w:val="22"/>
                <w:szCs w:val="22"/>
              </w:rPr>
              <w:t>Median time (months)</w:t>
            </w:r>
          </w:p>
        </w:tc>
        <w:tc>
          <w:tcPr>
            <w:tcW w:w="2693" w:type="dxa"/>
            <w:tcBorders>
              <w:top w:val="nil"/>
              <w:left w:val="nil"/>
              <w:bottom w:val="nil"/>
              <w:right w:val="nil"/>
            </w:tcBorders>
            <w:shd w:val="clear" w:color="auto" w:fill="auto"/>
          </w:tcPr>
          <w:p w14:paraId="56FBBC7C" w14:textId="77777777" w:rsidR="005B486D" w:rsidRPr="000D4E5B" w:rsidRDefault="005B486D" w:rsidP="001C4C83">
            <w:pPr>
              <w:pStyle w:val="TableCenter"/>
              <w:rPr>
                <w:sz w:val="22"/>
                <w:szCs w:val="22"/>
                <w:lang w:val="en-US"/>
              </w:rPr>
            </w:pPr>
            <w:r w:rsidRPr="000D4E5B">
              <w:rPr>
                <w:sz w:val="22"/>
                <w:szCs w:val="22"/>
              </w:rPr>
              <w:t>NR</w:t>
            </w:r>
          </w:p>
        </w:tc>
        <w:tc>
          <w:tcPr>
            <w:tcW w:w="2126" w:type="dxa"/>
            <w:tcBorders>
              <w:top w:val="nil"/>
              <w:left w:val="nil"/>
              <w:bottom w:val="nil"/>
              <w:right w:val="nil"/>
            </w:tcBorders>
            <w:shd w:val="clear" w:color="auto" w:fill="auto"/>
          </w:tcPr>
          <w:p w14:paraId="127ABA4A" w14:textId="77777777" w:rsidR="005B486D" w:rsidRPr="000D4E5B" w:rsidRDefault="005B486D" w:rsidP="001C4C83">
            <w:pPr>
              <w:pStyle w:val="TableCenter"/>
              <w:rPr>
                <w:sz w:val="22"/>
                <w:szCs w:val="22"/>
                <w:lang w:val="en-US"/>
              </w:rPr>
            </w:pPr>
            <w:r w:rsidRPr="000D4E5B">
              <w:rPr>
                <w:sz w:val="22"/>
                <w:szCs w:val="22"/>
              </w:rPr>
              <w:t>18.2</w:t>
            </w:r>
          </w:p>
        </w:tc>
      </w:tr>
      <w:tr w:rsidR="005B486D" w:rsidRPr="000D4E5B" w14:paraId="005195E9" w14:textId="77777777" w:rsidTr="001C4C83">
        <w:tc>
          <w:tcPr>
            <w:tcW w:w="4503" w:type="dxa"/>
            <w:tcBorders>
              <w:top w:val="nil"/>
              <w:left w:val="nil"/>
              <w:bottom w:val="nil"/>
              <w:right w:val="nil"/>
            </w:tcBorders>
            <w:shd w:val="clear" w:color="auto" w:fill="auto"/>
          </w:tcPr>
          <w:p w14:paraId="605490FA" w14:textId="77777777" w:rsidR="005B486D" w:rsidRPr="000D4E5B" w:rsidRDefault="005B486D" w:rsidP="001C4C83">
            <w:pPr>
              <w:pStyle w:val="TableLeft"/>
              <w:rPr>
                <w:sz w:val="22"/>
                <w:szCs w:val="22"/>
                <w:lang w:val="en-US"/>
              </w:rPr>
            </w:pPr>
            <w:r w:rsidRPr="000D4E5B">
              <w:rPr>
                <w:sz w:val="22"/>
                <w:szCs w:val="22"/>
              </w:rPr>
              <w:t xml:space="preserve">HR (95% CI) </w:t>
            </w:r>
            <w:r w:rsidRPr="000D4E5B">
              <w:rPr>
                <w:sz w:val="22"/>
                <w:szCs w:val="22"/>
                <w:vertAlign w:val="superscript"/>
              </w:rPr>
              <w:t>a</w:t>
            </w:r>
          </w:p>
        </w:tc>
        <w:tc>
          <w:tcPr>
            <w:tcW w:w="2693" w:type="dxa"/>
            <w:tcBorders>
              <w:top w:val="nil"/>
              <w:left w:val="nil"/>
              <w:bottom w:val="nil"/>
              <w:right w:val="nil"/>
            </w:tcBorders>
            <w:shd w:val="clear" w:color="auto" w:fill="auto"/>
          </w:tcPr>
          <w:p w14:paraId="274AB86A" w14:textId="77777777" w:rsidR="005B486D" w:rsidRPr="000D4E5B" w:rsidRDefault="005B486D" w:rsidP="001C4C83">
            <w:pPr>
              <w:pStyle w:val="TableCenter"/>
              <w:rPr>
                <w:sz w:val="22"/>
                <w:szCs w:val="22"/>
                <w:lang w:val="en-US"/>
              </w:rPr>
            </w:pPr>
            <w:r w:rsidRPr="000D4E5B">
              <w:rPr>
                <w:sz w:val="22"/>
                <w:szCs w:val="22"/>
              </w:rPr>
              <w:t>0.37 (0.26-0.53)</w:t>
            </w:r>
          </w:p>
        </w:tc>
        <w:tc>
          <w:tcPr>
            <w:tcW w:w="2126" w:type="dxa"/>
            <w:tcBorders>
              <w:top w:val="nil"/>
              <w:left w:val="nil"/>
              <w:bottom w:val="nil"/>
              <w:right w:val="nil"/>
            </w:tcBorders>
            <w:shd w:val="clear" w:color="auto" w:fill="auto"/>
          </w:tcPr>
          <w:p w14:paraId="78917C11" w14:textId="77777777" w:rsidR="005B486D" w:rsidRPr="000D4E5B" w:rsidRDefault="005B486D" w:rsidP="001C4C83">
            <w:pPr>
              <w:pStyle w:val="TableCenter"/>
              <w:rPr>
                <w:sz w:val="22"/>
                <w:szCs w:val="22"/>
                <w:lang w:val="en-US"/>
              </w:rPr>
            </w:pPr>
          </w:p>
        </w:tc>
      </w:tr>
      <w:tr w:rsidR="005B486D" w:rsidRPr="000D4E5B" w14:paraId="39E5814A" w14:textId="77777777" w:rsidTr="001C4C83">
        <w:tc>
          <w:tcPr>
            <w:tcW w:w="4503" w:type="dxa"/>
            <w:tcBorders>
              <w:top w:val="nil"/>
              <w:left w:val="nil"/>
              <w:bottom w:val="single" w:sz="12" w:space="0" w:color="auto"/>
              <w:right w:val="nil"/>
            </w:tcBorders>
            <w:shd w:val="clear" w:color="auto" w:fill="auto"/>
          </w:tcPr>
          <w:p w14:paraId="54F0B754" w14:textId="77777777" w:rsidR="005B486D" w:rsidRPr="000D4E5B" w:rsidRDefault="005B486D" w:rsidP="001C4C83">
            <w:pPr>
              <w:pStyle w:val="TableLeft"/>
              <w:rPr>
                <w:sz w:val="22"/>
                <w:szCs w:val="22"/>
                <w:lang w:val="en-US"/>
              </w:rPr>
            </w:pPr>
            <w:r w:rsidRPr="000D4E5B">
              <w:rPr>
                <w:sz w:val="22"/>
                <w:szCs w:val="22"/>
              </w:rPr>
              <w:t>P value* (2-sided)</w:t>
            </w:r>
          </w:p>
        </w:tc>
        <w:tc>
          <w:tcPr>
            <w:tcW w:w="2693" w:type="dxa"/>
            <w:tcBorders>
              <w:top w:val="nil"/>
              <w:left w:val="nil"/>
              <w:bottom w:val="single" w:sz="12" w:space="0" w:color="auto"/>
              <w:right w:val="nil"/>
            </w:tcBorders>
            <w:shd w:val="clear" w:color="auto" w:fill="auto"/>
          </w:tcPr>
          <w:p w14:paraId="31B5E763" w14:textId="77777777" w:rsidR="005B486D" w:rsidRPr="000D4E5B" w:rsidRDefault="005B486D" w:rsidP="001C4C83">
            <w:pPr>
              <w:pStyle w:val="TableCenter"/>
              <w:rPr>
                <w:sz w:val="22"/>
                <w:szCs w:val="22"/>
                <w:lang w:val="en-US"/>
              </w:rPr>
            </w:pPr>
            <w:r w:rsidRPr="000D4E5B">
              <w:rPr>
                <w:sz w:val="22"/>
                <w:szCs w:val="22"/>
              </w:rPr>
              <w:t>p&lt;0.0001</w:t>
            </w:r>
          </w:p>
        </w:tc>
        <w:tc>
          <w:tcPr>
            <w:tcW w:w="2126" w:type="dxa"/>
            <w:tcBorders>
              <w:top w:val="nil"/>
              <w:left w:val="nil"/>
              <w:bottom w:val="single" w:sz="12" w:space="0" w:color="auto"/>
              <w:right w:val="nil"/>
            </w:tcBorders>
            <w:shd w:val="clear" w:color="auto" w:fill="auto"/>
          </w:tcPr>
          <w:p w14:paraId="2A7A88F9" w14:textId="77777777" w:rsidR="005B486D" w:rsidRPr="000D4E5B" w:rsidRDefault="005B486D" w:rsidP="001C4C83">
            <w:pPr>
              <w:pStyle w:val="TableCenter"/>
              <w:rPr>
                <w:sz w:val="22"/>
                <w:szCs w:val="22"/>
                <w:lang w:val="en-US"/>
              </w:rPr>
            </w:pPr>
          </w:p>
        </w:tc>
      </w:tr>
    </w:tbl>
    <w:bookmarkEnd w:id="26"/>
    <w:p w14:paraId="16208BC4" w14:textId="652A615F" w:rsidR="005B486D" w:rsidRPr="000D4E5B" w:rsidRDefault="00F943EE" w:rsidP="005B486D">
      <w:pPr>
        <w:pStyle w:val="TableFootnoteLetter"/>
        <w:numPr>
          <w:ilvl w:val="0"/>
          <w:numId w:val="0"/>
        </w:numPr>
        <w:tabs>
          <w:tab w:val="left" w:pos="360"/>
        </w:tabs>
      </w:pPr>
      <w:r w:rsidRPr="000D4E5B">
        <w:rPr>
          <w:sz w:val="22"/>
          <w:szCs w:val="22"/>
        </w:rPr>
        <w:t>*</w:t>
      </w:r>
      <w:r w:rsidR="005B486D" w:rsidRPr="000D4E5B">
        <w:tab/>
        <w:t>Not controlled for multiplicity</w:t>
      </w:r>
    </w:p>
    <w:p w14:paraId="799E993E" w14:textId="13CA80EB" w:rsidR="005B486D" w:rsidRPr="000D4E5B" w:rsidRDefault="005B486D" w:rsidP="005B486D">
      <w:pPr>
        <w:pStyle w:val="TableFootnoteInfo"/>
        <w:ind w:left="360" w:hanging="360"/>
      </w:pPr>
      <w:r w:rsidRPr="000D4E5B">
        <w:rPr>
          <w:vertAlign w:val="superscript"/>
        </w:rPr>
        <w:t>a</w:t>
      </w:r>
      <w:r w:rsidRPr="000D4E5B">
        <w:tab/>
      </w:r>
      <w:proofErr w:type="spellStart"/>
      <w:r w:rsidRPr="000D4E5B">
        <w:t>A</w:t>
      </w:r>
      <w:proofErr w:type="spellEnd"/>
      <w:r w:rsidRPr="000D4E5B">
        <w:t xml:space="preserve"> value &lt;1 favours </w:t>
      </w:r>
      <w:proofErr w:type="spellStart"/>
      <w:r w:rsidRPr="000D4E5B">
        <w:t>olaparib</w:t>
      </w:r>
      <w:proofErr w:type="spellEnd"/>
      <w:r w:rsidRPr="000D4E5B">
        <w:t xml:space="preserve">. The analysis was performed using a </w:t>
      </w:r>
      <w:r w:rsidR="0099772B" w:rsidRPr="000D4E5B">
        <w:t xml:space="preserve">Cox proportional hazard model including </w:t>
      </w:r>
      <w:r w:rsidRPr="000D4E5B">
        <w:t>response to previous platinum chemotherapy (CR or PR), and time to disease progression (&gt;6-12 months and &gt;12 months) in the penultimate platinum-based chemotherapy</w:t>
      </w:r>
      <w:r w:rsidR="0099772B" w:rsidRPr="000D4E5B">
        <w:t xml:space="preserve"> as covariates</w:t>
      </w:r>
      <w:r w:rsidRPr="000D4E5B">
        <w:t>.</w:t>
      </w:r>
    </w:p>
    <w:p w14:paraId="5469E4D2" w14:textId="77777777" w:rsidR="005B486D" w:rsidRPr="000D4E5B" w:rsidRDefault="005B486D" w:rsidP="005B486D">
      <w:pPr>
        <w:pStyle w:val="TableFootnoteLetter"/>
        <w:numPr>
          <w:ilvl w:val="0"/>
          <w:numId w:val="0"/>
        </w:numPr>
        <w:tabs>
          <w:tab w:val="left" w:pos="360"/>
        </w:tabs>
        <w:ind w:left="360" w:hanging="360"/>
      </w:pPr>
      <w:r w:rsidRPr="000D4E5B">
        <w:rPr>
          <w:vertAlign w:val="superscript"/>
        </w:rPr>
        <w:t>b</w:t>
      </w:r>
      <w:r w:rsidRPr="000D4E5B">
        <w:tab/>
        <w:t>Approximately a third of placebo-treated patients (28/99; 28.3%) received a subsequent PARP inhibitor.</w:t>
      </w:r>
    </w:p>
    <w:p w14:paraId="7D7C2B85" w14:textId="6B243874" w:rsidR="005B486D" w:rsidRPr="000D4E5B" w:rsidRDefault="0099772B" w:rsidP="005B486D">
      <w:pPr>
        <w:pStyle w:val="TableFootnoteInfo"/>
      </w:pPr>
      <w:r w:rsidRPr="000D4E5B">
        <w:t xml:space="preserve">HR Hazard Ratio; </w:t>
      </w:r>
      <w:proofErr w:type="spellStart"/>
      <w:r w:rsidR="005B486D" w:rsidRPr="000D4E5B">
        <w:t>bd</w:t>
      </w:r>
      <w:proofErr w:type="spellEnd"/>
      <w:r w:rsidR="005B486D" w:rsidRPr="000D4E5B">
        <w:t xml:space="preserve"> Twice daily; NR </w:t>
      </w:r>
      <w:r w:rsidR="009D199C" w:rsidRPr="000D4E5B">
        <w:t>N</w:t>
      </w:r>
      <w:r w:rsidR="005B486D" w:rsidRPr="000D4E5B">
        <w:t xml:space="preserve">ot reached; OS </w:t>
      </w:r>
      <w:r w:rsidR="009D199C" w:rsidRPr="000D4E5B">
        <w:t>O</w:t>
      </w:r>
      <w:r w:rsidR="005B486D" w:rsidRPr="000D4E5B">
        <w:t xml:space="preserve">verall survival; PFS </w:t>
      </w:r>
      <w:r w:rsidR="009D199C" w:rsidRPr="000D4E5B">
        <w:t>P</w:t>
      </w:r>
      <w:r w:rsidR="005B486D" w:rsidRPr="000D4E5B">
        <w:t xml:space="preserve">rogression-free survival; CI </w:t>
      </w:r>
      <w:r w:rsidR="009D199C" w:rsidRPr="000D4E5B">
        <w:t>C</w:t>
      </w:r>
      <w:r w:rsidR="005B486D" w:rsidRPr="000D4E5B">
        <w:t xml:space="preserve">onfidence interval; TDT Time from randomisation to discontinuation of treatment or death; TFST Time from randomisation to start of first subsequent therapy or death; PFS2 </w:t>
      </w:r>
      <w:r w:rsidR="009D199C" w:rsidRPr="000D4E5B">
        <w:t>T</w:t>
      </w:r>
      <w:r w:rsidR="005B486D" w:rsidRPr="000D4E5B">
        <w:t>ime from randomisation to second progression; TSST Time from randomisation to start of second subsequent therapy or death.</w:t>
      </w:r>
    </w:p>
    <w:p w14:paraId="24702C8C" w14:textId="67969E18" w:rsidR="007B09F4" w:rsidRPr="000D4E5B" w:rsidRDefault="007B09F4" w:rsidP="00E905F7">
      <w:pPr>
        <w:pStyle w:val="FigureTitle"/>
      </w:pPr>
      <w:bookmarkStart w:id="27" w:name="_Hlk513045853"/>
      <w:r w:rsidRPr="000D4E5B">
        <w:t xml:space="preserve">Figure </w:t>
      </w:r>
      <w:r w:rsidR="00A962C4" w:rsidRPr="000D4E5B">
        <w:t xml:space="preserve">2 </w:t>
      </w:r>
      <w:r w:rsidRPr="000D4E5B">
        <w:tab/>
        <w:t xml:space="preserve">SOLO2: Kaplan-Meier plot of PFS in patients with </w:t>
      </w:r>
      <w:proofErr w:type="spellStart"/>
      <w:r w:rsidRPr="000D4E5B">
        <w:rPr>
          <w:i/>
        </w:rPr>
        <w:t>gBRCAm</w:t>
      </w:r>
      <w:proofErr w:type="spellEnd"/>
      <w:r w:rsidRPr="000D4E5B">
        <w:t xml:space="preserve"> PSR ovarian cancer (63% maturity - investigator assessment)</w:t>
      </w:r>
    </w:p>
    <w:p w14:paraId="380B624D" w14:textId="25065B5B" w:rsidR="007B09F4" w:rsidRPr="000D4E5B" w:rsidRDefault="007B09F4" w:rsidP="00E905F7">
      <w:pPr>
        <w:pStyle w:val="Figure"/>
        <w:spacing w:after="0"/>
      </w:pPr>
      <w:r w:rsidRPr="000D4E5B">
        <w:rPr>
          <w:noProof/>
          <w:lang w:val="en-AU" w:eastAsia="en-AU"/>
        </w:rPr>
        <w:drawing>
          <wp:inline distT="0" distB="0" distL="0" distR="0" wp14:anchorId="0D09CCCE" wp14:editId="58AC638C">
            <wp:extent cx="5216055" cy="280040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0375" cy="2813460"/>
                    </a:xfrm>
                    <a:prstGeom prst="rect">
                      <a:avLst/>
                    </a:prstGeom>
                    <a:noFill/>
                  </pic:spPr>
                </pic:pic>
              </a:graphicData>
            </a:graphic>
          </wp:inline>
        </w:drawing>
      </w:r>
    </w:p>
    <w:p w14:paraId="74483809" w14:textId="77777777" w:rsidR="007B09F4" w:rsidRPr="000D4E5B" w:rsidRDefault="007B09F4" w:rsidP="00C51443">
      <w:pPr>
        <w:pStyle w:val="TableFootnoteInfo"/>
      </w:pPr>
      <w:proofErr w:type="spellStart"/>
      <w:r w:rsidRPr="000D4E5B">
        <w:t>bd</w:t>
      </w:r>
      <w:proofErr w:type="spellEnd"/>
      <w:r w:rsidRPr="000D4E5B">
        <w:t xml:space="preserve"> Twice daily; PFS Progression-free survival</w:t>
      </w:r>
    </w:p>
    <w:bookmarkEnd w:id="27"/>
    <w:p w14:paraId="0182F35A" w14:textId="1EBA7285" w:rsidR="00685FE9" w:rsidRPr="000D4E5B" w:rsidRDefault="007B09F4" w:rsidP="005B33BC">
      <w:pPr>
        <w:pStyle w:val="Paragraph"/>
      </w:pPr>
      <w:r w:rsidRPr="000D4E5B">
        <w:t xml:space="preserve">There was no difference between </w:t>
      </w:r>
      <w:proofErr w:type="spellStart"/>
      <w:r w:rsidRPr="000D4E5B">
        <w:t>olaparib</w:t>
      </w:r>
      <w:proofErr w:type="spellEnd"/>
      <w:r w:rsidRPr="000D4E5B">
        <w:t xml:space="preserve"> and placebo treatment groups in </w:t>
      </w:r>
      <w:proofErr w:type="spellStart"/>
      <w:r w:rsidRPr="000D4E5B">
        <w:t>HRQoL</w:t>
      </w:r>
      <w:proofErr w:type="spellEnd"/>
      <w:r w:rsidRPr="000D4E5B">
        <w:t xml:space="preserve"> as assessed by the change from baseline in the Trial Outcome Index (TOI) of the Functional Assessment of Cancer Therapy – Ovarian (FACT-O) over 12 months (estimated difference - 0.03; 95% CI: -2.191, 2.2126; p=0.9765).</w:t>
      </w:r>
    </w:p>
    <w:p w14:paraId="2D2D79DC" w14:textId="4C535B8B" w:rsidR="00387309" w:rsidRPr="000D4E5B" w:rsidRDefault="00387309">
      <w:pPr>
        <w:pStyle w:val="Heading4Unnumbered"/>
      </w:pPr>
      <w:r w:rsidRPr="000D4E5B">
        <w:t>Study 19 in PSR patients</w:t>
      </w:r>
    </w:p>
    <w:p w14:paraId="1198CBDE" w14:textId="5B7204B2" w:rsidR="00526F84" w:rsidRPr="000D4E5B" w:rsidRDefault="00526F84" w:rsidP="00387309">
      <w:pPr>
        <w:pStyle w:val="Paragraph"/>
      </w:pPr>
      <w:r w:rsidRPr="000D4E5B">
        <w:t xml:space="preserve">The study compared the efficacy of LYNPARZA </w:t>
      </w:r>
      <w:r w:rsidR="00726F9E" w:rsidRPr="000D4E5B">
        <w:t>capsule</w:t>
      </w:r>
      <w:r w:rsidRPr="000D4E5B">
        <w:t xml:space="preserve"> maintenance treatment </w:t>
      </w:r>
      <w:bookmarkStart w:id="28" w:name="_Hlk513046534"/>
      <w:r w:rsidR="00726F9E" w:rsidRPr="000D4E5B">
        <w:t>(400 mg [</w:t>
      </w:r>
      <w:r w:rsidR="00422EB6" w:rsidRPr="000D4E5B">
        <w:t>8 x 50 </w:t>
      </w:r>
      <w:r w:rsidR="00726F9E" w:rsidRPr="000D4E5B">
        <w:t xml:space="preserve">mg capsules] twice daily) </w:t>
      </w:r>
      <w:bookmarkEnd w:id="28"/>
      <w:r w:rsidRPr="000D4E5B">
        <w:t xml:space="preserve">taken to progression with </w:t>
      </w:r>
      <w:r w:rsidR="00726F9E" w:rsidRPr="000D4E5B">
        <w:t>placebo</w:t>
      </w:r>
      <w:r w:rsidRPr="000D4E5B">
        <w:t xml:space="preserve"> in 265 (136 LYNPARZA and 129 placebo) PSR patients who were in response (CR [complete response] or PR [partial response]) following completion of platinum containing chemotherapy.  The primary endpoint was PFS based on investigator assessment using RECIST 1.0. Secondary efficacy endpoints included OS (overall survival), DCR (disease control rate) defined as confirmed CR/PR + SD (stable disease), </w:t>
      </w:r>
      <w:proofErr w:type="spellStart"/>
      <w:r w:rsidRPr="000D4E5B">
        <w:t>HRQoL</w:t>
      </w:r>
      <w:proofErr w:type="spellEnd"/>
      <w:r w:rsidRPr="000D4E5B">
        <w:t xml:space="preserve"> (health related quality of life), and disease related symptoms.</w:t>
      </w:r>
    </w:p>
    <w:p w14:paraId="6934F982" w14:textId="0614339B" w:rsidR="005B33BC" w:rsidRPr="000D4E5B" w:rsidRDefault="005B33BC" w:rsidP="005B33BC">
      <w:pPr>
        <w:pStyle w:val="Paragraph"/>
      </w:pPr>
      <w:r w:rsidRPr="000D4E5B">
        <w:t xml:space="preserve">The study met its primary objective </w:t>
      </w:r>
      <w:r w:rsidR="00726F9E" w:rsidRPr="000D4E5B">
        <w:t xml:space="preserve">demonstrating a </w:t>
      </w:r>
      <w:r w:rsidRPr="000D4E5B">
        <w:t xml:space="preserve">statistically significant </w:t>
      </w:r>
      <w:r w:rsidR="00726F9E" w:rsidRPr="000D4E5B">
        <w:t>and clinically relevant improvement in</w:t>
      </w:r>
      <w:r w:rsidRPr="000D4E5B">
        <w:t xml:space="preserve"> PFS for </w:t>
      </w:r>
      <w:proofErr w:type="spellStart"/>
      <w:r w:rsidR="00726F9E" w:rsidRPr="000D4E5B">
        <w:t>olaparib</w:t>
      </w:r>
      <w:proofErr w:type="spellEnd"/>
      <w:r w:rsidRPr="000D4E5B">
        <w:t xml:space="preserve"> compared with placebo </w:t>
      </w:r>
      <w:bookmarkStart w:id="29" w:name="_Hlk513046893"/>
      <w:r w:rsidR="003B6835" w:rsidRPr="000D4E5B">
        <w:t xml:space="preserve">with a </w:t>
      </w:r>
      <w:bookmarkEnd w:id="29"/>
      <w:r w:rsidRPr="000D4E5B">
        <w:t xml:space="preserve">HR 0.35 </w:t>
      </w:r>
      <w:bookmarkStart w:id="30" w:name="_Hlk513046918"/>
      <w:r w:rsidR="003B6835" w:rsidRPr="000D4E5B">
        <w:t>(</w:t>
      </w:r>
      <w:bookmarkEnd w:id="30"/>
      <w:r w:rsidRPr="000D4E5B">
        <w:t xml:space="preserve">95% CI 0.25-0.49; p&lt;0.00001; </w:t>
      </w:r>
      <w:r w:rsidR="003B6835" w:rsidRPr="000D4E5B">
        <w:t xml:space="preserve">median 8.4 months for LYNPARZA vs. 4.8 months for placebo).  At the final analysis (data cut off (DCO) 9 May 2016) for OS at 79% maturity, the hazard ratio comparing </w:t>
      </w:r>
      <w:proofErr w:type="spellStart"/>
      <w:r w:rsidR="003B6835" w:rsidRPr="000D4E5B">
        <w:t>olaparib</w:t>
      </w:r>
      <w:proofErr w:type="spellEnd"/>
      <w:r w:rsidR="003B6835" w:rsidRPr="000D4E5B">
        <w:t xml:space="preserve"> with placebo was 0.73 (95% CI 0.55-0.95; p=0.02138 (did not meet </w:t>
      </w:r>
      <w:proofErr w:type="spellStart"/>
      <w:r w:rsidR="003B6835" w:rsidRPr="000D4E5B">
        <w:t>prespecified</w:t>
      </w:r>
      <w:proofErr w:type="spellEnd"/>
      <w:r w:rsidR="003B6835" w:rsidRPr="000D4E5B">
        <w:t xml:space="preserve"> significance level of &lt;0.0095); median 29.8 months for </w:t>
      </w:r>
      <w:proofErr w:type="spellStart"/>
      <w:r w:rsidR="003B6835" w:rsidRPr="000D4E5B">
        <w:t>olaparib</w:t>
      </w:r>
      <w:proofErr w:type="spellEnd"/>
      <w:r w:rsidR="003B6835" w:rsidRPr="000D4E5B">
        <w:t xml:space="preserve"> vs. 27.8 months for placebo).</w:t>
      </w:r>
    </w:p>
    <w:p w14:paraId="53C9CD14" w14:textId="40DF6C3C" w:rsidR="005B33BC" w:rsidRPr="000D4E5B" w:rsidRDefault="003B6835" w:rsidP="00013F59">
      <w:pPr>
        <w:pStyle w:val="Paragraph"/>
      </w:pPr>
      <w:r w:rsidRPr="000D4E5B">
        <w:rPr>
          <w:i/>
        </w:rPr>
        <w:t>BRCA</w:t>
      </w:r>
      <w:r w:rsidRPr="000D4E5B">
        <w:t xml:space="preserve"> mutation status was confirmed retrospectively and a </w:t>
      </w:r>
      <w:proofErr w:type="spellStart"/>
      <w:r w:rsidRPr="000D4E5B">
        <w:t>preplanned</w:t>
      </w:r>
      <w:proofErr w:type="spellEnd"/>
      <w:r w:rsidRPr="000D4E5B">
        <w:t xml:space="preserve"> </w:t>
      </w:r>
      <w:r w:rsidR="005B33BC" w:rsidRPr="000D4E5B">
        <w:t xml:space="preserve">subgroup analysis identified patients with </w:t>
      </w:r>
      <w:r w:rsidR="005B33BC" w:rsidRPr="000D4E5B">
        <w:rPr>
          <w:i/>
        </w:rPr>
        <w:t>BRCA</w:t>
      </w:r>
      <w:r w:rsidR="005B33BC" w:rsidRPr="000D4E5B">
        <w:t xml:space="preserve">-mutated </w:t>
      </w:r>
      <w:r w:rsidRPr="000D4E5B">
        <w:t xml:space="preserve">(germline and somatic) </w:t>
      </w:r>
      <w:r w:rsidR="005B33BC" w:rsidRPr="000D4E5B">
        <w:t xml:space="preserve">ovarian cancer (n=136, 51.3%) as the subgroup that derived the greatest clinical benefit from LYNPARZA maintenance monotherapy.  </w:t>
      </w:r>
      <w:r w:rsidRPr="000D4E5B">
        <w:t>There were no multiplicity strategies in place for the sub-group analyses.</w:t>
      </w:r>
      <w:r w:rsidR="005B33BC" w:rsidRPr="000D4E5B">
        <w:t xml:space="preserve">  In </w:t>
      </w:r>
      <w:proofErr w:type="spellStart"/>
      <w:r w:rsidR="005B33BC" w:rsidRPr="000D4E5B">
        <w:rPr>
          <w:i/>
        </w:rPr>
        <w:t>BRCA</w:t>
      </w:r>
      <w:r w:rsidRPr="000D4E5B">
        <w:rPr>
          <w:i/>
        </w:rPr>
        <w:t>m</w:t>
      </w:r>
      <w:proofErr w:type="spellEnd"/>
      <w:r w:rsidRPr="000D4E5B">
        <w:t xml:space="preserve"> </w:t>
      </w:r>
      <w:r w:rsidR="005B33BC" w:rsidRPr="000D4E5B">
        <w:t xml:space="preserve">patients </w:t>
      </w:r>
      <w:bookmarkStart w:id="31" w:name="_Hlk513047184"/>
      <w:r w:rsidR="00013F59" w:rsidRPr="000D4E5B">
        <w:t xml:space="preserve">the </w:t>
      </w:r>
      <w:r w:rsidR="00A366ED" w:rsidRPr="000D4E5B">
        <w:t>HR</w:t>
      </w:r>
      <w:r w:rsidR="00013F59" w:rsidRPr="000D4E5B">
        <w:t xml:space="preserve"> for PFS improvement was </w:t>
      </w:r>
      <w:bookmarkEnd w:id="31"/>
      <w:r w:rsidR="005B33BC" w:rsidRPr="000D4E5B">
        <w:t xml:space="preserve">0.18 </w:t>
      </w:r>
      <w:r w:rsidR="00013F59" w:rsidRPr="000D4E5B">
        <w:t>(</w:t>
      </w:r>
      <w:r w:rsidR="005B33BC" w:rsidRPr="000D4E5B">
        <w:t xml:space="preserve">95% CI 0.10-0.31; p&lt;0.00001; median 11.2 months </w:t>
      </w:r>
      <w:bookmarkStart w:id="32" w:name="_Hlk513047229"/>
      <w:r w:rsidR="00013F59" w:rsidRPr="000D4E5B">
        <w:t xml:space="preserve">for </w:t>
      </w:r>
      <w:proofErr w:type="spellStart"/>
      <w:r w:rsidR="00013F59" w:rsidRPr="000D4E5B">
        <w:t>olaparib</w:t>
      </w:r>
      <w:proofErr w:type="spellEnd"/>
      <w:r w:rsidR="00013F59" w:rsidRPr="000D4E5B">
        <w:t xml:space="preserve"> </w:t>
      </w:r>
      <w:bookmarkEnd w:id="32"/>
      <w:r w:rsidR="005B33BC" w:rsidRPr="000D4E5B">
        <w:t xml:space="preserve">vs 4.3 months </w:t>
      </w:r>
      <w:r w:rsidR="00013F59" w:rsidRPr="000D4E5B">
        <w:t>for placebo</w:t>
      </w:r>
      <w:r w:rsidR="005B33BC" w:rsidRPr="000D4E5B">
        <w:t xml:space="preserve">).  </w:t>
      </w:r>
      <w:r w:rsidR="00013F59" w:rsidRPr="000D4E5B">
        <w:t xml:space="preserve">For the secondary endpoint of </w:t>
      </w:r>
      <w:r w:rsidR="005B33BC" w:rsidRPr="000D4E5B">
        <w:t xml:space="preserve">OS </w:t>
      </w:r>
      <w:r w:rsidR="00F67D68" w:rsidRPr="000D4E5B">
        <w:t xml:space="preserve">the </w:t>
      </w:r>
      <w:r w:rsidR="00A366ED" w:rsidRPr="000D4E5B">
        <w:t>HR</w:t>
      </w:r>
      <w:r w:rsidR="00F67D68" w:rsidRPr="000D4E5B">
        <w:t xml:space="preserve"> for </w:t>
      </w:r>
      <w:proofErr w:type="spellStart"/>
      <w:r w:rsidR="00F67D68" w:rsidRPr="000D4E5B">
        <w:t>olaparib</w:t>
      </w:r>
      <w:proofErr w:type="spellEnd"/>
      <w:r w:rsidR="00F67D68" w:rsidRPr="000D4E5B">
        <w:t xml:space="preserve"> vs. placebo was </w:t>
      </w:r>
      <w:r w:rsidR="005B33BC" w:rsidRPr="000D4E5B">
        <w:t>0.</w:t>
      </w:r>
      <w:r w:rsidR="00F67D68" w:rsidRPr="000D4E5B">
        <w:t>62</w:t>
      </w:r>
      <w:r w:rsidR="005B33BC" w:rsidRPr="000D4E5B">
        <w:t>; 95% CI 0.</w:t>
      </w:r>
      <w:r w:rsidR="00F67D68" w:rsidRPr="000D4E5B">
        <w:t>42</w:t>
      </w:r>
      <w:r w:rsidR="005B33BC" w:rsidRPr="000D4E5B">
        <w:t xml:space="preserve">- </w:t>
      </w:r>
      <w:r w:rsidR="00F67D68" w:rsidRPr="000D4E5B">
        <w:t>0.93</w:t>
      </w:r>
      <w:r w:rsidR="005B33BC" w:rsidRPr="000D4E5B">
        <w:t>; p=0.</w:t>
      </w:r>
      <w:r w:rsidR="00F67D68" w:rsidRPr="000D4E5B">
        <w:t>02140</w:t>
      </w:r>
      <w:r w:rsidR="005B33BC" w:rsidRPr="000D4E5B">
        <w:t xml:space="preserve">; median 34.9 months </w:t>
      </w:r>
      <w:bookmarkStart w:id="33" w:name="_Hlk513047712"/>
      <w:r w:rsidR="00F67D68" w:rsidRPr="000D4E5B">
        <w:t xml:space="preserve">for </w:t>
      </w:r>
      <w:proofErr w:type="spellStart"/>
      <w:r w:rsidR="00F67D68" w:rsidRPr="000D4E5B">
        <w:t>olaparib</w:t>
      </w:r>
      <w:proofErr w:type="spellEnd"/>
      <w:r w:rsidR="00F67D68" w:rsidRPr="000D4E5B">
        <w:t xml:space="preserve"> </w:t>
      </w:r>
      <w:bookmarkEnd w:id="33"/>
      <w:r w:rsidR="005B33BC" w:rsidRPr="000D4E5B">
        <w:t xml:space="preserve">versus </w:t>
      </w:r>
      <w:r w:rsidR="00F67D68" w:rsidRPr="000D4E5B">
        <w:t>30.2</w:t>
      </w:r>
      <w:r w:rsidR="005B33BC" w:rsidRPr="000D4E5B">
        <w:t xml:space="preserve"> months </w:t>
      </w:r>
      <w:bookmarkStart w:id="34" w:name="_Hlk513047772"/>
      <w:r w:rsidR="00916223" w:rsidRPr="000D4E5B">
        <w:t>for placebo</w:t>
      </w:r>
      <w:bookmarkEnd w:id="34"/>
      <w:r w:rsidR="005B33BC" w:rsidRPr="000D4E5B">
        <w:t xml:space="preserve">).  </w:t>
      </w:r>
      <w:r w:rsidR="00916D38" w:rsidRPr="000D4E5B">
        <w:t xml:space="preserve">In the </w:t>
      </w:r>
      <w:proofErr w:type="spellStart"/>
      <w:r w:rsidR="00916D38" w:rsidRPr="000D4E5B">
        <w:t>olaparib</w:t>
      </w:r>
      <w:proofErr w:type="spellEnd"/>
      <w:r w:rsidR="00916D38" w:rsidRPr="000D4E5B">
        <w:t xml:space="preserve">-treated group, 28.4% of patients remained on treatment for </w:t>
      </w:r>
      <w:r w:rsidR="00B807DE" w:rsidRPr="000D4E5B">
        <w:br/>
      </w:r>
      <w:r w:rsidR="00916D38" w:rsidRPr="000D4E5B">
        <w:t xml:space="preserve">≥2 years and 14.9% for ≥5 years.  In the placebo-treated group, 8.1% of patients remained on treatment for ≥2 years and 1.6% for ≥5 years.  </w:t>
      </w:r>
      <w:r w:rsidR="0078071C" w:rsidRPr="000D4E5B">
        <w:t xml:space="preserve">A PFS benefit of </w:t>
      </w:r>
      <w:proofErr w:type="spellStart"/>
      <w:r w:rsidR="0078071C" w:rsidRPr="000D4E5B">
        <w:t>olaparib</w:t>
      </w:r>
      <w:proofErr w:type="spellEnd"/>
      <w:r w:rsidR="0078071C" w:rsidRPr="000D4E5B">
        <w:t xml:space="preserve"> over placebo was also seen in p</w:t>
      </w:r>
      <w:r w:rsidR="00916D38" w:rsidRPr="000D4E5B">
        <w:t xml:space="preserve">atients without a deleterious </w:t>
      </w:r>
      <w:r w:rsidR="00916D38" w:rsidRPr="000D4E5B">
        <w:rPr>
          <w:i/>
        </w:rPr>
        <w:t>BRCA</w:t>
      </w:r>
      <w:r w:rsidR="00916D38" w:rsidRPr="000D4E5B">
        <w:t xml:space="preserve"> mutation [HR 0.54 (95% CI: 0.34, 0.85; p&lt;0.0075).</w:t>
      </w:r>
    </w:p>
    <w:p w14:paraId="4FEAD9CA" w14:textId="5B983B93" w:rsidR="008A6E2D" w:rsidRPr="000D4E5B" w:rsidRDefault="008A6E2D" w:rsidP="008A6E2D">
      <w:pPr>
        <w:pStyle w:val="Paragraph"/>
      </w:pPr>
      <w:r w:rsidRPr="000D4E5B">
        <w:t xml:space="preserve">Within </w:t>
      </w:r>
      <w:r w:rsidR="00916D38" w:rsidRPr="000D4E5B">
        <w:t xml:space="preserve">the overall population, the DCR at 24 weeks was 53% and 25% for patients in the </w:t>
      </w:r>
      <w:proofErr w:type="spellStart"/>
      <w:r w:rsidR="00916D38" w:rsidRPr="000D4E5B">
        <w:t>olaparib</w:t>
      </w:r>
      <w:proofErr w:type="spellEnd"/>
      <w:r w:rsidR="00916D38" w:rsidRPr="000D4E5B">
        <w:t xml:space="preserve"> and placebo groups, respectively and in</w:t>
      </w:r>
      <w:r w:rsidRPr="000D4E5B">
        <w:t xml:space="preserve"> the </w:t>
      </w:r>
      <w:r w:rsidRPr="000D4E5B">
        <w:rPr>
          <w:i/>
        </w:rPr>
        <w:t>BRCA</w:t>
      </w:r>
      <w:r w:rsidRPr="000D4E5B">
        <w:t>-mutated population the disease control rate at 24 weeks was 57% and 24% for patients in the LYNPARZA and placebo groups, respectively.</w:t>
      </w:r>
    </w:p>
    <w:p w14:paraId="4A82B145" w14:textId="5CCD614D" w:rsidR="00F00D1D" w:rsidRPr="000D4E5B" w:rsidRDefault="008A6E2D" w:rsidP="008A6E2D">
      <w:pPr>
        <w:pStyle w:val="Paragraph"/>
      </w:pPr>
      <w:r w:rsidRPr="000D4E5B">
        <w:t xml:space="preserve">No statistically significant differences were observed between treatment groups in patient reported symptoms or </w:t>
      </w:r>
      <w:proofErr w:type="spellStart"/>
      <w:r w:rsidRPr="000D4E5B">
        <w:t>HRQoL</w:t>
      </w:r>
      <w:proofErr w:type="spellEnd"/>
      <w:r w:rsidRPr="000D4E5B">
        <w:t>.</w:t>
      </w:r>
    </w:p>
    <w:p w14:paraId="0A1A3949" w14:textId="66F925E8" w:rsidR="008A6E2D" w:rsidRPr="000D4E5B" w:rsidRDefault="008A6E2D" w:rsidP="008A6E2D">
      <w:pPr>
        <w:pStyle w:val="Paragraph"/>
      </w:pPr>
      <w:r w:rsidRPr="000D4E5B">
        <w:t xml:space="preserve">A summary of efficacy findings for patients with </w:t>
      </w:r>
      <w:proofErr w:type="spellStart"/>
      <w:r w:rsidRPr="000D4E5B">
        <w:rPr>
          <w:i/>
        </w:rPr>
        <w:t>BRCA</w:t>
      </w:r>
      <w:r w:rsidR="00916D38" w:rsidRPr="000D4E5B">
        <w:rPr>
          <w:i/>
        </w:rPr>
        <w:t>m</w:t>
      </w:r>
      <w:proofErr w:type="spellEnd"/>
      <w:r w:rsidRPr="000D4E5B">
        <w:t xml:space="preserve"> PSR ovarian cancer in Study 19 is presented in Table </w:t>
      </w:r>
      <w:r w:rsidR="00CE0D6A" w:rsidRPr="000D4E5B">
        <w:t>5</w:t>
      </w:r>
      <w:r w:rsidRPr="000D4E5B">
        <w:t>.</w:t>
      </w:r>
    </w:p>
    <w:p w14:paraId="4B287201" w14:textId="1E687DBA" w:rsidR="00916D38" w:rsidRPr="000D4E5B" w:rsidRDefault="00916D38" w:rsidP="00916D38">
      <w:pPr>
        <w:pStyle w:val="TableTitle"/>
        <w:tabs>
          <w:tab w:val="clear" w:pos="1701"/>
          <w:tab w:val="left" w:pos="1080"/>
        </w:tabs>
        <w:ind w:left="1080" w:hanging="1080"/>
      </w:pPr>
      <w:r w:rsidRPr="000D4E5B">
        <w:t xml:space="preserve">Table </w:t>
      </w:r>
      <w:r w:rsidR="00CE0D6A" w:rsidRPr="000D4E5B">
        <w:t>5</w:t>
      </w:r>
      <w:r w:rsidRPr="000D4E5B">
        <w:tab/>
        <w:t xml:space="preserve">Summary of key efficacy findings for all patients and patients with </w:t>
      </w:r>
      <w:proofErr w:type="spellStart"/>
      <w:r w:rsidRPr="000D4E5B">
        <w:rPr>
          <w:i/>
        </w:rPr>
        <w:t>BRCAm</w:t>
      </w:r>
      <w:proofErr w:type="spellEnd"/>
      <w:r w:rsidRPr="000D4E5B">
        <w:t xml:space="preserve"> PSR ovarian cancer in Study 19</w:t>
      </w:r>
    </w:p>
    <w:tbl>
      <w:tblPr>
        <w:tblW w:w="9540" w:type="dxa"/>
        <w:tblLayout w:type="fixed"/>
        <w:tblCellMar>
          <w:left w:w="0" w:type="dxa"/>
          <w:right w:w="0" w:type="dxa"/>
        </w:tblCellMar>
        <w:tblLook w:val="04A0" w:firstRow="1" w:lastRow="0" w:firstColumn="1" w:lastColumn="0" w:noHBand="0" w:noVBand="1"/>
      </w:tblPr>
      <w:tblGrid>
        <w:gridCol w:w="3330"/>
        <w:gridCol w:w="1530"/>
        <w:gridCol w:w="1620"/>
        <w:gridCol w:w="1620"/>
        <w:gridCol w:w="1440"/>
      </w:tblGrid>
      <w:tr w:rsidR="00916D38" w:rsidRPr="000D4E5B" w14:paraId="46F84AF7" w14:textId="77777777" w:rsidTr="00C67915">
        <w:trPr>
          <w:cantSplit/>
          <w:tblHeader/>
        </w:trPr>
        <w:tc>
          <w:tcPr>
            <w:tcW w:w="3330" w:type="dxa"/>
            <w:tcBorders>
              <w:top w:val="single" w:sz="8" w:space="0" w:color="auto"/>
              <w:left w:val="nil"/>
              <w:bottom w:val="nil"/>
              <w:right w:val="nil"/>
            </w:tcBorders>
            <w:tcMar>
              <w:top w:w="0" w:type="dxa"/>
              <w:left w:w="108" w:type="dxa"/>
              <w:bottom w:w="0" w:type="dxa"/>
              <w:right w:w="108" w:type="dxa"/>
            </w:tcMar>
          </w:tcPr>
          <w:p w14:paraId="69AA68DA" w14:textId="77777777" w:rsidR="00916D38" w:rsidRPr="000D4E5B" w:rsidRDefault="00916D38" w:rsidP="001C4C83">
            <w:pPr>
              <w:pStyle w:val="TableHead"/>
              <w:rPr>
                <w:sz w:val="22"/>
                <w:szCs w:val="22"/>
              </w:rPr>
            </w:pPr>
          </w:p>
        </w:tc>
        <w:tc>
          <w:tcPr>
            <w:tcW w:w="3150" w:type="dxa"/>
            <w:gridSpan w:val="2"/>
            <w:tcBorders>
              <w:top w:val="single" w:sz="8" w:space="0" w:color="auto"/>
              <w:left w:val="nil"/>
              <w:bottom w:val="nil"/>
              <w:right w:val="nil"/>
            </w:tcBorders>
            <w:tcMar>
              <w:top w:w="0" w:type="dxa"/>
              <w:left w:w="108" w:type="dxa"/>
              <w:bottom w:w="0" w:type="dxa"/>
              <w:right w:w="108" w:type="dxa"/>
            </w:tcMar>
            <w:hideMark/>
          </w:tcPr>
          <w:p w14:paraId="498560E4" w14:textId="77777777" w:rsidR="00916D38" w:rsidRPr="000D4E5B" w:rsidRDefault="00916D38" w:rsidP="001C4C83">
            <w:pPr>
              <w:pStyle w:val="TableHead"/>
              <w:rPr>
                <w:sz w:val="22"/>
                <w:szCs w:val="22"/>
              </w:rPr>
            </w:pPr>
            <w:r w:rsidRPr="000D4E5B">
              <w:rPr>
                <w:sz w:val="22"/>
                <w:szCs w:val="22"/>
              </w:rPr>
              <w:t>All patients</w:t>
            </w:r>
          </w:p>
        </w:tc>
        <w:tc>
          <w:tcPr>
            <w:tcW w:w="3060" w:type="dxa"/>
            <w:gridSpan w:val="2"/>
            <w:tcBorders>
              <w:top w:val="single" w:sz="8" w:space="0" w:color="auto"/>
              <w:left w:val="nil"/>
              <w:bottom w:val="nil"/>
              <w:right w:val="nil"/>
            </w:tcBorders>
            <w:tcMar>
              <w:top w:w="0" w:type="dxa"/>
              <w:left w:w="108" w:type="dxa"/>
              <w:bottom w:w="0" w:type="dxa"/>
              <w:right w:w="108" w:type="dxa"/>
            </w:tcMar>
            <w:hideMark/>
          </w:tcPr>
          <w:p w14:paraId="1CE2E1AC" w14:textId="77777777" w:rsidR="00916D38" w:rsidRPr="000D4E5B" w:rsidRDefault="00916D38" w:rsidP="001C4C83">
            <w:pPr>
              <w:pStyle w:val="TableHead"/>
              <w:rPr>
                <w:sz w:val="22"/>
                <w:szCs w:val="22"/>
              </w:rPr>
            </w:pPr>
            <w:r w:rsidRPr="000D4E5B">
              <w:rPr>
                <w:i/>
                <w:iCs/>
                <w:sz w:val="22"/>
                <w:szCs w:val="22"/>
                <w:lang w:val="en-AU"/>
              </w:rPr>
              <w:t>BRCA-mutated</w:t>
            </w:r>
          </w:p>
        </w:tc>
      </w:tr>
      <w:tr w:rsidR="00916D38" w:rsidRPr="000D4E5B" w14:paraId="4CEE9128" w14:textId="77777777" w:rsidTr="001C4C83">
        <w:trPr>
          <w:cantSplit/>
          <w:tblHeader/>
        </w:trPr>
        <w:tc>
          <w:tcPr>
            <w:tcW w:w="3330" w:type="dxa"/>
            <w:tcBorders>
              <w:top w:val="nil"/>
              <w:left w:val="nil"/>
              <w:bottom w:val="single" w:sz="8" w:space="0" w:color="auto"/>
              <w:right w:val="nil"/>
            </w:tcBorders>
            <w:tcMar>
              <w:top w:w="0" w:type="dxa"/>
              <w:left w:w="108" w:type="dxa"/>
              <w:bottom w:w="0" w:type="dxa"/>
              <w:right w:w="108" w:type="dxa"/>
            </w:tcMar>
          </w:tcPr>
          <w:p w14:paraId="3E60CA82" w14:textId="77777777" w:rsidR="00916D38" w:rsidRPr="000D4E5B" w:rsidRDefault="00916D38" w:rsidP="001C4C83">
            <w:pPr>
              <w:pStyle w:val="TableHead"/>
              <w:rPr>
                <w:sz w:val="22"/>
                <w:szCs w:val="22"/>
              </w:rPr>
            </w:pPr>
          </w:p>
        </w:tc>
        <w:tc>
          <w:tcPr>
            <w:tcW w:w="1530" w:type="dxa"/>
            <w:tcBorders>
              <w:top w:val="nil"/>
              <w:left w:val="nil"/>
              <w:bottom w:val="single" w:sz="8" w:space="0" w:color="auto"/>
              <w:right w:val="nil"/>
            </w:tcBorders>
            <w:tcMar>
              <w:top w:w="0" w:type="dxa"/>
              <w:left w:w="108" w:type="dxa"/>
              <w:bottom w:w="0" w:type="dxa"/>
              <w:right w:w="108" w:type="dxa"/>
            </w:tcMar>
            <w:hideMark/>
          </w:tcPr>
          <w:p w14:paraId="2245C2D5" w14:textId="77777777" w:rsidR="00916D38" w:rsidRPr="000D4E5B" w:rsidRDefault="00916D38" w:rsidP="001C4C83">
            <w:pPr>
              <w:pStyle w:val="TableHead"/>
              <w:rPr>
                <w:sz w:val="22"/>
                <w:szCs w:val="22"/>
              </w:rPr>
            </w:pPr>
            <w:r w:rsidRPr="000D4E5B">
              <w:rPr>
                <w:sz w:val="22"/>
                <w:szCs w:val="22"/>
              </w:rPr>
              <w:t>LYNPARZA 400 mg capsule bid</w:t>
            </w:r>
          </w:p>
        </w:tc>
        <w:tc>
          <w:tcPr>
            <w:tcW w:w="1620" w:type="dxa"/>
            <w:tcBorders>
              <w:top w:val="nil"/>
              <w:left w:val="nil"/>
              <w:bottom w:val="single" w:sz="8" w:space="0" w:color="auto"/>
              <w:right w:val="nil"/>
            </w:tcBorders>
            <w:tcMar>
              <w:top w:w="0" w:type="dxa"/>
              <w:left w:w="108" w:type="dxa"/>
              <w:bottom w:w="0" w:type="dxa"/>
              <w:right w:w="108" w:type="dxa"/>
            </w:tcMar>
            <w:hideMark/>
          </w:tcPr>
          <w:p w14:paraId="6950248B" w14:textId="77777777" w:rsidR="00916D38" w:rsidRPr="000D4E5B" w:rsidRDefault="00916D38" w:rsidP="001C4C83">
            <w:pPr>
              <w:pStyle w:val="TableHead"/>
              <w:rPr>
                <w:sz w:val="22"/>
                <w:szCs w:val="22"/>
              </w:rPr>
            </w:pPr>
            <w:r w:rsidRPr="000D4E5B">
              <w:rPr>
                <w:sz w:val="22"/>
                <w:szCs w:val="22"/>
              </w:rPr>
              <w:t>Placebo</w:t>
            </w:r>
          </w:p>
          <w:p w14:paraId="4296C70E" w14:textId="77777777" w:rsidR="00916D38" w:rsidRPr="000D4E5B" w:rsidRDefault="00916D38" w:rsidP="001C4C83">
            <w:pPr>
              <w:pStyle w:val="TableHead"/>
              <w:rPr>
                <w:sz w:val="22"/>
                <w:szCs w:val="22"/>
              </w:rPr>
            </w:pPr>
          </w:p>
        </w:tc>
        <w:tc>
          <w:tcPr>
            <w:tcW w:w="1620" w:type="dxa"/>
            <w:tcBorders>
              <w:top w:val="nil"/>
              <w:left w:val="nil"/>
              <w:bottom w:val="single" w:sz="8" w:space="0" w:color="auto"/>
              <w:right w:val="nil"/>
            </w:tcBorders>
            <w:tcMar>
              <w:top w:w="0" w:type="dxa"/>
              <w:left w:w="108" w:type="dxa"/>
              <w:bottom w:w="0" w:type="dxa"/>
              <w:right w:w="108" w:type="dxa"/>
            </w:tcMar>
            <w:hideMark/>
          </w:tcPr>
          <w:p w14:paraId="2D5F46C5" w14:textId="77777777" w:rsidR="00916D38" w:rsidRPr="000D4E5B" w:rsidRDefault="00916D38" w:rsidP="001C4C83">
            <w:pPr>
              <w:pStyle w:val="TableHead"/>
              <w:rPr>
                <w:sz w:val="22"/>
                <w:szCs w:val="22"/>
              </w:rPr>
            </w:pPr>
            <w:r w:rsidRPr="000D4E5B">
              <w:rPr>
                <w:sz w:val="22"/>
                <w:szCs w:val="22"/>
              </w:rPr>
              <w:t>LYNPARZA 400 mg capsule bid</w:t>
            </w:r>
          </w:p>
        </w:tc>
        <w:tc>
          <w:tcPr>
            <w:tcW w:w="1440" w:type="dxa"/>
            <w:tcBorders>
              <w:top w:val="nil"/>
              <w:left w:val="nil"/>
              <w:bottom w:val="single" w:sz="8" w:space="0" w:color="auto"/>
              <w:right w:val="nil"/>
            </w:tcBorders>
            <w:tcMar>
              <w:top w:w="0" w:type="dxa"/>
              <w:left w:w="108" w:type="dxa"/>
              <w:bottom w:w="0" w:type="dxa"/>
              <w:right w:w="108" w:type="dxa"/>
            </w:tcMar>
            <w:hideMark/>
          </w:tcPr>
          <w:p w14:paraId="3B2AAF82" w14:textId="77777777" w:rsidR="00916D38" w:rsidRPr="000D4E5B" w:rsidRDefault="00916D38" w:rsidP="001C4C83">
            <w:pPr>
              <w:pStyle w:val="TableHead"/>
              <w:rPr>
                <w:sz w:val="22"/>
                <w:szCs w:val="22"/>
              </w:rPr>
            </w:pPr>
            <w:r w:rsidRPr="000D4E5B">
              <w:rPr>
                <w:sz w:val="22"/>
                <w:szCs w:val="22"/>
              </w:rPr>
              <w:t>Placebo</w:t>
            </w:r>
          </w:p>
          <w:p w14:paraId="6F9BF40D" w14:textId="77777777" w:rsidR="00916D38" w:rsidRPr="000D4E5B" w:rsidRDefault="00916D38" w:rsidP="001C4C83">
            <w:pPr>
              <w:pStyle w:val="TableHead"/>
              <w:rPr>
                <w:sz w:val="22"/>
                <w:szCs w:val="22"/>
              </w:rPr>
            </w:pPr>
          </w:p>
        </w:tc>
      </w:tr>
      <w:tr w:rsidR="00916D38" w:rsidRPr="000D4E5B" w14:paraId="7340EC1D" w14:textId="77777777" w:rsidTr="001C4C83">
        <w:trPr>
          <w:cantSplit/>
        </w:trPr>
        <w:tc>
          <w:tcPr>
            <w:tcW w:w="9540" w:type="dxa"/>
            <w:gridSpan w:val="5"/>
            <w:tcBorders>
              <w:top w:val="nil"/>
              <w:left w:val="nil"/>
              <w:bottom w:val="single" w:sz="8" w:space="0" w:color="auto"/>
              <w:right w:val="nil"/>
            </w:tcBorders>
            <w:shd w:val="clear" w:color="auto" w:fill="E0E0E0"/>
            <w:tcMar>
              <w:top w:w="0" w:type="dxa"/>
              <w:left w:w="108" w:type="dxa"/>
              <w:bottom w:w="0" w:type="dxa"/>
              <w:right w:w="108" w:type="dxa"/>
            </w:tcMar>
            <w:hideMark/>
          </w:tcPr>
          <w:p w14:paraId="77437DE0" w14:textId="77777777" w:rsidR="00916D38" w:rsidRPr="000D4E5B" w:rsidRDefault="00916D38" w:rsidP="001C4C83">
            <w:pPr>
              <w:pStyle w:val="TableHead"/>
              <w:jc w:val="left"/>
              <w:rPr>
                <w:sz w:val="22"/>
                <w:szCs w:val="22"/>
              </w:rPr>
            </w:pPr>
            <w:r w:rsidRPr="000D4E5B">
              <w:rPr>
                <w:sz w:val="22"/>
                <w:szCs w:val="22"/>
              </w:rPr>
              <w:t xml:space="preserve">PFS </w:t>
            </w:r>
            <w:r w:rsidRPr="000D4E5B">
              <w:rPr>
                <w:sz w:val="22"/>
                <w:szCs w:val="22"/>
                <w:lang w:val="en-AU"/>
              </w:rPr>
              <w:t>– DCO 30 June 2010</w:t>
            </w:r>
          </w:p>
        </w:tc>
      </w:tr>
      <w:tr w:rsidR="00916D38" w:rsidRPr="000D4E5B" w14:paraId="27E2B85E" w14:textId="77777777" w:rsidTr="001C4C83">
        <w:trPr>
          <w:cantSplit/>
        </w:trPr>
        <w:tc>
          <w:tcPr>
            <w:tcW w:w="3330" w:type="dxa"/>
            <w:tcMar>
              <w:top w:w="0" w:type="dxa"/>
              <w:left w:w="108" w:type="dxa"/>
              <w:bottom w:w="0" w:type="dxa"/>
              <w:right w:w="108" w:type="dxa"/>
            </w:tcMar>
            <w:hideMark/>
          </w:tcPr>
          <w:p w14:paraId="1CAF0A8D" w14:textId="77777777" w:rsidR="00916D38" w:rsidRPr="000D4E5B" w:rsidRDefault="00916D38" w:rsidP="001C4C83">
            <w:pPr>
              <w:pStyle w:val="TableLeft"/>
              <w:rPr>
                <w:sz w:val="22"/>
                <w:szCs w:val="22"/>
              </w:rPr>
            </w:pPr>
            <w:r w:rsidRPr="000D4E5B">
              <w:rPr>
                <w:sz w:val="22"/>
                <w:szCs w:val="22"/>
              </w:rPr>
              <w:t>Number of events: Total number of patients (%)</w:t>
            </w:r>
          </w:p>
        </w:tc>
        <w:tc>
          <w:tcPr>
            <w:tcW w:w="1530" w:type="dxa"/>
            <w:tcMar>
              <w:top w:w="0" w:type="dxa"/>
              <w:left w:w="108" w:type="dxa"/>
              <w:bottom w:w="0" w:type="dxa"/>
              <w:right w:w="108" w:type="dxa"/>
            </w:tcMar>
            <w:hideMark/>
          </w:tcPr>
          <w:p w14:paraId="02347A00" w14:textId="77777777" w:rsidR="00916D38" w:rsidRPr="000D4E5B" w:rsidRDefault="00916D38" w:rsidP="001C4C83">
            <w:pPr>
              <w:pStyle w:val="TableCenter"/>
              <w:rPr>
                <w:sz w:val="22"/>
                <w:szCs w:val="22"/>
              </w:rPr>
            </w:pPr>
            <w:r w:rsidRPr="000D4E5B">
              <w:rPr>
                <w:sz w:val="22"/>
                <w:szCs w:val="22"/>
                <w:lang w:val="en-AU"/>
              </w:rPr>
              <w:t>60:136 (44%)</w:t>
            </w:r>
          </w:p>
        </w:tc>
        <w:tc>
          <w:tcPr>
            <w:tcW w:w="1620" w:type="dxa"/>
            <w:tcMar>
              <w:top w:w="0" w:type="dxa"/>
              <w:left w:w="108" w:type="dxa"/>
              <w:bottom w:w="0" w:type="dxa"/>
              <w:right w:w="108" w:type="dxa"/>
            </w:tcMar>
            <w:hideMark/>
          </w:tcPr>
          <w:p w14:paraId="3238FD03" w14:textId="77777777" w:rsidR="00916D38" w:rsidRPr="000D4E5B" w:rsidRDefault="00916D38" w:rsidP="001C4C83">
            <w:pPr>
              <w:pStyle w:val="TableCenter"/>
              <w:rPr>
                <w:sz w:val="22"/>
                <w:szCs w:val="22"/>
              </w:rPr>
            </w:pPr>
            <w:r w:rsidRPr="000D4E5B">
              <w:rPr>
                <w:sz w:val="22"/>
                <w:szCs w:val="22"/>
                <w:lang w:val="en-AU"/>
              </w:rPr>
              <w:t>94:129 (73%)</w:t>
            </w:r>
          </w:p>
        </w:tc>
        <w:tc>
          <w:tcPr>
            <w:tcW w:w="1620" w:type="dxa"/>
            <w:tcMar>
              <w:top w:w="0" w:type="dxa"/>
              <w:left w:w="108" w:type="dxa"/>
              <w:bottom w:w="0" w:type="dxa"/>
              <w:right w:w="108" w:type="dxa"/>
            </w:tcMar>
            <w:hideMark/>
          </w:tcPr>
          <w:p w14:paraId="4F4F199C" w14:textId="77777777" w:rsidR="00916D38" w:rsidRPr="000D4E5B" w:rsidRDefault="00916D38" w:rsidP="001C4C83">
            <w:pPr>
              <w:pStyle w:val="TableCenter"/>
              <w:rPr>
                <w:sz w:val="22"/>
                <w:szCs w:val="22"/>
              </w:rPr>
            </w:pPr>
            <w:r w:rsidRPr="000D4E5B">
              <w:rPr>
                <w:sz w:val="22"/>
                <w:szCs w:val="22"/>
                <w:lang w:val="en-AU"/>
              </w:rPr>
              <w:t>26:74 (35%)</w:t>
            </w:r>
          </w:p>
        </w:tc>
        <w:tc>
          <w:tcPr>
            <w:tcW w:w="1440" w:type="dxa"/>
            <w:tcMar>
              <w:top w:w="0" w:type="dxa"/>
              <w:left w:w="108" w:type="dxa"/>
              <w:bottom w:w="0" w:type="dxa"/>
              <w:right w:w="108" w:type="dxa"/>
            </w:tcMar>
            <w:hideMark/>
          </w:tcPr>
          <w:p w14:paraId="28964506" w14:textId="77777777" w:rsidR="00916D38" w:rsidRPr="000D4E5B" w:rsidRDefault="00916D38" w:rsidP="001C4C83">
            <w:pPr>
              <w:pStyle w:val="TableCenter"/>
              <w:rPr>
                <w:sz w:val="22"/>
                <w:szCs w:val="22"/>
              </w:rPr>
            </w:pPr>
            <w:r w:rsidRPr="000D4E5B">
              <w:rPr>
                <w:sz w:val="22"/>
                <w:szCs w:val="22"/>
                <w:lang w:val="en-AU"/>
              </w:rPr>
              <w:t>46:62 (74%)</w:t>
            </w:r>
          </w:p>
        </w:tc>
      </w:tr>
      <w:tr w:rsidR="00916D38" w:rsidRPr="000D4E5B" w14:paraId="2F01F8CF" w14:textId="77777777" w:rsidTr="001C4C83">
        <w:trPr>
          <w:cantSplit/>
        </w:trPr>
        <w:tc>
          <w:tcPr>
            <w:tcW w:w="3330" w:type="dxa"/>
            <w:tcMar>
              <w:top w:w="0" w:type="dxa"/>
              <w:left w:w="108" w:type="dxa"/>
              <w:bottom w:w="0" w:type="dxa"/>
              <w:right w:w="108" w:type="dxa"/>
            </w:tcMar>
            <w:hideMark/>
          </w:tcPr>
          <w:p w14:paraId="3FC7C909" w14:textId="77777777" w:rsidR="00916D38" w:rsidRPr="000D4E5B" w:rsidRDefault="00916D38" w:rsidP="001C4C83">
            <w:pPr>
              <w:pStyle w:val="TableLeft"/>
              <w:rPr>
                <w:sz w:val="22"/>
                <w:szCs w:val="22"/>
              </w:rPr>
            </w:pPr>
            <w:r w:rsidRPr="000D4E5B">
              <w:rPr>
                <w:sz w:val="22"/>
                <w:szCs w:val="22"/>
              </w:rPr>
              <w:t xml:space="preserve">Median time (months) </w:t>
            </w:r>
          </w:p>
        </w:tc>
        <w:tc>
          <w:tcPr>
            <w:tcW w:w="1530" w:type="dxa"/>
            <w:tcMar>
              <w:top w:w="0" w:type="dxa"/>
              <w:left w:w="108" w:type="dxa"/>
              <w:bottom w:w="0" w:type="dxa"/>
              <w:right w:w="108" w:type="dxa"/>
            </w:tcMar>
          </w:tcPr>
          <w:p w14:paraId="6E7844C5" w14:textId="77777777" w:rsidR="00916D38" w:rsidRPr="000D4E5B" w:rsidRDefault="00916D38" w:rsidP="001C4C83">
            <w:pPr>
              <w:pStyle w:val="TableCenter"/>
              <w:rPr>
                <w:sz w:val="22"/>
                <w:szCs w:val="22"/>
              </w:rPr>
            </w:pPr>
            <w:r w:rsidRPr="000D4E5B">
              <w:rPr>
                <w:sz w:val="22"/>
                <w:szCs w:val="22"/>
              </w:rPr>
              <w:t>8.4</w:t>
            </w:r>
          </w:p>
        </w:tc>
        <w:tc>
          <w:tcPr>
            <w:tcW w:w="1620" w:type="dxa"/>
            <w:tcMar>
              <w:top w:w="0" w:type="dxa"/>
              <w:left w:w="108" w:type="dxa"/>
              <w:bottom w:w="0" w:type="dxa"/>
              <w:right w:w="108" w:type="dxa"/>
            </w:tcMar>
          </w:tcPr>
          <w:p w14:paraId="16F325FE" w14:textId="77777777" w:rsidR="00916D38" w:rsidRPr="000D4E5B" w:rsidRDefault="00916D38" w:rsidP="001C4C83">
            <w:pPr>
              <w:pStyle w:val="TableCenter"/>
              <w:rPr>
                <w:sz w:val="22"/>
                <w:szCs w:val="22"/>
              </w:rPr>
            </w:pPr>
            <w:r w:rsidRPr="000D4E5B">
              <w:rPr>
                <w:sz w:val="22"/>
                <w:szCs w:val="22"/>
              </w:rPr>
              <w:t>4.8</w:t>
            </w:r>
          </w:p>
        </w:tc>
        <w:tc>
          <w:tcPr>
            <w:tcW w:w="1620" w:type="dxa"/>
            <w:tcMar>
              <w:top w:w="0" w:type="dxa"/>
              <w:left w:w="108" w:type="dxa"/>
              <w:bottom w:w="0" w:type="dxa"/>
              <w:right w:w="108" w:type="dxa"/>
            </w:tcMar>
            <w:hideMark/>
          </w:tcPr>
          <w:p w14:paraId="09052E75" w14:textId="77777777" w:rsidR="00916D38" w:rsidRPr="000D4E5B" w:rsidRDefault="00916D38" w:rsidP="001C4C83">
            <w:pPr>
              <w:pStyle w:val="TableCenter"/>
              <w:rPr>
                <w:sz w:val="22"/>
                <w:szCs w:val="22"/>
              </w:rPr>
            </w:pPr>
            <w:r w:rsidRPr="000D4E5B">
              <w:rPr>
                <w:sz w:val="22"/>
                <w:szCs w:val="22"/>
              </w:rPr>
              <w:t>11.2</w:t>
            </w:r>
          </w:p>
        </w:tc>
        <w:tc>
          <w:tcPr>
            <w:tcW w:w="1440" w:type="dxa"/>
            <w:tcMar>
              <w:top w:w="0" w:type="dxa"/>
              <w:left w:w="108" w:type="dxa"/>
              <w:bottom w:w="0" w:type="dxa"/>
              <w:right w:w="108" w:type="dxa"/>
            </w:tcMar>
            <w:hideMark/>
          </w:tcPr>
          <w:p w14:paraId="26D40649" w14:textId="77777777" w:rsidR="00916D38" w:rsidRPr="000D4E5B" w:rsidRDefault="00916D38" w:rsidP="001C4C83">
            <w:pPr>
              <w:pStyle w:val="TableCenter"/>
              <w:rPr>
                <w:sz w:val="22"/>
                <w:szCs w:val="22"/>
              </w:rPr>
            </w:pPr>
            <w:r w:rsidRPr="000D4E5B">
              <w:rPr>
                <w:sz w:val="22"/>
                <w:szCs w:val="22"/>
              </w:rPr>
              <w:t>4.3</w:t>
            </w:r>
          </w:p>
        </w:tc>
      </w:tr>
      <w:tr w:rsidR="00916D38" w:rsidRPr="000D4E5B" w14:paraId="4D2501E4" w14:textId="77777777" w:rsidTr="001C4C83">
        <w:trPr>
          <w:cantSplit/>
        </w:trPr>
        <w:tc>
          <w:tcPr>
            <w:tcW w:w="3330" w:type="dxa"/>
            <w:tcMar>
              <w:top w:w="0" w:type="dxa"/>
              <w:left w:w="108" w:type="dxa"/>
              <w:bottom w:w="0" w:type="dxa"/>
              <w:right w:w="108" w:type="dxa"/>
            </w:tcMar>
            <w:hideMark/>
          </w:tcPr>
          <w:p w14:paraId="79B2F251" w14:textId="77777777" w:rsidR="00916D38" w:rsidRPr="000D4E5B" w:rsidRDefault="00916D38" w:rsidP="001C4C83">
            <w:pPr>
              <w:pStyle w:val="TableLeft"/>
              <w:rPr>
                <w:sz w:val="22"/>
                <w:szCs w:val="22"/>
              </w:rPr>
            </w:pPr>
            <w:r w:rsidRPr="000D4E5B">
              <w:rPr>
                <w:sz w:val="22"/>
                <w:szCs w:val="22"/>
              </w:rPr>
              <w:t xml:space="preserve">HR (95% CI) </w:t>
            </w:r>
            <w:r w:rsidRPr="000D4E5B">
              <w:rPr>
                <w:sz w:val="22"/>
                <w:szCs w:val="22"/>
                <w:vertAlign w:val="superscript"/>
              </w:rPr>
              <w:t>a</w:t>
            </w:r>
          </w:p>
        </w:tc>
        <w:tc>
          <w:tcPr>
            <w:tcW w:w="3150" w:type="dxa"/>
            <w:gridSpan w:val="2"/>
            <w:tcMar>
              <w:top w:w="0" w:type="dxa"/>
              <w:left w:w="108" w:type="dxa"/>
              <w:bottom w:w="0" w:type="dxa"/>
              <w:right w:w="108" w:type="dxa"/>
            </w:tcMar>
            <w:hideMark/>
          </w:tcPr>
          <w:p w14:paraId="6106F473" w14:textId="77777777" w:rsidR="00916D38" w:rsidRPr="000D4E5B" w:rsidRDefault="00916D38" w:rsidP="001C4C83">
            <w:pPr>
              <w:pStyle w:val="TableCenter"/>
              <w:rPr>
                <w:sz w:val="22"/>
                <w:szCs w:val="22"/>
              </w:rPr>
            </w:pPr>
            <w:r w:rsidRPr="000D4E5B">
              <w:rPr>
                <w:sz w:val="22"/>
                <w:szCs w:val="22"/>
                <w:lang w:val="en-AU"/>
              </w:rPr>
              <w:t>0.35 (0.25-0.49)</w:t>
            </w:r>
          </w:p>
        </w:tc>
        <w:tc>
          <w:tcPr>
            <w:tcW w:w="3060" w:type="dxa"/>
            <w:gridSpan w:val="2"/>
            <w:tcMar>
              <w:top w:w="0" w:type="dxa"/>
              <w:left w:w="108" w:type="dxa"/>
              <w:bottom w:w="0" w:type="dxa"/>
              <w:right w:w="108" w:type="dxa"/>
            </w:tcMar>
            <w:hideMark/>
          </w:tcPr>
          <w:p w14:paraId="62DCD6B0" w14:textId="77777777" w:rsidR="00916D38" w:rsidRPr="000D4E5B" w:rsidRDefault="00916D38" w:rsidP="001C4C83">
            <w:pPr>
              <w:pStyle w:val="TableCenter"/>
              <w:rPr>
                <w:sz w:val="22"/>
                <w:szCs w:val="22"/>
              </w:rPr>
            </w:pPr>
            <w:r w:rsidRPr="000D4E5B">
              <w:rPr>
                <w:sz w:val="22"/>
                <w:szCs w:val="22"/>
                <w:lang w:val="en-AU"/>
              </w:rPr>
              <w:t>0.18 (95% CI 0.10–0.31)</w:t>
            </w:r>
          </w:p>
        </w:tc>
      </w:tr>
      <w:tr w:rsidR="00916D38" w:rsidRPr="000D4E5B" w14:paraId="7E653BF9" w14:textId="77777777" w:rsidTr="001C4C83">
        <w:trPr>
          <w:cantSplit/>
        </w:trPr>
        <w:tc>
          <w:tcPr>
            <w:tcW w:w="3330" w:type="dxa"/>
            <w:tcMar>
              <w:top w:w="0" w:type="dxa"/>
              <w:left w:w="108" w:type="dxa"/>
              <w:bottom w:w="0" w:type="dxa"/>
              <w:right w:w="108" w:type="dxa"/>
            </w:tcMar>
            <w:hideMark/>
          </w:tcPr>
          <w:p w14:paraId="1FC66D82" w14:textId="77777777" w:rsidR="00916D38" w:rsidRPr="000D4E5B" w:rsidRDefault="00916D38" w:rsidP="001C4C83">
            <w:pPr>
              <w:pStyle w:val="TableLeft"/>
              <w:rPr>
                <w:sz w:val="22"/>
                <w:szCs w:val="22"/>
              </w:rPr>
            </w:pPr>
            <w:r w:rsidRPr="000D4E5B">
              <w:rPr>
                <w:sz w:val="22"/>
                <w:szCs w:val="22"/>
              </w:rPr>
              <w:t xml:space="preserve">P value* (2-sided) </w:t>
            </w:r>
          </w:p>
        </w:tc>
        <w:tc>
          <w:tcPr>
            <w:tcW w:w="3150" w:type="dxa"/>
            <w:gridSpan w:val="2"/>
            <w:tcMar>
              <w:top w:w="0" w:type="dxa"/>
              <w:left w:w="108" w:type="dxa"/>
              <w:bottom w:w="0" w:type="dxa"/>
              <w:right w:w="108" w:type="dxa"/>
            </w:tcMar>
            <w:hideMark/>
          </w:tcPr>
          <w:p w14:paraId="1A63DA5D" w14:textId="77777777" w:rsidR="00916D38" w:rsidRPr="000D4E5B" w:rsidRDefault="00916D38" w:rsidP="001C4C83">
            <w:pPr>
              <w:pStyle w:val="TableCenter"/>
              <w:rPr>
                <w:sz w:val="22"/>
                <w:szCs w:val="22"/>
              </w:rPr>
            </w:pPr>
            <w:r w:rsidRPr="000D4E5B">
              <w:rPr>
                <w:sz w:val="22"/>
                <w:szCs w:val="22"/>
              </w:rPr>
              <w:t>p&lt;0.00001</w:t>
            </w:r>
          </w:p>
        </w:tc>
        <w:tc>
          <w:tcPr>
            <w:tcW w:w="3060" w:type="dxa"/>
            <w:gridSpan w:val="2"/>
            <w:tcMar>
              <w:top w:w="0" w:type="dxa"/>
              <w:left w:w="108" w:type="dxa"/>
              <w:bottom w:w="0" w:type="dxa"/>
              <w:right w:w="108" w:type="dxa"/>
            </w:tcMar>
            <w:hideMark/>
          </w:tcPr>
          <w:p w14:paraId="03BCD5DD" w14:textId="77777777" w:rsidR="00916D38" w:rsidRPr="000D4E5B" w:rsidRDefault="00916D38" w:rsidP="001C4C83">
            <w:pPr>
              <w:pStyle w:val="TableCenter"/>
              <w:rPr>
                <w:sz w:val="22"/>
                <w:szCs w:val="22"/>
              </w:rPr>
            </w:pPr>
            <w:r w:rsidRPr="000D4E5B">
              <w:rPr>
                <w:sz w:val="22"/>
                <w:szCs w:val="22"/>
              </w:rPr>
              <w:t>p&lt;0.00001</w:t>
            </w:r>
          </w:p>
        </w:tc>
      </w:tr>
      <w:tr w:rsidR="00916D38" w:rsidRPr="000D4E5B" w14:paraId="74153F9A" w14:textId="77777777" w:rsidTr="001C4C83">
        <w:trPr>
          <w:cantSplit/>
        </w:trPr>
        <w:tc>
          <w:tcPr>
            <w:tcW w:w="9540" w:type="dxa"/>
            <w:gridSpan w:val="5"/>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0CBAC49C" w14:textId="77777777" w:rsidR="00916D38" w:rsidRPr="000D4E5B" w:rsidRDefault="00916D38" w:rsidP="001C4C83">
            <w:pPr>
              <w:pStyle w:val="TableHead"/>
              <w:jc w:val="left"/>
              <w:rPr>
                <w:sz w:val="22"/>
                <w:szCs w:val="22"/>
              </w:rPr>
            </w:pPr>
            <w:r w:rsidRPr="000D4E5B">
              <w:rPr>
                <w:sz w:val="22"/>
                <w:szCs w:val="22"/>
                <w:lang w:val="en-AU"/>
              </w:rPr>
              <w:t>OS - DCO 09 May 2016</w:t>
            </w:r>
          </w:p>
        </w:tc>
      </w:tr>
      <w:tr w:rsidR="00916D38" w:rsidRPr="000D4E5B" w14:paraId="4452C98E" w14:textId="77777777" w:rsidTr="001C4C83">
        <w:trPr>
          <w:cantSplit/>
        </w:trPr>
        <w:tc>
          <w:tcPr>
            <w:tcW w:w="3330" w:type="dxa"/>
            <w:tcMar>
              <w:top w:w="0" w:type="dxa"/>
              <w:left w:w="108" w:type="dxa"/>
              <w:bottom w:w="0" w:type="dxa"/>
              <w:right w:w="108" w:type="dxa"/>
            </w:tcMar>
            <w:hideMark/>
          </w:tcPr>
          <w:p w14:paraId="6E35FA38" w14:textId="77777777" w:rsidR="00916D38" w:rsidRPr="000D4E5B" w:rsidRDefault="00916D38" w:rsidP="001C4C83">
            <w:pPr>
              <w:pStyle w:val="TableLeft"/>
              <w:rPr>
                <w:sz w:val="22"/>
                <w:szCs w:val="22"/>
              </w:rPr>
            </w:pPr>
            <w:r w:rsidRPr="000D4E5B">
              <w:rPr>
                <w:sz w:val="22"/>
                <w:szCs w:val="22"/>
              </w:rPr>
              <w:t>Number of events: Total number of patients (%)</w:t>
            </w:r>
          </w:p>
        </w:tc>
        <w:tc>
          <w:tcPr>
            <w:tcW w:w="1530" w:type="dxa"/>
            <w:tcMar>
              <w:top w:w="0" w:type="dxa"/>
              <w:left w:w="108" w:type="dxa"/>
              <w:bottom w:w="0" w:type="dxa"/>
              <w:right w:w="108" w:type="dxa"/>
            </w:tcMar>
            <w:hideMark/>
          </w:tcPr>
          <w:p w14:paraId="27CD192D" w14:textId="77777777" w:rsidR="00916D38" w:rsidRPr="000D4E5B" w:rsidRDefault="00916D38" w:rsidP="001C4C83">
            <w:pPr>
              <w:pStyle w:val="TableCenter"/>
              <w:rPr>
                <w:sz w:val="22"/>
                <w:szCs w:val="22"/>
              </w:rPr>
            </w:pPr>
            <w:r w:rsidRPr="000D4E5B">
              <w:rPr>
                <w:sz w:val="22"/>
                <w:szCs w:val="22"/>
              </w:rPr>
              <w:t>98:136 (72%)</w:t>
            </w:r>
          </w:p>
        </w:tc>
        <w:tc>
          <w:tcPr>
            <w:tcW w:w="1620" w:type="dxa"/>
            <w:tcMar>
              <w:top w:w="0" w:type="dxa"/>
              <w:left w:w="108" w:type="dxa"/>
              <w:bottom w:w="0" w:type="dxa"/>
              <w:right w:w="108" w:type="dxa"/>
            </w:tcMar>
            <w:hideMark/>
          </w:tcPr>
          <w:p w14:paraId="024B9D4E" w14:textId="77777777" w:rsidR="00916D38" w:rsidRPr="000D4E5B" w:rsidRDefault="00916D38" w:rsidP="001C4C83">
            <w:pPr>
              <w:pStyle w:val="TableCenter"/>
              <w:rPr>
                <w:sz w:val="22"/>
                <w:szCs w:val="22"/>
              </w:rPr>
            </w:pPr>
            <w:r w:rsidRPr="000D4E5B">
              <w:rPr>
                <w:sz w:val="22"/>
                <w:szCs w:val="22"/>
              </w:rPr>
              <w:t>112:129 (87%)</w:t>
            </w:r>
            <w:r w:rsidRPr="000D4E5B">
              <w:rPr>
                <w:b/>
                <w:bCs/>
                <w:sz w:val="22"/>
                <w:szCs w:val="22"/>
                <w:vertAlign w:val="superscript"/>
              </w:rPr>
              <w:t>b</w:t>
            </w:r>
          </w:p>
        </w:tc>
        <w:tc>
          <w:tcPr>
            <w:tcW w:w="1620" w:type="dxa"/>
            <w:tcMar>
              <w:top w:w="0" w:type="dxa"/>
              <w:left w:w="108" w:type="dxa"/>
              <w:bottom w:w="0" w:type="dxa"/>
              <w:right w:w="108" w:type="dxa"/>
            </w:tcMar>
            <w:hideMark/>
          </w:tcPr>
          <w:p w14:paraId="29DE7787" w14:textId="77777777" w:rsidR="00916D38" w:rsidRPr="000D4E5B" w:rsidRDefault="00916D38" w:rsidP="001C4C83">
            <w:pPr>
              <w:pStyle w:val="TableCenter"/>
              <w:rPr>
                <w:sz w:val="22"/>
                <w:szCs w:val="22"/>
              </w:rPr>
            </w:pPr>
            <w:r w:rsidRPr="000D4E5B">
              <w:rPr>
                <w:sz w:val="22"/>
                <w:szCs w:val="22"/>
              </w:rPr>
              <w:t>112:129 (66%)</w:t>
            </w:r>
          </w:p>
        </w:tc>
        <w:tc>
          <w:tcPr>
            <w:tcW w:w="1440" w:type="dxa"/>
            <w:tcMar>
              <w:top w:w="0" w:type="dxa"/>
              <w:left w:w="108" w:type="dxa"/>
              <w:bottom w:w="0" w:type="dxa"/>
              <w:right w:w="108" w:type="dxa"/>
            </w:tcMar>
            <w:hideMark/>
          </w:tcPr>
          <w:p w14:paraId="569C46BE" w14:textId="77777777" w:rsidR="00916D38" w:rsidRPr="000D4E5B" w:rsidRDefault="00916D38" w:rsidP="001C4C83">
            <w:pPr>
              <w:pStyle w:val="TableCenter"/>
              <w:rPr>
                <w:sz w:val="22"/>
                <w:szCs w:val="22"/>
              </w:rPr>
            </w:pPr>
            <w:r w:rsidRPr="000D4E5B">
              <w:rPr>
                <w:sz w:val="22"/>
                <w:szCs w:val="22"/>
              </w:rPr>
              <w:t>50:62 (81%)</w:t>
            </w:r>
            <w:r w:rsidRPr="000D4E5B">
              <w:rPr>
                <w:b/>
                <w:bCs/>
                <w:sz w:val="22"/>
                <w:szCs w:val="22"/>
                <w:vertAlign w:val="superscript"/>
              </w:rPr>
              <w:t>b</w:t>
            </w:r>
          </w:p>
        </w:tc>
      </w:tr>
      <w:tr w:rsidR="00916D38" w:rsidRPr="000D4E5B" w14:paraId="28D37FE5" w14:textId="77777777" w:rsidTr="001C4C83">
        <w:trPr>
          <w:cantSplit/>
        </w:trPr>
        <w:tc>
          <w:tcPr>
            <w:tcW w:w="3330" w:type="dxa"/>
            <w:tcMar>
              <w:top w:w="0" w:type="dxa"/>
              <w:left w:w="108" w:type="dxa"/>
              <w:bottom w:w="0" w:type="dxa"/>
              <w:right w:w="108" w:type="dxa"/>
            </w:tcMar>
            <w:hideMark/>
          </w:tcPr>
          <w:p w14:paraId="370B20F5" w14:textId="77777777" w:rsidR="00916D38" w:rsidRPr="000D4E5B" w:rsidRDefault="00916D38" w:rsidP="001C4C83">
            <w:pPr>
              <w:pStyle w:val="TableLeft"/>
              <w:rPr>
                <w:sz w:val="22"/>
                <w:szCs w:val="22"/>
              </w:rPr>
            </w:pPr>
            <w:r w:rsidRPr="000D4E5B">
              <w:rPr>
                <w:sz w:val="22"/>
                <w:szCs w:val="22"/>
              </w:rPr>
              <w:t xml:space="preserve">Median time (months) </w:t>
            </w:r>
          </w:p>
        </w:tc>
        <w:tc>
          <w:tcPr>
            <w:tcW w:w="1530" w:type="dxa"/>
            <w:tcMar>
              <w:top w:w="0" w:type="dxa"/>
              <w:left w:w="108" w:type="dxa"/>
              <w:bottom w:w="0" w:type="dxa"/>
              <w:right w:w="108" w:type="dxa"/>
            </w:tcMar>
            <w:hideMark/>
          </w:tcPr>
          <w:p w14:paraId="40FC1EB6" w14:textId="77777777" w:rsidR="00916D38" w:rsidRPr="000D4E5B" w:rsidRDefault="00916D38" w:rsidP="001C4C83">
            <w:pPr>
              <w:pStyle w:val="TableCenter"/>
              <w:rPr>
                <w:sz w:val="22"/>
                <w:szCs w:val="22"/>
              </w:rPr>
            </w:pPr>
            <w:r w:rsidRPr="000D4E5B">
              <w:rPr>
                <w:sz w:val="22"/>
                <w:szCs w:val="22"/>
              </w:rPr>
              <w:t>29.8</w:t>
            </w:r>
          </w:p>
        </w:tc>
        <w:tc>
          <w:tcPr>
            <w:tcW w:w="1620" w:type="dxa"/>
            <w:tcMar>
              <w:top w:w="0" w:type="dxa"/>
              <w:left w:w="108" w:type="dxa"/>
              <w:bottom w:w="0" w:type="dxa"/>
              <w:right w:w="108" w:type="dxa"/>
            </w:tcMar>
            <w:hideMark/>
          </w:tcPr>
          <w:p w14:paraId="2332FF71" w14:textId="77777777" w:rsidR="00916D38" w:rsidRPr="000D4E5B" w:rsidRDefault="00916D38" w:rsidP="001C4C83">
            <w:pPr>
              <w:pStyle w:val="TableCenter"/>
              <w:rPr>
                <w:sz w:val="22"/>
                <w:szCs w:val="22"/>
              </w:rPr>
            </w:pPr>
            <w:r w:rsidRPr="000D4E5B">
              <w:rPr>
                <w:sz w:val="22"/>
                <w:szCs w:val="22"/>
              </w:rPr>
              <w:t>27.8</w:t>
            </w:r>
          </w:p>
        </w:tc>
        <w:tc>
          <w:tcPr>
            <w:tcW w:w="1620" w:type="dxa"/>
            <w:tcMar>
              <w:top w:w="0" w:type="dxa"/>
              <w:left w:w="108" w:type="dxa"/>
              <w:bottom w:w="0" w:type="dxa"/>
              <w:right w:w="108" w:type="dxa"/>
            </w:tcMar>
            <w:hideMark/>
          </w:tcPr>
          <w:p w14:paraId="767E44ED" w14:textId="77777777" w:rsidR="00916D38" w:rsidRPr="000D4E5B" w:rsidRDefault="00916D38" w:rsidP="001C4C83">
            <w:pPr>
              <w:pStyle w:val="TableCenter"/>
              <w:rPr>
                <w:sz w:val="22"/>
                <w:szCs w:val="22"/>
              </w:rPr>
            </w:pPr>
            <w:r w:rsidRPr="000D4E5B">
              <w:rPr>
                <w:sz w:val="22"/>
                <w:szCs w:val="22"/>
              </w:rPr>
              <w:t>34.9</w:t>
            </w:r>
          </w:p>
        </w:tc>
        <w:tc>
          <w:tcPr>
            <w:tcW w:w="1440" w:type="dxa"/>
            <w:tcMar>
              <w:top w:w="0" w:type="dxa"/>
              <w:left w:w="108" w:type="dxa"/>
              <w:bottom w:w="0" w:type="dxa"/>
              <w:right w:w="108" w:type="dxa"/>
            </w:tcMar>
            <w:hideMark/>
          </w:tcPr>
          <w:p w14:paraId="65271EBF" w14:textId="77777777" w:rsidR="00916D38" w:rsidRPr="000D4E5B" w:rsidRDefault="00916D38" w:rsidP="001C4C83">
            <w:pPr>
              <w:pStyle w:val="TableCenter"/>
              <w:rPr>
                <w:sz w:val="22"/>
                <w:szCs w:val="22"/>
              </w:rPr>
            </w:pPr>
            <w:r w:rsidRPr="000D4E5B">
              <w:rPr>
                <w:sz w:val="22"/>
                <w:szCs w:val="22"/>
              </w:rPr>
              <w:t>30.2</w:t>
            </w:r>
          </w:p>
        </w:tc>
      </w:tr>
      <w:tr w:rsidR="00916D38" w:rsidRPr="000D4E5B" w14:paraId="3E642FEF" w14:textId="77777777" w:rsidTr="001C4C83">
        <w:trPr>
          <w:cantSplit/>
        </w:trPr>
        <w:tc>
          <w:tcPr>
            <w:tcW w:w="3330" w:type="dxa"/>
            <w:tcMar>
              <w:top w:w="0" w:type="dxa"/>
              <w:left w:w="108" w:type="dxa"/>
              <w:bottom w:w="0" w:type="dxa"/>
              <w:right w:w="108" w:type="dxa"/>
            </w:tcMar>
            <w:hideMark/>
          </w:tcPr>
          <w:p w14:paraId="54DE4D5B" w14:textId="77777777" w:rsidR="00916D38" w:rsidRPr="000D4E5B" w:rsidRDefault="00916D38" w:rsidP="001C4C83">
            <w:pPr>
              <w:pStyle w:val="TableLeft"/>
              <w:rPr>
                <w:sz w:val="22"/>
                <w:szCs w:val="22"/>
              </w:rPr>
            </w:pPr>
            <w:r w:rsidRPr="000D4E5B">
              <w:rPr>
                <w:sz w:val="22"/>
                <w:szCs w:val="22"/>
              </w:rPr>
              <w:t>HR (95% CI)</w:t>
            </w:r>
            <w:r w:rsidRPr="000D4E5B">
              <w:rPr>
                <w:sz w:val="22"/>
                <w:szCs w:val="22"/>
                <w:vertAlign w:val="superscript"/>
              </w:rPr>
              <w:t xml:space="preserve"> a</w:t>
            </w:r>
          </w:p>
        </w:tc>
        <w:tc>
          <w:tcPr>
            <w:tcW w:w="3150" w:type="dxa"/>
            <w:gridSpan w:val="2"/>
            <w:tcMar>
              <w:top w:w="0" w:type="dxa"/>
              <w:left w:w="108" w:type="dxa"/>
              <w:bottom w:w="0" w:type="dxa"/>
              <w:right w:w="108" w:type="dxa"/>
            </w:tcMar>
            <w:hideMark/>
          </w:tcPr>
          <w:p w14:paraId="6F4A7BBD" w14:textId="77777777" w:rsidR="00916D38" w:rsidRPr="000D4E5B" w:rsidRDefault="00916D38" w:rsidP="001C4C83">
            <w:pPr>
              <w:pStyle w:val="TableCenter"/>
              <w:rPr>
                <w:sz w:val="22"/>
                <w:szCs w:val="22"/>
              </w:rPr>
            </w:pPr>
            <w:r w:rsidRPr="000D4E5B">
              <w:rPr>
                <w:sz w:val="22"/>
                <w:szCs w:val="22"/>
              </w:rPr>
              <w:t>0.73 (95% CI 0.55–95)</w:t>
            </w:r>
          </w:p>
        </w:tc>
        <w:tc>
          <w:tcPr>
            <w:tcW w:w="3060" w:type="dxa"/>
            <w:gridSpan w:val="2"/>
            <w:tcMar>
              <w:top w:w="0" w:type="dxa"/>
              <w:left w:w="108" w:type="dxa"/>
              <w:bottom w:w="0" w:type="dxa"/>
              <w:right w:w="108" w:type="dxa"/>
            </w:tcMar>
            <w:hideMark/>
          </w:tcPr>
          <w:p w14:paraId="177A0024" w14:textId="77777777" w:rsidR="00916D38" w:rsidRPr="000D4E5B" w:rsidRDefault="00916D38" w:rsidP="001C4C83">
            <w:pPr>
              <w:pStyle w:val="TableCenter"/>
              <w:rPr>
                <w:sz w:val="22"/>
                <w:szCs w:val="22"/>
              </w:rPr>
            </w:pPr>
            <w:r w:rsidRPr="000D4E5B">
              <w:rPr>
                <w:sz w:val="22"/>
                <w:szCs w:val="22"/>
              </w:rPr>
              <w:t>0.62 (95% CI 0.42-0.93)</w:t>
            </w:r>
          </w:p>
        </w:tc>
      </w:tr>
      <w:tr w:rsidR="00916D38" w:rsidRPr="000D4E5B" w14:paraId="12B3F7C2" w14:textId="77777777" w:rsidTr="00C67915">
        <w:trPr>
          <w:cantSplit/>
        </w:trPr>
        <w:tc>
          <w:tcPr>
            <w:tcW w:w="3330" w:type="dxa"/>
            <w:tcBorders>
              <w:top w:val="nil"/>
              <w:left w:val="nil"/>
              <w:bottom w:val="single" w:sz="8" w:space="0" w:color="auto"/>
              <w:right w:val="nil"/>
            </w:tcBorders>
            <w:tcMar>
              <w:top w:w="0" w:type="dxa"/>
              <w:left w:w="108" w:type="dxa"/>
              <w:bottom w:w="0" w:type="dxa"/>
              <w:right w:w="108" w:type="dxa"/>
            </w:tcMar>
            <w:hideMark/>
          </w:tcPr>
          <w:p w14:paraId="248FA8E9" w14:textId="77777777" w:rsidR="00916D38" w:rsidRPr="000D4E5B" w:rsidRDefault="00916D38" w:rsidP="001C4C83">
            <w:pPr>
              <w:pStyle w:val="TableLeft"/>
              <w:rPr>
                <w:sz w:val="22"/>
                <w:szCs w:val="22"/>
              </w:rPr>
            </w:pPr>
            <w:r w:rsidRPr="000D4E5B">
              <w:rPr>
                <w:sz w:val="22"/>
                <w:szCs w:val="22"/>
              </w:rPr>
              <w:t>P value* (2-sided)</w:t>
            </w:r>
          </w:p>
        </w:tc>
        <w:tc>
          <w:tcPr>
            <w:tcW w:w="3150" w:type="dxa"/>
            <w:gridSpan w:val="2"/>
            <w:tcBorders>
              <w:top w:val="nil"/>
              <w:left w:val="nil"/>
              <w:bottom w:val="single" w:sz="8" w:space="0" w:color="auto"/>
              <w:right w:val="nil"/>
            </w:tcBorders>
            <w:tcMar>
              <w:top w:w="0" w:type="dxa"/>
              <w:left w:w="108" w:type="dxa"/>
              <w:bottom w:w="0" w:type="dxa"/>
              <w:right w:w="108" w:type="dxa"/>
            </w:tcMar>
            <w:hideMark/>
          </w:tcPr>
          <w:p w14:paraId="364FB841" w14:textId="77777777" w:rsidR="00916D38" w:rsidRPr="000D4E5B" w:rsidRDefault="00916D38" w:rsidP="001C4C83">
            <w:pPr>
              <w:pStyle w:val="TableCenter"/>
              <w:rPr>
                <w:sz w:val="22"/>
                <w:szCs w:val="22"/>
              </w:rPr>
            </w:pPr>
            <w:r w:rsidRPr="000D4E5B">
              <w:rPr>
                <w:sz w:val="22"/>
                <w:szCs w:val="22"/>
              </w:rPr>
              <w:t>p=0.02138</w:t>
            </w:r>
          </w:p>
        </w:tc>
        <w:tc>
          <w:tcPr>
            <w:tcW w:w="3060" w:type="dxa"/>
            <w:gridSpan w:val="2"/>
            <w:tcBorders>
              <w:top w:val="nil"/>
              <w:left w:val="nil"/>
              <w:bottom w:val="single" w:sz="8" w:space="0" w:color="auto"/>
              <w:right w:val="nil"/>
            </w:tcBorders>
            <w:tcMar>
              <w:top w:w="0" w:type="dxa"/>
              <w:left w:w="108" w:type="dxa"/>
              <w:bottom w:w="0" w:type="dxa"/>
              <w:right w:w="108" w:type="dxa"/>
            </w:tcMar>
            <w:hideMark/>
          </w:tcPr>
          <w:p w14:paraId="2B5C65A3" w14:textId="77777777" w:rsidR="00916D38" w:rsidRPr="000D4E5B" w:rsidRDefault="00916D38" w:rsidP="001C4C83">
            <w:pPr>
              <w:pStyle w:val="TableCenter"/>
              <w:rPr>
                <w:sz w:val="22"/>
                <w:szCs w:val="22"/>
              </w:rPr>
            </w:pPr>
            <w:r w:rsidRPr="000D4E5B">
              <w:rPr>
                <w:sz w:val="22"/>
                <w:szCs w:val="22"/>
              </w:rPr>
              <w:t>p=0.02140</w:t>
            </w:r>
          </w:p>
        </w:tc>
      </w:tr>
    </w:tbl>
    <w:p w14:paraId="1D348347" w14:textId="3CCB454E" w:rsidR="00916D38" w:rsidRPr="000D4E5B" w:rsidRDefault="00916D38" w:rsidP="00916D38">
      <w:pPr>
        <w:pStyle w:val="TableFootnoteInfo"/>
        <w:spacing w:after="0"/>
        <w:ind w:left="360" w:hanging="360"/>
      </w:pPr>
      <w:r w:rsidRPr="000D4E5B">
        <w:t>*</w:t>
      </w:r>
      <w:r w:rsidRPr="000D4E5B">
        <w:tab/>
        <w:t xml:space="preserve">There were no multiplicity strategies in place for the sub-group analyses or for the </w:t>
      </w:r>
      <w:r w:rsidR="003E2A00" w:rsidRPr="000D4E5B">
        <w:t>a</w:t>
      </w:r>
      <w:r w:rsidRPr="000D4E5B">
        <w:t xml:space="preserve">ll patients, </w:t>
      </w:r>
    </w:p>
    <w:p w14:paraId="029CFE4F" w14:textId="10011853" w:rsidR="00916D38" w:rsidRPr="000D4E5B" w:rsidRDefault="00916D38" w:rsidP="00916D38">
      <w:pPr>
        <w:pStyle w:val="TableFootnoteInfo"/>
        <w:spacing w:before="0"/>
        <w:ind w:left="360" w:hanging="360"/>
      </w:pPr>
      <w:r w:rsidRPr="000D4E5B">
        <w:rPr>
          <w:sz w:val="24"/>
          <w:szCs w:val="24"/>
          <w:vertAlign w:val="superscript"/>
        </w:rPr>
        <w:t>a</w:t>
      </w:r>
      <w:r w:rsidRPr="000D4E5B">
        <w:tab/>
        <w:t xml:space="preserve">HR=Hazard Ratio. A value &lt;1 favours LYNPARZA. A value &lt;1 favours </w:t>
      </w:r>
      <w:proofErr w:type="spellStart"/>
      <w:r w:rsidRPr="000D4E5B">
        <w:t>olaparib</w:t>
      </w:r>
      <w:proofErr w:type="spellEnd"/>
      <w:r w:rsidRPr="000D4E5B">
        <w:t>. The analysis was performed using a Cox proportional hazards model with factors for treatment, ethnic descent, platinum sensitivity and response to final platinum therapy.</w:t>
      </w:r>
    </w:p>
    <w:p w14:paraId="5BD4C310" w14:textId="77777777" w:rsidR="00916D38" w:rsidRPr="000D4E5B" w:rsidRDefault="00916D38" w:rsidP="00916D38">
      <w:pPr>
        <w:pStyle w:val="TableFootnoteInfo"/>
        <w:spacing w:before="0" w:after="0"/>
        <w:ind w:left="360" w:hanging="360"/>
      </w:pPr>
      <w:r w:rsidRPr="000D4E5B">
        <w:rPr>
          <w:sz w:val="24"/>
          <w:szCs w:val="24"/>
          <w:vertAlign w:val="superscript"/>
        </w:rPr>
        <w:t>b</w:t>
      </w:r>
      <w:r w:rsidRPr="000D4E5B">
        <w:tab/>
        <w:t xml:space="preserve">Approximately a quarter of placebo-treated patients in the </w:t>
      </w:r>
      <w:r w:rsidRPr="000D4E5B">
        <w:rPr>
          <w:i/>
        </w:rPr>
        <w:t>BRCA</w:t>
      </w:r>
      <w:r w:rsidRPr="000D4E5B">
        <w:t>-mutated subgroup (14/62; 22.6%) received a subsequent PARP inhibitor.</w:t>
      </w:r>
    </w:p>
    <w:p w14:paraId="3B022BE2" w14:textId="6AAE83C9" w:rsidR="00E905F7" w:rsidRPr="000D4E5B" w:rsidRDefault="00916D38" w:rsidP="00E905F7">
      <w:pPr>
        <w:pStyle w:val="TableFootnoteInfo"/>
      </w:pPr>
      <w:r w:rsidRPr="000D4E5B">
        <w:t xml:space="preserve">OS </w:t>
      </w:r>
      <w:r w:rsidR="009D199C" w:rsidRPr="000D4E5B">
        <w:t>O</w:t>
      </w:r>
      <w:r w:rsidRPr="000D4E5B">
        <w:t xml:space="preserve">verall survival; PFS </w:t>
      </w:r>
      <w:r w:rsidR="009D199C" w:rsidRPr="000D4E5B">
        <w:t>P</w:t>
      </w:r>
      <w:r w:rsidRPr="000D4E5B">
        <w:t xml:space="preserve">rogression-free survival; CI </w:t>
      </w:r>
      <w:r w:rsidR="009D199C" w:rsidRPr="000D4E5B">
        <w:t>C</w:t>
      </w:r>
      <w:r w:rsidRPr="000D4E5B">
        <w:t>onfidence interval</w:t>
      </w:r>
    </w:p>
    <w:p w14:paraId="620B0568" w14:textId="77777777" w:rsidR="00A443AC" w:rsidRPr="000D4E5B" w:rsidRDefault="00A443AC">
      <w:pPr>
        <w:spacing w:after="200"/>
        <w:rPr>
          <w:b/>
          <w:bCs/>
          <w:i/>
          <w:szCs w:val="22"/>
        </w:rPr>
      </w:pPr>
      <w:r w:rsidRPr="000D4E5B">
        <w:br w:type="page"/>
      </w:r>
    </w:p>
    <w:p w14:paraId="1C1CEFB9" w14:textId="5EB7A53F" w:rsidR="00505766" w:rsidRPr="000D4E5B" w:rsidRDefault="006810D3" w:rsidP="001B1165">
      <w:pPr>
        <w:pStyle w:val="Paragraph"/>
      </w:pPr>
      <w:r w:rsidRPr="000D4E5B">
        <w:rPr>
          <w:iCs/>
        </w:rPr>
        <w:t>First-line Maintenance Treatment of HRD-positive Advanced Ovarian Cancer</w:t>
      </w:r>
      <w:r w:rsidR="00A443AC" w:rsidRPr="000D4E5B">
        <w:t xml:space="preserve">PAOLA-1 (NCT02477644) was a </w:t>
      </w:r>
      <w:r w:rsidR="00345129" w:rsidRPr="000D4E5B">
        <w:rPr>
          <w:lang w:val="en-US"/>
        </w:rPr>
        <w:t>Phase III</w:t>
      </w:r>
      <w:r w:rsidR="00345129" w:rsidRPr="000D4E5B">
        <w:t xml:space="preserve"> </w:t>
      </w:r>
      <w:r w:rsidR="00A443AC" w:rsidRPr="000D4E5B">
        <w:t>randomi</w:t>
      </w:r>
      <w:r w:rsidR="00345129" w:rsidRPr="000D4E5B">
        <w:t>s</w:t>
      </w:r>
      <w:r w:rsidR="00A443AC" w:rsidRPr="000D4E5B">
        <w:t>ed, double-blind, placebo-controlled, multi-</w:t>
      </w:r>
      <w:r w:rsidR="00542A51" w:rsidRPr="000D4E5B">
        <w:t>centre</w:t>
      </w:r>
      <w:r w:rsidR="00A443AC" w:rsidRPr="000D4E5B">
        <w:t xml:space="preserve"> trial that compared the efficacy of Lynparza in combination with bevacizumab versus</w:t>
      </w:r>
      <w:r w:rsidR="00542A51" w:rsidRPr="000D4E5B">
        <w:t xml:space="preserve"> </w:t>
      </w:r>
      <w:r w:rsidR="00A443AC" w:rsidRPr="000D4E5B">
        <w:t>placebo/</w:t>
      </w:r>
      <w:r w:rsidR="00542A51" w:rsidRPr="000D4E5B">
        <w:t xml:space="preserve"> </w:t>
      </w:r>
      <w:r w:rsidR="00A443AC" w:rsidRPr="000D4E5B">
        <w:t>bevacizumab for the maintenance treatment of advanced high-grade epithelial ovarian cancer, fallopian tube or primary peritoneal cancer following first-line platinum-based chemotherapy and bevacizumab. Randomi</w:t>
      </w:r>
      <w:r w:rsidR="004350C6" w:rsidRPr="000D4E5B">
        <w:t>s</w:t>
      </w:r>
      <w:r w:rsidR="00A443AC" w:rsidRPr="000D4E5B">
        <w:t xml:space="preserve">ation was stratified by first-line treatment outcome (timing and outcome of </w:t>
      </w:r>
      <w:proofErr w:type="spellStart"/>
      <w:r w:rsidR="00A443AC" w:rsidRPr="000D4E5B">
        <w:t>cytoreductive</w:t>
      </w:r>
      <w:proofErr w:type="spellEnd"/>
      <w:r w:rsidR="00A443AC" w:rsidRPr="000D4E5B">
        <w:t xml:space="preserve"> surgery and response to platinum-based chemotherapy) and </w:t>
      </w:r>
      <w:proofErr w:type="spellStart"/>
      <w:r w:rsidR="00A443AC" w:rsidRPr="000D4E5B">
        <w:t>t</w:t>
      </w:r>
      <w:r w:rsidR="00A443AC" w:rsidRPr="000D4E5B">
        <w:rPr>
          <w:i/>
          <w:iCs/>
        </w:rPr>
        <w:t>BRCAm</w:t>
      </w:r>
      <w:proofErr w:type="spellEnd"/>
      <w:r w:rsidR="00A443AC" w:rsidRPr="000D4E5B">
        <w:t xml:space="preserve"> status, determined by prospective local testing. All available clinical samples were retrospectively tested with Myriad </w:t>
      </w:r>
      <w:proofErr w:type="spellStart"/>
      <w:r w:rsidR="00A443AC" w:rsidRPr="000D4E5B">
        <w:t>myChoice</w:t>
      </w:r>
      <w:proofErr w:type="spellEnd"/>
      <w:r w:rsidR="00A443AC" w:rsidRPr="000D4E5B">
        <w:rPr>
          <w:vertAlign w:val="superscript"/>
        </w:rPr>
        <w:t>®</w:t>
      </w:r>
      <w:r w:rsidR="00A443AC" w:rsidRPr="000D4E5B">
        <w:t xml:space="preserve"> </w:t>
      </w:r>
      <w:proofErr w:type="spellStart"/>
      <w:r w:rsidR="00A443AC" w:rsidRPr="000D4E5B">
        <w:t>CDx</w:t>
      </w:r>
      <w:proofErr w:type="spellEnd"/>
      <w:r w:rsidR="00A443AC" w:rsidRPr="000D4E5B">
        <w:t>. Patients were required to have no evidence of disease (NED) due to complete surgical resection, or who were in complete response (CR), or partial response (PR) following completion of first-line platinum-containing</w:t>
      </w:r>
      <w:r w:rsidR="00505766" w:rsidRPr="000D4E5B">
        <w:t xml:space="preserve"> </w:t>
      </w:r>
      <w:r w:rsidR="00A443AC" w:rsidRPr="000D4E5B">
        <w:t>chemotherapy and bevacizumab. Patients were randomized (2:1) to receive Lynparza tablets 300 mg</w:t>
      </w:r>
      <w:r w:rsidR="00505766" w:rsidRPr="000D4E5B">
        <w:t xml:space="preserve"> </w:t>
      </w:r>
      <w:r w:rsidR="00A443AC" w:rsidRPr="000D4E5B">
        <w:t>orally twice daily in combination with bevacizumab (n=537) 15 mg/kg every three weeks or</w:t>
      </w:r>
      <w:r w:rsidR="00505766" w:rsidRPr="000D4E5B">
        <w:t xml:space="preserve"> </w:t>
      </w:r>
      <w:r w:rsidR="004350C6" w:rsidRPr="000D4E5B">
        <w:t xml:space="preserve">placebo/bevacizumab (n=269) Patients continued bevacizumab in the maintenance setting and started treatment </w:t>
      </w:r>
      <w:r w:rsidR="00505766" w:rsidRPr="000D4E5B">
        <w:t>with Lynparza after a minimum of 3 weeks and up to a maximum of 9 weeks following completion of their last dose of chemotherapy. Lynparza treatment was continued for up to 2 years or until progression of the underlying disease or unacceptable toxicity. Patients who in the opinion of the treating physician could derive further benefit from continuous treatment could be treated beyond 2 years.</w:t>
      </w:r>
      <w:r w:rsidR="004350C6" w:rsidRPr="000D4E5B">
        <w:t xml:space="preserve"> </w:t>
      </w:r>
      <w:r w:rsidR="00505766" w:rsidRPr="000D4E5B">
        <w:t>Treatment with bevacizumab was for a total of up to 15 months, including the period given with</w:t>
      </w:r>
      <w:r w:rsidR="004350C6" w:rsidRPr="000D4E5B">
        <w:t xml:space="preserve"> </w:t>
      </w:r>
      <w:r w:rsidR="00505766" w:rsidRPr="000D4E5B">
        <w:t>chemotherapy and given as maintenance.</w:t>
      </w:r>
    </w:p>
    <w:p w14:paraId="3DEA8ED6" w14:textId="3CDEFDF6" w:rsidR="00A443AC" w:rsidRPr="000D4E5B" w:rsidRDefault="00505766" w:rsidP="001B1165">
      <w:pPr>
        <w:pStyle w:val="Paragraph"/>
      </w:pPr>
      <w:r w:rsidRPr="000D4E5B">
        <w:t>The major efficacy outcome measure was investigator-assessed PFS evaluated according to RECIST, version 1.1. An additional efficacy endpoint was overall survival (OS).</w:t>
      </w:r>
    </w:p>
    <w:p w14:paraId="2BA60679" w14:textId="2B748FAF" w:rsidR="00505766" w:rsidRPr="000D4E5B" w:rsidRDefault="00505766" w:rsidP="001B1165">
      <w:pPr>
        <w:pStyle w:val="Paragraph"/>
      </w:pPr>
      <w:r w:rsidRPr="000D4E5B">
        <w:t xml:space="preserve">The median age of patients in both arms was 61 years overall (range 26 to 87). Ovarian cancer was the primary tumour type in 86% of patients in both arms. Ninety six percent (96%) were serous histological type. The ECOG performance score was 0 in 70% of patients and 1 in 28% of patients, overall. All patients had received first-line platinum-based therapy and bevacizumab. First-line treatment outcomes at screening indicated that patients had no evidence of disease with complete macroscopic resection at initial </w:t>
      </w:r>
      <w:proofErr w:type="spellStart"/>
      <w:r w:rsidRPr="000D4E5B">
        <w:t>debulking</w:t>
      </w:r>
      <w:proofErr w:type="spellEnd"/>
      <w:r w:rsidRPr="000D4E5B">
        <w:t xml:space="preserve"> surgery (32%, both arms), no evidence of disease/ CR with complete macroscopic resection at interval </w:t>
      </w:r>
      <w:proofErr w:type="spellStart"/>
      <w:r w:rsidRPr="000D4E5B">
        <w:t>debulking</w:t>
      </w:r>
      <w:proofErr w:type="spellEnd"/>
      <w:r w:rsidRPr="000D4E5B">
        <w:t xml:space="preserve"> surgery (31%, both arms), no evidence of disease/ CR in patients who had either incomplete resection (at initial or interval </w:t>
      </w:r>
      <w:proofErr w:type="spellStart"/>
      <w:r w:rsidRPr="000D4E5B">
        <w:t>debulking</w:t>
      </w:r>
      <w:proofErr w:type="spellEnd"/>
      <w:r w:rsidRPr="000D4E5B">
        <w:t xml:space="preserve"> surgery) or no </w:t>
      </w:r>
      <w:proofErr w:type="spellStart"/>
      <w:r w:rsidRPr="000D4E5B">
        <w:t>debulking</w:t>
      </w:r>
      <w:proofErr w:type="spellEnd"/>
      <w:r w:rsidRPr="000D4E5B">
        <w:t xml:space="preserve"> surgery (15%, both arms) and patients with a partial response (22%, both arms). Thirty percent (30%) of patients in both arms had a deleterious </w:t>
      </w:r>
      <w:r w:rsidR="002127EE" w:rsidRPr="000D4E5B">
        <w:t xml:space="preserve">BRCA </w:t>
      </w:r>
      <w:r w:rsidRPr="000D4E5B">
        <w:t xml:space="preserve">mutation. Patients were not restricted by the surgical outcome with 65% having complete </w:t>
      </w:r>
      <w:proofErr w:type="spellStart"/>
      <w:r w:rsidRPr="000D4E5B">
        <w:t>cytoreduction</w:t>
      </w:r>
      <w:proofErr w:type="spellEnd"/>
      <w:r w:rsidRPr="000D4E5B">
        <w:t xml:space="preserve"> at initial or interval </w:t>
      </w:r>
      <w:proofErr w:type="spellStart"/>
      <w:r w:rsidRPr="000D4E5B">
        <w:t>debulking</w:t>
      </w:r>
      <w:proofErr w:type="spellEnd"/>
      <w:r w:rsidRPr="000D4E5B">
        <w:t xml:space="preserve"> surgery and 35% having residual macroscopic disease. Demographics and baseline disease characteristics were balanced and comparable between the study and placebo arms in the Intention to Treat (ITT) population and also in the HRD-positive subgroup.</w:t>
      </w:r>
    </w:p>
    <w:p w14:paraId="189DD7AB" w14:textId="47ED20A1" w:rsidR="00356879" w:rsidRPr="000D4E5B" w:rsidRDefault="00356879" w:rsidP="001B1165">
      <w:pPr>
        <w:pStyle w:val="Paragraph"/>
        <w:rPr>
          <w:szCs w:val="22"/>
        </w:rPr>
      </w:pPr>
      <w:r w:rsidRPr="000D4E5B">
        <w:rPr>
          <w:szCs w:val="22"/>
        </w:rPr>
        <w:t xml:space="preserve">The study met its primary end-point in the ITT population demonstrating a statistically significant improvement in investigator assessed PFS for </w:t>
      </w:r>
      <w:proofErr w:type="spellStart"/>
      <w:r w:rsidRPr="000D4E5B">
        <w:rPr>
          <w:szCs w:val="22"/>
        </w:rPr>
        <w:t>olaparib</w:t>
      </w:r>
      <w:proofErr w:type="spellEnd"/>
      <w:r w:rsidRPr="000D4E5B">
        <w:rPr>
          <w:szCs w:val="22"/>
        </w:rPr>
        <w:t>/bevacizumab compared to placebo/</w:t>
      </w:r>
      <w:r w:rsidR="000007B0" w:rsidRPr="000D4E5B">
        <w:rPr>
          <w:szCs w:val="22"/>
        </w:rPr>
        <w:t xml:space="preserve"> </w:t>
      </w:r>
      <w:r w:rsidRPr="000D4E5B">
        <w:rPr>
          <w:szCs w:val="22"/>
        </w:rPr>
        <w:t xml:space="preserve">bevacizumab (HR 0.59, 95% CI 0.49-0.72, p&lt;0.0001 with a median of 22.1 months for </w:t>
      </w:r>
      <w:proofErr w:type="spellStart"/>
      <w:r w:rsidRPr="000D4E5B">
        <w:rPr>
          <w:szCs w:val="22"/>
        </w:rPr>
        <w:t>olaparib</w:t>
      </w:r>
      <w:proofErr w:type="spellEnd"/>
      <w:r w:rsidRPr="000D4E5B">
        <w:rPr>
          <w:szCs w:val="22"/>
        </w:rPr>
        <w:t>/bevacizumab vs 16.6 months for placebo/bevacizumab). This was consistent with a BICR analysis of PFS.</w:t>
      </w:r>
      <w:r w:rsidR="00CA0BEA" w:rsidRPr="000D4E5B">
        <w:rPr>
          <w:szCs w:val="22"/>
        </w:rPr>
        <w:t xml:space="preserve"> </w:t>
      </w:r>
    </w:p>
    <w:p w14:paraId="5ACC3F4D" w14:textId="77777777" w:rsidR="00EF5EAF" w:rsidRPr="000D4E5B" w:rsidRDefault="00EF5EAF" w:rsidP="001B1165">
      <w:pPr>
        <w:pStyle w:val="Paragraph"/>
        <w:rPr>
          <w:lang w:val="en-AU"/>
        </w:rPr>
      </w:pPr>
      <w:r w:rsidRPr="000D4E5B">
        <w:rPr>
          <w:lang w:val="en-AU"/>
        </w:rPr>
        <w:t xml:space="preserve">Efficacy was not demonstrated in patients with HRD negative status. </w:t>
      </w:r>
    </w:p>
    <w:p w14:paraId="23CF715B" w14:textId="2DF9FD85" w:rsidR="00505766" w:rsidRPr="000D4E5B" w:rsidRDefault="00505766" w:rsidP="001B1165">
      <w:pPr>
        <w:pStyle w:val="Paragraph"/>
      </w:pPr>
      <w:r w:rsidRPr="000D4E5B">
        <w:t>Efficacy results from a biomarker subgroup analysis of 387 patients with HRD-positive tumours</w:t>
      </w:r>
      <w:r w:rsidR="002127EE" w:rsidRPr="000D4E5B">
        <w:t xml:space="preserve"> (including BRCA mutation)</w:t>
      </w:r>
      <w:r w:rsidRPr="000D4E5B">
        <w:t xml:space="preserve">, identified post-randomization using the Myriad </w:t>
      </w:r>
      <w:proofErr w:type="spellStart"/>
      <w:r w:rsidRPr="000D4E5B">
        <w:t>myChoice</w:t>
      </w:r>
      <w:proofErr w:type="spellEnd"/>
      <w:r w:rsidRPr="000D4E5B">
        <w:t xml:space="preserve">® HRD </w:t>
      </w:r>
      <w:r w:rsidR="000007B0" w:rsidRPr="000D4E5B">
        <w:br/>
      </w:r>
      <w:r w:rsidRPr="000D4E5B">
        <w:t>Plus tumour test, who received</w:t>
      </w:r>
      <w:r w:rsidR="002127EE" w:rsidRPr="000D4E5B">
        <w:t xml:space="preserve"> </w:t>
      </w:r>
      <w:r w:rsidRPr="000D4E5B">
        <w:t>Lynparza/bevacizumab (n=255) or placebo/bevacizumab (n=132), are summarized in Table 6 and</w:t>
      </w:r>
      <w:r w:rsidR="002127EE" w:rsidRPr="000D4E5B">
        <w:t xml:space="preserve"> </w:t>
      </w:r>
      <w:r w:rsidRPr="000D4E5B">
        <w:t>Figure 3. Results from a blinded independent review of PFS were consistent. Overall survival data in this subpopulation were immature with 16% deaths.</w:t>
      </w:r>
    </w:p>
    <w:p w14:paraId="3BEC5940" w14:textId="1E2321A7" w:rsidR="00505766" w:rsidRPr="000D4E5B" w:rsidRDefault="00505766" w:rsidP="00505766">
      <w:pPr>
        <w:pStyle w:val="TableTitle"/>
      </w:pPr>
      <w:r w:rsidRPr="000D4E5B">
        <w:t>Table 6</w:t>
      </w:r>
      <w:r w:rsidRPr="000D4E5B">
        <w:tab/>
        <w:t xml:space="preserve">Efficacy Results </w:t>
      </w:r>
      <w:r w:rsidRPr="000D4E5B">
        <w:rPr>
          <w:rFonts w:hint="eastAsia"/>
        </w:rPr>
        <w:t>–</w:t>
      </w:r>
      <w:r w:rsidRPr="000D4E5B">
        <w:t xml:space="preserve"> PAOLA-1 (HRD-positive status*, Investigator Assessment)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410"/>
      </w:tblGrid>
      <w:tr w:rsidR="00505766" w:rsidRPr="000D4E5B" w14:paraId="171DB655" w14:textId="77777777" w:rsidTr="00356879">
        <w:tc>
          <w:tcPr>
            <w:tcW w:w="4503" w:type="dxa"/>
            <w:tcBorders>
              <w:top w:val="single" w:sz="8" w:space="0" w:color="auto"/>
              <w:left w:val="nil"/>
              <w:right w:val="nil"/>
            </w:tcBorders>
            <w:shd w:val="clear" w:color="auto" w:fill="auto"/>
          </w:tcPr>
          <w:p w14:paraId="17E8E3C2" w14:textId="77777777" w:rsidR="00505766" w:rsidRPr="000D4E5B" w:rsidRDefault="00505766" w:rsidP="00356879">
            <w:pPr>
              <w:pStyle w:val="TableHead"/>
              <w:rPr>
                <w:sz w:val="22"/>
                <w:szCs w:val="22"/>
              </w:rPr>
            </w:pPr>
          </w:p>
        </w:tc>
        <w:tc>
          <w:tcPr>
            <w:tcW w:w="2693" w:type="dxa"/>
            <w:tcBorders>
              <w:top w:val="single" w:sz="8" w:space="0" w:color="auto"/>
              <w:left w:val="nil"/>
              <w:right w:val="nil"/>
            </w:tcBorders>
            <w:shd w:val="clear" w:color="auto" w:fill="auto"/>
          </w:tcPr>
          <w:p w14:paraId="5C764126" w14:textId="641D8991" w:rsidR="00505766" w:rsidRPr="000D4E5B" w:rsidRDefault="00505766" w:rsidP="00356879">
            <w:pPr>
              <w:pStyle w:val="TableHead"/>
              <w:rPr>
                <w:sz w:val="22"/>
                <w:szCs w:val="22"/>
              </w:rPr>
            </w:pPr>
            <w:r w:rsidRPr="000D4E5B">
              <w:rPr>
                <w:sz w:val="22"/>
                <w:szCs w:val="22"/>
              </w:rPr>
              <w:t>Olaparib/ bevacizumab</w:t>
            </w:r>
            <w:r w:rsidRPr="000D4E5B">
              <w:rPr>
                <w:sz w:val="22"/>
                <w:szCs w:val="22"/>
              </w:rPr>
              <w:br/>
              <w:t>(n=255)</w:t>
            </w:r>
          </w:p>
        </w:tc>
        <w:tc>
          <w:tcPr>
            <w:tcW w:w="2410" w:type="dxa"/>
            <w:tcBorders>
              <w:top w:val="single" w:sz="8" w:space="0" w:color="auto"/>
              <w:left w:val="nil"/>
              <w:right w:val="nil"/>
            </w:tcBorders>
            <w:shd w:val="clear" w:color="auto" w:fill="auto"/>
          </w:tcPr>
          <w:p w14:paraId="3FAE2712" w14:textId="00C7523E" w:rsidR="00505766" w:rsidRPr="000D4E5B" w:rsidRDefault="00505766" w:rsidP="00356879">
            <w:pPr>
              <w:pStyle w:val="TableHead"/>
              <w:rPr>
                <w:sz w:val="22"/>
                <w:szCs w:val="22"/>
              </w:rPr>
            </w:pPr>
            <w:r w:rsidRPr="000D4E5B">
              <w:rPr>
                <w:sz w:val="22"/>
                <w:szCs w:val="22"/>
              </w:rPr>
              <w:t>Placebo/ bevacizumab</w:t>
            </w:r>
            <w:r w:rsidRPr="000D4E5B">
              <w:rPr>
                <w:sz w:val="22"/>
                <w:szCs w:val="22"/>
              </w:rPr>
              <w:br/>
              <w:t>(n=132)</w:t>
            </w:r>
          </w:p>
        </w:tc>
      </w:tr>
      <w:tr w:rsidR="00505766" w:rsidRPr="000D4E5B" w14:paraId="1B115A91" w14:textId="77777777" w:rsidTr="0035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606"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69E897B8" w14:textId="2BE8A437" w:rsidR="00505766" w:rsidRPr="000D4E5B" w:rsidRDefault="00505766" w:rsidP="00356879">
            <w:pPr>
              <w:pStyle w:val="TableHead"/>
              <w:jc w:val="left"/>
              <w:rPr>
                <w:sz w:val="22"/>
                <w:szCs w:val="22"/>
              </w:rPr>
            </w:pPr>
            <w:r w:rsidRPr="000D4E5B">
              <w:rPr>
                <w:sz w:val="22"/>
                <w:szCs w:val="22"/>
              </w:rPr>
              <w:t>Progression-Free Survival</w:t>
            </w:r>
          </w:p>
        </w:tc>
      </w:tr>
      <w:tr w:rsidR="00505766" w:rsidRPr="000D4E5B" w14:paraId="68FB3E8E" w14:textId="77777777" w:rsidTr="00356879">
        <w:tc>
          <w:tcPr>
            <w:tcW w:w="4503" w:type="dxa"/>
            <w:tcBorders>
              <w:left w:val="nil"/>
              <w:bottom w:val="nil"/>
              <w:right w:val="nil"/>
            </w:tcBorders>
            <w:shd w:val="clear" w:color="auto" w:fill="auto"/>
            <w:vAlign w:val="center"/>
          </w:tcPr>
          <w:p w14:paraId="03CC35A9" w14:textId="7444A748" w:rsidR="00505766" w:rsidRPr="000D4E5B" w:rsidRDefault="00505766" w:rsidP="00356879">
            <w:pPr>
              <w:pStyle w:val="TableLeft"/>
              <w:rPr>
                <w:sz w:val="22"/>
                <w:szCs w:val="22"/>
                <w:lang w:val="en-US"/>
              </w:rPr>
            </w:pPr>
            <w:r w:rsidRPr="000D4E5B">
              <w:rPr>
                <w:sz w:val="22"/>
                <w:szCs w:val="22"/>
              </w:rPr>
              <w:t>Number of events (%)</w:t>
            </w:r>
          </w:p>
        </w:tc>
        <w:tc>
          <w:tcPr>
            <w:tcW w:w="2693" w:type="dxa"/>
            <w:tcBorders>
              <w:left w:val="nil"/>
              <w:bottom w:val="nil"/>
              <w:right w:val="nil"/>
            </w:tcBorders>
            <w:shd w:val="clear" w:color="auto" w:fill="auto"/>
            <w:vAlign w:val="center"/>
          </w:tcPr>
          <w:p w14:paraId="4C3344B9" w14:textId="2A9314CE" w:rsidR="00505766" w:rsidRPr="000D4E5B" w:rsidRDefault="00505766" w:rsidP="00356879">
            <w:pPr>
              <w:pStyle w:val="TableCenter"/>
              <w:rPr>
                <w:sz w:val="22"/>
                <w:szCs w:val="22"/>
                <w:lang w:val="en-US"/>
              </w:rPr>
            </w:pPr>
            <w:r w:rsidRPr="000D4E5B">
              <w:rPr>
                <w:sz w:val="22"/>
                <w:szCs w:val="22"/>
              </w:rPr>
              <w:t>87 (34%)</w:t>
            </w:r>
          </w:p>
        </w:tc>
        <w:tc>
          <w:tcPr>
            <w:tcW w:w="2410" w:type="dxa"/>
            <w:tcBorders>
              <w:left w:val="nil"/>
              <w:bottom w:val="nil"/>
              <w:right w:val="nil"/>
            </w:tcBorders>
            <w:shd w:val="clear" w:color="auto" w:fill="auto"/>
            <w:vAlign w:val="center"/>
          </w:tcPr>
          <w:p w14:paraId="65E04D1D" w14:textId="4F1FC34D" w:rsidR="00505766" w:rsidRPr="000D4E5B" w:rsidRDefault="00505766" w:rsidP="00356879">
            <w:pPr>
              <w:pStyle w:val="TableCenter"/>
              <w:rPr>
                <w:sz w:val="22"/>
                <w:szCs w:val="22"/>
                <w:lang w:val="en-US"/>
              </w:rPr>
            </w:pPr>
            <w:r w:rsidRPr="000D4E5B">
              <w:rPr>
                <w:sz w:val="22"/>
                <w:szCs w:val="22"/>
              </w:rPr>
              <w:t>92 (70%)</w:t>
            </w:r>
          </w:p>
        </w:tc>
      </w:tr>
      <w:tr w:rsidR="00505766" w:rsidRPr="000D4E5B" w14:paraId="20ADB68A" w14:textId="77777777" w:rsidTr="00505766">
        <w:tc>
          <w:tcPr>
            <w:tcW w:w="4503" w:type="dxa"/>
            <w:tcBorders>
              <w:top w:val="nil"/>
              <w:left w:val="nil"/>
              <w:bottom w:val="nil"/>
              <w:right w:val="nil"/>
            </w:tcBorders>
            <w:shd w:val="clear" w:color="auto" w:fill="auto"/>
            <w:vAlign w:val="center"/>
          </w:tcPr>
          <w:p w14:paraId="099BB271" w14:textId="0CDB7668" w:rsidR="00505766" w:rsidRPr="000D4E5B" w:rsidRDefault="00505766" w:rsidP="00356879">
            <w:pPr>
              <w:pStyle w:val="TableLeft"/>
              <w:rPr>
                <w:sz w:val="22"/>
                <w:szCs w:val="22"/>
                <w:lang w:val="en-US"/>
              </w:rPr>
            </w:pPr>
            <w:r w:rsidRPr="000D4E5B">
              <w:rPr>
                <w:sz w:val="22"/>
                <w:szCs w:val="22"/>
              </w:rPr>
              <w:t>Median, months</w:t>
            </w:r>
          </w:p>
        </w:tc>
        <w:tc>
          <w:tcPr>
            <w:tcW w:w="2693" w:type="dxa"/>
            <w:tcBorders>
              <w:top w:val="nil"/>
              <w:left w:val="nil"/>
              <w:bottom w:val="nil"/>
              <w:right w:val="nil"/>
            </w:tcBorders>
            <w:shd w:val="clear" w:color="auto" w:fill="auto"/>
            <w:vAlign w:val="center"/>
          </w:tcPr>
          <w:p w14:paraId="35195F42" w14:textId="601F6225" w:rsidR="00505766" w:rsidRPr="000D4E5B" w:rsidRDefault="00505766" w:rsidP="00356879">
            <w:pPr>
              <w:pStyle w:val="TableCenter"/>
              <w:rPr>
                <w:sz w:val="22"/>
                <w:szCs w:val="22"/>
              </w:rPr>
            </w:pPr>
            <w:r w:rsidRPr="000D4E5B">
              <w:rPr>
                <w:sz w:val="22"/>
                <w:szCs w:val="22"/>
              </w:rPr>
              <w:t>37.2</w:t>
            </w:r>
          </w:p>
        </w:tc>
        <w:tc>
          <w:tcPr>
            <w:tcW w:w="2410" w:type="dxa"/>
            <w:tcBorders>
              <w:top w:val="nil"/>
              <w:left w:val="nil"/>
              <w:bottom w:val="nil"/>
              <w:right w:val="nil"/>
            </w:tcBorders>
            <w:shd w:val="clear" w:color="auto" w:fill="auto"/>
            <w:vAlign w:val="center"/>
          </w:tcPr>
          <w:p w14:paraId="29684863" w14:textId="1858B4F7" w:rsidR="00505766" w:rsidRPr="000D4E5B" w:rsidRDefault="00505766" w:rsidP="00356879">
            <w:pPr>
              <w:pStyle w:val="TableCenter"/>
              <w:rPr>
                <w:sz w:val="22"/>
                <w:szCs w:val="22"/>
                <w:lang w:val="en-US"/>
              </w:rPr>
            </w:pPr>
            <w:r w:rsidRPr="000D4E5B">
              <w:rPr>
                <w:sz w:val="22"/>
                <w:szCs w:val="22"/>
              </w:rPr>
              <w:t>17.7</w:t>
            </w:r>
          </w:p>
        </w:tc>
      </w:tr>
      <w:tr w:rsidR="00505766" w:rsidRPr="000D4E5B" w14:paraId="63E2EB11" w14:textId="77777777" w:rsidTr="00505766">
        <w:tc>
          <w:tcPr>
            <w:tcW w:w="4503" w:type="dxa"/>
            <w:tcBorders>
              <w:top w:val="nil"/>
              <w:left w:val="nil"/>
              <w:bottom w:val="single" w:sz="8" w:space="0" w:color="auto"/>
              <w:right w:val="nil"/>
            </w:tcBorders>
            <w:shd w:val="clear" w:color="auto" w:fill="auto"/>
            <w:vAlign w:val="center"/>
          </w:tcPr>
          <w:p w14:paraId="2EDF0196" w14:textId="4AA34974" w:rsidR="00505766" w:rsidRPr="000D4E5B" w:rsidRDefault="00505766" w:rsidP="00356879">
            <w:pPr>
              <w:pStyle w:val="TableLeft"/>
              <w:rPr>
                <w:sz w:val="22"/>
                <w:szCs w:val="22"/>
                <w:lang w:val="en-US"/>
              </w:rPr>
            </w:pPr>
            <w:r w:rsidRPr="000D4E5B">
              <w:rPr>
                <w:sz w:val="22"/>
                <w:szCs w:val="22"/>
              </w:rPr>
              <w:t xml:space="preserve">Hazard </w:t>
            </w:r>
            <w:proofErr w:type="spellStart"/>
            <w:r w:rsidRPr="000D4E5B">
              <w:rPr>
                <w:sz w:val="22"/>
                <w:szCs w:val="22"/>
              </w:rPr>
              <w:t>Ratio</w:t>
            </w:r>
            <w:r w:rsidRPr="000D4E5B">
              <w:rPr>
                <w:sz w:val="22"/>
                <w:szCs w:val="22"/>
                <w:vertAlign w:val="superscript"/>
              </w:rPr>
              <w:t>a</w:t>
            </w:r>
            <w:proofErr w:type="spellEnd"/>
            <w:r w:rsidRPr="000D4E5B">
              <w:rPr>
                <w:sz w:val="22"/>
                <w:szCs w:val="22"/>
              </w:rPr>
              <w:t xml:space="preserve"> (95% CI)</w:t>
            </w:r>
          </w:p>
        </w:tc>
        <w:tc>
          <w:tcPr>
            <w:tcW w:w="5103" w:type="dxa"/>
            <w:gridSpan w:val="2"/>
            <w:tcBorders>
              <w:top w:val="nil"/>
              <w:left w:val="nil"/>
              <w:bottom w:val="single" w:sz="8" w:space="0" w:color="auto"/>
              <w:right w:val="nil"/>
            </w:tcBorders>
            <w:shd w:val="clear" w:color="auto" w:fill="auto"/>
            <w:vAlign w:val="center"/>
          </w:tcPr>
          <w:p w14:paraId="3C4CA857" w14:textId="33F81647" w:rsidR="00505766" w:rsidRPr="000D4E5B" w:rsidRDefault="00505766" w:rsidP="00356879">
            <w:pPr>
              <w:pStyle w:val="TableCenter"/>
              <w:rPr>
                <w:sz w:val="22"/>
                <w:szCs w:val="22"/>
                <w:lang w:val="en-US"/>
              </w:rPr>
            </w:pPr>
            <w:r w:rsidRPr="000D4E5B">
              <w:rPr>
                <w:sz w:val="22"/>
                <w:szCs w:val="22"/>
              </w:rPr>
              <w:t>0.33 (0.25, 0.45)</w:t>
            </w:r>
          </w:p>
        </w:tc>
      </w:tr>
    </w:tbl>
    <w:p w14:paraId="546C7AC7" w14:textId="0FD76F20" w:rsidR="00505766" w:rsidRPr="000D4E5B" w:rsidRDefault="00505766" w:rsidP="00505766">
      <w:pPr>
        <w:autoSpaceDE w:val="0"/>
        <w:autoSpaceDN w:val="0"/>
        <w:adjustRightInd w:val="0"/>
        <w:spacing w:after="0" w:line="240" w:lineRule="auto"/>
        <w:rPr>
          <w:sz w:val="20"/>
          <w:szCs w:val="20"/>
        </w:rPr>
      </w:pPr>
      <w:r w:rsidRPr="000D4E5B">
        <w:rPr>
          <w:sz w:val="20"/>
          <w:szCs w:val="20"/>
        </w:rPr>
        <w:t>* Median follow-up of 27.4 months in Lynparza/bevacizumab arm and 27.5 months in placebo/bevacizumab arm.</w:t>
      </w:r>
    </w:p>
    <w:p w14:paraId="60AF1429" w14:textId="77777777" w:rsidR="00505766" w:rsidRPr="000D4E5B" w:rsidRDefault="00505766" w:rsidP="00505766">
      <w:pPr>
        <w:autoSpaceDE w:val="0"/>
        <w:autoSpaceDN w:val="0"/>
        <w:adjustRightInd w:val="0"/>
        <w:spacing w:after="0" w:line="240" w:lineRule="auto"/>
        <w:rPr>
          <w:sz w:val="20"/>
          <w:szCs w:val="20"/>
        </w:rPr>
      </w:pPr>
      <w:proofErr w:type="spellStart"/>
      <w:r w:rsidRPr="000D4E5B">
        <w:rPr>
          <w:sz w:val="20"/>
          <w:szCs w:val="20"/>
          <w:vertAlign w:val="superscript"/>
        </w:rPr>
        <w:t>a</w:t>
      </w:r>
      <w:proofErr w:type="spellEnd"/>
      <w:r w:rsidRPr="000D4E5B">
        <w:rPr>
          <w:sz w:val="20"/>
          <w:szCs w:val="20"/>
        </w:rPr>
        <w:t xml:space="preserve"> The analysis was performed using an </w:t>
      </w:r>
      <w:proofErr w:type="spellStart"/>
      <w:r w:rsidRPr="000D4E5B">
        <w:rPr>
          <w:sz w:val="20"/>
          <w:szCs w:val="20"/>
        </w:rPr>
        <w:t>unstratified</w:t>
      </w:r>
      <w:proofErr w:type="spellEnd"/>
      <w:r w:rsidRPr="000D4E5B">
        <w:rPr>
          <w:sz w:val="20"/>
          <w:szCs w:val="20"/>
        </w:rPr>
        <w:t xml:space="preserve"> Cox proportional hazards model.</w:t>
      </w:r>
    </w:p>
    <w:p w14:paraId="1950A3B9" w14:textId="5C0A3DE6" w:rsidR="00505766" w:rsidRPr="000D4E5B" w:rsidRDefault="00505766" w:rsidP="00505766">
      <w:pPr>
        <w:autoSpaceDE w:val="0"/>
        <w:autoSpaceDN w:val="0"/>
        <w:adjustRightInd w:val="0"/>
        <w:spacing w:after="0" w:line="240" w:lineRule="auto"/>
        <w:rPr>
          <w:sz w:val="20"/>
          <w:szCs w:val="20"/>
        </w:rPr>
      </w:pPr>
      <w:r w:rsidRPr="000D4E5B">
        <w:rPr>
          <w:sz w:val="20"/>
          <w:szCs w:val="20"/>
        </w:rPr>
        <w:t>CI Confidence interval</w:t>
      </w:r>
    </w:p>
    <w:p w14:paraId="495EFC84" w14:textId="5D2428FC" w:rsidR="00505766" w:rsidRPr="000D4E5B" w:rsidRDefault="00505766" w:rsidP="00542A51">
      <w:pPr>
        <w:pStyle w:val="FigureTitle"/>
      </w:pPr>
      <w:r w:rsidRPr="000D4E5B">
        <w:t>Figure 3</w:t>
      </w:r>
      <w:r w:rsidRPr="000D4E5B">
        <w:tab/>
      </w:r>
      <w:r w:rsidR="00542A51" w:rsidRPr="000D4E5B">
        <w:t xml:space="preserve">Kaplan-Meier Curves of Investigator-Assessed Progression-Free Survival </w:t>
      </w:r>
      <w:r w:rsidR="00542A51" w:rsidRPr="000D4E5B">
        <w:rPr>
          <w:rFonts w:hint="eastAsia"/>
        </w:rPr>
        <w:t>–</w:t>
      </w:r>
      <w:r w:rsidR="00542A51" w:rsidRPr="000D4E5B">
        <w:t>PAOLA-1 (HRD-positive status)</w:t>
      </w:r>
    </w:p>
    <w:p w14:paraId="7FB81B95" w14:textId="510E314B" w:rsidR="00505766" w:rsidRPr="000D4E5B" w:rsidRDefault="00542A51" w:rsidP="00505766">
      <w:pPr>
        <w:autoSpaceDE w:val="0"/>
        <w:autoSpaceDN w:val="0"/>
        <w:adjustRightInd w:val="0"/>
        <w:spacing w:after="0" w:line="240" w:lineRule="auto"/>
      </w:pPr>
      <w:r w:rsidRPr="000D4E5B">
        <w:rPr>
          <w:noProof/>
          <w:lang w:val="en-AU" w:eastAsia="en-AU"/>
        </w:rPr>
        <w:drawing>
          <wp:inline distT="0" distB="0" distL="0" distR="0" wp14:anchorId="7E6536A2" wp14:editId="7F571B96">
            <wp:extent cx="5247861" cy="39508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2302" cy="3969269"/>
                    </a:xfrm>
                    <a:prstGeom prst="rect">
                      <a:avLst/>
                    </a:prstGeom>
                  </pic:spPr>
                </pic:pic>
              </a:graphicData>
            </a:graphic>
          </wp:inline>
        </w:drawing>
      </w:r>
    </w:p>
    <w:p w14:paraId="2960E9C0" w14:textId="77777777" w:rsidR="00542A51" w:rsidRPr="000D4E5B" w:rsidRDefault="00542A51" w:rsidP="00505766">
      <w:pPr>
        <w:autoSpaceDE w:val="0"/>
        <w:autoSpaceDN w:val="0"/>
        <w:adjustRightInd w:val="0"/>
        <w:spacing w:after="0" w:line="240" w:lineRule="auto"/>
      </w:pPr>
    </w:p>
    <w:p w14:paraId="6EA99E50" w14:textId="0CED5D12" w:rsidR="00540909" w:rsidRPr="00A15250" w:rsidRDefault="00540909" w:rsidP="00A15250">
      <w:pPr>
        <w:pStyle w:val="Heading4Unnumbered"/>
        <w:spacing w:before="120" w:after="120"/>
        <w:rPr>
          <w:i w:val="0"/>
          <w:iCs/>
        </w:rPr>
      </w:pPr>
      <w:r w:rsidRPr="00A15250">
        <w:rPr>
          <w:i w:val="0"/>
          <w:iCs/>
        </w:rPr>
        <w:t>Germline BRCA-mutated HER2-negative metastatic breast cancer</w:t>
      </w:r>
    </w:p>
    <w:p w14:paraId="42CBD765" w14:textId="1620E815" w:rsidR="00540909" w:rsidRPr="000D4E5B" w:rsidRDefault="00540909" w:rsidP="00540909">
      <w:pPr>
        <w:pStyle w:val="Heading4Unnumbered"/>
      </w:pPr>
      <w:proofErr w:type="spellStart"/>
      <w:r w:rsidRPr="000D4E5B">
        <w:t>OlympiAD</w:t>
      </w:r>
      <w:proofErr w:type="spellEnd"/>
      <w:r w:rsidRPr="000D4E5B">
        <w:t xml:space="preserve"> in HER2-negative metastatic breast cancer patients with a </w:t>
      </w:r>
      <w:proofErr w:type="spellStart"/>
      <w:r w:rsidRPr="000D4E5B">
        <w:t>gBRCA</w:t>
      </w:r>
      <w:proofErr w:type="spellEnd"/>
      <w:r w:rsidRPr="000D4E5B">
        <w:t xml:space="preserve"> mutation</w:t>
      </w:r>
    </w:p>
    <w:p w14:paraId="7FA2314B" w14:textId="7AF57FC0" w:rsidR="00540909" w:rsidRPr="000D4E5B" w:rsidRDefault="00C74ABB" w:rsidP="00D67AA8">
      <w:pPr>
        <w:pStyle w:val="Paragraph"/>
      </w:pPr>
      <w:r w:rsidRPr="000D4E5B">
        <w:t xml:space="preserve">The study was a Phase 3 randomised, open-label, controlled trial that compared the efficacy of </w:t>
      </w:r>
      <w:proofErr w:type="spellStart"/>
      <w:r w:rsidRPr="000D4E5B">
        <w:t>olaparib</w:t>
      </w:r>
      <w:proofErr w:type="spellEnd"/>
      <w:r w:rsidRPr="000D4E5B">
        <w:t xml:space="preserve"> (300 mg [2 x 150 mg tablets] twice daily) taken to progression with a comparator arm of physician’s choice of chemotherapy (capecitabine, </w:t>
      </w:r>
      <w:proofErr w:type="spellStart"/>
      <w:r w:rsidRPr="000D4E5B">
        <w:t>eribulin</w:t>
      </w:r>
      <w:proofErr w:type="spellEnd"/>
      <w:r w:rsidRPr="000D4E5B">
        <w:t xml:space="preserve">, or </w:t>
      </w:r>
      <w:proofErr w:type="spellStart"/>
      <w:r w:rsidRPr="000D4E5B">
        <w:t>vinorelbine</w:t>
      </w:r>
      <w:proofErr w:type="spellEnd"/>
      <w:r w:rsidRPr="000D4E5B">
        <w:t xml:space="preserve">). </w:t>
      </w:r>
      <w:r w:rsidR="00DF1241" w:rsidRPr="000D4E5B">
        <w:t xml:space="preserve"> </w:t>
      </w:r>
      <w:r w:rsidRPr="000D4E5B">
        <w:t xml:space="preserve">In the study 302 patients with </w:t>
      </w:r>
      <w:proofErr w:type="spellStart"/>
      <w:r w:rsidRPr="000D4E5B">
        <w:rPr>
          <w:i/>
        </w:rPr>
        <w:t>gBRCAm</w:t>
      </w:r>
      <w:proofErr w:type="spellEnd"/>
      <w:r w:rsidRPr="000D4E5B">
        <w:t xml:space="preserve"> HER2-negative metastatic breast cancer who had previously received up to two lines of chemotherapy for the treatment of metastatic disease were randomised (2:1 randomisation: 205 </w:t>
      </w:r>
      <w:proofErr w:type="spellStart"/>
      <w:r w:rsidRPr="000D4E5B">
        <w:t>olaparib</w:t>
      </w:r>
      <w:proofErr w:type="spellEnd"/>
      <w:r w:rsidRPr="000D4E5B">
        <w:t xml:space="preserve"> and 97 comparator).</w:t>
      </w:r>
      <w:r w:rsidR="00DF1241" w:rsidRPr="000D4E5B">
        <w:t xml:space="preserve"> </w:t>
      </w:r>
      <w:r w:rsidRPr="000D4E5B">
        <w:t xml:space="preserve"> Patients were stratified based on: receipt of prior chemotherapy regimens for metastatic breast cancer, oestrogen receptor (ER) and / or progesterone receptor (</w:t>
      </w:r>
      <w:proofErr w:type="spellStart"/>
      <w:r w:rsidRPr="000D4E5B">
        <w:t>PgR</w:t>
      </w:r>
      <w:proofErr w:type="spellEnd"/>
      <w:r w:rsidRPr="000D4E5B">
        <w:t xml:space="preserve">) positive vs ER and </w:t>
      </w:r>
      <w:proofErr w:type="spellStart"/>
      <w:r w:rsidRPr="000D4E5B">
        <w:t>PgR</w:t>
      </w:r>
      <w:proofErr w:type="spellEnd"/>
      <w:r w:rsidRPr="000D4E5B">
        <w:t xml:space="preserve"> negative, prior platinum for breast cancer. </w:t>
      </w:r>
      <w:r w:rsidR="00DF1241" w:rsidRPr="000D4E5B">
        <w:t xml:space="preserve"> </w:t>
      </w:r>
      <w:r w:rsidRPr="000D4E5B">
        <w:t xml:space="preserve">The primary endpoint was PFS assessed by blinded independent central review (BICR) using RECIST 1.1. </w:t>
      </w:r>
      <w:r w:rsidR="00DF1241" w:rsidRPr="000D4E5B">
        <w:t xml:space="preserve"> </w:t>
      </w:r>
      <w:r w:rsidRPr="000D4E5B">
        <w:t xml:space="preserve">Secondary endpoints included PFS2, OS, objective response rate (ORR) and </w:t>
      </w:r>
      <w:proofErr w:type="spellStart"/>
      <w:r w:rsidRPr="000D4E5B">
        <w:t>HRQoL</w:t>
      </w:r>
      <w:proofErr w:type="spellEnd"/>
      <w:r w:rsidRPr="000D4E5B">
        <w:t>.</w:t>
      </w:r>
    </w:p>
    <w:p w14:paraId="7DE62847" w14:textId="64EEF008" w:rsidR="00C74ABB" w:rsidRPr="000D4E5B" w:rsidRDefault="00C74ABB" w:rsidP="00C74ABB">
      <w:pPr>
        <w:pStyle w:val="Paragraph"/>
      </w:pPr>
      <w:r w:rsidRPr="000D4E5B">
        <w:t xml:space="preserve">All patients had received prior treatment with </w:t>
      </w:r>
      <w:proofErr w:type="spellStart"/>
      <w:r w:rsidRPr="000D4E5B">
        <w:t>anthracycline</w:t>
      </w:r>
      <w:proofErr w:type="spellEnd"/>
      <w:r w:rsidRPr="000D4E5B">
        <w:t xml:space="preserve"> (unless contraindicated) and a </w:t>
      </w:r>
      <w:proofErr w:type="spellStart"/>
      <w:r w:rsidRPr="000D4E5B">
        <w:t>taxane</w:t>
      </w:r>
      <w:proofErr w:type="spellEnd"/>
      <w:r w:rsidRPr="000D4E5B">
        <w:t xml:space="preserve"> in either the </w:t>
      </w:r>
      <w:proofErr w:type="spellStart"/>
      <w:r w:rsidRPr="000D4E5B">
        <w:t>neoadjuvant</w:t>
      </w:r>
      <w:proofErr w:type="spellEnd"/>
      <w:r w:rsidRPr="000D4E5B">
        <w:t>, adjuvant or metastatic setting.</w:t>
      </w:r>
      <w:r w:rsidR="00CE7A63" w:rsidRPr="000D4E5B">
        <w:t xml:space="preserve"> </w:t>
      </w:r>
      <w:r w:rsidRPr="000D4E5B">
        <w:t xml:space="preserve"> Prior therapy with platinum for metastatic breast cancer was allowed provided there had been no evidence of disease progression during platinum treatment. </w:t>
      </w:r>
      <w:r w:rsidR="00CE7A63" w:rsidRPr="000D4E5B">
        <w:t xml:space="preserve"> </w:t>
      </w:r>
      <w:r w:rsidRPr="000D4E5B">
        <w:t xml:space="preserve">Prior therapy with platinum in the (neo)adjuvant setting was allowed provided the last dose was received at least 12 months prior to randomisation. </w:t>
      </w:r>
      <w:r w:rsidR="00CE7A63" w:rsidRPr="000D4E5B">
        <w:t xml:space="preserve"> </w:t>
      </w:r>
      <w:r w:rsidRPr="000D4E5B">
        <w:t xml:space="preserve">Patients could not have received prior </w:t>
      </w:r>
      <w:proofErr w:type="spellStart"/>
      <w:r w:rsidRPr="000D4E5B">
        <w:t>olaparib</w:t>
      </w:r>
      <w:proofErr w:type="spellEnd"/>
      <w:r w:rsidRPr="000D4E5B">
        <w:t xml:space="preserve"> or other PARP inhibitor treatment.</w:t>
      </w:r>
      <w:r w:rsidR="00CE7A63" w:rsidRPr="000D4E5B">
        <w:t xml:space="preserve"> </w:t>
      </w:r>
      <w:r w:rsidRPr="000D4E5B">
        <w:t xml:space="preserve"> Patients with ER and/or </w:t>
      </w:r>
      <w:proofErr w:type="spellStart"/>
      <w:r w:rsidRPr="000D4E5B">
        <w:t>PgR</w:t>
      </w:r>
      <w:proofErr w:type="spellEnd"/>
      <w:r w:rsidRPr="000D4E5B">
        <w:t>-positive disease</w:t>
      </w:r>
      <w:r w:rsidRPr="000D4E5B">
        <w:rPr>
          <w:rFonts w:ascii="Arial" w:hAnsi="Arial"/>
          <w:sz w:val="22"/>
          <w:szCs w:val="22"/>
        </w:rPr>
        <w:t xml:space="preserve"> </w:t>
      </w:r>
      <w:r w:rsidRPr="000D4E5B">
        <w:t>must have received and progressed on at least one endocrine therapy (adjuvant or metastatic) or had disease that the treating physician believed to be inappropriate for endocrine therapy.</w:t>
      </w:r>
      <w:r w:rsidR="00CE7A63" w:rsidRPr="000D4E5B">
        <w:t xml:space="preserve"> </w:t>
      </w:r>
      <w:r w:rsidRPr="000D4E5B">
        <w:t xml:space="preserve"> Patients had tumour assessments at baseline and every 6 weeks for the first 24 weeks, and then every 12 weeks relative to date of randomisation, until objective radiological disease progression.</w:t>
      </w:r>
    </w:p>
    <w:p w14:paraId="43BFF7BE" w14:textId="195D589A" w:rsidR="00C74ABB" w:rsidRPr="000D4E5B" w:rsidRDefault="00C74ABB" w:rsidP="00D67AA8">
      <w:pPr>
        <w:pStyle w:val="Paragraph"/>
      </w:pPr>
      <w:r w:rsidRPr="000D4E5B">
        <w:t xml:space="preserve">The study met its primary objective demonstrating a statistically significant and clinically meaningful improvement in PFS for </w:t>
      </w:r>
      <w:proofErr w:type="spellStart"/>
      <w:r w:rsidRPr="000D4E5B">
        <w:t>olaparib</w:t>
      </w:r>
      <w:proofErr w:type="spellEnd"/>
      <w:r w:rsidRPr="000D4E5B">
        <w:t xml:space="preserve">-treated patients compared with those in the comparator arm with a HR of 0.58 (95% CI 0.43-0.80; p=0.0009; median 7.0 months for </w:t>
      </w:r>
      <w:proofErr w:type="spellStart"/>
      <w:r w:rsidRPr="000D4E5B">
        <w:t>olaparib</w:t>
      </w:r>
      <w:proofErr w:type="spellEnd"/>
      <w:r w:rsidRPr="000D4E5B">
        <w:t xml:space="preserve"> vs. 4.2 months for comparator) (Table</w:t>
      </w:r>
      <w:r w:rsidR="00A15250">
        <w:t xml:space="preserve"> </w:t>
      </w:r>
      <w:r w:rsidR="00E43CEC" w:rsidRPr="000D4E5B">
        <w:t>7</w:t>
      </w:r>
      <w:r w:rsidR="00DC16DA" w:rsidRPr="000D4E5B">
        <w:t xml:space="preserve"> and Figure 4</w:t>
      </w:r>
      <w:r w:rsidRPr="000D4E5B">
        <w:t>).</w:t>
      </w:r>
    </w:p>
    <w:p w14:paraId="60FD1C11" w14:textId="765CF7B7" w:rsidR="00C74ABB" w:rsidRPr="000D4E5B" w:rsidRDefault="00C74ABB" w:rsidP="00D67AA8">
      <w:pPr>
        <w:pStyle w:val="Paragraph"/>
      </w:pPr>
      <w:r w:rsidRPr="000D4E5B">
        <w:t xml:space="preserve">A clinically meaningful and statistically significant improvement in PFS2 was also observed with a HR of 0.57 (95% CI 0.40-0.83; p=0.0033; median 13.2 months for </w:t>
      </w:r>
      <w:proofErr w:type="spellStart"/>
      <w:r w:rsidRPr="000D4E5B">
        <w:t>olaparib</w:t>
      </w:r>
      <w:proofErr w:type="spellEnd"/>
      <w:r w:rsidRPr="000D4E5B">
        <w:t xml:space="preserve"> vs 9.3 months for comparator) indicating that the benefit observed with </w:t>
      </w:r>
      <w:proofErr w:type="spellStart"/>
      <w:r w:rsidRPr="000D4E5B">
        <w:t>olaparib</w:t>
      </w:r>
      <w:proofErr w:type="spellEnd"/>
      <w:r w:rsidRPr="000D4E5B">
        <w:t xml:space="preserve"> continued to be evident even with the use of subsequent therapies.</w:t>
      </w:r>
      <w:r w:rsidR="00CE7A63" w:rsidRPr="000D4E5B">
        <w:t xml:space="preserve"> </w:t>
      </w:r>
      <w:r w:rsidRPr="000D4E5B">
        <w:t xml:space="preserve"> In the measurable disease patient population (77%), ORR in </w:t>
      </w:r>
      <w:proofErr w:type="spellStart"/>
      <w:r w:rsidRPr="000D4E5B">
        <w:t>olaparib</w:t>
      </w:r>
      <w:proofErr w:type="spellEnd"/>
      <w:r w:rsidRPr="000D4E5B">
        <w:t xml:space="preserve">-treated patients was 60% (95% CI 52.0-67.4) and in patients who received comparator was 29% (95% CI 18.3-41.3). </w:t>
      </w:r>
      <w:r w:rsidR="00CE7A63" w:rsidRPr="000D4E5B">
        <w:t xml:space="preserve"> </w:t>
      </w:r>
      <w:r w:rsidRPr="000D4E5B">
        <w:t xml:space="preserve">The median time to onset of response was 47 days for </w:t>
      </w:r>
      <w:proofErr w:type="spellStart"/>
      <w:r w:rsidRPr="000D4E5B">
        <w:t>olaparib</w:t>
      </w:r>
      <w:proofErr w:type="spellEnd"/>
      <w:r w:rsidRPr="000D4E5B">
        <w:t xml:space="preserve"> vs 45 days for comparator.</w:t>
      </w:r>
      <w:r w:rsidR="00CE7A63" w:rsidRPr="000D4E5B">
        <w:t xml:space="preserve"> </w:t>
      </w:r>
      <w:r w:rsidRPr="000D4E5B">
        <w:t xml:space="preserve"> The median duration of response was 6.4 months for </w:t>
      </w:r>
      <w:proofErr w:type="spellStart"/>
      <w:r w:rsidRPr="000D4E5B">
        <w:t>olaparib</w:t>
      </w:r>
      <w:proofErr w:type="spellEnd"/>
      <w:r w:rsidRPr="000D4E5B">
        <w:t xml:space="preserve"> vs 7.1 months for comparator.  Overall survival was 64% mature at the time of the final OS analysis (DCO 25 September 2017). </w:t>
      </w:r>
      <w:r w:rsidR="00CE7A63" w:rsidRPr="000D4E5B">
        <w:t xml:space="preserve"> </w:t>
      </w:r>
      <w:r w:rsidRPr="000D4E5B">
        <w:t xml:space="preserve">The OS HR comparing </w:t>
      </w:r>
      <w:proofErr w:type="spellStart"/>
      <w:r w:rsidRPr="000D4E5B">
        <w:t>olaparib</w:t>
      </w:r>
      <w:proofErr w:type="spellEnd"/>
      <w:r w:rsidRPr="000D4E5B">
        <w:t xml:space="preserve"> with comparator was 0.90 (95% CI 0.66-1.23; p=0.5131; median 19.3 months for </w:t>
      </w:r>
      <w:proofErr w:type="spellStart"/>
      <w:r w:rsidRPr="000D4E5B">
        <w:t>olaparib</w:t>
      </w:r>
      <w:proofErr w:type="spellEnd"/>
      <w:r w:rsidRPr="000D4E5B">
        <w:t xml:space="preserve"> vs. 17.1 months for comparator). </w:t>
      </w:r>
      <w:r w:rsidR="00CE7A63" w:rsidRPr="000D4E5B">
        <w:t xml:space="preserve"> </w:t>
      </w:r>
      <w:r w:rsidRPr="000D4E5B">
        <w:t xml:space="preserve">The median follow-up time in censored patients was 25.3 months for </w:t>
      </w:r>
      <w:proofErr w:type="spellStart"/>
      <w:r w:rsidRPr="000D4E5B">
        <w:t>olaparib</w:t>
      </w:r>
      <w:proofErr w:type="spellEnd"/>
      <w:r w:rsidRPr="000D4E5B">
        <w:t xml:space="preserve"> vs 26.3 months for comparator.</w:t>
      </w:r>
    </w:p>
    <w:p w14:paraId="38026D1A" w14:textId="35A4C85F" w:rsidR="00DA1C0E" w:rsidRPr="000D4E5B" w:rsidRDefault="00DA1C0E" w:rsidP="00D67AA8">
      <w:pPr>
        <w:pStyle w:val="Paragraph"/>
      </w:pPr>
      <w:r w:rsidRPr="000D4E5B">
        <w:t>Consistent results were observed across patient subgroups.</w:t>
      </w:r>
    </w:p>
    <w:p w14:paraId="01AE2D2B" w14:textId="61BF1CBB" w:rsidR="00DA1C0E" w:rsidRPr="000D4E5B" w:rsidRDefault="00DA1C0E" w:rsidP="00D67AA8">
      <w:pPr>
        <w:pStyle w:val="TableTitle"/>
        <w:rPr>
          <w:lang w:val="en-AU"/>
        </w:rPr>
      </w:pPr>
      <w:r w:rsidRPr="000D4E5B">
        <w:rPr>
          <w:lang w:val="en-AU"/>
        </w:rPr>
        <w:t>Table</w:t>
      </w:r>
      <w:r w:rsidR="00A15250">
        <w:rPr>
          <w:lang w:val="en-AU"/>
        </w:rPr>
        <w:t xml:space="preserve"> </w:t>
      </w:r>
      <w:r w:rsidR="00542A51" w:rsidRPr="000D4E5B">
        <w:rPr>
          <w:lang w:val="en-AU"/>
        </w:rPr>
        <w:t>7</w:t>
      </w:r>
      <w:r w:rsidRPr="000D4E5B">
        <w:rPr>
          <w:lang w:val="en-AU"/>
        </w:rPr>
        <w:tab/>
        <w:t xml:space="preserve">Summary of key efficacy findings for patients with </w:t>
      </w:r>
      <w:proofErr w:type="spellStart"/>
      <w:r w:rsidRPr="000D4E5B">
        <w:rPr>
          <w:i/>
          <w:lang w:val="en-AU"/>
        </w:rPr>
        <w:t>gBRCAm</w:t>
      </w:r>
      <w:proofErr w:type="spellEnd"/>
      <w:r w:rsidRPr="000D4E5B">
        <w:rPr>
          <w:lang w:val="en-AU"/>
        </w:rPr>
        <w:t xml:space="preserve"> HER2-negative metastatic breast cancer in </w:t>
      </w:r>
      <w:proofErr w:type="spellStart"/>
      <w:r w:rsidRPr="000D4E5B">
        <w:rPr>
          <w:lang w:val="en-AU"/>
        </w:rPr>
        <w:t>OlympiAD</w:t>
      </w:r>
      <w:proofErr w:type="spellEnd"/>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2340"/>
        <w:gridCol w:w="2205"/>
      </w:tblGrid>
      <w:tr w:rsidR="0038029D" w:rsidRPr="000D4E5B" w14:paraId="48579E3D" w14:textId="77777777" w:rsidTr="001C6C1A">
        <w:trPr>
          <w:trHeight w:val="546"/>
          <w:tblHeader/>
        </w:trPr>
        <w:tc>
          <w:tcPr>
            <w:tcW w:w="4770" w:type="dxa"/>
            <w:tcBorders>
              <w:top w:val="single" w:sz="12" w:space="0" w:color="auto"/>
              <w:left w:val="nil"/>
              <w:bottom w:val="single" w:sz="4" w:space="0" w:color="auto"/>
              <w:right w:val="nil"/>
            </w:tcBorders>
          </w:tcPr>
          <w:p w14:paraId="01CBAF8B" w14:textId="77777777" w:rsidR="00DA1C0E" w:rsidRPr="000D4E5B" w:rsidRDefault="00DA1C0E" w:rsidP="00D67AA8">
            <w:pPr>
              <w:pStyle w:val="Paragraph"/>
              <w:spacing w:line="276" w:lineRule="auto"/>
              <w:rPr>
                <w:b/>
              </w:rPr>
            </w:pPr>
          </w:p>
        </w:tc>
        <w:tc>
          <w:tcPr>
            <w:tcW w:w="2340" w:type="dxa"/>
            <w:tcBorders>
              <w:top w:val="single" w:sz="12" w:space="0" w:color="auto"/>
              <w:left w:val="nil"/>
              <w:bottom w:val="single" w:sz="4" w:space="0" w:color="auto"/>
              <w:right w:val="nil"/>
            </w:tcBorders>
            <w:hideMark/>
          </w:tcPr>
          <w:p w14:paraId="7E1A19B2" w14:textId="77777777" w:rsidR="00DA1C0E" w:rsidRPr="000D4E5B" w:rsidRDefault="00DA1C0E" w:rsidP="00D67AA8">
            <w:pPr>
              <w:pStyle w:val="Paragraph"/>
              <w:spacing w:line="276" w:lineRule="auto"/>
              <w:jc w:val="center"/>
              <w:rPr>
                <w:b/>
              </w:rPr>
            </w:pPr>
            <w:r w:rsidRPr="000D4E5B">
              <w:rPr>
                <w:b/>
              </w:rPr>
              <w:t xml:space="preserve">Olaparib 300 mg </w:t>
            </w:r>
            <w:proofErr w:type="spellStart"/>
            <w:r w:rsidRPr="000D4E5B">
              <w:rPr>
                <w:b/>
              </w:rPr>
              <w:t>bd</w:t>
            </w:r>
            <w:proofErr w:type="spellEnd"/>
          </w:p>
        </w:tc>
        <w:tc>
          <w:tcPr>
            <w:tcW w:w="2205" w:type="dxa"/>
            <w:tcBorders>
              <w:top w:val="single" w:sz="12" w:space="0" w:color="auto"/>
              <w:left w:val="nil"/>
              <w:bottom w:val="single" w:sz="4" w:space="0" w:color="auto"/>
              <w:right w:val="nil"/>
            </w:tcBorders>
            <w:hideMark/>
          </w:tcPr>
          <w:p w14:paraId="4A58B654" w14:textId="77777777" w:rsidR="00DA1C0E" w:rsidRPr="000D4E5B" w:rsidRDefault="00DA1C0E" w:rsidP="00D67AA8">
            <w:pPr>
              <w:pStyle w:val="Paragraph"/>
              <w:spacing w:after="0" w:line="276" w:lineRule="auto"/>
              <w:jc w:val="center"/>
              <w:rPr>
                <w:b/>
              </w:rPr>
            </w:pPr>
            <w:r w:rsidRPr="000D4E5B">
              <w:rPr>
                <w:b/>
              </w:rPr>
              <w:t xml:space="preserve">Physician’s choice </w:t>
            </w:r>
            <w:proofErr w:type="spellStart"/>
            <w:r w:rsidRPr="000D4E5B">
              <w:rPr>
                <w:b/>
              </w:rPr>
              <w:t>chemotherapy</w:t>
            </w:r>
            <w:r w:rsidRPr="000D4E5B">
              <w:rPr>
                <w:b/>
                <w:vertAlign w:val="superscript"/>
              </w:rPr>
              <w:t>a</w:t>
            </w:r>
            <w:proofErr w:type="spellEnd"/>
          </w:p>
        </w:tc>
      </w:tr>
      <w:tr w:rsidR="00DA1C0E" w:rsidRPr="000D4E5B" w14:paraId="15E13226" w14:textId="77777777" w:rsidTr="000A6A5B">
        <w:trPr>
          <w:cantSplit/>
        </w:trPr>
        <w:tc>
          <w:tcPr>
            <w:tcW w:w="9315" w:type="dxa"/>
            <w:gridSpan w:val="3"/>
            <w:tcBorders>
              <w:top w:val="single" w:sz="8" w:space="0" w:color="auto"/>
              <w:left w:val="nil"/>
              <w:bottom w:val="single" w:sz="8" w:space="0" w:color="auto"/>
              <w:right w:val="nil"/>
            </w:tcBorders>
            <w:shd w:val="clear" w:color="auto" w:fill="E0E0E0"/>
            <w:hideMark/>
          </w:tcPr>
          <w:p w14:paraId="645E6F50" w14:textId="77777777" w:rsidR="00DA1C0E" w:rsidRPr="000D4E5B" w:rsidRDefault="00DA1C0E" w:rsidP="00D67AA8">
            <w:pPr>
              <w:pStyle w:val="Paragraph"/>
              <w:spacing w:after="0" w:line="276" w:lineRule="auto"/>
              <w:rPr>
                <w:b/>
                <w:bCs/>
              </w:rPr>
            </w:pPr>
            <w:r w:rsidRPr="000D4E5B">
              <w:rPr>
                <w:b/>
                <w:bCs/>
              </w:rPr>
              <w:t>PFS (77% maturity) – DCO 9 December 2016</w:t>
            </w:r>
          </w:p>
        </w:tc>
      </w:tr>
      <w:tr w:rsidR="0038029D" w:rsidRPr="000D4E5B" w14:paraId="4682DFBF" w14:textId="77777777" w:rsidTr="0038029D">
        <w:tc>
          <w:tcPr>
            <w:tcW w:w="4770" w:type="dxa"/>
            <w:tcBorders>
              <w:top w:val="single" w:sz="4" w:space="0" w:color="auto"/>
              <w:left w:val="nil"/>
              <w:bottom w:val="nil"/>
              <w:right w:val="nil"/>
            </w:tcBorders>
            <w:vAlign w:val="center"/>
            <w:hideMark/>
          </w:tcPr>
          <w:p w14:paraId="7B4D865C" w14:textId="77777777" w:rsidR="00DA1C0E" w:rsidRPr="000D4E5B" w:rsidRDefault="00DA1C0E" w:rsidP="00D67AA8">
            <w:pPr>
              <w:pStyle w:val="Paragraph"/>
              <w:spacing w:after="0" w:line="276" w:lineRule="auto"/>
            </w:pPr>
            <w:r w:rsidRPr="000D4E5B">
              <w:t>Number of events: Total number of patients (%)</w:t>
            </w:r>
          </w:p>
        </w:tc>
        <w:tc>
          <w:tcPr>
            <w:tcW w:w="2340" w:type="dxa"/>
            <w:tcBorders>
              <w:top w:val="single" w:sz="4" w:space="0" w:color="auto"/>
              <w:left w:val="nil"/>
              <w:bottom w:val="nil"/>
              <w:right w:val="nil"/>
            </w:tcBorders>
            <w:vAlign w:val="center"/>
            <w:hideMark/>
          </w:tcPr>
          <w:p w14:paraId="68287E37" w14:textId="77777777" w:rsidR="00DA1C0E" w:rsidRPr="000D4E5B" w:rsidRDefault="00DA1C0E" w:rsidP="00D67AA8">
            <w:pPr>
              <w:pStyle w:val="Paragraph"/>
              <w:spacing w:after="0" w:line="276" w:lineRule="auto"/>
              <w:jc w:val="center"/>
            </w:pPr>
            <w:r w:rsidRPr="000D4E5B">
              <w:t xml:space="preserve">163:205 </w:t>
            </w:r>
            <w:r w:rsidRPr="000D4E5B">
              <w:br/>
              <w:t>(80)</w:t>
            </w:r>
          </w:p>
        </w:tc>
        <w:tc>
          <w:tcPr>
            <w:tcW w:w="2205" w:type="dxa"/>
            <w:tcBorders>
              <w:top w:val="single" w:sz="4" w:space="0" w:color="auto"/>
              <w:left w:val="nil"/>
              <w:bottom w:val="nil"/>
              <w:right w:val="nil"/>
            </w:tcBorders>
            <w:vAlign w:val="center"/>
            <w:hideMark/>
          </w:tcPr>
          <w:p w14:paraId="747EFB7D" w14:textId="77777777" w:rsidR="00DA1C0E" w:rsidRPr="000D4E5B" w:rsidRDefault="00DA1C0E" w:rsidP="00D67AA8">
            <w:pPr>
              <w:pStyle w:val="Paragraph"/>
              <w:spacing w:after="0" w:line="276" w:lineRule="auto"/>
              <w:jc w:val="center"/>
            </w:pPr>
            <w:r w:rsidRPr="000D4E5B">
              <w:t xml:space="preserve">71:97 </w:t>
            </w:r>
            <w:r w:rsidRPr="000D4E5B">
              <w:br/>
              <w:t>(73)</w:t>
            </w:r>
          </w:p>
        </w:tc>
      </w:tr>
      <w:tr w:rsidR="0038029D" w:rsidRPr="000D4E5B" w14:paraId="7D39A7C6" w14:textId="77777777" w:rsidTr="0038029D">
        <w:tc>
          <w:tcPr>
            <w:tcW w:w="4770" w:type="dxa"/>
            <w:tcBorders>
              <w:top w:val="nil"/>
              <w:left w:val="nil"/>
              <w:bottom w:val="nil"/>
              <w:right w:val="nil"/>
            </w:tcBorders>
            <w:vAlign w:val="center"/>
            <w:hideMark/>
          </w:tcPr>
          <w:p w14:paraId="25CE8D9C" w14:textId="77777777" w:rsidR="00DA1C0E" w:rsidRPr="000D4E5B" w:rsidRDefault="00DA1C0E" w:rsidP="00D67AA8">
            <w:pPr>
              <w:pStyle w:val="Paragraph"/>
              <w:spacing w:after="0" w:line="276" w:lineRule="auto"/>
            </w:pPr>
            <w:r w:rsidRPr="000D4E5B">
              <w:t>Median time (months)</w:t>
            </w:r>
          </w:p>
        </w:tc>
        <w:tc>
          <w:tcPr>
            <w:tcW w:w="2340" w:type="dxa"/>
            <w:tcBorders>
              <w:top w:val="nil"/>
              <w:left w:val="nil"/>
              <w:bottom w:val="nil"/>
              <w:right w:val="nil"/>
            </w:tcBorders>
            <w:vAlign w:val="center"/>
            <w:hideMark/>
          </w:tcPr>
          <w:p w14:paraId="001B70BE" w14:textId="77777777" w:rsidR="00DA1C0E" w:rsidRPr="000D4E5B" w:rsidRDefault="00DA1C0E" w:rsidP="00D67AA8">
            <w:pPr>
              <w:pStyle w:val="Paragraph"/>
              <w:spacing w:after="0" w:line="276" w:lineRule="auto"/>
              <w:jc w:val="center"/>
            </w:pPr>
            <w:r w:rsidRPr="000D4E5B">
              <w:t>7.0</w:t>
            </w:r>
          </w:p>
        </w:tc>
        <w:tc>
          <w:tcPr>
            <w:tcW w:w="2205" w:type="dxa"/>
            <w:tcBorders>
              <w:top w:val="nil"/>
              <w:left w:val="nil"/>
              <w:bottom w:val="nil"/>
              <w:right w:val="nil"/>
            </w:tcBorders>
            <w:vAlign w:val="center"/>
            <w:hideMark/>
          </w:tcPr>
          <w:p w14:paraId="37C0DF0C" w14:textId="77777777" w:rsidR="00DA1C0E" w:rsidRPr="000D4E5B" w:rsidRDefault="00DA1C0E" w:rsidP="00D67AA8">
            <w:pPr>
              <w:pStyle w:val="Paragraph"/>
              <w:spacing w:after="0" w:line="276" w:lineRule="auto"/>
              <w:jc w:val="center"/>
            </w:pPr>
            <w:r w:rsidRPr="000D4E5B">
              <w:t>4.2</w:t>
            </w:r>
          </w:p>
        </w:tc>
      </w:tr>
      <w:tr w:rsidR="00DA1C0E" w:rsidRPr="000D4E5B" w14:paraId="23AEB8A0" w14:textId="77777777" w:rsidTr="001C6C1A">
        <w:trPr>
          <w:trHeight w:val="513"/>
        </w:trPr>
        <w:tc>
          <w:tcPr>
            <w:tcW w:w="4770" w:type="dxa"/>
            <w:tcBorders>
              <w:top w:val="nil"/>
              <w:left w:val="nil"/>
              <w:bottom w:val="nil"/>
              <w:right w:val="nil"/>
            </w:tcBorders>
            <w:vAlign w:val="center"/>
            <w:hideMark/>
          </w:tcPr>
          <w:p w14:paraId="27E64C0B" w14:textId="77777777" w:rsidR="00DA1C0E" w:rsidRPr="000D4E5B" w:rsidRDefault="00DA1C0E" w:rsidP="00D67AA8">
            <w:pPr>
              <w:pStyle w:val="Paragraph"/>
              <w:spacing w:after="0" w:line="276" w:lineRule="auto"/>
            </w:pPr>
            <w:r w:rsidRPr="000D4E5B">
              <w:t>HR (95% CI)</w:t>
            </w:r>
          </w:p>
        </w:tc>
        <w:tc>
          <w:tcPr>
            <w:tcW w:w="4545" w:type="dxa"/>
            <w:gridSpan w:val="2"/>
            <w:tcBorders>
              <w:top w:val="nil"/>
              <w:left w:val="nil"/>
              <w:bottom w:val="nil"/>
              <w:right w:val="nil"/>
            </w:tcBorders>
            <w:vAlign w:val="center"/>
            <w:hideMark/>
          </w:tcPr>
          <w:p w14:paraId="4900183D" w14:textId="77777777" w:rsidR="00DA1C0E" w:rsidRPr="000D4E5B" w:rsidRDefault="00DA1C0E" w:rsidP="00D67AA8">
            <w:pPr>
              <w:pStyle w:val="Paragraph"/>
              <w:spacing w:after="0" w:line="276" w:lineRule="auto"/>
              <w:jc w:val="center"/>
            </w:pPr>
            <w:r w:rsidRPr="000D4E5B">
              <w:t>0.58 (0.43-0.80)</w:t>
            </w:r>
          </w:p>
        </w:tc>
      </w:tr>
      <w:tr w:rsidR="00DA1C0E" w:rsidRPr="000D4E5B" w14:paraId="7C35C0B2" w14:textId="77777777" w:rsidTr="001C6C1A">
        <w:trPr>
          <w:trHeight w:val="758"/>
        </w:trPr>
        <w:tc>
          <w:tcPr>
            <w:tcW w:w="4770" w:type="dxa"/>
            <w:tcBorders>
              <w:top w:val="nil"/>
              <w:left w:val="nil"/>
              <w:bottom w:val="single" w:sz="4" w:space="0" w:color="auto"/>
              <w:right w:val="nil"/>
            </w:tcBorders>
            <w:vAlign w:val="center"/>
            <w:hideMark/>
          </w:tcPr>
          <w:p w14:paraId="00ED8B26" w14:textId="77777777" w:rsidR="00DA1C0E" w:rsidRPr="000D4E5B" w:rsidRDefault="00DA1C0E" w:rsidP="00D67AA8">
            <w:pPr>
              <w:pStyle w:val="Paragraph"/>
              <w:spacing w:after="0" w:line="276" w:lineRule="auto"/>
            </w:pPr>
            <w:r w:rsidRPr="000D4E5B">
              <w:t>P value (2-sided)</w:t>
            </w:r>
          </w:p>
        </w:tc>
        <w:tc>
          <w:tcPr>
            <w:tcW w:w="4545" w:type="dxa"/>
            <w:gridSpan w:val="2"/>
            <w:tcBorders>
              <w:top w:val="nil"/>
              <w:left w:val="nil"/>
              <w:bottom w:val="single" w:sz="4" w:space="0" w:color="auto"/>
              <w:right w:val="nil"/>
            </w:tcBorders>
            <w:vAlign w:val="center"/>
            <w:hideMark/>
          </w:tcPr>
          <w:p w14:paraId="33FFED0C" w14:textId="510BB21E" w:rsidR="00DA1C0E" w:rsidRPr="000D4E5B" w:rsidRDefault="0015430F" w:rsidP="00D67AA8">
            <w:pPr>
              <w:pStyle w:val="Paragraph"/>
              <w:spacing w:after="0" w:line="276" w:lineRule="auto"/>
              <w:jc w:val="center"/>
            </w:pPr>
            <w:r w:rsidRPr="000D4E5B">
              <w:t>p</w:t>
            </w:r>
            <w:r w:rsidR="00DA1C0E" w:rsidRPr="000D4E5B">
              <w:t>=0.0009</w:t>
            </w:r>
          </w:p>
        </w:tc>
      </w:tr>
      <w:tr w:rsidR="00DA1C0E" w:rsidRPr="000D4E5B" w14:paraId="4F76D4EA" w14:textId="77777777" w:rsidTr="000A6A5B">
        <w:trPr>
          <w:cantSplit/>
        </w:trPr>
        <w:tc>
          <w:tcPr>
            <w:tcW w:w="9315" w:type="dxa"/>
            <w:gridSpan w:val="3"/>
            <w:tcBorders>
              <w:top w:val="single" w:sz="8" w:space="0" w:color="auto"/>
              <w:left w:val="nil"/>
              <w:bottom w:val="single" w:sz="8" w:space="0" w:color="auto"/>
              <w:right w:val="nil"/>
            </w:tcBorders>
            <w:shd w:val="clear" w:color="auto" w:fill="E0E0E0"/>
            <w:hideMark/>
          </w:tcPr>
          <w:p w14:paraId="352E621D" w14:textId="75C7D1D1" w:rsidR="00DA1C0E" w:rsidRPr="000D4E5B" w:rsidRDefault="00DA1C0E" w:rsidP="00D67AA8">
            <w:pPr>
              <w:pStyle w:val="Paragraph"/>
              <w:spacing w:after="0" w:line="276" w:lineRule="auto"/>
              <w:rPr>
                <w:b/>
              </w:rPr>
            </w:pPr>
            <w:r w:rsidRPr="000D4E5B">
              <w:rPr>
                <w:b/>
              </w:rPr>
              <w:t>PFS2 (52% maturity) – DCO 9 December 2016</w:t>
            </w:r>
          </w:p>
        </w:tc>
      </w:tr>
      <w:tr w:rsidR="0038029D" w:rsidRPr="000D4E5B" w14:paraId="7C2BB123" w14:textId="77777777" w:rsidTr="0038029D">
        <w:tc>
          <w:tcPr>
            <w:tcW w:w="4770" w:type="dxa"/>
            <w:tcBorders>
              <w:top w:val="single" w:sz="4" w:space="0" w:color="auto"/>
              <w:left w:val="nil"/>
              <w:bottom w:val="nil"/>
              <w:right w:val="nil"/>
            </w:tcBorders>
            <w:hideMark/>
          </w:tcPr>
          <w:p w14:paraId="1CD301CE" w14:textId="77777777" w:rsidR="00DA1C0E" w:rsidRPr="000D4E5B" w:rsidRDefault="00DA1C0E" w:rsidP="00D67AA8">
            <w:pPr>
              <w:pStyle w:val="Paragraph"/>
              <w:spacing w:after="0" w:line="276" w:lineRule="auto"/>
            </w:pPr>
            <w:r w:rsidRPr="000D4E5B">
              <w:t>Number of events: Total number of patients (%)</w:t>
            </w:r>
          </w:p>
        </w:tc>
        <w:tc>
          <w:tcPr>
            <w:tcW w:w="2340" w:type="dxa"/>
            <w:tcBorders>
              <w:top w:val="single" w:sz="4" w:space="0" w:color="auto"/>
              <w:left w:val="nil"/>
              <w:bottom w:val="nil"/>
              <w:right w:val="nil"/>
            </w:tcBorders>
            <w:hideMark/>
          </w:tcPr>
          <w:p w14:paraId="65F90BC8" w14:textId="77777777" w:rsidR="00DA1C0E" w:rsidRPr="000D4E5B" w:rsidRDefault="00DA1C0E" w:rsidP="00D67AA8">
            <w:pPr>
              <w:pStyle w:val="Paragraph"/>
              <w:spacing w:after="0" w:line="276" w:lineRule="auto"/>
              <w:jc w:val="center"/>
            </w:pPr>
            <w:r w:rsidRPr="000D4E5B">
              <w:t xml:space="preserve">104:205 </w:t>
            </w:r>
            <w:r w:rsidRPr="000D4E5B">
              <w:br/>
              <w:t>(51)</w:t>
            </w:r>
          </w:p>
        </w:tc>
        <w:tc>
          <w:tcPr>
            <w:tcW w:w="2205" w:type="dxa"/>
            <w:tcBorders>
              <w:top w:val="single" w:sz="4" w:space="0" w:color="auto"/>
              <w:left w:val="nil"/>
              <w:bottom w:val="nil"/>
              <w:right w:val="nil"/>
            </w:tcBorders>
            <w:hideMark/>
          </w:tcPr>
          <w:p w14:paraId="1E45F098" w14:textId="77777777" w:rsidR="00DA1C0E" w:rsidRPr="000D4E5B" w:rsidRDefault="00DA1C0E" w:rsidP="00D67AA8">
            <w:pPr>
              <w:pStyle w:val="Paragraph"/>
              <w:spacing w:after="0" w:line="276" w:lineRule="auto"/>
              <w:jc w:val="center"/>
            </w:pPr>
            <w:r w:rsidRPr="000D4E5B">
              <w:t xml:space="preserve">53:97 </w:t>
            </w:r>
            <w:r w:rsidRPr="000D4E5B">
              <w:br/>
              <w:t>(55)</w:t>
            </w:r>
          </w:p>
        </w:tc>
      </w:tr>
      <w:tr w:rsidR="0038029D" w:rsidRPr="000D4E5B" w14:paraId="2AF0A1E7" w14:textId="77777777" w:rsidTr="0038029D">
        <w:tc>
          <w:tcPr>
            <w:tcW w:w="4770" w:type="dxa"/>
            <w:tcBorders>
              <w:top w:val="nil"/>
              <w:left w:val="nil"/>
              <w:bottom w:val="nil"/>
              <w:right w:val="nil"/>
            </w:tcBorders>
            <w:hideMark/>
          </w:tcPr>
          <w:p w14:paraId="33377537" w14:textId="77777777" w:rsidR="00DA1C0E" w:rsidRPr="000D4E5B" w:rsidRDefault="00DA1C0E" w:rsidP="00D67AA8">
            <w:pPr>
              <w:pStyle w:val="Paragraph"/>
              <w:spacing w:after="0" w:line="276" w:lineRule="auto"/>
            </w:pPr>
            <w:r w:rsidRPr="000D4E5B">
              <w:t>Median time (months)</w:t>
            </w:r>
          </w:p>
        </w:tc>
        <w:tc>
          <w:tcPr>
            <w:tcW w:w="2340" w:type="dxa"/>
            <w:tcBorders>
              <w:top w:val="nil"/>
              <w:left w:val="nil"/>
              <w:bottom w:val="nil"/>
              <w:right w:val="nil"/>
            </w:tcBorders>
            <w:hideMark/>
          </w:tcPr>
          <w:p w14:paraId="71988F3A" w14:textId="77777777" w:rsidR="00DA1C0E" w:rsidRPr="000D4E5B" w:rsidRDefault="00DA1C0E" w:rsidP="00D67AA8">
            <w:pPr>
              <w:pStyle w:val="Paragraph"/>
              <w:spacing w:after="0" w:line="276" w:lineRule="auto"/>
              <w:jc w:val="center"/>
            </w:pPr>
            <w:r w:rsidRPr="000D4E5B">
              <w:t>13.2</w:t>
            </w:r>
          </w:p>
        </w:tc>
        <w:tc>
          <w:tcPr>
            <w:tcW w:w="2205" w:type="dxa"/>
            <w:tcBorders>
              <w:top w:val="nil"/>
              <w:left w:val="nil"/>
              <w:bottom w:val="nil"/>
              <w:right w:val="nil"/>
            </w:tcBorders>
            <w:hideMark/>
          </w:tcPr>
          <w:p w14:paraId="04BB9285" w14:textId="77777777" w:rsidR="00DA1C0E" w:rsidRPr="000D4E5B" w:rsidRDefault="00DA1C0E" w:rsidP="00D67AA8">
            <w:pPr>
              <w:pStyle w:val="Paragraph"/>
              <w:spacing w:after="0" w:line="276" w:lineRule="auto"/>
              <w:jc w:val="center"/>
            </w:pPr>
            <w:r w:rsidRPr="000D4E5B">
              <w:t>9.3</w:t>
            </w:r>
          </w:p>
        </w:tc>
      </w:tr>
      <w:tr w:rsidR="00DA1C0E" w:rsidRPr="000D4E5B" w14:paraId="1C0ED3E1" w14:textId="77777777" w:rsidTr="00D67AA8">
        <w:tc>
          <w:tcPr>
            <w:tcW w:w="4770" w:type="dxa"/>
            <w:tcBorders>
              <w:top w:val="nil"/>
              <w:left w:val="nil"/>
              <w:bottom w:val="nil"/>
              <w:right w:val="nil"/>
            </w:tcBorders>
            <w:hideMark/>
          </w:tcPr>
          <w:p w14:paraId="6C7FED7D" w14:textId="77777777" w:rsidR="00DA1C0E" w:rsidRPr="000D4E5B" w:rsidRDefault="00DA1C0E" w:rsidP="00D67AA8">
            <w:pPr>
              <w:pStyle w:val="Paragraph"/>
              <w:spacing w:after="0" w:line="276" w:lineRule="auto"/>
            </w:pPr>
            <w:r w:rsidRPr="000D4E5B">
              <w:t>HR (95% CI)</w:t>
            </w:r>
          </w:p>
        </w:tc>
        <w:tc>
          <w:tcPr>
            <w:tcW w:w="4545" w:type="dxa"/>
            <w:gridSpan w:val="2"/>
            <w:tcBorders>
              <w:top w:val="nil"/>
              <w:left w:val="nil"/>
              <w:bottom w:val="nil"/>
              <w:right w:val="nil"/>
            </w:tcBorders>
            <w:hideMark/>
          </w:tcPr>
          <w:p w14:paraId="02C6B4B2" w14:textId="77777777" w:rsidR="00DA1C0E" w:rsidRPr="000D4E5B" w:rsidRDefault="00DA1C0E" w:rsidP="00D67AA8">
            <w:pPr>
              <w:pStyle w:val="Paragraph"/>
              <w:spacing w:after="0" w:line="276" w:lineRule="auto"/>
              <w:jc w:val="center"/>
            </w:pPr>
            <w:r w:rsidRPr="000D4E5B">
              <w:t>0.57 (0.40-0.83)</w:t>
            </w:r>
          </w:p>
        </w:tc>
      </w:tr>
      <w:tr w:rsidR="00DA1C0E" w:rsidRPr="000D4E5B" w14:paraId="7D6B7354" w14:textId="77777777" w:rsidTr="00DA4D88">
        <w:tc>
          <w:tcPr>
            <w:tcW w:w="4770" w:type="dxa"/>
            <w:tcBorders>
              <w:top w:val="nil"/>
              <w:left w:val="nil"/>
              <w:bottom w:val="single" w:sz="8" w:space="0" w:color="auto"/>
              <w:right w:val="nil"/>
            </w:tcBorders>
            <w:hideMark/>
          </w:tcPr>
          <w:p w14:paraId="7FE30F97" w14:textId="77777777" w:rsidR="00DA1C0E" w:rsidRPr="000D4E5B" w:rsidRDefault="00DA1C0E" w:rsidP="00D67AA8">
            <w:pPr>
              <w:pStyle w:val="Paragraph"/>
              <w:spacing w:after="0" w:line="276" w:lineRule="auto"/>
            </w:pPr>
            <w:r w:rsidRPr="000D4E5B">
              <w:t>P value (2-sided)</w:t>
            </w:r>
          </w:p>
        </w:tc>
        <w:tc>
          <w:tcPr>
            <w:tcW w:w="4545" w:type="dxa"/>
            <w:gridSpan w:val="2"/>
            <w:tcBorders>
              <w:top w:val="nil"/>
              <w:left w:val="nil"/>
              <w:bottom w:val="single" w:sz="8" w:space="0" w:color="auto"/>
              <w:right w:val="nil"/>
            </w:tcBorders>
            <w:hideMark/>
          </w:tcPr>
          <w:p w14:paraId="44DA152F" w14:textId="2A364A39" w:rsidR="00DA1C0E" w:rsidRPr="000D4E5B" w:rsidRDefault="0015430F" w:rsidP="00D67AA8">
            <w:pPr>
              <w:pStyle w:val="Paragraph"/>
              <w:spacing w:after="0" w:line="276" w:lineRule="auto"/>
              <w:jc w:val="center"/>
            </w:pPr>
            <w:r w:rsidRPr="000D4E5B">
              <w:t>p</w:t>
            </w:r>
            <w:r w:rsidR="00DA1C0E" w:rsidRPr="000D4E5B">
              <w:t>=0.0033</w:t>
            </w:r>
          </w:p>
        </w:tc>
      </w:tr>
      <w:tr w:rsidR="00DA1C0E" w:rsidRPr="000D4E5B" w14:paraId="587DDEDD" w14:textId="77777777" w:rsidTr="00DA4D88">
        <w:trPr>
          <w:cantSplit/>
        </w:trPr>
        <w:tc>
          <w:tcPr>
            <w:tcW w:w="9315" w:type="dxa"/>
            <w:gridSpan w:val="3"/>
            <w:tcBorders>
              <w:top w:val="single" w:sz="8" w:space="0" w:color="auto"/>
              <w:left w:val="nil"/>
              <w:bottom w:val="single" w:sz="8" w:space="0" w:color="auto"/>
              <w:right w:val="nil"/>
            </w:tcBorders>
            <w:shd w:val="clear" w:color="auto" w:fill="D9D9D9"/>
            <w:hideMark/>
          </w:tcPr>
          <w:p w14:paraId="1E3453C1" w14:textId="3F8E0869" w:rsidR="00DA1C0E" w:rsidRPr="000D4E5B" w:rsidRDefault="00DA1C0E" w:rsidP="00D67AA8">
            <w:pPr>
              <w:pStyle w:val="Paragraph"/>
              <w:spacing w:after="0" w:line="276" w:lineRule="auto"/>
              <w:rPr>
                <w:b/>
              </w:rPr>
            </w:pPr>
            <w:r w:rsidRPr="000D4E5B">
              <w:rPr>
                <w:b/>
              </w:rPr>
              <w:t>OS (64% maturity) – DCO 25 September 2017</w:t>
            </w:r>
          </w:p>
        </w:tc>
      </w:tr>
      <w:tr w:rsidR="0038029D" w:rsidRPr="000D4E5B" w14:paraId="23DDA467" w14:textId="77777777" w:rsidTr="00DA4D88">
        <w:tc>
          <w:tcPr>
            <w:tcW w:w="4770" w:type="dxa"/>
            <w:tcBorders>
              <w:top w:val="single" w:sz="8" w:space="0" w:color="auto"/>
              <w:left w:val="nil"/>
              <w:bottom w:val="nil"/>
              <w:right w:val="nil"/>
            </w:tcBorders>
            <w:hideMark/>
          </w:tcPr>
          <w:p w14:paraId="6FDBB6A0" w14:textId="77777777" w:rsidR="00DA1C0E" w:rsidRPr="000D4E5B" w:rsidRDefault="00DA1C0E" w:rsidP="00D67AA8">
            <w:pPr>
              <w:pStyle w:val="Paragraph"/>
              <w:spacing w:after="0" w:line="276" w:lineRule="auto"/>
            </w:pPr>
            <w:r w:rsidRPr="000D4E5B">
              <w:t>Number of events: Total number of patients (%)</w:t>
            </w:r>
          </w:p>
        </w:tc>
        <w:tc>
          <w:tcPr>
            <w:tcW w:w="2340" w:type="dxa"/>
            <w:tcBorders>
              <w:top w:val="single" w:sz="8" w:space="0" w:color="auto"/>
              <w:left w:val="nil"/>
              <w:bottom w:val="nil"/>
              <w:right w:val="nil"/>
            </w:tcBorders>
            <w:hideMark/>
          </w:tcPr>
          <w:p w14:paraId="5AF9F902" w14:textId="14F43F1B" w:rsidR="00DA1C0E" w:rsidRPr="000D4E5B" w:rsidRDefault="00DA1C0E" w:rsidP="00D67AA8">
            <w:pPr>
              <w:pStyle w:val="Paragraph"/>
              <w:spacing w:after="0" w:line="276" w:lineRule="auto"/>
              <w:jc w:val="center"/>
            </w:pPr>
            <w:r w:rsidRPr="000D4E5B">
              <w:t xml:space="preserve">130:205 </w:t>
            </w:r>
            <w:r w:rsidRPr="000D4E5B">
              <w:br/>
              <w:t>(63)</w:t>
            </w:r>
          </w:p>
        </w:tc>
        <w:tc>
          <w:tcPr>
            <w:tcW w:w="2205" w:type="dxa"/>
            <w:tcBorders>
              <w:top w:val="single" w:sz="8" w:space="0" w:color="auto"/>
              <w:left w:val="nil"/>
              <w:bottom w:val="nil"/>
              <w:right w:val="nil"/>
            </w:tcBorders>
            <w:hideMark/>
          </w:tcPr>
          <w:p w14:paraId="42D29652" w14:textId="749F3706" w:rsidR="00DA1C0E" w:rsidRPr="000D4E5B" w:rsidRDefault="00DA1C0E" w:rsidP="00D67AA8">
            <w:pPr>
              <w:pStyle w:val="Paragraph"/>
              <w:spacing w:after="0" w:line="276" w:lineRule="auto"/>
              <w:jc w:val="center"/>
            </w:pPr>
            <w:r w:rsidRPr="000D4E5B">
              <w:t xml:space="preserve">62:97 </w:t>
            </w:r>
            <w:r w:rsidRPr="000D4E5B">
              <w:br/>
              <w:t>(64)</w:t>
            </w:r>
            <w:r w:rsidRPr="000D4E5B">
              <w:rPr>
                <w:vertAlign w:val="superscript"/>
              </w:rPr>
              <w:t>b</w:t>
            </w:r>
          </w:p>
        </w:tc>
      </w:tr>
      <w:tr w:rsidR="0038029D" w:rsidRPr="000D4E5B" w14:paraId="262C2ACB" w14:textId="77777777" w:rsidTr="0038029D">
        <w:tc>
          <w:tcPr>
            <w:tcW w:w="4770" w:type="dxa"/>
            <w:tcBorders>
              <w:top w:val="nil"/>
              <w:left w:val="nil"/>
              <w:bottom w:val="nil"/>
              <w:right w:val="nil"/>
            </w:tcBorders>
            <w:hideMark/>
          </w:tcPr>
          <w:p w14:paraId="08F8CA61" w14:textId="77777777" w:rsidR="00DA1C0E" w:rsidRPr="000D4E5B" w:rsidRDefault="00DA1C0E" w:rsidP="00D67AA8">
            <w:pPr>
              <w:pStyle w:val="Paragraph"/>
              <w:spacing w:after="0" w:line="276" w:lineRule="auto"/>
            </w:pPr>
            <w:r w:rsidRPr="000D4E5B">
              <w:t>Median time (months)</w:t>
            </w:r>
          </w:p>
        </w:tc>
        <w:tc>
          <w:tcPr>
            <w:tcW w:w="2340" w:type="dxa"/>
            <w:tcBorders>
              <w:top w:val="nil"/>
              <w:left w:val="nil"/>
              <w:bottom w:val="nil"/>
              <w:right w:val="nil"/>
            </w:tcBorders>
            <w:hideMark/>
          </w:tcPr>
          <w:p w14:paraId="4B789F3D" w14:textId="77777777" w:rsidR="00DA1C0E" w:rsidRPr="000D4E5B" w:rsidRDefault="00DA1C0E" w:rsidP="00D67AA8">
            <w:pPr>
              <w:pStyle w:val="Paragraph"/>
              <w:spacing w:after="0" w:line="276" w:lineRule="auto"/>
              <w:jc w:val="center"/>
            </w:pPr>
            <w:r w:rsidRPr="000D4E5B">
              <w:t>19.3</w:t>
            </w:r>
          </w:p>
        </w:tc>
        <w:tc>
          <w:tcPr>
            <w:tcW w:w="2205" w:type="dxa"/>
            <w:tcBorders>
              <w:top w:val="nil"/>
              <w:left w:val="nil"/>
              <w:bottom w:val="nil"/>
              <w:right w:val="nil"/>
            </w:tcBorders>
            <w:hideMark/>
          </w:tcPr>
          <w:p w14:paraId="6D81C33F" w14:textId="464B3F06" w:rsidR="00DA1C0E" w:rsidRPr="000D4E5B" w:rsidRDefault="00DA1C0E" w:rsidP="00D67AA8">
            <w:pPr>
              <w:pStyle w:val="Paragraph"/>
              <w:spacing w:after="0" w:line="276" w:lineRule="auto"/>
              <w:jc w:val="center"/>
            </w:pPr>
            <w:r w:rsidRPr="000D4E5B">
              <w:t>17.1</w:t>
            </w:r>
          </w:p>
        </w:tc>
      </w:tr>
      <w:tr w:rsidR="00DA1C0E" w:rsidRPr="000D4E5B" w14:paraId="22C31CC5" w14:textId="77777777" w:rsidTr="00D67AA8">
        <w:tc>
          <w:tcPr>
            <w:tcW w:w="4770" w:type="dxa"/>
            <w:tcBorders>
              <w:top w:val="nil"/>
              <w:left w:val="nil"/>
              <w:bottom w:val="nil"/>
              <w:right w:val="nil"/>
            </w:tcBorders>
            <w:hideMark/>
          </w:tcPr>
          <w:p w14:paraId="07727E99" w14:textId="77777777" w:rsidR="00DA1C0E" w:rsidRPr="000D4E5B" w:rsidRDefault="00DA1C0E" w:rsidP="00D67AA8">
            <w:pPr>
              <w:pStyle w:val="Paragraph"/>
              <w:spacing w:after="0" w:line="276" w:lineRule="auto"/>
            </w:pPr>
            <w:r w:rsidRPr="000D4E5B">
              <w:t>HR (95% CI)</w:t>
            </w:r>
          </w:p>
        </w:tc>
        <w:tc>
          <w:tcPr>
            <w:tcW w:w="4545" w:type="dxa"/>
            <w:gridSpan w:val="2"/>
            <w:tcBorders>
              <w:top w:val="nil"/>
              <w:left w:val="nil"/>
              <w:bottom w:val="nil"/>
              <w:right w:val="nil"/>
            </w:tcBorders>
            <w:hideMark/>
          </w:tcPr>
          <w:p w14:paraId="4E6F66AF" w14:textId="73E68CDE" w:rsidR="00DA1C0E" w:rsidRPr="000D4E5B" w:rsidRDefault="00DA1C0E" w:rsidP="00D67AA8">
            <w:pPr>
              <w:pStyle w:val="Paragraph"/>
              <w:spacing w:after="0" w:line="276" w:lineRule="auto"/>
              <w:jc w:val="center"/>
            </w:pPr>
            <w:r w:rsidRPr="000D4E5B">
              <w:t>0.9</w:t>
            </w:r>
            <w:r w:rsidR="0015430F" w:rsidRPr="000D4E5B">
              <w:t>0</w:t>
            </w:r>
            <w:r w:rsidRPr="000D4E5B">
              <w:t xml:space="preserve"> (0.66-1.23)</w:t>
            </w:r>
          </w:p>
        </w:tc>
      </w:tr>
      <w:tr w:rsidR="00DA1C0E" w:rsidRPr="000D4E5B" w14:paraId="2BFA461A" w14:textId="77777777" w:rsidTr="00D67AA8">
        <w:tc>
          <w:tcPr>
            <w:tcW w:w="4770" w:type="dxa"/>
            <w:tcBorders>
              <w:top w:val="nil"/>
              <w:left w:val="nil"/>
              <w:bottom w:val="single" w:sz="4" w:space="0" w:color="auto"/>
              <w:right w:val="nil"/>
            </w:tcBorders>
            <w:hideMark/>
          </w:tcPr>
          <w:p w14:paraId="32337933" w14:textId="77777777" w:rsidR="00DA1C0E" w:rsidRPr="000D4E5B" w:rsidRDefault="00DA1C0E" w:rsidP="00D67AA8">
            <w:pPr>
              <w:pStyle w:val="Paragraph"/>
              <w:spacing w:after="0" w:line="276" w:lineRule="auto"/>
            </w:pPr>
            <w:r w:rsidRPr="000D4E5B">
              <w:t>P value (2-sided)</w:t>
            </w:r>
          </w:p>
        </w:tc>
        <w:tc>
          <w:tcPr>
            <w:tcW w:w="4545" w:type="dxa"/>
            <w:gridSpan w:val="2"/>
            <w:tcBorders>
              <w:top w:val="nil"/>
              <w:left w:val="nil"/>
              <w:bottom w:val="single" w:sz="4" w:space="0" w:color="auto"/>
              <w:right w:val="nil"/>
            </w:tcBorders>
            <w:hideMark/>
          </w:tcPr>
          <w:p w14:paraId="7BBD65E0" w14:textId="15973429" w:rsidR="00DA1C0E" w:rsidRPr="000D4E5B" w:rsidRDefault="0015430F" w:rsidP="00D67AA8">
            <w:pPr>
              <w:pStyle w:val="Paragraph"/>
              <w:spacing w:after="0" w:line="276" w:lineRule="auto"/>
              <w:jc w:val="center"/>
            </w:pPr>
            <w:r w:rsidRPr="000D4E5B">
              <w:t>p=</w:t>
            </w:r>
            <w:r w:rsidR="00DA1C0E" w:rsidRPr="000D4E5B">
              <w:t>0.5131</w:t>
            </w:r>
          </w:p>
        </w:tc>
      </w:tr>
      <w:tr w:rsidR="00DA1C0E" w:rsidRPr="000D4E5B" w14:paraId="6FD947AD" w14:textId="77777777" w:rsidTr="000A6A5B">
        <w:trPr>
          <w:cantSplit/>
        </w:trPr>
        <w:tc>
          <w:tcPr>
            <w:tcW w:w="9315" w:type="dxa"/>
            <w:gridSpan w:val="3"/>
            <w:tcBorders>
              <w:top w:val="single" w:sz="8" w:space="0" w:color="auto"/>
              <w:left w:val="nil"/>
              <w:bottom w:val="single" w:sz="8" w:space="0" w:color="auto"/>
              <w:right w:val="nil"/>
            </w:tcBorders>
            <w:shd w:val="clear" w:color="auto" w:fill="E0E0E0"/>
            <w:hideMark/>
          </w:tcPr>
          <w:p w14:paraId="3B601382" w14:textId="77777777" w:rsidR="00DA1C0E" w:rsidRPr="000D4E5B" w:rsidRDefault="00DA1C0E" w:rsidP="00D67AA8">
            <w:pPr>
              <w:pStyle w:val="Paragraph"/>
              <w:spacing w:after="0" w:line="276" w:lineRule="auto"/>
              <w:rPr>
                <w:b/>
                <w:bCs/>
              </w:rPr>
            </w:pPr>
            <w:r w:rsidRPr="000D4E5B">
              <w:rPr>
                <w:b/>
              </w:rPr>
              <w:t>ORR – DCO 9 December 2016</w:t>
            </w:r>
          </w:p>
        </w:tc>
      </w:tr>
      <w:tr w:rsidR="0038029D" w:rsidRPr="000D4E5B" w14:paraId="6C24DF9B" w14:textId="77777777" w:rsidTr="0038029D">
        <w:tc>
          <w:tcPr>
            <w:tcW w:w="4770" w:type="dxa"/>
            <w:tcBorders>
              <w:top w:val="single" w:sz="4" w:space="0" w:color="auto"/>
              <w:left w:val="nil"/>
              <w:bottom w:val="nil"/>
              <w:right w:val="nil"/>
            </w:tcBorders>
            <w:hideMark/>
          </w:tcPr>
          <w:p w14:paraId="7D9FB5CC" w14:textId="77777777" w:rsidR="00DA1C0E" w:rsidRPr="000D4E5B" w:rsidRDefault="00DA1C0E" w:rsidP="00D67AA8">
            <w:pPr>
              <w:pStyle w:val="Paragraph"/>
              <w:spacing w:after="0" w:line="276" w:lineRule="auto"/>
            </w:pPr>
            <w:r w:rsidRPr="000D4E5B">
              <w:t>Number of objective responders: Total number of patients with measurable disease (%)</w:t>
            </w:r>
          </w:p>
        </w:tc>
        <w:tc>
          <w:tcPr>
            <w:tcW w:w="2340" w:type="dxa"/>
            <w:tcBorders>
              <w:top w:val="single" w:sz="4" w:space="0" w:color="auto"/>
              <w:left w:val="nil"/>
              <w:bottom w:val="nil"/>
              <w:right w:val="nil"/>
            </w:tcBorders>
            <w:hideMark/>
          </w:tcPr>
          <w:p w14:paraId="730E6059" w14:textId="555A476F" w:rsidR="00DA1C0E" w:rsidRPr="000D4E5B" w:rsidRDefault="00DA1C0E" w:rsidP="00D67AA8">
            <w:pPr>
              <w:pStyle w:val="Paragraph"/>
              <w:spacing w:after="0" w:line="276" w:lineRule="auto"/>
              <w:jc w:val="center"/>
            </w:pPr>
            <w:r w:rsidRPr="000D4E5B">
              <w:t>100</w:t>
            </w:r>
            <w:r w:rsidR="0015430F" w:rsidRPr="000D4E5B">
              <w:t>:</w:t>
            </w:r>
            <w:r w:rsidRPr="000D4E5B">
              <w:t xml:space="preserve">167 </w:t>
            </w:r>
            <w:r w:rsidRPr="000D4E5B">
              <w:br/>
              <w:t>(60)</w:t>
            </w:r>
          </w:p>
        </w:tc>
        <w:tc>
          <w:tcPr>
            <w:tcW w:w="2205" w:type="dxa"/>
            <w:tcBorders>
              <w:top w:val="single" w:sz="4" w:space="0" w:color="auto"/>
              <w:left w:val="nil"/>
              <w:bottom w:val="nil"/>
              <w:right w:val="nil"/>
            </w:tcBorders>
            <w:hideMark/>
          </w:tcPr>
          <w:p w14:paraId="09931F4F" w14:textId="57AA6556" w:rsidR="00DA1C0E" w:rsidRPr="000D4E5B" w:rsidRDefault="00DA1C0E" w:rsidP="00D67AA8">
            <w:pPr>
              <w:pStyle w:val="Paragraph"/>
              <w:spacing w:after="0" w:line="276" w:lineRule="auto"/>
              <w:jc w:val="center"/>
            </w:pPr>
            <w:r w:rsidRPr="000D4E5B">
              <w:t>19</w:t>
            </w:r>
            <w:r w:rsidR="0015430F" w:rsidRPr="000D4E5B">
              <w:t>:</w:t>
            </w:r>
            <w:r w:rsidRPr="000D4E5B">
              <w:t xml:space="preserve">66 </w:t>
            </w:r>
            <w:r w:rsidRPr="000D4E5B">
              <w:br/>
              <w:t>(29)</w:t>
            </w:r>
          </w:p>
        </w:tc>
      </w:tr>
      <w:tr w:rsidR="0038029D" w:rsidRPr="000D4E5B" w14:paraId="0B9BE036" w14:textId="77777777" w:rsidTr="0038029D">
        <w:tc>
          <w:tcPr>
            <w:tcW w:w="4770" w:type="dxa"/>
            <w:tcBorders>
              <w:top w:val="nil"/>
              <w:left w:val="nil"/>
              <w:bottom w:val="nil"/>
              <w:right w:val="nil"/>
            </w:tcBorders>
            <w:hideMark/>
          </w:tcPr>
          <w:p w14:paraId="5DA32934" w14:textId="77777777" w:rsidR="00DA1C0E" w:rsidRPr="000D4E5B" w:rsidRDefault="00DA1C0E" w:rsidP="00D67AA8">
            <w:pPr>
              <w:pStyle w:val="Paragraph"/>
              <w:spacing w:after="0" w:line="276" w:lineRule="auto"/>
            </w:pPr>
            <w:r w:rsidRPr="000D4E5B">
              <w:t>95% CI</w:t>
            </w:r>
          </w:p>
        </w:tc>
        <w:tc>
          <w:tcPr>
            <w:tcW w:w="2340" w:type="dxa"/>
            <w:tcBorders>
              <w:top w:val="nil"/>
              <w:left w:val="nil"/>
              <w:bottom w:val="nil"/>
              <w:right w:val="nil"/>
            </w:tcBorders>
            <w:hideMark/>
          </w:tcPr>
          <w:p w14:paraId="57709F4F" w14:textId="77777777" w:rsidR="00DA1C0E" w:rsidRPr="000D4E5B" w:rsidRDefault="00DA1C0E" w:rsidP="00D67AA8">
            <w:pPr>
              <w:pStyle w:val="Paragraph"/>
              <w:spacing w:after="0" w:line="276" w:lineRule="auto"/>
              <w:jc w:val="center"/>
            </w:pPr>
            <w:r w:rsidRPr="000D4E5B">
              <w:t>52.0 to 67.4</w:t>
            </w:r>
          </w:p>
        </w:tc>
        <w:tc>
          <w:tcPr>
            <w:tcW w:w="2205" w:type="dxa"/>
            <w:tcBorders>
              <w:top w:val="nil"/>
              <w:left w:val="nil"/>
              <w:bottom w:val="nil"/>
              <w:right w:val="nil"/>
            </w:tcBorders>
            <w:hideMark/>
          </w:tcPr>
          <w:p w14:paraId="169C775D" w14:textId="77777777" w:rsidR="00DA1C0E" w:rsidRPr="000D4E5B" w:rsidRDefault="00DA1C0E" w:rsidP="00D67AA8">
            <w:pPr>
              <w:pStyle w:val="Paragraph"/>
              <w:spacing w:after="0" w:line="276" w:lineRule="auto"/>
              <w:jc w:val="center"/>
            </w:pPr>
            <w:r w:rsidRPr="000D4E5B">
              <w:t>18.3 to 41.3</w:t>
            </w:r>
          </w:p>
        </w:tc>
      </w:tr>
      <w:tr w:rsidR="0038029D" w:rsidRPr="000D4E5B" w14:paraId="2F3A77DD" w14:textId="77777777" w:rsidTr="0038029D">
        <w:tc>
          <w:tcPr>
            <w:tcW w:w="4770" w:type="dxa"/>
            <w:tcBorders>
              <w:top w:val="single" w:sz="4" w:space="0" w:color="auto"/>
              <w:left w:val="nil"/>
              <w:bottom w:val="single" w:sz="4" w:space="0" w:color="auto"/>
              <w:right w:val="nil"/>
            </w:tcBorders>
            <w:hideMark/>
          </w:tcPr>
          <w:p w14:paraId="75F53EA5" w14:textId="77777777" w:rsidR="00DA1C0E" w:rsidRPr="000D4E5B" w:rsidRDefault="00DA1C0E" w:rsidP="00D67AA8">
            <w:pPr>
              <w:pStyle w:val="Paragraph"/>
              <w:spacing w:after="0" w:line="276" w:lineRule="auto"/>
            </w:pPr>
            <w:r w:rsidRPr="000D4E5B">
              <w:t>Complete response (%)</w:t>
            </w:r>
          </w:p>
        </w:tc>
        <w:tc>
          <w:tcPr>
            <w:tcW w:w="2340" w:type="dxa"/>
            <w:tcBorders>
              <w:top w:val="single" w:sz="4" w:space="0" w:color="auto"/>
              <w:left w:val="nil"/>
              <w:bottom w:val="single" w:sz="4" w:space="0" w:color="auto"/>
              <w:right w:val="nil"/>
            </w:tcBorders>
            <w:hideMark/>
          </w:tcPr>
          <w:p w14:paraId="5C7147A3" w14:textId="68F793AB" w:rsidR="00DA1C0E" w:rsidRPr="000D4E5B" w:rsidRDefault="00DA1C0E" w:rsidP="00D67AA8">
            <w:pPr>
              <w:pStyle w:val="Paragraph"/>
              <w:spacing w:after="0" w:line="276" w:lineRule="auto"/>
              <w:jc w:val="center"/>
            </w:pPr>
            <w:r w:rsidRPr="000D4E5B">
              <w:t>15</w:t>
            </w:r>
            <w:r w:rsidR="0015430F" w:rsidRPr="000D4E5B">
              <w:t>:</w:t>
            </w:r>
            <w:r w:rsidRPr="000D4E5B">
              <w:t>67 (9)</w:t>
            </w:r>
          </w:p>
        </w:tc>
        <w:tc>
          <w:tcPr>
            <w:tcW w:w="2205" w:type="dxa"/>
            <w:tcBorders>
              <w:top w:val="single" w:sz="4" w:space="0" w:color="auto"/>
              <w:left w:val="nil"/>
              <w:bottom w:val="single" w:sz="4" w:space="0" w:color="auto"/>
              <w:right w:val="nil"/>
            </w:tcBorders>
            <w:hideMark/>
          </w:tcPr>
          <w:p w14:paraId="00D61043" w14:textId="36CC4BC5" w:rsidR="00DA1C0E" w:rsidRPr="000D4E5B" w:rsidRDefault="00DA1C0E" w:rsidP="00D67AA8">
            <w:pPr>
              <w:pStyle w:val="Paragraph"/>
              <w:spacing w:after="0" w:line="276" w:lineRule="auto"/>
              <w:jc w:val="center"/>
            </w:pPr>
            <w:r w:rsidRPr="000D4E5B">
              <w:t>1</w:t>
            </w:r>
            <w:r w:rsidR="0015430F" w:rsidRPr="000D4E5B">
              <w:t>:</w:t>
            </w:r>
            <w:r w:rsidRPr="000D4E5B">
              <w:t>66 (2)</w:t>
            </w:r>
          </w:p>
        </w:tc>
      </w:tr>
      <w:tr w:rsidR="0038029D" w:rsidRPr="000D4E5B" w14:paraId="01F49C5E" w14:textId="77777777" w:rsidTr="0038029D">
        <w:tc>
          <w:tcPr>
            <w:tcW w:w="4770" w:type="dxa"/>
            <w:tcBorders>
              <w:top w:val="single" w:sz="4" w:space="0" w:color="auto"/>
              <w:left w:val="nil"/>
              <w:bottom w:val="single" w:sz="12" w:space="0" w:color="auto"/>
              <w:right w:val="nil"/>
            </w:tcBorders>
            <w:hideMark/>
          </w:tcPr>
          <w:p w14:paraId="7115227D" w14:textId="77777777" w:rsidR="00DA1C0E" w:rsidRPr="000D4E5B" w:rsidRDefault="00DA1C0E" w:rsidP="00D67AA8">
            <w:pPr>
              <w:pStyle w:val="Paragraph"/>
              <w:spacing w:after="0" w:line="276" w:lineRule="auto"/>
            </w:pPr>
            <w:r w:rsidRPr="000D4E5B">
              <w:t>Partial response (%)</w:t>
            </w:r>
          </w:p>
        </w:tc>
        <w:tc>
          <w:tcPr>
            <w:tcW w:w="2340" w:type="dxa"/>
            <w:tcBorders>
              <w:top w:val="single" w:sz="4" w:space="0" w:color="auto"/>
              <w:left w:val="nil"/>
              <w:bottom w:val="single" w:sz="12" w:space="0" w:color="auto"/>
              <w:right w:val="nil"/>
            </w:tcBorders>
            <w:hideMark/>
          </w:tcPr>
          <w:p w14:paraId="52D90C82" w14:textId="447B19E7" w:rsidR="00DA1C0E" w:rsidRPr="000D4E5B" w:rsidRDefault="00DA1C0E" w:rsidP="00D67AA8">
            <w:pPr>
              <w:pStyle w:val="Paragraph"/>
              <w:spacing w:after="0" w:line="276" w:lineRule="auto"/>
              <w:jc w:val="center"/>
            </w:pPr>
            <w:r w:rsidRPr="000D4E5B">
              <w:t>85</w:t>
            </w:r>
            <w:r w:rsidR="0015430F" w:rsidRPr="000D4E5B">
              <w:t>:</w:t>
            </w:r>
            <w:r w:rsidRPr="000D4E5B">
              <w:t>167 (51)</w:t>
            </w:r>
          </w:p>
        </w:tc>
        <w:tc>
          <w:tcPr>
            <w:tcW w:w="2205" w:type="dxa"/>
            <w:tcBorders>
              <w:top w:val="single" w:sz="4" w:space="0" w:color="auto"/>
              <w:left w:val="nil"/>
              <w:bottom w:val="single" w:sz="12" w:space="0" w:color="auto"/>
              <w:right w:val="nil"/>
            </w:tcBorders>
            <w:hideMark/>
          </w:tcPr>
          <w:p w14:paraId="6BC1B975" w14:textId="010B0F1E" w:rsidR="00DA1C0E" w:rsidRPr="000D4E5B" w:rsidRDefault="00DA1C0E" w:rsidP="00D67AA8">
            <w:pPr>
              <w:pStyle w:val="Paragraph"/>
              <w:spacing w:after="0" w:line="276" w:lineRule="auto"/>
              <w:jc w:val="center"/>
            </w:pPr>
            <w:r w:rsidRPr="000D4E5B">
              <w:t>18</w:t>
            </w:r>
            <w:r w:rsidR="0015430F" w:rsidRPr="000D4E5B">
              <w:t>:</w:t>
            </w:r>
            <w:r w:rsidRPr="000D4E5B">
              <w:t>66 (27)</w:t>
            </w:r>
          </w:p>
        </w:tc>
      </w:tr>
    </w:tbl>
    <w:p w14:paraId="3B983F95" w14:textId="77777777" w:rsidR="001B30BF" w:rsidRPr="000D4E5B" w:rsidRDefault="001B30BF" w:rsidP="001B30BF">
      <w:pPr>
        <w:pStyle w:val="TableFootnoteInfo"/>
        <w:tabs>
          <w:tab w:val="left" w:pos="360"/>
        </w:tabs>
      </w:pPr>
      <w:r w:rsidRPr="000D4E5B">
        <w:t>a</w:t>
      </w:r>
      <w:r w:rsidRPr="000D4E5B">
        <w:tab/>
        <w:t xml:space="preserve">Physician’s choice of chemotherapy consisting of either capecitabine, </w:t>
      </w:r>
      <w:proofErr w:type="spellStart"/>
      <w:r w:rsidRPr="000D4E5B">
        <w:t>eribulin</w:t>
      </w:r>
      <w:proofErr w:type="spellEnd"/>
      <w:r w:rsidRPr="000D4E5B">
        <w:t xml:space="preserve"> or </w:t>
      </w:r>
      <w:proofErr w:type="spellStart"/>
      <w:r w:rsidRPr="000D4E5B">
        <w:t>vinorelbine</w:t>
      </w:r>
      <w:proofErr w:type="spellEnd"/>
      <w:r w:rsidRPr="000D4E5B">
        <w:t>.</w:t>
      </w:r>
    </w:p>
    <w:p w14:paraId="5ACBF94A" w14:textId="77777777" w:rsidR="001B30BF" w:rsidRPr="000D4E5B" w:rsidRDefault="001B30BF" w:rsidP="001B30BF">
      <w:pPr>
        <w:pStyle w:val="TableFootnoteInfo"/>
        <w:ind w:left="360" w:hanging="360"/>
      </w:pPr>
      <w:r w:rsidRPr="000D4E5B">
        <w:t>b</w:t>
      </w:r>
      <w:r w:rsidRPr="000D4E5B">
        <w:tab/>
        <w:t>Approximately a tenth of patients in the physician’s choice group (8/97; 8.2%) received a subsequent PARP inhibitor</w:t>
      </w:r>
    </w:p>
    <w:p w14:paraId="1E7F79CC" w14:textId="62BF0DFF" w:rsidR="00DA1C0E" w:rsidRPr="000D4E5B" w:rsidRDefault="001B30BF" w:rsidP="00BF5C39">
      <w:pPr>
        <w:pStyle w:val="TableFootnoteInfo"/>
        <w:rPr>
          <w:lang w:val="en-AU"/>
        </w:rPr>
      </w:pPr>
      <w:proofErr w:type="spellStart"/>
      <w:r w:rsidRPr="000D4E5B">
        <w:rPr>
          <w:lang w:val="en-AU"/>
        </w:rPr>
        <w:t>bd</w:t>
      </w:r>
      <w:proofErr w:type="spellEnd"/>
      <w:r w:rsidRPr="000D4E5B">
        <w:rPr>
          <w:lang w:val="en-AU"/>
        </w:rPr>
        <w:t xml:space="preserve"> Twice daily; CI Confidence interval; DCO Data cut off</w:t>
      </w:r>
      <w:r w:rsidR="00B424DD" w:rsidRPr="000D4E5B">
        <w:rPr>
          <w:lang w:val="en-AU"/>
        </w:rPr>
        <w:t>;</w:t>
      </w:r>
      <w:r w:rsidRPr="000D4E5B">
        <w:rPr>
          <w:lang w:val="en-AU"/>
        </w:rPr>
        <w:t xml:space="preserve"> HR Hazard ratio; ORR Objective response rate; OS Overall survival; PFS Progression-free survival; PFS2 Time to second progression or death.</w:t>
      </w:r>
    </w:p>
    <w:p w14:paraId="5688E8DF" w14:textId="77777777" w:rsidR="00FE1800" w:rsidRPr="000D4E5B" w:rsidRDefault="00FE1800" w:rsidP="00BF5C39">
      <w:pPr>
        <w:pStyle w:val="TableFootnoteInfo"/>
        <w:rPr>
          <w:lang w:val="en-AU"/>
        </w:rPr>
      </w:pPr>
    </w:p>
    <w:p w14:paraId="51D82DAF" w14:textId="67912CAC" w:rsidR="001B30BF" w:rsidRPr="000D4E5B" w:rsidRDefault="001B30BF" w:rsidP="00D67AA8">
      <w:pPr>
        <w:pStyle w:val="FigureTitle"/>
      </w:pPr>
      <w:r w:rsidRPr="000D4E5B">
        <w:t>Figure</w:t>
      </w:r>
      <w:r w:rsidR="00A15250">
        <w:t xml:space="preserve"> </w:t>
      </w:r>
      <w:r w:rsidR="00DA4D88" w:rsidRPr="000D4E5B">
        <w:t>4</w:t>
      </w:r>
      <w:r w:rsidRPr="000D4E5B">
        <w:tab/>
      </w:r>
      <w:proofErr w:type="spellStart"/>
      <w:r w:rsidRPr="000D4E5B">
        <w:t>OlympiAD</w:t>
      </w:r>
      <w:proofErr w:type="spellEnd"/>
      <w:r w:rsidRPr="000D4E5B">
        <w:t xml:space="preserve">: Kaplan-Meier plot of PFS in patients with </w:t>
      </w:r>
      <w:proofErr w:type="spellStart"/>
      <w:r w:rsidRPr="000D4E5B">
        <w:rPr>
          <w:i/>
        </w:rPr>
        <w:t>gBRCAm</w:t>
      </w:r>
      <w:proofErr w:type="spellEnd"/>
      <w:r w:rsidRPr="000D4E5B">
        <w:t xml:space="preserve"> HER2-negative metastatic breast cancer (77% maturity)</w:t>
      </w:r>
    </w:p>
    <w:p w14:paraId="2B0A0145" w14:textId="44A064E9" w:rsidR="001B30BF" w:rsidRPr="000D4E5B" w:rsidRDefault="001B30BF" w:rsidP="00D67AA8">
      <w:pPr>
        <w:pStyle w:val="Figure"/>
        <w:rPr>
          <w:lang w:val="en-AU"/>
        </w:rPr>
      </w:pPr>
      <w:r w:rsidRPr="000D4E5B">
        <w:rPr>
          <w:noProof/>
          <w:lang w:val="en-AU" w:eastAsia="en-AU"/>
        </w:rPr>
        <w:drawing>
          <wp:inline distT="0" distB="0" distL="0" distR="0" wp14:anchorId="585A0511" wp14:editId="71CB7830">
            <wp:extent cx="5878286" cy="270280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9728" cy="2703465"/>
                    </a:xfrm>
                    <a:prstGeom prst="rect">
                      <a:avLst/>
                    </a:prstGeom>
                    <a:noFill/>
                    <a:ln>
                      <a:noFill/>
                    </a:ln>
                  </pic:spPr>
                </pic:pic>
              </a:graphicData>
            </a:graphic>
          </wp:inline>
        </w:drawing>
      </w:r>
    </w:p>
    <w:p w14:paraId="4168BF8B" w14:textId="07B0AB64" w:rsidR="001B30BF" w:rsidRPr="000D4E5B" w:rsidRDefault="001B30BF" w:rsidP="00D67AA8">
      <w:pPr>
        <w:pStyle w:val="Paragraph"/>
        <w:rPr>
          <w:lang w:val="en-US"/>
        </w:rPr>
      </w:pPr>
      <w:r w:rsidRPr="000D4E5B">
        <w:rPr>
          <w:lang w:val="en-US"/>
        </w:rPr>
        <w:t>A significant difference in global health status/</w:t>
      </w:r>
      <w:proofErr w:type="spellStart"/>
      <w:r w:rsidRPr="000D4E5B">
        <w:rPr>
          <w:lang w:val="en-US"/>
        </w:rPr>
        <w:t>QoL</w:t>
      </w:r>
      <w:proofErr w:type="spellEnd"/>
      <w:r w:rsidRPr="000D4E5B">
        <w:rPr>
          <w:lang w:val="en-US"/>
        </w:rPr>
        <w:t xml:space="preserve"> (assessed using the EORTC QLQ-C30 questionnaire which uses a 0-100 point scale) in </w:t>
      </w:r>
      <w:proofErr w:type="spellStart"/>
      <w:r w:rsidRPr="000D4E5B">
        <w:rPr>
          <w:lang w:val="en-US"/>
        </w:rPr>
        <w:t>favour</w:t>
      </w:r>
      <w:proofErr w:type="spellEnd"/>
      <w:r w:rsidRPr="000D4E5B">
        <w:rPr>
          <w:lang w:val="en-US"/>
        </w:rPr>
        <w:t xml:space="preserve"> of </w:t>
      </w:r>
      <w:proofErr w:type="spellStart"/>
      <w:r w:rsidRPr="000D4E5B">
        <w:rPr>
          <w:lang w:val="en-US"/>
        </w:rPr>
        <w:t>olaparib</w:t>
      </w:r>
      <w:proofErr w:type="spellEnd"/>
      <w:r w:rsidRPr="000D4E5B">
        <w:rPr>
          <w:lang w:val="en-US"/>
        </w:rPr>
        <w:t xml:space="preserve"> was observed (adjusted mean difference in change from baseline score was 7.5 points [95% CI: 2.48-12.44; p=0.0035]). </w:t>
      </w:r>
      <w:r w:rsidR="005F69ED" w:rsidRPr="000D4E5B">
        <w:rPr>
          <w:lang w:val="en-US"/>
        </w:rPr>
        <w:t xml:space="preserve"> </w:t>
      </w:r>
      <w:r w:rsidRPr="000D4E5B">
        <w:rPr>
          <w:lang w:val="en-US"/>
        </w:rPr>
        <w:t>Time to deterioration (≥10 points decrease from baseline) in global health status/</w:t>
      </w:r>
      <w:proofErr w:type="spellStart"/>
      <w:r w:rsidRPr="000D4E5B">
        <w:rPr>
          <w:lang w:val="en-US"/>
        </w:rPr>
        <w:t>QoL</w:t>
      </w:r>
      <w:proofErr w:type="spellEnd"/>
      <w:r w:rsidRPr="000D4E5B">
        <w:rPr>
          <w:lang w:val="en-US"/>
        </w:rPr>
        <w:t xml:space="preserve"> score was statistically significantly longer on the </w:t>
      </w:r>
      <w:proofErr w:type="spellStart"/>
      <w:r w:rsidRPr="000D4E5B">
        <w:rPr>
          <w:lang w:val="en-US"/>
        </w:rPr>
        <w:t>olaparib</w:t>
      </w:r>
      <w:proofErr w:type="spellEnd"/>
      <w:r w:rsidRPr="000D4E5B">
        <w:rPr>
          <w:lang w:val="en-US"/>
        </w:rPr>
        <w:t xml:space="preserve"> arm (HR 0.44; 95% CI: 0.25-0.77; p=0.0043; median not reached for </w:t>
      </w:r>
      <w:proofErr w:type="spellStart"/>
      <w:r w:rsidRPr="000D4E5B">
        <w:rPr>
          <w:lang w:val="en-US"/>
        </w:rPr>
        <w:t>olaparib</w:t>
      </w:r>
      <w:proofErr w:type="spellEnd"/>
      <w:r w:rsidRPr="000D4E5B">
        <w:rPr>
          <w:lang w:val="en-US"/>
        </w:rPr>
        <w:t xml:space="preserve"> vs. 15.3 months for comparator arm). </w:t>
      </w:r>
      <w:r w:rsidR="005F69ED" w:rsidRPr="000D4E5B">
        <w:rPr>
          <w:lang w:val="en-US"/>
        </w:rPr>
        <w:t xml:space="preserve"> </w:t>
      </w:r>
      <w:r w:rsidRPr="000D4E5B">
        <w:rPr>
          <w:lang w:val="en-US"/>
        </w:rPr>
        <w:t>Over the treatment period, the proportion of patients with clinically significant improvement (≥10 points increase from baseline) in global health status/</w:t>
      </w:r>
      <w:proofErr w:type="spellStart"/>
      <w:r w:rsidRPr="000D4E5B">
        <w:rPr>
          <w:lang w:val="en-US"/>
        </w:rPr>
        <w:t>QoL</w:t>
      </w:r>
      <w:proofErr w:type="spellEnd"/>
      <w:r w:rsidRPr="000D4E5B">
        <w:rPr>
          <w:lang w:val="en-US"/>
        </w:rPr>
        <w:t xml:space="preserve"> score was 33.7% (n=69) in the </w:t>
      </w:r>
      <w:proofErr w:type="spellStart"/>
      <w:r w:rsidRPr="000D4E5B">
        <w:rPr>
          <w:lang w:val="en-US"/>
        </w:rPr>
        <w:t>olaparib</w:t>
      </w:r>
      <w:proofErr w:type="spellEnd"/>
      <w:r w:rsidRPr="000D4E5B">
        <w:rPr>
          <w:lang w:val="en-US"/>
        </w:rPr>
        <w:t xml:space="preserve"> arm and 13.4% (n=13) in the comparator arm.</w:t>
      </w:r>
    </w:p>
    <w:p w14:paraId="1E54790F" w14:textId="76440FA4" w:rsidR="00D44BBC" w:rsidRPr="000D4E5B" w:rsidRDefault="00D44BBC" w:rsidP="00D44BBC">
      <w:pPr>
        <w:pStyle w:val="Heading4Unnumbered"/>
      </w:pPr>
      <w:r w:rsidRPr="000D4E5B">
        <w:t>Maintenance following first-line treatment of germline BRCA-mutated metastatic</w:t>
      </w:r>
      <w:r w:rsidR="00B86B27" w:rsidRPr="000D4E5B">
        <w:t xml:space="preserve"> </w:t>
      </w:r>
      <w:r w:rsidRPr="000D4E5B">
        <w:t>adenocarcinoma of the pancreas</w:t>
      </w:r>
    </w:p>
    <w:p w14:paraId="20E3CAB7" w14:textId="687CBC45" w:rsidR="00D44BBC" w:rsidRPr="000D4E5B" w:rsidRDefault="00D44BBC" w:rsidP="00D44BBC">
      <w:pPr>
        <w:pStyle w:val="Paragraph"/>
        <w:rPr>
          <w:lang w:val="en-US"/>
        </w:rPr>
      </w:pPr>
      <w:bookmarkStart w:id="35" w:name="_Hlk8393244"/>
      <w:r w:rsidRPr="000D4E5B">
        <w:rPr>
          <w:lang w:val="en-US"/>
        </w:rPr>
        <w:t xml:space="preserve">POLO was a Phase III, </w:t>
      </w:r>
      <w:proofErr w:type="spellStart"/>
      <w:r w:rsidRPr="000D4E5B">
        <w:rPr>
          <w:lang w:val="en-US"/>
        </w:rPr>
        <w:t>randomised</w:t>
      </w:r>
      <w:proofErr w:type="spellEnd"/>
      <w:r w:rsidRPr="000D4E5B">
        <w:rPr>
          <w:lang w:val="en-US"/>
        </w:rPr>
        <w:t>, double-blind, placebo-controlled, multi</w:t>
      </w:r>
      <w:r w:rsidR="00A37D13" w:rsidRPr="000D4E5B">
        <w:rPr>
          <w:lang w:val="en-US"/>
        </w:rPr>
        <w:t>-</w:t>
      </w:r>
      <w:proofErr w:type="spellStart"/>
      <w:r w:rsidRPr="000D4E5B">
        <w:rPr>
          <w:lang w:val="en-US"/>
        </w:rPr>
        <w:t>centre</w:t>
      </w:r>
      <w:proofErr w:type="spellEnd"/>
      <w:r w:rsidRPr="000D4E5B">
        <w:rPr>
          <w:lang w:val="en-US"/>
        </w:rPr>
        <w:t xml:space="preserve"> trial that compared the efficacy of Lynparza maintenance treatment (300 mg [2 x 150 mg tablets] twice daily) with placebo in </w:t>
      </w:r>
      <w:proofErr w:type="spellStart"/>
      <w:r w:rsidRPr="000D4E5B">
        <w:rPr>
          <w:i/>
          <w:lang w:val="en-US"/>
        </w:rPr>
        <w:t>gBRCA</w:t>
      </w:r>
      <w:proofErr w:type="spellEnd"/>
      <w:r w:rsidRPr="000D4E5B">
        <w:rPr>
          <w:lang w:val="en-US"/>
        </w:rPr>
        <w:t xml:space="preserve">-mutated metastatic adenocarcinoma of the pancreas. The study </w:t>
      </w:r>
      <w:proofErr w:type="spellStart"/>
      <w:r w:rsidRPr="000D4E5B">
        <w:rPr>
          <w:lang w:val="en-US"/>
        </w:rPr>
        <w:t>randomised</w:t>
      </w:r>
      <w:proofErr w:type="spellEnd"/>
      <w:r w:rsidRPr="000D4E5B">
        <w:rPr>
          <w:lang w:val="en-US"/>
        </w:rPr>
        <w:t xml:space="preserve"> 154 patients (3:2 </w:t>
      </w:r>
      <w:proofErr w:type="spellStart"/>
      <w:r w:rsidRPr="000D4E5B">
        <w:rPr>
          <w:lang w:val="en-US"/>
        </w:rPr>
        <w:t>randomisation</w:t>
      </w:r>
      <w:proofErr w:type="spellEnd"/>
      <w:r w:rsidRPr="000D4E5B">
        <w:rPr>
          <w:lang w:val="en-US"/>
        </w:rPr>
        <w:t xml:space="preserve">: 92 </w:t>
      </w:r>
      <w:proofErr w:type="spellStart"/>
      <w:r w:rsidRPr="000D4E5B">
        <w:rPr>
          <w:lang w:val="en-US"/>
        </w:rPr>
        <w:t>olaparib</w:t>
      </w:r>
      <w:proofErr w:type="spellEnd"/>
      <w:r w:rsidRPr="000D4E5B">
        <w:rPr>
          <w:lang w:val="en-US"/>
        </w:rPr>
        <w:t xml:space="preserve"> and 62 placebo) whose disease had not progressed following at least 16 weeks of first-line platinum-based chemotherapy. </w:t>
      </w:r>
      <w:bookmarkStart w:id="36" w:name="_Hlk10800417"/>
      <w:r w:rsidRPr="000D4E5B">
        <w:rPr>
          <w:lang w:val="en-US"/>
        </w:rPr>
        <w:t xml:space="preserve">There was no upper limit to the duration of chemotherapy received. After 16 weeks of continuous platinum-based chemotherapy, the platinum could be discontinued at any time for toxicity and the other agents continued; the patients were eligible for </w:t>
      </w:r>
      <w:proofErr w:type="spellStart"/>
      <w:r w:rsidRPr="000D4E5B">
        <w:rPr>
          <w:lang w:val="en-US"/>
        </w:rPr>
        <w:t>randomisation</w:t>
      </w:r>
      <w:proofErr w:type="spellEnd"/>
      <w:r w:rsidRPr="000D4E5B">
        <w:rPr>
          <w:lang w:val="en-US"/>
        </w:rPr>
        <w:t xml:space="preserve"> as long as there was no evidence of progression at any time during chemotherapy treatment. </w:t>
      </w:r>
      <w:bookmarkEnd w:id="36"/>
      <w:r w:rsidRPr="000D4E5B">
        <w:rPr>
          <w:lang w:val="en-US"/>
        </w:rPr>
        <w:t xml:space="preserve">All toxicities from previous anti-cancer therapy must have been resolved to CTCAE grade 1, except for alopecia, grade 3 peripheral neuropathy and </w:t>
      </w:r>
      <w:proofErr w:type="spellStart"/>
      <w:r w:rsidRPr="000D4E5B">
        <w:rPr>
          <w:lang w:val="en-US"/>
        </w:rPr>
        <w:t>Hgb</w:t>
      </w:r>
      <w:proofErr w:type="spellEnd"/>
      <w:r w:rsidRPr="000D4E5B">
        <w:rPr>
          <w:lang w:val="en-US"/>
        </w:rPr>
        <w:t xml:space="preserve"> ≥ 9 g/</w:t>
      </w:r>
      <w:proofErr w:type="spellStart"/>
      <w:r w:rsidRPr="000D4E5B">
        <w:rPr>
          <w:lang w:val="en-US"/>
        </w:rPr>
        <w:t>dL</w:t>
      </w:r>
      <w:proofErr w:type="spellEnd"/>
      <w:r w:rsidRPr="000D4E5B">
        <w:rPr>
          <w:lang w:val="en-US"/>
        </w:rPr>
        <w:t>. Lynparza treatment was continued until progression of the underlying disease.</w:t>
      </w:r>
      <w:bookmarkEnd w:id="35"/>
    </w:p>
    <w:p w14:paraId="22D8DFFD" w14:textId="33F71323" w:rsidR="00D44BBC" w:rsidRPr="000D4E5B" w:rsidRDefault="00D44BBC" w:rsidP="00D44BBC">
      <w:pPr>
        <w:pStyle w:val="Paragraph"/>
        <w:rPr>
          <w:lang w:val="en-US"/>
        </w:rPr>
      </w:pPr>
      <w:bookmarkStart w:id="37" w:name="_Hlk8393817"/>
      <w:r w:rsidRPr="000D4E5B">
        <w:rPr>
          <w:lang w:val="en-US"/>
        </w:rPr>
        <w:t xml:space="preserve">Patients with germline </w:t>
      </w:r>
      <w:r w:rsidRPr="000D4E5B">
        <w:rPr>
          <w:i/>
          <w:lang w:val="en-US"/>
        </w:rPr>
        <w:t>BRCA</w:t>
      </w:r>
      <w:r w:rsidRPr="000D4E5B">
        <w:rPr>
          <w:lang w:val="en-US"/>
        </w:rPr>
        <w:t xml:space="preserve"> mutations were identified from prior local testing results or by central testing using the Myriad </w:t>
      </w:r>
      <w:proofErr w:type="spellStart"/>
      <w:r w:rsidRPr="000D4E5B">
        <w:rPr>
          <w:lang w:val="en-US"/>
        </w:rPr>
        <w:t>BRACAnalysis</w:t>
      </w:r>
      <w:proofErr w:type="spellEnd"/>
      <w:r w:rsidRPr="000D4E5B">
        <w:rPr>
          <w:vertAlign w:val="superscript"/>
          <w:lang w:val="en-US"/>
        </w:rPr>
        <w:t>®</w:t>
      </w:r>
      <w:r w:rsidRPr="000D4E5B">
        <w:rPr>
          <w:lang w:val="en-US"/>
        </w:rPr>
        <w:t xml:space="preserve"> or Myriad </w:t>
      </w:r>
      <w:proofErr w:type="spellStart"/>
      <w:r w:rsidRPr="000D4E5B">
        <w:rPr>
          <w:lang w:val="en-US"/>
        </w:rPr>
        <w:t>BRACAnalysis</w:t>
      </w:r>
      <w:proofErr w:type="spellEnd"/>
      <w:r w:rsidRPr="000D4E5B">
        <w:rPr>
          <w:lang w:val="en-US"/>
        </w:rPr>
        <w:t xml:space="preserve"> </w:t>
      </w:r>
      <w:proofErr w:type="spellStart"/>
      <w:r w:rsidRPr="000D4E5B">
        <w:rPr>
          <w:lang w:val="en-US"/>
        </w:rPr>
        <w:t>CDx</w:t>
      </w:r>
      <w:proofErr w:type="spellEnd"/>
      <w:r w:rsidRPr="000D4E5B">
        <w:rPr>
          <w:vertAlign w:val="superscript"/>
          <w:lang w:val="en-US"/>
        </w:rPr>
        <w:t>®</w:t>
      </w:r>
      <w:r w:rsidRPr="000D4E5B">
        <w:rPr>
          <w:lang w:val="en-US"/>
        </w:rPr>
        <w:t xml:space="preserve"> test. The </w:t>
      </w:r>
      <w:proofErr w:type="spellStart"/>
      <w:r w:rsidRPr="000D4E5B">
        <w:rPr>
          <w:i/>
          <w:lang w:val="en-US"/>
        </w:rPr>
        <w:t>BRCAm</w:t>
      </w:r>
      <w:proofErr w:type="spellEnd"/>
      <w:r w:rsidRPr="000D4E5B">
        <w:rPr>
          <w:lang w:val="en-US"/>
        </w:rPr>
        <w:t xml:space="preserve"> status of all patients identified using prior local testing results was confirmed, where sent, using the Myriad </w:t>
      </w:r>
      <w:proofErr w:type="spellStart"/>
      <w:r w:rsidRPr="000D4E5B">
        <w:rPr>
          <w:lang w:val="en-US"/>
        </w:rPr>
        <w:t>BRACAnalysis</w:t>
      </w:r>
      <w:proofErr w:type="spellEnd"/>
      <w:r w:rsidRPr="000D4E5B">
        <w:rPr>
          <w:vertAlign w:val="superscript"/>
          <w:lang w:val="en-US"/>
        </w:rPr>
        <w:t>®</w:t>
      </w:r>
      <w:r w:rsidRPr="000D4E5B">
        <w:rPr>
          <w:lang w:val="en-US"/>
        </w:rPr>
        <w:t xml:space="preserve"> or Myriad </w:t>
      </w:r>
      <w:proofErr w:type="spellStart"/>
      <w:r w:rsidRPr="000D4E5B">
        <w:rPr>
          <w:lang w:val="en-US"/>
        </w:rPr>
        <w:t>BRACAnalysis</w:t>
      </w:r>
      <w:proofErr w:type="spellEnd"/>
      <w:r w:rsidRPr="000D4E5B">
        <w:rPr>
          <w:lang w:val="en-US"/>
        </w:rPr>
        <w:t xml:space="preserve"> </w:t>
      </w:r>
      <w:proofErr w:type="spellStart"/>
      <w:r w:rsidRPr="000D4E5B">
        <w:rPr>
          <w:lang w:val="en-US"/>
        </w:rPr>
        <w:t>CDx</w:t>
      </w:r>
      <w:proofErr w:type="spellEnd"/>
      <w:r w:rsidRPr="000D4E5B">
        <w:rPr>
          <w:vertAlign w:val="superscript"/>
          <w:lang w:val="en-US"/>
        </w:rPr>
        <w:t>®</w:t>
      </w:r>
      <w:r w:rsidRPr="000D4E5B">
        <w:rPr>
          <w:lang w:val="en-US"/>
        </w:rPr>
        <w:t xml:space="preserve"> test.</w:t>
      </w:r>
      <w:bookmarkEnd w:id="37"/>
    </w:p>
    <w:p w14:paraId="7515AA6C" w14:textId="2BA86000" w:rsidR="00D44BBC" w:rsidRPr="000D4E5B" w:rsidRDefault="00D44BBC" w:rsidP="00D44BBC">
      <w:pPr>
        <w:pStyle w:val="Paragraph"/>
        <w:rPr>
          <w:lang w:val="en-US"/>
        </w:rPr>
      </w:pPr>
      <w:bookmarkStart w:id="38" w:name="_Hlk8374187"/>
      <w:r w:rsidRPr="000D4E5B">
        <w:rPr>
          <w:lang w:val="en-US"/>
        </w:rPr>
        <w:t xml:space="preserve">Demographic and baseline characteristics were generally well balanced between the </w:t>
      </w:r>
      <w:proofErr w:type="spellStart"/>
      <w:r w:rsidRPr="000D4E5B">
        <w:rPr>
          <w:lang w:val="en-US"/>
        </w:rPr>
        <w:t>olaparib</w:t>
      </w:r>
      <w:proofErr w:type="spellEnd"/>
      <w:r w:rsidRPr="000D4E5B">
        <w:rPr>
          <w:lang w:val="en-US"/>
        </w:rPr>
        <w:t xml:space="preserve"> and placebo arms. Median age was 57 years in both arms; 30% of patients in the </w:t>
      </w:r>
      <w:proofErr w:type="spellStart"/>
      <w:r w:rsidRPr="000D4E5B">
        <w:rPr>
          <w:lang w:val="en-US"/>
        </w:rPr>
        <w:t>olaparib</w:t>
      </w:r>
      <w:proofErr w:type="spellEnd"/>
      <w:r w:rsidRPr="000D4E5B">
        <w:rPr>
          <w:lang w:val="en-US"/>
        </w:rPr>
        <w:t xml:space="preserve"> arm were ≥ 65 years compared to 21% in the placebo arm. Fifty-eight per-cent (58%) of patients were male. Most patients were ECOG performance status 0 (67%). Ninety-six per-cent (96%) of patients were </w:t>
      </w:r>
      <w:proofErr w:type="spellStart"/>
      <w:r w:rsidRPr="000D4E5B">
        <w:rPr>
          <w:lang w:val="en-US"/>
        </w:rPr>
        <w:t>randomised</w:t>
      </w:r>
      <w:proofErr w:type="spellEnd"/>
      <w:r w:rsidRPr="000D4E5B">
        <w:rPr>
          <w:lang w:val="en-US"/>
        </w:rPr>
        <w:t xml:space="preserve"> within 8 weeks of their last dose of platinum-based chemotherapy. The median time from initiation of first-line platinum-based chemotherapy to </w:t>
      </w:r>
      <w:proofErr w:type="spellStart"/>
      <w:r w:rsidRPr="000D4E5B">
        <w:rPr>
          <w:lang w:val="en-US"/>
        </w:rPr>
        <w:t>randomisation</w:t>
      </w:r>
      <w:proofErr w:type="spellEnd"/>
      <w:r w:rsidRPr="000D4E5B">
        <w:rPr>
          <w:lang w:val="en-US"/>
        </w:rPr>
        <w:t xml:space="preserve"> was 5.8 months (range 3.4 to 33.4 months) and 49% of patients were in complete or partial response to their most recent platinum-based regimen.</w:t>
      </w:r>
    </w:p>
    <w:p w14:paraId="5B37F64E" w14:textId="6FBA8EE3" w:rsidR="00D44BBC" w:rsidRPr="000D4E5B" w:rsidRDefault="00D44BBC" w:rsidP="00D44BBC">
      <w:pPr>
        <w:pStyle w:val="Paragraph"/>
        <w:rPr>
          <w:lang w:val="en-US"/>
        </w:rPr>
      </w:pPr>
      <w:bookmarkStart w:id="39" w:name="_Hlk8373878"/>
      <w:bookmarkEnd w:id="38"/>
      <w:r w:rsidRPr="000D4E5B">
        <w:rPr>
          <w:lang w:val="en-US"/>
        </w:rPr>
        <w:t xml:space="preserve">The primary endpoint was progression-free survival (PFS), defined as time from </w:t>
      </w:r>
      <w:proofErr w:type="spellStart"/>
      <w:r w:rsidRPr="000D4E5B">
        <w:rPr>
          <w:lang w:val="en-US"/>
        </w:rPr>
        <w:t>randomisation</w:t>
      </w:r>
      <w:proofErr w:type="spellEnd"/>
      <w:r w:rsidRPr="000D4E5B">
        <w:rPr>
          <w:lang w:val="en-US"/>
        </w:rPr>
        <w:t xml:space="preserve"> to progression determined by BICR using modified Response Evaluation Criteria in Solid Tumors (RECIST) 1.1, or death. Secondary efficacy endpoints included overall survival (OS), time from </w:t>
      </w:r>
      <w:proofErr w:type="spellStart"/>
      <w:r w:rsidRPr="000D4E5B">
        <w:rPr>
          <w:lang w:val="en-US"/>
        </w:rPr>
        <w:t>randomisation</w:t>
      </w:r>
      <w:proofErr w:type="spellEnd"/>
      <w:r w:rsidRPr="000D4E5B">
        <w:rPr>
          <w:lang w:val="en-US"/>
        </w:rPr>
        <w:t xml:space="preserve"> to second progression or death (PFS2), time from </w:t>
      </w:r>
      <w:proofErr w:type="spellStart"/>
      <w:r w:rsidRPr="000D4E5B">
        <w:rPr>
          <w:lang w:val="en-US"/>
        </w:rPr>
        <w:t>randomisation</w:t>
      </w:r>
      <w:proofErr w:type="spellEnd"/>
      <w:r w:rsidRPr="000D4E5B">
        <w:rPr>
          <w:lang w:val="en-US"/>
        </w:rPr>
        <w:t xml:space="preserve"> to first subsequent anti-cancer therapy or death (TFST), time from </w:t>
      </w:r>
      <w:proofErr w:type="spellStart"/>
      <w:r w:rsidRPr="000D4E5B">
        <w:rPr>
          <w:lang w:val="en-US"/>
        </w:rPr>
        <w:t>randomisation</w:t>
      </w:r>
      <w:proofErr w:type="spellEnd"/>
      <w:r w:rsidRPr="000D4E5B">
        <w:rPr>
          <w:lang w:val="en-US"/>
        </w:rPr>
        <w:t xml:space="preserve"> to discontinuation of treatment or death (TDT), objective response rate (ORR), duration of response (</w:t>
      </w:r>
      <w:proofErr w:type="spellStart"/>
      <w:r w:rsidRPr="000D4E5B">
        <w:rPr>
          <w:lang w:val="en-US"/>
        </w:rPr>
        <w:t>DoR</w:t>
      </w:r>
      <w:proofErr w:type="spellEnd"/>
      <w:r w:rsidRPr="000D4E5B">
        <w:rPr>
          <w:lang w:val="en-US"/>
        </w:rPr>
        <w:t>), response rate, time to response and health related quality of life (</w:t>
      </w:r>
      <w:proofErr w:type="spellStart"/>
      <w:r w:rsidRPr="000D4E5B">
        <w:rPr>
          <w:lang w:val="en-US"/>
        </w:rPr>
        <w:t>HRQoL</w:t>
      </w:r>
      <w:proofErr w:type="spellEnd"/>
      <w:r w:rsidRPr="000D4E5B">
        <w:rPr>
          <w:lang w:val="en-US"/>
        </w:rPr>
        <w:t xml:space="preserve">). Patients had </w:t>
      </w:r>
      <w:proofErr w:type="spellStart"/>
      <w:r w:rsidRPr="000D4E5B">
        <w:rPr>
          <w:lang w:val="en-US"/>
        </w:rPr>
        <w:t>tumour</w:t>
      </w:r>
      <w:proofErr w:type="spellEnd"/>
      <w:r w:rsidRPr="000D4E5B">
        <w:rPr>
          <w:lang w:val="en-US"/>
        </w:rPr>
        <w:t xml:space="preserve"> assessments at baseline and every 8 weeks for 40 weeks, and then every 12 weeks relative to the date of </w:t>
      </w:r>
      <w:proofErr w:type="spellStart"/>
      <w:r w:rsidRPr="000D4E5B">
        <w:rPr>
          <w:lang w:val="en-US"/>
        </w:rPr>
        <w:t>randomisation</w:t>
      </w:r>
      <w:proofErr w:type="spellEnd"/>
      <w:r w:rsidRPr="000D4E5B">
        <w:rPr>
          <w:lang w:val="en-US"/>
        </w:rPr>
        <w:t xml:space="preserve">, until objective radiological disease progression. </w:t>
      </w:r>
      <w:bookmarkStart w:id="40" w:name="_Hlk10795834"/>
      <w:r w:rsidRPr="000D4E5B">
        <w:rPr>
          <w:lang w:val="en-US"/>
        </w:rPr>
        <w:t xml:space="preserve">For PFS, the median follow-up time for censored patients was 9.1 months in the </w:t>
      </w:r>
      <w:proofErr w:type="spellStart"/>
      <w:r w:rsidRPr="000D4E5B">
        <w:rPr>
          <w:lang w:val="en-US"/>
        </w:rPr>
        <w:t>olaparib</w:t>
      </w:r>
      <w:proofErr w:type="spellEnd"/>
      <w:r w:rsidRPr="000D4E5B">
        <w:rPr>
          <w:lang w:val="en-US"/>
        </w:rPr>
        <w:t xml:space="preserve"> arm and 3.8 months in the placebo arm. For OS, the median follow-up time for censored patients was 13.4 months in the </w:t>
      </w:r>
      <w:proofErr w:type="spellStart"/>
      <w:r w:rsidRPr="000D4E5B">
        <w:rPr>
          <w:lang w:val="en-US"/>
        </w:rPr>
        <w:t>olaparib</w:t>
      </w:r>
      <w:proofErr w:type="spellEnd"/>
      <w:r w:rsidRPr="000D4E5B">
        <w:rPr>
          <w:lang w:val="en-US"/>
        </w:rPr>
        <w:t xml:space="preserve"> arm and 12.5 months in the placebo arm.</w:t>
      </w:r>
      <w:bookmarkEnd w:id="40"/>
    </w:p>
    <w:bookmarkEnd w:id="39"/>
    <w:p w14:paraId="0CF0FEF5" w14:textId="0C0F6B5B" w:rsidR="00D44BBC" w:rsidRPr="000D4E5B" w:rsidRDefault="00D44BBC" w:rsidP="00D44BBC">
      <w:pPr>
        <w:pStyle w:val="Paragraph"/>
        <w:rPr>
          <w:lang w:val="en-US"/>
        </w:rPr>
      </w:pPr>
      <w:r w:rsidRPr="000D4E5B">
        <w:rPr>
          <w:lang w:val="en-US"/>
        </w:rPr>
        <w:t xml:space="preserve">The study demonstrated a clinically meaningful and statistically significant improvement in PFS for </w:t>
      </w:r>
      <w:proofErr w:type="spellStart"/>
      <w:r w:rsidRPr="000D4E5B">
        <w:rPr>
          <w:lang w:val="en-US"/>
        </w:rPr>
        <w:t>olaparib</w:t>
      </w:r>
      <w:proofErr w:type="spellEnd"/>
      <w:r w:rsidRPr="000D4E5B">
        <w:rPr>
          <w:lang w:val="en-US"/>
        </w:rPr>
        <w:t xml:space="preserve"> compared to placebo, with a HR of 0.53 (95% CI 0.35 – 0.82; p=0.0038; </w:t>
      </w:r>
      <w:bookmarkStart w:id="41" w:name="_Hlk5107263"/>
      <w:r w:rsidRPr="000D4E5B">
        <w:rPr>
          <w:lang w:val="en-US"/>
        </w:rPr>
        <w:t xml:space="preserve">the median was 7.4 months for </w:t>
      </w:r>
      <w:proofErr w:type="spellStart"/>
      <w:r w:rsidRPr="000D4E5B">
        <w:rPr>
          <w:lang w:val="en-US"/>
        </w:rPr>
        <w:t>olaparib</w:t>
      </w:r>
      <w:proofErr w:type="spellEnd"/>
      <w:r w:rsidRPr="000D4E5B">
        <w:rPr>
          <w:lang w:val="en-US"/>
        </w:rPr>
        <w:t xml:space="preserve"> vs 3.8 months for placebo</w:t>
      </w:r>
      <w:bookmarkEnd w:id="41"/>
      <w:r w:rsidRPr="000D4E5B">
        <w:rPr>
          <w:lang w:val="en-US"/>
        </w:rPr>
        <w:t>).</w:t>
      </w:r>
      <w:r w:rsidR="00DA4D88" w:rsidRPr="000D4E5B">
        <w:rPr>
          <w:lang w:val="en-US"/>
        </w:rPr>
        <w:t xml:space="preserve"> </w:t>
      </w:r>
      <w:r w:rsidRPr="000D4E5B">
        <w:rPr>
          <w:lang w:val="en-US"/>
        </w:rPr>
        <w:t xml:space="preserve">The sensitivity analysis of PFS by investigator assessment (HR 0.51; 95% CI 0.34 to 0.78; p=0.0017; median 6.3 months vs 3.7 months for </w:t>
      </w:r>
      <w:proofErr w:type="spellStart"/>
      <w:r w:rsidRPr="000D4E5B">
        <w:rPr>
          <w:lang w:val="en-US"/>
        </w:rPr>
        <w:t>olaparib</w:t>
      </w:r>
      <w:proofErr w:type="spellEnd"/>
      <w:r w:rsidRPr="000D4E5B">
        <w:rPr>
          <w:lang w:val="en-US"/>
        </w:rPr>
        <w:t xml:space="preserve"> vs placebo, respectively) was consistent with the PFS analysis by BICR. </w:t>
      </w:r>
      <w:bookmarkStart w:id="42" w:name="_Hlk7772557"/>
      <w:r w:rsidRPr="000D4E5B">
        <w:rPr>
          <w:lang w:val="en-US"/>
        </w:rPr>
        <w:t xml:space="preserve">Based on Kaplan–Meier estimates, the proportion of patients that were alive and progression-free at 12, 24 and 36 months were 34%, 28% and 22% for </w:t>
      </w:r>
      <w:proofErr w:type="spellStart"/>
      <w:r w:rsidRPr="000D4E5B">
        <w:rPr>
          <w:lang w:val="en-US"/>
        </w:rPr>
        <w:t>olaparib</w:t>
      </w:r>
      <w:proofErr w:type="spellEnd"/>
      <w:r w:rsidRPr="000D4E5B">
        <w:rPr>
          <w:lang w:val="en-US"/>
        </w:rPr>
        <w:t xml:space="preserve"> vs 15%, 10% and 10% for placebo</w:t>
      </w:r>
      <w:bookmarkEnd w:id="42"/>
      <w:r w:rsidRPr="000D4E5B">
        <w:rPr>
          <w:lang w:val="en-US"/>
        </w:rPr>
        <w:t>.</w:t>
      </w:r>
    </w:p>
    <w:p w14:paraId="2BE500B8" w14:textId="142A1BA7" w:rsidR="00D44BBC" w:rsidRPr="000D4E5B" w:rsidRDefault="00D44BBC" w:rsidP="00051EB4">
      <w:pPr>
        <w:pStyle w:val="Paragraph"/>
        <w:rPr>
          <w:lang w:val="en-US"/>
        </w:rPr>
      </w:pPr>
      <w:r w:rsidRPr="000D4E5B">
        <w:rPr>
          <w:lang w:val="en-US"/>
        </w:rPr>
        <w:t xml:space="preserve">A clinically meaningful positive trend in PFS2 was observed with a HR of 0.76 (p=0.2597 [nominal]; median PFS2 was 13.2 months for </w:t>
      </w:r>
      <w:proofErr w:type="spellStart"/>
      <w:r w:rsidRPr="000D4E5B">
        <w:rPr>
          <w:lang w:val="en-US"/>
        </w:rPr>
        <w:t>olaparib</w:t>
      </w:r>
      <w:proofErr w:type="spellEnd"/>
      <w:r w:rsidRPr="000D4E5B">
        <w:rPr>
          <w:lang w:val="en-US"/>
        </w:rPr>
        <w:t xml:space="preserve"> vs 9.2 months for placebo) indicating that the benefit observed with </w:t>
      </w:r>
      <w:proofErr w:type="spellStart"/>
      <w:r w:rsidRPr="000D4E5B">
        <w:rPr>
          <w:lang w:val="en-US"/>
        </w:rPr>
        <w:t>olaparib</w:t>
      </w:r>
      <w:proofErr w:type="spellEnd"/>
      <w:r w:rsidRPr="000D4E5B">
        <w:rPr>
          <w:lang w:val="en-US"/>
        </w:rPr>
        <w:t xml:space="preserve"> continued to be evident even with the use of subsequent therapies. A clinically meaningful and statistically significant improvement in TFST and TDT was observed for </w:t>
      </w:r>
      <w:proofErr w:type="spellStart"/>
      <w:r w:rsidRPr="000D4E5B">
        <w:rPr>
          <w:lang w:val="en-US"/>
        </w:rPr>
        <w:t>olaparib</w:t>
      </w:r>
      <w:proofErr w:type="spellEnd"/>
      <w:r w:rsidRPr="000D4E5B">
        <w:rPr>
          <w:lang w:val="en-US"/>
        </w:rPr>
        <w:t>-treated patients</w:t>
      </w:r>
      <w:r w:rsidR="000B6444" w:rsidRPr="000D4E5B">
        <w:rPr>
          <w:lang w:val="en-US"/>
        </w:rPr>
        <w:t xml:space="preserve"> (see Table </w:t>
      </w:r>
      <w:r w:rsidR="00345129" w:rsidRPr="000D4E5B">
        <w:rPr>
          <w:lang w:val="en-US"/>
        </w:rPr>
        <w:t>8</w:t>
      </w:r>
      <w:r w:rsidR="000B6444" w:rsidRPr="000D4E5B">
        <w:rPr>
          <w:lang w:val="en-US"/>
        </w:rPr>
        <w:t>)</w:t>
      </w:r>
      <w:r w:rsidRPr="000D4E5B">
        <w:rPr>
          <w:lang w:val="en-US"/>
        </w:rPr>
        <w:t xml:space="preserve">. The median </w:t>
      </w:r>
      <w:proofErr w:type="spellStart"/>
      <w:r w:rsidRPr="000D4E5B">
        <w:rPr>
          <w:lang w:val="en-US"/>
        </w:rPr>
        <w:t>DoR</w:t>
      </w:r>
      <w:proofErr w:type="spellEnd"/>
      <w:r w:rsidRPr="000D4E5B">
        <w:rPr>
          <w:lang w:val="en-US"/>
        </w:rPr>
        <w:t xml:space="preserve"> was longer in the </w:t>
      </w:r>
      <w:proofErr w:type="spellStart"/>
      <w:r w:rsidRPr="000D4E5B">
        <w:rPr>
          <w:lang w:val="en-US"/>
        </w:rPr>
        <w:t>olaparib</w:t>
      </w:r>
      <w:proofErr w:type="spellEnd"/>
      <w:r w:rsidRPr="000D4E5B">
        <w:rPr>
          <w:lang w:val="en-US"/>
        </w:rPr>
        <w:t xml:space="preserve"> arm (24.9 months) compared to the placebo arm (3.7 months), with a longer median time to onset of response (5.4 months for </w:t>
      </w:r>
      <w:proofErr w:type="spellStart"/>
      <w:r w:rsidRPr="000D4E5B">
        <w:rPr>
          <w:lang w:val="en-US"/>
        </w:rPr>
        <w:t>olaparib</w:t>
      </w:r>
      <w:proofErr w:type="spellEnd"/>
      <w:r w:rsidRPr="000D4E5B">
        <w:rPr>
          <w:lang w:val="en-US"/>
        </w:rPr>
        <w:t xml:space="preserve"> vs 3.6 months for placebo). </w:t>
      </w:r>
      <w:bookmarkStart w:id="43" w:name="_Hlk10795695"/>
      <w:r w:rsidRPr="000D4E5B">
        <w:rPr>
          <w:lang w:val="en-US"/>
        </w:rPr>
        <w:t xml:space="preserve">At the interim analysis of OS (46% maturity) the HR was 0.91 (95% CI 0.56 – 1.46; p=0.6833; median 18.9 months for </w:t>
      </w:r>
      <w:proofErr w:type="spellStart"/>
      <w:r w:rsidRPr="000D4E5B">
        <w:rPr>
          <w:lang w:val="en-US"/>
        </w:rPr>
        <w:t>olaparib</w:t>
      </w:r>
      <w:proofErr w:type="spellEnd"/>
      <w:r w:rsidRPr="000D4E5B">
        <w:rPr>
          <w:lang w:val="en-US"/>
        </w:rPr>
        <w:t xml:space="preserve"> vs 18.1 months for placebo).</w:t>
      </w:r>
      <w:bookmarkEnd w:id="43"/>
    </w:p>
    <w:p w14:paraId="2781E836" w14:textId="27A28DCB" w:rsidR="00D44BBC" w:rsidRPr="000D4E5B" w:rsidRDefault="00D44BBC" w:rsidP="00DA4D88">
      <w:pPr>
        <w:pStyle w:val="TableTitle"/>
        <w:rPr>
          <w:lang w:val="en-AU"/>
        </w:rPr>
      </w:pPr>
      <w:r w:rsidRPr="000D4E5B">
        <w:rPr>
          <w:lang w:val="en-AU"/>
        </w:rPr>
        <w:t xml:space="preserve">Table </w:t>
      </w:r>
      <w:r w:rsidR="00542A51" w:rsidRPr="000D4E5B">
        <w:rPr>
          <w:lang w:val="en-AU"/>
        </w:rPr>
        <w:t>8</w:t>
      </w:r>
      <w:r w:rsidRPr="000D4E5B">
        <w:rPr>
          <w:lang w:val="en-AU"/>
        </w:rPr>
        <w:tab/>
        <w:t xml:space="preserve">Summary of key efficacy findings for patients with </w:t>
      </w:r>
      <w:proofErr w:type="spellStart"/>
      <w:r w:rsidRPr="000D4E5B">
        <w:rPr>
          <w:i/>
          <w:lang w:val="en-AU"/>
        </w:rPr>
        <w:t>gBRCAm</w:t>
      </w:r>
      <w:proofErr w:type="spellEnd"/>
      <w:r w:rsidRPr="000D4E5B">
        <w:rPr>
          <w:lang w:val="en-AU"/>
        </w:rPr>
        <w:t xml:space="preserve"> metastatic adenocarcinoma of the pancreas in POLO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322"/>
        <w:gridCol w:w="2322"/>
      </w:tblGrid>
      <w:tr w:rsidR="00D44BBC" w:rsidRPr="000D4E5B" w14:paraId="680E2DCC" w14:textId="77777777" w:rsidTr="001C6C1A">
        <w:trPr>
          <w:tblHeader/>
        </w:trPr>
        <w:tc>
          <w:tcPr>
            <w:tcW w:w="4678" w:type="dxa"/>
            <w:tcBorders>
              <w:top w:val="single" w:sz="12" w:space="0" w:color="auto"/>
              <w:left w:val="nil"/>
              <w:bottom w:val="single" w:sz="4" w:space="0" w:color="auto"/>
              <w:right w:val="nil"/>
            </w:tcBorders>
            <w:shd w:val="clear" w:color="auto" w:fill="auto"/>
          </w:tcPr>
          <w:p w14:paraId="3DB631AA" w14:textId="77777777" w:rsidR="00D44BBC" w:rsidRPr="000D4E5B" w:rsidRDefault="00D44BBC" w:rsidP="00DA4D88">
            <w:pPr>
              <w:pStyle w:val="A-TableText"/>
              <w:spacing w:line="240" w:lineRule="auto"/>
              <w:rPr>
                <w:rFonts w:ascii="Times New Roman" w:hAnsi="Times New Roman"/>
                <w:b/>
                <w:bCs/>
                <w:szCs w:val="22"/>
              </w:rPr>
            </w:pPr>
          </w:p>
        </w:tc>
        <w:tc>
          <w:tcPr>
            <w:tcW w:w="2322" w:type="dxa"/>
            <w:tcBorders>
              <w:top w:val="single" w:sz="12" w:space="0" w:color="auto"/>
              <w:left w:val="nil"/>
              <w:bottom w:val="single" w:sz="4" w:space="0" w:color="auto"/>
              <w:right w:val="nil"/>
            </w:tcBorders>
            <w:shd w:val="clear" w:color="auto" w:fill="auto"/>
          </w:tcPr>
          <w:p w14:paraId="119C1CA1" w14:textId="77777777" w:rsidR="00D44BBC" w:rsidRPr="000D4E5B" w:rsidRDefault="00D44BBC" w:rsidP="00DA4D88">
            <w:pPr>
              <w:pStyle w:val="A-TableText"/>
              <w:spacing w:line="240" w:lineRule="auto"/>
              <w:rPr>
                <w:rFonts w:ascii="Times New Roman" w:hAnsi="Times New Roman"/>
                <w:b/>
                <w:bCs/>
                <w:szCs w:val="22"/>
              </w:rPr>
            </w:pPr>
            <w:r w:rsidRPr="000D4E5B">
              <w:rPr>
                <w:rFonts w:ascii="Times New Roman" w:hAnsi="Times New Roman"/>
                <w:b/>
                <w:bCs/>
                <w:szCs w:val="22"/>
              </w:rPr>
              <w:t xml:space="preserve">Olaparib 300 mg </w:t>
            </w:r>
            <w:proofErr w:type="spellStart"/>
            <w:r w:rsidRPr="000D4E5B">
              <w:rPr>
                <w:rFonts w:ascii="Times New Roman" w:hAnsi="Times New Roman"/>
                <w:b/>
                <w:bCs/>
                <w:szCs w:val="22"/>
              </w:rPr>
              <w:t>bd</w:t>
            </w:r>
            <w:proofErr w:type="spellEnd"/>
          </w:p>
        </w:tc>
        <w:tc>
          <w:tcPr>
            <w:tcW w:w="2322" w:type="dxa"/>
            <w:tcBorders>
              <w:top w:val="single" w:sz="12" w:space="0" w:color="auto"/>
              <w:left w:val="nil"/>
              <w:bottom w:val="single" w:sz="4" w:space="0" w:color="auto"/>
              <w:right w:val="nil"/>
            </w:tcBorders>
            <w:shd w:val="clear" w:color="auto" w:fill="auto"/>
          </w:tcPr>
          <w:p w14:paraId="2D03061C" w14:textId="77777777" w:rsidR="00D44BBC" w:rsidRPr="000D4E5B" w:rsidRDefault="00D44BBC" w:rsidP="00DA4D88">
            <w:pPr>
              <w:pStyle w:val="A-TableText"/>
              <w:spacing w:line="240" w:lineRule="auto"/>
              <w:jc w:val="center"/>
              <w:rPr>
                <w:rFonts w:ascii="Times New Roman" w:hAnsi="Times New Roman"/>
                <w:b/>
                <w:bCs/>
                <w:szCs w:val="22"/>
              </w:rPr>
            </w:pPr>
            <w:r w:rsidRPr="000D4E5B">
              <w:rPr>
                <w:rFonts w:ascii="Times New Roman" w:hAnsi="Times New Roman"/>
                <w:b/>
                <w:bCs/>
                <w:szCs w:val="22"/>
              </w:rPr>
              <w:t>Placebo</w:t>
            </w:r>
          </w:p>
        </w:tc>
      </w:tr>
      <w:tr w:rsidR="00D44BBC" w:rsidRPr="00F201FA" w14:paraId="2A3BE40E" w14:textId="77777777" w:rsidTr="00F2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02FFCBD9" w14:textId="77777777" w:rsidR="00D44BBC" w:rsidRPr="000D4E5B" w:rsidRDefault="00D44BBC" w:rsidP="00F201FA">
            <w:pPr>
              <w:pStyle w:val="A-TableText"/>
              <w:spacing w:line="240" w:lineRule="auto"/>
              <w:rPr>
                <w:rFonts w:ascii="Times New Roman" w:hAnsi="Times New Roman"/>
                <w:b/>
                <w:bCs/>
                <w:szCs w:val="22"/>
              </w:rPr>
            </w:pPr>
            <w:r w:rsidRPr="000D4E5B">
              <w:rPr>
                <w:rFonts w:ascii="Times New Roman" w:hAnsi="Times New Roman"/>
                <w:b/>
                <w:bCs/>
                <w:szCs w:val="22"/>
              </w:rPr>
              <w:t xml:space="preserve">PFS (68% maturity) </w:t>
            </w:r>
          </w:p>
        </w:tc>
      </w:tr>
      <w:tr w:rsidR="00D44BBC" w:rsidRPr="000D4E5B" w14:paraId="4C22C5CC" w14:textId="77777777" w:rsidTr="00DA4D88">
        <w:tc>
          <w:tcPr>
            <w:tcW w:w="4678" w:type="dxa"/>
            <w:tcBorders>
              <w:top w:val="single" w:sz="4" w:space="0" w:color="auto"/>
              <w:left w:val="nil"/>
              <w:bottom w:val="nil"/>
              <w:right w:val="nil"/>
            </w:tcBorders>
            <w:shd w:val="clear" w:color="auto" w:fill="auto"/>
            <w:vAlign w:val="center"/>
          </w:tcPr>
          <w:p w14:paraId="56A8A49C" w14:textId="77777777" w:rsidR="00D44BBC" w:rsidRPr="000D4E5B" w:rsidRDefault="00D44BBC" w:rsidP="007D1EB3">
            <w:pPr>
              <w:pStyle w:val="A-Single"/>
              <w:rPr>
                <w:sz w:val="22"/>
                <w:szCs w:val="22"/>
                <w:lang w:val="en-US"/>
              </w:rPr>
            </w:pPr>
            <w:r w:rsidRPr="000D4E5B">
              <w:rPr>
                <w:sz w:val="22"/>
                <w:szCs w:val="22"/>
              </w:rPr>
              <w:t>Number of events: Total number of patients (%)</w:t>
            </w:r>
          </w:p>
        </w:tc>
        <w:tc>
          <w:tcPr>
            <w:tcW w:w="2322" w:type="dxa"/>
            <w:tcBorders>
              <w:top w:val="single" w:sz="4" w:space="0" w:color="auto"/>
              <w:left w:val="nil"/>
              <w:bottom w:val="nil"/>
              <w:right w:val="nil"/>
            </w:tcBorders>
            <w:shd w:val="clear" w:color="auto" w:fill="auto"/>
            <w:vAlign w:val="center"/>
          </w:tcPr>
          <w:p w14:paraId="1EBFD602" w14:textId="77777777" w:rsidR="00D44BBC" w:rsidRPr="000D4E5B" w:rsidRDefault="00D44BBC" w:rsidP="007D1EB3">
            <w:pPr>
              <w:pStyle w:val="A-Single"/>
              <w:jc w:val="center"/>
              <w:rPr>
                <w:sz w:val="22"/>
                <w:szCs w:val="22"/>
                <w:lang w:val="en-US"/>
              </w:rPr>
            </w:pPr>
            <w:r w:rsidRPr="000D4E5B">
              <w:rPr>
                <w:sz w:val="22"/>
                <w:szCs w:val="22"/>
              </w:rPr>
              <w:t>60:92 (65)</w:t>
            </w:r>
          </w:p>
        </w:tc>
        <w:tc>
          <w:tcPr>
            <w:tcW w:w="2322" w:type="dxa"/>
            <w:tcBorders>
              <w:top w:val="single" w:sz="4" w:space="0" w:color="auto"/>
              <w:left w:val="nil"/>
              <w:bottom w:val="nil"/>
              <w:right w:val="nil"/>
            </w:tcBorders>
            <w:shd w:val="clear" w:color="auto" w:fill="auto"/>
            <w:vAlign w:val="center"/>
          </w:tcPr>
          <w:p w14:paraId="4081BC54" w14:textId="77777777" w:rsidR="00D44BBC" w:rsidRPr="000D4E5B" w:rsidRDefault="00D44BBC" w:rsidP="007D1EB3">
            <w:pPr>
              <w:pStyle w:val="A-Single"/>
              <w:jc w:val="center"/>
              <w:rPr>
                <w:sz w:val="22"/>
                <w:szCs w:val="22"/>
                <w:lang w:val="en-US"/>
              </w:rPr>
            </w:pPr>
            <w:r w:rsidRPr="000D4E5B">
              <w:rPr>
                <w:sz w:val="22"/>
                <w:szCs w:val="22"/>
              </w:rPr>
              <w:t>44:62 (71)</w:t>
            </w:r>
          </w:p>
        </w:tc>
      </w:tr>
      <w:tr w:rsidR="00D44BBC" w:rsidRPr="000D4E5B" w14:paraId="4685925B" w14:textId="77777777" w:rsidTr="007D1EB3">
        <w:tc>
          <w:tcPr>
            <w:tcW w:w="4678" w:type="dxa"/>
            <w:tcBorders>
              <w:top w:val="nil"/>
              <w:left w:val="nil"/>
              <w:bottom w:val="nil"/>
              <w:right w:val="nil"/>
            </w:tcBorders>
            <w:shd w:val="clear" w:color="auto" w:fill="auto"/>
            <w:vAlign w:val="center"/>
          </w:tcPr>
          <w:p w14:paraId="6D0AF06F" w14:textId="77777777" w:rsidR="00D44BBC" w:rsidRPr="000D4E5B" w:rsidRDefault="00D44BBC" w:rsidP="007D1EB3">
            <w:pPr>
              <w:pStyle w:val="A-Single"/>
              <w:rPr>
                <w:sz w:val="22"/>
                <w:szCs w:val="22"/>
                <w:lang w:val="en-US"/>
              </w:rPr>
            </w:pPr>
            <w:r w:rsidRPr="000D4E5B">
              <w:rPr>
                <w:sz w:val="22"/>
                <w:szCs w:val="22"/>
              </w:rPr>
              <w:t>Median time (months)</w:t>
            </w:r>
          </w:p>
        </w:tc>
        <w:tc>
          <w:tcPr>
            <w:tcW w:w="2322" w:type="dxa"/>
            <w:tcBorders>
              <w:top w:val="nil"/>
              <w:left w:val="nil"/>
              <w:bottom w:val="nil"/>
              <w:right w:val="nil"/>
            </w:tcBorders>
            <w:shd w:val="clear" w:color="auto" w:fill="auto"/>
            <w:vAlign w:val="center"/>
          </w:tcPr>
          <w:p w14:paraId="57B6BD8C" w14:textId="77777777" w:rsidR="00D44BBC" w:rsidRPr="000D4E5B" w:rsidRDefault="00D44BBC" w:rsidP="007D1EB3">
            <w:pPr>
              <w:pStyle w:val="A-Single"/>
              <w:jc w:val="center"/>
              <w:rPr>
                <w:sz w:val="22"/>
                <w:szCs w:val="22"/>
                <w:lang w:val="en-US"/>
              </w:rPr>
            </w:pPr>
            <w:r w:rsidRPr="000D4E5B">
              <w:rPr>
                <w:sz w:val="22"/>
                <w:szCs w:val="22"/>
              </w:rPr>
              <w:t>7.4</w:t>
            </w:r>
          </w:p>
        </w:tc>
        <w:tc>
          <w:tcPr>
            <w:tcW w:w="2322" w:type="dxa"/>
            <w:tcBorders>
              <w:top w:val="nil"/>
              <w:left w:val="nil"/>
              <w:bottom w:val="nil"/>
              <w:right w:val="nil"/>
            </w:tcBorders>
            <w:shd w:val="clear" w:color="auto" w:fill="auto"/>
            <w:vAlign w:val="center"/>
          </w:tcPr>
          <w:p w14:paraId="18927B01" w14:textId="77777777" w:rsidR="00D44BBC" w:rsidRPr="000D4E5B" w:rsidRDefault="00D44BBC" w:rsidP="007D1EB3">
            <w:pPr>
              <w:pStyle w:val="A-Single"/>
              <w:jc w:val="center"/>
              <w:rPr>
                <w:sz w:val="22"/>
                <w:szCs w:val="22"/>
                <w:lang w:val="en-US"/>
              </w:rPr>
            </w:pPr>
            <w:r w:rsidRPr="000D4E5B">
              <w:rPr>
                <w:sz w:val="22"/>
                <w:szCs w:val="22"/>
              </w:rPr>
              <w:t>3.8</w:t>
            </w:r>
          </w:p>
        </w:tc>
      </w:tr>
      <w:tr w:rsidR="00D44BBC" w:rsidRPr="000D4E5B" w14:paraId="09C1A98E" w14:textId="77777777" w:rsidTr="007D1EB3">
        <w:tc>
          <w:tcPr>
            <w:tcW w:w="4678" w:type="dxa"/>
            <w:tcBorders>
              <w:top w:val="nil"/>
              <w:left w:val="nil"/>
              <w:bottom w:val="nil"/>
              <w:right w:val="nil"/>
            </w:tcBorders>
            <w:shd w:val="clear" w:color="auto" w:fill="auto"/>
            <w:vAlign w:val="center"/>
          </w:tcPr>
          <w:p w14:paraId="0D4C815B" w14:textId="77777777" w:rsidR="00D44BBC" w:rsidRPr="000D4E5B" w:rsidRDefault="00D44BBC" w:rsidP="007D1EB3">
            <w:pPr>
              <w:pStyle w:val="A-Single"/>
              <w:rPr>
                <w:sz w:val="22"/>
                <w:szCs w:val="22"/>
                <w:lang w:val="en-US"/>
              </w:rPr>
            </w:pPr>
            <w:r w:rsidRPr="000D4E5B">
              <w:rPr>
                <w:sz w:val="22"/>
                <w:szCs w:val="22"/>
              </w:rPr>
              <w:t>HR (95% CI)</w:t>
            </w:r>
            <w:proofErr w:type="spellStart"/>
            <w:r w:rsidRPr="000D4E5B">
              <w:rPr>
                <w:sz w:val="22"/>
                <w:szCs w:val="22"/>
                <w:vertAlign w:val="superscript"/>
              </w:rPr>
              <w:t>a,b</w:t>
            </w:r>
            <w:proofErr w:type="spellEnd"/>
          </w:p>
        </w:tc>
        <w:tc>
          <w:tcPr>
            <w:tcW w:w="4644" w:type="dxa"/>
            <w:gridSpan w:val="2"/>
            <w:tcBorders>
              <w:top w:val="nil"/>
              <w:left w:val="nil"/>
              <w:bottom w:val="nil"/>
              <w:right w:val="nil"/>
            </w:tcBorders>
            <w:shd w:val="clear" w:color="auto" w:fill="auto"/>
            <w:vAlign w:val="center"/>
          </w:tcPr>
          <w:p w14:paraId="4B0B40CC" w14:textId="77777777" w:rsidR="00D44BBC" w:rsidRPr="000D4E5B" w:rsidRDefault="00D44BBC" w:rsidP="007D1EB3">
            <w:pPr>
              <w:pStyle w:val="A-Single"/>
              <w:jc w:val="center"/>
              <w:rPr>
                <w:sz w:val="22"/>
                <w:szCs w:val="22"/>
                <w:lang w:val="en-US"/>
              </w:rPr>
            </w:pPr>
            <w:r w:rsidRPr="000D4E5B">
              <w:rPr>
                <w:sz w:val="22"/>
                <w:szCs w:val="22"/>
              </w:rPr>
              <w:t>0.53 (0.35-0.82)</w:t>
            </w:r>
          </w:p>
        </w:tc>
      </w:tr>
      <w:tr w:rsidR="00D44BBC" w:rsidRPr="000D4E5B" w14:paraId="090A68DD" w14:textId="77777777" w:rsidTr="007D1EB3">
        <w:tc>
          <w:tcPr>
            <w:tcW w:w="4678" w:type="dxa"/>
            <w:tcBorders>
              <w:top w:val="nil"/>
              <w:left w:val="nil"/>
              <w:right w:val="nil"/>
            </w:tcBorders>
            <w:shd w:val="clear" w:color="auto" w:fill="auto"/>
            <w:vAlign w:val="center"/>
          </w:tcPr>
          <w:p w14:paraId="65925F16" w14:textId="77777777" w:rsidR="00D44BBC" w:rsidRPr="000D4E5B" w:rsidRDefault="00D44BBC" w:rsidP="007D1EB3">
            <w:pPr>
              <w:pStyle w:val="A-Single"/>
              <w:rPr>
                <w:sz w:val="22"/>
                <w:szCs w:val="22"/>
                <w:lang w:val="en-US"/>
              </w:rPr>
            </w:pPr>
            <w:r w:rsidRPr="000D4E5B">
              <w:rPr>
                <w:sz w:val="22"/>
                <w:szCs w:val="22"/>
              </w:rPr>
              <w:t>P value (2-sided)</w:t>
            </w:r>
          </w:p>
        </w:tc>
        <w:tc>
          <w:tcPr>
            <w:tcW w:w="4644" w:type="dxa"/>
            <w:gridSpan w:val="2"/>
            <w:tcBorders>
              <w:top w:val="nil"/>
              <w:left w:val="nil"/>
              <w:right w:val="nil"/>
            </w:tcBorders>
            <w:shd w:val="clear" w:color="auto" w:fill="auto"/>
            <w:vAlign w:val="center"/>
          </w:tcPr>
          <w:p w14:paraId="3B56B92B" w14:textId="77777777" w:rsidR="00D44BBC" w:rsidRPr="000D4E5B" w:rsidRDefault="00D44BBC" w:rsidP="007D1EB3">
            <w:pPr>
              <w:pStyle w:val="A-Single"/>
              <w:jc w:val="center"/>
              <w:rPr>
                <w:sz w:val="22"/>
                <w:szCs w:val="22"/>
                <w:lang w:val="en-US"/>
              </w:rPr>
            </w:pPr>
            <w:r w:rsidRPr="000D4E5B">
              <w:rPr>
                <w:sz w:val="22"/>
                <w:szCs w:val="22"/>
              </w:rPr>
              <w:t>p=0.0038</w:t>
            </w:r>
          </w:p>
        </w:tc>
      </w:tr>
      <w:tr w:rsidR="00D44BBC" w:rsidRPr="00F201FA" w14:paraId="25503BF7" w14:textId="77777777" w:rsidTr="00F2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4" w:space="0" w:color="auto"/>
              <w:bottom w:val="single" w:sz="4" w:space="0" w:color="auto"/>
            </w:tcBorders>
            <w:shd w:val="clear" w:color="auto" w:fill="F2F2F2" w:themeFill="background1" w:themeFillShade="F2"/>
            <w:tcMar>
              <w:top w:w="0" w:type="dxa"/>
              <w:left w:w="108" w:type="dxa"/>
              <w:bottom w:w="0" w:type="dxa"/>
              <w:right w:w="108" w:type="dxa"/>
            </w:tcMar>
          </w:tcPr>
          <w:p w14:paraId="6F658946" w14:textId="77777777" w:rsidR="00D44BBC" w:rsidRPr="00F201FA" w:rsidRDefault="00D44BBC" w:rsidP="00F201FA">
            <w:pPr>
              <w:pStyle w:val="A-TableText"/>
              <w:spacing w:line="240" w:lineRule="auto"/>
              <w:rPr>
                <w:rFonts w:ascii="Times New Roman" w:hAnsi="Times New Roman"/>
                <w:b/>
                <w:bCs/>
                <w:szCs w:val="22"/>
              </w:rPr>
            </w:pPr>
            <w:r w:rsidRPr="000D4E5B">
              <w:rPr>
                <w:rFonts w:ascii="Times New Roman" w:hAnsi="Times New Roman"/>
                <w:b/>
                <w:bCs/>
                <w:szCs w:val="22"/>
              </w:rPr>
              <w:t>Interim OS (46% maturity)</w:t>
            </w:r>
          </w:p>
        </w:tc>
      </w:tr>
      <w:tr w:rsidR="00D44BBC" w:rsidRPr="000D4E5B" w14:paraId="6F97A398" w14:textId="77777777" w:rsidTr="007D1EB3">
        <w:tc>
          <w:tcPr>
            <w:tcW w:w="4678" w:type="dxa"/>
            <w:tcBorders>
              <w:left w:val="nil"/>
              <w:bottom w:val="nil"/>
              <w:right w:val="nil"/>
            </w:tcBorders>
            <w:shd w:val="clear" w:color="auto" w:fill="auto"/>
          </w:tcPr>
          <w:p w14:paraId="12193E30" w14:textId="77777777" w:rsidR="00D44BBC" w:rsidRPr="000D4E5B" w:rsidRDefault="00D44BBC" w:rsidP="007D1EB3">
            <w:pPr>
              <w:pStyle w:val="A-Single"/>
              <w:rPr>
                <w:sz w:val="22"/>
                <w:szCs w:val="22"/>
                <w:lang w:val="en-US"/>
              </w:rPr>
            </w:pPr>
            <w:r w:rsidRPr="000D4E5B">
              <w:rPr>
                <w:sz w:val="22"/>
                <w:szCs w:val="22"/>
              </w:rPr>
              <w:t>Number of events: Total number of patients (%)</w:t>
            </w:r>
          </w:p>
        </w:tc>
        <w:tc>
          <w:tcPr>
            <w:tcW w:w="2322" w:type="dxa"/>
            <w:tcBorders>
              <w:left w:val="nil"/>
              <w:bottom w:val="nil"/>
              <w:right w:val="nil"/>
            </w:tcBorders>
            <w:shd w:val="clear" w:color="auto" w:fill="auto"/>
            <w:vAlign w:val="center"/>
          </w:tcPr>
          <w:p w14:paraId="6D73678A" w14:textId="77777777" w:rsidR="00D44BBC" w:rsidRPr="000D4E5B" w:rsidRDefault="00D44BBC" w:rsidP="007D1EB3">
            <w:pPr>
              <w:pStyle w:val="A-Single"/>
              <w:jc w:val="center"/>
              <w:rPr>
                <w:sz w:val="22"/>
                <w:szCs w:val="22"/>
                <w:lang w:val="en-US"/>
              </w:rPr>
            </w:pPr>
            <w:r w:rsidRPr="000D4E5B">
              <w:rPr>
                <w:sz w:val="22"/>
                <w:szCs w:val="22"/>
              </w:rPr>
              <w:t>41:92 (45)</w:t>
            </w:r>
          </w:p>
        </w:tc>
        <w:tc>
          <w:tcPr>
            <w:tcW w:w="2322" w:type="dxa"/>
            <w:tcBorders>
              <w:left w:val="nil"/>
              <w:bottom w:val="nil"/>
              <w:right w:val="nil"/>
            </w:tcBorders>
            <w:shd w:val="clear" w:color="auto" w:fill="auto"/>
            <w:vAlign w:val="center"/>
          </w:tcPr>
          <w:p w14:paraId="7F580A7F" w14:textId="77777777" w:rsidR="00D44BBC" w:rsidRPr="000D4E5B" w:rsidRDefault="00D44BBC" w:rsidP="007D1EB3">
            <w:pPr>
              <w:pStyle w:val="A-Single"/>
              <w:jc w:val="center"/>
              <w:rPr>
                <w:sz w:val="22"/>
                <w:szCs w:val="22"/>
                <w:lang w:val="en-US"/>
              </w:rPr>
            </w:pPr>
            <w:r w:rsidRPr="000D4E5B">
              <w:rPr>
                <w:sz w:val="22"/>
                <w:szCs w:val="22"/>
              </w:rPr>
              <w:t>30:62 (48)</w:t>
            </w:r>
            <w:r w:rsidRPr="000D4E5B">
              <w:rPr>
                <w:sz w:val="22"/>
                <w:szCs w:val="22"/>
                <w:vertAlign w:val="superscript"/>
              </w:rPr>
              <w:t>c</w:t>
            </w:r>
          </w:p>
        </w:tc>
      </w:tr>
      <w:tr w:rsidR="00D44BBC" w:rsidRPr="000D4E5B" w14:paraId="7C16639B" w14:textId="77777777" w:rsidTr="007D1EB3">
        <w:tc>
          <w:tcPr>
            <w:tcW w:w="4678" w:type="dxa"/>
            <w:tcBorders>
              <w:top w:val="nil"/>
              <w:left w:val="nil"/>
              <w:bottom w:val="nil"/>
              <w:right w:val="nil"/>
            </w:tcBorders>
            <w:shd w:val="clear" w:color="auto" w:fill="auto"/>
          </w:tcPr>
          <w:p w14:paraId="276BE8FE" w14:textId="77777777" w:rsidR="00D44BBC" w:rsidRPr="000D4E5B" w:rsidRDefault="00D44BBC" w:rsidP="007D1EB3">
            <w:pPr>
              <w:pStyle w:val="A-Single"/>
              <w:rPr>
                <w:sz w:val="22"/>
                <w:szCs w:val="22"/>
                <w:lang w:val="en-US"/>
              </w:rPr>
            </w:pPr>
            <w:r w:rsidRPr="000D4E5B">
              <w:rPr>
                <w:sz w:val="22"/>
                <w:szCs w:val="22"/>
              </w:rPr>
              <w:t>Median time (months)</w:t>
            </w:r>
          </w:p>
        </w:tc>
        <w:tc>
          <w:tcPr>
            <w:tcW w:w="2322" w:type="dxa"/>
            <w:tcBorders>
              <w:top w:val="nil"/>
              <w:left w:val="nil"/>
              <w:bottom w:val="nil"/>
              <w:right w:val="nil"/>
            </w:tcBorders>
            <w:shd w:val="clear" w:color="auto" w:fill="auto"/>
            <w:vAlign w:val="center"/>
          </w:tcPr>
          <w:p w14:paraId="71D62BF7" w14:textId="77777777" w:rsidR="00D44BBC" w:rsidRPr="000D4E5B" w:rsidRDefault="00D44BBC" w:rsidP="007D1EB3">
            <w:pPr>
              <w:pStyle w:val="A-Single"/>
              <w:jc w:val="center"/>
              <w:rPr>
                <w:sz w:val="22"/>
                <w:szCs w:val="22"/>
                <w:lang w:val="en-US"/>
              </w:rPr>
            </w:pPr>
            <w:r w:rsidRPr="000D4E5B">
              <w:rPr>
                <w:sz w:val="22"/>
                <w:szCs w:val="22"/>
              </w:rPr>
              <w:t>18.9</w:t>
            </w:r>
          </w:p>
        </w:tc>
        <w:tc>
          <w:tcPr>
            <w:tcW w:w="2322" w:type="dxa"/>
            <w:tcBorders>
              <w:top w:val="nil"/>
              <w:left w:val="nil"/>
              <w:bottom w:val="nil"/>
              <w:right w:val="nil"/>
            </w:tcBorders>
            <w:shd w:val="clear" w:color="auto" w:fill="auto"/>
            <w:vAlign w:val="center"/>
          </w:tcPr>
          <w:p w14:paraId="40619ED0" w14:textId="77777777" w:rsidR="00D44BBC" w:rsidRPr="000D4E5B" w:rsidRDefault="00D44BBC" w:rsidP="007D1EB3">
            <w:pPr>
              <w:pStyle w:val="A-Single"/>
              <w:jc w:val="center"/>
              <w:rPr>
                <w:sz w:val="22"/>
                <w:szCs w:val="22"/>
                <w:lang w:val="en-US"/>
              </w:rPr>
            </w:pPr>
            <w:r w:rsidRPr="000D4E5B">
              <w:rPr>
                <w:sz w:val="22"/>
                <w:szCs w:val="22"/>
              </w:rPr>
              <w:t>18.1</w:t>
            </w:r>
          </w:p>
        </w:tc>
      </w:tr>
      <w:tr w:rsidR="00D44BBC" w:rsidRPr="000D4E5B" w14:paraId="496FF745" w14:textId="77777777" w:rsidTr="00DA4D88">
        <w:tc>
          <w:tcPr>
            <w:tcW w:w="4678" w:type="dxa"/>
            <w:tcBorders>
              <w:top w:val="nil"/>
              <w:left w:val="nil"/>
              <w:bottom w:val="nil"/>
              <w:right w:val="nil"/>
            </w:tcBorders>
            <w:shd w:val="clear" w:color="auto" w:fill="auto"/>
          </w:tcPr>
          <w:p w14:paraId="01F82D8B" w14:textId="77777777" w:rsidR="00D44BBC" w:rsidRPr="000D4E5B" w:rsidRDefault="00D44BBC" w:rsidP="007D1EB3">
            <w:pPr>
              <w:pStyle w:val="A-Single"/>
              <w:rPr>
                <w:sz w:val="22"/>
                <w:szCs w:val="22"/>
                <w:lang w:val="en-US"/>
              </w:rPr>
            </w:pPr>
            <w:r w:rsidRPr="000D4E5B">
              <w:rPr>
                <w:sz w:val="22"/>
                <w:szCs w:val="22"/>
              </w:rPr>
              <w:t>HR (95% CI)</w:t>
            </w:r>
            <w:proofErr w:type="spellStart"/>
            <w:r w:rsidRPr="000D4E5B">
              <w:rPr>
                <w:sz w:val="22"/>
                <w:szCs w:val="22"/>
                <w:vertAlign w:val="superscript"/>
              </w:rPr>
              <w:t>b,c</w:t>
            </w:r>
            <w:proofErr w:type="spellEnd"/>
          </w:p>
        </w:tc>
        <w:tc>
          <w:tcPr>
            <w:tcW w:w="4644" w:type="dxa"/>
            <w:gridSpan w:val="2"/>
            <w:tcBorders>
              <w:top w:val="nil"/>
              <w:left w:val="nil"/>
              <w:bottom w:val="nil"/>
              <w:right w:val="nil"/>
            </w:tcBorders>
            <w:shd w:val="clear" w:color="auto" w:fill="auto"/>
            <w:vAlign w:val="center"/>
          </w:tcPr>
          <w:p w14:paraId="28F7E744" w14:textId="77777777" w:rsidR="00D44BBC" w:rsidRPr="000D4E5B" w:rsidRDefault="00D44BBC" w:rsidP="007D1EB3">
            <w:pPr>
              <w:pStyle w:val="A-Single"/>
              <w:jc w:val="center"/>
              <w:rPr>
                <w:sz w:val="22"/>
                <w:szCs w:val="22"/>
                <w:lang w:val="en-US"/>
              </w:rPr>
            </w:pPr>
            <w:r w:rsidRPr="000D4E5B">
              <w:rPr>
                <w:sz w:val="22"/>
                <w:szCs w:val="22"/>
              </w:rPr>
              <w:t>0.91 (0.56-1.46)</w:t>
            </w:r>
          </w:p>
        </w:tc>
      </w:tr>
      <w:tr w:rsidR="00D44BBC" w:rsidRPr="000D4E5B" w14:paraId="2D0ED06A" w14:textId="77777777" w:rsidTr="00DA4D88">
        <w:tc>
          <w:tcPr>
            <w:tcW w:w="4678" w:type="dxa"/>
            <w:tcBorders>
              <w:top w:val="nil"/>
              <w:left w:val="nil"/>
              <w:bottom w:val="single" w:sz="4" w:space="0" w:color="auto"/>
              <w:right w:val="nil"/>
            </w:tcBorders>
            <w:shd w:val="clear" w:color="auto" w:fill="auto"/>
          </w:tcPr>
          <w:p w14:paraId="676DDB32" w14:textId="77777777" w:rsidR="00D44BBC" w:rsidRPr="000D4E5B" w:rsidRDefault="00D44BBC" w:rsidP="007D1EB3">
            <w:pPr>
              <w:pStyle w:val="A-Single"/>
              <w:rPr>
                <w:sz w:val="22"/>
                <w:szCs w:val="22"/>
                <w:lang w:val="en-US"/>
              </w:rPr>
            </w:pPr>
            <w:r w:rsidRPr="000D4E5B">
              <w:rPr>
                <w:sz w:val="22"/>
                <w:szCs w:val="22"/>
              </w:rPr>
              <w:t>P value (2-sided)</w:t>
            </w:r>
          </w:p>
        </w:tc>
        <w:tc>
          <w:tcPr>
            <w:tcW w:w="4644" w:type="dxa"/>
            <w:gridSpan w:val="2"/>
            <w:tcBorders>
              <w:top w:val="nil"/>
              <w:left w:val="nil"/>
              <w:bottom w:val="single" w:sz="4" w:space="0" w:color="auto"/>
              <w:right w:val="nil"/>
            </w:tcBorders>
            <w:shd w:val="clear" w:color="auto" w:fill="auto"/>
            <w:vAlign w:val="center"/>
          </w:tcPr>
          <w:p w14:paraId="7C7EF1CA" w14:textId="77777777" w:rsidR="00D44BBC" w:rsidRPr="000D4E5B" w:rsidRDefault="00D44BBC" w:rsidP="007D1EB3">
            <w:pPr>
              <w:pStyle w:val="A-Single"/>
              <w:jc w:val="center"/>
              <w:rPr>
                <w:sz w:val="22"/>
                <w:szCs w:val="22"/>
                <w:lang w:val="en-US"/>
              </w:rPr>
            </w:pPr>
            <w:r w:rsidRPr="000D4E5B">
              <w:rPr>
                <w:sz w:val="22"/>
                <w:szCs w:val="22"/>
              </w:rPr>
              <w:t>p=0.6833</w:t>
            </w:r>
          </w:p>
        </w:tc>
      </w:tr>
      <w:tr w:rsidR="00D44BBC" w:rsidRPr="00F201FA" w14:paraId="35E6638F" w14:textId="77777777" w:rsidTr="00F20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tcPr>
          <w:p w14:paraId="2C5E3A11" w14:textId="77777777" w:rsidR="00D44BBC" w:rsidRPr="000D4E5B" w:rsidRDefault="00D44BBC" w:rsidP="00F201FA">
            <w:pPr>
              <w:pStyle w:val="A-TableText"/>
              <w:spacing w:line="240" w:lineRule="auto"/>
              <w:rPr>
                <w:rFonts w:ascii="Times New Roman" w:hAnsi="Times New Roman"/>
                <w:b/>
                <w:bCs/>
                <w:szCs w:val="22"/>
              </w:rPr>
            </w:pPr>
            <w:r w:rsidRPr="000D4E5B">
              <w:rPr>
                <w:rFonts w:ascii="Times New Roman" w:hAnsi="Times New Roman"/>
                <w:b/>
                <w:bCs/>
                <w:szCs w:val="22"/>
              </w:rPr>
              <w:t>PFS2 (46% maturity)</w:t>
            </w:r>
          </w:p>
        </w:tc>
      </w:tr>
      <w:tr w:rsidR="00D44BBC" w:rsidRPr="000D4E5B" w14:paraId="2CC03A3B" w14:textId="77777777" w:rsidTr="00DA4D88">
        <w:tblPrEx>
          <w:tblBorders>
            <w:left w:val="none" w:sz="0" w:space="0" w:color="auto"/>
            <w:right w:val="none" w:sz="0" w:space="0" w:color="auto"/>
          </w:tblBorders>
        </w:tblPrEx>
        <w:tc>
          <w:tcPr>
            <w:tcW w:w="4678" w:type="dxa"/>
            <w:tcBorders>
              <w:top w:val="single" w:sz="4" w:space="0" w:color="auto"/>
              <w:bottom w:val="nil"/>
              <w:right w:val="nil"/>
            </w:tcBorders>
            <w:shd w:val="clear" w:color="auto" w:fill="auto"/>
          </w:tcPr>
          <w:p w14:paraId="6286466E" w14:textId="77777777" w:rsidR="00D44BBC" w:rsidRPr="000D4E5B" w:rsidRDefault="00D44BBC" w:rsidP="007D1EB3">
            <w:pPr>
              <w:pStyle w:val="A-Single"/>
              <w:rPr>
                <w:sz w:val="22"/>
                <w:szCs w:val="22"/>
                <w:lang w:val="en-US"/>
              </w:rPr>
            </w:pPr>
            <w:r w:rsidRPr="000D4E5B">
              <w:rPr>
                <w:sz w:val="22"/>
                <w:szCs w:val="22"/>
              </w:rPr>
              <w:t>Number of events: Total number of patients (%)</w:t>
            </w:r>
          </w:p>
        </w:tc>
        <w:tc>
          <w:tcPr>
            <w:tcW w:w="2322" w:type="dxa"/>
            <w:tcBorders>
              <w:top w:val="single" w:sz="4" w:space="0" w:color="auto"/>
              <w:left w:val="nil"/>
              <w:bottom w:val="nil"/>
              <w:right w:val="nil"/>
            </w:tcBorders>
            <w:shd w:val="clear" w:color="auto" w:fill="auto"/>
            <w:vAlign w:val="center"/>
          </w:tcPr>
          <w:p w14:paraId="5448CFDD" w14:textId="77777777" w:rsidR="00D44BBC" w:rsidRPr="000D4E5B" w:rsidRDefault="00D44BBC" w:rsidP="007D1EB3">
            <w:pPr>
              <w:pStyle w:val="A-Single"/>
              <w:jc w:val="center"/>
              <w:rPr>
                <w:sz w:val="22"/>
                <w:szCs w:val="22"/>
                <w:lang w:val="en-US"/>
              </w:rPr>
            </w:pPr>
            <w:r w:rsidRPr="000D4E5B">
              <w:rPr>
                <w:sz w:val="22"/>
                <w:szCs w:val="22"/>
              </w:rPr>
              <w:t>41:92 (45)</w:t>
            </w:r>
          </w:p>
        </w:tc>
        <w:tc>
          <w:tcPr>
            <w:tcW w:w="2322" w:type="dxa"/>
            <w:tcBorders>
              <w:top w:val="single" w:sz="4" w:space="0" w:color="auto"/>
              <w:left w:val="nil"/>
              <w:bottom w:val="nil"/>
            </w:tcBorders>
            <w:shd w:val="clear" w:color="auto" w:fill="auto"/>
            <w:vAlign w:val="center"/>
          </w:tcPr>
          <w:p w14:paraId="085B2C54" w14:textId="77777777" w:rsidR="00D44BBC" w:rsidRPr="000D4E5B" w:rsidRDefault="00D44BBC" w:rsidP="007D1EB3">
            <w:pPr>
              <w:pStyle w:val="A-Single"/>
              <w:jc w:val="center"/>
              <w:rPr>
                <w:sz w:val="22"/>
                <w:szCs w:val="22"/>
                <w:lang w:val="en-US"/>
              </w:rPr>
            </w:pPr>
            <w:r w:rsidRPr="000D4E5B">
              <w:rPr>
                <w:sz w:val="22"/>
                <w:szCs w:val="22"/>
              </w:rPr>
              <w:t>30:62 (48)</w:t>
            </w:r>
          </w:p>
        </w:tc>
      </w:tr>
      <w:tr w:rsidR="00D44BBC" w:rsidRPr="000D4E5B" w14:paraId="03929036"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6586A73F" w14:textId="77777777" w:rsidR="00D44BBC" w:rsidRPr="000D4E5B" w:rsidRDefault="00D44BBC" w:rsidP="007D1EB3">
            <w:pPr>
              <w:pStyle w:val="A-Single"/>
              <w:rPr>
                <w:sz w:val="22"/>
                <w:szCs w:val="22"/>
                <w:lang w:val="en-US"/>
              </w:rPr>
            </w:pPr>
            <w:r w:rsidRPr="000D4E5B">
              <w:rPr>
                <w:sz w:val="22"/>
                <w:szCs w:val="22"/>
              </w:rPr>
              <w:t>Median time (months)</w:t>
            </w:r>
          </w:p>
        </w:tc>
        <w:tc>
          <w:tcPr>
            <w:tcW w:w="2322" w:type="dxa"/>
            <w:tcBorders>
              <w:top w:val="nil"/>
              <w:left w:val="nil"/>
              <w:bottom w:val="nil"/>
              <w:right w:val="nil"/>
            </w:tcBorders>
            <w:shd w:val="clear" w:color="auto" w:fill="auto"/>
            <w:vAlign w:val="center"/>
          </w:tcPr>
          <w:p w14:paraId="79CB1677" w14:textId="77777777" w:rsidR="00D44BBC" w:rsidRPr="000D4E5B" w:rsidRDefault="00D44BBC" w:rsidP="007D1EB3">
            <w:pPr>
              <w:pStyle w:val="A-Single"/>
              <w:jc w:val="center"/>
              <w:rPr>
                <w:sz w:val="22"/>
                <w:szCs w:val="22"/>
                <w:lang w:val="en-US"/>
              </w:rPr>
            </w:pPr>
            <w:r w:rsidRPr="000D4E5B">
              <w:rPr>
                <w:sz w:val="22"/>
                <w:szCs w:val="22"/>
              </w:rPr>
              <w:t>13.2</w:t>
            </w:r>
          </w:p>
        </w:tc>
        <w:tc>
          <w:tcPr>
            <w:tcW w:w="2322" w:type="dxa"/>
            <w:tcBorders>
              <w:top w:val="nil"/>
              <w:left w:val="nil"/>
              <w:bottom w:val="nil"/>
            </w:tcBorders>
            <w:shd w:val="clear" w:color="auto" w:fill="auto"/>
            <w:vAlign w:val="center"/>
          </w:tcPr>
          <w:p w14:paraId="7F29D9B9" w14:textId="77777777" w:rsidR="00D44BBC" w:rsidRPr="000D4E5B" w:rsidRDefault="00D44BBC" w:rsidP="007D1EB3">
            <w:pPr>
              <w:pStyle w:val="A-Single"/>
              <w:jc w:val="center"/>
              <w:rPr>
                <w:sz w:val="22"/>
                <w:szCs w:val="22"/>
                <w:lang w:val="en-US"/>
              </w:rPr>
            </w:pPr>
            <w:r w:rsidRPr="000D4E5B">
              <w:rPr>
                <w:sz w:val="22"/>
                <w:szCs w:val="22"/>
                <w:lang w:val="en-US"/>
              </w:rPr>
              <w:t>9.2</w:t>
            </w:r>
          </w:p>
        </w:tc>
      </w:tr>
      <w:tr w:rsidR="00D44BBC" w:rsidRPr="000D4E5B" w14:paraId="7144FA68"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28B320CA" w14:textId="77777777" w:rsidR="00D44BBC" w:rsidRPr="000D4E5B" w:rsidRDefault="00D44BBC" w:rsidP="007D1EB3">
            <w:pPr>
              <w:pStyle w:val="A-Single"/>
              <w:rPr>
                <w:sz w:val="22"/>
                <w:szCs w:val="22"/>
                <w:lang w:val="en-US"/>
              </w:rPr>
            </w:pPr>
            <w:r w:rsidRPr="000D4E5B">
              <w:rPr>
                <w:sz w:val="22"/>
                <w:szCs w:val="22"/>
              </w:rPr>
              <w:t>HR (95% CI)</w:t>
            </w:r>
            <w:proofErr w:type="spellStart"/>
            <w:r w:rsidRPr="000D4E5B">
              <w:rPr>
                <w:sz w:val="22"/>
                <w:szCs w:val="22"/>
                <w:vertAlign w:val="superscript"/>
              </w:rPr>
              <w:t>a,b</w:t>
            </w:r>
            <w:proofErr w:type="spellEnd"/>
          </w:p>
        </w:tc>
        <w:tc>
          <w:tcPr>
            <w:tcW w:w="4644" w:type="dxa"/>
            <w:gridSpan w:val="2"/>
            <w:tcBorders>
              <w:top w:val="nil"/>
              <w:left w:val="nil"/>
              <w:bottom w:val="nil"/>
            </w:tcBorders>
            <w:shd w:val="clear" w:color="auto" w:fill="auto"/>
            <w:vAlign w:val="center"/>
          </w:tcPr>
          <w:p w14:paraId="7AFDAF8F" w14:textId="77777777" w:rsidR="00D44BBC" w:rsidRPr="000D4E5B" w:rsidRDefault="00D44BBC" w:rsidP="007D1EB3">
            <w:pPr>
              <w:pStyle w:val="A-Single"/>
              <w:jc w:val="center"/>
              <w:rPr>
                <w:sz w:val="22"/>
                <w:szCs w:val="22"/>
                <w:lang w:val="en-US"/>
              </w:rPr>
            </w:pPr>
            <w:r w:rsidRPr="000D4E5B">
              <w:rPr>
                <w:sz w:val="22"/>
                <w:szCs w:val="22"/>
              </w:rPr>
              <w:t>0.76 (0.46-1.23)</w:t>
            </w:r>
          </w:p>
        </w:tc>
      </w:tr>
      <w:tr w:rsidR="00D44BBC" w:rsidRPr="000D4E5B" w14:paraId="0206D0F4" w14:textId="77777777" w:rsidTr="00DA4D88">
        <w:tblPrEx>
          <w:tblBorders>
            <w:left w:val="none" w:sz="0" w:space="0" w:color="auto"/>
            <w:right w:val="none" w:sz="0" w:space="0" w:color="auto"/>
          </w:tblBorders>
        </w:tblPrEx>
        <w:tc>
          <w:tcPr>
            <w:tcW w:w="4678" w:type="dxa"/>
            <w:tcBorders>
              <w:top w:val="nil"/>
              <w:bottom w:val="single" w:sz="6" w:space="0" w:color="auto"/>
              <w:right w:val="nil"/>
            </w:tcBorders>
            <w:shd w:val="clear" w:color="auto" w:fill="auto"/>
          </w:tcPr>
          <w:p w14:paraId="7E47528D" w14:textId="77777777" w:rsidR="00D44BBC" w:rsidRPr="000D4E5B" w:rsidRDefault="00D44BBC" w:rsidP="007D1EB3">
            <w:pPr>
              <w:pStyle w:val="A-Single"/>
              <w:rPr>
                <w:sz w:val="22"/>
                <w:szCs w:val="22"/>
                <w:lang w:val="en-US"/>
              </w:rPr>
            </w:pPr>
            <w:r w:rsidRPr="000D4E5B">
              <w:rPr>
                <w:sz w:val="22"/>
                <w:szCs w:val="22"/>
              </w:rPr>
              <w:t>P value</w:t>
            </w:r>
            <w:r w:rsidRPr="000D4E5B">
              <w:rPr>
                <w:sz w:val="22"/>
                <w:szCs w:val="22"/>
                <w:vertAlign w:val="superscript"/>
              </w:rPr>
              <w:t>*</w:t>
            </w:r>
            <w:r w:rsidRPr="000D4E5B">
              <w:rPr>
                <w:sz w:val="22"/>
                <w:szCs w:val="22"/>
              </w:rPr>
              <w:t xml:space="preserve"> (2-sided)</w:t>
            </w:r>
          </w:p>
        </w:tc>
        <w:tc>
          <w:tcPr>
            <w:tcW w:w="4644" w:type="dxa"/>
            <w:gridSpan w:val="2"/>
            <w:tcBorders>
              <w:top w:val="nil"/>
              <w:left w:val="nil"/>
              <w:bottom w:val="single" w:sz="6" w:space="0" w:color="auto"/>
            </w:tcBorders>
            <w:shd w:val="clear" w:color="auto" w:fill="auto"/>
            <w:vAlign w:val="center"/>
          </w:tcPr>
          <w:p w14:paraId="1136E549" w14:textId="77777777" w:rsidR="00D44BBC" w:rsidRPr="000D4E5B" w:rsidRDefault="00D44BBC" w:rsidP="007D1EB3">
            <w:pPr>
              <w:pStyle w:val="A-Single"/>
              <w:jc w:val="center"/>
              <w:rPr>
                <w:sz w:val="22"/>
                <w:szCs w:val="22"/>
                <w:lang w:val="en-US"/>
              </w:rPr>
            </w:pPr>
            <w:r w:rsidRPr="000D4E5B">
              <w:rPr>
                <w:sz w:val="22"/>
                <w:szCs w:val="22"/>
              </w:rPr>
              <w:t>p=0.2597</w:t>
            </w:r>
          </w:p>
        </w:tc>
      </w:tr>
      <w:tr w:rsidR="00D44BBC" w:rsidRPr="00A15250" w14:paraId="1AD8B5FF" w14:textId="77777777" w:rsidTr="00F201FA">
        <w:tblPrEx>
          <w:tblBorders>
            <w:left w:val="none" w:sz="0" w:space="0" w:color="auto"/>
            <w:right w:val="none" w:sz="0" w:space="0" w:color="auto"/>
          </w:tblBorders>
        </w:tblPrEx>
        <w:tc>
          <w:tcPr>
            <w:tcW w:w="9322" w:type="dxa"/>
            <w:gridSpan w:val="3"/>
            <w:tcBorders>
              <w:top w:val="single" w:sz="6" w:space="0" w:color="auto"/>
              <w:bottom w:val="single" w:sz="4" w:space="0" w:color="auto"/>
            </w:tcBorders>
            <w:shd w:val="clear" w:color="auto" w:fill="F2F2F2" w:themeFill="background1" w:themeFillShade="F2"/>
          </w:tcPr>
          <w:p w14:paraId="5A8AD34A" w14:textId="77777777" w:rsidR="00D44BBC" w:rsidRPr="00A15250" w:rsidRDefault="00D44BBC" w:rsidP="00F201FA">
            <w:pPr>
              <w:pStyle w:val="A-TableText"/>
              <w:spacing w:line="240" w:lineRule="auto"/>
              <w:rPr>
                <w:rFonts w:ascii="Times New Roman" w:hAnsi="Times New Roman"/>
                <w:b/>
                <w:bCs/>
                <w:szCs w:val="22"/>
              </w:rPr>
            </w:pPr>
            <w:bookmarkStart w:id="44" w:name="_Hlk7775412"/>
            <w:r w:rsidRPr="00A15250">
              <w:rPr>
                <w:rFonts w:ascii="Times New Roman" w:hAnsi="Times New Roman"/>
                <w:b/>
                <w:bCs/>
                <w:szCs w:val="22"/>
              </w:rPr>
              <w:t>TFST (68% maturity)</w:t>
            </w:r>
          </w:p>
        </w:tc>
      </w:tr>
      <w:tr w:rsidR="00D44BBC" w:rsidRPr="000D4E5B" w14:paraId="462BAB0E" w14:textId="77777777" w:rsidTr="00DA4D88">
        <w:tblPrEx>
          <w:tblBorders>
            <w:left w:val="none" w:sz="0" w:space="0" w:color="auto"/>
            <w:right w:val="none" w:sz="0" w:space="0" w:color="auto"/>
          </w:tblBorders>
        </w:tblPrEx>
        <w:tc>
          <w:tcPr>
            <w:tcW w:w="4678" w:type="dxa"/>
            <w:tcBorders>
              <w:top w:val="single" w:sz="4" w:space="0" w:color="auto"/>
              <w:bottom w:val="nil"/>
              <w:right w:val="nil"/>
            </w:tcBorders>
            <w:shd w:val="clear" w:color="auto" w:fill="auto"/>
          </w:tcPr>
          <w:p w14:paraId="06CAC8A3" w14:textId="77777777" w:rsidR="00D44BBC" w:rsidRPr="000D4E5B" w:rsidRDefault="00D44BBC" w:rsidP="007D1EB3">
            <w:pPr>
              <w:pStyle w:val="A-Single"/>
              <w:rPr>
                <w:sz w:val="22"/>
                <w:szCs w:val="22"/>
              </w:rPr>
            </w:pPr>
            <w:r w:rsidRPr="000D4E5B">
              <w:rPr>
                <w:sz w:val="22"/>
                <w:szCs w:val="22"/>
              </w:rPr>
              <w:t>Number of events: Total number of patients (%)</w:t>
            </w:r>
          </w:p>
        </w:tc>
        <w:tc>
          <w:tcPr>
            <w:tcW w:w="2322" w:type="dxa"/>
            <w:tcBorders>
              <w:top w:val="single" w:sz="4" w:space="0" w:color="auto"/>
              <w:left w:val="nil"/>
              <w:bottom w:val="nil"/>
              <w:right w:val="nil"/>
            </w:tcBorders>
            <w:shd w:val="clear" w:color="auto" w:fill="auto"/>
            <w:vAlign w:val="center"/>
          </w:tcPr>
          <w:p w14:paraId="2C7FD641" w14:textId="77777777" w:rsidR="00D44BBC" w:rsidRPr="000D4E5B" w:rsidRDefault="00D44BBC" w:rsidP="007D1EB3">
            <w:pPr>
              <w:pStyle w:val="A-Single"/>
              <w:jc w:val="center"/>
              <w:rPr>
                <w:sz w:val="22"/>
                <w:szCs w:val="22"/>
              </w:rPr>
            </w:pPr>
            <w:r w:rsidRPr="000D4E5B">
              <w:rPr>
                <w:sz w:val="22"/>
                <w:szCs w:val="22"/>
                <w:lang w:val="en-US"/>
              </w:rPr>
              <w:t>58:92 (63)</w:t>
            </w:r>
          </w:p>
        </w:tc>
        <w:tc>
          <w:tcPr>
            <w:tcW w:w="2322" w:type="dxa"/>
            <w:tcBorders>
              <w:top w:val="single" w:sz="4" w:space="0" w:color="auto"/>
              <w:left w:val="nil"/>
              <w:bottom w:val="nil"/>
            </w:tcBorders>
            <w:shd w:val="clear" w:color="auto" w:fill="auto"/>
            <w:vAlign w:val="center"/>
          </w:tcPr>
          <w:p w14:paraId="3F4B4891" w14:textId="77777777" w:rsidR="00D44BBC" w:rsidRPr="000D4E5B" w:rsidRDefault="00D44BBC" w:rsidP="007D1EB3">
            <w:pPr>
              <w:pStyle w:val="A-Single"/>
              <w:jc w:val="center"/>
              <w:rPr>
                <w:sz w:val="22"/>
                <w:szCs w:val="22"/>
              </w:rPr>
            </w:pPr>
            <w:r w:rsidRPr="000D4E5B">
              <w:rPr>
                <w:sz w:val="22"/>
                <w:szCs w:val="22"/>
              </w:rPr>
              <w:t>46:62 (76)</w:t>
            </w:r>
          </w:p>
        </w:tc>
      </w:tr>
      <w:tr w:rsidR="00D44BBC" w:rsidRPr="000D4E5B" w14:paraId="2CFE4D7D"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144E23C3" w14:textId="77777777" w:rsidR="00D44BBC" w:rsidRPr="000D4E5B" w:rsidRDefault="00D44BBC" w:rsidP="007D1EB3">
            <w:pPr>
              <w:pStyle w:val="A-Single"/>
              <w:rPr>
                <w:sz w:val="22"/>
                <w:szCs w:val="22"/>
              </w:rPr>
            </w:pPr>
            <w:r w:rsidRPr="000D4E5B">
              <w:rPr>
                <w:sz w:val="22"/>
                <w:szCs w:val="22"/>
              </w:rPr>
              <w:t>Median time (months)</w:t>
            </w:r>
          </w:p>
        </w:tc>
        <w:tc>
          <w:tcPr>
            <w:tcW w:w="2322" w:type="dxa"/>
            <w:tcBorders>
              <w:top w:val="nil"/>
              <w:left w:val="nil"/>
              <w:bottom w:val="nil"/>
              <w:right w:val="nil"/>
            </w:tcBorders>
            <w:shd w:val="clear" w:color="auto" w:fill="auto"/>
            <w:vAlign w:val="center"/>
          </w:tcPr>
          <w:p w14:paraId="14BEA3FE" w14:textId="77777777" w:rsidR="00D44BBC" w:rsidRPr="000D4E5B" w:rsidRDefault="00D44BBC" w:rsidP="007D1EB3">
            <w:pPr>
              <w:pStyle w:val="A-Single"/>
              <w:jc w:val="center"/>
              <w:rPr>
                <w:sz w:val="22"/>
                <w:szCs w:val="22"/>
              </w:rPr>
            </w:pPr>
            <w:r w:rsidRPr="000D4E5B">
              <w:rPr>
                <w:sz w:val="22"/>
                <w:szCs w:val="22"/>
              </w:rPr>
              <w:t>8.6</w:t>
            </w:r>
          </w:p>
        </w:tc>
        <w:tc>
          <w:tcPr>
            <w:tcW w:w="2322" w:type="dxa"/>
            <w:tcBorders>
              <w:top w:val="nil"/>
              <w:left w:val="nil"/>
              <w:bottom w:val="nil"/>
            </w:tcBorders>
            <w:shd w:val="clear" w:color="auto" w:fill="auto"/>
            <w:vAlign w:val="center"/>
          </w:tcPr>
          <w:p w14:paraId="70A60AEE" w14:textId="77777777" w:rsidR="00D44BBC" w:rsidRPr="000D4E5B" w:rsidRDefault="00D44BBC" w:rsidP="007D1EB3">
            <w:pPr>
              <w:pStyle w:val="A-Single"/>
              <w:jc w:val="center"/>
              <w:rPr>
                <w:sz w:val="22"/>
                <w:szCs w:val="22"/>
              </w:rPr>
            </w:pPr>
            <w:r w:rsidRPr="000D4E5B">
              <w:rPr>
                <w:sz w:val="22"/>
                <w:szCs w:val="22"/>
              </w:rPr>
              <w:t>5.8</w:t>
            </w:r>
          </w:p>
        </w:tc>
      </w:tr>
      <w:tr w:rsidR="00D44BBC" w:rsidRPr="000D4E5B" w14:paraId="0BFBD0F0"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32EF8628" w14:textId="77777777" w:rsidR="00D44BBC" w:rsidRPr="000D4E5B" w:rsidRDefault="00D44BBC" w:rsidP="007D1EB3">
            <w:pPr>
              <w:pStyle w:val="A-Single"/>
              <w:rPr>
                <w:sz w:val="22"/>
                <w:szCs w:val="22"/>
              </w:rPr>
            </w:pPr>
            <w:r w:rsidRPr="000D4E5B">
              <w:rPr>
                <w:sz w:val="22"/>
                <w:szCs w:val="22"/>
              </w:rPr>
              <w:t>HR (95% CI)</w:t>
            </w:r>
            <w:proofErr w:type="spellStart"/>
            <w:r w:rsidRPr="000D4E5B">
              <w:rPr>
                <w:sz w:val="22"/>
                <w:szCs w:val="22"/>
                <w:vertAlign w:val="superscript"/>
              </w:rPr>
              <w:t>b,c</w:t>
            </w:r>
            <w:proofErr w:type="spellEnd"/>
          </w:p>
        </w:tc>
        <w:tc>
          <w:tcPr>
            <w:tcW w:w="4644" w:type="dxa"/>
            <w:gridSpan w:val="2"/>
            <w:tcBorders>
              <w:top w:val="nil"/>
              <w:left w:val="nil"/>
              <w:bottom w:val="nil"/>
            </w:tcBorders>
            <w:shd w:val="clear" w:color="auto" w:fill="auto"/>
            <w:vAlign w:val="center"/>
          </w:tcPr>
          <w:p w14:paraId="29FA8CE4" w14:textId="77777777" w:rsidR="00D44BBC" w:rsidRPr="000D4E5B" w:rsidRDefault="00D44BBC" w:rsidP="007D1EB3">
            <w:pPr>
              <w:pStyle w:val="A-Single"/>
              <w:jc w:val="center"/>
              <w:rPr>
                <w:sz w:val="22"/>
                <w:szCs w:val="22"/>
              </w:rPr>
            </w:pPr>
            <w:r w:rsidRPr="000D4E5B">
              <w:rPr>
                <w:sz w:val="22"/>
                <w:szCs w:val="22"/>
              </w:rPr>
              <w:t>0.50 (0.33-0.76)</w:t>
            </w:r>
          </w:p>
        </w:tc>
      </w:tr>
      <w:tr w:rsidR="00D44BBC" w:rsidRPr="000D4E5B" w14:paraId="55F56C5C" w14:textId="77777777" w:rsidTr="00DA4D88">
        <w:tblPrEx>
          <w:tblBorders>
            <w:left w:val="none" w:sz="0" w:space="0" w:color="auto"/>
            <w:right w:val="none" w:sz="0" w:space="0" w:color="auto"/>
          </w:tblBorders>
        </w:tblPrEx>
        <w:tc>
          <w:tcPr>
            <w:tcW w:w="4678" w:type="dxa"/>
            <w:tcBorders>
              <w:top w:val="nil"/>
              <w:bottom w:val="single" w:sz="6" w:space="0" w:color="auto"/>
              <w:right w:val="nil"/>
            </w:tcBorders>
            <w:shd w:val="clear" w:color="auto" w:fill="auto"/>
          </w:tcPr>
          <w:p w14:paraId="568B2CF3" w14:textId="77777777" w:rsidR="00D44BBC" w:rsidRPr="000D4E5B" w:rsidRDefault="00D44BBC" w:rsidP="007D1EB3">
            <w:pPr>
              <w:pStyle w:val="A-Single"/>
              <w:rPr>
                <w:sz w:val="22"/>
                <w:szCs w:val="22"/>
              </w:rPr>
            </w:pPr>
            <w:r w:rsidRPr="000D4E5B">
              <w:rPr>
                <w:sz w:val="22"/>
                <w:szCs w:val="22"/>
              </w:rPr>
              <w:t>P value</w:t>
            </w:r>
            <w:r w:rsidRPr="000D4E5B">
              <w:rPr>
                <w:b/>
                <w:bCs/>
                <w:sz w:val="22"/>
                <w:szCs w:val="22"/>
                <w:vertAlign w:val="superscript"/>
              </w:rPr>
              <w:t>*</w:t>
            </w:r>
            <w:r w:rsidRPr="000D4E5B">
              <w:rPr>
                <w:sz w:val="22"/>
                <w:szCs w:val="22"/>
              </w:rPr>
              <w:t xml:space="preserve"> (2-sided)</w:t>
            </w:r>
          </w:p>
        </w:tc>
        <w:tc>
          <w:tcPr>
            <w:tcW w:w="4644" w:type="dxa"/>
            <w:gridSpan w:val="2"/>
            <w:tcBorders>
              <w:top w:val="nil"/>
              <w:left w:val="nil"/>
              <w:bottom w:val="single" w:sz="6" w:space="0" w:color="auto"/>
            </w:tcBorders>
            <w:shd w:val="clear" w:color="auto" w:fill="auto"/>
            <w:vAlign w:val="center"/>
          </w:tcPr>
          <w:p w14:paraId="34485519" w14:textId="77777777" w:rsidR="00D44BBC" w:rsidRPr="000D4E5B" w:rsidRDefault="00D44BBC" w:rsidP="007D1EB3">
            <w:pPr>
              <w:pStyle w:val="A-Single"/>
              <w:jc w:val="center"/>
              <w:rPr>
                <w:sz w:val="22"/>
                <w:szCs w:val="22"/>
              </w:rPr>
            </w:pPr>
            <w:r w:rsidRPr="000D4E5B">
              <w:rPr>
                <w:sz w:val="22"/>
                <w:szCs w:val="22"/>
              </w:rPr>
              <w:t>p=0.0013</w:t>
            </w:r>
          </w:p>
        </w:tc>
      </w:tr>
      <w:bookmarkEnd w:id="44"/>
      <w:tr w:rsidR="00D44BBC" w:rsidRPr="00A15250" w14:paraId="29DFA4F6" w14:textId="77777777" w:rsidTr="00F201FA">
        <w:tblPrEx>
          <w:tblBorders>
            <w:left w:val="none" w:sz="0" w:space="0" w:color="auto"/>
            <w:right w:val="none" w:sz="0" w:space="0" w:color="auto"/>
          </w:tblBorders>
        </w:tblPrEx>
        <w:tc>
          <w:tcPr>
            <w:tcW w:w="9322" w:type="dxa"/>
            <w:gridSpan w:val="3"/>
            <w:tcBorders>
              <w:top w:val="single" w:sz="6" w:space="0" w:color="auto"/>
              <w:bottom w:val="single" w:sz="4" w:space="0" w:color="auto"/>
            </w:tcBorders>
            <w:shd w:val="clear" w:color="auto" w:fill="F2F2F2" w:themeFill="background1" w:themeFillShade="F2"/>
          </w:tcPr>
          <w:p w14:paraId="434ADBD0" w14:textId="77777777" w:rsidR="00D44BBC" w:rsidRPr="00A15250" w:rsidRDefault="00D44BBC" w:rsidP="00F201FA">
            <w:pPr>
              <w:pStyle w:val="A-TableText"/>
              <w:spacing w:line="240" w:lineRule="auto"/>
              <w:rPr>
                <w:rFonts w:ascii="Times New Roman" w:hAnsi="Times New Roman"/>
                <w:b/>
                <w:bCs/>
                <w:szCs w:val="22"/>
              </w:rPr>
            </w:pPr>
            <w:r w:rsidRPr="00A15250">
              <w:rPr>
                <w:rFonts w:ascii="Times New Roman" w:hAnsi="Times New Roman"/>
                <w:b/>
                <w:bCs/>
                <w:szCs w:val="22"/>
              </w:rPr>
              <w:t>TDT (73% maturity)</w:t>
            </w:r>
          </w:p>
        </w:tc>
      </w:tr>
      <w:tr w:rsidR="00D44BBC" w:rsidRPr="000D4E5B" w14:paraId="65CBD455" w14:textId="77777777" w:rsidTr="00DA4D88">
        <w:tblPrEx>
          <w:tblBorders>
            <w:left w:val="none" w:sz="0" w:space="0" w:color="auto"/>
            <w:right w:val="none" w:sz="0" w:space="0" w:color="auto"/>
          </w:tblBorders>
        </w:tblPrEx>
        <w:tc>
          <w:tcPr>
            <w:tcW w:w="4678" w:type="dxa"/>
            <w:tcBorders>
              <w:top w:val="single" w:sz="4" w:space="0" w:color="auto"/>
              <w:bottom w:val="nil"/>
              <w:right w:val="nil"/>
            </w:tcBorders>
            <w:shd w:val="clear" w:color="auto" w:fill="auto"/>
          </w:tcPr>
          <w:p w14:paraId="03C84883" w14:textId="77777777" w:rsidR="00D44BBC" w:rsidRPr="000D4E5B" w:rsidRDefault="00D44BBC" w:rsidP="007D1EB3">
            <w:pPr>
              <w:pStyle w:val="A-Single"/>
              <w:rPr>
                <w:sz w:val="22"/>
                <w:szCs w:val="22"/>
              </w:rPr>
            </w:pPr>
            <w:r w:rsidRPr="000D4E5B">
              <w:rPr>
                <w:sz w:val="22"/>
                <w:szCs w:val="22"/>
              </w:rPr>
              <w:t>Number of events: Total number of patients (%)</w:t>
            </w:r>
          </w:p>
        </w:tc>
        <w:tc>
          <w:tcPr>
            <w:tcW w:w="2322" w:type="dxa"/>
            <w:tcBorders>
              <w:top w:val="single" w:sz="4" w:space="0" w:color="auto"/>
              <w:left w:val="nil"/>
              <w:bottom w:val="nil"/>
              <w:right w:val="nil"/>
            </w:tcBorders>
            <w:shd w:val="clear" w:color="auto" w:fill="auto"/>
            <w:vAlign w:val="center"/>
          </w:tcPr>
          <w:p w14:paraId="35928695" w14:textId="77777777" w:rsidR="00D44BBC" w:rsidRPr="000D4E5B" w:rsidRDefault="00D44BBC" w:rsidP="007D1EB3">
            <w:pPr>
              <w:pStyle w:val="A-Single"/>
              <w:jc w:val="center"/>
              <w:rPr>
                <w:sz w:val="22"/>
                <w:szCs w:val="22"/>
              </w:rPr>
            </w:pPr>
            <w:r w:rsidRPr="000D4E5B">
              <w:rPr>
                <w:sz w:val="22"/>
                <w:szCs w:val="22"/>
                <w:lang w:val="en-US"/>
              </w:rPr>
              <w:t>60:92 (65)</w:t>
            </w:r>
          </w:p>
        </w:tc>
        <w:tc>
          <w:tcPr>
            <w:tcW w:w="2322" w:type="dxa"/>
            <w:tcBorders>
              <w:top w:val="single" w:sz="4" w:space="0" w:color="auto"/>
              <w:left w:val="nil"/>
              <w:bottom w:val="nil"/>
            </w:tcBorders>
            <w:shd w:val="clear" w:color="auto" w:fill="auto"/>
            <w:vAlign w:val="center"/>
          </w:tcPr>
          <w:p w14:paraId="5141D66C" w14:textId="77777777" w:rsidR="00D44BBC" w:rsidRPr="000D4E5B" w:rsidRDefault="00D44BBC" w:rsidP="007D1EB3">
            <w:pPr>
              <w:pStyle w:val="A-Single"/>
              <w:jc w:val="center"/>
              <w:rPr>
                <w:sz w:val="22"/>
                <w:szCs w:val="22"/>
              </w:rPr>
            </w:pPr>
            <w:r w:rsidRPr="000D4E5B">
              <w:rPr>
                <w:sz w:val="22"/>
                <w:szCs w:val="22"/>
              </w:rPr>
              <w:t>53:62 (86)</w:t>
            </w:r>
          </w:p>
        </w:tc>
      </w:tr>
      <w:tr w:rsidR="00D44BBC" w:rsidRPr="000D4E5B" w14:paraId="01DF6287"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579DBEAF" w14:textId="77777777" w:rsidR="00D44BBC" w:rsidRPr="000D4E5B" w:rsidRDefault="00D44BBC" w:rsidP="007D1EB3">
            <w:pPr>
              <w:pStyle w:val="A-Single"/>
              <w:rPr>
                <w:sz w:val="22"/>
                <w:szCs w:val="22"/>
              </w:rPr>
            </w:pPr>
            <w:r w:rsidRPr="000D4E5B">
              <w:rPr>
                <w:sz w:val="22"/>
                <w:szCs w:val="22"/>
              </w:rPr>
              <w:t>Median time (months)</w:t>
            </w:r>
          </w:p>
        </w:tc>
        <w:tc>
          <w:tcPr>
            <w:tcW w:w="2322" w:type="dxa"/>
            <w:tcBorders>
              <w:top w:val="nil"/>
              <w:left w:val="nil"/>
              <w:bottom w:val="nil"/>
              <w:right w:val="nil"/>
            </w:tcBorders>
            <w:shd w:val="clear" w:color="auto" w:fill="auto"/>
            <w:vAlign w:val="center"/>
          </w:tcPr>
          <w:p w14:paraId="59A91870" w14:textId="77777777" w:rsidR="00D44BBC" w:rsidRPr="000D4E5B" w:rsidRDefault="00D44BBC" w:rsidP="007D1EB3">
            <w:pPr>
              <w:pStyle w:val="A-Single"/>
              <w:jc w:val="center"/>
              <w:rPr>
                <w:sz w:val="22"/>
                <w:szCs w:val="22"/>
              </w:rPr>
            </w:pPr>
            <w:r w:rsidRPr="000D4E5B">
              <w:rPr>
                <w:sz w:val="22"/>
                <w:szCs w:val="22"/>
              </w:rPr>
              <w:t>7.2</w:t>
            </w:r>
          </w:p>
        </w:tc>
        <w:tc>
          <w:tcPr>
            <w:tcW w:w="2322" w:type="dxa"/>
            <w:tcBorders>
              <w:top w:val="nil"/>
              <w:left w:val="nil"/>
              <w:bottom w:val="nil"/>
            </w:tcBorders>
            <w:shd w:val="clear" w:color="auto" w:fill="auto"/>
            <w:vAlign w:val="center"/>
          </w:tcPr>
          <w:p w14:paraId="471B6ADC" w14:textId="77777777" w:rsidR="00D44BBC" w:rsidRPr="000D4E5B" w:rsidRDefault="00D44BBC" w:rsidP="007D1EB3">
            <w:pPr>
              <w:pStyle w:val="A-Single"/>
              <w:jc w:val="center"/>
              <w:rPr>
                <w:sz w:val="22"/>
                <w:szCs w:val="22"/>
              </w:rPr>
            </w:pPr>
            <w:r w:rsidRPr="000D4E5B">
              <w:rPr>
                <w:sz w:val="22"/>
                <w:szCs w:val="22"/>
              </w:rPr>
              <w:t>3.8</w:t>
            </w:r>
          </w:p>
        </w:tc>
      </w:tr>
      <w:tr w:rsidR="00D44BBC" w:rsidRPr="000D4E5B" w14:paraId="106D056F"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71D37808" w14:textId="77777777" w:rsidR="00D44BBC" w:rsidRPr="000D4E5B" w:rsidRDefault="00D44BBC" w:rsidP="007D1EB3">
            <w:pPr>
              <w:pStyle w:val="A-Single"/>
              <w:rPr>
                <w:sz w:val="22"/>
                <w:szCs w:val="22"/>
              </w:rPr>
            </w:pPr>
            <w:r w:rsidRPr="000D4E5B">
              <w:rPr>
                <w:sz w:val="22"/>
                <w:szCs w:val="22"/>
              </w:rPr>
              <w:t>HR (95% CI)</w:t>
            </w:r>
            <w:r w:rsidRPr="000D4E5B">
              <w:rPr>
                <w:sz w:val="22"/>
                <w:szCs w:val="22"/>
                <w:vertAlign w:val="superscript"/>
              </w:rPr>
              <w:t>b</w:t>
            </w:r>
          </w:p>
        </w:tc>
        <w:tc>
          <w:tcPr>
            <w:tcW w:w="4644" w:type="dxa"/>
            <w:gridSpan w:val="2"/>
            <w:tcBorders>
              <w:top w:val="nil"/>
              <w:left w:val="nil"/>
              <w:bottom w:val="nil"/>
            </w:tcBorders>
            <w:shd w:val="clear" w:color="auto" w:fill="auto"/>
            <w:vAlign w:val="center"/>
          </w:tcPr>
          <w:p w14:paraId="58B0C471" w14:textId="77777777" w:rsidR="00D44BBC" w:rsidRPr="000D4E5B" w:rsidRDefault="00D44BBC" w:rsidP="007D1EB3">
            <w:pPr>
              <w:pStyle w:val="A-Single"/>
              <w:jc w:val="center"/>
              <w:rPr>
                <w:sz w:val="22"/>
                <w:szCs w:val="22"/>
              </w:rPr>
            </w:pPr>
            <w:r w:rsidRPr="000D4E5B">
              <w:rPr>
                <w:sz w:val="22"/>
                <w:szCs w:val="22"/>
              </w:rPr>
              <w:t>0.45 (0.30-0.67)</w:t>
            </w:r>
          </w:p>
        </w:tc>
      </w:tr>
      <w:tr w:rsidR="00D44BBC" w:rsidRPr="000D4E5B" w14:paraId="65C8032B" w14:textId="77777777" w:rsidTr="00DA4D88">
        <w:tblPrEx>
          <w:tblBorders>
            <w:left w:val="none" w:sz="0" w:space="0" w:color="auto"/>
            <w:right w:val="none" w:sz="0" w:space="0" w:color="auto"/>
          </w:tblBorders>
        </w:tblPrEx>
        <w:tc>
          <w:tcPr>
            <w:tcW w:w="4678" w:type="dxa"/>
            <w:tcBorders>
              <w:top w:val="nil"/>
              <w:bottom w:val="single" w:sz="6" w:space="0" w:color="auto"/>
              <w:right w:val="nil"/>
            </w:tcBorders>
            <w:shd w:val="clear" w:color="auto" w:fill="auto"/>
          </w:tcPr>
          <w:p w14:paraId="417639C2" w14:textId="77777777" w:rsidR="00D44BBC" w:rsidRPr="000D4E5B" w:rsidRDefault="00D44BBC" w:rsidP="007D1EB3">
            <w:pPr>
              <w:pStyle w:val="A-Single"/>
              <w:rPr>
                <w:sz w:val="22"/>
                <w:szCs w:val="22"/>
              </w:rPr>
            </w:pPr>
            <w:r w:rsidRPr="000D4E5B">
              <w:rPr>
                <w:sz w:val="22"/>
                <w:szCs w:val="22"/>
              </w:rPr>
              <w:t>P value</w:t>
            </w:r>
            <w:r w:rsidRPr="000D4E5B">
              <w:rPr>
                <w:b/>
                <w:bCs/>
                <w:sz w:val="22"/>
                <w:szCs w:val="22"/>
                <w:vertAlign w:val="superscript"/>
              </w:rPr>
              <w:t>*</w:t>
            </w:r>
            <w:r w:rsidRPr="000D4E5B">
              <w:rPr>
                <w:sz w:val="22"/>
                <w:szCs w:val="22"/>
              </w:rPr>
              <w:t xml:space="preserve"> (2-sided)</w:t>
            </w:r>
          </w:p>
        </w:tc>
        <w:tc>
          <w:tcPr>
            <w:tcW w:w="4644" w:type="dxa"/>
            <w:gridSpan w:val="2"/>
            <w:tcBorders>
              <w:top w:val="nil"/>
              <w:left w:val="nil"/>
              <w:bottom w:val="single" w:sz="6" w:space="0" w:color="auto"/>
            </w:tcBorders>
            <w:shd w:val="clear" w:color="auto" w:fill="auto"/>
            <w:vAlign w:val="center"/>
          </w:tcPr>
          <w:p w14:paraId="6F92976C" w14:textId="77777777" w:rsidR="00D44BBC" w:rsidRPr="000D4E5B" w:rsidRDefault="00D44BBC" w:rsidP="007D1EB3">
            <w:pPr>
              <w:pStyle w:val="A-Single"/>
              <w:jc w:val="center"/>
              <w:rPr>
                <w:sz w:val="22"/>
                <w:szCs w:val="22"/>
              </w:rPr>
            </w:pPr>
            <w:r w:rsidRPr="000D4E5B">
              <w:rPr>
                <w:sz w:val="22"/>
                <w:szCs w:val="22"/>
              </w:rPr>
              <w:t>p=0.0001</w:t>
            </w:r>
          </w:p>
        </w:tc>
      </w:tr>
      <w:tr w:rsidR="00D44BBC" w:rsidRPr="00F201FA" w14:paraId="20810F29" w14:textId="77777777" w:rsidTr="00F201FA">
        <w:tblPrEx>
          <w:tblBorders>
            <w:left w:val="none" w:sz="0" w:space="0" w:color="auto"/>
            <w:right w:val="none" w:sz="0" w:space="0" w:color="auto"/>
          </w:tblBorders>
        </w:tblPrEx>
        <w:trPr>
          <w:trHeight w:val="211"/>
        </w:trPr>
        <w:tc>
          <w:tcPr>
            <w:tcW w:w="9322" w:type="dxa"/>
            <w:gridSpan w:val="3"/>
            <w:tcBorders>
              <w:top w:val="single" w:sz="6" w:space="0" w:color="auto"/>
              <w:bottom w:val="single" w:sz="4" w:space="0" w:color="auto"/>
            </w:tcBorders>
            <w:shd w:val="clear" w:color="auto" w:fill="F2F2F2" w:themeFill="background1" w:themeFillShade="F2"/>
          </w:tcPr>
          <w:p w14:paraId="452E690E" w14:textId="77777777" w:rsidR="00D44BBC" w:rsidRPr="00F201FA" w:rsidRDefault="00D44BBC" w:rsidP="00F201FA">
            <w:pPr>
              <w:pStyle w:val="A-TableText"/>
              <w:spacing w:line="240" w:lineRule="auto"/>
              <w:rPr>
                <w:rFonts w:ascii="Times New Roman" w:hAnsi="Times New Roman"/>
                <w:b/>
                <w:bCs/>
                <w:szCs w:val="22"/>
              </w:rPr>
            </w:pPr>
            <w:bookmarkStart w:id="45" w:name="_Hlk11401489"/>
            <w:r w:rsidRPr="00F201FA">
              <w:rPr>
                <w:rFonts w:ascii="Times New Roman" w:hAnsi="Times New Roman"/>
                <w:b/>
                <w:bCs/>
                <w:szCs w:val="22"/>
              </w:rPr>
              <w:t>ORR</w:t>
            </w:r>
          </w:p>
        </w:tc>
      </w:tr>
      <w:tr w:rsidR="00D44BBC" w:rsidRPr="000D4E5B" w14:paraId="3EF6C404" w14:textId="77777777" w:rsidTr="00DA4D88">
        <w:tblPrEx>
          <w:tblBorders>
            <w:left w:val="none" w:sz="0" w:space="0" w:color="auto"/>
            <w:right w:val="none" w:sz="0" w:space="0" w:color="auto"/>
          </w:tblBorders>
        </w:tblPrEx>
        <w:tc>
          <w:tcPr>
            <w:tcW w:w="4678" w:type="dxa"/>
            <w:tcBorders>
              <w:top w:val="single" w:sz="4" w:space="0" w:color="auto"/>
              <w:bottom w:val="nil"/>
              <w:right w:val="nil"/>
            </w:tcBorders>
            <w:shd w:val="clear" w:color="auto" w:fill="auto"/>
          </w:tcPr>
          <w:p w14:paraId="122F5FE7" w14:textId="77777777" w:rsidR="00D44BBC" w:rsidRPr="000D4E5B" w:rsidRDefault="00D44BBC" w:rsidP="007D1EB3">
            <w:pPr>
              <w:pStyle w:val="A-Single"/>
              <w:rPr>
                <w:sz w:val="22"/>
                <w:szCs w:val="22"/>
              </w:rPr>
            </w:pPr>
            <w:r w:rsidRPr="000D4E5B">
              <w:rPr>
                <w:sz w:val="22"/>
                <w:szCs w:val="22"/>
              </w:rPr>
              <w:t>Number of objective responders: total number of patients with measurable disease at baseline (%)</w:t>
            </w:r>
          </w:p>
        </w:tc>
        <w:tc>
          <w:tcPr>
            <w:tcW w:w="2322" w:type="dxa"/>
            <w:tcBorders>
              <w:top w:val="single" w:sz="4" w:space="0" w:color="auto"/>
              <w:left w:val="nil"/>
              <w:bottom w:val="nil"/>
              <w:right w:val="nil"/>
            </w:tcBorders>
            <w:shd w:val="clear" w:color="auto" w:fill="auto"/>
            <w:vAlign w:val="center"/>
          </w:tcPr>
          <w:p w14:paraId="3E7EE9C0" w14:textId="77777777" w:rsidR="00D44BBC" w:rsidRPr="000D4E5B" w:rsidRDefault="00D44BBC" w:rsidP="007D1EB3">
            <w:pPr>
              <w:pStyle w:val="A-Single"/>
              <w:jc w:val="center"/>
              <w:rPr>
                <w:sz w:val="22"/>
                <w:szCs w:val="22"/>
              </w:rPr>
            </w:pPr>
            <w:r w:rsidRPr="000D4E5B">
              <w:rPr>
                <w:sz w:val="22"/>
                <w:szCs w:val="22"/>
                <w:lang w:val="en-US"/>
              </w:rPr>
              <w:t>18:78 (23.1)</w:t>
            </w:r>
          </w:p>
        </w:tc>
        <w:tc>
          <w:tcPr>
            <w:tcW w:w="2322" w:type="dxa"/>
            <w:tcBorders>
              <w:top w:val="single" w:sz="4" w:space="0" w:color="auto"/>
              <w:left w:val="nil"/>
              <w:bottom w:val="nil"/>
            </w:tcBorders>
            <w:shd w:val="clear" w:color="auto" w:fill="auto"/>
            <w:vAlign w:val="center"/>
          </w:tcPr>
          <w:p w14:paraId="25DA3382" w14:textId="77777777" w:rsidR="00D44BBC" w:rsidRPr="000D4E5B" w:rsidRDefault="00D44BBC" w:rsidP="007D1EB3">
            <w:pPr>
              <w:pStyle w:val="A-Single"/>
              <w:jc w:val="center"/>
              <w:rPr>
                <w:sz w:val="22"/>
                <w:szCs w:val="22"/>
              </w:rPr>
            </w:pPr>
            <w:r w:rsidRPr="000D4E5B">
              <w:rPr>
                <w:sz w:val="22"/>
                <w:szCs w:val="22"/>
              </w:rPr>
              <w:t>6:52 (11.5)</w:t>
            </w:r>
          </w:p>
        </w:tc>
      </w:tr>
      <w:tr w:rsidR="00D44BBC" w:rsidRPr="000D4E5B" w14:paraId="2D5AC221"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1BCA935D" w14:textId="77777777" w:rsidR="00D44BBC" w:rsidRPr="000D4E5B" w:rsidRDefault="00D44BBC" w:rsidP="007D1EB3">
            <w:pPr>
              <w:pStyle w:val="A-Single"/>
              <w:rPr>
                <w:sz w:val="22"/>
                <w:szCs w:val="22"/>
              </w:rPr>
            </w:pPr>
            <w:r w:rsidRPr="000D4E5B">
              <w:rPr>
                <w:sz w:val="22"/>
                <w:szCs w:val="22"/>
              </w:rPr>
              <w:t>Complete response (%)</w:t>
            </w:r>
          </w:p>
        </w:tc>
        <w:tc>
          <w:tcPr>
            <w:tcW w:w="2322" w:type="dxa"/>
            <w:tcBorders>
              <w:top w:val="nil"/>
              <w:left w:val="nil"/>
              <w:bottom w:val="nil"/>
              <w:right w:val="nil"/>
            </w:tcBorders>
            <w:shd w:val="clear" w:color="auto" w:fill="auto"/>
            <w:vAlign w:val="center"/>
          </w:tcPr>
          <w:p w14:paraId="45841C52" w14:textId="77777777" w:rsidR="00D44BBC" w:rsidRPr="000D4E5B" w:rsidRDefault="00D44BBC" w:rsidP="007D1EB3">
            <w:pPr>
              <w:pStyle w:val="A-Single"/>
              <w:jc w:val="center"/>
              <w:rPr>
                <w:sz w:val="22"/>
                <w:szCs w:val="22"/>
              </w:rPr>
            </w:pPr>
            <w:r w:rsidRPr="000D4E5B">
              <w:rPr>
                <w:sz w:val="22"/>
                <w:szCs w:val="22"/>
              </w:rPr>
              <w:t>2 (2.6)</w:t>
            </w:r>
          </w:p>
        </w:tc>
        <w:tc>
          <w:tcPr>
            <w:tcW w:w="2322" w:type="dxa"/>
            <w:tcBorders>
              <w:top w:val="nil"/>
              <w:left w:val="nil"/>
              <w:bottom w:val="nil"/>
            </w:tcBorders>
            <w:shd w:val="clear" w:color="auto" w:fill="auto"/>
            <w:vAlign w:val="center"/>
          </w:tcPr>
          <w:p w14:paraId="783F3ED7" w14:textId="77777777" w:rsidR="00D44BBC" w:rsidRPr="000D4E5B" w:rsidRDefault="00D44BBC" w:rsidP="007D1EB3">
            <w:pPr>
              <w:pStyle w:val="A-Single"/>
              <w:jc w:val="center"/>
              <w:rPr>
                <w:sz w:val="22"/>
                <w:szCs w:val="22"/>
              </w:rPr>
            </w:pPr>
            <w:r w:rsidRPr="000D4E5B">
              <w:rPr>
                <w:sz w:val="22"/>
                <w:szCs w:val="22"/>
              </w:rPr>
              <w:t>0</w:t>
            </w:r>
          </w:p>
        </w:tc>
      </w:tr>
      <w:tr w:rsidR="00D44BBC" w:rsidRPr="000D4E5B" w14:paraId="5BFEFE7E"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0DD647EE" w14:textId="77777777" w:rsidR="00D44BBC" w:rsidRPr="000D4E5B" w:rsidRDefault="00D44BBC" w:rsidP="007D1EB3">
            <w:pPr>
              <w:pStyle w:val="A-Single"/>
              <w:rPr>
                <w:sz w:val="22"/>
                <w:szCs w:val="22"/>
              </w:rPr>
            </w:pPr>
            <w:r w:rsidRPr="000D4E5B">
              <w:rPr>
                <w:sz w:val="22"/>
                <w:szCs w:val="22"/>
              </w:rPr>
              <w:t>Partial response (%)</w:t>
            </w:r>
          </w:p>
        </w:tc>
        <w:tc>
          <w:tcPr>
            <w:tcW w:w="2322" w:type="dxa"/>
            <w:tcBorders>
              <w:top w:val="nil"/>
              <w:left w:val="nil"/>
              <w:bottom w:val="nil"/>
              <w:right w:val="nil"/>
            </w:tcBorders>
            <w:shd w:val="clear" w:color="auto" w:fill="auto"/>
            <w:vAlign w:val="center"/>
          </w:tcPr>
          <w:p w14:paraId="70922410" w14:textId="77777777" w:rsidR="00D44BBC" w:rsidRPr="000D4E5B" w:rsidRDefault="00D44BBC" w:rsidP="007D1EB3">
            <w:pPr>
              <w:pStyle w:val="A-Single"/>
              <w:jc w:val="center"/>
              <w:rPr>
                <w:sz w:val="22"/>
                <w:szCs w:val="22"/>
              </w:rPr>
            </w:pPr>
            <w:r w:rsidRPr="000D4E5B">
              <w:rPr>
                <w:sz w:val="22"/>
                <w:szCs w:val="22"/>
              </w:rPr>
              <w:t>16 (20.5)</w:t>
            </w:r>
          </w:p>
        </w:tc>
        <w:tc>
          <w:tcPr>
            <w:tcW w:w="2322" w:type="dxa"/>
            <w:tcBorders>
              <w:top w:val="nil"/>
              <w:left w:val="nil"/>
              <w:bottom w:val="nil"/>
            </w:tcBorders>
            <w:shd w:val="clear" w:color="auto" w:fill="auto"/>
            <w:vAlign w:val="center"/>
          </w:tcPr>
          <w:p w14:paraId="317E7944" w14:textId="77777777" w:rsidR="00D44BBC" w:rsidRPr="000D4E5B" w:rsidRDefault="00D44BBC" w:rsidP="007D1EB3">
            <w:pPr>
              <w:pStyle w:val="A-Single"/>
              <w:jc w:val="center"/>
              <w:rPr>
                <w:sz w:val="22"/>
                <w:szCs w:val="22"/>
              </w:rPr>
            </w:pPr>
            <w:r w:rsidRPr="000D4E5B">
              <w:rPr>
                <w:sz w:val="22"/>
                <w:szCs w:val="22"/>
              </w:rPr>
              <w:t>6 (11.5)</w:t>
            </w:r>
          </w:p>
        </w:tc>
      </w:tr>
      <w:tr w:rsidR="00D44BBC" w:rsidRPr="000D4E5B" w14:paraId="4F316E7A" w14:textId="77777777" w:rsidTr="007D1EB3">
        <w:tblPrEx>
          <w:tblBorders>
            <w:left w:val="none" w:sz="0" w:space="0" w:color="auto"/>
            <w:right w:val="none" w:sz="0" w:space="0" w:color="auto"/>
          </w:tblBorders>
        </w:tblPrEx>
        <w:tc>
          <w:tcPr>
            <w:tcW w:w="4678" w:type="dxa"/>
            <w:tcBorders>
              <w:top w:val="nil"/>
              <w:bottom w:val="nil"/>
              <w:right w:val="nil"/>
            </w:tcBorders>
            <w:shd w:val="clear" w:color="auto" w:fill="auto"/>
          </w:tcPr>
          <w:p w14:paraId="60760AFA" w14:textId="77777777" w:rsidR="00D44BBC" w:rsidRPr="000D4E5B" w:rsidRDefault="00D44BBC" w:rsidP="007D1EB3">
            <w:pPr>
              <w:pStyle w:val="A-Single"/>
              <w:rPr>
                <w:sz w:val="22"/>
                <w:szCs w:val="22"/>
              </w:rPr>
            </w:pPr>
            <w:r w:rsidRPr="000D4E5B">
              <w:rPr>
                <w:sz w:val="22"/>
                <w:szCs w:val="22"/>
              </w:rPr>
              <w:t>Odds ratio (95% CI)</w:t>
            </w:r>
          </w:p>
        </w:tc>
        <w:tc>
          <w:tcPr>
            <w:tcW w:w="4644" w:type="dxa"/>
            <w:gridSpan w:val="2"/>
            <w:tcBorders>
              <w:top w:val="nil"/>
              <w:left w:val="nil"/>
              <w:bottom w:val="nil"/>
            </w:tcBorders>
            <w:shd w:val="clear" w:color="auto" w:fill="auto"/>
            <w:vAlign w:val="center"/>
          </w:tcPr>
          <w:p w14:paraId="2B90058B" w14:textId="77777777" w:rsidR="00D44BBC" w:rsidRPr="000D4E5B" w:rsidRDefault="00D44BBC" w:rsidP="007D1EB3">
            <w:pPr>
              <w:pStyle w:val="A-Single"/>
              <w:jc w:val="center"/>
              <w:rPr>
                <w:sz w:val="22"/>
                <w:szCs w:val="22"/>
              </w:rPr>
            </w:pPr>
            <w:r w:rsidRPr="000D4E5B">
              <w:rPr>
                <w:sz w:val="22"/>
                <w:szCs w:val="22"/>
              </w:rPr>
              <w:t>2.30 (0.89, 6.76)</w:t>
            </w:r>
          </w:p>
        </w:tc>
      </w:tr>
      <w:tr w:rsidR="00D44BBC" w:rsidRPr="000D4E5B" w14:paraId="236F6AA9" w14:textId="77777777" w:rsidTr="00A15250">
        <w:tblPrEx>
          <w:tblBorders>
            <w:left w:val="none" w:sz="0" w:space="0" w:color="auto"/>
            <w:right w:val="none" w:sz="0" w:space="0" w:color="auto"/>
          </w:tblBorders>
        </w:tblPrEx>
        <w:tc>
          <w:tcPr>
            <w:tcW w:w="4678" w:type="dxa"/>
            <w:tcBorders>
              <w:top w:val="nil"/>
              <w:bottom w:val="single" w:sz="4" w:space="0" w:color="auto"/>
              <w:right w:val="nil"/>
            </w:tcBorders>
            <w:shd w:val="clear" w:color="auto" w:fill="auto"/>
          </w:tcPr>
          <w:p w14:paraId="36681503" w14:textId="77777777" w:rsidR="00D44BBC" w:rsidRPr="000D4E5B" w:rsidRDefault="00D44BBC" w:rsidP="007D1EB3">
            <w:pPr>
              <w:pStyle w:val="A-Single"/>
              <w:rPr>
                <w:sz w:val="22"/>
                <w:szCs w:val="22"/>
              </w:rPr>
            </w:pPr>
            <w:r w:rsidRPr="000D4E5B">
              <w:rPr>
                <w:sz w:val="22"/>
                <w:szCs w:val="22"/>
              </w:rPr>
              <w:t>P value</w:t>
            </w:r>
            <w:r w:rsidRPr="000D4E5B">
              <w:rPr>
                <w:b/>
                <w:bCs/>
                <w:sz w:val="22"/>
                <w:szCs w:val="22"/>
                <w:vertAlign w:val="superscript"/>
              </w:rPr>
              <w:t>*</w:t>
            </w:r>
            <w:r w:rsidRPr="000D4E5B">
              <w:rPr>
                <w:sz w:val="22"/>
                <w:szCs w:val="22"/>
              </w:rPr>
              <w:t xml:space="preserve"> (2-sided)</w:t>
            </w:r>
          </w:p>
        </w:tc>
        <w:tc>
          <w:tcPr>
            <w:tcW w:w="4644" w:type="dxa"/>
            <w:gridSpan w:val="2"/>
            <w:tcBorders>
              <w:top w:val="nil"/>
              <w:left w:val="nil"/>
              <w:bottom w:val="single" w:sz="4" w:space="0" w:color="auto"/>
            </w:tcBorders>
            <w:shd w:val="clear" w:color="auto" w:fill="auto"/>
            <w:vAlign w:val="center"/>
          </w:tcPr>
          <w:p w14:paraId="51FAF3FF" w14:textId="77777777" w:rsidR="00D44BBC" w:rsidRPr="000D4E5B" w:rsidRDefault="00D44BBC" w:rsidP="007D1EB3">
            <w:pPr>
              <w:pStyle w:val="A-Single"/>
              <w:jc w:val="center"/>
              <w:rPr>
                <w:sz w:val="22"/>
                <w:szCs w:val="22"/>
              </w:rPr>
            </w:pPr>
            <w:r w:rsidRPr="000D4E5B">
              <w:rPr>
                <w:sz w:val="22"/>
                <w:szCs w:val="22"/>
              </w:rPr>
              <w:t>p=0.1028</w:t>
            </w:r>
          </w:p>
        </w:tc>
      </w:tr>
      <w:bookmarkEnd w:id="45"/>
      <w:tr w:rsidR="00D44BBC" w:rsidRPr="00F201FA" w14:paraId="484531AC" w14:textId="77777777" w:rsidTr="00F201FA">
        <w:tblPrEx>
          <w:tblBorders>
            <w:left w:val="none" w:sz="0" w:space="0" w:color="auto"/>
            <w:right w:val="none" w:sz="0" w:space="0" w:color="auto"/>
          </w:tblBorders>
        </w:tblPrEx>
        <w:tc>
          <w:tcPr>
            <w:tcW w:w="9322" w:type="dxa"/>
            <w:gridSpan w:val="3"/>
            <w:tcBorders>
              <w:top w:val="single" w:sz="4" w:space="0" w:color="auto"/>
              <w:bottom w:val="single" w:sz="4" w:space="0" w:color="auto"/>
            </w:tcBorders>
            <w:shd w:val="clear" w:color="auto" w:fill="F2F2F2" w:themeFill="background1" w:themeFillShade="F2"/>
          </w:tcPr>
          <w:p w14:paraId="045B93E4" w14:textId="77777777" w:rsidR="00D44BBC" w:rsidRPr="00F201FA" w:rsidRDefault="00D44BBC" w:rsidP="00F201FA">
            <w:pPr>
              <w:pStyle w:val="A-TableText"/>
              <w:spacing w:line="240" w:lineRule="auto"/>
              <w:rPr>
                <w:rFonts w:ascii="Times New Roman" w:hAnsi="Times New Roman"/>
                <w:b/>
                <w:bCs/>
                <w:szCs w:val="22"/>
              </w:rPr>
            </w:pPr>
            <w:proofErr w:type="spellStart"/>
            <w:r w:rsidRPr="00F201FA">
              <w:rPr>
                <w:rFonts w:ascii="Times New Roman" w:hAnsi="Times New Roman"/>
                <w:b/>
                <w:bCs/>
                <w:szCs w:val="22"/>
              </w:rPr>
              <w:t>DoR</w:t>
            </w:r>
            <w:proofErr w:type="spellEnd"/>
          </w:p>
        </w:tc>
      </w:tr>
      <w:tr w:rsidR="00D44BBC" w:rsidRPr="000D4E5B" w14:paraId="57E7DAB3" w14:textId="77777777" w:rsidTr="00DA4D88">
        <w:tblPrEx>
          <w:tblBorders>
            <w:left w:val="none" w:sz="0" w:space="0" w:color="auto"/>
            <w:right w:val="none" w:sz="0" w:space="0" w:color="auto"/>
          </w:tblBorders>
        </w:tblPrEx>
        <w:tc>
          <w:tcPr>
            <w:tcW w:w="4678" w:type="dxa"/>
            <w:tcBorders>
              <w:top w:val="single" w:sz="4" w:space="0" w:color="auto"/>
              <w:bottom w:val="single" w:sz="12" w:space="0" w:color="auto"/>
              <w:right w:val="nil"/>
            </w:tcBorders>
            <w:shd w:val="clear" w:color="auto" w:fill="auto"/>
          </w:tcPr>
          <w:p w14:paraId="218F74E5" w14:textId="77777777" w:rsidR="00D44BBC" w:rsidRPr="000D4E5B" w:rsidRDefault="00D44BBC" w:rsidP="007D1EB3">
            <w:pPr>
              <w:pStyle w:val="A-Single"/>
              <w:rPr>
                <w:sz w:val="22"/>
                <w:szCs w:val="22"/>
              </w:rPr>
            </w:pPr>
            <w:r w:rsidRPr="000D4E5B">
              <w:rPr>
                <w:sz w:val="22"/>
                <w:szCs w:val="22"/>
              </w:rPr>
              <w:t>Median time (months) (95% CI)</w:t>
            </w:r>
          </w:p>
        </w:tc>
        <w:tc>
          <w:tcPr>
            <w:tcW w:w="2322" w:type="dxa"/>
            <w:tcBorders>
              <w:top w:val="single" w:sz="4" w:space="0" w:color="auto"/>
              <w:left w:val="nil"/>
              <w:bottom w:val="single" w:sz="12" w:space="0" w:color="auto"/>
              <w:right w:val="nil"/>
            </w:tcBorders>
            <w:shd w:val="clear" w:color="auto" w:fill="auto"/>
            <w:vAlign w:val="center"/>
          </w:tcPr>
          <w:p w14:paraId="17842DC4" w14:textId="77777777" w:rsidR="00D44BBC" w:rsidRPr="000D4E5B" w:rsidRDefault="00D44BBC" w:rsidP="007D1EB3">
            <w:pPr>
              <w:pStyle w:val="A-Single"/>
              <w:jc w:val="center"/>
              <w:rPr>
                <w:sz w:val="22"/>
                <w:szCs w:val="22"/>
              </w:rPr>
            </w:pPr>
            <w:r w:rsidRPr="000D4E5B">
              <w:rPr>
                <w:sz w:val="22"/>
                <w:szCs w:val="22"/>
                <w:lang w:val="en-US"/>
              </w:rPr>
              <w:t>24.9 (14.75, NC)</w:t>
            </w:r>
          </w:p>
        </w:tc>
        <w:tc>
          <w:tcPr>
            <w:tcW w:w="2322" w:type="dxa"/>
            <w:tcBorders>
              <w:top w:val="single" w:sz="4" w:space="0" w:color="auto"/>
              <w:left w:val="nil"/>
              <w:bottom w:val="single" w:sz="12" w:space="0" w:color="auto"/>
            </w:tcBorders>
            <w:shd w:val="clear" w:color="auto" w:fill="auto"/>
            <w:vAlign w:val="center"/>
          </w:tcPr>
          <w:p w14:paraId="44DC7100" w14:textId="77777777" w:rsidR="00D44BBC" w:rsidRPr="000D4E5B" w:rsidRDefault="00D44BBC" w:rsidP="007D1EB3">
            <w:pPr>
              <w:pStyle w:val="A-Single"/>
              <w:jc w:val="center"/>
              <w:rPr>
                <w:sz w:val="22"/>
                <w:szCs w:val="22"/>
              </w:rPr>
            </w:pPr>
            <w:r w:rsidRPr="000D4E5B">
              <w:rPr>
                <w:sz w:val="22"/>
                <w:szCs w:val="22"/>
              </w:rPr>
              <w:t>3.7 (2.10, NC)</w:t>
            </w:r>
          </w:p>
        </w:tc>
      </w:tr>
    </w:tbl>
    <w:p w14:paraId="74BDECBA" w14:textId="77777777" w:rsidR="00D44BBC" w:rsidRPr="000D4E5B" w:rsidRDefault="00D44BBC" w:rsidP="00D44BBC">
      <w:pPr>
        <w:keepNext/>
        <w:tabs>
          <w:tab w:val="left" w:pos="432"/>
        </w:tabs>
        <w:spacing w:after="0" w:line="240" w:lineRule="auto"/>
        <w:ind w:left="450" w:hanging="450"/>
        <w:rPr>
          <w:sz w:val="18"/>
          <w:szCs w:val="18"/>
        </w:rPr>
      </w:pPr>
      <w:r w:rsidRPr="000D4E5B">
        <w:rPr>
          <w:sz w:val="20"/>
          <w:vertAlign w:val="superscript"/>
        </w:rPr>
        <w:t>a</w:t>
      </w:r>
      <w:r w:rsidRPr="000D4E5B">
        <w:rPr>
          <w:sz w:val="18"/>
          <w:szCs w:val="18"/>
        </w:rPr>
        <w:tab/>
      </w:r>
      <w:proofErr w:type="spellStart"/>
      <w:r w:rsidRPr="000D4E5B">
        <w:rPr>
          <w:sz w:val="18"/>
          <w:szCs w:val="18"/>
        </w:rPr>
        <w:t>A</w:t>
      </w:r>
      <w:proofErr w:type="spellEnd"/>
      <w:r w:rsidRPr="000D4E5B">
        <w:rPr>
          <w:sz w:val="18"/>
          <w:szCs w:val="18"/>
        </w:rPr>
        <w:t xml:space="preserve"> value &lt;1 favours </w:t>
      </w:r>
      <w:proofErr w:type="spellStart"/>
      <w:r w:rsidRPr="000D4E5B">
        <w:rPr>
          <w:sz w:val="18"/>
          <w:szCs w:val="18"/>
        </w:rPr>
        <w:t>olaparib</w:t>
      </w:r>
      <w:proofErr w:type="spellEnd"/>
      <w:r w:rsidRPr="000D4E5B">
        <w:rPr>
          <w:sz w:val="18"/>
          <w:szCs w:val="18"/>
        </w:rPr>
        <w:t xml:space="preserve">. </w:t>
      </w:r>
    </w:p>
    <w:p w14:paraId="352F8465" w14:textId="77777777" w:rsidR="00D44BBC" w:rsidRPr="000D4E5B" w:rsidRDefault="00D44BBC" w:rsidP="00D44BBC">
      <w:pPr>
        <w:keepNext/>
        <w:tabs>
          <w:tab w:val="left" w:pos="432"/>
        </w:tabs>
        <w:spacing w:after="0" w:line="240" w:lineRule="auto"/>
        <w:ind w:left="450" w:hanging="450"/>
        <w:rPr>
          <w:sz w:val="18"/>
          <w:szCs w:val="18"/>
          <w:vertAlign w:val="superscript"/>
        </w:rPr>
      </w:pPr>
      <w:r w:rsidRPr="000D4E5B">
        <w:rPr>
          <w:sz w:val="18"/>
          <w:szCs w:val="18"/>
          <w:vertAlign w:val="superscript"/>
        </w:rPr>
        <w:t>b</w:t>
      </w:r>
      <w:r w:rsidRPr="000D4E5B">
        <w:rPr>
          <w:sz w:val="18"/>
          <w:szCs w:val="18"/>
          <w:vertAlign w:val="superscript"/>
        </w:rPr>
        <w:tab/>
      </w:r>
      <w:r w:rsidRPr="000D4E5B">
        <w:rPr>
          <w:sz w:val="18"/>
          <w:szCs w:val="18"/>
        </w:rPr>
        <w:t>The analysis was performed using a log-rank test.</w:t>
      </w:r>
    </w:p>
    <w:p w14:paraId="7AF6F506" w14:textId="77777777" w:rsidR="00D44BBC" w:rsidRPr="000D4E5B" w:rsidRDefault="00D44BBC" w:rsidP="00D44BBC">
      <w:pPr>
        <w:autoSpaceDE w:val="0"/>
        <w:autoSpaceDN w:val="0"/>
        <w:adjustRightInd w:val="0"/>
        <w:spacing w:after="0" w:line="240" w:lineRule="auto"/>
        <w:ind w:left="450" w:hanging="450"/>
        <w:rPr>
          <w:rFonts w:eastAsia="TimesNewRoman"/>
          <w:color w:val="000000"/>
          <w:sz w:val="18"/>
          <w:szCs w:val="18"/>
          <w:lang w:eastAsia="en-GB"/>
        </w:rPr>
      </w:pPr>
      <w:r w:rsidRPr="000D4E5B">
        <w:rPr>
          <w:sz w:val="18"/>
          <w:szCs w:val="18"/>
          <w:vertAlign w:val="superscript"/>
        </w:rPr>
        <w:t>c</w:t>
      </w:r>
      <w:r w:rsidRPr="000D4E5B">
        <w:rPr>
          <w:sz w:val="18"/>
          <w:szCs w:val="18"/>
        </w:rPr>
        <w:tab/>
        <w:t xml:space="preserve">One patient (1%) from the </w:t>
      </w:r>
      <w:proofErr w:type="spellStart"/>
      <w:r w:rsidRPr="000D4E5B">
        <w:rPr>
          <w:sz w:val="18"/>
          <w:szCs w:val="18"/>
        </w:rPr>
        <w:t>olaparib</w:t>
      </w:r>
      <w:proofErr w:type="spellEnd"/>
      <w:r w:rsidRPr="000D4E5B">
        <w:rPr>
          <w:sz w:val="18"/>
          <w:szCs w:val="18"/>
        </w:rPr>
        <w:t xml:space="preserve"> arm received subsequent PARP inhibitor; </w:t>
      </w:r>
      <w:r w:rsidRPr="000D4E5B">
        <w:rPr>
          <w:rFonts w:eastAsia="TimesNewRoman"/>
          <w:sz w:val="18"/>
          <w:szCs w:val="18"/>
          <w:lang w:eastAsia="en-GB"/>
        </w:rPr>
        <w:t xml:space="preserve">15% of patients on the placebo arm received a PARP inhibitor in any subsequent </w:t>
      </w:r>
      <w:r w:rsidRPr="000D4E5B">
        <w:rPr>
          <w:rFonts w:eastAsia="TimesNewRoman"/>
          <w:color w:val="000000"/>
          <w:sz w:val="18"/>
          <w:szCs w:val="18"/>
          <w:lang w:eastAsia="en-GB"/>
        </w:rPr>
        <w:t>line.</w:t>
      </w:r>
    </w:p>
    <w:p w14:paraId="6F22DB51" w14:textId="77777777" w:rsidR="00D44BBC" w:rsidRPr="000D4E5B" w:rsidRDefault="00D44BBC" w:rsidP="00D44BBC">
      <w:pPr>
        <w:keepNext/>
        <w:tabs>
          <w:tab w:val="left" w:pos="432"/>
        </w:tabs>
        <w:spacing w:after="0" w:line="240" w:lineRule="auto"/>
        <w:ind w:left="450" w:hanging="450"/>
        <w:rPr>
          <w:sz w:val="18"/>
          <w:szCs w:val="18"/>
        </w:rPr>
      </w:pPr>
      <w:r w:rsidRPr="000D4E5B">
        <w:rPr>
          <w:b/>
          <w:bCs/>
          <w:sz w:val="18"/>
          <w:szCs w:val="18"/>
          <w:vertAlign w:val="superscript"/>
        </w:rPr>
        <w:t>*</w:t>
      </w:r>
      <w:r w:rsidRPr="000D4E5B">
        <w:rPr>
          <w:b/>
          <w:bCs/>
          <w:sz w:val="18"/>
          <w:szCs w:val="18"/>
          <w:vertAlign w:val="superscript"/>
        </w:rPr>
        <w:tab/>
      </w:r>
      <w:r w:rsidRPr="000D4E5B">
        <w:rPr>
          <w:bCs/>
          <w:sz w:val="18"/>
          <w:szCs w:val="18"/>
        </w:rPr>
        <w:t>Not controlled for multiplicity.</w:t>
      </w:r>
    </w:p>
    <w:p w14:paraId="31E28733" w14:textId="77777777" w:rsidR="00A827C2" w:rsidRPr="000D4E5B" w:rsidRDefault="00A827C2" w:rsidP="00D44BBC">
      <w:pPr>
        <w:tabs>
          <w:tab w:val="left" w:pos="432"/>
        </w:tabs>
        <w:spacing w:after="0" w:line="240" w:lineRule="auto"/>
        <w:ind w:left="432" w:hanging="432"/>
        <w:rPr>
          <w:sz w:val="18"/>
          <w:szCs w:val="18"/>
        </w:rPr>
      </w:pPr>
      <w:proofErr w:type="spellStart"/>
      <w:r w:rsidRPr="000D4E5B">
        <w:rPr>
          <w:sz w:val="18"/>
          <w:szCs w:val="18"/>
        </w:rPr>
        <w:t>b</w:t>
      </w:r>
      <w:r w:rsidR="00D44BBC" w:rsidRPr="000D4E5B">
        <w:rPr>
          <w:sz w:val="18"/>
          <w:szCs w:val="18"/>
        </w:rPr>
        <w:t>d</w:t>
      </w:r>
      <w:proofErr w:type="spellEnd"/>
      <w:r w:rsidRPr="000D4E5B">
        <w:rPr>
          <w:sz w:val="18"/>
          <w:szCs w:val="18"/>
        </w:rPr>
        <w:t xml:space="preserve"> </w:t>
      </w:r>
      <w:r w:rsidR="00D44BBC" w:rsidRPr="000D4E5B">
        <w:rPr>
          <w:sz w:val="18"/>
          <w:szCs w:val="18"/>
        </w:rPr>
        <w:t xml:space="preserve">Twice daily; CI Confidence interval; </w:t>
      </w:r>
      <w:bookmarkStart w:id="46" w:name="_Hlk7011204"/>
      <w:r w:rsidR="00D44BBC" w:rsidRPr="000D4E5B">
        <w:rPr>
          <w:sz w:val="18"/>
          <w:szCs w:val="18"/>
        </w:rPr>
        <w:t>HR Hazard Ratio; NC Not calculable; ORR Objective Response Rate; OS Overall survival;</w:t>
      </w:r>
    </w:p>
    <w:p w14:paraId="2C507B3E" w14:textId="77777777" w:rsidR="00A827C2" w:rsidRPr="000D4E5B" w:rsidRDefault="00D44BBC" w:rsidP="00D44BBC">
      <w:pPr>
        <w:tabs>
          <w:tab w:val="left" w:pos="432"/>
        </w:tabs>
        <w:spacing w:after="0" w:line="240" w:lineRule="auto"/>
        <w:ind w:left="432" w:hanging="432"/>
        <w:rPr>
          <w:sz w:val="18"/>
          <w:szCs w:val="18"/>
        </w:rPr>
      </w:pPr>
      <w:r w:rsidRPr="000D4E5B">
        <w:rPr>
          <w:sz w:val="18"/>
          <w:szCs w:val="18"/>
        </w:rPr>
        <w:t>PFS Progression-free survival; PFS2 Time to second progression or death; TDT Time from randomisation to discontinuation of</w:t>
      </w:r>
      <w:r w:rsidR="00A827C2" w:rsidRPr="000D4E5B">
        <w:rPr>
          <w:sz w:val="18"/>
          <w:szCs w:val="18"/>
        </w:rPr>
        <w:t xml:space="preserve"> </w:t>
      </w:r>
    </w:p>
    <w:p w14:paraId="2744A13F" w14:textId="5E02CBC7" w:rsidR="00D44BBC" w:rsidRPr="000D4E5B" w:rsidRDefault="00D44BBC" w:rsidP="00D44BBC">
      <w:pPr>
        <w:tabs>
          <w:tab w:val="left" w:pos="432"/>
        </w:tabs>
        <w:spacing w:after="0" w:line="240" w:lineRule="auto"/>
        <w:ind w:left="432" w:hanging="432"/>
        <w:rPr>
          <w:sz w:val="18"/>
          <w:szCs w:val="18"/>
        </w:rPr>
      </w:pPr>
      <w:r w:rsidRPr="000D4E5B">
        <w:rPr>
          <w:sz w:val="18"/>
          <w:szCs w:val="18"/>
        </w:rPr>
        <w:t>treatment or death; TFST Time from randomisation to start of first subsequent therapy or death.</w:t>
      </w:r>
    </w:p>
    <w:p w14:paraId="45ADF015" w14:textId="77777777" w:rsidR="00D44BBC" w:rsidRPr="000D4E5B" w:rsidRDefault="00D44BBC" w:rsidP="00D44BBC">
      <w:pPr>
        <w:tabs>
          <w:tab w:val="left" w:pos="432"/>
        </w:tabs>
        <w:spacing w:after="0" w:line="240" w:lineRule="auto"/>
        <w:ind w:left="432" w:hanging="432"/>
        <w:rPr>
          <w:sz w:val="18"/>
          <w:szCs w:val="18"/>
        </w:rPr>
      </w:pPr>
    </w:p>
    <w:bookmarkEnd w:id="46"/>
    <w:p w14:paraId="3AA0C0B1" w14:textId="5318D1E6" w:rsidR="00D44BBC" w:rsidRPr="000D4E5B" w:rsidRDefault="00D44BBC" w:rsidP="00D44BBC">
      <w:pPr>
        <w:pStyle w:val="FigureTitle"/>
      </w:pPr>
      <w:r w:rsidRPr="000D4E5B">
        <w:t xml:space="preserve">Figure </w:t>
      </w:r>
      <w:r w:rsidR="00DA4D88" w:rsidRPr="000D4E5B">
        <w:t>5</w:t>
      </w:r>
      <w:r w:rsidRPr="000D4E5B">
        <w:tab/>
        <w:t xml:space="preserve">POLO: Kaplan-Meier plot of PFS for patients with </w:t>
      </w:r>
      <w:proofErr w:type="spellStart"/>
      <w:r w:rsidRPr="000D4E5B">
        <w:rPr>
          <w:i/>
        </w:rPr>
        <w:t>gBRCAm</w:t>
      </w:r>
      <w:proofErr w:type="spellEnd"/>
      <w:r w:rsidRPr="000D4E5B">
        <w:t xml:space="preserve"> metastatic adenocarcinoma of the pancreas (68% maturity – BICR)</w:t>
      </w:r>
    </w:p>
    <w:p w14:paraId="04FE59C3" w14:textId="2058A5E1" w:rsidR="00D44BBC" w:rsidRPr="000D4E5B" w:rsidRDefault="00D44BBC" w:rsidP="00D44BBC">
      <w:pPr>
        <w:pStyle w:val="Paragraph"/>
        <w:rPr>
          <w:lang w:val="en-US"/>
        </w:rPr>
      </w:pPr>
      <w:r w:rsidRPr="000D4E5B">
        <w:rPr>
          <w:noProof/>
          <w:lang w:val="en-AU" w:eastAsia="en-AU"/>
        </w:rPr>
        <w:drawing>
          <wp:inline distT="0" distB="0" distL="0" distR="0" wp14:anchorId="736B6D38" wp14:editId="7B49FD78">
            <wp:extent cx="5779135" cy="3467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 pf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79135" cy="3467735"/>
                    </a:xfrm>
                    <a:prstGeom prst="rect">
                      <a:avLst/>
                    </a:prstGeom>
                  </pic:spPr>
                </pic:pic>
              </a:graphicData>
            </a:graphic>
          </wp:inline>
        </w:drawing>
      </w:r>
    </w:p>
    <w:p w14:paraId="3A2607D1" w14:textId="2F658DB6" w:rsidR="00D44BBC" w:rsidRPr="000D4E5B" w:rsidRDefault="00D44BBC" w:rsidP="00D44BBC">
      <w:pPr>
        <w:pStyle w:val="Paragraph"/>
        <w:rPr>
          <w:lang w:val="en-US"/>
        </w:rPr>
      </w:pPr>
      <w:r w:rsidRPr="000D4E5B">
        <w:rPr>
          <w:lang w:val="en-US"/>
        </w:rPr>
        <w:t xml:space="preserve">Patient-reported </w:t>
      </w:r>
      <w:proofErr w:type="spellStart"/>
      <w:r w:rsidRPr="000D4E5B">
        <w:rPr>
          <w:lang w:val="en-US"/>
        </w:rPr>
        <w:t>HRQoL</w:t>
      </w:r>
      <w:proofErr w:type="spellEnd"/>
      <w:r w:rsidRPr="000D4E5B">
        <w:rPr>
          <w:lang w:val="en-US"/>
        </w:rPr>
        <w:t xml:space="preserve"> was assessed using the </w:t>
      </w:r>
      <w:bookmarkStart w:id="47" w:name="_Hlk61356052"/>
      <w:r w:rsidRPr="000D4E5B">
        <w:rPr>
          <w:lang w:val="en-US"/>
        </w:rPr>
        <w:t xml:space="preserve">EORTC QLQ-C30 </w:t>
      </w:r>
      <w:bookmarkEnd w:id="47"/>
      <w:r w:rsidRPr="000D4E5B">
        <w:rPr>
          <w:lang w:val="en-US"/>
        </w:rPr>
        <w:t xml:space="preserve">and its pancreatic cancer module (EORTC QLQ-PAN26). A 10-point change was pre-defined as clinically meaningful on a 0-100 points global </w:t>
      </w:r>
      <w:proofErr w:type="spellStart"/>
      <w:r w:rsidRPr="000D4E5B">
        <w:rPr>
          <w:lang w:val="en-US"/>
        </w:rPr>
        <w:t>HRQoL</w:t>
      </w:r>
      <w:proofErr w:type="spellEnd"/>
      <w:r w:rsidRPr="000D4E5B">
        <w:rPr>
          <w:lang w:val="en-US"/>
        </w:rPr>
        <w:t xml:space="preserve"> scale. The adjusted mean change from baseline in global </w:t>
      </w:r>
      <w:proofErr w:type="spellStart"/>
      <w:r w:rsidRPr="000D4E5B">
        <w:rPr>
          <w:lang w:val="en-US"/>
        </w:rPr>
        <w:t>HRQoL</w:t>
      </w:r>
      <w:proofErr w:type="spellEnd"/>
      <w:r w:rsidRPr="000D4E5B">
        <w:rPr>
          <w:lang w:val="en-US"/>
        </w:rPr>
        <w:t xml:space="preserve"> score across all </w:t>
      </w:r>
      <w:proofErr w:type="spellStart"/>
      <w:r w:rsidRPr="000D4E5B">
        <w:rPr>
          <w:lang w:val="en-US"/>
        </w:rPr>
        <w:t>timepoints</w:t>
      </w:r>
      <w:proofErr w:type="spellEnd"/>
      <w:r w:rsidRPr="000D4E5B">
        <w:rPr>
          <w:lang w:val="en-US"/>
        </w:rPr>
        <w:t xml:space="preserve"> up to 6 months was -1.20 ± 1.42 in the </w:t>
      </w:r>
      <w:proofErr w:type="spellStart"/>
      <w:r w:rsidRPr="000D4E5B">
        <w:rPr>
          <w:lang w:val="en-US"/>
        </w:rPr>
        <w:t>olaparib</w:t>
      </w:r>
      <w:proofErr w:type="spellEnd"/>
      <w:r w:rsidRPr="000D4E5B">
        <w:rPr>
          <w:lang w:val="en-US"/>
        </w:rPr>
        <w:t xml:space="preserve"> group (n=84) and 1.27 ± 1.95 in the placebo group (n=54), with a corresponding estimated difference of −2.47 points (95% CI, −7.27 to 2.38), demonstrating no worsening in </w:t>
      </w:r>
      <w:proofErr w:type="spellStart"/>
      <w:r w:rsidRPr="000D4E5B">
        <w:rPr>
          <w:lang w:val="en-US"/>
        </w:rPr>
        <w:t>olaparib</w:t>
      </w:r>
      <w:proofErr w:type="spellEnd"/>
      <w:r w:rsidRPr="000D4E5B">
        <w:rPr>
          <w:lang w:val="en-US"/>
        </w:rPr>
        <w:t xml:space="preserve"> treated patients and no clinically meaningful differences in global </w:t>
      </w:r>
      <w:proofErr w:type="spellStart"/>
      <w:r w:rsidRPr="000D4E5B">
        <w:rPr>
          <w:lang w:val="en-US"/>
        </w:rPr>
        <w:t>HRQoL</w:t>
      </w:r>
      <w:proofErr w:type="spellEnd"/>
      <w:r w:rsidRPr="000D4E5B">
        <w:rPr>
          <w:lang w:val="en-US"/>
        </w:rPr>
        <w:t xml:space="preserve"> over the treatment period between arms. Median time to clinically meaningful deterioration (≥10 points decrease from baseline sustained at the next </w:t>
      </w:r>
      <w:proofErr w:type="spellStart"/>
      <w:r w:rsidRPr="000D4E5B">
        <w:rPr>
          <w:lang w:val="en-US"/>
        </w:rPr>
        <w:t>timepoint</w:t>
      </w:r>
      <w:proofErr w:type="spellEnd"/>
      <w:r w:rsidRPr="000D4E5B">
        <w:rPr>
          <w:lang w:val="en-US"/>
        </w:rPr>
        <w:t xml:space="preserve">) in global </w:t>
      </w:r>
      <w:proofErr w:type="spellStart"/>
      <w:r w:rsidRPr="000D4E5B">
        <w:rPr>
          <w:lang w:val="en-US"/>
        </w:rPr>
        <w:t>HRQoL</w:t>
      </w:r>
      <w:proofErr w:type="spellEnd"/>
      <w:r w:rsidRPr="000D4E5B">
        <w:rPr>
          <w:lang w:val="en-US"/>
        </w:rPr>
        <w:t xml:space="preserve"> score was numerically longer in the </w:t>
      </w:r>
      <w:proofErr w:type="spellStart"/>
      <w:r w:rsidRPr="000D4E5B">
        <w:rPr>
          <w:lang w:val="en-US"/>
        </w:rPr>
        <w:t>olaparib</w:t>
      </w:r>
      <w:proofErr w:type="spellEnd"/>
      <w:r w:rsidRPr="000D4E5B">
        <w:rPr>
          <w:lang w:val="en-US"/>
        </w:rPr>
        <w:t xml:space="preserve"> arm compared to placebo (HR 0.72; 95% CI: 0.41-1.27; medians: 21.2 months </w:t>
      </w:r>
      <w:proofErr w:type="spellStart"/>
      <w:r w:rsidRPr="000D4E5B">
        <w:rPr>
          <w:lang w:val="en-US"/>
        </w:rPr>
        <w:t>olaparib</w:t>
      </w:r>
      <w:proofErr w:type="spellEnd"/>
      <w:r w:rsidRPr="000D4E5B">
        <w:rPr>
          <w:lang w:val="en-US"/>
        </w:rPr>
        <w:t xml:space="preserve"> vs. 6.0 months placebo). Over the treatment period, the proportion of patients with clinically significant improvement (≥10 points increase from baseline) in global </w:t>
      </w:r>
      <w:proofErr w:type="spellStart"/>
      <w:r w:rsidRPr="000D4E5B">
        <w:rPr>
          <w:lang w:val="en-US"/>
        </w:rPr>
        <w:t>HRQoL</w:t>
      </w:r>
      <w:proofErr w:type="spellEnd"/>
      <w:r w:rsidRPr="000D4E5B">
        <w:rPr>
          <w:lang w:val="en-US"/>
        </w:rPr>
        <w:t xml:space="preserve"> score was 29.2% in the </w:t>
      </w:r>
      <w:proofErr w:type="spellStart"/>
      <w:r w:rsidRPr="000D4E5B">
        <w:rPr>
          <w:lang w:val="en-US"/>
        </w:rPr>
        <w:t>olaparib</w:t>
      </w:r>
      <w:proofErr w:type="spellEnd"/>
      <w:r w:rsidRPr="000D4E5B">
        <w:rPr>
          <w:lang w:val="en-US"/>
        </w:rPr>
        <w:t xml:space="preserve"> arm and 22.4% in the placebo arm.</w:t>
      </w:r>
    </w:p>
    <w:p w14:paraId="529BCB51" w14:textId="7923D4DA" w:rsidR="009611DC" w:rsidRPr="000D4E5B" w:rsidRDefault="009611DC" w:rsidP="009611DC">
      <w:pPr>
        <w:pStyle w:val="Heading3Unnumbered"/>
      </w:pPr>
      <w:r w:rsidRPr="000D4E5B">
        <w:t>Effect on the QT interval</w:t>
      </w:r>
    </w:p>
    <w:p w14:paraId="7E0A1875" w14:textId="28872657" w:rsidR="009611DC" w:rsidRPr="000D4E5B" w:rsidRDefault="009611DC" w:rsidP="00307768">
      <w:pPr>
        <w:pStyle w:val="Paragraph"/>
      </w:pPr>
      <w:r w:rsidRPr="000D4E5B">
        <w:t xml:space="preserve">There is no clinically relevant effect of </w:t>
      </w:r>
      <w:proofErr w:type="spellStart"/>
      <w:r w:rsidRPr="000D4E5B">
        <w:t>olaparib</w:t>
      </w:r>
      <w:proofErr w:type="spellEnd"/>
      <w:r w:rsidRPr="000D4E5B">
        <w:t xml:space="preserve"> on cardiac repolarisation (as evaluated by an effect on the QT interval) following 300 mg twice daily multiple dosing of </w:t>
      </w:r>
      <w:proofErr w:type="spellStart"/>
      <w:r w:rsidR="00307768" w:rsidRPr="000D4E5B">
        <w:rPr>
          <w:lang w:val="en-AU"/>
        </w:rPr>
        <w:t>olaparib</w:t>
      </w:r>
      <w:proofErr w:type="spellEnd"/>
      <w:r w:rsidRPr="000D4E5B">
        <w:t>.</w:t>
      </w:r>
    </w:p>
    <w:p w14:paraId="64594ECA" w14:textId="77777777" w:rsidR="009611DC" w:rsidRPr="000D4E5B" w:rsidRDefault="009611DC" w:rsidP="009611DC">
      <w:pPr>
        <w:pStyle w:val="Heading3Unnumbered"/>
      </w:pPr>
      <w:r w:rsidRPr="000D4E5B">
        <w:t>Retreatment on relapse</w:t>
      </w:r>
    </w:p>
    <w:p w14:paraId="78FA970D" w14:textId="2596604C" w:rsidR="009611DC" w:rsidRPr="000D4E5B" w:rsidRDefault="009611DC" w:rsidP="009611DC">
      <w:pPr>
        <w:pStyle w:val="Paragraph"/>
      </w:pPr>
      <w:r w:rsidRPr="000D4E5B">
        <w:t xml:space="preserve">There are no data to support retreatment with </w:t>
      </w:r>
      <w:proofErr w:type="spellStart"/>
      <w:r w:rsidRPr="000D4E5B">
        <w:t>olaparib</w:t>
      </w:r>
      <w:proofErr w:type="spellEnd"/>
      <w:r w:rsidRPr="000D4E5B">
        <w:t xml:space="preserve"> as maintenance following subsequent relapse.</w:t>
      </w:r>
    </w:p>
    <w:p w14:paraId="01A6E012" w14:textId="5CD78B9A" w:rsidR="001A3992" w:rsidRPr="000D4E5B" w:rsidRDefault="007403BD" w:rsidP="00CD331E">
      <w:pPr>
        <w:pStyle w:val="Heading2"/>
        <w:tabs>
          <w:tab w:val="clear" w:pos="1134"/>
          <w:tab w:val="num" w:pos="720"/>
        </w:tabs>
        <w:ind w:left="720" w:hanging="720"/>
      </w:pPr>
      <w:r w:rsidRPr="000D4E5B">
        <w:t>Pharmacokinetic properties</w:t>
      </w:r>
    </w:p>
    <w:p w14:paraId="1C42E2C8" w14:textId="1A002EAE" w:rsidR="00471E15" w:rsidRPr="000D4E5B" w:rsidRDefault="00471E15" w:rsidP="00471E15">
      <w:pPr>
        <w:pStyle w:val="Paragraph"/>
      </w:pPr>
      <w:r w:rsidRPr="000D4E5B">
        <w:t xml:space="preserve">Olaparib displays high inter-patient variability in PK parameters, including </w:t>
      </w:r>
      <w:proofErr w:type="spellStart"/>
      <w:r w:rsidRPr="000D4E5B">
        <w:t>C</w:t>
      </w:r>
      <w:r w:rsidRPr="000D4E5B">
        <w:rPr>
          <w:vertAlign w:val="subscript"/>
        </w:rPr>
        <w:t>max</w:t>
      </w:r>
      <w:proofErr w:type="spellEnd"/>
      <w:r w:rsidRPr="000D4E5B">
        <w:t xml:space="preserve">, AUC, </w:t>
      </w:r>
      <w:proofErr w:type="spellStart"/>
      <w:r w:rsidRPr="000D4E5B">
        <w:t>Vd</w:t>
      </w:r>
      <w:proofErr w:type="spellEnd"/>
      <w:r w:rsidRPr="000D4E5B">
        <w:t xml:space="preserve"> and CL/F.</w:t>
      </w:r>
    </w:p>
    <w:p w14:paraId="54137999" w14:textId="148E18E0" w:rsidR="00471E15" w:rsidRPr="000D4E5B" w:rsidRDefault="00471E15" w:rsidP="00471E15">
      <w:pPr>
        <w:pStyle w:val="Paragraph"/>
      </w:pPr>
      <w:r w:rsidRPr="000D4E5B">
        <w:t xml:space="preserve">The pharmacokinetics of </w:t>
      </w:r>
      <w:proofErr w:type="spellStart"/>
      <w:r w:rsidRPr="000D4E5B">
        <w:t>olaparib</w:t>
      </w:r>
      <w:proofErr w:type="spellEnd"/>
      <w:r w:rsidRPr="000D4E5B">
        <w:t xml:space="preserve"> at the </w:t>
      </w:r>
      <w:bookmarkStart w:id="48" w:name="_Hlk513041066"/>
      <w:r w:rsidR="00600B1E" w:rsidRPr="000D4E5B">
        <w:t xml:space="preserve">300 mg tablet </w:t>
      </w:r>
      <w:bookmarkEnd w:id="48"/>
      <w:r w:rsidRPr="000D4E5B">
        <w:t>dose are characterised by an apparent plasma clearance of ~</w:t>
      </w:r>
      <w:r w:rsidR="00600B1E" w:rsidRPr="000D4E5B">
        <w:rPr>
          <w:lang w:val="en-AU"/>
        </w:rPr>
        <w:t>7</w:t>
      </w:r>
      <w:r w:rsidR="00600B1E" w:rsidRPr="000D4E5B">
        <w:t xml:space="preserve"> </w:t>
      </w:r>
      <w:r w:rsidRPr="000D4E5B">
        <w:t>L/h, an apparent volume of distribution of ~</w:t>
      </w:r>
      <w:r w:rsidR="00600B1E" w:rsidRPr="000D4E5B">
        <w:t xml:space="preserve">158 </w:t>
      </w:r>
      <w:r w:rsidRPr="000D4E5B">
        <w:t xml:space="preserve">L and a terminal half-life of </w:t>
      </w:r>
      <w:r w:rsidR="00600B1E" w:rsidRPr="000D4E5B">
        <w:t>15</w:t>
      </w:r>
      <w:r w:rsidR="005B33BC" w:rsidRPr="000D4E5B">
        <w:t> </w:t>
      </w:r>
      <w:r w:rsidRPr="000D4E5B">
        <w:t xml:space="preserve">hours </w:t>
      </w:r>
      <w:bookmarkStart w:id="49" w:name="_Hlk513041216"/>
      <w:r w:rsidR="00600B1E" w:rsidRPr="000D4E5B">
        <w:t>after dosing</w:t>
      </w:r>
      <w:bookmarkEnd w:id="49"/>
      <w:r w:rsidRPr="000D4E5B">
        <w:t xml:space="preserve">.  </w:t>
      </w:r>
      <w:bookmarkStart w:id="50" w:name="_Hlk513041231"/>
      <w:r w:rsidR="00600B1E" w:rsidRPr="000D4E5B">
        <w:t>On multiple dosing, an AUC accumulation ratio of 1.8 was observed and PK appeared to be time-dependent to a small extent.</w:t>
      </w:r>
      <w:bookmarkEnd w:id="50"/>
    </w:p>
    <w:p w14:paraId="596B8AE6" w14:textId="77777777" w:rsidR="001A3992" w:rsidRPr="000D4E5B" w:rsidRDefault="001A3992" w:rsidP="0026491B">
      <w:pPr>
        <w:pStyle w:val="Heading3Unnumbered"/>
      </w:pPr>
      <w:r w:rsidRPr="000D4E5B">
        <w:t>Absorption</w:t>
      </w:r>
    </w:p>
    <w:p w14:paraId="0DBC8588" w14:textId="48BDB1AF" w:rsidR="007403BD" w:rsidRPr="000D4E5B" w:rsidRDefault="00471E15" w:rsidP="00BB41D1">
      <w:pPr>
        <w:pStyle w:val="Paragraph"/>
      </w:pPr>
      <w:r w:rsidRPr="000D4E5B">
        <w:t xml:space="preserve">Following oral administration of </w:t>
      </w:r>
      <w:proofErr w:type="spellStart"/>
      <w:r w:rsidRPr="000D4E5B">
        <w:t>olaparib</w:t>
      </w:r>
      <w:proofErr w:type="spellEnd"/>
      <w:r w:rsidRPr="000D4E5B">
        <w:t xml:space="preserve"> via the </w:t>
      </w:r>
      <w:r w:rsidR="00600B1E" w:rsidRPr="000D4E5B">
        <w:t xml:space="preserve">tablet </w:t>
      </w:r>
      <w:r w:rsidRPr="000D4E5B">
        <w:t xml:space="preserve">formulation </w:t>
      </w:r>
      <w:r w:rsidR="00600B1E" w:rsidRPr="000D4E5B">
        <w:t>(2x150 mg)</w:t>
      </w:r>
      <w:r w:rsidRPr="000D4E5B">
        <w:t xml:space="preserve">, absorption is rapid with peak plasma concentrations typically achieved between </w:t>
      </w:r>
      <w:r w:rsidR="00600B1E" w:rsidRPr="000D4E5B">
        <w:t xml:space="preserve">1.5 </w:t>
      </w:r>
      <w:r w:rsidRPr="000D4E5B">
        <w:t>hours after dosing.</w:t>
      </w:r>
    </w:p>
    <w:p w14:paraId="09854699" w14:textId="5B67D63B" w:rsidR="00BB41D1" w:rsidRPr="000D4E5B" w:rsidRDefault="00BB41D1" w:rsidP="00BB41D1">
      <w:pPr>
        <w:pStyle w:val="Paragraph"/>
      </w:pPr>
      <w:bookmarkStart w:id="51" w:name="_Hlk513041392"/>
      <w:r w:rsidRPr="000D4E5B">
        <w:t>Co-administration with food slowed the rate (</w:t>
      </w:r>
      <w:proofErr w:type="spellStart"/>
      <w:r w:rsidRPr="000D4E5B">
        <w:t>t</w:t>
      </w:r>
      <w:r w:rsidRPr="000D4E5B">
        <w:rPr>
          <w:vertAlign w:val="subscript"/>
        </w:rPr>
        <w:t>max</w:t>
      </w:r>
      <w:proofErr w:type="spellEnd"/>
      <w:r w:rsidRPr="000D4E5B">
        <w:t xml:space="preserve"> delayed by 2.5 hours and </w:t>
      </w:r>
      <w:proofErr w:type="spellStart"/>
      <w:r w:rsidRPr="000D4E5B">
        <w:t>C</w:t>
      </w:r>
      <w:r w:rsidRPr="000D4E5B">
        <w:rPr>
          <w:vertAlign w:val="subscript"/>
        </w:rPr>
        <w:t>max</w:t>
      </w:r>
      <w:proofErr w:type="spellEnd"/>
      <w:r w:rsidRPr="000D4E5B">
        <w:t xml:space="preserve"> reduced by approximately 21%) but did not significantly affect the extent of absorption of </w:t>
      </w:r>
      <w:proofErr w:type="spellStart"/>
      <w:r w:rsidRPr="000D4E5B">
        <w:t>olaparib</w:t>
      </w:r>
      <w:proofErr w:type="spellEnd"/>
      <w:r w:rsidRPr="000D4E5B">
        <w:t xml:space="preserve"> (AUC treatment ratio: 1.08; 90% CI: 1.01, 1.16).  Consequently, patients may take LYNPARZA without regard to food (see Section 4.2 - Dose and method of administration).</w:t>
      </w:r>
    </w:p>
    <w:bookmarkEnd w:id="51"/>
    <w:p w14:paraId="145B5C12" w14:textId="77777777" w:rsidR="001A3992" w:rsidRPr="000D4E5B" w:rsidRDefault="001A3992" w:rsidP="0026491B">
      <w:pPr>
        <w:pStyle w:val="Heading3Unnumbered"/>
      </w:pPr>
      <w:r w:rsidRPr="000D4E5B">
        <w:t>Distribution</w:t>
      </w:r>
    </w:p>
    <w:p w14:paraId="0FE7D1B8" w14:textId="42562CEA" w:rsidR="007403BD" w:rsidRPr="000D4E5B" w:rsidRDefault="004C31E6" w:rsidP="00276C09">
      <w:pPr>
        <w:pStyle w:val="Paragraph"/>
      </w:pPr>
      <w:bookmarkStart w:id="52" w:name="_Hlk513119236"/>
      <w:r w:rsidRPr="000D4E5B">
        <w:rPr>
          <w:i/>
        </w:rPr>
        <w:t>In vitro</w:t>
      </w:r>
      <w:r w:rsidRPr="000D4E5B">
        <w:t xml:space="preserve">, human plasma protein binding of </w:t>
      </w:r>
      <w:proofErr w:type="spellStart"/>
      <w:r w:rsidRPr="000D4E5B">
        <w:t>olaparib</w:t>
      </w:r>
      <w:proofErr w:type="spellEnd"/>
      <w:r w:rsidRPr="000D4E5B">
        <w:t xml:space="preserve"> was dose-dependent; the fraction bound was approximately 91% at 1 μg/mL, reducing to 82% at 10 μg/mL and to 70% at 40 μg/</w:t>
      </w:r>
      <w:proofErr w:type="spellStart"/>
      <w:r w:rsidRPr="000D4E5B">
        <w:t>mL.</w:t>
      </w:r>
      <w:proofErr w:type="spellEnd"/>
      <w:r w:rsidRPr="000D4E5B">
        <w:t xml:space="preserve">  In solutions of purified proteins, the </w:t>
      </w:r>
      <w:proofErr w:type="spellStart"/>
      <w:r w:rsidRPr="000D4E5B">
        <w:t>olaparib</w:t>
      </w:r>
      <w:proofErr w:type="spellEnd"/>
      <w:r w:rsidRPr="000D4E5B">
        <w:t xml:space="preserve"> fraction bound to albumin was approximately 56%, which was independent of </w:t>
      </w:r>
      <w:proofErr w:type="spellStart"/>
      <w:r w:rsidRPr="000D4E5B">
        <w:t>olaparib</w:t>
      </w:r>
      <w:proofErr w:type="spellEnd"/>
      <w:r w:rsidRPr="000D4E5B">
        <w:t xml:space="preserve"> concentrations.  Using the same assay, the fraction bound to alpha-1 acid glycoprotein was 29% at 10 μg/mL with a trend of decreased binding at higher concentrations</w:t>
      </w:r>
      <w:bookmarkEnd w:id="52"/>
      <w:r w:rsidR="00276C09" w:rsidRPr="000D4E5B">
        <w:t>.</w:t>
      </w:r>
    </w:p>
    <w:p w14:paraId="4B6535A4" w14:textId="77777777" w:rsidR="001A3992" w:rsidRPr="000D4E5B" w:rsidRDefault="001A3992" w:rsidP="0026491B">
      <w:pPr>
        <w:pStyle w:val="Heading3Unnumbered"/>
      </w:pPr>
      <w:r w:rsidRPr="000D4E5B">
        <w:t>Metabolism</w:t>
      </w:r>
    </w:p>
    <w:p w14:paraId="04C7BE75" w14:textId="5F119922" w:rsidR="007403BD" w:rsidRPr="000D4E5B" w:rsidRDefault="00276C09" w:rsidP="00276C09">
      <w:pPr>
        <w:pStyle w:val="Paragraph"/>
      </w:pPr>
      <w:r w:rsidRPr="000D4E5B">
        <w:rPr>
          <w:i/>
        </w:rPr>
        <w:t>In vitro</w:t>
      </w:r>
      <w:r w:rsidRPr="000D4E5B">
        <w:t>, CYP3A4</w:t>
      </w:r>
      <w:r w:rsidR="00BB41D1" w:rsidRPr="000D4E5B">
        <w:t>/5</w:t>
      </w:r>
      <w:r w:rsidRPr="000D4E5B">
        <w:t xml:space="preserve"> </w:t>
      </w:r>
      <w:r w:rsidR="00BB41D1" w:rsidRPr="000D4E5B">
        <w:t xml:space="preserve">were </w:t>
      </w:r>
      <w:r w:rsidRPr="000D4E5B">
        <w:t>shown to be the enzyme</w:t>
      </w:r>
      <w:r w:rsidR="00BB41D1" w:rsidRPr="000D4E5B">
        <w:t>s</w:t>
      </w:r>
      <w:r w:rsidRPr="000D4E5B">
        <w:t xml:space="preserve"> primarily responsible for the metabolism of </w:t>
      </w:r>
      <w:proofErr w:type="spellStart"/>
      <w:r w:rsidRPr="000D4E5B">
        <w:t>olaparib</w:t>
      </w:r>
      <w:proofErr w:type="spellEnd"/>
      <w:r w:rsidRPr="000D4E5B">
        <w:t>.</w:t>
      </w:r>
    </w:p>
    <w:p w14:paraId="50608FCE" w14:textId="2BDBC5E1" w:rsidR="00276C09" w:rsidRPr="000D4E5B" w:rsidRDefault="00276C09" w:rsidP="00EA65E3">
      <w:pPr>
        <w:pStyle w:val="Paragraph"/>
      </w:pPr>
      <w:r w:rsidRPr="000D4E5B">
        <w:t xml:space="preserve">Following oral dosing of </w:t>
      </w:r>
      <w:r w:rsidRPr="000D4E5B">
        <w:rPr>
          <w:vertAlign w:val="superscript"/>
        </w:rPr>
        <w:t>14</w:t>
      </w:r>
      <w:r w:rsidRPr="000D4E5B">
        <w:t xml:space="preserve">C-olaparib to female patients, unchanged </w:t>
      </w:r>
      <w:proofErr w:type="spellStart"/>
      <w:r w:rsidRPr="000D4E5B">
        <w:t>olaparib</w:t>
      </w:r>
      <w:proofErr w:type="spellEnd"/>
      <w:r w:rsidRPr="000D4E5B">
        <w:t xml:space="preserve"> accounted for the majority of the circulating radioactivity in plasma (70%) and was the major component found in both urine and faeces (15% and 6% of the dose respectively).  The metabolism of </w:t>
      </w:r>
      <w:proofErr w:type="spellStart"/>
      <w:r w:rsidRPr="000D4E5B">
        <w:t>olaparib</w:t>
      </w:r>
      <w:proofErr w:type="spellEnd"/>
      <w:r w:rsidRPr="000D4E5B">
        <w:t xml:space="preserve"> is extensive with the main site of metabolism being the </w:t>
      </w:r>
      <w:proofErr w:type="spellStart"/>
      <w:r w:rsidRPr="000D4E5B">
        <w:t>piperazine</w:t>
      </w:r>
      <w:proofErr w:type="spellEnd"/>
      <w:r w:rsidR="00BB41D1" w:rsidRPr="000D4E5B">
        <w:t xml:space="preserve"> and </w:t>
      </w:r>
      <w:proofErr w:type="spellStart"/>
      <w:r w:rsidRPr="000D4E5B">
        <w:t>fluorobenzyl</w:t>
      </w:r>
      <w:proofErr w:type="spellEnd"/>
      <w:r w:rsidRPr="000D4E5B">
        <w:t xml:space="preserve"> ring structures. </w:t>
      </w:r>
      <w:r w:rsidR="000A62D4" w:rsidRPr="000D4E5B">
        <w:t xml:space="preserve"> </w:t>
      </w:r>
      <w:r w:rsidRPr="000D4E5B">
        <w:t xml:space="preserve">The majority of the metabolism was attributable to oxidation reactions with a number of the components produced undergoing subsequent glucuronide or sulphate conjugation.  Up to 20, 37 and 20 metabolites were detected in plasma, urine and faeces respectively, the majority of them representing &lt;1% of the dosed material.  A ring-open </w:t>
      </w:r>
      <w:r w:rsidR="00EA65E3" w:rsidRPr="000D4E5B">
        <w:t xml:space="preserve">piperazin-3-ol </w:t>
      </w:r>
      <w:r w:rsidRPr="000D4E5B">
        <w:t>moiety, and two mono-oxygenated metabolites (each</w:t>
      </w:r>
      <w:r w:rsidR="00F06D8A" w:rsidRPr="000D4E5B">
        <w:t xml:space="preserve"> </w:t>
      </w:r>
      <w:r w:rsidRPr="000D4E5B">
        <w:t xml:space="preserve">~10%) were the major circulating components, with one of the mono-oxygenated metabolites also being the major metabolite in the excreta (6% and 5% of the urinary and faecal radioactivity respectively).  </w:t>
      </w:r>
    </w:p>
    <w:p w14:paraId="7DE234DD" w14:textId="77777777" w:rsidR="001A3992" w:rsidRPr="000D4E5B" w:rsidRDefault="001A3992" w:rsidP="0026491B">
      <w:pPr>
        <w:pStyle w:val="Heading3Unnumbered"/>
      </w:pPr>
      <w:r w:rsidRPr="000D4E5B">
        <w:t>Excretion</w:t>
      </w:r>
    </w:p>
    <w:p w14:paraId="6A13027C" w14:textId="393FD243" w:rsidR="007403BD" w:rsidRPr="000D4E5B" w:rsidRDefault="00276C09" w:rsidP="00276C09">
      <w:pPr>
        <w:pStyle w:val="Paragraph"/>
      </w:pPr>
      <w:r w:rsidRPr="000D4E5B">
        <w:t xml:space="preserve">Following a single dose of </w:t>
      </w:r>
      <w:r w:rsidRPr="000D4E5B">
        <w:rPr>
          <w:vertAlign w:val="superscript"/>
        </w:rPr>
        <w:t>14</w:t>
      </w:r>
      <w:r w:rsidRPr="000D4E5B">
        <w:t>C-olaparib, ~86% of the dosed radioactivity was recovered within a 7</w:t>
      </w:r>
      <w:r w:rsidR="00DA64B3" w:rsidRPr="000D4E5B">
        <w:t> </w:t>
      </w:r>
      <w:r w:rsidRPr="000D4E5B">
        <w:t xml:space="preserve">day collection period, ~44% via the urine and ~42% via the faeces. </w:t>
      </w:r>
      <w:r w:rsidR="00DA64B3" w:rsidRPr="000D4E5B">
        <w:t xml:space="preserve"> </w:t>
      </w:r>
      <w:r w:rsidR="008E0A0A" w:rsidRPr="000D4E5B">
        <w:t xml:space="preserve">The majority </w:t>
      </w:r>
      <w:r w:rsidRPr="000D4E5B">
        <w:t>of the material was excreted as metabolites.</w:t>
      </w:r>
    </w:p>
    <w:p w14:paraId="36D18D61" w14:textId="5B2D185D" w:rsidR="00DA64B3" w:rsidRPr="000D4E5B" w:rsidRDefault="00DA64B3" w:rsidP="00DA64B3">
      <w:pPr>
        <w:pStyle w:val="Heading3Unnumbered"/>
      </w:pPr>
      <w:r w:rsidRPr="000D4E5B">
        <w:t>Special populations</w:t>
      </w:r>
    </w:p>
    <w:p w14:paraId="6C0C83A5" w14:textId="2D79A3DF" w:rsidR="00DA64B3" w:rsidRPr="000D4E5B" w:rsidRDefault="00DA64B3" w:rsidP="00DA64B3">
      <w:pPr>
        <w:pStyle w:val="Heading4Unnumbered"/>
      </w:pPr>
      <w:r w:rsidRPr="000D4E5B">
        <w:t>Renal impairment</w:t>
      </w:r>
    </w:p>
    <w:p w14:paraId="316D173C" w14:textId="2CFB5E67" w:rsidR="00DA64B3" w:rsidRPr="000D4E5B" w:rsidRDefault="00DA64B3" w:rsidP="00DA64B3">
      <w:pPr>
        <w:pStyle w:val="Paragraph"/>
      </w:pPr>
      <w:r w:rsidRPr="000D4E5B">
        <w:t xml:space="preserve">Following a single oral 300 mg dose of </w:t>
      </w:r>
      <w:proofErr w:type="spellStart"/>
      <w:r w:rsidRPr="000D4E5B">
        <w:t>olaparib</w:t>
      </w:r>
      <w:proofErr w:type="spellEnd"/>
      <w:r w:rsidRPr="000D4E5B">
        <w:t xml:space="preserve"> to patients with mild renal impairment (creatinine clearance: 51 to 80 mL/min), AUC increased by 24% (90% CI: 6% to 47%) and </w:t>
      </w:r>
      <w:proofErr w:type="spellStart"/>
      <w:r w:rsidRPr="000D4E5B">
        <w:t>C</w:t>
      </w:r>
      <w:r w:rsidRPr="000D4E5B">
        <w:rPr>
          <w:vertAlign w:val="subscript"/>
        </w:rPr>
        <w:t>max</w:t>
      </w:r>
      <w:proofErr w:type="spellEnd"/>
      <w:r w:rsidRPr="000D4E5B">
        <w:t xml:space="preserve"> by 15% (90% CI: 4% to 27%) compared with patients with normal renal function.  No LYNPARZA dose adjustment is required for patients with mild renal impairment, however, patients should be monitored closely for renal function and adverse events</w:t>
      </w:r>
      <w:r w:rsidR="00EA65E3" w:rsidRPr="000D4E5B">
        <w:t xml:space="preserve"> </w:t>
      </w:r>
      <w:r w:rsidRPr="000D4E5B">
        <w:t xml:space="preserve">(see </w:t>
      </w:r>
      <w:r w:rsidR="00EA65E3" w:rsidRPr="000D4E5B">
        <w:t xml:space="preserve">Section </w:t>
      </w:r>
      <w:r w:rsidR="00BE5BA2" w:rsidRPr="000D4E5B">
        <w:t>4.2 - Dose and method of administration</w:t>
      </w:r>
      <w:r w:rsidRPr="000D4E5B">
        <w:t>).</w:t>
      </w:r>
    </w:p>
    <w:p w14:paraId="5D13DF27" w14:textId="0690B672" w:rsidR="00DA64B3" w:rsidRPr="000D4E5B" w:rsidRDefault="00DA64B3" w:rsidP="00DA64B3">
      <w:pPr>
        <w:pStyle w:val="Paragraph"/>
      </w:pPr>
      <w:r w:rsidRPr="000D4E5B">
        <w:t xml:space="preserve">Following a single oral 300 mg dose of </w:t>
      </w:r>
      <w:proofErr w:type="spellStart"/>
      <w:r w:rsidRPr="000D4E5B">
        <w:t>olaparib</w:t>
      </w:r>
      <w:proofErr w:type="spellEnd"/>
      <w:r w:rsidRPr="000D4E5B">
        <w:t xml:space="preserve"> to patients with moderate renal impairment (creatinine clearance: 31 to 50 mL/min), AUC increased by 44% (90% CI: 10% to 89%) and </w:t>
      </w:r>
      <w:proofErr w:type="spellStart"/>
      <w:r w:rsidRPr="000D4E5B">
        <w:t>C</w:t>
      </w:r>
      <w:r w:rsidRPr="000D4E5B">
        <w:rPr>
          <w:vertAlign w:val="subscript"/>
        </w:rPr>
        <w:t>max</w:t>
      </w:r>
      <w:proofErr w:type="spellEnd"/>
      <w:r w:rsidRPr="000D4E5B">
        <w:t xml:space="preserve"> by 26% (90% CI: 6% to 48%) compared with patients with normal renal function.  LYNPARZA dose adjustment is recommended for patients with moderate renal impairment and patients should be monitored closely for renal function and adverse events (see </w:t>
      </w:r>
      <w:r w:rsidR="00EA65E3" w:rsidRPr="000D4E5B">
        <w:t xml:space="preserve">Section </w:t>
      </w:r>
      <w:r w:rsidR="00BE5BA2" w:rsidRPr="000D4E5B">
        <w:t>4.2 - Dose and method of administration</w:t>
      </w:r>
      <w:r w:rsidRPr="000D4E5B">
        <w:t xml:space="preserve">).  Renal clearance of </w:t>
      </w:r>
      <w:proofErr w:type="spellStart"/>
      <w:r w:rsidRPr="000D4E5B">
        <w:t>olaparib</w:t>
      </w:r>
      <w:proofErr w:type="spellEnd"/>
      <w:r w:rsidRPr="000D4E5B">
        <w:t xml:space="preserve"> was lower in patients with mild and moderate renal impairment compared to patients with normal renal function (1.48 L/h).  For patients with mild or moderate renal impairment, arithmetic mean CLR was 59% (0.614 L/h) and 80% (0.299 L/h) lower, respectively, than that observed in patients with normal renal function.</w:t>
      </w:r>
    </w:p>
    <w:p w14:paraId="2E9073E9" w14:textId="6D176810" w:rsidR="00DA64B3" w:rsidRPr="000D4E5B" w:rsidRDefault="00DA64B3" w:rsidP="00DA64B3">
      <w:pPr>
        <w:pStyle w:val="Paragraph"/>
      </w:pPr>
      <w:r w:rsidRPr="000D4E5B">
        <w:t>Olaparib has not been studied in patients with severe renal impairment or end-stage renal disease (creatinine clearance ≤30 mL/min).</w:t>
      </w:r>
    </w:p>
    <w:p w14:paraId="36001271" w14:textId="3B8ED7AA" w:rsidR="00751313" w:rsidRPr="000D4E5B" w:rsidRDefault="00751313" w:rsidP="00751313">
      <w:pPr>
        <w:pStyle w:val="Heading4Unnumbered"/>
      </w:pPr>
      <w:r w:rsidRPr="000D4E5B">
        <w:t>Hepatic impairment</w:t>
      </w:r>
    </w:p>
    <w:p w14:paraId="216FE406" w14:textId="09AA4DC0" w:rsidR="00751313" w:rsidRPr="000D4E5B" w:rsidRDefault="00751313" w:rsidP="00751313">
      <w:pPr>
        <w:pStyle w:val="Paragraph"/>
        <w:rPr>
          <w:lang w:val="en-AU"/>
        </w:rPr>
      </w:pPr>
      <w:r w:rsidRPr="000D4E5B">
        <w:rPr>
          <w:lang w:val="en-AU"/>
        </w:rPr>
        <w:t xml:space="preserve">Following a single oral 300 mg dose of </w:t>
      </w:r>
      <w:proofErr w:type="spellStart"/>
      <w:r w:rsidRPr="000D4E5B">
        <w:rPr>
          <w:lang w:val="en-AU"/>
        </w:rPr>
        <w:t>olaparib</w:t>
      </w:r>
      <w:proofErr w:type="spellEnd"/>
      <w:r w:rsidRPr="000D4E5B">
        <w:rPr>
          <w:lang w:val="en-AU"/>
        </w:rPr>
        <w:t xml:space="preserve"> to patients with mild hepatic impairment (Child-Pugh </w:t>
      </w:r>
      <w:r w:rsidR="00B424DD" w:rsidRPr="000D4E5B">
        <w:rPr>
          <w:lang w:val="en-AU"/>
        </w:rPr>
        <w:t>classification A</w:t>
      </w:r>
      <w:r w:rsidRPr="000D4E5B">
        <w:rPr>
          <w:lang w:val="en-AU"/>
        </w:rPr>
        <w:t xml:space="preserve">) AUC increased by 15% (90% CI: -23% to 28%) and </w:t>
      </w:r>
      <w:proofErr w:type="spellStart"/>
      <w:r w:rsidRPr="000D4E5B">
        <w:rPr>
          <w:lang w:val="en-AU"/>
        </w:rPr>
        <w:t>C</w:t>
      </w:r>
      <w:r w:rsidRPr="000D4E5B">
        <w:rPr>
          <w:vertAlign w:val="subscript"/>
          <w:lang w:val="en-AU"/>
        </w:rPr>
        <w:t>max</w:t>
      </w:r>
      <w:proofErr w:type="spellEnd"/>
      <w:r w:rsidRPr="000D4E5B">
        <w:rPr>
          <w:lang w:val="en-AU"/>
        </w:rPr>
        <w:t xml:space="preserve"> by 13% (90% CI: </w:t>
      </w:r>
      <w:r w:rsidRPr="000D4E5B">
        <w:rPr>
          <w:lang w:val="en-AU"/>
        </w:rPr>
        <w:noBreakHyphen/>
        <w:t xml:space="preserve">18% to 55%) </w:t>
      </w:r>
      <w:r w:rsidR="00B424DD" w:rsidRPr="000D4E5B">
        <w:rPr>
          <w:lang w:val="en-AU"/>
        </w:rPr>
        <w:t xml:space="preserve">and to patients with moderate hepatic impairment (Child-Pugh classification B) AUC increased by 8% </w:t>
      </w:r>
      <w:r w:rsidR="003925C2" w:rsidRPr="000D4E5B">
        <w:rPr>
          <w:lang w:val="en-AU"/>
        </w:rPr>
        <w:t>(</w:t>
      </w:r>
      <w:r w:rsidR="00AC3372" w:rsidRPr="000D4E5B">
        <w:rPr>
          <w:lang w:val="en-AU"/>
        </w:rPr>
        <w:t>90% CI: 0.66, 1.7</w:t>
      </w:r>
      <w:r w:rsidR="0078071C" w:rsidRPr="000D4E5B">
        <w:rPr>
          <w:lang w:val="en-AU"/>
        </w:rPr>
        <w:t>4</w:t>
      </w:r>
      <w:r w:rsidR="00AC3372" w:rsidRPr="000D4E5B">
        <w:rPr>
          <w:lang w:val="en-AU"/>
        </w:rPr>
        <w:t xml:space="preserve">) </w:t>
      </w:r>
      <w:r w:rsidR="00B424DD" w:rsidRPr="000D4E5B">
        <w:rPr>
          <w:lang w:val="en-AU"/>
        </w:rPr>
        <w:t xml:space="preserve">and </w:t>
      </w:r>
      <w:proofErr w:type="spellStart"/>
      <w:r w:rsidR="00B424DD" w:rsidRPr="000D4E5B">
        <w:rPr>
          <w:lang w:val="en-AU"/>
        </w:rPr>
        <w:t>C</w:t>
      </w:r>
      <w:r w:rsidR="00B06F14" w:rsidRPr="000D4E5B">
        <w:rPr>
          <w:vertAlign w:val="subscript"/>
          <w:lang w:val="en-AU"/>
        </w:rPr>
        <w:t>max</w:t>
      </w:r>
      <w:proofErr w:type="spellEnd"/>
      <w:r w:rsidR="00B06F14" w:rsidRPr="000D4E5B">
        <w:rPr>
          <w:vertAlign w:val="subscript"/>
          <w:lang w:val="en-AU"/>
        </w:rPr>
        <w:t xml:space="preserve"> </w:t>
      </w:r>
      <w:r w:rsidR="00B06F14" w:rsidRPr="000D4E5B">
        <w:rPr>
          <w:lang w:val="en-AU"/>
        </w:rPr>
        <w:t>decreased by 13%</w:t>
      </w:r>
      <w:r w:rsidR="00B424DD" w:rsidRPr="000D4E5B">
        <w:rPr>
          <w:lang w:val="en-AU"/>
        </w:rPr>
        <w:t xml:space="preserve"> </w:t>
      </w:r>
      <w:r w:rsidR="00AC3372" w:rsidRPr="000D4E5B">
        <w:rPr>
          <w:lang w:val="en-AU"/>
        </w:rPr>
        <w:t xml:space="preserve">(90% CI: 0.63, 1.22) </w:t>
      </w:r>
      <w:r w:rsidRPr="000D4E5B">
        <w:rPr>
          <w:lang w:val="en-AU"/>
        </w:rPr>
        <w:t>compared with patients with normal hepatic function.  No LYNPARZA dose adjustment is required in patients with mild</w:t>
      </w:r>
      <w:r w:rsidR="00B06F14" w:rsidRPr="000D4E5B">
        <w:rPr>
          <w:lang w:val="en-AU"/>
        </w:rPr>
        <w:t xml:space="preserve"> or moderate</w:t>
      </w:r>
      <w:r w:rsidRPr="000D4E5B">
        <w:rPr>
          <w:lang w:val="en-AU"/>
        </w:rPr>
        <w:t xml:space="preserve"> hepatic impairment, </w:t>
      </w:r>
      <w:r w:rsidR="00340927" w:rsidRPr="000D4E5B">
        <w:rPr>
          <w:lang w:val="en-AU"/>
        </w:rPr>
        <w:t>however</w:t>
      </w:r>
      <w:r w:rsidRPr="000D4E5B">
        <w:rPr>
          <w:lang w:val="en-AU"/>
        </w:rPr>
        <w:t xml:space="preserve">, patients should be monitored closely for hepatic function and adverse events (see </w:t>
      </w:r>
      <w:r w:rsidR="00EA2D33" w:rsidRPr="000D4E5B">
        <w:rPr>
          <w:lang w:val="en-AU"/>
        </w:rPr>
        <w:t xml:space="preserve">Section </w:t>
      </w:r>
      <w:r w:rsidR="00BE5BA2" w:rsidRPr="000D4E5B">
        <w:t>4.2 - Dose and method of administration.</w:t>
      </w:r>
      <w:r w:rsidRPr="000D4E5B">
        <w:rPr>
          <w:lang w:val="en-AU"/>
        </w:rPr>
        <w:t>).</w:t>
      </w:r>
    </w:p>
    <w:p w14:paraId="13C544FC" w14:textId="7DC7A00F" w:rsidR="009D3FF3" w:rsidRPr="000D4E5B" w:rsidRDefault="009D3FF3" w:rsidP="009D3FF3">
      <w:pPr>
        <w:pStyle w:val="Paragraph"/>
        <w:rPr>
          <w:lang w:val="en-AU"/>
        </w:rPr>
      </w:pPr>
      <w:bookmarkStart w:id="53" w:name="_Hlk513042668"/>
      <w:r w:rsidRPr="000D4E5B">
        <w:rPr>
          <w:lang w:val="en-AU"/>
        </w:rPr>
        <w:t>Olaparib has not been studied in patients with severe hepatic impairment</w:t>
      </w:r>
      <w:r w:rsidR="006E47B3" w:rsidRPr="000D4E5B">
        <w:rPr>
          <w:lang w:val="en-AU"/>
        </w:rPr>
        <w:t xml:space="preserve"> (Child</w:t>
      </w:r>
      <w:r w:rsidR="009D02E3" w:rsidRPr="000D4E5B">
        <w:rPr>
          <w:lang w:val="en-AU"/>
        </w:rPr>
        <w:t>-Pugh classification</w:t>
      </w:r>
      <w:r w:rsidR="00E84DB7" w:rsidRPr="000D4E5B">
        <w:rPr>
          <w:lang w:val="en-AU"/>
        </w:rPr>
        <w:t> </w:t>
      </w:r>
      <w:r w:rsidR="009D02E3" w:rsidRPr="000D4E5B">
        <w:rPr>
          <w:lang w:val="en-AU"/>
        </w:rPr>
        <w:t>C)</w:t>
      </w:r>
      <w:r w:rsidRPr="000D4E5B">
        <w:rPr>
          <w:lang w:val="en-AU"/>
        </w:rPr>
        <w:t xml:space="preserve">.  </w:t>
      </w:r>
    </w:p>
    <w:bookmarkEnd w:id="53"/>
    <w:p w14:paraId="515D401E" w14:textId="38E0C9B8" w:rsidR="00751313" w:rsidRPr="000D4E5B" w:rsidRDefault="00751313" w:rsidP="00751313">
      <w:pPr>
        <w:pStyle w:val="Heading4Unnumbered"/>
      </w:pPr>
      <w:r w:rsidRPr="000D4E5B">
        <w:t>Race</w:t>
      </w:r>
    </w:p>
    <w:p w14:paraId="22A75B82" w14:textId="7333AF68" w:rsidR="00751313" w:rsidRPr="000D4E5B" w:rsidRDefault="009D3FF3" w:rsidP="00751313">
      <w:pPr>
        <w:pStyle w:val="Paragraph"/>
        <w:rPr>
          <w:lang w:val="en-AU"/>
        </w:rPr>
      </w:pPr>
      <w:r w:rsidRPr="000D4E5B">
        <w:rPr>
          <w:lang w:val="en-AU"/>
        </w:rPr>
        <w:t>In population based PK analyses, patient age, bodyweight or race (including White and Japanese patients) were not significant covariates.</w:t>
      </w:r>
    </w:p>
    <w:p w14:paraId="76534727" w14:textId="77777777" w:rsidR="001A3992" w:rsidRPr="000D4E5B" w:rsidRDefault="001A3992" w:rsidP="00CD331E">
      <w:pPr>
        <w:pStyle w:val="Heading2"/>
        <w:tabs>
          <w:tab w:val="clear" w:pos="1134"/>
          <w:tab w:val="num" w:pos="720"/>
        </w:tabs>
        <w:ind w:left="720" w:hanging="720"/>
      </w:pPr>
      <w:r w:rsidRPr="000D4E5B">
        <w:t>Preclinical safety data</w:t>
      </w:r>
    </w:p>
    <w:p w14:paraId="19CB5A16" w14:textId="77777777" w:rsidR="001A3992" w:rsidRPr="000D4E5B" w:rsidRDefault="001A3992" w:rsidP="0026491B">
      <w:pPr>
        <w:pStyle w:val="Heading3Unnumbered"/>
      </w:pPr>
      <w:r w:rsidRPr="000D4E5B">
        <w:t>Genotoxicity</w:t>
      </w:r>
    </w:p>
    <w:p w14:paraId="294BB1C5" w14:textId="52DDFFC4" w:rsidR="007403BD" w:rsidRPr="000D4E5B" w:rsidRDefault="00E34080" w:rsidP="00E34080">
      <w:pPr>
        <w:pStyle w:val="Paragraph"/>
      </w:pPr>
      <w:r w:rsidRPr="000D4E5B">
        <w:t xml:space="preserve">Olaparib showed no mutagenic potential in bacterial cells, but was </w:t>
      </w:r>
      <w:proofErr w:type="spellStart"/>
      <w:r w:rsidRPr="000D4E5B">
        <w:t>clastogenic</w:t>
      </w:r>
      <w:proofErr w:type="spellEnd"/>
      <w:r w:rsidRPr="000D4E5B">
        <w:t xml:space="preserve"> in mammalian cells </w:t>
      </w:r>
      <w:r w:rsidRPr="000D4E5B">
        <w:rPr>
          <w:i/>
        </w:rPr>
        <w:t>in vitro</w:t>
      </w:r>
      <w:r w:rsidRPr="000D4E5B">
        <w:t>.</w:t>
      </w:r>
      <w:r w:rsidR="00CF7674" w:rsidRPr="000D4E5B">
        <w:t xml:space="preserve"> </w:t>
      </w:r>
      <w:r w:rsidRPr="000D4E5B">
        <w:t xml:space="preserve"> When dosed orally to rats, </w:t>
      </w:r>
      <w:proofErr w:type="spellStart"/>
      <w:r w:rsidRPr="000D4E5B">
        <w:t>olaparib</w:t>
      </w:r>
      <w:proofErr w:type="spellEnd"/>
      <w:r w:rsidRPr="000D4E5B">
        <w:t xml:space="preserve"> induced micronuclei in bone marrow.  This </w:t>
      </w:r>
      <w:proofErr w:type="spellStart"/>
      <w:r w:rsidRPr="000D4E5B">
        <w:t>clastogenicity</w:t>
      </w:r>
      <w:proofErr w:type="spellEnd"/>
      <w:r w:rsidRPr="000D4E5B">
        <w:t xml:space="preserve"> is consistent with the primary pharmacology of </w:t>
      </w:r>
      <w:proofErr w:type="spellStart"/>
      <w:r w:rsidRPr="000D4E5B">
        <w:t>olaparib</w:t>
      </w:r>
      <w:proofErr w:type="spellEnd"/>
      <w:r w:rsidRPr="000D4E5B">
        <w:t xml:space="preserve"> and indicates potential for genotoxicity in man.</w:t>
      </w:r>
    </w:p>
    <w:p w14:paraId="57EF99BF" w14:textId="77777777" w:rsidR="001A3992" w:rsidRPr="000D4E5B" w:rsidRDefault="001A3992" w:rsidP="0026491B">
      <w:pPr>
        <w:pStyle w:val="Heading3Unnumbered"/>
      </w:pPr>
      <w:r w:rsidRPr="000D4E5B">
        <w:t>Carcinogenicity</w:t>
      </w:r>
    </w:p>
    <w:p w14:paraId="1DEA23A8" w14:textId="20A72CA5" w:rsidR="007403BD" w:rsidRPr="000D4E5B" w:rsidRDefault="009415E2" w:rsidP="007403BD">
      <w:pPr>
        <w:pStyle w:val="Paragraph"/>
      </w:pPr>
      <w:bookmarkStart w:id="54" w:name="_Hlk513043365"/>
      <w:r w:rsidRPr="000D4E5B">
        <w:t xml:space="preserve">Carcinogenicity studies have not been conducted with </w:t>
      </w:r>
      <w:proofErr w:type="spellStart"/>
      <w:r w:rsidRPr="000D4E5B">
        <w:t>olaparib</w:t>
      </w:r>
      <w:bookmarkEnd w:id="54"/>
      <w:proofErr w:type="spellEnd"/>
      <w:r w:rsidR="00E34080" w:rsidRPr="000D4E5B">
        <w:t>.</w:t>
      </w:r>
    </w:p>
    <w:p w14:paraId="3A66B3C1" w14:textId="77777777" w:rsidR="001A3992" w:rsidRPr="000D4E5B" w:rsidRDefault="001A3992" w:rsidP="00CD331E">
      <w:pPr>
        <w:pStyle w:val="Heading1"/>
        <w:tabs>
          <w:tab w:val="clear" w:pos="1134"/>
          <w:tab w:val="num" w:pos="720"/>
        </w:tabs>
        <w:ind w:left="720" w:hanging="720"/>
      </w:pPr>
      <w:r w:rsidRPr="000D4E5B">
        <w:t>Pharmaceutical particulars</w:t>
      </w:r>
    </w:p>
    <w:p w14:paraId="110AD725" w14:textId="77777777" w:rsidR="001A3992" w:rsidRPr="000D4E5B" w:rsidRDefault="001A3992" w:rsidP="00CD331E">
      <w:pPr>
        <w:pStyle w:val="Heading2"/>
        <w:tabs>
          <w:tab w:val="clear" w:pos="1134"/>
          <w:tab w:val="num" w:pos="720"/>
        </w:tabs>
        <w:ind w:left="720" w:hanging="720"/>
      </w:pPr>
      <w:r w:rsidRPr="000D4E5B">
        <w:t>List of exci</w:t>
      </w:r>
      <w:r w:rsidR="00795D99" w:rsidRPr="000D4E5B">
        <w:t>pients</w:t>
      </w:r>
    </w:p>
    <w:p w14:paraId="392877F1" w14:textId="31B132C6" w:rsidR="007A2548" w:rsidRPr="000D4E5B" w:rsidRDefault="007A2548" w:rsidP="007A2548">
      <w:pPr>
        <w:pStyle w:val="Paragraph"/>
      </w:pPr>
      <w:r w:rsidRPr="000D4E5B">
        <w:t xml:space="preserve">Refer to </w:t>
      </w:r>
      <w:r w:rsidRPr="000D4E5B">
        <w:rPr>
          <w:i/>
        </w:rPr>
        <w:t>Section 2</w:t>
      </w:r>
      <w:r w:rsidR="00906923" w:rsidRPr="000D4E5B">
        <w:rPr>
          <w:i/>
        </w:rPr>
        <w:t xml:space="preserve"> </w:t>
      </w:r>
      <w:r w:rsidRPr="000D4E5B">
        <w:rPr>
          <w:i/>
        </w:rPr>
        <w:t>-</w:t>
      </w:r>
      <w:r w:rsidR="00906923" w:rsidRPr="000D4E5B">
        <w:rPr>
          <w:i/>
        </w:rPr>
        <w:t xml:space="preserve"> </w:t>
      </w:r>
      <w:r w:rsidRPr="000D4E5B">
        <w:rPr>
          <w:i/>
        </w:rPr>
        <w:t>Qualitative and quantitative composition</w:t>
      </w:r>
      <w:r w:rsidRPr="000D4E5B">
        <w:t>.</w:t>
      </w:r>
    </w:p>
    <w:p w14:paraId="608E3815" w14:textId="77777777" w:rsidR="001A3992" w:rsidRPr="000D4E5B" w:rsidRDefault="001A3992" w:rsidP="00CD331E">
      <w:pPr>
        <w:pStyle w:val="Heading2"/>
        <w:tabs>
          <w:tab w:val="clear" w:pos="1134"/>
          <w:tab w:val="num" w:pos="720"/>
        </w:tabs>
        <w:ind w:left="720" w:hanging="720"/>
      </w:pPr>
      <w:r w:rsidRPr="000D4E5B">
        <w:t>Incompatib</w:t>
      </w:r>
      <w:r w:rsidR="00795D99" w:rsidRPr="000D4E5B">
        <w:t>ilities</w:t>
      </w:r>
    </w:p>
    <w:p w14:paraId="00F19E63" w14:textId="3A2420A4" w:rsidR="007A2548" w:rsidRPr="000D4E5B" w:rsidRDefault="009061AD" w:rsidP="007A2548">
      <w:pPr>
        <w:pStyle w:val="Paragraph"/>
      </w:pPr>
      <w:bookmarkStart w:id="55" w:name="_Hlk513043490"/>
      <w:r w:rsidRPr="000D4E5B">
        <w:t>Incompatibilities were either not assessed or not identified as part of the registration of this medicine</w:t>
      </w:r>
      <w:bookmarkEnd w:id="55"/>
      <w:r w:rsidR="007A2548" w:rsidRPr="000D4E5B">
        <w:t>.</w:t>
      </w:r>
    </w:p>
    <w:p w14:paraId="5055E879" w14:textId="77777777" w:rsidR="001A3992" w:rsidRPr="000D4E5B" w:rsidRDefault="001A3992" w:rsidP="00CD331E">
      <w:pPr>
        <w:pStyle w:val="Heading2"/>
        <w:tabs>
          <w:tab w:val="clear" w:pos="1134"/>
          <w:tab w:val="num" w:pos="720"/>
        </w:tabs>
        <w:ind w:left="720" w:hanging="720"/>
      </w:pPr>
      <w:r w:rsidRPr="000D4E5B">
        <w:t>Shelf life</w:t>
      </w:r>
    </w:p>
    <w:p w14:paraId="081A4CE9" w14:textId="70F5A4D6" w:rsidR="007A2548" w:rsidRPr="000D4E5B" w:rsidRDefault="009061AD" w:rsidP="007403BD">
      <w:pPr>
        <w:pStyle w:val="Paragraph"/>
      </w:pPr>
      <w:r w:rsidRPr="000D4E5B">
        <w:t>In Australia, information on the shelf life can be found on the public summary of the Australian Register of Therapeutic Goods (ARTG). The expiry date can be found on the packaging</w:t>
      </w:r>
      <w:r w:rsidR="007A2548" w:rsidRPr="000D4E5B">
        <w:t>.</w:t>
      </w:r>
    </w:p>
    <w:p w14:paraId="74053D57" w14:textId="747E79FB" w:rsidR="001A3992" w:rsidRPr="000D4E5B" w:rsidRDefault="00795D99" w:rsidP="00CD331E">
      <w:pPr>
        <w:pStyle w:val="Heading2"/>
        <w:tabs>
          <w:tab w:val="clear" w:pos="1134"/>
          <w:tab w:val="num" w:pos="720"/>
        </w:tabs>
        <w:ind w:left="720" w:hanging="720"/>
      </w:pPr>
      <w:r w:rsidRPr="000D4E5B">
        <w:t>Special precautions for storage</w:t>
      </w:r>
    </w:p>
    <w:p w14:paraId="49D8BC13" w14:textId="0D947534" w:rsidR="007A2548" w:rsidRPr="000D4E5B" w:rsidRDefault="00A84F47" w:rsidP="007403BD">
      <w:pPr>
        <w:pStyle w:val="Paragraph"/>
      </w:pPr>
      <w:r w:rsidRPr="000D4E5B">
        <w:t xml:space="preserve">Store below 30°C. </w:t>
      </w:r>
      <w:bookmarkStart w:id="56" w:name="_Hlk513044644"/>
      <w:r w:rsidR="00CF7674" w:rsidRPr="000D4E5B">
        <w:t>Store in original container to protect from moisture.</w:t>
      </w:r>
      <w:bookmarkEnd w:id="56"/>
    </w:p>
    <w:p w14:paraId="1AB3F946" w14:textId="77777777" w:rsidR="001A3992" w:rsidRPr="000D4E5B" w:rsidRDefault="001A3992" w:rsidP="00CD331E">
      <w:pPr>
        <w:pStyle w:val="Heading2"/>
        <w:tabs>
          <w:tab w:val="clear" w:pos="1134"/>
          <w:tab w:val="num" w:pos="720"/>
        </w:tabs>
        <w:ind w:left="720" w:hanging="720"/>
      </w:pPr>
      <w:r w:rsidRPr="000D4E5B">
        <w:t>N</w:t>
      </w:r>
      <w:r w:rsidR="00795D99" w:rsidRPr="000D4E5B">
        <w:t>ature and contents of container</w:t>
      </w:r>
    </w:p>
    <w:p w14:paraId="7BA84FE0" w14:textId="4977D76A" w:rsidR="006A727B" w:rsidRPr="000D4E5B" w:rsidRDefault="00A84F47" w:rsidP="00CF7674">
      <w:pPr>
        <w:pStyle w:val="Paragraph"/>
      </w:pPr>
      <w:r w:rsidRPr="000D4E5B">
        <w:t xml:space="preserve">LYNPARZA is supplied in cartons containing </w:t>
      </w:r>
      <w:r w:rsidR="00CF7674" w:rsidRPr="000D4E5B">
        <w:rPr>
          <w:lang w:val="en-AU"/>
        </w:rPr>
        <w:t>56 tablets in aluminium/aluminium blister platforms</w:t>
      </w:r>
      <w:r w:rsidRPr="000D4E5B">
        <w:t>.</w:t>
      </w:r>
    </w:p>
    <w:p w14:paraId="2E2C7D9A" w14:textId="77777777" w:rsidR="001A3992" w:rsidRPr="000D4E5B" w:rsidRDefault="001A3992" w:rsidP="00CD331E">
      <w:pPr>
        <w:pStyle w:val="Heading2"/>
        <w:tabs>
          <w:tab w:val="clear" w:pos="1134"/>
          <w:tab w:val="num" w:pos="720"/>
        </w:tabs>
        <w:ind w:left="720" w:hanging="720"/>
      </w:pPr>
      <w:r w:rsidRPr="000D4E5B">
        <w:t>S</w:t>
      </w:r>
      <w:r w:rsidR="00795D99" w:rsidRPr="000D4E5B">
        <w:t>pecial precautions for disposal</w:t>
      </w:r>
    </w:p>
    <w:p w14:paraId="7BDB457A" w14:textId="6F808293" w:rsidR="006A727B" w:rsidRPr="000D4E5B" w:rsidRDefault="009061AD" w:rsidP="007403BD">
      <w:pPr>
        <w:pStyle w:val="Paragraph"/>
      </w:pPr>
      <w:bookmarkStart w:id="57" w:name="_Hlk513043630"/>
      <w:r w:rsidRPr="000D4E5B">
        <w:t>In Australia, any unused medicine or waste material should be disposed of by taking to your local pharmacy</w:t>
      </w:r>
      <w:bookmarkEnd w:id="57"/>
      <w:r w:rsidR="006A727B" w:rsidRPr="000D4E5B">
        <w:t>.</w:t>
      </w:r>
    </w:p>
    <w:p w14:paraId="26054392" w14:textId="77777777" w:rsidR="001A3992" w:rsidRPr="000D4E5B" w:rsidRDefault="001A3992" w:rsidP="00CD331E">
      <w:pPr>
        <w:pStyle w:val="Heading2"/>
        <w:tabs>
          <w:tab w:val="clear" w:pos="1134"/>
          <w:tab w:val="num" w:pos="720"/>
        </w:tabs>
        <w:ind w:left="720" w:hanging="720"/>
      </w:pPr>
      <w:r w:rsidRPr="000D4E5B">
        <w:t>Physicochemical properties</w:t>
      </w:r>
    </w:p>
    <w:p w14:paraId="465971C4" w14:textId="50517666" w:rsidR="006A6CA4" w:rsidRPr="000D4E5B" w:rsidRDefault="006A6CA4" w:rsidP="006A6CA4">
      <w:pPr>
        <w:pStyle w:val="Paragraph"/>
      </w:pPr>
      <w:r w:rsidRPr="000D4E5B">
        <w:t>Olaparib is a white to pale yellow crystalline powder, which is very slightly soluble in aqueous solutions (0.10</w:t>
      </w:r>
      <w:r w:rsidR="00023C78" w:rsidRPr="000D4E5B">
        <w:t xml:space="preserve"> - </w:t>
      </w:r>
      <w:r w:rsidRPr="000D4E5B">
        <w:t xml:space="preserve">0.13 mg/mL at 37°C), slightly soluble in ethanol (5.5 mg/mL at 37°C) and has a </w:t>
      </w:r>
      <w:proofErr w:type="spellStart"/>
      <w:r w:rsidRPr="000D4E5B">
        <w:t>pKa</w:t>
      </w:r>
      <w:proofErr w:type="spellEnd"/>
      <w:r w:rsidRPr="000D4E5B">
        <w:t xml:space="preserve"> of 12.07.</w:t>
      </w:r>
    </w:p>
    <w:p w14:paraId="32FE0165" w14:textId="0883E0F3" w:rsidR="001A3992" w:rsidRPr="000D4E5B" w:rsidRDefault="001A3992" w:rsidP="0026491B">
      <w:pPr>
        <w:pStyle w:val="Heading3Unnumbered"/>
      </w:pPr>
      <w:r w:rsidRPr="000D4E5B">
        <w:t>Chemical structure</w:t>
      </w:r>
    </w:p>
    <w:p w14:paraId="37C03EE4" w14:textId="7203A2A5" w:rsidR="006A727B" w:rsidRPr="000D4E5B" w:rsidRDefault="004F6A1C" w:rsidP="004F6A1C">
      <w:pPr>
        <w:pStyle w:val="Paragraph"/>
      </w:pPr>
      <w:r w:rsidRPr="000D4E5B">
        <w:t xml:space="preserve">The chemical name for </w:t>
      </w:r>
      <w:proofErr w:type="spellStart"/>
      <w:r w:rsidRPr="000D4E5B">
        <w:t>olaparib</w:t>
      </w:r>
      <w:proofErr w:type="spellEnd"/>
      <w:r w:rsidRPr="000D4E5B">
        <w:t xml:space="preserve"> is: 4-[[3-[[4-(cyclopropylcarbonyl)-1-piperazinyl]carbonyl]-4-fluorophenyl]methyl]-1(2H)-phthalazinone.</w:t>
      </w:r>
    </w:p>
    <w:p w14:paraId="10839306" w14:textId="3F5067F5" w:rsidR="00823416" w:rsidRPr="000D4E5B" w:rsidRDefault="00823416" w:rsidP="004F6A1C">
      <w:pPr>
        <w:pStyle w:val="Paragraph"/>
      </w:pPr>
      <w:r w:rsidRPr="000D4E5B">
        <w:t xml:space="preserve">The chemical structure of </w:t>
      </w:r>
      <w:proofErr w:type="spellStart"/>
      <w:r w:rsidRPr="000D4E5B">
        <w:t>olaparib</w:t>
      </w:r>
      <w:proofErr w:type="spellEnd"/>
      <w:r w:rsidRPr="000D4E5B">
        <w:t xml:space="preserve"> is:</w:t>
      </w:r>
    </w:p>
    <w:p w14:paraId="0AB0EBBD" w14:textId="2A0C4A1F" w:rsidR="00823416" w:rsidRPr="000D4E5B" w:rsidRDefault="00823416" w:rsidP="00823416">
      <w:pPr>
        <w:pStyle w:val="Paragraph"/>
        <w:jc w:val="center"/>
      </w:pPr>
      <w:r w:rsidRPr="000D4E5B">
        <w:rPr>
          <w:rFonts w:ascii="Arial" w:hAnsi="Arial"/>
          <w:b/>
          <w:noProof/>
          <w:sz w:val="22"/>
          <w:szCs w:val="20"/>
          <w:lang w:val="en-AU" w:eastAsia="en-AU"/>
        </w:rPr>
        <w:drawing>
          <wp:inline distT="0" distB="0" distL="0" distR="0" wp14:anchorId="5DC5B5B3" wp14:editId="431163AB">
            <wp:extent cx="3299460" cy="2141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9460" cy="2141220"/>
                    </a:xfrm>
                    <a:prstGeom prst="rect">
                      <a:avLst/>
                    </a:prstGeom>
                    <a:noFill/>
                    <a:ln>
                      <a:noFill/>
                    </a:ln>
                  </pic:spPr>
                </pic:pic>
              </a:graphicData>
            </a:graphic>
          </wp:inline>
        </w:drawing>
      </w:r>
    </w:p>
    <w:p w14:paraId="7EF472C1" w14:textId="77777777" w:rsidR="00823416" w:rsidRPr="000D4E5B" w:rsidRDefault="00823416" w:rsidP="00823416">
      <w:pPr>
        <w:pStyle w:val="Paragraph"/>
      </w:pPr>
      <w:r w:rsidRPr="000D4E5B">
        <w:t>Molecular formula: C</w:t>
      </w:r>
      <w:r w:rsidRPr="000D4E5B">
        <w:rPr>
          <w:vertAlign w:val="subscript"/>
        </w:rPr>
        <w:t>24</w:t>
      </w:r>
      <w:r w:rsidRPr="000D4E5B">
        <w:t>H</w:t>
      </w:r>
      <w:r w:rsidRPr="000D4E5B">
        <w:rPr>
          <w:vertAlign w:val="subscript"/>
        </w:rPr>
        <w:t>23</w:t>
      </w:r>
      <w:r w:rsidRPr="000D4E5B">
        <w:t>FN</w:t>
      </w:r>
      <w:r w:rsidRPr="000D4E5B">
        <w:rPr>
          <w:vertAlign w:val="subscript"/>
        </w:rPr>
        <w:t>4</w:t>
      </w:r>
      <w:r w:rsidRPr="000D4E5B">
        <w:t>O</w:t>
      </w:r>
      <w:r w:rsidRPr="000D4E5B">
        <w:rPr>
          <w:vertAlign w:val="subscript"/>
        </w:rPr>
        <w:t>3</w:t>
      </w:r>
    </w:p>
    <w:p w14:paraId="5C7927D3" w14:textId="02E35139" w:rsidR="00823416" w:rsidRPr="000D4E5B" w:rsidRDefault="00823416" w:rsidP="00823416">
      <w:pPr>
        <w:pStyle w:val="Paragraph"/>
      </w:pPr>
      <w:r w:rsidRPr="000D4E5B">
        <w:t>Molecular weight: 434.46</w:t>
      </w:r>
    </w:p>
    <w:p w14:paraId="6539753C" w14:textId="77777777" w:rsidR="001A3992" w:rsidRPr="000D4E5B" w:rsidRDefault="001A3992" w:rsidP="0026491B">
      <w:pPr>
        <w:pStyle w:val="Heading3Unnumbered"/>
      </w:pPr>
      <w:r w:rsidRPr="000D4E5B">
        <w:t>CAS number</w:t>
      </w:r>
    </w:p>
    <w:p w14:paraId="654D5F67" w14:textId="33B4AB88" w:rsidR="006A727B" w:rsidRPr="000D4E5B" w:rsidRDefault="00823416" w:rsidP="006A727B">
      <w:pPr>
        <w:pStyle w:val="Paragraph"/>
      </w:pPr>
      <w:r w:rsidRPr="000D4E5B">
        <w:t>CAS number: 763113-22-0</w:t>
      </w:r>
    </w:p>
    <w:p w14:paraId="5F6B53CA" w14:textId="77777777" w:rsidR="00A827C2" w:rsidRPr="000D4E5B" w:rsidRDefault="00A827C2">
      <w:pPr>
        <w:spacing w:after="200"/>
        <w:rPr>
          <w:rFonts w:cs="Arial"/>
          <w:b/>
          <w:bCs/>
          <w:caps/>
          <w:kern w:val="32"/>
          <w:sz w:val="28"/>
          <w:szCs w:val="28"/>
        </w:rPr>
      </w:pPr>
      <w:r w:rsidRPr="000D4E5B">
        <w:br w:type="page"/>
      </w:r>
    </w:p>
    <w:p w14:paraId="6451EEF2" w14:textId="318F3EDC" w:rsidR="001A3992" w:rsidRPr="000D4E5B" w:rsidRDefault="001A3992" w:rsidP="00CD331E">
      <w:pPr>
        <w:pStyle w:val="Heading1"/>
        <w:tabs>
          <w:tab w:val="clear" w:pos="1134"/>
          <w:tab w:val="num" w:pos="720"/>
        </w:tabs>
        <w:ind w:left="720" w:hanging="720"/>
      </w:pPr>
      <w:r w:rsidRPr="000D4E5B">
        <w:t>Medicine schedule (Poisons Standard)</w:t>
      </w:r>
    </w:p>
    <w:p w14:paraId="1E722A13" w14:textId="0D9F1999" w:rsidR="0041004D" w:rsidRPr="000D4E5B" w:rsidRDefault="00A84F47" w:rsidP="002D3489">
      <w:pPr>
        <w:pStyle w:val="Paragraph"/>
      </w:pPr>
      <w:r w:rsidRPr="000D4E5B">
        <w:t>Schedule 4 – Prescription Only Medicine</w:t>
      </w:r>
    </w:p>
    <w:p w14:paraId="1CC4D6C6" w14:textId="77777777" w:rsidR="00285173" w:rsidRPr="000D4E5B" w:rsidRDefault="001A3992" w:rsidP="00CD331E">
      <w:pPr>
        <w:pStyle w:val="Heading1"/>
        <w:tabs>
          <w:tab w:val="clear" w:pos="1134"/>
          <w:tab w:val="num" w:pos="720"/>
        </w:tabs>
        <w:ind w:left="720" w:hanging="720"/>
      </w:pPr>
      <w:r w:rsidRPr="000D4E5B">
        <w:t>Sponsor</w:t>
      </w:r>
    </w:p>
    <w:p w14:paraId="47080C37" w14:textId="77777777" w:rsidR="0041004D" w:rsidRPr="000D4E5B" w:rsidRDefault="0041004D" w:rsidP="0041004D">
      <w:pPr>
        <w:pStyle w:val="Paragraph"/>
      </w:pPr>
      <w:r w:rsidRPr="000D4E5B">
        <w:t>AstraZeneca Pty Ltd</w:t>
      </w:r>
      <w:r w:rsidRPr="000D4E5B">
        <w:br/>
        <w:t>ABN 54 009 682 311</w:t>
      </w:r>
      <w:r w:rsidRPr="000D4E5B">
        <w:br/>
        <w:t>66 Talavera Road</w:t>
      </w:r>
      <w:r w:rsidRPr="000D4E5B">
        <w:br/>
        <w:t>MACQUARIE PARK NSW 2113</w:t>
      </w:r>
    </w:p>
    <w:p w14:paraId="1AC98654" w14:textId="77777777" w:rsidR="0041004D" w:rsidRPr="000D4E5B" w:rsidRDefault="0041004D" w:rsidP="0041004D">
      <w:pPr>
        <w:pStyle w:val="Paragraph"/>
      </w:pPr>
      <w:r w:rsidRPr="000D4E5B">
        <w:t>Telephone: 1800 805 342</w:t>
      </w:r>
    </w:p>
    <w:p w14:paraId="40331105" w14:textId="77777777" w:rsidR="00285173" w:rsidRPr="000D4E5B" w:rsidRDefault="00285173" w:rsidP="00EE3AC8">
      <w:pPr>
        <w:pStyle w:val="Heading1"/>
      </w:pPr>
      <w:r w:rsidRPr="000D4E5B">
        <w:t xml:space="preserve">Date of first </w:t>
      </w:r>
      <w:r w:rsidR="00795D99" w:rsidRPr="000D4E5B">
        <w:t>approval</w:t>
      </w:r>
    </w:p>
    <w:p w14:paraId="3B4FF0C9" w14:textId="79B006DC" w:rsidR="00E00336" w:rsidRPr="000D4E5B" w:rsidRDefault="00CA04F3" w:rsidP="002D3489">
      <w:pPr>
        <w:pStyle w:val="Paragraph"/>
      </w:pPr>
      <w:r w:rsidRPr="000D4E5B">
        <w:t>23 May 2018</w:t>
      </w:r>
    </w:p>
    <w:p w14:paraId="04D5274B" w14:textId="77777777" w:rsidR="00285173" w:rsidRPr="000D4E5B" w:rsidRDefault="00285173" w:rsidP="00EE3AC8">
      <w:pPr>
        <w:pStyle w:val="Heading1"/>
      </w:pPr>
      <w:r w:rsidRPr="000D4E5B">
        <w:t>Date o</w:t>
      </w:r>
      <w:r w:rsidR="00795D99" w:rsidRPr="000D4E5B">
        <w:t>f revision</w:t>
      </w:r>
    </w:p>
    <w:p w14:paraId="6CC55012" w14:textId="03E72E0D" w:rsidR="00285173" w:rsidRPr="000D4E5B" w:rsidRDefault="00285173" w:rsidP="0026491B">
      <w:pPr>
        <w:pStyle w:val="Heading2Unnumbered"/>
      </w:pPr>
      <w:bookmarkStart w:id="58" w:name="_GoBack"/>
      <w:bookmarkEnd w:id="58"/>
      <w:r w:rsidRPr="000D4E5B">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0D4E5B" w14:paraId="4EE389A4" w14:textId="77777777" w:rsidTr="008A35FB">
        <w:trPr>
          <w:cantSplit/>
          <w:tblHeader/>
        </w:trPr>
        <w:tc>
          <w:tcPr>
            <w:tcW w:w="1129" w:type="dxa"/>
            <w:shd w:val="clear" w:color="auto" w:fill="auto"/>
          </w:tcPr>
          <w:p w14:paraId="689DC031" w14:textId="77777777" w:rsidR="008A35FB" w:rsidRPr="000D4E5B" w:rsidRDefault="008A35FB" w:rsidP="008A35FB">
            <w:pPr>
              <w:pStyle w:val="TableHead"/>
              <w:jc w:val="left"/>
              <w:rPr>
                <w:sz w:val="22"/>
                <w:szCs w:val="22"/>
              </w:rPr>
            </w:pPr>
            <w:r w:rsidRPr="000D4E5B">
              <w:rPr>
                <w:sz w:val="22"/>
                <w:szCs w:val="22"/>
              </w:rPr>
              <w:t>Section changed</w:t>
            </w:r>
          </w:p>
        </w:tc>
        <w:tc>
          <w:tcPr>
            <w:tcW w:w="8509" w:type="dxa"/>
            <w:shd w:val="clear" w:color="auto" w:fill="auto"/>
          </w:tcPr>
          <w:p w14:paraId="06E3092C" w14:textId="77777777" w:rsidR="008A35FB" w:rsidRPr="000D4E5B" w:rsidRDefault="008A35FB" w:rsidP="008A35FB">
            <w:pPr>
              <w:pStyle w:val="TableHead"/>
              <w:jc w:val="left"/>
              <w:rPr>
                <w:sz w:val="22"/>
                <w:szCs w:val="22"/>
              </w:rPr>
            </w:pPr>
            <w:r w:rsidRPr="000D4E5B">
              <w:rPr>
                <w:sz w:val="22"/>
                <w:szCs w:val="22"/>
              </w:rPr>
              <w:t>Summary of new information</w:t>
            </w:r>
          </w:p>
        </w:tc>
      </w:tr>
      <w:tr w:rsidR="00E86E1A" w:rsidRPr="000D4E5B" w14:paraId="162D3EC5" w14:textId="77777777" w:rsidTr="008A35FB">
        <w:trPr>
          <w:cantSplit/>
        </w:trPr>
        <w:tc>
          <w:tcPr>
            <w:tcW w:w="1129" w:type="dxa"/>
            <w:shd w:val="clear" w:color="auto" w:fill="auto"/>
          </w:tcPr>
          <w:p w14:paraId="4511F2A5" w14:textId="3673C285" w:rsidR="00E86E1A" w:rsidRPr="000D4E5B" w:rsidDel="00C73225" w:rsidRDefault="00E86E1A" w:rsidP="00E86E1A">
            <w:pPr>
              <w:pStyle w:val="TableLeft"/>
              <w:rPr>
                <w:b/>
                <w:sz w:val="22"/>
                <w:szCs w:val="22"/>
              </w:rPr>
            </w:pPr>
            <w:r w:rsidRPr="000D4E5B">
              <w:rPr>
                <w:b/>
                <w:sz w:val="22"/>
                <w:szCs w:val="22"/>
              </w:rPr>
              <w:t>4.1</w:t>
            </w:r>
          </w:p>
        </w:tc>
        <w:tc>
          <w:tcPr>
            <w:tcW w:w="8509" w:type="dxa"/>
            <w:shd w:val="clear" w:color="auto" w:fill="auto"/>
          </w:tcPr>
          <w:p w14:paraId="5C9689B1" w14:textId="42D8DF2F" w:rsidR="00E86E1A" w:rsidRPr="000D4E5B" w:rsidDel="00C73225" w:rsidRDefault="00E86E1A" w:rsidP="00E86E1A">
            <w:pPr>
              <w:pStyle w:val="TableLeft"/>
              <w:rPr>
                <w:sz w:val="22"/>
                <w:szCs w:val="22"/>
              </w:rPr>
            </w:pPr>
            <w:r w:rsidRPr="000D4E5B">
              <w:rPr>
                <w:sz w:val="22"/>
                <w:szCs w:val="22"/>
              </w:rPr>
              <w:t>Addition of indication in combination with bevacizumab in ovarian cancer (Paola-1) and adenocarcinoma of the pancreas (POLO)</w:t>
            </w:r>
          </w:p>
        </w:tc>
      </w:tr>
      <w:tr w:rsidR="00E86E1A" w:rsidRPr="000D4E5B" w14:paraId="4769CFE1" w14:textId="77777777" w:rsidTr="008A35FB">
        <w:trPr>
          <w:cantSplit/>
        </w:trPr>
        <w:tc>
          <w:tcPr>
            <w:tcW w:w="1129" w:type="dxa"/>
            <w:shd w:val="clear" w:color="auto" w:fill="auto"/>
          </w:tcPr>
          <w:p w14:paraId="36072F07" w14:textId="7B618222" w:rsidR="00E86E1A" w:rsidRPr="000D4E5B" w:rsidRDefault="00E86E1A" w:rsidP="00E86E1A">
            <w:pPr>
              <w:pStyle w:val="TableLeft"/>
              <w:rPr>
                <w:b/>
                <w:sz w:val="22"/>
                <w:szCs w:val="22"/>
              </w:rPr>
            </w:pPr>
            <w:r w:rsidRPr="000D4E5B">
              <w:rPr>
                <w:b/>
                <w:sz w:val="22"/>
                <w:szCs w:val="22"/>
              </w:rPr>
              <w:t>4.2</w:t>
            </w:r>
          </w:p>
        </w:tc>
        <w:tc>
          <w:tcPr>
            <w:tcW w:w="8509" w:type="dxa"/>
            <w:shd w:val="clear" w:color="auto" w:fill="auto"/>
          </w:tcPr>
          <w:p w14:paraId="4CA3EA8C" w14:textId="6A805FA2" w:rsidR="00E86E1A" w:rsidRPr="000D4E5B" w:rsidRDefault="00E86E1A" w:rsidP="00E86E1A">
            <w:pPr>
              <w:pStyle w:val="TableLeft"/>
              <w:rPr>
                <w:sz w:val="22"/>
                <w:szCs w:val="22"/>
              </w:rPr>
            </w:pPr>
            <w:r w:rsidRPr="000D4E5B">
              <w:rPr>
                <w:sz w:val="22"/>
                <w:szCs w:val="22"/>
              </w:rPr>
              <w:t>Information regarding duration of treatment for Paola-1 and POLO indication</w:t>
            </w:r>
          </w:p>
        </w:tc>
      </w:tr>
      <w:tr w:rsidR="00E86E1A" w:rsidRPr="000D4E5B" w14:paraId="1B9030AE" w14:textId="77777777" w:rsidTr="008A35FB">
        <w:trPr>
          <w:cantSplit/>
        </w:trPr>
        <w:tc>
          <w:tcPr>
            <w:tcW w:w="1129" w:type="dxa"/>
            <w:shd w:val="clear" w:color="auto" w:fill="auto"/>
          </w:tcPr>
          <w:p w14:paraId="127B60E1" w14:textId="189E5267" w:rsidR="00E86E1A" w:rsidRPr="000D4E5B" w:rsidRDefault="00E86E1A" w:rsidP="00E86E1A">
            <w:pPr>
              <w:pStyle w:val="TableLeft"/>
              <w:rPr>
                <w:b/>
                <w:sz w:val="22"/>
                <w:szCs w:val="22"/>
              </w:rPr>
            </w:pPr>
            <w:r w:rsidRPr="000D4E5B">
              <w:rPr>
                <w:b/>
                <w:sz w:val="22"/>
                <w:szCs w:val="22"/>
              </w:rPr>
              <w:t>4.8</w:t>
            </w:r>
          </w:p>
        </w:tc>
        <w:tc>
          <w:tcPr>
            <w:tcW w:w="8509" w:type="dxa"/>
            <w:shd w:val="clear" w:color="auto" w:fill="auto"/>
          </w:tcPr>
          <w:p w14:paraId="224065DA" w14:textId="2B5075D9" w:rsidR="00E86E1A" w:rsidRPr="000D4E5B" w:rsidRDefault="00E86E1A" w:rsidP="00E86E1A">
            <w:pPr>
              <w:pStyle w:val="TableLeft"/>
              <w:rPr>
                <w:sz w:val="22"/>
                <w:szCs w:val="22"/>
              </w:rPr>
            </w:pPr>
            <w:r w:rsidRPr="000D4E5B">
              <w:rPr>
                <w:sz w:val="22"/>
                <w:szCs w:val="22"/>
              </w:rPr>
              <w:t>Updates from safety pool</w:t>
            </w:r>
          </w:p>
        </w:tc>
      </w:tr>
      <w:tr w:rsidR="00E86E1A" w:rsidRPr="000D4E5B" w14:paraId="271AF077" w14:textId="77777777" w:rsidTr="008A35FB">
        <w:trPr>
          <w:cantSplit/>
        </w:trPr>
        <w:tc>
          <w:tcPr>
            <w:tcW w:w="1129" w:type="dxa"/>
            <w:shd w:val="clear" w:color="auto" w:fill="auto"/>
          </w:tcPr>
          <w:p w14:paraId="739538B7" w14:textId="440D39A0" w:rsidR="00E86E1A" w:rsidRPr="000D4E5B" w:rsidRDefault="00E86E1A" w:rsidP="00E86E1A">
            <w:pPr>
              <w:pStyle w:val="TableLeft"/>
              <w:rPr>
                <w:b/>
                <w:sz w:val="22"/>
                <w:szCs w:val="22"/>
              </w:rPr>
            </w:pPr>
            <w:r>
              <w:rPr>
                <w:b/>
                <w:sz w:val="22"/>
                <w:szCs w:val="22"/>
              </w:rPr>
              <w:t>4.8</w:t>
            </w:r>
          </w:p>
        </w:tc>
        <w:tc>
          <w:tcPr>
            <w:tcW w:w="8509" w:type="dxa"/>
            <w:shd w:val="clear" w:color="auto" w:fill="auto"/>
          </w:tcPr>
          <w:p w14:paraId="3EADA836" w14:textId="6E704D2C" w:rsidR="00E86E1A" w:rsidRPr="000D4E5B" w:rsidRDefault="00E86E1A" w:rsidP="00E86E1A">
            <w:pPr>
              <w:pStyle w:val="TableLeft"/>
              <w:rPr>
                <w:sz w:val="22"/>
                <w:szCs w:val="22"/>
              </w:rPr>
            </w:pPr>
            <w:r w:rsidRPr="0083522F">
              <w:rPr>
                <w:sz w:val="22"/>
                <w:szCs w:val="22"/>
              </w:rPr>
              <w:t xml:space="preserve">Erythema </w:t>
            </w:r>
            <w:proofErr w:type="spellStart"/>
            <w:r w:rsidRPr="0083522F">
              <w:rPr>
                <w:sz w:val="22"/>
                <w:szCs w:val="22"/>
              </w:rPr>
              <w:t>nodosum</w:t>
            </w:r>
            <w:proofErr w:type="spellEnd"/>
            <w:r w:rsidRPr="0083522F">
              <w:rPr>
                <w:sz w:val="22"/>
                <w:szCs w:val="22"/>
              </w:rPr>
              <w:t xml:space="preserve"> added, changed location for rash and dermatitis</w:t>
            </w:r>
          </w:p>
        </w:tc>
      </w:tr>
      <w:tr w:rsidR="00E86E1A" w:rsidRPr="000D4E5B" w14:paraId="16A989F7" w14:textId="77777777" w:rsidTr="008A35FB">
        <w:trPr>
          <w:cantSplit/>
        </w:trPr>
        <w:tc>
          <w:tcPr>
            <w:tcW w:w="1129" w:type="dxa"/>
            <w:shd w:val="clear" w:color="auto" w:fill="auto"/>
          </w:tcPr>
          <w:p w14:paraId="79467BBB" w14:textId="0C183BEE" w:rsidR="00E86E1A" w:rsidRPr="000D4E5B" w:rsidRDefault="00E86E1A" w:rsidP="00E86E1A">
            <w:pPr>
              <w:pStyle w:val="TableLeft"/>
              <w:rPr>
                <w:b/>
                <w:sz w:val="22"/>
                <w:szCs w:val="22"/>
              </w:rPr>
            </w:pPr>
            <w:r w:rsidRPr="000D4E5B">
              <w:rPr>
                <w:b/>
                <w:sz w:val="22"/>
                <w:szCs w:val="22"/>
              </w:rPr>
              <w:t>5.1</w:t>
            </w:r>
          </w:p>
        </w:tc>
        <w:tc>
          <w:tcPr>
            <w:tcW w:w="8509" w:type="dxa"/>
            <w:shd w:val="clear" w:color="auto" w:fill="auto"/>
          </w:tcPr>
          <w:p w14:paraId="2005B97C" w14:textId="52484420" w:rsidR="00E86E1A" w:rsidRPr="000D4E5B" w:rsidRDefault="00E86E1A" w:rsidP="00E86E1A">
            <w:pPr>
              <w:pStyle w:val="TableLeft"/>
              <w:rPr>
                <w:sz w:val="22"/>
                <w:szCs w:val="22"/>
              </w:rPr>
            </w:pPr>
            <w:r w:rsidRPr="000D4E5B">
              <w:rPr>
                <w:sz w:val="22"/>
                <w:szCs w:val="22"/>
              </w:rPr>
              <w:t>Addition of Paola-1 and POLO study data</w:t>
            </w:r>
          </w:p>
        </w:tc>
      </w:tr>
    </w:tbl>
    <w:p w14:paraId="718749D2" w14:textId="77777777" w:rsidR="00513B1A" w:rsidRPr="000D4E5B" w:rsidRDefault="00513B1A" w:rsidP="00513B1A">
      <w:pPr>
        <w:pStyle w:val="Paragraph"/>
      </w:pPr>
    </w:p>
    <w:p w14:paraId="6E27F10D" w14:textId="779B7EB7" w:rsidR="00513B1A" w:rsidRPr="000D4E5B" w:rsidRDefault="00CD331E" w:rsidP="00513B1A">
      <w:pPr>
        <w:pStyle w:val="Paragraph"/>
      </w:pPr>
      <w:r w:rsidRPr="000D4E5B">
        <w:t xml:space="preserve">LYNPARZA </w:t>
      </w:r>
      <w:r w:rsidR="00513B1A" w:rsidRPr="000D4E5B">
        <w:t>is a trade mark of the AstraZeneca group of companies</w:t>
      </w:r>
      <w:r w:rsidRPr="000D4E5B">
        <w:t xml:space="preserve">. </w:t>
      </w:r>
    </w:p>
    <w:p w14:paraId="0D5771FE" w14:textId="37C1AFEE" w:rsidR="00513B1A" w:rsidRPr="000D4E5B" w:rsidRDefault="00513B1A" w:rsidP="00513B1A">
      <w:pPr>
        <w:pStyle w:val="Paragraph"/>
      </w:pPr>
      <w:r w:rsidRPr="000D4E5B">
        <w:t>© AstraZeneca</w:t>
      </w:r>
      <w:r w:rsidR="00CD331E" w:rsidRPr="000D4E5B">
        <w:t xml:space="preserve"> </w:t>
      </w:r>
      <w:r w:rsidR="00340927" w:rsidRPr="000D4E5B">
        <w:t>20</w:t>
      </w:r>
      <w:r w:rsidR="001B1165">
        <w:t>20</w:t>
      </w:r>
    </w:p>
    <w:p w14:paraId="6EBCD0E6" w14:textId="5A17D2BE" w:rsidR="008A35FB" w:rsidRPr="00377337" w:rsidRDefault="00E0717F" w:rsidP="00003E63">
      <w:pPr>
        <w:pStyle w:val="Paragraph"/>
      </w:pPr>
      <w:r w:rsidRPr="00E0717F">
        <w:t>Doc ID-004211611</w:t>
      </w:r>
      <w:r>
        <w:t xml:space="preserve"> </w:t>
      </w:r>
      <w:r w:rsidR="00C73225" w:rsidRPr="000D4E5B">
        <w:t>v</w:t>
      </w:r>
      <w:r w:rsidR="007415A9">
        <w:t>7</w:t>
      </w:r>
      <w:r w:rsidR="00B74780" w:rsidRPr="000D4E5B">
        <w:t>.0</w:t>
      </w:r>
    </w:p>
    <w:sectPr w:rsidR="008A35FB" w:rsidRPr="00377337" w:rsidSect="00505B86">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851" w:left="1134"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4B49B" w14:textId="77777777" w:rsidR="001563EB" w:rsidRDefault="001563EB" w:rsidP="001A3992">
      <w:pPr>
        <w:spacing w:after="0" w:line="240" w:lineRule="auto"/>
      </w:pPr>
      <w:r>
        <w:separator/>
      </w:r>
    </w:p>
  </w:endnote>
  <w:endnote w:type="continuationSeparator" w:id="0">
    <w:p w14:paraId="663C2F57" w14:textId="77777777" w:rsidR="001563EB" w:rsidRDefault="001563EB"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NewRoman,Italic">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C83E" w14:textId="77777777" w:rsidR="00233858" w:rsidRDefault="0023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C41F" w14:textId="77777777" w:rsidR="0023311C" w:rsidRDefault="0023311C" w:rsidP="00C85696">
    <w:pPr>
      <w:pStyle w:val="Footer"/>
      <w:jc w:val="center"/>
    </w:pPr>
  </w:p>
  <w:p w14:paraId="6A9132ED" w14:textId="7BF863DB" w:rsidR="0023311C" w:rsidRDefault="0023311C" w:rsidP="00C85696">
    <w:pPr>
      <w:pStyle w:val="Footer"/>
      <w:jc w:val="center"/>
    </w:pPr>
    <w:r w:rsidRPr="00136256">
      <w:fldChar w:fldCharType="begin"/>
    </w:r>
    <w:r w:rsidRPr="00136256">
      <w:instrText xml:space="preserve"> PAGE </w:instrText>
    </w:r>
    <w:r w:rsidRPr="00136256">
      <w:fldChar w:fldCharType="separate"/>
    </w:r>
    <w:r w:rsidR="001C6C1A">
      <w:rPr>
        <w:noProof/>
      </w:rPr>
      <w:t>31</w:t>
    </w:r>
    <w:r w:rsidRPr="00136256">
      <w:fldChar w:fldCharType="end"/>
    </w:r>
    <w:r w:rsidRPr="00136256">
      <w:t xml:space="preserve"> </w:t>
    </w:r>
    <w:r>
      <w:t xml:space="preserve">of </w:t>
    </w:r>
    <w:r>
      <w:fldChar w:fldCharType="begin"/>
    </w:r>
    <w:r>
      <w:instrText xml:space="preserve"> NUMPAGES </w:instrText>
    </w:r>
    <w:r>
      <w:fldChar w:fldCharType="separate"/>
    </w:r>
    <w:r w:rsidR="001C6C1A">
      <w:rPr>
        <w:noProof/>
      </w:rPr>
      <w:t>31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89F8" w14:textId="77777777" w:rsidR="00233858" w:rsidRDefault="0023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DC8DF" w14:textId="77777777" w:rsidR="001563EB" w:rsidRDefault="001563EB" w:rsidP="001A3992">
      <w:pPr>
        <w:spacing w:after="0" w:line="240" w:lineRule="auto"/>
      </w:pPr>
      <w:r>
        <w:separator/>
      </w:r>
    </w:p>
  </w:footnote>
  <w:footnote w:type="continuationSeparator" w:id="0">
    <w:p w14:paraId="3C0950DA" w14:textId="77777777" w:rsidR="001563EB" w:rsidRDefault="001563EB"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3D29" w14:textId="77777777" w:rsidR="00233858" w:rsidRDefault="00233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233858" w:rsidRPr="000B2145" w14:paraId="6BFC5749" w14:textId="77777777" w:rsidTr="00FC4D58">
      <w:trPr>
        <w:trHeight w:val="1012"/>
      </w:trPr>
      <w:tc>
        <w:tcPr>
          <w:tcW w:w="8897" w:type="dxa"/>
          <w:shd w:val="clear" w:color="auto" w:fill="E4F2E0"/>
        </w:tcPr>
        <w:p w14:paraId="5BC692D8" w14:textId="77777777" w:rsidR="00233858" w:rsidRPr="000B2145" w:rsidRDefault="00233858" w:rsidP="00233858">
          <w:pPr>
            <w:pStyle w:val="Footer"/>
            <w:rPr>
              <w:b/>
              <w:sz w:val="18"/>
              <w:szCs w:val="18"/>
            </w:rPr>
          </w:pPr>
          <w:r w:rsidRPr="00EA0C3C">
            <w:rPr>
              <w:b/>
              <w:sz w:val="18"/>
              <w:szCs w:val="18"/>
            </w:rPr>
            <w:t>Attachment 1:</w:t>
          </w:r>
          <w:r>
            <w:t xml:space="preserve"> </w:t>
          </w:r>
          <w:r w:rsidRPr="00F84B26">
            <w:rPr>
              <w:b/>
            </w:rPr>
            <w:t xml:space="preserve">AusPAR - LYNPARZA - </w:t>
          </w:r>
          <w:proofErr w:type="spellStart"/>
          <w:r w:rsidRPr="00F84B26">
            <w:rPr>
              <w:b/>
            </w:rPr>
            <w:t>olaparib</w:t>
          </w:r>
          <w:proofErr w:type="spellEnd"/>
          <w:r w:rsidRPr="00F84B26">
            <w:rPr>
              <w:b/>
            </w:rPr>
            <w:t xml:space="preserve"> - AstraZeneca Pty Ltd - PM-2020-00161-1-4</w:t>
          </w:r>
          <w:r>
            <w:rPr>
              <w:b/>
            </w:rPr>
            <w:t xml:space="preserve"> </w:t>
          </w:r>
          <w:r w:rsidRPr="00F84B26">
            <w:rPr>
              <w:b/>
            </w:rPr>
            <w:t>FINAL 15 April 2021</w:t>
          </w:r>
          <w:r w:rsidRPr="00AF799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2EB8E264" w14:textId="77777777" w:rsidR="00233858" w:rsidRDefault="00233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C397" w14:textId="77777777" w:rsidR="00233858" w:rsidRDefault="00233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3" w15:restartNumberingAfterBreak="0">
    <w:nsid w:val="06B04DED"/>
    <w:multiLevelType w:val="hybridMultilevel"/>
    <w:tmpl w:val="63B0CD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B458D"/>
    <w:multiLevelType w:val="hybridMultilevel"/>
    <w:tmpl w:val="E536DF0E"/>
    <w:lvl w:ilvl="0" w:tplc="9DA2B92C">
      <w:start w:val="1"/>
      <w:numFmt w:val="bullet"/>
      <w:lvlText w:val="•"/>
      <w:lvlJc w:val="left"/>
      <w:pPr>
        <w:tabs>
          <w:tab w:val="num" w:pos="720"/>
        </w:tabs>
        <w:ind w:left="720" w:hanging="360"/>
      </w:pPr>
      <w:rPr>
        <w:rFonts w:ascii="Arial" w:hAnsi="Arial" w:cs="Times New Roman" w:hint="default"/>
      </w:rPr>
    </w:lvl>
    <w:lvl w:ilvl="1" w:tplc="51A6E102">
      <w:start w:val="1"/>
      <w:numFmt w:val="bullet"/>
      <w:lvlText w:val="•"/>
      <w:lvlJc w:val="left"/>
      <w:pPr>
        <w:tabs>
          <w:tab w:val="num" w:pos="1440"/>
        </w:tabs>
        <w:ind w:left="1440" w:hanging="360"/>
      </w:pPr>
      <w:rPr>
        <w:rFonts w:ascii="Arial" w:hAnsi="Arial" w:cs="Times New Roman" w:hint="default"/>
      </w:rPr>
    </w:lvl>
    <w:lvl w:ilvl="2" w:tplc="B4AE26DA">
      <w:start w:val="1"/>
      <w:numFmt w:val="bullet"/>
      <w:lvlText w:val="•"/>
      <w:lvlJc w:val="left"/>
      <w:pPr>
        <w:tabs>
          <w:tab w:val="num" w:pos="2160"/>
        </w:tabs>
        <w:ind w:left="2160" w:hanging="360"/>
      </w:pPr>
      <w:rPr>
        <w:rFonts w:ascii="Arial" w:hAnsi="Arial" w:cs="Times New Roman" w:hint="default"/>
      </w:rPr>
    </w:lvl>
    <w:lvl w:ilvl="3" w:tplc="D8DCE8AA">
      <w:start w:val="1"/>
      <w:numFmt w:val="bullet"/>
      <w:lvlText w:val="•"/>
      <w:lvlJc w:val="left"/>
      <w:pPr>
        <w:tabs>
          <w:tab w:val="num" w:pos="2880"/>
        </w:tabs>
        <w:ind w:left="2880" w:hanging="360"/>
      </w:pPr>
      <w:rPr>
        <w:rFonts w:ascii="Arial" w:hAnsi="Arial" w:cs="Times New Roman" w:hint="default"/>
      </w:rPr>
    </w:lvl>
    <w:lvl w:ilvl="4" w:tplc="4040334C">
      <w:start w:val="1"/>
      <w:numFmt w:val="bullet"/>
      <w:lvlText w:val="•"/>
      <w:lvlJc w:val="left"/>
      <w:pPr>
        <w:tabs>
          <w:tab w:val="num" w:pos="3600"/>
        </w:tabs>
        <w:ind w:left="3600" w:hanging="360"/>
      </w:pPr>
      <w:rPr>
        <w:rFonts w:ascii="Arial" w:hAnsi="Arial" w:cs="Times New Roman" w:hint="default"/>
      </w:rPr>
    </w:lvl>
    <w:lvl w:ilvl="5" w:tplc="423A2A06">
      <w:start w:val="1"/>
      <w:numFmt w:val="bullet"/>
      <w:lvlText w:val="•"/>
      <w:lvlJc w:val="left"/>
      <w:pPr>
        <w:tabs>
          <w:tab w:val="num" w:pos="4320"/>
        </w:tabs>
        <w:ind w:left="4320" w:hanging="360"/>
      </w:pPr>
      <w:rPr>
        <w:rFonts w:ascii="Arial" w:hAnsi="Arial" w:cs="Times New Roman" w:hint="default"/>
      </w:rPr>
    </w:lvl>
    <w:lvl w:ilvl="6" w:tplc="7786DD20">
      <w:start w:val="1"/>
      <w:numFmt w:val="bullet"/>
      <w:lvlText w:val="•"/>
      <w:lvlJc w:val="left"/>
      <w:pPr>
        <w:tabs>
          <w:tab w:val="num" w:pos="5040"/>
        </w:tabs>
        <w:ind w:left="5040" w:hanging="360"/>
      </w:pPr>
      <w:rPr>
        <w:rFonts w:ascii="Arial" w:hAnsi="Arial" w:cs="Times New Roman" w:hint="default"/>
      </w:rPr>
    </w:lvl>
    <w:lvl w:ilvl="7" w:tplc="C4184FEA">
      <w:start w:val="1"/>
      <w:numFmt w:val="bullet"/>
      <w:lvlText w:val="•"/>
      <w:lvlJc w:val="left"/>
      <w:pPr>
        <w:tabs>
          <w:tab w:val="num" w:pos="5760"/>
        </w:tabs>
        <w:ind w:left="5760" w:hanging="360"/>
      </w:pPr>
      <w:rPr>
        <w:rFonts w:ascii="Arial" w:hAnsi="Arial" w:cs="Times New Roman" w:hint="default"/>
      </w:rPr>
    </w:lvl>
    <w:lvl w:ilvl="8" w:tplc="40682B50">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7"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9"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8E77F7"/>
    <w:multiLevelType w:val="hybridMultilevel"/>
    <w:tmpl w:val="3BC4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F045B79"/>
    <w:multiLevelType w:val="singleLevel"/>
    <w:tmpl w:val="443ADFB8"/>
    <w:lvl w:ilvl="0">
      <w:start w:val="1"/>
      <w:numFmt w:val="lowerRoman"/>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3"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134"/>
        </w:tabs>
        <w:ind w:left="1134"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61923DD"/>
    <w:multiLevelType w:val="hybridMultilevel"/>
    <w:tmpl w:val="FA70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6784A"/>
    <w:multiLevelType w:val="singleLevel"/>
    <w:tmpl w:val="D9588840"/>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7" w15:restartNumberingAfterBreak="0">
    <w:nsid w:val="3FC360AE"/>
    <w:multiLevelType w:val="multilevel"/>
    <w:tmpl w:val="A1E207FA"/>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59713C"/>
    <w:multiLevelType w:val="hybridMultilevel"/>
    <w:tmpl w:val="EB20AD22"/>
    <w:lvl w:ilvl="0" w:tplc="0C090001">
      <w:start w:val="1"/>
      <w:numFmt w:val="bullet"/>
      <w:lvlText w:val=""/>
      <w:lvlJc w:val="left"/>
      <w:pPr>
        <w:ind w:left="720" w:hanging="360"/>
      </w:pPr>
      <w:rPr>
        <w:rFonts w:ascii="Symbol" w:hAnsi="Symbol" w:hint="default"/>
      </w:rPr>
    </w:lvl>
    <w:lvl w:ilvl="1" w:tplc="177C78D6">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0" w15:restartNumberingAfterBreak="0">
    <w:nsid w:val="51BF4167"/>
    <w:multiLevelType w:val="hybridMultilevel"/>
    <w:tmpl w:val="8046683E"/>
    <w:lvl w:ilvl="0" w:tplc="8370C5B0">
      <w:start w:val="1"/>
      <w:numFmt w:val="bullet"/>
      <w:lvlText w:val="•"/>
      <w:lvlJc w:val="left"/>
      <w:pPr>
        <w:tabs>
          <w:tab w:val="num" w:pos="720"/>
        </w:tabs>
        <w:ind w:left="720" w:hanging="360"/>
      </w:pPr>
      <w:rPr>
        <w:rFonts w:ascii="Arial" w:hAnsi="Arial" w:hint="default"/>
      </w:rPr>
    </w:lvl>
    <w:lvl w:ilvl="1" w:tplc="732E3DB2" w:tentative="1">
      <w:start w:val="1"/>
      <w:numFmt w:val="bullet"/>
      <w:lvlText w:val="•"/>
      <w:lvlJc w:val="left"/>
      <w:pPr>
        <w:tabs>
          <w:tab w:val="num" w:pos="1440"/>
        </w:tabs>
        <w:ind w:left="1440" w:hanging="360"/>
      </w:pPr>
      <w:rPr>
        <w:rFonts w:ascii="Arial" w:hAnsi="Arial" w:hint="default"/>
      </w:rPr>
    </w:lvl>
    <w:lvl w:ilvl="2" w:tplc="31C81E6A" w:tentative="1">
      <w:start w:val="1"/>
      <w:numFmt w:val="bullet"/>
      <w:lvlText w:val="•"/>
      <w:lvlJc w:val="left"/>
      <w:pPr>
        <w:tabs>
          <w:tab w:val="num" w:pos="2160"/>
        </w:tabs>
        <w:ind w:left="2160" w:hanging="360"/>
      </w:pPr>
      <w:rPr>
        <w:rFonts w:ascii="Arial" w:hAnsi="Arial" w:hint="default"/>
      </w:rPr>
    </w:lvl>
    <w:lvl w:ilvl="3" w:tplc="1C88DA7A" w:tentative="1">
      <w:start w:val="1"/>
      <w:numFmt w:val="bullet"/>
      <w:lvlText w:val="•"/>
      <w:lvlJc w:val="left"/>
      <w:pPr>
        <w:tabs>
          <w:tab w:val="num" w:pos="2880"/>
        </w:tabs>
        <w:ind w:left="2880" w:hanging="360"/>
      </w:pPr>
      <w:rPr>
        <w:rFonts w:ascii="Arial" w:hAnsi="Arial" w:hint="default"/>
      </w:rPr>
    </w:lvl>
    <w:lvl w:ilvl="4" w:tplc="261C42DE" w:tentative="1">
      <w:start w:val="1"/>
      <w:numFmt w:val="bullet"/>
      <w:lvlText w:val="•"/>
      <w:lvlJc w:val="left"/>
      <w:pPr>
        <w:tabs>
          <w:tab w:val="num" w:pos="3600"/>
        </w:tabs>
        <w:ind w:left="3600" w:hanging="360"/>
      </w:pPr>
      <w:rPr>
        <w:rFonts w:ascii="Arial" w:hAnsi="Arial" w:hint="default"/>
      </w:rPr>
    </w:lvl>
    <w:lvl w:ilvl="5" w:tplc="A9664D90" w:tentative="1">
      <w:start w:val="1"/>
      <w:numFmt w:val="bullet"/>
      <w:lvlText w:val="•"/>
      <w:lvlJc w:val="left"/>
      <w:pPr>
        <w:tabs>
          <w:tab w:val="num" w:pos="4320"/>
        </w:tabs>
        <w:ind w:left="4320" w:hanging="360"/>
      </w:pPr>
      <w:rPr>
        <w:rFonts w:ascii="Arial" w:hAnsi="Arial" w:hint="default"/>
      </w:rPr>
    </w:lvl>
    <w:lvl w:ilvl="6" w:tplc="F410AA84" w:tentative="1">
      <w:start w:val="1"/>
      <w:numFmt w:val="bullet"/>
      <w:lvlText w:val="•"/>
      <w:lvlJc w:val="left"/>
      <w:pPr>
        <w:tabs>
          <w:tab w:val="num" w:pos="5040"/>
        </w:tabs>
        <w:ind w:left="5040" w:hanging="360"/>
      </w:pPr>
      <w:rPr>
        <w:rFonts w:ascii="Arial" w:hAnsi="Arial" w:hint="default"/>
      </w:rPr>
    </w:lvl>
    <w:lvl w:ilvl="7" w:tplc="11E83F9A" w:tentative="1">
      <w:start w:val="1"/>
      <w:numFmt w:val="bullet"/>
      <w:lvlText w:val="•"/>
      <w:lvlJc w:val="left"/>
      <w:pPr>
        <w:tabs>
          <w:tab w:val="num" w:pos="5760"/>
        </w:tabs>
        <w:ind w:left="5760" w:hanging="360"/>
      </w:pPr>
      <w:rPr>
        <w:rFonts w:ascii="Arial" w:hAnsi="Arial" w:hint="default"/>
      </w:rPr>
    </w:lvl>
    <w:lvl w:ilvl="8" w:tplc="7EC013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5E4704"/>
    <w:multiLevelType w:val="hybridMultilevel"/>
    <w:tmpl w:val="499C473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9FB5963"/>
    <w:multiLevelType w:val="hybridMultilevel"/>
    <w:tmpl w:val="B59A8AEA"/>
    <w:lvl w:ilvl="0" w:tplc="4B08FC8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4A056D"/>
    <w:multiLevelType w:val="hybridMultilevel"/>
    <w:tmpl w:val="744044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56BF3"/>
    <w:multiLevelType w:val="singleLevel"/>
    <w:tmpl w:val="3C0E4404"/>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num w:numId="1">
    <w:abstractNumId w:val="27"/>
  </w:num>
  <w:num w:numId="2">
    <w:abstractNumId w:val="4"/>
  </w:num>
  <w:num w:numId="3">
    <w:abstractNumId w:val="0"/>
  </w:num>
  <w:num w:numId="4">
    <w:abstractNumId w:val="22"/>
  </w:num>
  <w:num w:numId="5">
    <w:abstractNumId w:val="34"/>
  </w:num>
  <w:num w:numId="6">
    <w:abstractNumId w:val="28"/>
  </w:num>
  <w:num w:numId="7">
    <w:abstractNumId w:val="26"/>
  </w:num>
  <w:num w:numId="8">
    <w:abstractNumId w:val="29"/>
  </w:num>
  <w:num w:numId="9">
    <w:abstractNumId w:val="9"/>
  </w:num>
  <w:num w:numId="10">
    <w:abstractNumId w:val="25"/>
  </w:num>
  <w:num w:numId="11">
    <w:abstractNumId w:val="24"/>
  </w:num>
  <w:num w:numId="12">
    <w:abstractNumId w:val="16"/>
  </w:num>
  <w:num w:numId="13">
    <w:abstractNumId w:val="13"/>
  </w:num>
  <w:num w:numId="14">
    <w:abstractNumId w:val="7"/>
  </w:num>
  <w:num w:numId="15">
    <w:abstractNumId w:val="2"/>
  </w:num>
  <w:num w:numId="16">
    <w:abstractNumId w:val="15"/>
  </w:num>
  <w:num w:numId="17">
    <w:abstractNumId w:val="35"/>
  </w:num>
  <w:num w:numId="18">
    <w:abstractNumId w:val="12"/>
  </w:num>
  <w:num w:numId="19">
    <w:abstractNumId w:val="19"/>
  </w:num>
  <w:num w:numId="20">
    <w:abstractNumId w:val="6"/>
  </w:num>
  <w:num w:numId="21">
    <w:abstractNumId w:val="1"/>
  </w:num>
  <w:num w:numId="22">
    <w:abstractNumId w:val="8"/>
  </w:num>
  <w:num w:numId="23">
    <w:abstractNumId w:val="21"/>
  </w:num>
  <w:num w:numId="24">
    <w:abstractNumId w:val="33"/>
  </w:num>
  <w:num w:numId="25">
    <w:abstractNumId w:val="1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
  </w:num>
  <w:num w:numId="35">
    <w:abstractNumId w:val="2"/>
  </w:num>
  <w:num w:numId="36">
    <w:abstractNumId w:val="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8"/>
  </w:num>
  <w:num w:numId="40">
    <w:abstractNumId w:val="32"/>
  </w:num>
  <w:num w:numId="41">
    <w:abstractNumId w:val="20"/>
  </w:num>
  <w:num w:numId="42">
    <w:abstractNumId w:val="5"/>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4"/>
  </w:num>
  <w:num w:numId="46">
    <w:abstractNumId w:val="31"/>
  </w:num>
  <w:num w:numId="47">
    <w:abstractNumId w:val="3"/>
  </w:num>
  <w:num w:numId="48">
    <w:abstractNumId w:val="13"/>
  </w:num>
  <w:num w:numId="49">
    <w:abstractNumId w:val="1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15"/>
    <w:rsid w:val="000007B0"/>
    <w:rsid w:val="000026DC"/>
    <w:rsid w:val="00003E63"/>
    <w:rsid w:val="00012E7E"/>
    <w:rsid w:val="00013F59"/>
    <w:rsid w:val="00020CD1"/>
    <w:rsid w:val="000230A8"/>
    <w:rsid w:val="00023C78"/>
    <w:rsid w:val="0003091F"/>
    <w:rsid w:val="00040644"/>
    <w:rsid w:val="00042302"/>
    <w:rsid w:val="00042EF7"/>
    <w:rsid w:val="00044C6D"/>
    <w:rsid w:val="00051EB4"/>
    <w:rsid w:val="000555E7"/>
    <w:rsid w:val="00055A3B"/>
    <w:rsid w:val="00062CDC"/>
    <w:rsid w:val="00063EE1"/>
    <w:rsid w:val="00064D89"/>
    <w:rsid w:val="000731B2"/>
    <w:rsid w:val="00080E29"/>
    <w:rsid w:val="00086411"/>
    <w:rsid w:val="000A042C"/>
    <w:rsid w:val="000A62D4"/>
    <w:rsid w:val="000A68FC"/>
    <w:rsid w:val="000A6A5B"/>
    <w:rsid w:val="000B429F"/>
    <w:rsid w:val="000B50A9"/>
    <w:rsid w:val="000B6444"/>
    <w:rsid w:val="000B67DF"/>
    <w:rsid w:val="000D4E5B"/>
    <w:rsid w:val="000F2DE7"/>
    <w:rsid w:val="000F4C62"/>
    <w:rsid w:val="000F6A56"/>
    <w:rsid w:val="00102674"/>
    <w:rsid w:val="0010322D"/>
    <w:rsid w:val="001107B7"/>
    <w:rsid w:val="00113F0C"/>
    <w:rsid w:val="00120D43"/>
    <w:rsid w:val="00124FAE"/>
    <w:rsid w:val="00126C4D"/>
    <w:rsid w:val="00130E08"/>
    <w:rsid w:val="001328FA"/>
    <w:rsid w:val="00140C1A"/>
    <w:rsid w:val="0014191F"/>
    <w:rsid w:val="0014543E"/>
    <w:rsid w:val="0014641D"/>
    <w:rsid w:val="0015430F"/>
    <w:rsid w:val="001556C8"/>
    <w:rsid w:val="001563EB"/>
    <w:rsid w:val="00163466"/>
    <w:rsid w:val="0016759D"/>
    <w:rsid w:val="00173547"/>
    <w:rsid w:val="001744B7"/>
    <w:rsid w:val="0017544A"/>
    <w:rsid w:val="00180AB0"/>
    <w:rsid w:val="00192418"/>
    <w:rsid w:val="00194D6B"/>
    <w:rsid w:val="00195B22"/>
    <w:rsid w:val="00197AAA"/>
    <w:rsid w:val="001A3992"/>
    <w:rsid w:val="001A3F6E"/>
    <w:rsid w:val="001B006F"/>
    <w:rsid w:val="001B1165"/>
    <w:rsid w:val="001B25F0"/>
    <w:rsid w:val="001B30BF"/>
    <w:rsid w:val="001C1440"/>
    <w:rsid w:val="001C394C"/>
    <w:rsid w:val="001C4C83"/>
    <w:rsid w:val="001C6C1A"/>
    <w:rsid w:val="001D07B1"/>
    <w:rsid w:val="001D0B7E"/>
    <w:rsid w:val="001D39D1"/>
    <w:rsid w:val="001D3AF3"/>
    <w:rsid w:val="001E16E9"/>
    <w:rsid w:val="001E4F74"/>
    <w:rsid w:val="001E570A"/>
    <w:rsid w:val="001F630A"/>
    <w:rsid w:val="001F6638"/>
    <w:rsid w:val="002127EE"/>
    <w:rsid w:val="00215595"/>
    <w:rsid w:val="0022542A"/>
    <w:rsid w:val="00226B6F"/>
    <w:rsid w:val="00230E6D"/>
    <w:rsid w:val="00232183"/>
    <w:rsid w:val="0023311C"/>
    <w:rsid w:val="002335CD"/>
    <w:rsid w:val="00233858"/>
    <w:rsid w:val="00233B9A"/>
    <w:rsid w:val="002408B9"/>
    <w:rsid w:val="0024684F"/>
    <w:rsid w:val="00246F69"/>
    <w:rsid w:val="002514BF"/>
    <w:rsid w:val="0025220E"/>
    <w:rsid w:val="00252949"/>
    <w:rsid w:val="00253F02"/>
    <w:rsid w:val="00253FFC"/>
    <w:rsid w:val="0026461B"/>
    <w:rsid w:val="0026491B"/>
    <w:rsid w:val="002663BD"/>
    <w:rsid w:val="00266796"/>
    <w:rsid w:val="00270922"/>
    <w:rsid w:val="00271211"/>
    <w:rsid w:val="002748FF"/>
    <w:rsid w:val="00276C09"/>
    <w:rsid w:val="00277942"/>
    <w:rsid w:val="00282F31"/>
    <w:rsid w:val="00283691"/>
    <w:rsid w:val="00283E73"/>
    <w:rsid w:val="00285173"/>
    <w:rsid w:val="002857A2"/>
    <w:rsid w:val="00287DAF"/>
    <w:rsid w:val="002900D3"/>
    <w:rsid w:val="0029235E"/>
    <w:rsid w:val="002926CA"/>
    <w:rsid w:val="002944CF"/>
    <w:rsid w:val="00297CA1"/>
    <w:rsid w:val="002B3A2E"/>
    <w:rsid w:val="002B3BE4"/>
    <w:rsid w:val="002D1062"/>
    <w:rsid w:val="002D19FD"/>
    <w:rsid w:val="002D3489"/>
    <w:rsid w:val="002D425C"/>
    <w:rsid w:val="002D7BFC"/>
    <w:rsid w:val="002D7D9F"/>
    <w:rsid w:val="002E277D"/>
    <w:rsid w:val="002E6508"/>
    <w:rsid w:val="00307768"/>
    <w:rsid w:val="00310C7E"/>
    <w:rsid w:val="00314F16"/>
    <w:rsid w:val="00315067"/>
    <w:rsid w:val="00315B17"/>
    <w:rsid w:val="003246C7"/>
    <w:rsid w:val="00324BBA"/>
    <w:rsid w:val="003303FB"/>
    <w:rsid w:val="0033297C"/>
    <w:rsid w:val="00336D8A"/>
    <w:rsid w:val="00340927"/>
    <w:rsid w:val="00343214"/>
    <w:rsid w:val="00345129"/>
    <w:rsid w:val="00347505"/>
    <w:rsid w:val="00351978"/>
    <w:rsid w:val="00356879"/>
    <w:rsid w:val="003573E5"/>
    <w:rsid w:val="003639E6"/>
    <w:rsid w:val="003649B6"/>
    <w:rsid w:val="003668E2"/>
    <w:rsid w:val="00372348"/>
    <w:rsid w:val="00375DF3"/>
    <w:rsid w:val="00377337"/>
    <w:rsid w:val="0038029D"/>
    <w:rsid w:val="003835C6"/>
    <w:rsid w:val="003841E6"/>
    <w:rsid w:val="003841FB"/>
    <w:rsid w:val="00384E4B"/>
    <w:rsid w:val="00387309"/>
    <w:rsid w:val="0039144C"/>
    <w:rsid w:val="003925C2"/>
    <w:rsid w:val="00392DE5"/>
    <w:rsid w:val="00395F28"/>
    <w:rsid w:val="003974BC"/>
    <w:rsid w:val="003A0D39"/>
    <w:rsid w:val="003A2856"/>
    <w:rsid w:val="003B3200"/>
    <w:rsid w:val="003B371E"/>
    <w:rsid w:val="003B38D8"/>
    <w:rsid w:val="003B6835"/>
    <w:rsid w:val="003B7142"/>
    <w:rsid w:val="003B7CFF"/>
    <w:rsid w:val="003C1124"/>
    <w:rsid w:val="003C4DBB"/>
    <w:rsid w:val="003C599B"/>
    <w:rsid w:val="003C6650"/>
    <w:rsid w:val="003D0D61"/>
    <w:rsid w:val="003D5633"/>
    <w:rsid w:val="003E2A00"/>
    <w:rsid w:val="003F24C4"/>
    <w:rsid w:val="003F70A8"/>
    <w:rsid w:val="00405B92"/>
    <w:rsid w:val="004060ED"/>
    <w:rsid w:val="0041004D"/>
    <w:rsid w:val="00410880"/>
    <w:rsid w:val="004144FE"/>
    <w:rsid w:val="00422EB6"/>
    <w:rsid w:val="00431ACD"/>
    <w:rsid w:val="00434D2D"/>
    <w:rsid w:val="004350C6"/>
    <w:rsid w:val="00445A9F"/>
    <w:rsid w:val="00446EDD"/>
    <w:rsid w:val="00453158"/>
    <w:rsid w:val="00470DC2"/>
    <w:rsid w:val="00471E15"/>
    <w:rsid w:val="004720D7"/>
    <w:rsid w:val="0047461D"/>
    <w:rsid w:val="00474FC2"/>
    <w:rsid w:val="00481683"/>
    <w:rsid w:val="004834EC"/>
    <w:rsid w:val="00483663"/>
    <w:rsid w:val="00485F1F"/>
    <w:rsid w:val="0048622D"/>
    <w:rsid w:val="004945E2"/>
    <w:rsid w:val="004A5616"/>
    <w:rsid w:val="004B0B00"/>
    <w:rsid w:val="004B15E9"/>
    <w:rsid w:val="004B217C"/>
    <w:rsid w:val="004B387B"/>
    <w:rsid w:val="004B6B19"/>
    <w:rsid w:val="004B6C6C"/>
    <w:rsid w:val="004C31E6"/>
    <w:rsid w:val="004C4757"/>
    <w:rsid w:val="004C6418"/>
    <w:rsid w:val="004C7F31"/>
    <w:rsid w:val="004D1957"/>
    <w:rsid w:val="004D2415"/>
    <w:rsid w:val="004F1B98"/>
    <w:rsid w:val="004F28FF"/>
    <w:rsid w:val="004F39B6"/>
    <w:rsid w:val="004F6A1C"/>
    <w:rsid w:val="00505766"/>
    <w:rsid w:val="00505B86"/>
    <w:rsid w:val="00511116"/>
    <w:rsid w:val="00512A37"/>
    <w:rsid w:val="00513B1A"/>
    <w:rsid w:val="005162A0"/>
    <w:rsid w:val="00516CE3"/>
    <w:rsid w:val="005204BF"/>
    <w:rsid w:val="00520ADB"/>
    <w:rsid w:val="00522192"/>
    <w:rsid w:val="0052515F"/>
    <w:rsid w:val="00525DB7"/>
    <w:rsid w:val="00526F84"/>
    <w:rsid w:val="00530259"/>
    <w:rsid w:val="00530925"/>
    <w:rsid w:val="00534C81"/>
    <w:rsid w:val="005401C9"/>
    <w:rsid w:val="00540909"/>
    <w:rsid w:val="00542A51"/>
    <w:rsid w:val="005460FD"/>
    <w:rsid w:val="0055006D"/>
    <w:rsid w:val="00555E8D"/>
    <w:rsid w:val="00556CC0"/>
    <w:rsid w:val="005625F4"/>
    <w:rsid w:val="0057189B"/>
    <w:rsid w:val="00572889"/>
    <w:rsid w:val="00575602"/>
    <w:rsid w:val="005767DB"/>
    <w:rsid w:val="00587291"/>
    <w:rsid w:val="00590DA8"/>
    <w:rsid w:val="005A4AAE"/>
    <w:rsid w:val="005A4B71"/>
    <w:rsid w:val="005B33BC"/>
    <w:rsid w:val="005B486D"/>
    <w:rsid w:val="005C05E8"/>
    <w:rsid w:val="005C7B89"/>
    <w:rsid w:val="005E1666"/>
    <w:rsid w:val="005E3549"/>
    <w:rsid w:val="005F69ED"/>
    <w:rsid w:val="005F7B15"/>
    <w:rsid w:val="00600B1E"/>
    <w:rsid w:val="006018AE"/>
    <w:rsid w:val="0060429A"/>
    <w:rsid w:val="0060635D"/>
    <w:rsid w:val="00613D40"/>
    <w:rsid w:val="00614FC9"/>
    <w:rsid w:val="0062202B"/>
    <w:rsid w:val="00624880"/>
    <w:rsid w:val="00641142"/>
    <w:rsid w:val="00643A19"/>
    <w:rsid w:val="00645496"/>
    <w:rsid w:val="00650E6A"/>
    <w:rsid w:val="006570E0"/>
    <w:rsid w:val="00662558"/>
    <w:rsid w:val="006667F0"/>
    <w:rsid w:val="00667023"/>
    <w:rsid w:val="006810D3"/>
    <w:rsid w:val="00685FE9"/>
    <w:rsid w:val="006863EF"/>
    <w:rsid w:val="00686766"/>
    <w:rsid w:val="00691FDE"/>
    <w:rsid w:val="00693DA8"/>
    <w:rsid w:val="00696A22"/>
    <w:rsid w:val="006A6677"/>
    <w:rsid w:val="006A6CA4"/>
    <w:rsid w:val="006A727B"/>
    <w:rsid w:val="006B66AF"/>
    <w:rsid w:val="006B6C74"/>
    <w:rsid w:val="006C44D9"/>
    <w:rsid w:val="006C634A"/>
    <w:rsid w:val="006D0D24"/>
    <w:rsid w:val="006D2122"/>
    <w:rsid w:val="006D5DD2"/>
    <w:rsid w:val="006D70FB"/>
    <w:rsid w:val="006E47B3"/>
    <w:rsid w:val="006E78FC"/>
    <w:rsid w:val="006F2A76"/>
    <w:rsid w:val="006F32D2"/>
    <w:rsid w:val="00703423"/>
    <w:rsid w:val="00704F88"/>
    <w:rsid w:val="00710156"/>
    <w:rsid w:val="007169FF"/>
    <w:rsid w:val="00726F9E"/>
    <w:rsid w:val="00740352"/>
    <w:rsid w:val="007403BD"/>
    <w:rsid w:val="007415A9"/>
    <w:rsid w:val="0074423E"/>
    <w:rsid w:val="00751313"/>
    <w:rsid w:val="00760E7E"/>
    <w:rsid w:val="007630A7"/>
    <w:rsid w:val="0076578D"/>
    <w:rsid w:val="00766AE3"/>
    <w:rsid w:val="0077083A"/>
    <w:rsid w:val="00771E3F"/>
    <w:rsid w:val="00772127"/>
    <w:rsid w:val="0077443E"/>
    <w:rsid w:val="00776057"/>
    <w:rsid w:val="00777DEC"/>
    <w:rsid w:val="0078071C"/>
    <w:rsid w:val="00783946"/>
    <w:rsid w:val="00785401"/>
    <w:rsid w:val="007877A3"/>
    <w:rsid w:val="00790486"/>
    <w:rsid w:val="00795D99"/>
    <w:rsid w:val="007A01DE"/>
    <w:rsid w:val="007A2548"/>
    <w:rsid w:val="007A58F4"/>
    <w:rsid w:val="007A7E79"/>
    <w:rsid w:val="007B09F4"/>
    <w:rsid w:val="007B6857"/>
    <w:rsid w:val="007C492C"/>
    <w:rsid w:val="007C66C8"/>
    <w:rsid w:val="007D1EB3"/>
    <w:rsid w:val="007D5090"/>
    <w:rsid w:val="007E26EB"/>
    <w:rsid w:val="007E2898"/>
    <w:rsid w:val="007F1BD5"/>
    <w:rsid w:val="00800EC1"/>
    <w:rsid w:val="008042B3"/>
    <w:rsid w:val="00804E65"/>
    <w:rsid w:val="0080644B"/>
    <w:rsid w:val="008200AC"/>
    <w:rsid w:val="00823416"/>
    <w:rsid w:val="00835FCD"/>
    <w:rsid w:val="00856977"/>
    <w:rsid w:val="0086199B"/>
    <w:rsid w:val="00862603"/>
    <w:rsid w:val="008654F6"/>
    <w:rsid w:val="00866446"/>
    <w:rsid w:val="0087268F"/>
    <w:rsid w:val="0087364E"/>
    <w:rsid w:val="00876140"/>
    <w:rsid w:val="00876C37"/>
    <w:rsid w:val="00877F2D"/>
    <w:rsid w:val="00881EA6"/>
    <w:rsid w:val="00882F9B"/>
    <w:rsid w:val="0088631B"/>
    <w:rsid w:val="00887040"/>
    <w:rsid w:val="0089039D"/>
    <w:rsid w:val="00897F36"/>
    <w:rsid w:val="008A35FB"/>
    <w:rsid w:val="008A6E2D"/>
    <w:rsid w:val="008B5513"/>
    <w:rsid w:val="008B7318"/>
    <w:rsid w:val="008C7529"/>
    <w:rsid w:val="008D03E2"/>
    <w:rsid w:val="008D4291"/>
    <w:rsid w:val="008D4D36"/>
    <w:rsid w:val="008D6491"/>
    <w:rsid w:val="008E034F"/>
    <w:rsid w:val="008E0A0A"/>
    <w:rsid w:val="008E4B4E"/>
    <w:rsid w:val="00904DE6"/>
    <w:rsid w:val="00905FE6"/>
    <w:rsid w:val="009061AD"/>
    <w:rsid w:val="00906923"/>
    <w:rsid w:val="00910D8C"/>
    <w:rsid w:val="00912A70"/>
    <w:rsid w:val="00916223"/>
    <w:rsid w:val="00916D38"/>
    <w:rsid w:val="00920EED"/>
    <w:rsid w:val="00921404"/>
    <w:rsid w:val="0092216B"/>
    <w:rsid w:val="009249F4"/>
    <w:rsid w:val="009266DC"/>
    <w:rsid w:val="009313AA"/>
    <w:rsid w:val="009415E2"/>
    <w:rsid w:val="0095121C"/>
    <w:rsid w:val="00957DE6"/>
    <w:rsid w:val="00960CD5"/>
    <w:rsid w:val="009611DC"/>
    <w:rsid w:val="00961841"/>
    <w:rsid w:val="0096675B"/>
    <w:rsid w:val="009775E1"/>
    <w:rsid w:val="00996AD5"/>
    <w:rsid w:val="0099772B"/>
    <w:rsid w:val="009A09BB"/>
    <w:rsid w:val="009A3ED7"/>
    <w:rsid w:val="009A5BDF"/>
    <w:rsid w:val="009B3B0C"/>
    <w:rsid w:val="009B7DD9"/>
    <w:rsid w:val="009B7FEF"/>
    <w:rsid w:val="009D02E3"/>
    <w:rsid w:val="009D199C"/>
    <w:rsid w:val="009D3C16"/>
    <w:rsid w:val="009D3FF3"/>
    <w:rsid w:val="009E0E8F"/>
    <w:rsid w:val="009E1DA2"/>
    <w:rsid w:val="009E21D9"/>
    <w:rsid w:val="009E443D"/>
    <w:rsid w:val="00A007B2"/>
    <w:rsid w:val="00A01B59"/>
    <w:rsid w:val="00A02435"/>
    <w:rsid w:val="00A0693B"/>
    <w:rsid w:val="00A15250"/>
    <w:rsid w:val="00A32E10"/>
    <w:rsid w:val="00A360C9"/>
    <w:rsid w:val="00A366ED"/>
    <w:rsid w:val="00A36815"/>
    <w:rsid w:val="00A37D13"/>
    <w:rsid w:val="00A411B2"/>
    <w:rsid w:val="00A4323E"/>
    <w:rsid w:val="00A443AC"/>
    <w:rsid w:val="00A51107"/>
    <w:rsid w:val="00A52CB3"/>
    <w:rsid w:val="00A606B7"/>
    <w:rsid w:val="00A74C20"/>
    <w:rsid w:val="00A827C2"/>
    <w:rsid w:val="00A83B14"/>
    <w:rsid w:val="00A84F47"/>
    <w:rsid w:val="00A85490"/>
    <w:rsid w:val="00A962C4"/>
    <w:rsid w:val="00AA0356"/>
    <w:rsid w:val="00AA0B20"/>
    <w:rsid w:val="00AA1124"/>
    <w:rsid w:val="00AA36B5"/>
    <w:rsid w:val="00AA5E96"/>
    <w:rsid w:val="00AB460F"/>
    <w:rsid w:val="00AC3372"/>
    <w:rsid w:val="00AC345B"/>
    <w:rsid w:val="00AC3B30"/>
    <w:rsid w:val="00AD5E72"/>
    <w:rsid w:val="00AE034C"/>
    <w:rsid w:val="00AE3E44"/>
    <w:rsid w:val="00AF6F07"/>
    <w:rsid w:val="00B01B71"/>
    <w:rsid w:val="00B04896"/>
    <w:rsid w:val="00B06F14"/>
    <w:rsid w:val="00B07F7B"/>
    <w:rsid w:val="00B1152D"/>
    <w:rsid w:val="00B12A7D"/>
    <w:rsid w:val="00B13576"/>
    <w:rsid w:val="00B14C54"/>
    <w:rsid w:val="00B17E3B"/>
    <w:rsid w:val="00B3295C"/>
    <w:rsid w:val="00B36AC5"/>
    <w:rsid w:val="00B424DD"/>
    <w:rsid w:val="00B447FD"/>
    <w:rsid w:val="00B44A39"/>
    <w:rsid w:val="00B528F8"/>
    <w:rsid w:val="00B52FFD"/>
    <w:rsid w:val="00B55925"/>
    <w:rsid w:val="00B56438"/>
    <w:rsid w:val="00B652C2"/>
    <w:rsid w:val="00B71481"/>
    <w:rsid w:val="00B74780"/>
    <w:rsid w:val="00B807DE"/>
    <w:rsid w:val="00B86B27"/>
    <w:rsid w:val="00B91070"/>
    <w:rsid w:val="00B925FE"/>
    <w:rsid w:val="00B93172"/>
    <w:rsid w:val="00BA3942"/>
    <w:rsid w:val="00BB3FDA"/>
    <w:rsid w:val="00BB41D1"/>
    <w:rsid w:val="00BB789D"/>
    <w:rsid w:val="00BC21A7"/>
    <w:rsid w:val="00BC244D"/>
    <w:rsid w:val="00BD1A10"/>
    <w:rsid w:val="00BD662D"/>
    <w:rsid w:val="00BE2A26"/>
    <w:rsid w:val="00BE3196"/>
    <w:rsid w:val="00BE5BA2"/>
    <w:rsid w:val="00BE77D8"/>
    <w:rsid w:val="00BF4E5B"/>
    <w:rsid w:val="00BF5C39"/>
    <w:rsid w:val="00BF6A94"/>
    <w:rsid w:val="00C06414"/>
    <w:rsid w:val="00C14F7C"/>
    <w:rsid w:val="00C1707F"/>
    <w:rsid w:val="00C22050"/>
    <w:rsid w:val="00C31356"/>
    <w:rsid w:val="00C3273B"/>
    <w:rsid w:val="00C36594"/>
    <w:rsid w:val="00C36C0F"/>
    <w:rsid w:val="00C43055"/>
    <w:rsid w:val="00C51443"/>
    <w:rsid w:val="00C60457"/>
    <w:rsid w:val="00C64382"/>
    <w:rsid w:val="00C668EC"/>
    <w:rsid w:val="00C67915"/>
    <w:rsid w:val="00C71BD3"/>
    <w:rsid w:val="00C73225"/>
    <w:rsid w:val="00C74ABB"/>
    <w:rsid w:val="00C758D4"/>
    <w:rsid w:val="00C768BE"/>
    <w:rsid w:val="00C77EE8"/>
    <w:rsid w:val="00C84BDF"/>
    <w:rsid w:val="00C85696"/>
    <w:rsid w:val="00C8787A"/>
    <w:rsid w:val="00C90193"/>
    <w:rsid w:val="00CA04F3"/>
    <w:rsid w:val="00CA0BEA"/>
    <w:rsid w:val="00CA24AB"/>
    <w:rsid w:val="00CA2E47"/>
    <w:rsid w:val="00CB02B8"/>
    <w:rsid w:val="00CD331E"/>
    <w:rsid w:val="00CD665E"/>
    <w:rsid w:val="00CD738B"/>
    <w:rsid w:val="00CE0D6A"/>
    <w:rsid w:val="00CE704E"/>
    <w:rsid w:val="00CE7A63"/>
    <w:rsid w:val="00CF311A"/>
    <w:rsid w:val="00CF69E5"/>
    <w:rsid w:val="00CF7674"/>
    <w:rsid w:val="00CF7736"/>
    <w:rsid w:val="00D04E41"/>
    <w:rsid w:val="00D1287D"/>
    <w:rsid w:val="00D1553F"/>
    <w:rsid w:val="00D17F13"/>
    <w:rsid w:val="00D26265"/>
    <w:rsid w:val="00D265DE"/>
    <w:rsid w:val="00D27373"/>
    <w:rsid w:val="00D27EAC"/>
    <w:rsid w:val="00D347D7"/>
    <w:rsid w:val="00D374FD"/>
    <w:rsid w:val="00D42AF8"/>
    <w:rsid w:val="00D44BBC"/>
    <w:rsid w:val="00D45772"/>
    <w:rsid w:val="00D45F14"/>
    <w:rsid w:val="00D46682"/>
    <w:rsid w:val="00D60638"/>
    <w:rsid w:val="00D62404"/>
    <w:rsid w:val="00D630D4"/>
    <w:rsid w:val="00D64B51"/>
    <w:rsid w:val="00D67AA8"/>
    <w:rsid w:val="00D722F8"/>
    <w:rsid w:val="00D74A68"/>
    <w:rsid w:val="00D756F2"/>
    <w:rsid w:val="00D83FFA"/>
    <w:rsid w:val="00D86947"/>
    <w:rsid w:val="00DA1C0E"/>
    <w:rsid w:val="00DA4D88"/>
    <w:rsid w:val="00DA6373"/>
    <w:rsid w:val="00DA64B3"/>
    <w:rsid w:val="00DB293D"/>
    <w:rsid w:val="00DB323B"/>
    <w:rsid w:val="00DC16DA"/>
    <w:rsid w:val="00DD2F4F"/>
    <w:rsid w:val="00DF02CB"/>
    <w:rsid w:val="00DF1241"/>
    <w:rsid w:val="00DF1B38"/>
    <w:rsid w:val="00E00336"/>
    <w:rsid w:val="00E0717F"/>
    <w:rsid w:val="00E07B43"/>
    <w:rsid w:val="00E102D9"/>
    <w:rsid w:val="00E12D6A"/>
    <w:rsid w:val="00E13D8B"/>
    <w:rsid w:val="00E2538B"/>
    <w:rsid w:val="00E313BB"/>
    <w:rsid w:val="00E34080"/>
    <w:rsid w:val="00E43CEC"/>
    <w:rsid w:val="00E45826"/>
    <w:rsid w:val="00E45A09"/>
    <w:rsid w:val="00E53F11"/>
    <w:rsid w:val="00E55624"/>
    <w:rsid w:val="00E57B0B"/>
    <w:rsid w:val="00E657B0"/>
    <w:rsid w:val="00E71E00"/>
    <w:rsid w:val="00E74A56"/>
    <w:rsid w:val="00E759D2"/>
    <w:rsid w:val="00E775A0"/>
    <w:rsid w:val="00E84DB7"/>
    <w:rsid w:val="00E86E1A"/>
    <w:rsid w:val="00E905F7"/>
    <w:rsid w:val="00E906A0"/>
    <w:rsid w:val="00E91177"/>
    <w:rsid w:val="00E9247F"/>
    <w:rsid w:val="00E92A04"/>
    <w:rsid w:val="00E97A96"/>
    <w:rsid w:val="00EA2D33"/>
    <w:rsid w:val="00EA5FFC"/>
    <w:rsid w:val="00EA65E3"/>
    <w:rsid w:val="00EB1A4D"/>
    <w:rsid w:val="00EC0CD9"/>
    <w:rsid w:val="00EC60F8"/>
    <w:rsid w:val="00EC6DC7"/>
    <w:rsid w:val="00EC7AD0"/>
    <w:rsid w:val="00ED36E4"/>
    <w:rsid w:val="00EE3AC8"/>
    <w:rsid w:val="00EF5760"/>
    <w:rsid w:val="00EF5786"/>
    <w:rsid w:val="00EF5EAF"/>
    <w:rsid w:val="00F00D1D"/>
    <w:rsid w:val="00F02A45"/>
    <w:rsid w:val="00F035C7"/>
    <w:rsid w:val="00F05D87"/>
    <w:rsid w:val="00F06D8A"/>
    <w:rsid w:val="00F07A3A"/>
    <w:rsid w:val="00F201FA"/>
    <w:rsid w:val="00F25243"/>
    <w:rsid w:val="00F255A9"/>
    <w:rsid w:val="00F30E8B"/>
    <w:rsid w:val="00F317AE"/>
    <w:rsid w:val="00F3305F"/>
    <w:rsid w:val="00F34653"/>
    <w:rsid w:val="00F35189"/>
    <w:rsid w:val="00F429B6"/>
    <w:rsid w:val="00F449B6"/>
    <w:rsid w:val="00F468A1"/>
    <w:rsid w:val="00F51B65"/>
    <w:rsid w:val="00F52F3F"/>
    <w:rsid w:val="00F57A93"/>
    <w:rsid w:val="00F67C7F"/>
    <w:rsid w:val="00F67D68"/>
    <w:rsid w:val="00F7141B"/>
    <w:rsid w:val="00F724B1"/>
    <w:rsid w:val="00F72C96"/>
    <w:rsid w:val="00F733E9"/>
    <w:rsid w:val="00F74333"/>
    <w:rsid w:val="00F77315"/>
    <w:rsid w:val="00F80DBD"/>
    <w:rsid w:val="00F83E84"/>
    <w:rsid w:val="00F913F9"/>
    <w:rsid w:val="00F921DA"/>
    <w:rsid w:val="00F943EE"/>
    <w:rsid w:val="00F963C3"/>
    <w:rsid w:val="00FA572B"/>
    <w:rsid w:val="00FA5B7E"/>
    <w:rsid w:val="00FA5DD2"/>
    <w:rsid w:val="00FB1844"/>
    <w:rsid w:val="00FC1847"/>
    <w:rsid w:val="00FC3D6B"/>
    <w:rsid w:val="00FC5C45"/>
    <w:rsid w:val="00FC60C8"/>
    <w:rsid w:val="00FD107E"/>
    <w:rsid w:val="00FE0ED8"/>
    <w:rsid w:val="00FE1800"/>
    <w:rsid w:val="00FE475A"/>
    <w:rsid w:val="00FE59FE"/>
    <w:rsid w:val="00FE6E3E"/>
    <w:rsid w:val="00FF0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EEFBD"/>
  <w15:docId w15:val="{EE0D2F39-72D5-4B24-A90B-D630BE2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34D2D"/>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1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F02A45"/>
    <w:pPr>
      <w:keepNext/>
      <w:keepLines/>
      <w:numPr>
        <w:ilvl w:val="1"/>
        <w:numId w:val="13"/>
      </w:numPr>
      <w:spacing w:before="60" w:after="120" w:line="240" w:lineRule="auto"/>
      <w:outlineLvl w:val="1"/>
    </w:pPr>
    <w:rPr>
      <w:rFonts w:ascii="Times New Roman" w:eastAsia="Times New Roman" w:hAnsi="Times New Roman" w:cs="Arial"/>
      <w:b/>
      <w:bCs/>
      <w:iCs/>
      <w:sz w:val="24"/>
      <w:szCs w:val="26"/>
      <w:lang w:val="en-GB"/>
    </w:rPr>
  </w:style>
  <w:style w:type="paragraph" w:styleId="Heading3">
    <w:name w:val="heading 3"/>
    <w:next w:val="Paragraph"/>
    <w:link w:val="Heading3Char"/>
    <w:uiPriority w:val="4"/>
    <w:qFormat/>
    <w:rsid w:val="003B7CFF"/>
    <w:pPr>
      <w:keepNext/>
      <w:keepLines/>
      <w:numPr>
        <w:ilvl w:val="2"/>
        <w:numId w:val="1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1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1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1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1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1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1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F02A45"/>
    <w:rPr>
      <w:rFonts w:ascii="Times New Roman" w:eastAsia="Times New Roman" w:hAnsi="Times New Roman" w:cs="Arial"/>
      <w:b/>
      <w:bCs/>
      <w:iC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99"/>
    <w:rsid w:val="003B7CFF"/>
    <w:rPr>
      <w:sz w:val="16"/>
      <w:szCs w:val="16"/>
    </w:rPr>
  </w:style>
  <w:style w:type="paragraph" w:styleId="CommentText">
    <w:name w:val="annotation text"/>
    <w:basedOn w:val="Normal"/>
    <w:link w:val="CommentTextChar"/>
    <w:uiPriority w:val="99"/>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rsid w:val="003B7CFF"/>
    <w:rPr>
      <w:vertAlign w:val="superscript"/>
    </w:rPr>
  </w:style>
  <w:style w:type="paragraph" w:styleId="ListBullet">
    <w:name w:val="List Bullet"/>
    <w:uiPriority w:val="9"/>
    <w:qFormat/>
    <w:rsid w:val="003B7CFF"/>
    <w:pPr>
      <w:numPr>
        <w:numId w:val="21"/>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1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23"/>
      </w:numPr>
    </w:pPr>
  </w:style>
  <w:style w:type="numbering" w:styleId="1ai">
    <w:name w:val="Outline List 1"/>
    <w:basedOn w:val="NoList"/>
    <w:uiPriority w:val="99"/>
    <w:semiHidden/>
    <w:unhideWhenUsed/>
    <w:rsid w:val="003B7CFF"/>
    <w:pPr>
      <w:numPr>
        <w:numId w:val="24"/>
      </w:numPr>
    </w:pPr>
  </w:style>
  <w:style w:type="numbering" w:styleId="ArticleSection">
    <w:name w:val="Outline List 3"/>
    <w:basedOn w:val="NoList"/>
    <w:uiPriority w:val="99"/>
    <w:semiHidden/>
    <w:unhideWhenUsed/>
    <w:rsid w:val="003B7CFF"/>
    <w:pPr>
      <w:numPr>
        <w:numId w:val="25"/>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semiHidden/>
    <w:rsid w:val="003B7CFF"/>
    <w:rPr>
      <w:vertAlign w:val="superscript"/>
    </w:rPr>
  </w:style>
  <w:style w:type="paragraph" w:styleId="EndnoteText">
    <w:name w:val="endnote text"/>
    <w:basedOn w:val="Normal"/>
    <w:link w:val="EndnoteTextChar"/>
    <w:uiPriority w:val="99"/>
    <w:semiHidden/>
    <w:rsid w:val="003B7CFF"/>
    <w:rPr>
      <w:sz w:val="20"/>
      <w:szCs w:val="20"/>
    </w:rPr>
  </w:style>
  <w:style w:type="character" w:customStyle="1" w:styleId="EndnoteTextChar">
    <w:name w:val="Endnote Text Char"/>
    <w:basedOn w:val="DefaultParagraphFont"/>
    <w:link w:val="EndnoteText"/>
    <w:uiPriority w:val="9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9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3B7CFF"/>
    <w:pPr>
      <w:numPr>
        <w:numId w:val="0"/>
      </w:numPr>
      <w:tabs>
        <w:tab w:val="left" w:pos="0"/>
        <w:tab w:val="left" w:pos="1134"/>
      </w:tabs>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21"/>
      </w:numPr>
      <w:spacing w:before="60" w:after="60"/>
    </w:pPr>
  </w:style>
  <w:style w:type="paragraph" w:styleId="ListBullet3">
    <w:name w:val="List Bullet 3"/>
    <w:basedOn w:val="Normal"/>
    <w:uiPriority w:val="9"/>
    <w:qFormat/>
    <w:rsid w:val="003B7CFF"/>
    <w:pPr>
      <w:numPr>
        <w:ilvl w:val="2"/>
        <w:numId w:val="21"/>
      </w:numPr>
      <w:spacing w:before="60" w:after="60"/>
    </w:pPr>
  </w:style>
  <w:style w:type="paragraph" w:styleId="ListBullet4">
    <w:name w:val="List Bullet 4"/>
    <w:basedOn w:val="Normal"/>
    <w:uiPriority w:val="99"/>
    <w:semiHidden/>
    <w:rsid w:val="003B7CFF"/>
    <w:pPr>
      <w:numPr>
        <w:ilvl w:val="3"/>
        <w:numId w:val="21"/>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22"/>
      </w:numPr>
      <w:spacing w:before="40" w:after="40"/>
    </w:pPr>
    <w:rPr>
      <w:sz w:val="20"/>
      <w:szCs w:val="48"/>
    </w:rPr>
  </w:style>
  <w:style w:type="paragraph" w:customStyle="1" w:styleId="ListBulletSmall2">
    <w:name w:val="List Bullet Small 2"/>
    <w:basedOn w:val="ListBullet2"/>
    <w:uiPriority w:val="9"/>
    <w:qFormat/>
    <w:rsid w:val="003B7CFF"/>
    <w:pPr>
      <w:numPr>
        <w:numId w:val="22"/>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1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26"/>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19"/>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3B7CFF"/>
    <w:pPr>
      <w:spacing w:before="40" w:after="40"/>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3B7CFF"/>
    <w:pPr>
      <w:keepLines/>
      <w:spacing w:before="40" w:after="40"/>
    </w:pPr>
    <w:rPr>
      <w:sz w:val="20"/>
      <w:szCs w:val="48"/>
    </w:rPr>
  </w:style>
  <w:style w:type="paragraph" w:customStyle="1" w:styleId="TableFootnoteLetter">
    <w:name w:val="Table Footnote Letter"/>
    <w:basedOn w:val="Normal"/>
    <w:uiPriority w:val="13"/>
    <w:rsid w:val="003B7CFF"/>
    <w:pPr>
      <w:keepLines/>
      <w:numPr>
        <w:numId w:val="28"/>
      </w:numPr>
      <w:spacing w:before="40" w:after="40" w:line="240" w:lineRule="auto"/>
    </w:pPr>
    <w:rPr>
      <w:sz w:val="20"/>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3B7CFF"/>
    <w:pPr>
      <w:spacing w:before="40" w:after="40"/>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3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ableText">
    <w:name w:val="A-Table Text"/>
    <w:basedOn w:val="Normal"/>
    <w:rsid w:val="00474FC2"/>
    <w:pPr>
      <w:spacing w:before="60" w:after="60" w:line="280" w:lineRule="atLeast"/>
    </w:pPr>
    <w:rPr>
      <w:rFonts w:ascii="Arial" w:hAnsi="Arial"/>
      <w:sz w:val="22"/>
      <w:szCs w:val="20"/>
    </w:rPr>
  </w:style>
  <w:style w:type="paragraph" w:customStyle="1" w:styleId="A-FigureTitle">
    <w:name w:val="A-Figure Title"/>
    <w:basedOn w:val="Normal"/>
    <w:next w:val="Normal"/>
    <w:rsid w:val="00474FC2"/>
    <w:pPr>
      <w:keepNext/>
      <w:tabs>
        <w:tab w:val="left" w:pos="1800"/>
      </w:tabs>
      <w:spacing w:after="120" w:line="280" w:lineRule="atLeast"/>
      <w:ind w:left="1800" w:hanging="1800"/>
    </w:pPr>
    <w:rPr>
      <w:rFonts w:ascii="Arial" w:hAnsi="Arial"/>
      <w:b/>
      <w:szCs w:val="20"/>
    </w:rPr>
  </w:style>
  <w:style w:type="paragraph" w:styleId="Revision">
    <w:name w:val="Revision"/>
    <w:hidden/>
    <w:uiPriority w:val="99"/>
    <w:semiHidden/>
    <w:rsid w:val="00E91177"/>
    <w:pPr>
      <w:spacing w:after="0" w:line="240" w:lineRule="auto"/>
    </w:pPr>
    <w:rPr>
      <w:rFonts w:ascii="Times New Roman" w:eastAsia="Times New Roman" w:hAnsi="Times New Roman" w:cs="Times New Roman"/>
      <w:sz w:val="24"/>
      <w:szCs w:val="24"/>
      <w:lang w:val="en-GB"/>
    </w:rPr>
  </w:style>
  <w:style w:type="character" w:customStyle="1" w:styleId="paragraph-h1">
    <w:name w:val="paragraph-h1"/>
    <w:basedOn w:val="DefaultParagraphFont"/>
    <w:rsid w:val="00D44BBC"/>
    <w:rPr>
      <w:rFonts w:ascii="Times New Roman" w:hAnsi="Times New Roman" w:cs="Times New Roman" w:hint="default"/>
      <w:sz w:val="24"/>
      <w:szCs w:val="24"/>
    </w:rPr>
  </w:style>
  <w:style w:type="paragraph" w:customStyle="1" w:styleId="A-Single">
    <w:name w:val="A-Single"/>
    <w:rsid w:val="00D44BBC"/>
    <w:pPr>
      <w:spacing w:after="0" w:line="240" w:lineRule="auto"/>
    </w:pPr>
    <w:rPr>
      <w:rFonts w:ascii="Times New Roman" w:eastAsia="Times New Roman" w:hAnsi="Times New Roman" w:cs="Times New Roman"/>
      <w:sz w:val="24"/>
      <w:szCs w:val="20"/>
      <w:lang w:val="en-GB"/>
    </w:rPr>
  </w:style>
  <w:style w:type="paragraph" w:customStyle="1" w:styleId="Default">
    <w:name w:val="Default"/>
    <w:rsid w:val="00120D43"/>
    <w:pPr>
      <w:autoSpaceDE w:val="0"/>
      <w:autoSpaceDN w:val="0"/>
      <w:adjustRightInd w:val="0"/>
      <w:spacing w:after="0" w:line="240" w:lineRule="auto"/>
    </w:pPr>
    <w:rPr>
      <w:rFonts w:ascii="Cambria" w:hAnsi="Cambria" w:cs="Cambria"/>
      <w:color w:val="000000"/>
      <w:sz w:val="24"/>
      <w:szCs w:val="24"/>
    </w:rPr>
  </w:style>
  <w:style w:type="character" w:customStyle="1" w:styleId="CommentTextChar2">
    <w:name w:val="Comment Text Char2"/>
    <w:basedOn w:val="DefaultParagraphFont"/>
    <w:uiPriority w:val="99"/>
    <w:rsid w:val="00D630D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4979">
      <w:bodyDiv w:val="1"/>
      <w:marLeft w:val="0"/>
      <w:marRight w:val="0"/>
      <w:marTop w:val="0"/>
      <w:marBottom w:val="0"/>
      <w:divBdr>
        <w:top w:val="none" w:sz="0" w:space="0" w:color="auto"/>
        <w:left w:val="none" w:sz="0" w:space="0" w:color="auto"/>
        <w:bottom w:val="none" w:sz="0" w:space="0" w:color="auto"/>
        <w:right w:val="none" w:sz="0" w:space="0" w:color="auto"/>
      </w:divBdr>
    </w:div>
    <w:div w:id="835653947">
      <w:bodyDiv w:val="1"/>
      <w:marLeft w:val="0"/>
      <w:marRight w:val="0"/>
      <w:marTop w:val="0"/>
      <w:marBottom w:val="0"/>
      <w:divBdr>
        <w:top w:val="none" w:sz="0" w:space="0" w:color="auto"/>
        <w:left w:val="none" w:sz="0" w:space="0" w:color="auto"/>
        <w:bottom w:val="none" w:sz="0" w:space="0" w:color="auto"/>
        <w:right w:val="none" w:sz="0" w:space="0" w:color="auto"/>
      </w:divBdr>
    </w:div>
    <w:div w:id="1077870980">
      <w:bodyDiv w:val="1"/>
      <w:marLeft w:val="0"/>
      <w:marRight w:val="0"/>
      <w:marTop w:val="0"/>
      <w:marBottom w:val="0"/>
      <w:divBdr>
        <w:top w:val="none" w:sz="0" w:space="0" w:color="auto"/>
        <w:left w:val="none" w:sz="0" w:space="0" w:color="auto"/>
        <w:bottom w:val="none" w:sz="0" w:space="0" w:color="auto"/>
        <w:right w:val="none" w:sz="0" w:space="0" w:color="auto"/>
      </w:divBdr>
    </w:div>
    <w:div w:id="13326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mgra\Downloads\pi-template-black-triangle%20Jan%202018%20WORK%20IN%20PROGRES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7C454B2C25024D950808CC3ADD2BAD" ma:contentTypeVersion="13" ma:contentTypeDescription="Create a new document." ma:contentTypeScope="" ma:versionID="5b4268ee3e4bab74d232e52a62ff054d">
  <xsd:schema xmlns:xsd="http://www.w3.org/2001/XMLSchema" xmlns:xs="http://www.w3.org/2001/XMLSchema" xmlns:p="http://schemas.microsoft.com/office/2006/metadata/properties" xmlns:ns3="44a56295-c29e-4898-8136-a54736c65b82" xmlns:ns4="8a730779-8e26-452b-b2ea-abf825b51430" xmlns:ns5="db6b4cba-08ae-4a5d-8b65-5effd536a3ee" targetNamespace="http://schemas.microsoft.com/office/2006/metadata/properties" ma:root="true" ma:fieldsID="78580fda5c410d5e26d7b63bb8143687" ns3:_="" ns4:_="" ns5:_="">
    <xsd:import namespace="44a56295-c29e-4898-8136-a54736c65b82"/>
    <xsd:import namespace="8a730779-8e26-452b-b2ea-abf825b51430"/>
    <xsd:import namespace="db6b4cba-08ae-4a5d-8b65-5effd536a3ee"/>
    <xsd:element name="properties">
      <xsd:complexType>
        <xsd:sequence>
          <xsd:element name="documentManagement">
            <xsd:complexType>
              <xsd:all>
                <xsd:element ref="ns3:Descriptions" minOccurs="0"/>
                <xsd:element ref="ns3:Keyword" minOccurs="0"/>
                <xsd:element ref="ns4:MediaServiceDateTaken" minOccurs="0"/>
                <xsd:element ref="ns4:MediaServiceAutoTags" minOccurs="0"/>
                <xsd:element ref="ns4:MediaServiceMetadata" minOccurs="0"/>
                <xsd:element ref="ns4:MediaServiceFastMetadata"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30779-8e26-452b-b2ea-abf825b51430" elementFormDefault="qualified">
    <xsd:import namespace="http://schemas.microsoft.com/office/2006/documentManagement/types"/>
    <xsd:import namespace="http://schemas.microsoft.com/office/infopath/2007/PartnerControls"/>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4cba-08ae-4a5d-8b65-5effd536a3e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ee89e71-04cd-405e-9ca3-99e020c1694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D1B9-42F4-423E-BC7F-50D9F2FEC442}">
  <ds:schemaRefs>
    <ds:schemaRef ds:uri="http://schemas.microsoft.com/sharepoint/v3/contenttype/forms"/>
  </ds:schemaRefs>
</ds:datastoreItem>
</file>

<file path=customXml/itemProps2.xml><?xml version="1.0" encoding="utf-8"?>
<ds:datastoreItem xmlns:ds="http://schemas.openxmlformats.org/officeDocument/2006/customXml" ds:itemID="{EF7E98B6-04E7-4627-B053-3EA5ED3FFE4E}">
  <ds:schemaRefs>
    <ds:schemaRef ds:uri="http://purl.org/dc/elements/1.1/"/>
    <ds:schemaRef ds:uri="http://schemas.microsoft.com/office/2006/metadata/properties"/>
    <ds:schemaRef ds:uri="44a56295-c29e-4898-8136-a54736c65b82"/>
    <ds:schemaRef ds:uri="http://purl.org/dc/terms/"/>
    <ds:schemaRef ds:uri="http://schemas.openxmlformats.org/package/2006/metadata/core-properties"/>
    <ds:schemaRef ds:uri="8a730779-8e26-452b-b2ea-abf825b51430"/>
    <ds:schemaRef ds:uri="http://schemas.microsoft.com/office/2006/documentManagement/types"/>
    <ds:schemaRef ds:uri="http://schemas.microsoft.com/office/infopath/2007/PartnerControls"/>
    <ds:schemaRef ds:uri="db6b4cba-08ae-4a5d-8b65-5effd536a3ee"/>
    <ds:schemaRef ds:uri="http://www.w3.org/XML/1998/namespace"/>
    <ds:schemaRef ds:uri="http://purl.org/dc/dcmitype/"/>
  </ds:schemaRefs>
</ds:datastoreItem>
</file>

<file path=customXml/itemProps3.xml><?xml version="1.0" encoding="utf-8"?>
<ds:datastoreItem xmlns:ds="http://schemas.openxmlformats.org/officeDocument/2006/customXml" ds:itemID="{201B7016-5AA9-498C-9421-94D3D1548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8a730779-8e26-452b-b2ea-abf825b51430"/>
    <ds:schemaRef ds:uri="db6b4cba-08ae-4a5d-8b65-5effd536a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D9EC0-E15D-4053-AF40-3166B763E83D}">
  <ds:schemaRefs>
    <ds:schemaRef ds:uri="Microsoft.SharePoint.Taxonomy.ContentTypeSync"/>
  </ds:schemaRefs>
</ds:datastoreItem>
</file>

<file path=customXml/itemProps5.xml><?xml version="1.0" encoding="utf-8"?>
<ds:datastoreItem xmlns:ds="http://schemas.openxmlformats.org/officeDocument/2006/customXml" ds:itemID="{A3DBC3A4-3354-4439-86BB-ABD8A6DF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pi-template-black-triangle Jan 2018 WORK IN PROGRESS (1).dotx</Template>
  <TotalTime>9</TotalTime>
  <Pages>31</Pages>
  <Words>11342</Words>
  <Characters>64766</Characters>
  <Application>Microsoft Office Word</Application>
  <DocSecurity>0</DocSecurity>
  <Lines>1619</Lines>
  <Paragraphs>975</Paragraphs>
  <ScaleCrop>false</ScaleCrop>
  <HeadingPairs>
    <vt:vector size="2" baseType="variant">
      <vt:variant>
        <vt:lpstr>Title</vt:lpstr>
      </vt:variant>
      <vt:variant>
        <vt:i4>1</vt:i4>
      </vt:variant>
    </vt:vector>
  </HeadingPairs>
  <TitlesOfParts>
    <vt:vector size="1" baseType="lpstr">
      <vt:lpstr>Attachment 1: Product Information for Olaparib</vt:lpstr>
    </vt:vector>
  </TitlesOfParts>
  <Company>AstraZeneca Pty Ltd</Company>
  <LinksUpToDate>false</LinksUpToDate>
  <CharactersWithSpaces>75133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Olaparib</dc:title>
  <dc:subject>prescription medicines</dc:subject>
  <dc:creator>AstraZeneca Pty Ltd</dc:creator>
  <cp:lastPrinted>2017-11-13T05:13:00Z</cp:lastPrinted>
  <dcterms:created xsi:type="dcterms:W3CDTF">2021-05-05T23:24:00Z</dcterms:created>
  <dcterms:modified xsi:type="dcterms:W3CDTF">2021-05-05T23:33:00Z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0x0101008E7C454B2C25024D950808CC3ADD2BAD</vt:lpwstr>
  </property>
</Properties>
</file>