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D5A228F" w14:textId="77777777" w:rsidTr="00BF1190">
        <w:trPr>
          <w:trHeight w:val="1863"/>
        </w:trPr>
        <w:tc>
          <w:tcPr>
            <w:tcW w:w="3652" w:type="dxa"/>
            <w:tcBorders>
              <w:top w:val="nil"/>
              <w:left w:val="nil"/>
              <w:bottom w:val="nil"/>
              <w:right w:val="nil"/>
            </w:tcBorders>
          </w:tcPr>
          <w:p w14:paraId="2129D842" w14:textId="011D33F1" w:rsidR="008E7846" w:rsidRPr="00096AA7" w:rsidRDefault="00963DD4" w:rsidP="00096AA7">
            <w:pPr>
              <w:rPr>
                <w:rFonts w:ascii="Arial" w:hAnsi="Arial" w:cs="Arial"/>
                <w:b/>
                <w:color w:val="002C47"/>
                <w:sz w:val="36"/>
                <w:szCs w:val="36"/>
              </w:rPr>
            </w:pPr>
            <w:r>
              <w:rPr>
                <w:rFonts w:ascii="Arial" w:hAnsi="Arial" w:cs="Arial"/>
                <w:b/>
                <w:color w:val="002C47"/>
                <w:sz w:val="36"/>
                <w:szCs w:val="36"/>
              </w:rPr>
              <w:t>October</w:t>
            </w:r>
            <w:r w:rsidR="009F26CF">
              <w:rPr>
                <w:rFonts w:ascii="Arial" w:hAnsi="Arial" w:cs="Arial"/>
                <w:b/>
                <w:color w:val="002C47"/>
                <w:sz w:val="36"/>
                <w:szCs w:val="36"/>
              </w:rPr>
              <w:t xml:space="preserve"> </w:t>
            </w:r>
            <w:r w:rsidR="00113533">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2A2CD12" w14:textId="77777777" w:rsidTr="0032583B">
        <w:trPr>
          <w:trHeight w:val="868"/>
        </w:trPr>
        <w:tc>
          <w:tcPr>
            <w:tcW w:w="9079" w:type="dxa"/>
          </w:tcPr>
          <w:p w14:paraId="65ECA5D5"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156D57">
              <w:rPr>
                <w:color w:val="FFFFFF" w:themeColor="background1"/>
              </w:rPr>
              <w:t>O</w:t>
            </w:r>
            <w:r w:rsidR="00113533" w:rsidRPr="007A3BAF">
              <w:rPr>
                <w:color w:val="FFFFFF" w:themeColor="background1"/>
              </w:rPr>
              <w:t>laparib</w:t>
            </w:r>
          </w:p>
        </w:tc>
      </w:tr>
      <w:tr w:rsidR="0032583B" w:rsidRPr="00B64760" w14:paraId="35C91F7F" w14:textId="77777777" w:rsidTr="0032583B">
        <w:tc>
          <w:tcPr>
            <w:tcW w:w="9079" w:type="dxa"/>
          </w:tcPr>
          <w:p w14:paraId="7AA20C91" w14:textId="77777777" w:rsidR="0032583B" w:rsidRPr="008E7846" w:rsidRDefault="0032583B" w:rsidP="00113533">
            <w:pPr>
              <w:pStyle w:val="Subtitle"/>
              <w:rPr>
                <w:color w:val="FFFFFF" w:themeColor="background1"/>
              </w:rPr>
            </w:pPr>
            <w:r w:rsidRPr="008E7846">
              <w:rPr>
                <w:color w:val="FFFFFF" w:themeColor="background1"/>
              </w:rPr>
              <w:t xml:space="preserve">Proprietary Product Name: </w:t>
            </w:r>
            <w:r w:rsidR="00113533">
              <w:rPr>
                <w:color w:val="FFFFFF" w:themeColor="background1"/>
              </w:rPr>
              <w:t>Lynparza</w:t>
            </w:r>
          </w:p>
        </w:tc>
      </w:tr>
      <w:tr w:rsidR="0032583B" w:rsidRPr="00B64760" w14:paraId="0721F1B5" w14:textId="77777777" w:rsidTr="0032583B">
        <w:trPr>
          <w:trHeight w:val="486"/>
        </w:trPr>
        <w:tc>
          <w:tcPr>
            <w:tcW w:w="9079" w:type="dxa"/>
          </w:tcPr>
          <w:p w14:paraId="7FCA18AF"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113533">
              <w:rPr>
                <w:color w:val="FFFFFF" w:themeColor="background1"/>
              </w:rPr>
              <w:t>AstraZeneca Pty Ltd</w:t>
            </w:r>
          </w:p>
        </w:tc>
      </w:tr>
    </w:tbl>
    <w:p w14:paraId="3C42513F" w14:textId="77777777" w:rsidR="008E7846" w:rsidRPr="0085156D" w:rsidRDefault="008E7846" w:rsidP="0085156D">
      <w:r w:rsidRPr="0085156D">
        <w:br w:type="page"/>
      </w:r>
    </w:p>
    <w:p w14:paraId="5733A2F8" w14:textId="77777777" w:rsidR="008E7846" w:rsidRPr="001F6CBA" w:rsidRDefault="008E7846" w:rsidP="008E7846">
      <w:pPr>
        <w:pStyle w:val="NonTOCHeading2"/>
      </w:pPr>
      <w:r w:rsidRPr="001F6CBA">
        <w:lastRenderedPageBreak/>
        <w:t>About the Therapeutic Goods Administration (TGA)</w:t>
      </w:r>
    </w:p>
    <w:p w14:paraId="72FFF010"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FA98C33"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6745A1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8B01A57"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6EF3F1D"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33552EA0" w14:textId="77777777" w:rsidR="008E7846" w:rsidRDefault="008E7846" w:rsidP="00875A6B">
      <w:pPr>
        <w:pStyle w:val="NonTOCHeading2"/>
      </w:pPr>
      <w:r>
        <w:t>About AusPARs</w:t>
      </w:r>
    </w:p>
    <w:p w14:paraId="65EA89F6"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1BB9A66" w14:textId="77777777" w:rsidR="008E7846" w:rsidRDefault="008E7846" w:rsidP="008E7846">
      <w:pPr>
        <w:pStyle w:val="ListBullet"/>
        <w:numPr>
          <w:ilvl w:val="0"/>
          <w:numId w:val="3"/>
        </w:numPr>
        <w:ind w:left="357" w:hanging="357"/>
      </w:pPr>
      <w:r>
        <w:t>AusPARs are prepared and published by the TGA.</w:t>
      </w:r>
    </w:p>
    <w:p w14:paraId="451F3ACF"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A1FE57F"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4B4323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FF77C90" w14:textId="77777777" w:rsidR="00924482" w:rsidRPr="00DF1D7F" w:rsidRDefault="00924482" w:rsidP="00F54B65">
      <w:pPr>
        <w:pStyle w:val="LegalSubheading"/>
        <w:spacing w:before="3120"/>
      </w:pPr>
      <w:r w:rsidRPr="00DF1D7F">
        <w:t>Copyright</w:t>
      </w:r>
    </w:p>
    <w:p w14:paraId="34728192"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27E18F0A"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33933AC" w14:textId="77777777" w:rsidR="0089635C" w:rsidRPr="0089635C" w:rsidRDefault="0089635C" w:rsidP="0010788A">
          <w:pPr>
            <w:pStyle w:val="Contents"/>
          </w:pPr>
          <w:r w:rsidRPr="0010788A">
            <w:t>Conte</w:t>
          </w:r>
          <w:bookmarkStart w:id="2" w:name="_GoBack"/>
          <w:bookmarkEnd w:id="2"/>
          <w:r w:rsidRPr="0010788A">
            <w:t>nts</w:t>
          </w:r>
        </w:p>
        <w:p w14:paraId="54FB5584" w14:textId="70B81669" w:rsidR="00B0330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3326188" w:history="1">
            <w:r w:rsidR="00B03309" w:rsidRPr="000366DF">
              <w:rPr>
                <w:rStyle w:val="Hyperlink"/>
                <w:noProof/>
              </w:rPr>
              <w:t>Common abbreviations</w:t>
            </w:r>
            <w:r w:rsidR="00B03309">
              <w:rPr>
                <w:noProof/>
                <w:webHidden/>
              </w:rPr>
              <w:tab/>
            </w:r>
            <w:r w:rsidR="00B03309">
              <w:rPr>
                <w:noProof/>
                <w:webHidden/>
              </w:rPr>
              <w:fldChar w:fldCharType="begin"/>
            </w:r>
            <w:r w:rsidR="00B03309">
              <w:rPr>
                <w:noProof/>
                <w:webHidden/>
              </w:rPr>
              <w:instrText xml:space="preserve"> PAGEREF _Toc23326188 \h </w:instrText>
            </w:r>
            <w:r w:rsidR="00B03309">
              <w:rPr>
                <w:noProof/>
                <w:webHidden/>
              </w:rPr>
            </w:r>
            <w:r w:rsidR="00B03309">
              <w:rPr>
                <w:noProof/>
                <w:webHidden/>
              </w:rPr>
              <w:fldChar w:fldCharType="separate"/>
            </w:r>
            <w:r w:rsidR="00B03309">
              <w:rPr>
                <w:noProof/>
                <w:webHidden/>
              </w:rPr>
              <w:t>5</w:t>
            </w:r>
            <w:r w:rsidR="00B03309">
              <w:rPr>
                <w:noProof/>
                <w:webHidden/>
              </w:rPr>
              <w:fldChar w:fldCharType="end"/>
            </w:r>
          </w:hyperlink>
        </w:p>
        <w:p w14:paraId="490C9825" w14:textId="75037BDF" w:rsidR="00B03309" w:rsidRDefault="00B03309">
          <w:pPr>
            <w:pStyle w:val="TOC2"/>
            <w:rPr>
              <w:rFonts w:asciiTheme="minorHAnsi" w:eastAsiaTheme="minorEastAsia" w:hAnsiTheme="minorHAnsi" w:cstheme="minorBidi"/>
              <w:b w:val="0"/>
              <w:noProof/>
              <w:sz w:val="22"/>
              <w:lang w:eastAsia="en-AU"/>
            </w:rPr>
          </w:pPr>
          <w:hyperlink w:anchor="_Toc23326189" w:history="1">
            <w:r w:rsidRPr="000366DF">
              <w:rPr>
                <w:rStyle w:val="Hyperlink"/>
                <w:noProof/>
              </w:rPr>
              <w:t>I. Introduction to product submission</w:t>
            </w:r>
            <w:r>
              <w:rPr>
                <w:noProof/>
                <w:webHidden/>
              </w:rPr>
              <w:tab/>
            </w:r>
            <w:r>
              <w:rPr>
                <w:noProof/>
                <w:webHidden/>
              </w:rPr>
              <w:fldChar w:fldCharType="begin"/>
            </w:r>
            <w:r>
              <w:rPr>
                <w:noProof/>
                <w:webHidden/>
              </w:rPr>
              <w:instrText xml:space="preserve"> PAGEREF _Toc23326189 \h </w:instrText>
            </w:r>
            <w:r>
              <w:rPr>
                <w:noProof/>
                <w:webHidden/>
              </w:rPr>
            </w:r>
            <w:r>
              <w:rPr>
                <w:noProof/>
                <w:webHidden/>
              </w:rPr>
              <w:fldChar w:fldCharType="separate"/>
            </w:r>
            <w:r>
              <w:rPr>
                <w:noProof/>
                <w:webHidden/>
              </w:rPr>
              <w:t>9</w:t>
            </w:r>
            <w:r>
              <w:rPr>
                <w:noProof/>
                <w:webHidden/>
              </w:rPr>
              <w:fldChar w:fldCharType="end"/>
            </w:r>
          </w:hyperlink>
        </w:p>
        <w:p w14:paraId="0335B290" w14:textId="1FE54B72" w:rsidR="00B03309" w:rsidRDefault="00B03309">
          <w:pPr>
            <w:pStyle w:val="TOC3"/>
            <w:rPr>
              <w:rFonts w:asciiTheme="minorHAnsi" w:eastAsiaTheme="minorEastAsia" w:hAnsiTheme="minorHAnsi" w:cstheme="minorBidi"/>
              <w:noProof/>
              <w:lang w:eastAsia="en-AU"/>
            </w:rPr>
          </w:pPr>
          <w:hyperlink w:anchor="_Toc23326190" w:history="1">
            <w:r w:rsidRPr="000366DF">
              <w:rPr>
                <w:rStyle w:val="Hyperlink"/>
                <w:noProof/>
                <w:lang w:eastAsia="en-AU"/>
              </w:rPr>
              <w:t>Submission details</w:t>
            </w:r>
            <w:r>
              <w:rPr>
                <w:noProof/>
                <w:webHidden/>
              </w:rPr>
              <w:tab/>
            </w:r>
            <w:r>
              <w:rPr>
                <w:noProof/>
                <w:webHidden/>
              </w:rPr>
              <w:fldChar w:fldCharType="begin"/>
            </w:r>
            <w:r>
              <w:rPr>
                <w:noProof/>
                <w:webHidden/>
              </w:rPr>
              <w:instrText xml:space="preserve"> PAGEREF _Toc23326190 \h </w:instrText>
            </w:r>
            <w:r>
              <w:rPr>
                <w:noProof/>
                <w:webHidden/>
              </w:rPr>
            </w:r>
            <w:r>
              <w:rPr>
                <w:noProof/>
                <w:webHidden/>
              </w:rPr>
              <w:fldChar w:fldCharType="separate"/>
            </w:r>
            <w:r>
              <w:rPr>
                <w:noProof/>
                <w:webHidden/>
              </w:rPr>
              <w:t>9</w:t>
            </w:r>
            <w:r>
              <w:rPr>
                <w:noProof/>
                <w:webHidden/>
              </w:rPr>
              <w:fldChar w:fldCharType="end"/>
            </w:r>
          </w:hyperlink>
        </w:p>
        <w:p w14:paraId="3E10001A" w14:textId="390E0FE3" w:rsidR="00B03309" w:rsidRDefault="00B03309">
          <w:pPr>
            <w:pStyle w:val="TOC3"/>
            <w:rPr>
              <w:rFonts w:asciiTheme="minorHAnsi" w:eastAsiaTheme="minorEastAsia" w:hAnsiTheme="minorHAnsi" w:cstheme="minorBidi"/>
              <w:noProof/>
              <w:lang w:eastAsia="en-AU"/>
            </w:rPr>
          </w:pPr>
          <w:hyperlink w:anchor="_Toc23326191" w:history="1">
            <w:r w:rsidRPr="000366DF">
              <w:rPr>
                <w:rStyle w:val="Hyperlink"/>
                <w:noProof/>
              </w:rPr>
              <w:t>Product background</w:t>
            </w:r>
            <w:r>
              <w:rPr>
                <w:noProof/>
                <w:webHidden/>
              </w:rPr>
              <w:tab/>
            </w:r>
            <w:r>
              <w:rPr>
                <w:noProof/>
                <w:webHidden/>
              </w:rPr>
              <w:fldChar w:fldCharType="begin"/>
            </w:r>
            <w:r>
              <w:rPr>
                <w:noProof/>
                <w:webHidden/>
              </w:rPr>
              <w:instrText xml:space="preserve"> PAGEREF _Toc23326191 \h </w:instrText>
            </w:r>
            <w:r>
              <w:rPr>
                <w:noProof/>
                <w:webHidden/>
              </w:rPr>
            </w:r>
            <w:r>
              <w:rPr>
                <w:noProof/>
                <w:webHidden/>
              </w:rPr>
              <w:fldChar w:fldCharType="separate"/>
            </w:r>
            <w:r>
              <w:rPr>
                <w:noProof/>
                <w:webHidden/>
              </w:rPr>
              <w:t>10</w:t>
            </w:r>
            <w:r>
              <w:rPr>
                <w:noProof/>
                <w:webHidden/>
              </w:rPr>
              <w:fldChar w:fldCharType="end"/>
            </w:r>
          </w:hyperlink>
        </w:p>
        <w:p w14:paraId="06E0AB5C" w14:textId="659D66D4" w:rsidR="00B03309" w:rsidRDefault="00B03309">
          <w:pPr>
            <w:pStyle w:val="TOC3"/>
            <w:rPr>
              <w:rFonts w:asciiTheme="minorHAnsi" w:eastAsiaTheme="minorEastAsia" w:hAnsiTheme="minorHAnsi" w:cstheme="minorBidi"/>
              <w:noProof/>
              <w:lang w:eastAsia="en-AU"/>
            </w:rPr>
          </w:pPr>
          <w:hyperlink w:anchor="_Toc23326192" w:history="1">
            <w:r w:rsidRPr="000366DF">
              <w:rPr>
                <w:rStyle w:val="Hyperlink"/>
                <w:noProof/>
              </w:rPr>
              <w:t>Regulatory status</w:t>
            </w:r>
            <w:r>
              <w:rPr>
                <w:noProof/>
                <w:webHidden/>
              </w:rPr>
              <w:tab/>
            </w:r>
            <w:r>
              <w:rPr>
                <w:noProof/>
                <w:webHidden/>
              </w:rPr>
              <w:fldChar w:fldCharType="begin"/>
            </w:r>
            <w:r>
              <w:rPr>
                <w:noProof/>
                <w:webHidden/>
              </w:rPr>
              <w:instrText xml:space="preserve"> PAGEREF _Toc23326192 \h </w:instrText>
            </w:r>
            <w:r>
              <w:rPr>
                <w:noProof/>
                <w:webHidden/>
              </w:rPr>
            </w:r>
            <w:r>
              <w:rPr>
                <w:noProof/>
                <w:webHidden/>
              </w:rPr>
              <w:fldChar w:fldCharType="separate"/>
            </w:r>
            <w:r>
              <w:rPr>
                <w:noProof/>
                <w:webHidden/>
              </w:rPr>
              <w:t>10</w:t>
            </w:r>
            <w:r>
              <w:rPr>
                <w:noProof/>
                <w:webHidden/>
              </w:rPr>
              <w:fldChar w:fldCharType="end"/>
            </w:r>
          </w:hyperlink>
        </w:p>
        <w:p w14:paraId="741A9E98" w14:textId="084C41F3" w:rsidR="00B03309" w:rsidRDefault="00B03309">
          <w:pPr>
            <w:pStyle w:val="TOC3"/>
            <w:rPr>
              <w:rFonts w:asciiTheme="minorHAnsi" w:eastAsiaTheme="minorEastAsia" w:hAnsiTheme="minorHAnsi" w:cstheme="minorBidi"/>
              <w:noProof/>
              <w:lang w:eastAsia="en-AU"/>
            </w:rPr>
          </w:pPr>
          <w:hyperlink w:anchor="_Toc23326193" w:history="1">
            <w:r w:rsidRPr="000366DF">
              <w:rPr>
                <w:rStyle w:val="Hyperlink"/>
                <w:noProof/>
              </w:rPr>
              <w:t>Product Information</w:t>
            </w:r>
            <w:r>
              <w:rPr>
                <w:noProof/>
                <w:webHidden/>
              </w:rPr>
              <w:tab/>
            </w:r>
            <w:r>
              <w:rPr>
                <w:noProof/>
                <w:webHidden/>
              </w:rPr>
              <w:fldChar w:fldCharType="begin"/>
            </w:r>
            <w:r>
              <w:rPr>
                <w:noProof/>
                <w:webHidden/>
              </w:rPr>
              <w:instrText xml:space="preserve"> PAGEREF _Toc23326193 \h </w:instrText>
            </w:r>
            <w:r>
              <w:rPr>
                <w:noProof/>
                <w:webHidden/>
              </w:rPr>
            </w:r>
            <w:r>
              <w:rPr>
                <w:noProof/>
                <w:webHidden/>
              </w:rPr>
              <w:fldChar w:fldCharType="separate"/>
            </w:r>
            <w:r>
              <w:rPr>
                <w:noProof/>
                <w:webHidden/>
              </w:rPr>
              <w:t>12</w:t>
            </w:r>
            <w:r>
              <w:rPr>
                <w:noProof/>
                <w:webHidden/>
              </w:rPr>
              <w:fldChar w:fldCharType="end"/>
            </w:r>
          </w:hyperlink>
        </w:p>
        <w:p w14:paraId="3C431392" w14:textId="1C2DCC22" w:rsidR="00B03309" w:rsidRDefault="00B03309">
          <w:pPr>
            <w:pStyle w:val="TOC2"/>
            <w:rPr>
              <w:rFonts w:asciiTheme="minorHAnsi" w:eastAsiaTheme="minorEastAsia" w:hAnsiTheme="minorHAnsi" w:cstheme="minorBidi"/>
              <w:b w:val="0"/>
              <w:noProof/>
              <w:sz w:val="22"/>
              <w:lang w:eastAsia="en-AU"/>
            </w:rPr>
          </w:pPr>
          <w:hyperlink w:anchor="_Toc23326194" w:history="1">
            <w:r w:rsidRPr="000366DF">
              <w:rPr>
                <w:rStyle w:val="Hyperlink"/>
                <w:noProof/>
              </w:rPr>
              <w:t>II. Registration time line</w:t>
            </w:r>
            <w:r>
              <w:rPr>
                <w:noProof/>
                <w:webHidden/>
              </w:rPr>
              <w:tab/>
            </w:r>
            <w:r>
              <w:rPr>
                <w:noProof/>
                <w:webHidden/>
              </w:rPr>
              <w:fldChar w:fldCharType="begin"/>
            </w:r>
            <w:r>
              <w:rPr>
                <w:noProof/>
                <w:webHidden/>
              </w:rPr>
              <w:instrText xml:space="preserve"> PAGEREF _Toc23326194 \h </w:instrText>
            </w:r>
            <w:r>
              <w:rPr>
                <w:noProof/>
                <w:webHidden/>
              </w:rPr>
            </w:r>
            <w:r>
              <w:rPr>
                <w:noProof/>
                <w:webHidden/>
              </w:rPr>
              <w:fldChar w:fldCharType="separate"/>
            </w:r>
            <w:r>
              <w:rPr>
                <w:noProof/>
                <w:webHidden/>
              </w:rPr>
              <w:t>12</w:t>
            </w:r>
            <w:r>
              <w:rPr>
                <w:noProof/>
                <w:webHidden/>
              </w:rPr>
              <w:fldChar w:fldCharType="end"/>
            </w:r>
          </w:hyperlink>
        </w:p>
        <w:p w14:paraId="7452A6AC" w14:textId="3C29CE54" w:rsidR="00B03309" w:rsidRDefault="00B03309">
          <w:pPr>
            <w:pStyle w:val="TOC2"/>
            <w:rPr>
              <w:rFonts w:asciiTheme="minorHAnsi" w:eastAsiaTheme="minorEastAsia" w:hAnsiTheme="minorHAnsi" w:cstheme="minorBidi"/>
              <w:b w:val="0"/>
              <w:noProof/>
              <w:sz w:val="22"/>
              <w:lang w:eastAsia="en-AU"/>
            </w:rPr>
          </w:pPr>
          <w:hyperlink w:anchor="_Toc23326195" w:history="1">
            <w:r w:rsidRPr="000366DF">
              <w:rPr>
                <w:rStyle w:val="Hyperlink"/>
                <w:noProof/>
              </w:rPr>
              <w:t>III. Quality findings</w:t>
            </w:r>
            <w:r>
              <w:rPr>
                <w:noProof/>
                <w:webHidden/>
              </w:rPr>
              <w:tab/>
            </w:r>
            <w:r>
              <w:rPr>
                <w:noProof/>
                <w:webHidden/>
              </w:rPr>
              <w:fldChar w:fldCharType="begin"/>
            </w:r>
            <w:r>
              <w:rPr>
                <w:noProof/>
                <w:webHidden/>
              </w:rPr>
              <w:instrText xml:space="preserve"> PAGEREF _Toc23326195 \h </w:instrText>
            </w:r>
            <w:r>
              <w:rPr>
                <w:noProof/>
                <w:webHidden/>
              </w:rPr>
            </w:r>
            <w:r>
              <w:rPr>
                <w:noProof/>
                <w:webHidden/>
              </w:rPr>
              <w:fldChar w:fldCharType="separate"/>
            </w:r>
            <w:r>
              <w:rPr>
                <w:noProof/>
                <w:webHidden/>
              </w:rPr>
              <w:t>12</w:t>
            </w:r>
            <w:r>
              <w:rPr>
                <w:noProof/>
                <w:webHidden/>
              </w:rPr>
              <w:fldChar w:fldCharType="end"/>
            </w:r>
          </w:hyperlink>
        </w:p>
        <w:p w14:paraId="21D0FE23" w14:textId="791065DD" w:rsidR="00B03309" w:rsidRDefault="00B03309">
          <w:pPr>
            <w:pStyle w:val="TOC3"/>
            <w:rPr>
              <w:rFonts w:asciiTheme="minorHAnsi" w:eastAsiaTheme="minorEastAsia" w:hAnsiTheme="minorHAnsi" w:cstheme="minorBidi"/>
              <w:noProof/>
              <w:lang w:eastAsia="en-AU"/>
            </w:rPr>
          </w:pPr>
          <w:hyperlink w:anchor="_Toc23326196" w:history="1">
            <w:r w:rsidRPr="000366DF">
              <w:rPr>
                <w:rStyle w:val="Hyperlink"/>
                <w:noProof/>
              </w:rPr>
              <w:t>Introduction</w:t>
            </w:r>
            <w:r>
              <w:rPr>
                <w:noProof/>
                <w:webHidden/>
              </w:rPr>
              <w:tab/>
            </w:r>
            <w:r>
              <w:rPr>
                <w:noProof/>
                <w:webHidden/>
              </w:rPr>
              <w:fldChar w:fldCharType="begin"/>
            </w:r>
            <w:r>
              <w:rPr>
                <w:noProof/>
                <w:webHidden/>
              </w:rPr>
              <w:instrText xml:space="preserve"> PAGEREF _Toc23326196 \h </w:instrText>
            </w:r>
            <w:r>
              <w:rPr>
                <w:noProof/>
                <w:webHidden/>
              </w:rPr>
            </w:r>
            <w:r>
              <w:rPr>
                <w:noProof/>
                <w:webHidden/>
              </w:rPr>
              <w:fldChar w:fldCharType="separate"/>
            </w:r>
            <w:r>
              <w:rPr>
                <w:noProof/>
                <w:webHidden/>
              </w:rPr>
              <w:t>12</w:t>
            </w:r>
            <w:r>
              <w:rPr>
                <w:noProof/>
                <w:webHidden/>
              </w:rPr>
              <w:fldChar w:fldCharType="end"/>
            </w:r>
          </w:hyperlink>
        </w:p>
        <w:p w14:paraId="69B23CAF" w14:textId="0C8A4B36" w:rsidR="00B03309" w:rsidRDefault="00B03309">
          <w:pPr>
            <w:pStyle w:val="TOC3"/>
            <w:rPr>
              <w:rFonts w:asciiTheme="minorHAnsi" w:eastAsiaTheme="minorEastAsia" w:hAnsiTheme="minorHAnsi" w:cstheme="minorBidi"/>
              <w:noProof/>
              <w:lang w:eastAsia="en-AU"/>
            </w:rPr>
          </w:pPr>
          <w:hyperlink w:anchor="_Toc23326197" w:history="1">
            <w:r w:rsidRPr="000366DF">
              <w:rPr>
                <w:rStyle w:val="Hyperlink"/>
                <w:noProof/>
              </w:rPr>
              <w:t>Drug substance (active ingredient)</w:t>
            </w:r>
            <w:r>
              <w:rPr>
                <w:noProof/>
                <w:webHidden/>
              </w:rPr>
              <w:tab/>
            </w:r>
            <w:r>
              <w:rPr>
                <w:noProof/>
                <w:webHidden/>
              </w:rPr>
              <w:fldChar w:fldCharType="begin"/>
            </w:r>
            <w:r>
              <w:rPr>
                <w:noProof/>
                <w:webHidden/>
              </w:rPr>
              <w:instrText xml:space="preserve"> PAGEREF _Toc23326197 \h </w:instrText>
            </w:r>
            <w:r>
              <w:rPr>
                <w:noProof/>
                <w:webHidden/>
              </w:rPr>
            </w:r>
            <w:r>
              <w:rPr>
                <w:noProof/>
                <w:webHidden/>
              </w:rPr>
              <w:fldChar w:fldCharType="separate"/>
            </w:r>
            <w:r>
              <w:rPr>
                <w:noProof/>
                <w:webHidden/>
              </w:rPr>
              <w:t>13</w:t>
            </w:r>
            <w:r>
              <w:rPr>
                <w:noProof/>
                <w:webHidden/>
              </w:rPr>
              <w:fldChar w:fldCharType="end"/>
            </w:r>
          </w:hyperlink>
        </w:p>
        <w:p w14:paraId="75CEF9B6" w14:textId="297DD01A" w:rsidR="00B03309" w:rsidRDefault="00B03309">
          <w:pPr>
            <w:pStyle w:val="TOC3"/>
            <w:rPr>
              <w:rFonts w:asciiTheme="minorHAnsi" w:eastAsiaTheme="minorEastAsia" w:hAnsiTheme="minorHAnsi" w:cstheme="minorBidi"/>
              <w:noProof/>
              <w:lang w:eastAsia="en-AU"/>
            </w:rPr>
          </w:pPr>
          <w:hyperlink w:anchor="_Toc23326198" w:history="1">
            <w:r w:rsidRPr="000366DF">
              <w:rPr>
                <w:rStyle w:val="Hyperlink"/>
                <w:noProof/>
              </w:rPr>
              <w:t>Drug product</w:t>
            </w:r>
            <w:r>
              <w:rPr>
                <w:noProof/>
                <w:webHidden/>
              </w:rPr>
              <w:tab/>
            </w:r>
            <w:r>
              <w:rPr>
                <w:noProof/>
                <w:webHidden/>
              </w:rPr>
              <w:fldChar w:fldCharType="begin"/>
            </w:r>
            <w:r>
              <w:rPr>
                <w:noProof/>
                <w:webHidden/>
              </w:rPr>
              <w:instrText xml:space="preserve"> PAGEREF _Toc23326198 \h </w:instrText>
            </w:r>
            <w:r>
              <w:rPr>
                <w:noProof/>
                <w:webHidden/>
              </w:rPr>
            </w:r>
            <w:r>
              <w:rPr>
                <w:noProof/>
                <w:webHidden/>
              </w:rPr>
              <w:fldChar w:fldCharType="separate"/>
            </w:r>
            <w:r>
              <w:rPr>
                <w:noProof/>
                <w:webHidden/>
              </w:rPr>
              <w:t>13</w:t>
            </w:r>
            <w:r>
              <w:rPr>
                <w:noProof/>
                <w:webHidden/>
              </w:rPr>
              <w:fldChar w:fldCharType="end"/>
            </w:r>
          </w:hyperlink>
        </w:p>
        <w:p w14:paraId="204EA9CA" w14:textId="7C1DEE27" w:rsidR="00B03309" w:rsidRDefault="00B03309">
          <w:pPr>
            <w:pStyle w:val="TOC3"/>
            <w:rPr>
              <w:rFonts w:asciiTheme="minorHAnsi" w:eastAsiaTheme="minorEastAsia" w:hAnsiTheme="minorHAnsi" w:cstheme="minorBidi"/>
              <w:noProof/>
              <w:lang w:eastAsia="en-AU"/>
            </w:rPr>
          </w:pPr>
          <w:hyperlink w:anchor="_Toc23326199" w:history="1">
            <w:r w:rsidRPr="000366DF">
              <w:rPr>
                <w:rStyle w:val="Hyperlink"/>
                <w:noProof/>
              </w:rPr>
              <w:t>Biopharmaceutics</w:t>
            </w:r>
            <w:r>
              <w:rPr>
                <w:noProof/>
                <w:webHidden/>
              </w:rPr>
              <w:tab/>
            </w:r>
            <w:r>
              <w:rPr>
                <w:noProof/>
                <w:webHidden/>
              </w:rPr>
              <w:fldChar w:fldCharType="begin"/>
            </w:r>
            <w:r>
              <w:rPr>
                <w:noProof/>
                <w:webHidden/>
              </w:rPr>
              <w:instrText xml:space="preserve"> PAGEREF _Toc23326199 \h </w:instrText>
            </w:r>
            <w:r>
              <w:rPr>
                <w:noProof/>
                <w:webHidden/>
              </w:rPr>
            </w:r>
            <w:r>
              <w:rPr>
                <w:noProof/>
                <w:webHidden/>
              </w:rPr>
              <w:fldChar w:fldCharType="separate"/>
            </w:r>
            <w:r>
              <w:rPr>
                <w:noProof/>
                <w:webHidden/>
              </w:rPr>
              <w:t>13</w:t>
            </w:r>
            <w:r>
              <w:rPr>
                <w:noProof/>
                <w:webHidden/>
              </w:rPr>
              <w:fldChar w:fldCharType="end"/>
            </w:r>
          </w:hyperlink>
        </w:p>
        <w:p w14:paraId="04D468CD" w14:textId="56E11733" w:rsidR="00B03309" w:rsidRDefault="00B03309">
          <w:pPr>
            <w:pStyle w:val="TOC3"/>
            <w:rPr>
              <w:rFonts w:asciiTheme="minorHAnsi" w:eastAsiaTheme="minorEastAsia" w:hAnsiTheme="minorHAnsi" w:cstheme="minorBidi"/>
              <w:noProof/>
              <w:lang w:eastAsia="en-AU"/>
            </w:rPr>
          </w:pPr>
          <w:hyperlink w:anchor="_Toc23326200" w:history="1">
            <w:r w:rsidRPr="000366DF">
              <w:rPr>
                <w:rStyle w:val="Hyperlink"/>
                <w:noProof/>
              </w:rPr>
              <w:t>Quality summary and conclusions</w:t>
            </w:r>
            <w:r>
              <w:rPr>
                <w:noProof/>
                <w:webHidden/>
              </w:rPr>
              <w:tab/>
            </w:r>
            <w:r>
              <w:rPr>
                <w:noProof/>
                <w:webHidden/>
              </w:rPr>
              <w:fldChar w:fldCharType="begin"/>
            </w:r>
            <w:r>
              <w:rPr>
                <w:noProof/>
                <w:webHidden/>
              </w:rPr>
              <w:instrText xml:space="preserve"> PAGEREF _Toc23326200 \h </w:instrText>
            </w:r>
            <w:r>
              <w:rPr>
                <w:noProof/>
                <w:webHidden/>
              </w:rPr>
            </w:r>
            <w:r>
              <w:rPr>
                <w:noProof/>
                <w:webHidden/>
              </w:rPr>
              <w:fldChar w:fldCharType="separate"/>
            </w:r>
            <w:r>
              <w:rPr>
                <w:noProof/>
                <w:webHidden/>
              </w:rPr>
              <w:t>15</w:t>
            </w:r>
            <w:r>
              <w:rPr>
                <w:noProof/>
                <w:webHidden/>
              </w:rPr>
              <w:fldChar w:fldCharType="end"/>
            </w:r>
          </w:hyperlink>
        </w:p>
        <w:p w14:paraId="63C53FB6" w14:textId="78CBAFDA" w:rsidR="00B03309" w:rsidRDefault="00B03309">
          <w:pPr>
            <w:pStyle w:val="TOC2"/>
            <w:rPr>
              <w:rFonts w:asciiTheme="minorHAnsi" w:eastAsiaTheme="minorEastAsia" w:hAnsiTheme="minorHAnsi" w:cstheme="minorBidi"/>
              <w:b w:val="0"/>
              <w:noProof/>
              <w:sz w:val="22"/>
              <w:lang w:eastAsia="en-AU"/>
            </w:rPr>
          </w:pPr>
          <w:hyperlink w:anchor="_Toc23326201" w:history="1">
            <w:r w:rsidRPr="000366DF">
              <w:rPr>
                <w:rStyle w:val="Hyperlink"/>
                <w:noProof/>
              </w:rPr>
              <w:t>IV. Nonclinical findings</w:t>
            </w:r>
            <w:r>
              <w:rPr>
                <w:noProof/>
                <w:webHidden/>
              </w:rPr>
              <w:tab/>
            </w:r>
            <w:r>
              <w:rPr>
                <w:noProof/>
                <w:webHidden/>
              </w:rPr>
              <w:fldChar w:fldCharType="begin"/>
            </w:r>
            <w:r>
              <w:rPr>
                <w:noProof/>
                <w:webHidden/>
              </w:rPr>
              <w:instrText xml:space="preserve"> PAGEREF _Toc23326201 \h </w:instrText>
            </w:r>
            <w:r>
              <w:rPr>
                <w:noProof/>
                <w:webHidden/>
              </w:rPr>
            </w:r>
            <w:r>
              <w:rPr>
                <w:noProof/>
                <w:webHidden/>
              </w:rPr>
              <w:fldChar w:fldCharType="separate"/>
            </w:r>
            <w:r>
              <w:rPr>
                <w:noProof/>
                <w:webHidden/>
              </w:rPr>
              <w:t>15</w:t>
            </w:r>
            <w:r>
              <w:rPr>
                <w:noProof/>
                <w:webHidden/>
              </w:rPr>
              <w:fldChar w:fldCharType="end"/>
            </w:r>
          </w:hyperlink>
        </w:p>
        <w:p w14:paraId="212A0EA6" w14:textId="291CC57D" w:rsidR="00B03309" w:rsidRDefault="00B03309">
          <w:pPr>
            <w:pStyle w:val="TOC3"/>
            <w:rPr>
              <w:rFonts w:asciiTheme="minorHAnsi" w:eastAsiaTheme="minorEastAsia" w:hAnsiTheme="minorHAnsi" w:cstheme="minorBidi"/>
              <w:noProof/>
              <w:lang w:eastAsia="en-AU"/>
            </w:rPr>
          </w:pPr>
          <w:hyperlink w:anchor="_Toc23326202" w:history="1">
            <w:r w:rsidRPr="000366DF">
              <w:rPr>
                <w:rStyle w:val="Hyperlink"/>
                <w:noProof/>
              </w:rPr>
              <w:t>Introduction</w:t>
            </w:r>
            <w:r>
              <w:rPr>
                <w:noProof/>
                <w:webHidden/>
              </w:rPr>
              <w:tab/>
            </w:r>
            <w:r>
              <w:rPr>
                <w:noProof/>
                <w:webHidden/>
              </w:rPr>
              <w:fldChar w:fldCharType="begin"/>
            </w:r>
            <w:r>
              <w:rPr>
                <w:noProof/>
                <w:webHidden/>
              </w:rPr>
              <w:instrText xml:space="preserve"> PAGEREF _Toc23326202 \h </w:instrText>
            </w:r>
            <w:r>
              <w:rPr>
                <w:noProof/>
                <w:webHidden/>
              </w:rPr>
            </w:r>
            <w:r>
              <w:rPr>
                <w:noProof/>
                <w:webHidden/>
              </w:rPr>
              <w:fldChar w:fldCharType="separate"/>
            </w:r>
            <w:r>
              <w:rPr>
                <w:noProof/>
                <w:webHidden/>
              </w:rPr>
              <w:t>15</w:t>
            </w:r>
            <w:r>
              <w:rPr>
                <w:noProof/>
                <w:webHidden/>
              </w:rPr>
              <w:fldChar w:fldCharType="end"/>
            </w:r>
          </w:hyperlink>
        </w:p>
        <w:p w14:paraId="6580AE80" w14:textId="53E77591" w:rsidR="00B03309" w:rsidRDefault="00B03309">
          <w:pPr>
            <w:pStyle w:val="TOC3"/>
            <w:rPr>
              <w:rFonts w:asciiTheme="minorHAnsi" w:eastAsiaTheme="minorEastAsia" w:hAnsiTheme="minorHAnsi" w:cstheme="minorBidi"/>
              <w:noProof/>
              <w:lang w:eastAsia="en-AU"/>
            </w:rPr>
          </w:pPr>
          <w:hyperlink w:anchor="_Toc23326203" w:history="1">
            <w:r w:rsidRPr="000366DF">
              <w:rPr>
                <w:rStyle w:val="Hyperlink"/>
                <w:noProof/>
              </w:rPr>
              <w:t>Pharmacology</w:t>
            </w:r>
            <w:r>
              <w:rPr>
                <w:noProof/>
                <w:webHidden/>
              </w:rPr>
              <w:tab/>
            </w:r>
            <w:r>
              <w:rPr>
                <w:noProof/>
                <w:webHidden/>
              </w:rPr>
              <w:fldChar w:fldCharType="begin"/>
            </w:r>
            <w:r>
              <w:rPr>
                <w:noProof/>
                <w:webHidden/>
              </w:rPr>
              <w:instrText xml:space="preserve"> PAGEREF _Toc23326203 \h </w:instrText>
            </w:r>
            <w:r>
              <w:rPr>
                <w:noProof/>
                <w:webHidden/>
              </w:rPr>
            </w:r>
            <w:r>
              <w:rPr>
                <w:noProof/>
                <w:webHidden/>
              </w:rPr>
              <w:fldChar w:fldCharType="separate"/>
            </w:r>
            <w:r>
              <w:rPr>
                <w:noProof/>
                <w:webHidden/>
              </w:rPr>
              <w:t>16</w:t>
            </w:r>
            <w:r>
              <w:rPr>
                <w:noProof/>
                <w:webHidden/>
              </w:rPr>
              <w:fldChar w:fldCharType="end"/>
            </w:r>
          </w:hyperlink>
        </w:p>
        <w:p w14:paraId="14B3472F" w14:textId="0BCE7250" w:rsidR="00B03309" w:rsidRDefault="00B03309">
          <w:pPr>
            <w:pStyle w:val="TOC3"/>
            <w:rPr>
              <w:rFonts w:asciiTheme="minorHAnsi" w:eastAsiaTheme="minorEastAsia" w:hAnsiTheme="minorHAnsi" w:cstheme="minorBidi"/>
              <w:noProof/>
              <w:lang w:eastAsia="en-AU"/>
            </w:rPr>
          </w:pPr>
          <w:hyperlink w:anchor="_Toc23326204" w:history="1">
            <w:r w:rsidRPr="000366DF">
              <w:rPr>
                <w:rStyle w:val="Hyperlink"/>
                <w:noProof/>
              </w:rPr>
              <w:t>Pharmacokinetics</w:t>
            </w:r>
            <w:r>
              <w:rPr>
                <w:noProof/>
                <w:webHidden/>
              </w:rPr>
              <w:tab/>
            </w:r>
            <w:r>
              <w:rPr>
                <w:noProof/>
                <w:webHidden/>
              </w:rPr>
              <w:fldChar w:fldCharType="begin"/>
            </w:r>
            <w:r>
              <w:rPr>
                <w:noProof/>
                <w:webHidden/>
              </w:rPr>
              <w:instrText xml:space="preserve"> PAGEREF _Toc23326204 \h </w:instrText>
            </w:r>
            <w:r>
              <w:rPr>
                <w:noProof/>
                <w:webHidden/>
              </w:rPr>
            </w:r>
            <w:r>
              <w:rPr>
                <w:noProof/>
                <w:webHidden/>
              </w:rPr>
              <w:fldChar w:fldCharType="separate"/>
            </w:r>
            <w:r>
              <w:rPr>
                <w:noProof/>
                <w:webHidden/>
              </w:rPr>
              <w:t>16</w:t>
            </w:r>
            <w:r>
              <w:rPr>
                <w:noProof/>
                <w:webHidden/>
              </w:rPr>
              <w:fldChar w:fldCharType="end"/>
            </w:r>
          </w:hyperlink>
        </w:p>
        <w:p w14:paraId="3CBE9204" w14:textId="5055A3C2" w:rsidR="00B03309" w:rsidRDefault="00B03309">
          <w:pPr>
            <w:pStyle w:val="TOC3"/>
            <w:rPr>
              <w:rFonts w:asciiTheme="minorHAnsi" w:eastAsiaTheme="minorEastAsia" w:hAnsiTheme="minorHAnsi" w:cstheme="minorBidi"/>
              <w:noProof/>
              <w:lang w:eastAsia="en-AU"/>
            </w:rPr>
          </w:pPr>
          <w:hyperlink w:anchor="_Toc23326205" w:history="1">
            <w:r w:rsidRPr="000366DF">
              <w:rPr>
                <w:rStyle w:val="Hyperlink"/>
                <w:noProof/>
              </w:rPr>
              <w:t>Toxicology</w:t>
            </w:r>
            <w:r>
              <w:rPr>
                <w:noProof/>
                <w:webHidden/>
              </w:rPr>
              <w:tab/>
            </w:r>
            <w:r>
              <w:rPr>
                <w:noProof/>
                <w:webHidden/>
              </w:rPr>
              <w:fldChar w:fldCharType="begin"/>
            </w:r>
            <w:r>
              <w:rPr>
                <w:noProof/>
                <w:webHidden/>
              </w:rPr>
              <w:instrText xml:space="preserve"> PAGEREF _Toc23326205 \h </w:instrText>
            </w:r>
            <w:r>
              <w:rPr>
                <w:noProof/>
                <w:webHidden/>
              </w:rPr>
            </w:r>
            <w:r>
              <w:rPr>
                <w:noProof/>
                <w:webHidden/>
              </w:rPr>
              <w:fldChar w:fldCharType="separate"/>
            </w:r>
            <w:r>
              <w:rPr>
                <w:noProof/>
                <w:webHidden/>
              </w:rPr>
              <w:t>17</w:t>
            </w:r>
            <w:r>
              <w:rPr>
                <w:noProof/>
                <w:webHidden/>
              </w:rPr>
              <w:fldChar w:fldCharType="end"/>
            </w:r>
          </w:hyperlink>
        </w:p>
        <w:p w14:paraId="75F48947" w14:textId="74A1ABBE" w:rsidR="00B03309" w:rsidRDefault="00B03309">
          <w:pPr>
            <w:pStyle w:val="TOC3"/>
            <w:rPr>
              <w:rFonts w:asciiTheme="minorHAnsi" w:eastAsiaTheme="minorEastAsia" w:hAnsiTheme="minorHAnsi" w:cstheme="minorBidi"/>
              <w:noProof/>
              <w:lang w:eastAsia="en-AU"/>
            </w:rPr>
          </w:pPr>
          <w:hyperlink w:anchor="_Toc23326206" w:history="1">
            <w:r w:rsidRPr="000366DF">
              <w:rPr>
                <w:rStyle w:val="Hyperlink"/>
                <w:noProof/>
              </w:rPr>
              <w:t>Nonclinical summary and conclusions</w:t>
            </w:r>
            <w:r>
              <w:rPr>
                <w:noProof/>
                <w:webHidden/>
              </w:rPr>
              <w:tab/>
            </w:r>
            <w:r>
              <w:rPr>
                <w:noProof/>
                <w:webHidden/>
              </w:rPr>
              <w:fldChar w:fldCharType="begin"/>
            </w:r>
            <w:r>
              <w:rPr>
                <w:noProof/>
                <w:webHidden/>
              </w:rPr>
              <w:instrText xml:space="preserve"> PAGEREF _Toc23326206 \h </w:instrText>
            </w:r>
            <w:r>
              <w:rPr>
                <w:noProof/>
                <w:webHidden/>
              </w:rPr>
            </w:r>
            <w:r>
              <w:rPr>
                <w:noProof/>
                <w:webHidden/>
              </w:rPr>
              <w:fldChar w:fldCharType="separate"/>
            </w:r>
            <w:r>
              <w:rPr>
                <w:noProof/>
                <w:webHidden/>
              </w:rPr>
              <w:t>18</w:t>
            </w:r>
            <w:r>
              <w:rPr>
                <w:noProof/>
                <w:webHidden/>
              </w:rPr>
              <w:fldChar w:fldCharType="end"/>
            </w:r>
          </w:hyperlink>
        </w:p>
        <w:p w14:paraId="4143633A" w14:textId="50608785" w:rsidR="00B03309" w:rsidRDefault="00B03309">
          <w:pPr>
            <w:pStyle w:val="TOC2"/>
            <w:rPr>
              <w:rFonts w:asciiTheme="minorHAnsi" w:eastAsiaTheme="minorEastAsia" w:hAnsiTheme="minorHAnsi" w:cstheme="minorBidi"/>
              <w:b w:val="0"/>
              <w:noProof/>
              <w:sz w:val="22"/>
              <w:lang w:eastAsia="en-AU"/>
            </w:rPr>
          </w:pPr>
          <w:hyperlink w:anchor="_Toc23326207" w:history="1">
            <w:r w:rsidRPr="000366DF">
              <w:rPr>
                <w:rStyle w:val="Hyperlink"/>
                <w:noProof/>
              </w:rPr>
              <w:t>V. Clinical findings</w:t>
            </w:r>
            <w:r>
              <w:rPr>
                <w:noProof/>
                <w:webHidden/>
              </w:rPr>
              <w:tab/>
            </w:r>
            <w:r>
              <w:rPr>
                <w:noProof/>
                <w:webHidden/>
              </w:rPr>
              <w:fldChar w:fldCharType="begin"/>
            </w:r>
            <w:r>
              <w:rPr>
                <w:noProof/>
                <w:webHidden/>
              </w:rPr>
              <w:instrText xml:space="preserve"> PAGEREF _Toc23326207 \h </w:instrText>
            </w:r>
            <w:r>
              <w:rPr>
                <w:noProof/>
                <w:webHidden/>
              </w:rPr>
            </w:r>
            <w:r>
              <w:rPr>
                <w:noProof/>
                <w:webHidden/>
              </w:rPr>
              <w:fldChar w:fldCharType="separate"/>
            </w:r>
            <w:r>
              <w:rPr>
                <w:noProof/>
                <w:webHidden/>
              </w:rPr>
              <w:t>19</w:t>
            </w:r>
            <w:r>
              <w:rPr>
                <w:noProof/>
                <w:webHidden/>
              </w:rPr>
              <w:fldChar w:fldCharType="end"/>
            </w:r>
          </w:hyperlink>
        </w:p>
        <w:p w14:paraId="51427A6A" w14:textId="39C3E414" w:rsidR="00B03309" w:rsidRDefault="00B03309">
          <w:pPr>
            <w:pStyle w:val="TOC3"/>
            <w:rPr>
              <w:rFonts w:asciiTheme="minorHAnsi" w:eastAsiaTheme="minorEastAsia" w:hAnsiTheme="minorHAnsi" w:cstheme="minorBidi"/>
              <w:noProof/>
              <w:lang w:eastAsia="en-AU"/>
            </w:rPr>
          </w:pPr>
          <w:hyperlink w:anchor="_Toc23326208" w:history="1">
            <w:r w:rsidRPr="000366DF">
              <w:rPr>
                <w:rStyle w:val="Hyperlink"/>
                <w:noProof/>
              </w:rPr>
              <w:t>Introduction</w:t>
            </w:r>
            <w:r>
              <w:rPr>
                <w:noProof/>
                <w:webHidden/>
              </w:rPr>
              <w:tab/>
            </w:r>
            <w:r>
              <w:rPr>
                <w:noProof/>
                <w:webHidden/>
              </w:rPr>
              <w:fldChar w:fldCharType="begin"/>
            </w:r>
            <w:r>
              <w:rPr>
                <w:noProof/>
                <w:webHidden/>
              </w:rPr>
              <w:instrText xml:space="preserve"> PAGEREF _Toc23326208 \h </w:instrText>
            </w:r>
            <w:r>
              <w:rPr>
                <w:noProof/>
                <w:webHidden/>
              </w:rPr>
            </w:r>
            <w:r>
              <w:rPr>
                <w:noProof/>
                <w:webHidden/>
              </w:rPr>
              <w:fldChar w:fldCharType="separate"/>
            </w:r>
            <w:r>
              <w:rPr>
                <w:noProof/>
                <w:webHidden/>
              </w:rPr>
              <w:t>19</w:t>
            </w:r>
            <w:r>
              <w:rPr>
                <w:noProof/>
                <w:webHidden/>
              </w:rPr>
              <w:fldChar w:fldCharType="end"/>
            </w:r>
          </w:hyperlink>
        </w:p>
        <w:p w14:paraId="7E5F263F" w14:textId="1883B25B" w:rsidR="00B03309" w:rsidRDefault="00B03309">
          <w:pPr>
            <w:pStyle w:val="TOC3"/>
            <w:rPr>
              <w:rFonts w:asciiTheme="minorHAnsi" w:eastAsiaTheme="minorEastAsia" w:hAnsiTheme="minorHAnsi" w:cstheme="minorBidi"/>
              <w:noProof/>
              <w:lang w:eastAsia="en-AU"/>
            </w:rPr>
          </w:pPr>
          <w:hyperlink w:anchor="_Toc23326209" w:history="1">
            <w:r w:rsidRPr="000366DF">
              <w:rPr>
                <w:rStyle w:val="Hyperlink"/>
                <w:noProof/>
              </w:rPr>
              <w:t>Pharmacokinetics</w:t>
            </w:r>
            <w:r>
              <w:rPr>
                <w:noProof/>
                <w:webHidden/>
              </w:rPr>
              <w:tab/>
            </w:r>
            <w:r>
              <w:rPr>
                <w:noProof/>
                <w:webHidden/>
              </w:rPr>
              <w:fldChar w:fldCharType="begin"/>
            </w:r>
            <w:r>
              <w:rPr>
                <w:noProof/>
                <w:webHidden/>
              </w:rPr>
              <w:instrText xml:space="preserve"> PAGEREF _Toc23326209 \h </w:instrText>
            </w:r>
            <w:r>
              <w:rPr>
                <w:noProof/>
                <w:webHidden/>
              </w:rPr>
            </w:r>
            <w:r>
              <w:rPr>
                <w:noProof/>
                <w:webHidden/>
              </w:rPr>
              <w:fldChar w:fldCharType="separate"/>
            </w:r>
            <w:r>
              <w:rPr>
                <w:noProof/>
                <w:webHidden/>
              </w:rPr>
              <w:t>22</w:t>
            </w:r>
            <w:r>
              <w:rPr>
                <w:noProof/>
                <w:webHidden/>
              </w:rPr>
              <w:fldChar w:fldCharType="end"/>
            </w:r>
          </w:hyperlink>
        </w:p>
        <w:p w14:paraId="234B34C0" w14:textId="16681EDB" w:rsidR="00B03309" w:rsidRDefault="00B03309">
          <w:pPr>
            <w:pStyle w:val="TOC3"/>
            <w:rPr>
              <w:rFonts w:asciiTheme="minorHAnsi" w:eastAsiaTheme="minorEastAsia" w:hAnsiTheme="minorHAnsi" w:cstheme="minorBidi"/>
              <w:noProof/>
              <w:lang w:eastAsia="en-AU"/>
            </w:rPr>
          </w:pPr>
          <w:hyperlink w:anchor="_Toc23326210" w:history="1">
            <w:r w:rsidRPr="000366DF">
              <w:rPr>
                <w:rStyle w:val="Hyperlink"/>
                <w:noProof/>
              </w:rPr>
              <w:t>Pharmacodynamics</w:t>
            </w:r>
            <w:r>
              <w:rPr>
                <w:noProof/>
                <w:webHidden/>
              </w:rPr>
              <w:tab/>
            </w:r>
            <w:r>
              <w:rPr>
                <w:noProof/>
                <w:webHidden/>
              </w:rPr>
              <w:fldChar w:fldCharType="begin"/>
            </w:r>
            <w:r>
              <w:rPr>
                <w:noProof/>
                <w:webHidden/>
              </w:rPr>
              <w:instrText xml:space="preserve"> PAGEREF _Toc23326210 \h </w:instrText>
            </w:r>
            <w:r>
              <w:rPr>
                <w:noProof/>
                <w:webHidden/>
              </w:rPr>
            </w:r>
            <w:r>
              <w:rPr>
                <w:noProof/>
                <w:webHidden/>
              </w:rPr>
              <w:fldChar w:fldCharType="separate"/>
            </w:r>
            <w:r>
              <w:rPr>
                <w:noProof/>
                <w:webHidden/>
              </w:rPr>
              <w:t>25</w:t>
            </w:r>
            <w:r>
              <w:rPr>
                <w:noProof/>
                <w:webHidden/>
              </w:rPr>
              <w:fldChar w:fldCharType="end"/>
            </w:r>
          </w:hyperlink>
        </w:p>
        <w:p w14:paraId="173378F4" w14:textId="4A820AC0" w:rsidR="00B03309" w:rsidRDefault="00B03309">
          <w:pPr>
            <w:pStyle w:val="TOC3"/>
            <w:rPr>
              <w:rFonts w:asciiTheme="minorHAnsi" w:eastAsiaTheme="minorEastAsia" w:hAnsiTheme="minorHAnsi" w:cstheme="minorBidi"/>
              <w:noProof/>
              <w:lang w:eastAsia="en-AU"/>
            </w:rPr>
          </w:pPr>
          <w:hyperlink w:anchor="_Toc23326211" w:history="1">
            <w:r w:rsidRPr="000366DF">
              <w:rPr>
                <w:rStyle w:val="Hyperlink"/>
                <w:noProof/>
              </w:rPr>
              <w:t>Dosage selection for the pivotal studies</w:t>
            </w:r>
            <w:r>
              <w:rPr>
                <w:noProof/>
                <w:webHidden/>
              </w:rPr>
              <w:tab/>
            </w:r>
            <w:r>
              <w:rPr>
                <w:noProof/>
                <w:webHidden/>
              </w:rPr>
              <w:fldChar w:fldCharType="begin"/>
            </w:r>
            <w:r>
              <w:rPr>
                <w:noProof/>
                <w:webHidden/>
              </w:rPr>
              <w:instrText xml:space="preserve"> PAGEREF _Toc23326211 \h </w:instrText>
            </w:r>
            <w:r>
              <w:rPr>
                <w:noProof/>
                <w:webHidden/>
              </w:rPr>
            </w:r>
            <w:r>
              <w:rPr>
                <w:noProof/>
                <w:webHidden/>
              </w:rPr>
              <w:fldChar w:fldCharType="separate"/>
            </w:r>
            <w:r>
              <w:rPr>
                <w:noProof/>
                <w:webHidden/>
              </w:rPr>
              <w:t>26</w:t>
            </w:r>
            <w:r>
              <w:rPr>
                <w:noProof/>
                <w:webHidden/>
              </w:rPr>
              <w:fldChar w:fldCharType="end"/>
            </w:r>
          </w:hyperlink>
        </w:p>
        <w:p w14:paraId="2CB3DBE5" w14:textId="76FAD5B3" w:rsidR="00B03309" w:rsidRDefault="00B03309">
          <w:pPr>
            <w:pStyle w:val="TOC3"/>
            <w:rPr>
              <w:rFonts w:asciiTheme="minorHAnsi" w:eastAsiaTheme="minorEastAsia" w:hAnsiTheme="minorHAnsi" w:cstheme="minorBidi"/>
              <w:noProof/>
              <w:lang w:eastAsia="en-AU"/>
            </w:rPr>
          </w:pPr>
          <w:hyperlink w:anchor="_Toc23326212" w:history="1">
            <w:r w:rsidRPr="000366DF">
              <w:rPr>
                <w:rStyle w:val="Hyperlink"/>
                <w:noProof/>
              </w:rPr>
              <w:t>Efficacy</w:t>
            </w:r>
            <w:r>
              <w:rPr>
                <w:noProof/>
                <w:webHidden/>
              </w:rPr>
              <w:tab/>
            </w:r>
            <w:r>
              <w:rPr>
                <w:noProof/>
                <w:webHidden/>
              </w:rPr>
              <w:fldChar w:fldCharType="begin"/>
            </w:r>
            <w:r>
              <w:rPr>
                <w:noProof/>
                <w:webHidden/>
              </w:rPr>
              <w:instrText xml:space="preserve"> PAGEREF _Toc23326212 \h </w:instrText>
            </w:r>
            <w:r>
              <w:rPr>
                <w:noProof/>
                <w:webHidden/>
              </w:rPr>
            </w:r>
            <w:r>
              <w:rPr>
                <w:noProof/>
                <w:webHidden/>
              </w:rPr>
              <w:fldChar w:fldCharType="separate"/>
            </w:r>
            <w:r>
              <w:rPr>
                <w:noProof/>
                <w:webHidden/>
              </w:rPr>
              <w:t>27</w:t>
            </w:r>
            <w:r>
              <w:rPr>
                <w:noProof/>
                <w:webHidden/>
              </w:rPr>
              <w:fldChar w:fldCharType="end"/>
            </w:r>
          </w:hyperlink>
        </w:p>
        <w:p w14:paraId="0B079CF6" w14:textId="3BE0D911" w:rsidR="00B03309" w:rsidRDefault="00B03309">
          <w:pPr>
            <w:pStyle w:val="TOC3"/>
            <w:rPr>
              <w:rFonts w:asciiTheme="minorHAnsi" w:eastAsiaTheme="minorEastAsia" w:hAnsiTheme="minorHAnsi" w:cstheme="minorBidi"/>
              <w:noProof/>
              <w:lang w:eastAsia="en-AU"/>
            </w:rPr>
          </w:pPr>
          <w:hyperlink w:anchor="_Toc23326213" w:history="1">
            <w:r w:rsidRPr="000366DF">
              <w:rPr>
                <w:rStyle w:val="Hyperlink"/>
                <w:noProof/>
              </w:rPr>
              <w:t>Safety</w:t>
            </w:r>
            <w:r>
              <w:rPr>
                <w:noProof/>
                <w:webHidden/>
              </w:rPr>
              <w:tab/>
            </w:r>
            <w:r>
              <w:rPr>
                <w:noProof/>
                <w:webHidden/>
              </w:rPr>
              <w:fldChar w:fldCharType="begin"/>
            </w:r>
            <w:r>
              <w:rPr>
                <w:noProof/>
                <w:webHidden/>
              </w:rPr>
              <w:instrText xml:space="preserve"> PAGEREF _Toc23326213 \h </w:instrText>
            </w:r>
            <w:r>
              <w:rPr>
                <w:noProof/>
                <w:webHidden/>
              </w:rPr>
            </w:r>
            <w:r>
              <w:rPr>
                <w:noProof/>
                <w:webHidden/>
              </w:rPr>
              <w:fldChar w:fldCharType="separate"/>
            </w:r>
            <w:r>
              <w:rPr>
                <w:noProof/>
                <w:webHidden/>
              </w:rPr>
              <w:t>29</w:t>
            </w:r>
            <w:r>
              <w:rPr>
                <w:noProof/>
                <w:webHidden/>
              </w:rPr>
              <w:fldChar w:fldCharType="end"/>
            </w:r>
          </w:hyperlink>
        </w:p>
        <w:p w14:paraId="3E1D48C2" w14:textId="608DF7D1" w:rsidR="00B03309" w:rsidRDefault="00B03309">
          <w:pPr>
            <w:pStyle w:val="TOC3"/>
            <w:rPr>
              <w:rFonts w:asciiTheme="minorHAnsi" w:eastAsiaTheme="minorEastAsia" w:hAnsiTheme="minorHAnsi" w:cstheme="minorBidi"/>
              <w:noProof/>
              <w:lang w:eastAsia="en-AU"/>
            </w:rPr>
          </w:pPr>
          <w:hyperlink w:anchor="_Toc23326214" w:history="1">
            <w:r w:rsidRPr="000366DF">
              <w:rPr>
                <w:rStyle w:val="Hyperlink"/>
                <w:noProof/>
              </w:rPr>
              <w:t>First round benefit-risk assessment</w:t>
            </w:r>
            <w:r>
              <w:rPr>
                <w:noProof/>
                <w:webHidden/>
              </w:rPr>
              <w:tab/>
            </w:r>
            <w:r>
              <w:rPr>
                <w:noProof/>
                <w:webHidden/>
              </w:rPr>
              <w:fldChar w:fldCharType="begin"/>
            </w:r>
            <w:r>
              <w:rPr>
                <w:noProof/>
                <w:webHidden/>
              </w:rPr>
              <w:instrText xml:space="preserve"> PAGEREF _Toc23326214 \h </w:instrText>
            </w:r>
            <w:r>
              <w:rPr>
                <w:noProof/>
                <w:webHidden/>
              </w:rPr>
            </w:r>
            <w:r>
              <w:rPr>
                <w:noProof/>
                <w:webHidden/>
              </w:rPr>
              <w:fldChar w:fldCharType="separate"/>
            </w:r>
            <w:r>
              <w:rPr>
                <w:noProof/>
                <w:webHidden/>
              </w:rPr>
              <w:t>35</w:t>
            </w:r>
            <w:r>
              <w:rPr>
                <w:noProof/>
                <w:webHidden/>
              </w:rPr>
              <w:fldChar w:fldCharType="end"/>
            </w:r>
          </w:hyperlink>
        </w:p>
        <w:p w14:paraId="047D0795" w14:textId="52A53415" w:rsidR="00B03309" w:rsidRDefault="00B03309">
          <w:pPr>
            <w:pStyle w:val="TOC3"/>
            <w:rPr>
              <w:rFonts w:asciiTheme="minorHAnsi" w:eastAsiaTheme="minorEastAsia" w:hAnsiTheme="minorHAnsi" w:cstheme="minorBidi"/>
              <w:noProof/>
              <w:lang w:eastAsia="en-AU"/>
            </w:rPr>
          </w:pPr>
          <w:hyperlink w:anchor="_Toc23326215" w:history="1">
            <w:r w:rsidRPr="000366DF">
              <w:rPr>
                <w:rStyle w:val="Hyperlink"/>
                <w:noProof/>
              </w:rPr>
              <w:t>First round recommendation regarding authorisation</w:t>
            </w:r>
            <w:r>
              <w:rPr>
                <w:noProof/>
                <w:webHidden/>
              </w:rPr>
              <w:tab/>
            </w:r>
            <w:r>
              <w:rPr>
                <w:noProof/>
                <w:webHidden/>
              </w:rPr>
              <w:fldChar w:fldCharType="begin"/>
            </w:r>
            <w:r>
              <w:rPr>
                <w:noProof/>
                <w:webHidden/>
              </w:rPr>
              <w:instrText xml:space="preserve"> PAGEREF _Toc23326215 \h </w:instrText>
            </w:r>
            <w:r>
              <w:rPr>
                <w:noProof/>
                <w:webHidden/>
              </w:rPr>
            </w:r>
            <w:r>
              <w:rPr>
                <w:noProof/>
                <w:webHidden/>
              </w:rPr>
              <w:fldChar w:fldCharType="separate"/>
            </w:r>
            <w:r>
              <w:rPr>
                <w:noProof/>
                <w:webHidden/>
              </w:rPr>
              <w:t>37</w:t>
            </w:r>
            <w:r>
              <w:rPr>
                <w:noProof/>
                <w:webHidden/>
              </w:rPr>
              <w:fldChar w:fldCharType="end"/>
            </w:r>
          </w:hyperlink>
        </w:p>
        <w:p w14:paraId="4B988F15" w14:textId="3EB4D2D2" w:rsidR="00B03309" w:rsidRDefault="00B03309">
          <w:pPr>
            <w:pStyle w:val="TOC3"/>
            <w:rPr>
              <w:rFonts w:asciiTheme="minorHAnsi" w:eastAsiaTheme="minorEastAsia" w:hAnsiTheme="minorHAnsi" w:cstheme="minorBidi"/>
              <w:noProof/>
              <w:lang w:eastAsia="en-AU"/>
            </w:rPr>
          </w:pPr>
          <w:hyperlink w:anchor="_Toc23326216" w:history="1">
            <w:r w:rsidRPr="000366DF">
              <w:rPr>
                <w:rStyle w:val="Hyperlink"/>
                <w:noProof/>
              </w:rPr>
              <w:t>Clinical questions and second round evaluation</w:t>
            </w:r>
            <w:r>
              <w:rPr>
                <w:noProof/>
                <w:webHidden/>
              </w:rPr>
              <w:tab/>
            </w:r>
            <w:r>
              <w:rPr>
                <w:noProof/>
                <w:webHidden/>
              </w:rPr>
              <w:fldChar w:fldCharType="begin"/>
            </w:r>
            <w:r>
              <w:rPr>
                <w:noProof/>
                <w:webHidden/>
              </w:rPr>
              <w:instrText xml:space="preserve"> PAGEREF _Toc23326216 \h </w:instrText>
            </w:r>
            <w:r>
              <w:rPr>
                <w:noProof/>
                <w:webHidden/>
              </w:rPr>
            </w:r>
            <w:r>
              <w:rPr>
                <w:noProof/>
                <w:webHidden/>
              </w:rPr>
              <w:fldChar w:fldCharType="separate"/>
            </w:r>
            <w:r>
              <w:rPr>
                <w:noProof/>
                <w:webHidden/>
              </w:rPr>
              <w:t>37</w:t>
            </w:r>
            <w:r>
              <w:rPr>
                <w:noProof/>
                <w:webHidden/>
              </w:rPr>
              <w:fldChar w:fldCharType="end"/>
            </w:r>
          </w:hyperlink>
        </w:p>
        <w:p w14:paraId="36B5FC0F" w14:textId="136E35CC" w:rsidR="00B03309" w:rsidRDefault="00B03309">
          <w:pPr>
            <w:pStyle w:val="TOC3"/>
            <w:rPr>
              <w:rFonts w:asciiTheme="minorHAnsi" w:eastAsiaTheme="minorEastAsia" w:hAnsiTheme="minorHAnsi" w:cstheme="minorBidi"/>
              <w:noProof/>
              <w:lang w:eastAsia="en-AU"/>
            </w:rPr>
          </w:pPr>
          <w:hyperlink w:anchor="_Toc23326217" w:history="1">
            <w:r w:rsidRPr="000366DF">
              <w:rPr>
                <w:rStyle w:val="Hyperlink"/>
                <w:noProof/>
              </w:rPr>
              <w:t>Second round benefit-risk assessment</w:t>
            </w:r>
            <w:r>
              <w:rPr>
                <w:noProof/>
                <w:webHidden/>
              </w:rPr>
              <w:tab/>
            </w:r>
            <w:r>
              <w:rPr>
                <w:noProof/>
                <w:webHidden/>
              </w:rPr>
              <w:fldChar w:fldCharType="begin"/>
            </w:r>
            <w:r>
              <w:rPr>
                <w:noProof/>
                <w:webHidden/>
              </w:rPr>
              <w:instrText xml:space="preserve"> PAGEREF _Toc23326217 \h </w:instrText>
            </w:r>
            <w:r>
              <w:rPr>
                <w:noProof/>
                <w:webHidden/>
              </w:rPr>
            </w:r>
            <w:r>
              <w:rPr>
                <w:noProof/>
                <w:webHidden/>
              </w:rPr>
              <w:fldChar w:fldCharType="separate"/>
            </w:r>
            <w:r>
              <w:rPr>
                <w:noProof/>
                <w:webHidden/>
              </w:rPr>
              <w:t>38</w:t>
            </w:r>
            <w:r>
              <w:rPr>
                <w:noProof/>
                <w:webHidden/>
              </w:rPr>
              <w:fldChar w:fldCharType="end"/>
            </w:r>
          </w:hyperlink>
        </w:p>
        <w:p w14:paraId="7E93A6B5" w14:textId="4E2EAA0F" w:rsidR="00B03309" w:rsidRDefault="00B03309">
          <w:pPr>
            <w:pStyle w:val="TOC2"/>
            <w:rPr>
              <w:rFonts w:asciiTheme="minorHAnsi" w:eastAsiaTheme="minorEastAsia" w:hAnsiTheme="minorHAnsi" w:cstheme="minorBidi"/>
              <w:b w:val="0"/>
              <w:noProof/>
              <w:sz w:val="22"/>
              <w:lang w:eastAsia="en-AU"/>
            </w:rPr>
          </w:pPr>
          <w:hyperlink w:anchor="_Toc23326218" w:history="1">
            <w:r w:rsidRPr="000366DF">
              <w:rPr>
                <w:rStyle w:val="Hyperlink"/>
                <w:noProof/>
              </w:rPr>
              <w:t>VI. Pharmacovigilance findings</w:t>
            </w:r>
            <w:r>
              <w:rPr>
                <w:noProof/>
                <w:webHidden/>
              </w:rPr>
              <w:tab/>
            </w:r>
            <w:r>
              <w:rPr>
                <w:noProof/>
                <w:webHidden/>
              </w:rPr>
              <w:fldChar w:fldCharType="begin"/>
            </w:r>
            <w:r>
              <w:rPr>
                <w:noProof/>
                <w:webHidden/>
              </w:rPr>
              <w:instrText xml:space="preserve"> PAGEREF _Toc23326218 \h </w:instrText>
            </w:r>
            <w:r>
              <w:rPr>
                <w:noProof/>
                <w:webHidden/>
              </w:rPr>
            </w:r>
            <w:r>
              <w:rPr>
                <w:noProof/>
                <w:webHidden/>
              </w:rPr>
              <w:fldChar w:fldCharType="separate"/>
            </w:r>
            <w:r>
              <w:rPr>
                <w:noProof/>
                <w:webHidden/>
              </w:rPr>
              <w:t>38</w:t>
            </w:r>
            <w:r>
              <w:rPr>
                <w:noProof/>
                <w:webHidden/>
              </w:rPr>
              <w:fldChar w:fldCharType="end"/>
            </w:r>
          </w:hyperlink>
        </w:p>
        <w:p w14:paraId="016F771A" w14:textId="3427655A" w:rsidR="00B03309" w:rsidRDefault="00B03309">
          <w:pPr>
            <w:pStyle w:val="TOC3"/>
            <w:rPr>
              <w:rFonts w:asciiTheme="minorHAnsi" w:eastAsiaTheme="minorEastAsia" w:hAnsiTheme="minorHAnsi" w:cstheme="minorBidi"/>
              <w:noProof/>
              <w:lang w:eastAsia="en-AU"/>
            </w:rPr>
          </w:pPr>
          <w:hyperlink w:anchor="_Toc23326219" w:history="1">
            <w:r w:rsidRPr="000366DF">
              <w:rPr>
                <w:rStyle w:val="Hyperlink"/>
                <w:noProof/>
                <w:lang w:eastAsia="en-AU"/>
              </w:rPr>
              <w:t>Risk management plan</w:t>
            </w:r>
            <w:r>
              <w:rPr>
                <w:noProof/>
                <w:webHidden/>
              </w:rPr>
              <w:tab/>
            </w:r>
            <w:r>
              <w:rPr>
                <w:noProof/>
                <w:webHidden/>
              </w:rPr>
              <w:fldChar w:fldCharType="begin"/>
            </w:r>
            <w:r>
              <w:rPr>
                <w:noProof/>
                <w:webHidden/>
              </w:rPr>
              <w:instrText xml:space="preserve"> PAGEREF _Toc23326219 \h </w:instrText>
            </w:r>
            <w:r>
              <w:rPr>
                <w:noProof/>
                <w:webHidden/>
              </w:rPr>
            </w:r>
            <w:r>
              <w:rPr>
                <w:noProof/>
                <w:webHidden/>
              </w:rPr>
              <w:fldChar w:fldCharType="separate"/>
            </w:r>
            <w:r>
              <w:rPr>
                <w:noProof/>
                <w:webHidden/>
              </w:rPr>
              <w:t>38</w:t>
            </w:r>
            <w:r>
              <w:rPr>
                <w:noProof/>
                <w:webHidden/>
              </w:rPr>
              <w:fldChar w:fldCharType="end"/>
            </w:r>
          </w:hyperlink>
        </w:p>
        <w:p w14:paraId="2C38D1F9" w14:textId="4BFC7724" w:rsidR="00B03309" w:rsidRDefault="00B03309">
          <w:pPr>
            <w:pStyle w:val="TOC2"/>
            <w:rPr>
              <w:rFonts w:asciiTheme="minorHAnsi" w:eastAsiaTheme="minorEastAsia" w:hAnsiTheme="minorHAnsi" w:cstheme="minorBidi"/>
              <w:b w:val="0"/>
              <w:noProof/>
              <w:sz w:val="22"/>
              <w:lang w:eastAsia="en-AU"/>
            </w:rPr>
          </w:pPr>
          <w:hyperlink w:anchor="_Toc23326220" w:history="1">
            <w:r w:rsidRPr="000366DF">
              <w:rPr>
                <w:rStyle w:val="Hyperlink"/>
                <w:noProof/>
              </w:rPr>
              <w:t>VII. Overall conclusion and risk/benefit assessment</w:t>
            </w:r>
            <w:r>
              <w:rPr>
                <w:noProof/>
                <w:webHidden/>
              </w:rPr>
              <w:tab/>
            </w:r>
            <w:r>
              <w:rPr>
                <w:noProof/>
                <w:webHidden/>
              </w:rPr>
              <w:fldChar w:fldCharType="begin"/>
            </w:r>
            <w:r>
              <w:rPr>
                <w:noProof/>
                <w:webHidden/>
              </w:rPr>
              <w:instrText xml:space="preserve"> PAGEREF _Toc23326220 \h </w:instrText>
            </w:r>
            <w:r>
              <w:rPr>
                <w:noProof/>
                <w:webHidden/>
              </w:rPr>
            </w:r>
            <w:r>
              <w:rPr>
                <w:noProof/>
                <w:webHidden/>
              </w:rPr>
              <w:fldChar w:fldCharType="separate"/>
            </w:r>
            <w:r>
              <w:rPr>
                <w:noProof/>
                <w:webHidden/>
              </w:rPr>
              <w:t>38</w:t>
            </w:r>
            <w:r>
              <w:rPr>
                <w:noProof/>
                <w:webHidden/>
              </w:rPr>
              <w:fldChar w:fldCharType="end"/>
            </w:r>
          </w:hyperlink>
        </w:p>
        <w:p w14:paraId="1ADC19C6" w14:textId="1CAE89F8" w:rsidR="00B03309" w:rsidRDefault="00B03309">
          <w:pPr>
            <w:pStyle w:val="TOC3"/>
            <w:rPr>
              <w:rFonts w:asciiTheme="minorHAnsi" w:eastAsiaTheme="minorEastAsia" w:hAnsiTheme="minorHAnsi" w:cstheme="minorBidi"/>
              <w:noProof/>
              <w:lang w:eastAsia="en-AU"/>
            </w:rPr>
          </w:pPr>
          <w:hyperlink w:anchor="_Toc23326221" w:history="1">
            <w:r w:rsidRPr="000366DF">
              <w:rPr>
                <w:rStyle w:val="Hyperlink"/>
                <w:noProof/>
              </w:rPr>
              <w:t>Background</w:t>
            </w:r>
            <w:r>
              <w:rPr>
                <w:noProof/>
                <w:webHidden/>
              </w:rPr>
              <w:tab/>
            </w:r>
            <w:r>
              <w:rPr>
                <w:noProof/>
                <w:webHidden/>
              </w:rPr>
              <w:fldChar w:fldCharType="begin"/>
            </w:r>
            <w:r>
              <w:rPr>
                <w:noProof/>
                <w:webHidden/>
              </w:rPr>
              <w:instrText xml:space="preserve"> PAGEREF _Toc23326221 \h </w:instrText>
            </w:r>
            <w:r>
              <w:rPr>
                <w:noProof/>
                <w:webHidden/>
              </w:rPr>
            </w:r>
            <w:r>
              <w:rPr>
                <w:noProof/>
                <w:webHidden/>
              </w:rPr>
              <w:fldChar w:fldCharType="separate"/>
            </w:r>
            <w:r>
              <w:rPr>
                <w:noProof/>
                <w:webHidden/>
              </w:rPr>
              <w:t>38</w:t>
            </w:r>
            <w:r>
              <w:rPr>
                <w:noProof/>
                <w:webHidden/>
              </w:rPr>
              <w:fldChar w:fldCharType="end"/>
            </w:r>
          </w:hyperlink>
        </w:p>
        <w:p w14:paraId="08D57785" w14:textId="5E0A909D" w:rsidR="00B03309" w:rsidRDefault="00B03309">
          <w:pPr>
            <w:pStyle w:val="TOC3"/>
            <w:rPr>
              <w:rFonts w:asciiTheme="minorHAnsi" w:eastAsiaTheme="minorEastAsia" w:hAnsiTheme="minorHAnsi" w:cstheme="minorBidi"/>
              <w:noProof/>
              <w:lang w:eastAsia="en-AU"/>
            </w:rPr>
          </w:pPr>
          <w:hyperlink w:anchor="_Toc23326222" w:history="1">
            <w:r w:rsidRPr="000366DF">
              <w:rPr>
                <w:rStyle w:val="Hyperlink"/>
                <w:noProof/>
              </w:rPr>
              <w:t>Quality</w:t>
            </w:r>
            <w:r>
              <w:rPr>
                <w:noProof/>
                <w:webHidden/>
              </w:rPr>
              <w:tab/>
            </w:r>
            <w:r>
              <w:rPr>
                <w:noProof/>
                <w:webHidden/>
              </w:rPr>
              <w:fldChar w:fldCharType="begin"/>
            </w:r>
            <w:r>
              <w:rPr>
                <w:noProof/>
                <w:webHidden/>
              </w:rPr>
              <w:instrText xml:space="preserve"> PAGEREF _Toc23326222 \h </w:instrText>
            </w:r>
            <w:r>
              <w:rPr>
                <w:noProof/>
                <w:webHidden/>
              </w:rPr>
            </w:r>
            <w:r>
              <w:rPr>
                <w:noProof/>
                <w:webHidden/>
              </w:rPr>
              <w:fldChar w:fldCharType="separate"/>
            </w:r>
            <w:r>
              <w:rPr>
                <w:noProof/>
                <w:webHidden/>
              </w:rPr>
              <w:t>39</w:t>
            </w:r>
            <w:r>
              <w:rPr>
                <w:noProof/>
                <w:webHidden/>
              </w:rPr>
              <w:fldChar w:fldCharType="end"/>
            </w:r>
          </w:hyperlink>
        </w:p>
        <w:p w14:paraId="0056D617" w14:textId="76B8F37F" w:rsidR="00B03309" w:rsidRDefault="00B03309">
          <w:pPr>
            <w:pStyle w:val="TOC3"/>
            <w:rPr>
              <w:rFonts w:asciiTheme="minorHAnsi" w:eastAsiaTheme="minorEastAsia" w:hAnsiTheme="minorHAnsi" w:cstheme="minorBidi"/>
              <w:noProof/>
              <w:lang w:eastAsia="en-AU"/>
            </w:rPr>
          </w:pPr>
          <w:hyperlink w:anchor="_Toc23326223" w:history="1">
            <w:r w:rsidRPr="000366DF">
              <w:rPr>
                <w:rStyle w:val="Hyperlink"/>
                <w:noProof/>
              </w:rPr>
              <w:t>Nonclinical</w:t>
            </w:r>
            <w:r>
              <w:rPr>
                <w:noProof/>
                <w:webHidden/>
              </w:rPr>
              <w:tab/>
            </w:r>
            <w:r>
              <w:rPr>
                <w:noProof/>
                <w:webHidden/>
              </w:rPr>
              <w:fldChar w:fldCharType="begin"/>
            </w:r>
            <w:r>
              <w:rPr>
                <w:noProof/>
                <w:webHidden/>
              </w:rPr>
              <w:instrText xml:space="preserve"> PAGEREF _Toc23326223 \h </w:instrText>
            </w:r>
            <w:r>
              <w:rPr>
                <w:noProof/>
                <w:webHidden/>
              </w:rPr>
            </w:r>
            <w:r>
              <w:rPr>
                <w:noProof/>
                <w:webHidden/>
              </w:rPr>
              <w:fldChar w:fldCharType="separate"/>
            </w:r>
            <w:r>
              <w:rPr>
                <w:noProof/>
                <w:webHidden/>
              </w:rPr>
              <w:t>39</w:t>
            </w:r>
            <w:r>
              <w:rPr>
                <w:noProof/>
                <w:webHidden/>
              </w:rPr>
              <w:fldChar w:fldCharType="end"/>
            </w:r>
          </w:hyperlink>
        </w:p>
        <w:p w14:paraId="1E5FE4FF" w14:textId="518C008C" w:rsidR="00B03309" w:rsidRDefault="00B03309">
          <w:pPr>
            <w:pStyle w:val="TOC3"/>
            <w:rPr>
              <w:rFonts w:asciiTheme="minorHAnsi" w:eastAsiaTheme="minorEastAsia" w:hAnsiTheme="minorHAnsi" w:cstheme="minorBidi"/>
              <w:noProof/>
              <w:lang w:eastAsia="en-AU"/>
            </w:rPr>
          </w:pPr>
          <w:hyperlink w:anchor="_Toc23326224" w:history="1">
            <w:r w:rsidRPr="000366DF">
              <w:rPr>
                <w:rStyle w:val="Hyperlink"/>
                <w:noProof/>
              </w:rPr>
              <w:t>Clinical</w:t>
            </w:r>
            <w:r>
              <w:rPr>
                <w:noProof/>
                <w:webHidden/>
              </w:rPr>
              <w:tab/>
            </w:r>
            <w:r>
              <w:rPr>
                <w:noProof/>
                <w:webHidden/>
              </w:rPr>
              <w:fldChar w:fldCharType="begin"/>
            </w:r>
            <w:r>
              <w:rPr>
                <w:noProof/>
                <w:webHidden/>
              </w:rPr>
              <w:instrText xml:space="preserve"> PAGEREF _Toc23326224 \h </w:instrText>
            </w:r>
            <w:r>
              <w:rPr>
                <w:noProof/>
                <w:webHidden/>
              </w:rPr>
            </w:r>
            <w:r>
              <w:rPr>
                <w:noProof/>
                <w:webHidden/>
              </w:rPr>
              <w:fldChar w:fldCharType="separate"/>
            </w:r>
            <w:r>
              <w:rPr>
                <w:noProof/>
                <w:webHidden/>
              </w:rPr>
              <w:t>39</w:t>
            </w:r>
            <w:r>
              <w:rPr>
                <w:noProof/>
                <w:webHidden/>
              </w:rPr>
              <w:fldChar w:fldCharType="end"/>
            </w:r>
          </w:hyperlink>
        </w:p>
        <w:p w14:paraId="5FE0C20C" w14:textId="243F5AB1" w:rsidR="00B03309" w:rsidRDefault="00B03309">
          <w:pPr>
            <w:pStyle w:val="TOC3"/>
            <w:rPr>
              <w:rFonts w:asciiTheme="minorHAnsi" w:eastAsiaTheme="minorEastAsia" w:hAnsiTheme="minorHAnsi" w:cstheme="minorBidi"/>
              <w:noProof/>
              <w:lang w:eastAsia="en-AU"/>
            </w:rPr>
          </w:pPr>
          <w:hyperlink w:anchor="_Toc23326225" w:history="1">
            <w:r w:rsidRPr="000366DF">
              <w:rPr>
                <w:rStyle w:val="Hyperlink"/>
                <w:noProof/>
                <w:lang w:eastAsia="en-AU"/>
              </w:rPr>
              <w:t>Risk management plan</w:t>
            </w:r>
            <w:r>
              <w:rPr>
                <w:noProof/>
                <w:webHidden/>
              </w:rPr>
              <w:tab/>
            </w:r>
            <w:r>
              <w:rPr>
                <w:noProof/>
                <w:webHidden/>
              </w:rPr>
              <w:fldChar w:fldCharType="begin"/>
            </w:r>
            <w:r>
              <w:rPr>
                <w:noProof/>
                <w:webHidden/>
              </w:rPr>
              <w:instrText xml:space="preserve"> PAGEREF _Toc23326225 \h </w:instrText>
            </w:r>
            <w:r>
              <w:rPr>
                <w:noProof/>
                <w:webHidden/>
              </w:rPr>
            </w:r>
            <w:r>
              <w:rPr>
                <w:noProof/>
                <w:webHidden/>
              </w:rPr>
              <w:fldChar w:fldCharType="separate"/>
            </w:r>
            <w:r>
              <w:rPr>
                <w:noProof/>
                <w:webHidden/>
              </w:rPr>
              <w:t>50</w:t>
            </w:r>
            <w:r>
              <w:rPr>
                <w:noProof/>
                <w:webHidden/>
              </w:rPr>
              <w:fldChar w:fldCharType="end"/>
            </w:r>
          </w:hyperlink>
        </w:p>
        <w:p w14:paraId="4C8127CE" w14:textId="247E4856" w:rsidR="00B03309" w:rsidRDefault="00B03309">
          <w:pPr>
            <w:pStyle w:val="TOC3"/>
            <w:rPr>
              <w:rFonts w:asciiTheme="minorHAnsi" w:eastAsiaTheme="minorEastAsia" w:hAnsiTheme="minorHAnsi" w:cstheme="minorBidi"/>
              <w:noProof/>
              <w:lang w:eastAsia="en-AU"/>
            </w:rPr>
          </w:pPr>
          <w:hyperlink w:anchor="_Toc23326226" w:history="1">
            <w:r w:rsidRPr="000366DF">
              <w:rPr>
                <w:rStyle w:val="Hyperlink"/>
                <w:noProof/>
              </w:rPr>
              <w:t>Risk-benefit analysis</w:t>
            </w:r>
            <w:r>
              <w:rPr>
                <w:noProof/>
                <w:webHidden/>
              </w:rPr>
              <w:tab/>
            </w:r>
            <w:r>
              <w:rPr>
                <w:noProof/>
                <w:webHidden/>
              </w:rPr>
              <w:fldChar w:fldCharType="begin"/>
            </w:r>
            <w:r>
              <w:rPr>
                <w:noProof/>
                <w:webHidden/>
              </w:rPr>
              <w:instrText xml:space="preserve"> PAGEREF _Toc23326226 \h </w:instrText>
            </w:r>
            <w:r>
              <w:rPr>
                <w:noProof/>
                <w:webHidden/>
              </w:rPr>
            </w:r>
            <w:r>
              <w:rPr>
                <w:noProof/>
                <w:webHidden/>
              </w:rPr>
              <w:fldChar w:fldCharType="separate"/>
            </w:r>
            <w:r>
              <w:rPr>
                <w:noProof/>
                <w:webHidden/>
              </w:rPr>
              <w:t>51</w:t>
            </w:r>
            <w:r>
              <w:rPr>
                <w:noProof/>
                <w:webHidden/>
              </w:rPr>
              <w:fldChar w:fldCharType="end"/>
            </w:r>
          </w:hyperlink>
        </w:p>
        <w:p w14:paraId="11E0D91D" w14:textId="23EC854E" w:rsidR="00B03309" w:rsidRDefault="00B03309">
          <w:pPr>
            <w:pStyle w:val="TOC3"/>
            <w:rPr>
              <w:rFonts w:asciiTheme="minorHAnsi" w:eastAsiaTheme="minorEastAsia" w:hAnsiTheme="minorHAnsi" w:cstheme="minorBidi"/>
              <w:noProof/>
              <w:lang w:eastAsia="en-AU"/>
            </w:rPr>
          </w:pPr>
          <w:hyperlink w:anchor="_Toc23326227" w:history="1">
            <w:r w:rsidRPr="000366DF">
              <w:rPr>
                <w:rStyle w:val="Hyperlink"/>
                <w:noProof/>
              </w:rPr>
              <w:t>Outcome</w:t>
            </w:r>
            <w:r>
              <w:rPr>
                <w:noProof/>
                <w:webHidden/>
              </w:rPr>
              <w:tab/>
            </w:r>
            <w:r>
              <w:rPr>
                <w:noProof/>
                <w:webHidden/>
              </w:rPr>
              <w:fldChar w:fldCharType="begin"/>
            </w:r>
            <w:r>
              <w:rPr>
                <w:noProof/>
                <w:webHidden/>
              </w:rPr>
              <w:instrText xml:space="preserve"> PAGEREF _Toc23326227 \h </w:instrText>
            </w:r>
            <w:r>
              <w:rPr>
                <w:noProof/>
                <w:webHidden/>
              </w:rPr>
            </w:r>
            <w:r>
              <w:rPr>
                <w:noProof/>
                <w:webHidden/>
              </w:rPr>
              <w:fldChar w:fldCharType="separate"/>
            </w:r>
            <w:r>
              <w:rPr>
                <w:noProof/>
                <w:webHidden/>
              </w:rPr>
              <w:t>60</w:t>
            </w:r>
            <w:r>
              <w:rPr>
                <w:noProof/>
                <w:webHidden/>
              </w:rPr>
              <w:fldChar w:fldCharType="end"/>
            </w:r>
          </w:hyperlink>
        </w:p>
        <w:p w14:paraId="79F5E7C0" w14:textId="67C0F2FE" w:rsidR="00B03309" w:rsidRDefault="00B03309">
          <w:pPr>
            <w:pStyle w:val="TOC2"/>
            <w:rPr>
              <w:rFonts w:asciiTheme="minorHAnsi" w:eastAsiaTheme="minorEastAsia" w:hAnsiTheme="minorHAnsi" w:cstheme="minorBidi"/>
              <w:b w:val="0"/>
              <w:noProof/>
              <w:sz w:val="22"/>
              <w:lang w:eastAsia="en-AU"/>
            </w:rPr>
          </w:pPr>
          <w:hyperlink w:anchor="_Toc23326228" w:history="1">
            <w:r w:rsidRPr="000366DF">
              <w:rPr>
                <w:rStyle w:val="Hyperlink"/>
                <w:noProof/>
              </w:rPr>
              <w:t>Attachment 1. Product Information</w:t>
            </w:r>
            <w:r>
              <w:rPr>
                <w:noProof/>
                <w:webHidden/>
              </w:rPr>
              <w:tab/>
            </w:r>
            <w:r>
              <w:rPr>
                <w:noProof/>
                <w:webHidden/>
              </w:rPr>
              <w:fldChar w:fldCharType="begin"/>
            </w:r>
            <w:r>
              <w:rPr>
                <w:noProof/>
                <w:webHidden/>
              </w:rPr>
              <w:instrText xml:space="preserve"> PAGEREF _Toc23326228 \h </w:instrText>
            </w:r>
            <w:r>
              <w:rPr>
                <w:noProof/>
                <w:webHidden/>
              </w:rPr>
            </w:r>
            <w:r>
              <w:rPr>
                <w:noProof/>
                <w:webHidden/>
              </w:rPr>
              <w:fldChar w:fldCharType="separate"/>
            </w:r>
            <w:r>
              <w:rPr>
                <w:noProof/>
                <w:webHidden/>
              </w:rPr>
              <w:t>60</w:t>
            </w:r>
            <w:r>
              <w:rPr>
                <w:noProof/>
                <w:webHidden/>
              </w:rPr>
              <w:fldChar w:fldCharType="end"/>
            </w:r>
          </w:hyperlink>
        </w:p>
        <w:p w14:paraId="0723A76B" w14:textId="3A9A855F" w:rsidR="003A7F6C" w:rsidRPr="00B811C6" w:rsidRDefault="00DB6124" w:rsidP="00B811C6">
          <w:pPr>
            <w:pStyle w:val="TOC2"/>
          </w:pPr>
          <w:r>
            <w:fldChar w:fldCharType="end"/>
          </w:r>
        </w:p>
      </w:sdtContent>
    </w:sdt>
    <w:bookmarkStart w:id="3" w:name="_Toc314842482" w:displacedByCustomXml="prev"/>
    <w:p w14:paraId="7DDA6F10" w14:textId="77777777" w:rsidR="00FD119B" w:rsidRDefault="00FD119B">
      <w:pPr>
        <w:spacing w:before="0" w:after="200" w:line="0" w:lineRule="auto"/>
      </w:pPr>
      <w:r>
        <w:br w:type="page"/>
      </w:r>
    </w:p>
    <w:p w14:paraId="3FE3A5AF" w14:textId="77777777" w:rsidR="00C52E24" w:rsidRPr="00C52E24" w:rsidRDefault="00441C3F" w:rsidP="00CA1EAE">
      <w:pPr>
        <w:pStyle w:val="Heading2"/>
      </w:pPr>
      <w:bookmarkStart w:id="4" w:name="_Toc351716269"/>
      <w:bookmarkStart w:id="5" w:name="_Toc351718881"/>
      <w:bookmarkStart w:id="6" w:name="_Toc355338616"/>
      <w:bookmarkStart w:id="7" w:name="_Toc356306144"/>
      <w:bookmarkStart w:id="8" w:name="_Toc2332618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A67620" w:rsidRPr="00FD119B" w14:paraId="47D48E41" w14:textId="77777777" w:rsidTr="00070083">
        <w:trPr>
          <w:cnfStyle w:val="100000000000" w:firstRow="1" w:lastRow="0" w:firstColumn="0" w:lastColumn="0" w:oddVBand="0" w:evenVBand="0" w:oddHBand="0" w:evenHBand="0" w:firstRowFirstColumn="0" w:firstRowLastColumn="0" w:lastRowFirstColumn="0" w:lastRowLastColumn="0"/>
        </w:trPr>
        <w:tc>
          <w:tcPr>
            <w:tcW w:w="1890" w:type="dxa"/>
          </w:tcPr>
          <w:p w14:paraId="1B580192" w14:textId="77777777" w:rsidR="00A67620" w:rsidRPr="00FD119B" w:rsidRDefault="00A67620" w:rsidP="003739DC">
            <w:pPr>
              <w:keepNext w:val="0"/>
              <w:rPr>
                <w:szCs w:val="22"/>
                <w:lang w:eastAsia="en-US"/>
              </w:rPr>
            </w:pPr>
            <w:r w:rsidRPr="00FD119B">
              <w:rPr>
                <w:szCs w:val="22"/>
                <w:lang w:eastAsia="en-US"/>
              </w:rPr>
              <w:t>Abbreviation</w:t>
            </w:r>
          </w:p>
        </w:tc>
        <w:tc>
          <w:tcPr>
            <w:tcW w:w="6830" w:type="dxa"/>
          </w:tcPr>
          <w:p w14:paraId="1A40ED19" w14:textId="77777777" w:rsidR="00A67620" w:rsidRPr="00FD119B" w:rsidRDefault="00A67620" w:rsidP="003739DC">
            <w:pPr>
              <w:keepNext w:val="0"/>
              <w:rPr>
                <w:szCs w:val="22"/>
                <w:lang w:eastAsia="en-US"/>
              </w:rPr>
            </w:pPr>
            <w:r w:rsidRPr="00FD119B">
              <w:rPr>
                <w:szCs w:val="22"/>
                <w:lang w:eastAsia="en-US"/>
              </w:rPr>
              <w:t>Meaning</w:t>
            </w:r>
          </w:p>
        </w:tc>
      </w:tr>
      <w:tr w:rsidR="00A67620" w:rsidRPr="00FD119B" w14:paraId="7BF3F4B0" w14:textId="77777777" w:rsidTr="00070083">
        <w:tc>
          <w:tcPr>
            <w:tcW w:w="1890" w:type="dxa"/>
          </w:tcPr>
          <w:p w14:paraId="406239F7" w14:textId="77777777" w:rsidR="00A67620" w:rsidRPr="00A06953" w:rsidRDefault="00A67620" w:rsidP="003739DC">
            <w:pPr>
              <w:autoSpaceDE w:val="0"/>
              <w:autoSpaceDN w:val="0"/>
              <w:adjustRightInd w:val="0"/>
              <w:spacing w:line="240" w:lineRule="auto"/>
              <w:rPr>
                <w:rFonts w:eastAsiaTheme="minorHAnsi" w:cs="TimesNewRoman"/>
              </w:rPr>
            </w:pPr>
            <w:r>
              <w:rPr>
                <w:rFonts w:eastAsiaTheme="minorHAnsi" w:cs="TimesNewRoman"/>
              </w:rPr>
              <w:t>~</w:t>
            </w:r>
          </w:p>
        </w:tc>
        <w:tc>
          <w:tcPr>
            <w:tcW w:w="6830" w:type="dxa"/>
          </w:tcPr>
          <w:p w14:paraId="13569738" w14:textId="77777777" w:rsidR="00A67620" w:rsidRPr="00A06953" w:rsidRDefault="00A67620" w:rsidP="003739DC">
            <w:pPr>
              <w:spacing w:line="240" w:lineRule="auto"/>
              <w:rPr>
                <w:rFonts w:eastAsiaTheme="minorHAnsi" w:cs="TimesNewRoman"/>
              </w:rPr>
            </w:pPr>
            <w:r>
              <w:rPr>
                <w:rFonts w:eastAsiaTheme="minorHAnsi" w:cs="TimesNewRoman"/>
              </w:rPr>
              <w:t>Approximately</w:t>
            </w:r>
          </w:p>
        </w:tc>
      </w:tr>
      <w:tr w:rsidR="00A67620" w:rsidRPr="00FD119B" w14:paraId="2531BEA5" w14:textId="77777777" w:rsidTr="00070083">
        <w:tc>
          <w:tcPr>
            <w:tcW w:w="1890" w:type="dxa"/>
          </w:tcPr>
          <w:p w14:paraId="58FF10BA" w14:textId="77777777" w:rsidR="00A67620" w:rsidRPr="00A06953" w:rsidRDefault="00A67620" w:rsidP="003739DC">
            <w:pPr>
              <w:spacing w:line="240" w:lineRule="auto"/>
              <w:rPr>
                <w:szCs w:val="22"/>
              </w:rPr>
            </w:pPr>
            <w:r w:rsidRPr="00A06953">
              <w:rPr>
                <w:szCs w:val="22"/>
              </w:rPr>
              <w:t>A</w:t>
            </w:r>
            <w:r>
              <w:rPr>
                <w:szCs w:val="22"/>
              </w:rPr>
              <w:t>CM</w:t>
            </w:r>
          </w:p>
        </w:tc>
        <w:tc>
          <w:tcPr>
            <w:tcW w:w="6830" w:type="dxa"/>
          </w:tcPr>
          <w:p w14:paraId="4C319519" w14:textId="77777777" w:rsidR="00A67620" w:rsidRPr="00A06953" w:rsidRDefault="00A67620" w:rsidP="003739DC">
            <w:pPr>
              <w:spacing w:line="240" w:lineRule="auto"/>
              <w:rPr>
                <w:szCs w:val="22"/>
              </w:rPr>
            </w:pPr>
            <w:r>
              <w:rPr>
                <w:szCs w:val="22"/>
              </w:rPr>
              <w:t>Advisory Committee on Medicines</w:t>
            </w:r>
          </w:p>
        </w:tc>
      </w:tr>
      <w:tr w:rsidR="00A67620" w:rsidRPr="00FD119B" w14:paraId="06B1F9FD" w14:textId="77777777" w:rsidTr="00070083">
        <w:tc>
          <w:tcPr>
            <w:tcW w:w="1890" w:type="dxa"/>
          </w:tcPr>
          <w:p w14:paraId="006B7C43" w14:textId="77777777" w:rsidR="00A67620" w:rsidRPr="00A06953" w:rsidRDefault="00A67620" w:rsidP="003739DC">
            <w:pPr>
              <w:spacing w:line="240" w:lineRule="auto"/>
              <w:rPr>
                <w:szCs w:val="22"/>
              </w:rPr>
            </w:pPr>
            <w:r w:rsidRPr="00A06953">
              <w:rPr>
                <w:szCs w:val="22"/>
              </w:rPr>
              <w:t>ADR</w:t>
            </w:r>
          </w:p>
        </w:tc>
        <w:tc>
          <w:tcPr>
            <w:tcW w:w="6830" w:type="dxa"/>
          </w:tcPr>
          <w:p w14:paraId="368AD249" w14:textId="77777777" w:rsidR="00A67620" w:rsidRPr="00A06953" w:rsidRDefault="00A67620" w:rsidP="003739DC">
            <w:pPr>
              <w:spacing w:line="240" w:lineRule="auto"/>
              <w:rPr>
                <w:szCs w:val="22"/>
              </w:rPr>
            </w:pPr>
            <w:r w:rsidRPr="00A06953">
              <w:rPr>
                <w:szCs w:val="22"/>
              </w:rPr>
              <w:t>Adverse drug reaction</w:t>
            </w:r>
          </w:p>
        </w:tc>
      </w:tr>
      <w:tr w:rsidR="00A67620" w:rsidRPr="00FD119B" w14:paraId="0E8A8373" w14:textId="77777777" w:rsidTr="00070083">
        <w:tc>
          <w:tcPr>
            <w:tcW w:w="1890" w:type="dxa"/>
          </w:tcPr>
          <w:p w14:paraId="74D01814" w14:textId="77777777" w:rsidR="00A67620" w:rsidRPr="00A06953" w:rsidRDefault="00A67620" w:rsidP="003739DC">
            <w:pPr>
              <w:spacing w:line="240" w:lineRule="auto"/>
              <w:rPr>
                <w:szCs w:val="22"/>
              </w:rPr>
            </w:pPr>
            <w:r w:rsidRPr="00A06953">
              <w:rPr>
                <w:szCs w:val="22"/>
              </w:rPr>
              <w:t>AE</w:t>
            </w:r>
          </w:p>
        </w:tc>
        <w:tc>
          <w:tcPr>
            <w:tcW w:w="6830" w:type="dxa"/>
          </w:tcPr>
          <w:p w14:paraId="6E38A7CE" w14:textId="77777777" w:rsidR="00A67620" w:rsidRPr="00A06953" w:rsidRDefault="00A67620" w:rsidP="003739DC">
            <w:pPr>
              <w:spacing w:line="240" w:lineRule="auto"/>
              <w:rPr>
                <w:szCs w:val="22"/>
              </w:rPr>
            </w:pPr>
            <w:r w:rsidRPr="00A06953">
              <w:rPr>
                <w:szCs w:val="22"/>
              </w:rPr>
              <w:t>Adverse event</w:t>
            </w:r>
          </w:p>
        </w:tc>
      </w:tr>
      <w:tr w:rsidR="00A67620" w:rsidRPr="00FD119B" w14:paraId="650295FE" w14:textId="77777777" w:rsidTr="00070083">
        <w:tc>
          <w:tcPr>
            <w:tcW w:w="1890" w:type="dxa"/>
          </w:tcPr>
          <w:p w14:paraId="72E17EC2" w14:textId="77777777" w:rsidR="00A67620" w:rsidRPr="00A06953" w:rsidRDefault="00A67620" w:rsidP="003739DC">
            <w:pPr>
              <w:spacing w:line="240" w:lineRule="auto"/>
              <w:rPr>
                <w:szCs w:val="22"/>
              </w:rPr>
            </w:pPr>
            <w:r w:rsidRPr="00A06953">
              <w:rPr>
                <w:szCs w:val="22"/>
              </w:rPr>
              <w:t>ALT</w:t>
            </w:r>
          </w:p>
        </w:tc>
        <w:tc>
          <w:tcPr>
            <w:tcW w:w="6830" w:type="dxa"/>
          </w:tcPr>
          <w:p w14:paraId="4FC8CA38" w14:textId="77777777" w:rsidR="00A67620" w:rsidRPr="00A06953" w:rsidRDefault="00A67620" w:rsidP="003739DC">
            <w:pPr>
              <w:spacing w:line="240" w:lineRule="auto"/>
              <w:rPr>
                <w:szCs w:val="22"/>
              </w:rPr>
            </w:pPr>
            <w:r w:rsidRPr="00A06953">
              <w:rPr>
                <w:szCs w:val="22"/>
              </w:rPr>
              <w:t>Alanine aminotransferase</w:t>
            </w:r>
          </w:p>
        </w:tc>
      </w:tr>
      <w:tr w:rsidR="00A67620" w:rsidRPr="00FD119B" w14:paraId="569178F1" w14:textId="77777777" w:rsidTr="00070083">
        <w:tc>
          <w:tcPr>
            <w:tcW w:w="1890" w:type="dxa"/>
          </w:tcPr>
          <w:p w14:paraId="2F410E56" w14:textId="77777777" w:rsidR="00A67620" w:rsidRPr="00A06953" w:rsidRDefault="00A67620" w:rsidP="003739DC">
            <w:pPr>
              <w:spacing w:line="240" w:lineRule="auto"/>
            </w:pPr>
            <w:r>
              <w:t>AML</w:t>
            </w:r>
          </w:p>
        </w:tc>
        <w:tc>
          <w:tcPr>
            <w:tcW w:w="6830" w:type="dxa"/>
          </w:tcPr>
          <w:p w14:paraId="6DCFC3A5" w14:textId="77777777" w:rsidR="00A67620" w:rsidRPr="00A06953" w:rsidRDefault="00A67620" w:rsidP="003739DC">
            <w:pPr>
              <w:spacing w:line="240" w:lineRule="auto"/>
            </w:pPr>
            <w:r>
              <w:t>Acute myeloid leukaemia</w:t>
            </w:r>
          </w:p>
        </w:tc>
      </w:tr>
      <w:tr w:rsidR="00A67620" w:rsidRPr="00FD119B" w14:paraId="749FC7D4" w14:textId="77777777" w:rsidTr="00070083">
        <w:tc>
          <w:tcPr>
            <w:tcW w:w="1890" w:type="dxa"/>
          </w:tcPr>
          <w:p w14:paraId="25D993E3" w14:textId="77777777" w:rsidR="00A67620" w:rsidRPr="00A06953" w:rsidRDefault="00A67620" w:rsidP="003739DC">
            <w:pPr>
              <w:spacing w:line="240" w:lineRule="auto"/>
              <w:rPr>
                <w:szCs w:val="22"/>
              </w:rPr>
            </w:pPr>
            <w:r w:rsidRPr="00A06953">
              <w:rPr>
                <w:szCs w:val="22"/>
              </w:rPr>
              <w:t>A</w:t>
            </w:r>
            <w:r>
              <w:rPr>
                <w:szCs w:val="22"/>
              </w:rPr>
              <w:t>RTG</w:t>
            </w:r>
          </w:p>
        </w:tc>
        <w:tc>
          <w:tcPr>
            <w:tcW w:w="6830" w:type="dxa"/>
          </w:tcPr>
          <w:p w14:paraId="270B393E" w14:textId="77777777" w:rsidR="00A67620" w:rsidRPr="00A06953" w:rsidRDefault="00A67620" w:rsidP="003739DC">
            <w:pPr>
              <w:spacing w:line="240" w:lineRule="auto"/>
              <w:rPr>
                <w:szCs w:val="22"/>
              </w:rPr>
            </w:pPr>
            <w:r>
              <w:rPr>
                <w:szCs w:val="22"/>
              </w:rPr>
              <w:t>Australian Register of Therapeutic Goods</w:t>
            </w:r>
          </w:p>
        </w:tc>
      </w:tr>
      <w:tr w:rsidR="00A67620" w:rsidRPr="00FD119B" w14:paraId="7F02D2F7" w14:textId="77777777" w:rsidTr="00070083">
        <w:tc>
          <w:tcPr>
            <w:tcW w:w="1890" w:type="dxa"/>
          </w:tcPr>
          <w:p w14:paraId="30C1F4B8" w14:textId="77777777" w:rsidR="00A67620" w:rsidRPr="00A06953" w:rsidRDefault="00A67620" w:rsidP="003739DC">
            <w:pPr>
              <w:spacing w:line="240" w:lineRule="auto"/>
              <w:rPr>
                <w:szCs w:val="22"/>
              </w:rPr>
            </w:pPr>
            <w:r w:rsidRPr="00A06953">
              <w:rPr>
                <w:szCs w:val="22"/>
              </w:rPr>
              <w:t>AST</w:t>
            </w:r>
          </w:p>
        </w:tc>
        <w:tc>
          <w:tcPr>
            <w:tcW w:w="6830" w:type="dxa"/>
          </w:tcPr>
          <w:p w14:paraId="1BD6157B" w14:textId="77777777" w:rsidR="00A67620" w:rsidRPr="00A06953" w:rsidRDefault="00A67620" w:rsidP="003739DC">
            <w:pPr>
              <w:spacing w:line="240" w:lineRule="auto"/>
              <w:rPr>
                <w:szCs w:val="22"/>
              </w:rPr>
            </w:pPr>
            <w:r w:rsidRPr="00A06953">
              <w:rPr>
                <w:szCs w:val="22"/>
              </w:rPr>
              <w:t>Aspartate aminotransferase</w:t>
            </w:r>
          </w:p>
        </w:tc>
      </w:tr>
      <w:tr w:rsidR="00A67620" w:rsidRPr="00FD119B" w14:paraId="78670E0D" w14:textId="77777777" w:rsidTr="00070083">
        <w:tc>
          <w:tcPr>
            <w:tcW w:w="1890" w:type="dxa"/>
          </w:tcPr>
          <w:p w14:paraId="2A645248" w14:textId="77777777" w:rsidR="00A67620" w:rsidRPr="00A06953" w:rsidRDefault="00A67620" w:rsidP="003739DC">
            <w:pPr>
              <w:autoSpaceDE w:val="0"/>
              <w:autoSpaceDN w:val="0"/>
              <w:adjustRightInd w:val="0"/>
              <w:spacing w:line="240" w:lineRule="auto"/>
              <w:rPr>
                <w:rFonts w:eastAsiaTheme="minorHAnsi" w:cs="TimesNewRoman"/>
                <w:szCs w:val="22"/>
              </w:rPr>
            </w:pPr>
            <w:r w:rsidRPr="00A06953">
              <w:rPr>
                <w:rFonts w:eastAsiaTheme="minorHAnsi" w:cs="TimesNewRoman"/>
                <w:szCs w:val="22"/>
              </w:rPr>
              <w:t xml:space="preserve">AUC </w:t>
            </w:r>
          </w:p>
        </w:tc>
        <w:tc>
          <w:tcPr>
            <w:tcW w:w="6830" w:type="dxa"/>
          </w:tcPr>
          <w:p w14:paraId="65B55411" w14:textId="77777777" w:rsidR="00A67620" w:rsidRPr="00A06953" w:rsidRDefault="00A67620" w:rsidP="003739DC">
            <w:pPr>
              <w:spacing w:line="240" w:lineRule="auto"/>
              <w:rPr>
                <w:szCs w:val="22"/>
              </w:rPr>
            </w:pPr>
            <w:r w:rsidRPr="00A06953">
              <w:rPr>
                <w:rFonts w:eastAsiaTheme="minorHAnsi" w:cs="TimesNewRoman"/>
                <w:szCs w:val="22"/>
              </w:rPr>
              <w:t xml:space="preserve">Area under the plasma concentration-time </w:t>
            </w:r>
            <w:r>
              <w:rPr>
                <w:rFonts w:eastAsiaTheme="minorHAnsi" w:cs="TimesNewRoman"/>
                <w:szCs w:val="22"/>
              </w:rPr>
              <w:t>curve</w:t>
            </w:r>
          </w:p>
        </w:tc>
      </w:tr>
      <w:tr w:rsidR="00A67620" w:rsidRPr="00FD119B" w14:paraId="5AB47F14" w14:textId="77777777" w:rsidTr="00070083">
        <w:tc>
          <w:tcPr>
            <w:tcW w:w="1890" w:type="dxa"/>
          </w:tcPr>
          <w:p w14:paraId="24930EEC" w14:textId="77777777" w:rsidR="00A67620" w:rsidRPr="00A06953" w:rsidRDefault="00A67620" w:rsidP="003739DC">
            <w:pPr>
              <w:spacing w:line="240" w:lineRule="auto"/>
              <w:rPr>
                <w:szCs w:val="22"/>
              </w:rPr>
            </w:pPr>
            <w:r w:rsidRPr="00A06953">
              <w:rPr>
                <w:szCs w:val="22"/>
              </w:rPr>
              <w:t>AUC</w:t>
            </w:r>
            <w:r w:rsidRPr="00A06953">
              <w:rPr>
                <w:szCs w:val="22"/>
                <w:vertAlign w:val="subscript"/>
              </w:rPr>
              <w:t>0-t</w:t>
            </w:r>
          </w:p>
        </w:tc>
        <w:tc>
          <w:tcPr>
            <w:tcW w:w="6830" w:type="dxa"/>
          </w:tcPr>
          <w:p w14:paraId="38B03380" w14:textId="77777777" w:rsidR="00A67620" w:rsidRPr="00A06953" w:rsidRDefault="00A67620" w:rsidP="003739DC">
            <w:pPr>
              <w:spacing w:line="240" w:lineRule="auto"/>
              <w:rPr>
                <w:szCs w:val="22"/>
              </w:rPr>
            </w:pPr>
            <w:r w:rsidRPr="00A06953">
              <w:rPr>
                <w:szCs w:val="22"/>
              </w:rPr>
              <w:t>Area under plasma concentration-time curve from zero to the last measurable time point</w:t>
            </w:r>
          </w:p>
        </w:tc>
      </w:tr>
      <w:tr w:rsidR="00A67620" w:rsidRPr="00FD119B" w14:paraId="18B5044D" w14:textId="77777777" w:rsidTr="00070083">
        <w:tc>
          <w:tcPr>
            <w:tcW w:w="1890" w:type="dxa"/>
          </w:tcPr>
          <w:p w14:paraId="597C0A57" w14:textId="77777777" w:rsidR="00A67620" w:rsidRPr="00A06953" w:rsidRDefault="00A67620" w:rsidP="003739DC">
            <w:pPr>
              <w:autoSpaceDE w:val="0"/>
              <w:autoSpaceDN w:val="0"/>
              <w:adjustRightInd w:val="0"/>
              <w:spacing w:line="240" w:lineRule="auto"/>
              <w:rPr>
                <w:szCs w:val="22"/>
              </w:rPr>
            </w:pPr>
            <w:r w:rsidRPr="00A06953">
              <w:rPr>
                <w:rFonts w:eastAsiaTheme="minorHAnsi" w:cs="TimesNewRoman"/>
                <w:szCs w:val="22"/>
              </w:rPr>
              <w:t>AUC</w:t>
            </w:r>
            <w:r w:rsidRPr="005A0576">
              <w:rPr>
                <w:rFonts w:eastAsiaTheme="minorHAnsi" w:cs="TimesNewRoman"/>
                <w:szCs w:val="22"/>
                <w:vertAlign w:val="subscript"/>
              </w:rPr>
              <w:t>ss</w:t>
            </w:r>
          </w:p>
        </w:tc>
        <w:tc>
          <w:tcPr>
            <w:tcW w:w="6830" w:type="dxa"/>
          </w:tcPr>
          <w:p w14:paraId="06A590EA" w14:textId="77777777" w:rsidR="00A67620" w:rsidRPr="00A06953" w:rsidRDefault="00A67620" w:rsidP="003739DC">
            <w:pPr>
              <w:autoSpaceDE w:val="0"/>
              <w:autoSpaceDN w:val="0"/>
              <w:adjustRightInd w:val="0"/>
              <w:spacing w:line="240" w:lineRule="auto"/>
              <w:rPr>
                <w:szCs w:val="22"/>
              </w:rPr>
            </w:pPr>
            <w:r w:rsidRPr="00A06953">
              <w:rPr>
                <w:rFonts w:eastAsiaTheme="minorHAnsi" w:cs="TimesNewRoman"/>
                <w:szCs w:val="22"/>
              </w:rPr>
              <w:t>Area under plasma concentration-time curve during the dosing interval following multiple dosing to steady state</w:t>
            </w:r>
          </w:p>
        </w:tc>
      </w:tr>
      <w:tr w:rsidR="00A67620" w:rsidRPr="00FD119B" w14:paraId="3387D64D" w14:textId="77777777" w:rsidTr="00070083">
        <w:tc>
          <w:tcPr>
            <w:tcW w:w="1890" w:type="dxa"/>
          </w:tcPr>
          <w:p w14:paraId="7372C6A6" w14:textId="77777777" w:rsidR="00A67620" w:rsidRPr="00A06953" w:rsidRDefault="00A67620" w:rsidP="003739DC">
            <w:pPr>
              <w:autoSpaceDE w:val="0"/>
              <w:autoSpaceDN w:val="0"/>
              <w:adjustRightInd w:val="0"/>
              <w:spacing w:line="240" w:lineRule="auto"/>
              <w:rPr>
                <w:rFonts w:eastAsiaTheme="minorHAnsi" w:cs="TimesNewRoman"/>
              </w:rPr>
            </w:pPr>
            <w:r w:rsidRPr="009373A3">
              <w:t>AZD2281</w:t>
            </w:r>
          </w:p>
        </w:tc>
        <w:tc>
          <w:tcPr>
            <w:tcW w:w="6830" w:type="dxa"/>
          </w:tcPr>
          <w:p w14:paraId="153BD5DA" w14:textId="77777777" w:rsidR="00A67620" w:rsidRPr="00A06953" w:rsidRDefault="00A67620" w:rsidP="003739DC">
            <w:pPr>
              <w:autoSpaceDE w:val="0"/>
              <w:autoSpaceDN w:val="0"/>
              <w:adjustRightInd w:val="0"/>
              <w:spacing w:line="240" w:lineRule="auto"/>
              <w:rPr>
                <w:rFonts w:eastAsiaTheme="minorHAnsi" w:cs="TimesNewRoman"/>
              </w:rPr>
            </w:pPr>
            <w:r>
              <w:rPr>
                <w:rFonts w:eastAsiaTheme="minorHAnsi" w:cs="TimesNewRoman"/>
              </w:rPr>
              <w:t>Olaparib</w:t>
            </w:r>
          </w:p>
        </w:tc>
      </w:tr>
      <w:tr w:rsidR="00A67620" w:rsidRPr="00FD119B" w14:paraId="545CF745" w14:textId="77777777" w:rsidTr="00070083">
        <w:tc>
          <w:tcPr>
            <w:tcW w:w="1890" w:type="dxa"/>
          </w:tcPr>
          <w:p w14:paraId="7D351419" w14:textId="77777777" w:rsidR="00A67620" w:rsidRPr="00A06953" w:rsidRDefault="00A67620" w:rsidP="003739DC">
            <w:pPr>
              <w:spacing w:line="240" w:lineRule="auto"/>
            </w:pPr>
            <w:r w:rsidRPr="00B41A49">
              <w:t>BICR</w:t>
            </w:r>
          </w:p>
        </w:tc>
        <w:tc>
          <w:tcPr>
            <w:tcW w:w="6830" w:type="dxa"/>
          </w:tcPr>
          <w:p w14:paraId="7850F1E6" w14:textId="77777777" w:rsidR="00A67620" w:rsidRPr="00A06953" w:rsidRDefault="00A67620" w:rsidP="00B41A49">
            <w:pPr>
              <w:spacing w:line="240" w:lineRule="auto"/>
            </w:pPr>
            <w:r>
              <w:t>B</w:t>
            </w:r>
            <w:r w:rsidRPr="00B41A49">
              <w:t>lin</w:t>
            </w:r>
            <w:r>
              <w:t>ded independent central review</w:t>
            </w:r>
          </w:p>
        </w:tc>
      </w:tr>
      <w:tr w:rsidR="00A67620" w:rsidRPr="00FD119B" w14:paraId="4839E8C8" w14:textId="77777777" w:rsidTr="00070083">
        <w:tc>
          <w:tcPr>
            <w:tcW w:w="1890" w:type="dxa"/>
          </w:tcPr>
          <w:p w14:paraId="0D86EF81" w14:textId="77777777" w:rsidR="00A67620" w:rsidRPr="00A06953" w:rsidRDefault="00A67620" w:rsidP="003739DC">
            <w:pPr>
              <w:spacing w:line="240" w:lineRule="auto"/>
              <w:rPr>
                <w:szCs w:val="22"/>
              </w:rPr>
            </w:pPr>
            <w:r w:rsidRPr="00A06953">
              <w:rPr>
                <w:szCs w:val="22"/>
              </w:rPr>
              <w:t>B</w:t>
            </w:r>
            <w:r>
              <w:rPr>
                <w:szCs w:val="22"/>
              </w:rPr>
              <w:t>I</w:t>
            </w:r>
            <w:r w:rsidRPr="00A06953">
              <w:rPr>
                <w:szCs w:val="22"/>
              </w:rPr>
              <w:t>D</w:t>
            </w:r>
          </w:p>
        </w:tc>
        <w:tc>
          <w:tcPr>
            <w:tcW w:w="6830" w:type="dxa"/>
          </w:tcPr>
          <w:p w14:paraId="0C9EEEC0" w14:textId="085D925D" w:rsidR="00A67620" w:rsidRPr="00A06953" w:rsidRDefault="00D65DC7" w:rsidP="003739DC">
            <w:pPr>
              <w:spacing w:line="240" w:lineRule="auto"/>
              <w:rPr>
                <w:szCs w:val="22"/>
              </w:rPr>
            </w:pPr>
            <w:r>
              <w:rPr>
                <w:szCs w:val="22"/>
              </w:rPr>
              <w:t>T</w:t>
            </w:r>
            <w:r w:rsidR="00A67620" w:rsidRPr="00A06953">
              <w:rPr>
                <w:szCs w:val="22"/>
              </w:rPr>
              <w:t>wice daily</w:t>
            </w:r>
            <w:r>
              <w:rPr>
                <w:szCs w:val="22"/>
              </w:rPr>
              <w:t xml:space="preserve"> (</w:t>
            </w:r>
            <w:r w:rsidRPr="005446B6">
              <w:rPr>
                <w:i/>
              </w:rPr>
              <w:t>Latin</w:t>
            </w:r>
            <w:r>
              <w:rPr>
                <w:szCs w:val="22"/>
              </w:rPr>
              <w:t>: bis in die)</w:t>
            </w:r>
          </w:p>
        </w:tc>
      </w:tr>
      <w:tr w:rsidR="00A67620" w:rsidRPr="00FD119B" w14:paraId="4B5F465F" w14:textId="77777777" w:rsidTr="00070083">
        <w:tc>
          <w:tcPr>
            <w:tcW w:w="1890" w:type="dxa"/>
          </w:tcPr>
          <w:p w14:paraId="70A420DD" w14:textId="77777777" w:rsidR="00A67620" w:rsidRPr="00A06953" w:rsidRDefault="00A67620" w:rsidP="003739DC">
            <w:pPr>
              <w:spacing w:line="240" w:lineRule="auto"/>
              <w:rPr>
                <w:szCs w:val="22"/>
              </w:rPr>
            </w:pPr>
            <w:r>
              <w:rPr>
                <w:szCs w:val="22"/>
              </w:rPr>
              <w:t>BRCA</w:t>
            </w:r>
          </w:p>
        </w:tc>
        <w:tc>
          <w:tcPr>
            <w:tcW w:w="6830" w:type="dxa"/>
          </w:tcPr>
          <w:p w14:paraId="638DA0D0" w14:textId="77777777" w:rsidR="00A67620" w:rsidRPr="00A06953" w:rsidRDefault="00A67620" w:rsidP="003739DC">
            <w:pPr>
              <w:spacing w:line="240" w:lineRule="auto"/>
              <w:rPr>
                <w:szCs w:val="22"/>
              </w:rPr>
            </w:pPr>
            <w:r w:rsidRPr="00A06953">
              <w:rPr>
                <w:szCs w:val="22"/>
              </w:rPr>
              <w:t>Br</w:t>
            </w:r>
            <w:r>
              <w:rPr>
                <w:szCs w:val="22"/>
              </w:rPr>
              <w:t>east cancer susceptibility gene/protein</w:t>
            </w:r>
          </w:p>
        </w:tc>
      </w:tr>
      <w:tr w:rsidR="00A67620" w:rsidRPr="00FD119B" w14:paraId="775047D3" w14:textId="77777777" w:rsidTr="00070083">
        <w:tc>
          <w:tcPr>
            <w:tcW w:w="1890" w:type="dxa"/>
          </w:tcPr>
          <w:p w14:paraId="211B7930" w14:textId="77777777" w:rsidR="00A67620" w:rsidRPr="00A06953" w:rsidRDefault="00A67620" w:rsidP="003739DC">
            <w:pPr>
              <w:spacing w:line="240" w:lineRule="auto"/>
            </w:pPr>
            <w:r w:rsidRPr="00A10256">
              <w:t>BRIP1</w:t>
            </w:r>
          </w:p>
        </w:tc>
        <w:tc>
          <w:tcPr>
            <w:tcW w:w="6830" w:type="dxa"/>
          </w:tcPr>
          <w:p w14:paraId="3604F5A3" w14:textId="46E7C222" w:rsidR="00A67620" w:rsidRDefault="00A67620" w:rsidP="00423FB9">
            <w:pPr>
              <w:spacing w:line="240" w:lineRule="auto"/>
            </w:pPr>
            <w:r w:rsidRPr="00423FB9">
              <w:t xml:space="preserve">BRCA1 </w:t>
            </w:r>
            <w:r w:rsidR="004F04C3">
              <w:t>i</w:t>
            </w:r>
            <w:r w:rsidRPr="00423FB9">
              <w:t>nteracti</w:t>
            </w:r>
            <w:r>
              <w:t>ng</w:t>
            </w:r>
            <w:r w:rsidR="004F04C3">
              <w:t xml:space="preserve"> p</w:t>
            </w:r>
            <w:r>
              <w:t>rotein C-</w:t>
            </w:r>
            <w:r w:rsidR="004F04C3">
              <w:t>t</w:t>
            </w:r>
            <w:r>
              <w:t xml:space="preserve">erminal </w:t>
            </w:r>
            <w:r w:rsidR="004F04C3">
              <w:t>h</w:t>
            </w:r>
            <w:r>
              <w:t>elicase 1</w:t>
            </w:r>
          </w:p>
        </w:tc>
      </w:tr>
      <w:tr w:rsidR="00A67620" w:rsidRPr="00FD119B" w14:paraId="64B18322" w14:textId="77777777" w:rsidTr="00070083">
        <w:tc>
          <w:tcPr>
            <w:tcW w:w="1890" w:type="dxa"/>
          </w:tcPr>
          <w:p w14:paraId="5DE07325" w14:textId="77777777" w:rsidR="00A67620" w:rsidRPr="00A06953" w:rsidRDefault="00A67620" w:rsidP="003739DC">
            <w:pPr>
              <w:spacing w:line="240" w:lineRule="auto"/>
              <w:rPr>
                <w:szCs w:val="22"/>
              </w:rPr>
            </w:pPr>
            <w:r w:rsidRPr="00A06953">
              <w:rPr>
                <w:szCs w:val="22"/>
              </w:rPr>
              <w:t>CA-125</w:t>
            </w:r>
          </w:p>
        </w:tc>
        <w:tc>
          <w:tcPr>
            <w:tcW w:w="6830" w:type="dxa"/>
          </w:tcPr>
          <w:p w14:paraId="06AE3846" w14:textId="77777777" w:rsidR="00A67620" w:rsidRPr="00A06953" w:rsidRDefault="00A67620" w:rsidP="003739DC">
            <w:pPr>
              <w:spacing w:line="240" w:lineRule="auto"/>
              <w:rPr>
                <w:szCs w:val="22"/>
              </w:rPr>
            </w:pPr>
            <w:r w:rsidRPr="00A06953">
              <w:rPr>
                <w:szCs w:val="22"/>
              </w:rPr>
              <w:t>Cancer antigen-125</w:t>
            </w:r>
          </w:p>
        </w:tc>
      </w:tr>
      <w:tr w:rsidR="001E1FDB" w:rsidRPr="00FD119B" w14:paraId="39DE0885" w14:textId="77777777" w:rsidTr="00070083">
        <w:tc>
          <w:tcPr>
            <w:tcW w:w="1890" w:type="dxa"/>
          </w:tcPr>
          <w:p w14:paraId="0900A7EA" w14:textId="77777777" w:rsidR="001E1FDB" w:rsidRPr="00A06953" w:rsidRDefault="001E1FDB" w:rsidP="003739DC">
            <w:pPr>
              <w:spacing w:line="240" w:lineRule="auto"/>
            </w:pPr>
            <w:r w:rsidRPr="001E1FDB">
              <w:t>CHMP</w:t>
            </w:r>
          </w:p>
        </w:tc>
        <w:tc>
          <w:tcPr>
            <w:tcW w:w="6830" w:type="dxa"/>
          </w:tcPr>
          <w:p w14:paraId="79367972" w14:textId="1CD011BA" w:rsidR="001E1FDB" w:rsidRPr="00A06953" w:rsidRDefault="001E1FDB" w:rsidP="001E1FDB">
            <w:pPr>
              <w:spacing w:line="240" w:lineRule="auto"/>
            </w:pPr>
            <w:r w:rsidRPr="001E1FDB">
              <w:t>Committee for Me</w:t>
            </w:r>
            <w:r>
              <w:t>dicinal Products for Human Use</w:t>
            </w:r>
            <w:r w:rsidR="004F04C3">
              <w:t xml:space="preserve"> (EU)</w:t>
            </w:r>
          </w:p>
        </w:tc>
      </w:tr>
      <w:tr w:rsidR="00A67620" w:rsidRPr="00FD119B" w14:paraId="29F684E7" w14:textId="77777777" w:rsidTr="00070083">
        <w:tc>
          <w:tcPr>
            <w:tcW w:w="1890" w:type="dxa"/>
          </w:tcPr>
          <w:p w14:paraId="15F9A4C5" w14:textId="77777777" w:rsidR="00A67620" w:rsidRPr="00A06953" w:rsidRDefault="00A67620" w:rsidP="003739DC">
            <w:pPr>
              <w:spacing w:line="240" w:lineRule="auto"/>
              <w:rPr>
                <w:szCs w:val="22"/>
              </w:rPr>
            </w:pPr>
            <w:r>
              <w:rPr>
                <w:szCs w:val="22"/>
              </w:rPr>
              <w:t>CI</w:t>
            </w:r>
          </w:p>
        </w:tc>
        <w:tc>
          <w:tcPr>
            <w:tcW w:w="6830" w:type="dxa"/>
          </w:tcPr>
          <w:p w14:paraId="2532D3DD" w14:textId="77777777" w:rsidR="00A67620" w:rsidRPr="00A06953" w:rsidRDefault="00A67620" w:rsidP="003739DC">
            <w:pPr>
              <w:spacing w:line="240" w:lineRule="auto"/>
              <w:rPr>
                <w:szCs w:val="22"/>
              </w:rPr>
            </w:pPr>
            <w:r w:rsidRPr="00A06953">
              <w:rPr>
                <w:szCs w:val="22"/>
              </w:rPr>
              <w:t>Confidence interval</w:t>
            </w:r>
          </w:p>
        </w:tc>
      </w:tr>
      <w:tr w:rsidR="00A67620" w:rsidRPr="00FD119B" w14:paraId="7959B054" w14:textId="77777777" w:rsidTr="00070083">
        <w:tc>
          <w:tcPr>
            <w:tcW w:w="1890" w:type="dxa"/>
          </w:tcPr>
          <w:p w14:paraId="71554D8F" w14:textId="77777777" w:rsidR="00A67620" w:rsidRPr="00A06953" w:rsidRDefault="00A67620" w:rsidP="003739DC">
            <w:pPr>
              <w:spacing w:line="240" w:lineRule="auto"/>
              <w:rPr>
                <w:szCs w:val="22"/>
              </w:rPr>
            </w:pPr>
            <w:r w:rsidRPr="00A06953">
              <w:rPr>
                <w:szCs w:val="22"/>
              </w:rPr>
              <w:t>CL/F</w:t>
            </w:r>
          </w:p>
        </w:tc>
        <w:tc>
          <w:tcPr>
            <w:tcW w:w="6830" w:type="dxa"/>
          </w:tcPr>
          <w:p w14:paraId="708D5744" w14:textId="77777777" w:rsidR="00A67620" w:rsidRPr="00A06953" w:rsidRDefault="00A67620" w:rsidP="003739DC">
            <w:pPr>
              <w:spacing w:line="240" w:lineRule="auto"/>
              <w:rPr>
                <w:szCs w:val="22"/>
              </w:rPr>
            </w:pPr>
            <w:r w:rsidRPr="00A06953">
              <w:rPr>
                <w:szCs w:val="22"/>
              </w:rPr>
              <w:t>Apparent plasma clearance</w:t>
            </w:r>
          </w:p>
        </w:tc>
      </w:tr>
      <w:tr w:rsidR="00A67620" w:rsidRPr="00FD119B" w14:paraId="7D097646" w14:textId="77777777" w:rsidTr="00070083">
        <w:tc>
          <w:tcPr>
            <w:tcW w:w="1890" w:type="dxa"/>
          </w:tcPr>
          <w:p w14:paraId="00CE84A0" w14:textId="77777777" w:rsidR="00A67620" w:rsidRPr="00A06953" w:rsidRDefault="00A67620" w:rsidP="003739DC">
            <w:pPr>
              <w:spacing w:line="240" w:lineRule="auto"/>
              <w:rPr>
                <w:szCs w:val="22"/>
              </w:rPr>
            </w:pPr>
            <w:r w:rsidRPr="00A06953">
              <w:rPr>
                <w:szCs w:val="22"/>
              </w:rPr>
              <w:t>C</w:t>
            </w:r>
            <w:r w:rsidRPr="00A06953">
              <w:rPr>
                <w:szCs w:val="22"/>
                <w:vertAlign w:val="subscript"/>
              </w:rPr>
              <w:t>max</w:t>
            </w:r>
          </w:p>
        </w:tc>
        <w:tc>
          <w:tcPr>
            <w:tcW w:w="6830" w:type="dxa"/>
          </w:tcPr>
          <w:p w14:paraId="0DC29637" w14:textId="77777777" w:rsidR="00A67620" w:rsidRPr="00A06953" w:rsidRDefault="00A67620" w:rsidP="003739DC">
            <w:pPr>
              <w:spacing w:line="240" w:lineRule="auto"/>
              <w:rPr>
                <w:szCs w:val="22"/>
              </w:rPr>
            </w:pPr>
            <w:r w:rsidRPr="00A06953">
              <w:rPr>
                <w:szCs w:val="22"/>
              </w:rPr>
              <w:t>Maximum observed plasma concentration of a therapeutic drug</w:t>
            </w:r>
          </w:p>
        </w:tc>
      </w:tr>
      <w:tr w:rsidR="00A67620" w:rsidRPr="00FD119B" w14:paraId="4B3C216F" w14:textId="77777777" w:rsidTr="00070083">
        <w:tc>
          <w:tcPr>
            <w:tcW w:w="1890" w:type="dxa"/>
          </w:tcPr>
          <w:p w14:paraId="6F0B4CE8" w14:textId="77777777" w:rsidR="00A67620" w:rsidRPr="00A06953" w:rsidRDefault="00A67620" w:rsidP="003739DC">
            <w:pPr>
              <w:spacing w:line="240" w:lineRule="auto"/>
              <w:rPr>
                <w:szCs w:val="22"/>
              </w:rPr>
            </w:pPr>
            <w:r w:rsidRPr="00A06953">
              <w:rPr>
                <w:szCs w:val="22"/>
              </w:rPr>
              <w:t>C</w:t>
            </w:r>
            <w:r w:rsidRPr="00A06953">
              <w:rPr>
                <w:szCs w:val="22"/>
                <w:vertAlign w:val="subscript"/>
              </w:rPr>
              <w:t>max,ss</w:t>
            </w:r>
          </w:p>
        </w:tc>
        <w:tc>
          <w:tcPr>
            <w:tcW w:w="6830" w:type="dxa"/>
          </w:tcPr>
          <w:p w14:paraId="1F92510D" w14:textId="77777777" w:rsidR="00A67620" w:rsidRPr="00A06953" w:rsidRDefault="00A67620" w:rsidP="003739DC">
            <w:pPr>
              <w:spacing w:line="240" w:lineRule="auto"/>
              <w:rPr>
                <w:szCs w:val="22"/>
              </w:rPr>
            </w:pPr>
            <w:r w:rsidRPr="00A06953">
              <w:rPr>
                <w:szCs w:val="22"/>
              </w:rPr>
              <w:t>Maximum plasma concentration of a therapeutic drug at steady state</w:t>
            </w:r>
          </w:p>
        </w:tc>
      </w:tr>
      <w:tr w:rsidR="00A67620" w:rsidRPr="00FD119B" w14:paraId="6705FA1F" w14:textId="77777777" w:rsidTr="00070083">
        <w:tc>
          <w:tcPr>
            <w:tcW w:w="1890" w:type="dxa"/>
          </w:tcPr>
          <w:p w14:paraId="5CDB84A0" w14:textId="77777777" w:rsidR="00A67620" w:rsidRPr="00A06953" w:rsidRDefault="00A67620" w:rsidP="003739DC">
            <w:pPr>
              <w:spacing w:line="240" w:lineRule="auto"/>
            </w:pPr>
            <w:r>
              <w:rPr>
                <w:lang w:eastAsia="ja-JP"/>
              </w:rPr>
              <w:t>CMI</w:t>
            </w:r>
          </w:p>
        </w:tc>
        <w:tc>
          <w:tcPr>
            <w:tcW w:w="6830" w:type="dxa"/>
          </w:tcPr>
          <w:p w14:paraId="6C7BDE24" w14:textId="77777777" w:rsidR="00A67620" w:rsidRPr="00A06953" w:rsidRDefault="00A67620" w:rsidP="006A2E98">
            <w:pPr>
              <w:spacing w:line="240" w:lineRule="auto"/>
            </w:pPr>
            <w:r>
              <w:rPr>
                <w:lang w:eastAsia="ja-JP"/>
              </w:rPr>
              <w:t>Consumer Medicines Information</w:t>
            </w:r>
          </w:p>
        </w:tc>
      </w:tr>
      <w:tr w:rsidR="00A67620" w:rsidRPr="00FD119B" w14:paraId="27BCC982" w14:textId="77777777" w:rsidTr="00070083">
        <w:tc>
          <w:tcPr>
            <w:tcW w:w="1890" w:type="dxa"/>
          </w:tcPr>
          <w:p w14:paraId="6B595897" w14:textId="77777777" w:rsidR="00A67620" w:rsidRPr="00A06953" w:rsidRDefault="00A67620" w:rsidP="003739DC">
            <w:pPr>
              <w:spacing w:line="240" w:lineRule="auto"/>
              <w:rPr>
                <w:szCs w:val="22"/>
              </w:rPr>
            </w:pPr>
            <w:r w:rsidRPr="00A06953">
              <w:rPr>
                <w:szCs w:val="22"/>
              </w:rPr>
              <w:lastRenderedPageBreak/>
              <w:t>C</w:t>
            </w:r>
            <w:r w:rsidRPr="00A06953">
              <w:rPr>
                <w:szCs w:val="22"/>
                <w:vertAlign w:val="subscript"/>
              </w:rPr>
              <w:t>min</w:t>
            </w:r>
          </w:p>
        </w:tc>
        <w:tc>
          <w:tcPr>
            <w:tcW w:w="6830" w:type="dxa"/>
          </w:tcPr>
          <w:p w14:paraId="5DA8972F" w14:textId="77777777" w:rsidR="00A67620" w:rsidRPr="00A06953" w:rsidRDefault="00A67620" w:rsidP="003739DC">
            <w:pPr>
              <w:spacing w:line="240" w:lineRule="auto"/>
              <w:rPr>
                <w:szCs w:val="22"/>
              </w:rPr>
            </w:pPr>
            <w:r w:rsidRPr="00A06953">
              <w:rPr>
                <w:szCs w:val="22"/>
              </w:rPr>
              <w:t>Minimum observed plasma concentration of a therapeutic drug</w:t>
            </w:r>
          </w:p>
        </w:tc>
      </w:tr>
      <w:tr w:rsidR="00A67620" w:rsidRPr="00FD119B" w14:paraId="5ED1E51F" w14:textId="77777777" w:rsidTr="00070083">
        <w:tc>
          <w:tcPr>
            <w:tcW w:w="1890" w:type="dxa"/>
          </w:tcPr>
          <w:p w14:paraId="108B3521" w14:textId="77777777" w:rsidR="00A67620" w:rsidRPr="00A06953" w:rsidRDefault="00A67620" w:rsidP="003739DC">
            <w:pPr>
              <w:spacing w:line="240" w:lineRule="auto"/>
              <w:rPr>
                <w:szCs w:val="22"/>
              </w:rPr>
            </w:pPr>
            <w:r w:rsidRPr="00A06953">
              <w:rPr>
                <w:szCs w:val="22"/>
              </w:rPr>
              <w:t>C</w:t>
            </w:r>
            <w:r w:rsidRPr="00A06953">
              <w:rPr>
                <w:szCs w:val="22"/>
                <w:vertAlign w:val="subscript"/>
              </w:rPr>
              <w:t>min,ss</w:t>
            </w:r>
          </w:p>
        </w:tc>
        <w:tc>
          <w:tcPr>
            <w:tcW w:w="6830" w:type="dxa"/>
          </w:tcPr>
          <w:p w14:paraId="4781EF9B" w14:textId="77777777" w:rsidR="00A67620" w:rsidRPr="00A06953" w:rsidRDefault="00A67620" w:rsidP="003739DC">
            <w:pPr>
              <w:spacing w:line="240" w:lineRule="auto"/>
              <w:rPr>
                <w:szCs w:val="22"/>
              </w:rPr>
            </w:pPr>
            <w:r w:rsidRPr="00A06953">
              <w:rPr>
                <w:szCs w:val="22"/>
              </w:rPr>
              <w:t>Minimum plasma concentration of a therapeutic drug at steady state</w:t>
            </w:r>
          </w:p>
        </w:tc>
      </w:tr>
      <w:tr w:rsidR="00A67620" w:rsidRPr="00FD119B" w14:paraId="2021F9DF" w14:textId="77777777" w:rsidTr="00070083">
        <w:tc>
          <w:tcPr>
            <w:tcW w:w="1890" w:type="dxa"/>
          </w:tcPr>
          <w:p w14:paraId="354FD1F8" w14:textId="77777777" w:rsidR="00A67620" w:rsidRPr="00A06953" w:rsidRDefault="00A67620" w:rsidP="003739DC">
            <w:pPr>
              <w:spacing w:line="240" w:lineRule="auto"/>
              <w:rPr>
                <w:szCs w:val="22"/>
              </w:rPr>
            </w:pPr>
            <w:r w:rsidRPr="00A06953">
              <w:rPr>
                <w:szCs w:val="22"/>
              </w:rPr>
              <w:t>CT</w:t>
            </w:r>
          </w:p>
        </w:tc>
        <w:tc>
          <w:tcPr>
            <w:tcW w:w="6830" w:type="dxa"/>
          </w:tcPr>
          <w:p w14:paraId="5236ECA9" w14:textId="77777777" w:rsidR="00A67620" w:rsidRPr="00A06953" w:rsidRDefault="00A67620" w:rsidP="003739DC">
            <w:pPr>
              <w:spacing w:line="240" w:lineRule="auto"/>
              <w:rPr>
                <w:szCs w:val="22"/>
              </w:rPr>
            </w:pPr>
            <w:r w:rsidRPr="00A06953">
              <w:rPr>
                <w:szCs w:val="22"/>
              </w:rPr>
              <w:t>Computed tomography</w:t>
            </w:r>
          </w:p>
        </w:tc>
      </w:tr>
      <w:tr w:rsidR="00A67620" w:rsidRPr="00FD119B" w14:paraId="5DAF36C9" w14:textId="77777777" w:rsidTr="00070083">
        <w:tc>
          <w:tcPr>
            <w:tcW w:w="1890" w:type="dxa"/>
          </w:tcPr>
          <w:p w14:paraId="527B97C2" w14:textId="77777777" w:rsidR="00A67620" w:rsidRPr="00A06953" w:rsidRDefault="00A67620" w:rsidP="003739DC">
            <w:pPr>
              <w:spacing w:line="240" w:lineRule="auto"/>
              <w:rPr>
                <w:szCs w:val="22"/>
              </w:rPr>
            </w:pPr>
            <w:r w:rsidRPr="00A06953">
              <w:rPr>
                <w:szCs w:val="22"/>
              </w:rPr>
              <w:t>CTCAE</w:t>
            </w:r>
          </w:p>
        </w:tc>
        <w:tc>
          <w:tcPr>
            <w:tcW w:w="6830" w:type="dxa"/>
          </w:tcPr>
          <w:p w14:paraId="6A79CCB5" w14:textId="77777777" w:rsidR="00A67620" w:rsidRPr="00A06953" w:rsidRDefault="00A67620" w:rsidP="003739DC">
            <w:pPr>
              <w:spacing w:line="240" w:lineRule="auto"/>
              <w:rPr>
                <w:szCs w:val="22"/>
              </w:rPr>
            </w:pPr>
            <w:r w:rsidRPr="00A06953">
              <w:rPr>
                <w:szCs w:val="22"/>
              </w:rPr>
              <w:t>Common terminology criteria for adverse events</w:t>
            </w:r>
          </w:p>
        </w:tc>
      </w:tr>
      <w:tr w:rsidR="00A67620" w:rsidRPr="00FD119B" w14:paraId="14CE3166" w14:textId="77777777" w:rsidTr="00070083">
        <w:tc>
          <w:tcPr>
            <w:tcW w:w="1890" w:type="dxa"/>
          </w:tcPr>
          <w:p w14:paraId="25D5A09A" w14:textId="77777777" w:rsidR="00A67620" w:rsidRPr="00A06953" w:rsidRDefault="00A67620" w:rsidP="003739DC">
            <w:pPr>
              <w:spacing w:line="240" w:lineRule="auto"/>
              <w:rPr>
                <w:szCs w:val="22"/>
              </w:rPr>
            </w:pPr>
            <w:r w:rsidRPr="00A06953">
              <w:rPr>
                <w:szCs w:val="22"/>
              </w:rPr>
              <w:t xml:space="preserve">CYP </w:t>
            </w:r>
          </w:p>
        </w:tc>
        <w:tc>
          <w:tcPr>
            <w:tcW w:w="6830" w:type="dxa"/>
          </w:tcPr>
          <w:p w14:paraId="0F7EF6C9" w14:textId="77777777" w:rsidR="00A67620" w:rsidRPr="00A06953" w:rsidRDefault="00A67620" w:rsidP="003739DC">
            <w:pPr>
              <w:spacing w:line="240" w:lineRule="auto"/>
              <w:rPr>
                <w:szCs w:val="22"/>
              </w:rPr>
            </w:pPr>
            <w:r w:rsidRPr="00A06953">
              <w:rPr>
                <w:szCs w:val="22"/>
              </w:rPr>
              <w:t>Cytochrome oxidase P450</w:t>
            </w:r>
          </w:p>
        </w:tc>
      </w:tr>
      <w:tr w:rsidR="00A67620" w:rsidRPr="00FD119B" w14:paraId="68582883" w14:textId="77777777" w:rsidTr="00070083">
        <w:tc>
          <w:tcPr>
            <w:tcW w:w="1890" w:type="dxa"/>
          </w:tcPr>
          <w:p w14:paraId="4549C842" w14:textId="77777777" w:rsidR="00A67620" w:rsidRPr="00A06953" w:rsidRDefault="00A67620" w:rsidP="003739DC">
            <w:pPr>
              <w:spacing w:line="240" w:lineRule="auto"/>
              <w:rPr>
                <w:szCs w:val="22"/>
              </w:rPr>
            </w:pPr>
            <w:r>
              <w:rPr>
                <w:szCs w:val="22"/>
              </w:rPr>
              <w:t>DDI</w:t>
            </w:r>
          </w:p>
        </w:tc>
        <w:tc>
          <w:tcPr>
            <w:tcW w:w="6830" w:type="dxa"/>
          </w:tcPr>
          <w:p w14:paraId="3A945A47" w14:textId="77777777" w:rsidR="00A67620" w:rsidRPr="00A06953" w:rsidRDefault="00A67620" w:rsidP="003739DC">
            <w:pPr>
              <w:spacing w:line="240" w:lineRule="auto"/>
              <w:rPr>
                <w:szCs w:val="22"/>
              </w:rPr>
            </w:pPr>
            <w:r w:rsidRPr="00A06953">
              <w:rPr>
                <w:szCs w:val="22"/>
              </w:rPr>
              <w:t>Drug-drug interaction</w:t>
            </w:r>
          </w:p>
        </w:tc>
      </w:tr>
      <w:tr w:rsidR="00A67620" w:rsidRPr="00FD119B" w14:paraId="6650F680" w14:textId="77777777" w:rsidTr="00070083">
        <w:tc>
          <w:tcPr>
            <w:tcW w:w="1890" w:type="dxa"/>
          </w:tcPr>
          <w:p w14:paraId="191717D0" w14:textId="77777777" w:rsidR="00A67620" w:rsidRDefault="00A67620" w:rsidP="003739DC">
            <w:pPr>
              <w:spacing w:line="240" w:lineRule="auto"/>
            </w:pPr>
            <w:r>
              <w:t>DFS</w:t>
            </w:r>
          </w:p>
        </w:tc>
        <w:tc>
          <w:tcPr>
            <w:tcW w:w="6830" w:type="dxa"/>
          </w:tcPr>
          <w:p w14:paraId="25F94175" w14:textId="77777777" w:rsidR="00A67620" w:rsidRPr="00A06953" w:rsidRDefault="00A67620" w:rsidP="00A221EC">
            <w:pPr>
              <w:spacing w:line="240" w:lineRule="auto"/>
            </w:pPr>
            <w:r>
              <w:t xml:space="preserve">Disease </w:t>
            </w:r>
            <w:r w:rsidRPr="00B73E06">
              <w:t>free surviva</w:t>
            </w:r>
            <w:r>
              <w:t>l</w:t>
            </w:r>
          </w:p>
        </w:tc>
      </w:tr>
      <w:tr w:rsidR="00A67620" w:rsidRPr="00FD119B" w14:paraId="2D9A0065" w14:textId="77777777" w:rsidTr="00070083">
        <w:tc>
          <w:tcPr>
            <w:tcW w:w="1890" w:type="dxa"/>
          </w:tcPr>
          <w:p w14:paraId="4B0D73E7" w14:textId="77777777" w:rsidR="00A67620" w:rsidRDefault="00A67620" w:rsidP="003739DC">
            <w:pPr>
              <w:spacing w:line="240" w:lineRule="auto"/>
            </w:pPr>
            <w:r w:rsidRPr="007962C1">
              <w:t>DoR</w:t>
            </w:r>
          </w:p>
        </w:tc>
        <w:tc>
          <w:tcPr>
            <w:tcW w:w="6830" w:type="dxa"/>
          </w:tcPr>
          <w:p w14:paraId="5E2431DE" w14:textId="77777777" w:rsidR="00A67620" w:rsidRPr="00A06953" w:rsidRDefault="00A67620" w:rsidP="007962C1">
            <w:pPr>
              <w:spacing w:line="240" w:lineRule="auto"/>
            </w:pPr>
            <w:r>
              <w:t>Duration of response</w:t>
            </w:r>
          </w:p>
        </w:tc>
      </w:tr>
      <w:tr w:rsidR="00A67620" w:rsidRPr="00FD119B" w14:paraId="065AE59E" w14:textId="77777777" w:rsidTr="00070083">
        <w:tc>
          <w:tcPr>
            <w:tcW w:w="1890" w:type="dxa"/>
          </w:tcPr>
          <w:p w14:paraId="080DE801" w14:textId="77777777" w:rsidR="00A67620" w:rsidRPr="00A06953" w:rsidRDefault="00A67620" w:rsidP="003739DC">
            <w:pPr>
              <w:spacing w:line="240" w:lineRule="auto"/>
              <w:rPr>
                <w:szCs w:val="22"/>
              </w:rPr>
            </w:pPr>
            <w:r w:rsidRPr="00A06953">
              <w:rPr>
                <w:szCs w:val="22"/>
              </w:rPr>
              <w:t>EC</w:t>
            </w:r>
            <w:r w:rsidRPr="00A06953">
              <w:rPr>
                <w:szCs w:val="22"/>
                <w:vertAlign w:val="subscript"/>
              </w:rPr>
              <w:t>50</w:t>
            </w:r>
          </w:p>
        </w:tc>
        <w:tc>
          <w:tcPr>
            <w:tcW w:w="6830" w:type="dxa"/>
          </w:tcPr>
          <w:p w14:paraId="188A2284" w14:textId="77777777" w:rsidR="00A67620" w:rsidRPr="00A06953" w:rsidRDefault="00A67620" w:rsidP="003739DC">
            <w:pPr>
              <w:spacing w:line="240" w:lineRule="auto"/>
              <w:rPr>
                <w:szCs w:val="22"/>
              </w:rPr>
            </w:pPr>
            <w:r w:rsidRPr="00A06953">
              <w:rPr>
                <w:szCs w:val="22"/>
              </w:rPr>
              <w:t>Concentration which causes 50% maximum induction</w:t>
            </w:r>
          </w:p>
        </w:tc>
      </w:tr>
      <w:tr w:rsidR="00A67620" w:rsidRPr="00FD119B" w14:paraId="46BF028C" w14:textId="77777777" w:rsidTr="00070083">
        <w:tc>
          <w:tcPr>
            <w:tcW w:w="1890" w:type="dxa"/>
          </w:tcPr>
          <w:p w14:paraId="682792B2" w14:textId="77777777" w:rsidR="00A67620" w:rsidRPr="00A06953" w:rsidRDefault="00A67620" w:rsidP="003739DC">
            <w:pPr>
              <w:spacing w:line="240" w:lineRule="auto"/>
              <w:rPr>
                <w:szCs w:val="22"/>
              </w:rPr>
            </w:pPr>
            <w:r w:rsidRPr="00A06953">
              <w:rPr>
                <w:szCs w:val="22"/>
              </w:rPr>
              <w:t>ECG</w:t>
            </w:r>
          </w:p>
        </w:tc>
        <w:tc>
          <w:tcPr>
            <w:tcW w:w="6830" w:type="dxa"/>
          </w:tcPr>
          <w:p w14:paraId="5133AEA0" w14:textId="77777777" w:rsidR="00A67620" w:rsidRPr="00A06953" w:rsidRDefault="00A67620" w:rsidP="003739DC">
            <w:pPr>
              <w:spacing w:line="240" w:lineRule="auto"/>
              <w:rPr>
                <w:szCs w:val="22"/>
              </w:rPr>
            </w:pPr>
            <w:r w:rsidRPr="00A06953">
              <w:rPr>
                <w:szCs w:val="22"/>
              </w:rPr>
              <w:t>Electrocardiogram</w:t>
            </w:r>
          </w:p>
        </w:tc>
      </w:tr>
      <w:tr w:rsidR="00A67620" w:rsidRPr="00FD119B" w14:paraId="7BC36159" w14:textId="77777777" w:rsidTr="00070083">
        <w:tc>
          <w:tcPr>
            <w:tcW w:w="1890" w:type="dxa"/>
          </w:tcPr>
          <w:p w14:paraId="28D18735" w14:textId="77777777" w:rsidR="00A67620" w:rsidRPr="00A06953" w:rsidRDefault="00A67620" w:rsidP="003739DC">
            <w:pPr>
              <w:spacing w:line="240" w:lineRule="auto"/>
              <w:rPr>
                <w:szCs w:val="22"/>
              </w:rPr>
            </w:pPr>
            <w:r w:rsidRPr="00A06953">
              <w:rPr>
                <w:szCs w:val="22"/>
              </w:rPr>
              <w:t>ECOG</w:t>
            </w:r>
          </w:p>
        </w:tc>
        <w:tc>
          <w:tcPr>
            <w:tcW w:w="6830" w:type="dxa"/>
          </w:tcPr>
          <w:p w14:paraId="093CC7A3" w14:textId="77777777" w:rsidR="00A67620" w:rsidRPr="00A06953" w:rsidRDefault="00A67620" w:rsidP="003739DC">
            <w:pPr>
              <w:spacing w:line="240" w:lineRule="auto"/>
              <w:rPr>
                <w:szCs w:val="22"/>
              </w:rPr>
            </w:pPr>
            <w:r w:rsidRPr="00A06953">
              <w:rPr>
                <w:szCs w:val="22"/>
              </w:rPr>
              <w:t>Eastern Cooperative Oncology Group</w:t>
            </w:r>
          </w:p>
        </w:tc>
      </w:tr>
      <w:tr w:rsidR="00A67620" w:rsidRPr="00FD119B" w14:paraId="34E06214" w14:textId="77777777" w:rsidTr="00070083">
        <w:tc>
          <w:tcPr>
            <w:tcW w:w="1890" w:type="dxa"/>
          </w:tcPr>
          <w:p w14:paraId="117A88D3" w14:textId="77777777" w:rsidR="00A67620" w:rsidRPr="00A06953" w:rsidRDefault="00A67620" w:rsidP="003739DC">
            <w:pPr>
              <w:spacing w:line="240" w:lineRule="auto"/>
            </w:pPr>
            <w:r>
              <w:rPr>
                <w:lang w:eastAsia="ja-JP"/>
              </w:rPr>
              <w:t>eCRF</w:t>
            </w:r>
          </w:p>
        </w:tc>
        <w:tc>
          <w:tcPr>
            <w:tcW w:w="6830" w:type="dxa"/>
          </w:tcPr>
          <w:p w14:paraId="24DFB2F0" w14:textId="77777777" w:rsidR="00A67620" w:rsidRPr="00A06953" w:rsidRDefault="00A67620" w:rsidP="00842450">
            <w:pPr>
              <w:spacing w:line="240" w:lineRule="auto"/>
            </w:pPr>
            <w:r>
              <w:rPr>
                <w:lang w:eastAsia="ja-JP"/>
              </w:rPr>
              <w:t>Electronic case report forms</w:t>
            </w:r>
          </w:p>
        </w:tc>
      </w:tr>
      <w:tr w:rsidR="00A67620" w:rsidRPr="00FD119B" w14:paraId="2F2DC738" w14:textId="77777777" w:rsidTr="00070083">
        <w:tc>
          <w:tcPr>
            <w:tcW w:w="1890" w:type="dxa"/>
          </w:tcPr>
          <w:p w14:paraId="1F1F5848" w14:textId="77777777" w:rsidR="00A67620" w:rsidRPr="00A06953" w:rsidRDefault="00A67620" w:rsidP="003739DC">
            <w:pPr>
              <w:spacing w:line="240" w:lineRule="auto"/>
              <w:rPr>
                <w:szCs w:val="22"/>
              </w:rPr>
            </w:pPr>
            <w:r w:rsidRPr="00A06953">
              <w:rPr>
                <w:szCs w:val="22"/>
              </w:rPr>
              <w:t>EMA</w:t>
            </w:r>
          </w:p>
        </w:tc>
        <w:tc>
          <w:tcPr>
            <w:tcW w:w="6830" w:type="dxa"/>
          </w:tcPr>
          <w:p w14:paraId="108A92C8" w14:textId="7544C0CB" w:rsidR="00A67620" w:rsidRPr="00A06953" w:rsidRDefault="00A67620" w:rsidP="003739DC">
            <w:pPr>
              <w:spacing w:line="240" w:lineRule="auto"/>
              <w:rPr>
                <w:szCs w:val="22"/>
              </w:rPr>
            </w:pPr>
            <w:r w:rsidRPr="00A06953">
              <w:rPr>
                <w:szCs w:val="22"/>
              </w:rPr>
              <w:t>European Medicines Agency</w:t>
            </w:r>
            <w:r w:rsidR="004F04C3">
              <w:rPr>
                <w:szCs w:val="22"/>
              </w:rPr>
              <w:t xml:space="preserve"> (EU)</w:t>
            </w:r>
          </w:p>
        </w:tc>
      </w:tr>
      <w:tr w:rsidR="00A67620" w:rsidRPr="00FD119B" w14:paraId="1E59C87F" w14:textId="77777777" w:rsidTr="00070083">
        <w:tc>
          <w:tcPr>
            <w:tcW w:w="1890" w:type="dxa"/>
          </w:tcPr>
          <w:p w14:paraId="0A406A8A" w14:textId="77777777" w:rsidR="00A67620" w:rsidRPr="00A06953" w:rsidRDefault="00A67620" w:rsidP="003739DC">
            <w:pPr>
              <w:spacing w:line="240" w:lineRule="auto"/>
            </w:pPr>
            <w:r>
              <w:t>E</w:t>
            </w:r>
            <w:r w:rsidRPr="006348FE">
              <w:rPr>
                <w:vertAlign w:val="subscript"/>
              </w:rPr>
              <w:t>max</w:t>
            </w:r>
          </w:p>
        </w:tc>
        <w:tc>
          <w:tcPr>
            <w:tcW w:w="6830" w:type="dxa"/>
          </w:tcPr>
          <w:p w14:paraId="6443F6A3" w14:textId="77777777" w:rsidR="00A67620" w:rsidRPr="00A06953" w:rsidRDefault="00A67620" w:rsidP="006348FE">
            <w:pPr>
              <w:spacing w:line="240" w:lineRule="auto"/>
            </w:pPr>
            <w:r>
              <w:t>Maximum induction</w:t>
            </w:r>
          </w:p>
        </w:tc>
      </w:tr>
      <w:tr w:rsidR="00A67620" w:rsidRPr="00FD119B" w14:paraId="416A94EF" w14:textId="77777777" w:rsidTr="00070083">
        <w:tc>
          <w:tcPr>
            <w:tcW w:w="1890" w:type="dxa"/>
          </w:tcPr>
          <w:p w14:paraId="756D7E95" w14:textId="77777777" w:rsidR="00A67620" w:rsidRPr="00A06953" w:rsidRDefault="00A67620" w:rsidP="003739DC">
            <w:pPr>
              <w:spacing w:line="240" w:lineRule="auto"/>
              <w:rPr>
                <w:szCs w:val="22"/>
              </w:rPr>
            </w:pPr>
            <w:r w:rsidRPr="00A06953">
              <w:rPr>
                <w:szCs w:val="22"/>
              </w:rPr>
              <w:t>ENGOT</w:t>
            </w:r>
          </w:p>
        </w:tc>
        <w:tc>
          <w:tcPr>
            <w:tcW w:w="6830" w:type="dxa"/>
          </w:tcPr>
          <w:p w14:paraId="049E2127" w14:textId="77777777" w:rsidR="00A67620" w:rsidRPr="00A06953" w:rsidRDefault="00A67620" w:rsidP="003739DC">
            <w:pPr>
              <w:spacing w:line="240" w:lineRule="auto"/>
              <w:rPr>
                <w:szCs w:val="22"/>
              </w:rPr>
            </w:pPr>
            <w:r w:rsidRPr="00A06953">
              <w:rPr>
                <w:szCs w:val="22"/>
              </w:rPr>
              <w:t>European Network of Gynaecological Oncological Trial Groups</w:t>
            </w:r>
          </w:p>
        </w:tc>
      </w:tr>
      <w:tr w:rsidR="004F04C3" w:rsidRPr="00FD119B" w14:paraId="209F0AF7" w14:textId="77777777" w:rsidTr="00070083">
        <w:tc>
          <w:tcPr>
            <w:tcW w:w="1890" w:type="dxa"/>
          </w:tcPr>
          <w:p w14:paraId="7082562F" w14:textId="107463A0" w:rsidR="004F04C3" w:rsidRPr="00A06953" w:rsidRDefault="004F04C3" w:rsidP="003739DC">
            <w:pPr>
              <w:spacing w:line="240" w:lineRule="auto"/>
            </w:pPr>
            <w:r>
              <w:t>EU</w:t>
            </w:r>
          </w:p>
        </w:tc>
        <w:tc>
          <w:tcPr>
            <w:tcW w:w="6830" w:type="dxa"/>
          </w:tcPr>
          <w:p w14:paraId="53312D2D" w14:textId="387823E4" w:rsidR="004F04C3" w:rsidRPr="00A06953" w:rsidRDefault="004F04C3" w:rsidP="003739DC">
            <w:pPr>
              <w:spacing w:line="240" w:lineRule="auto"/>
            </w:pPr>
            <w:r>
              <w:t>European Union</w:t>
            </w:r>
          </w:p>
        </w:tc>
      </w:tr>
      <w:tr w:rsidR="00A67620" w:rsidRPr="00FD119B" w14:paraId="50E53013" w14:textId="77777777" w:rsidTr="00070083">
        <w:tc>
          <w:tcPr>
            <w:tcW w:w="1890" w:type="dxa"/>
          </w:tcPr>
          <w:p w14:paraId="30E05E68" w14:textId="77777777" w:rsidR="00A67620" w:rsidRPr="00A06953" w:rsidRDefault="00A67620" w:rsidP="003739DC">
            <w:pPr>
              <w:spacing w:line="240" w:lineRule="auto"/>
            </w:pPr>
            <w:r w:rsidRPr="003C009A">
              <w:t>FACT-O</w:t>
            </w:r>
          </w:p>
        </w:tc>
        <w:tc>
          <w:tcPr>
            <w:tcW w:w="6830" w:type="dxa"/>
          </w:tcPr>
          <w:p w14:paraId="2A927D7F" w14:textId="77777777" w:rsidR="00A67620" w:rsidRPr="00A06953" w:rsidRDefault="00A67620" w:rsidP="00B41A49">
            <w:pPr>
              <w:spacing w:line="240" w:lineRule="auto"/>
            </w:pPr>
            <w:r w:rsidRPr="003C009A">
              <w:t>Functional Assessment of</w:t>
            </w:r>
            <w:r>
              <w:t xml:space="preserve"> Cancer Therapy-Ovarian Cancer</w:t>
            </w:r>
          </w:p>
        </w:tc>
      </w:tr>
      <w:tr w:rsidR="00A67620" w:rsidRPr="00FD119B" w14:paraId="714489B0" w14:textId="77777777" w:rsidTr="00070083">
        <w:tc>
          <w:tcPr>
            <w:tcW w:w="1890" w:type="dxa"/>
          </w:tcPr>
          <w:p w14:paraId="037238ED" w14:textId="77777777" w:rsidR="00A67620" w:rsidRPr="00A06953" w:rsidRDefault="00A67620" w:rsidP="003739DC">
            <w:pPr>
              <w:spacing w:line="240" w:lineRule="auto"/>
              <w:rPr>
                <w:szCs w:val="22"/>
              </w:rPr>
            </w:pPr>
            <w:r w:rsidRPr="00A06953">
              <w:rPr>
                <w:szCs w:val="22"/>
              </w:rPr>
              <w:t>FDA</w:t>
            </w:r>
          </w:p>
        </w:tc>
        <w:tc>
          <w:tcPr>
            <w:tcW w:w="6830" w:type="dxa"/>
          </w:tcPr>
          <w:p w14:paraId="4FFE7E6A" w14:textId="69A51CBC" w:rsidR="00A67620" w:rsidRPr="00A06953" w:rsidRDefault="00A67620" w:rsidP="003739DC">
            <w:pPr>
              <w:spacing w:line="240" w:lineRule="auto"/>
              <w:rPr>
                <w:szCs w:val="22"/>
              </w:rPr>
            </w:pPr>
            <w:r w:rsidRPr="00A06953">
              <w:rPr>
                <w:szCs w:val="22"/>
              </w:rPr>
              <w:t>Food and Drug Administration</w:t>
            </w:r>
            <w:r w:rsidR="004F04C3">
              <w:rPr>
                <w:szCs w:val="22"/>
              </w:rPr>
              <w:t xml:space="preserve"> (USA)</w:t>
            </w:r>
          </w:p>
        </w:tc>
      </w:tr>
      <w:tr w:rsidR="00A67620" w:rsidRPr="00FD119B" w14:paraId="70EB0348" w14:textId="77777777" w:rsidTr="00070083">
        <w:tc>
          <w:tcPr>
            <w:tcW w:w="1890" w:type="dxa"/>
          </w:tcPr>
          <w:p w14:paraId="6D631554" w14:textId="77777777" w:rsidR="00A67620" w:rsidRPr="00A06953" w:rsidRDefault="00A67620" w:rsidP="003739DC">
            <w:pPr>
              <w:spacing w:line="240" w:lineRule="auto"/>
              <w:rPr>
                <w:szCs w:val="22"/>
              </w:rPr>
            </w:pPr>
            <w:r w:rsidRPr="00A06953">
              <w:rPr>
                <w:szCs w:val="22"/>
              </w:rPr>
              <w:t>GCP</w:t>
            </w:r>
          </w:p>
        </w:tc>
        <w:tc>
          <w:tcPr>
            <w:tcW w:w="6830" w:type="dxa"/>
          </w:tcPr>
          <w:p w14:paraId="0D36230B" w14:textId="77777777" w:rsidR="00A67620" w:rsidRPr="00A06953" w:rsidRDefault="00A67620" w:rsidP="003739DC">
            <w:pPr>
              <w:spacing w:line="240" w:lineRule="auto"/>
              <w:rPr>
                <w:szCs w:val="22"/>
              </w:rPr>
            </w:pPr>
            <w:r w:rsidRPr="00A06953">
              <w:rPr>
                <w:szCs w:val="22"/>
              </w:rPr>
              <w:t>Good Clinical Practice</w:t>
            </w:r>
          </w:p>
        </w:tc>
      </w:tr>
      <w:tr w:rsidR="00A67620" w:rsidRPr="00FD119B" w14:paraId="2AECB206" w14:textId="77777777" w:rsidTr="00070083">
        <w:tc>
          <w:tcPr>
            <w:tcW w:w="1890" w:type="dxa"/>
          </w:tcPr>
          <w:p w14:paraId="02E9DA65" w14:textId="77777777" w:rsidR="00A67620" w:rsidRPr="00A06953" w:rsidRDefault="00A67620" w:rsidP="003739DC">
            <w:pPr>
              <w:spacing w:line="240" w:lineRule="auto"/>
              <w:rPr>
                <w:szCs w:val="22"/>
              </w:rPr>
            </w:pPr>
            <w:r w:rsidRPr="00A06953">
              <w:rPr>
                <w:szCs w:val="22"/>
              </w:rPr>
              <w:t>GGT</w:t>
            </w:r>
          </w:p>
        </w:tc>
        <w:tc>
          <w:tcPr>
            <w:tcW w:w="6830" w:type="dxa"/>
          </w:tcPr>
          <w:p w14:paraId="606C0445" w14:textId="77777777" w:rsidR="00A67620" w:rsidRPr="00A06953" w:rsidRDefault="00A67620" w:rsidP="003739DC">
            <w:pPr>
              <w:spacing w:line="240" w:lineRule="auto"/>
              <w:rPr>
                <w:szCs w:val="22"/>
              </w:rPr>
            </w:pPr>
            <w:r w:rsidRPr="00A06953">
              <w:rPr>
                <w:szCs w:val="22"/>
              </w:rPr>
              <w:t>Gamma glutamyl transferase</w:t>
            </w:r>
          </w:p>
        </w:tc>
      </w:tr>
      <w:tr w:rsidR="00A67620" w:rsidRPr="00FD119B" w14:paraId="5875840C" w14:textId="77777777" w:rsidTr="00070083">
        <w:tc>
          <w:tcPr>
            <w:tcW w:w="1890" w:type="dxa"/>
          </w:tcPr>
          <w:p w14:paraId="55764A53" w14:textId="77777777" w:rsidR="00A67620" w:rsidRPr="00A06953" w:rsidRDefault="00A67620" w:rsidP="003739DC">
            <w:pPr>
              <w:spacing w:line="240" w:lineRule="auto"/>
            </w:pPr>
            <w:r>
              <w:t>GLP</w:t>
            </w:r>
          </w:p>
        </w:tc>
        <w:tc>
          <w:tcPr>
            <w:tcW w:w="6830" w:type="dxa"/>
          </w:tcPr>
          <w:p w14:paraId="360E2A32" w14:textId="77777777" w:rsidR="00A67620" w:rsidRPr="00A06953" w:rsidRDefault="00A67620" w:rsidP="003739DC">
            <w:pPr>
              <w:spacing w:line="240" w:lineRule="auto"/>
            </w:pPr>
            <w:r>
              <w:t>Good laboratory practice</w:t>
            </w:r>
          </w:p>
        </w:tc>
      </w:tr>
      <w:tr w:rsidR="00A67620" w:rsidRPr="00FD119B" w14:paraId="25453A36" w14:textId="77777777" w:rsidTr="00070083">
        <w:tc>
          <w:tcPr>
            <w:tcW w:w="1890" w:type="dxa"/>
          </w:tcPr>
          <w:p w14:paraId="2F57AFEE" w14:textId="77777777" w:rsidR="00A67620" w:rsidRPr="00A06953" w:rsidRDefault="00A67620" w:rsidP="003739DC">
            <w:pPr>
              <w:spacing w:line="240" w:lineRule="auto"/>
              <w:rPr>
                <w:szCs w:val="22"/>
              </w:rPr>
            </w:pPr>
            <w:r>
              <w:rPr>
                <w:szCs w:val="22"/>
              </w:rPr>
              <w:t>Hb</w:t>
            </w:r>
          </w:p>
        </w:tc>
        <w:tc>
          <w:tcPr>
            <w:tcW w:w="6830" w:type="dxa"/>
          </w:tcPr>
          <w:p w14:paraId="520502B2" w14:textId="77777777" w:rsidR="00A67620" w:rsidRPr="00A06953" w:rsidRDefault="00A67620" w:rsidP="003739DC">
            <w:pPr>
              <w:spacing w:line="240" w:lineRule="auto"/>
              <w:rPr>
                <w:szCs w:val="22"/>
              </w:rPr>
            </w:pPr>
            <w:r w:rsidRPr="00A06953">
              <w:rPr>
                <w:szCs w:val="22"/>
              </w:rPr>
              <w:t>Haemoglobin</w:t>
            </w:r>
          </w:p>
        </w:tc>
      </w:tr>
      <w:tr w:rsidR="00A67620" w:rsidRPr="00FD119B" w14:paraId="4C34F529" w14:textId="77777777" w:rsidTr="00070083">
        <w:tc>
          <w:tcPr>
            <w:tcW w:w="1890" w:type="dxa"/>
          </w:tcPr>
          <w:p w14:paraId="6BD6F165" w14:textId="77777777" w:rsidR="00A67620" w:rsidRPr="00A06953" w:rsidRDefault="00A67620" w:rsidP="003739DC">
            <w:pPr>
              <w:spacing w:line="240" w:lineRule="auto"/>
              <w:rPr>
                <w:szCs w:val="22"/>
              </w:rPr>
            </w:pPr>
            <w:r w:rsidRPr="00A06953">
              <w:rPr>
                <w:szCs w:val="22"/>
              </w:rPr>
              <w:t>HR</w:t>
            </w:r>
          </w:p>
        </w:tc>
        <w:tc>
          <w:tcPr>
            <w:tcW w:w="6830" w:type="dxa"/>
          </w:tcPr>
          <w:p w14:paraId="2FF7B058" w14:textId="77777777" w:rsidR="00A67620" w:rsidRPr="00A06953" w:rsidRDefault="00A67620" w:rsidP="003739DC">
            <w:pPr>
              <w:spacing w:line="240" w:lineRule="auto"/>
              <w:rPr>
                <w:szCs w:val="22"/>
              </w:rPr>
            </w:pPr>
            <w:r w:rsidRPr="00A06953">
              <w:rPr>
                <w:szCs w:val="22"/>
              </w:rPr>
              <w:t>Hazard ratio</w:t>
            </w:r>
          </w:p>
        </w:tc>
      </w:tr>
      <w:tr w:rsidR="00A67620" w:rsidRPr="00FD119B" w14:paraId="03816813" w14:textId="77777777" w:rsidTr="00070083">
        <w:tc>
          <w:tcPr>
            <w:tcW w:w="1890" w:type="dxa"/>
          </w:tcPr>
          <w:p w14:paraId="26AE13E4" w14:textId="77777777" w:rsidR="00A67620" w:rsidRPr="00A06953" w:rsidRDefault="00A67620" w:rsidP="003739DC">
            <w:pPr>
              <w:spacing w:line="240" w:lineRule="auto"/>
              <w:rPr>
                <w:szCs w:val="22"/>
              </w:rPr>
            </w:pPr>
            <w:r w:rsidRPr="00A06953">
              <w:rPr>
                <w:szCs w:val="22"/>
              </w:rPr>
              <w:t>HRD</w:t>
            </w:r>
          </w:p>
        </w:tc>
        <w:tc>
          <w:tcPr>
            <w:tcW w:w="6830" w:type="dxa"/>
          </w:tcPr>
          <w:p w14:paraId="7F3DDE2D" w14:textId="77777777" w:rsidR="00A67620" w:rsidRPr="00A06953" w:rsidRDefault="00A67620" w:rsidP="003739DC">
            <w:pPr>
              <w:spacing w:line="240" w:lineRule="auto"/>
              <w:rPr>
                <w:szCs w:val="22"/>
              </w:rPr>
            </w:pPr>
            <w:r w:rsidRPr="00A06953">
              <w:rPr>
                <w:szCs w:val="22"/>
              </w:rPr>
              <w:t>Homologous recombination deficiency</w:t>
            </w:r>
          </w:p>
        </w:tc>
      </w:tr>
      <w:tr w:rsidR="00A67620" w:rsidRPr="00FD119B" w14:paraId="7208E7AA" w14:textId="77777777" w:rsidTr="00070083">
        <w:tc>
          <w:tcPr>
            <w:tcW w:w="1890" w:type="dxa"/>
          </w:tcPr>
          <w:p w14:paraId="168260F8" w14:textId="77777777" w:rsidR="00A67620" w:rsidRPr="00A06953" w:rsidRDefault="00A67620" w:rsidP="003739DC">
            <w:pPr>
              <w:spacing w:line="240" w:lineRule="auto"/>
              <w:rPr>
                <w:szCs w:val="22"/>
              </w:rPr>
            </w:pPr>
            <w:r w:rsidRPr="00A06953">
              <w:rPr>
                <w:szCs w:val="22"/>
              </w:rPr>
              <w:t>HRR</w:t>
            </w:r>
          </w:p>
        </w:tc>
        <w:tc>
          <w:tcPr>
            <w:tcW w:w="6830" w:type="dxa"/>
          </w:tcPr>
          <w:p w14:paraId="22CEC92F" w14:textId="77777777" w:rsidR="00A67620" w:rsidRPr="00A06953" w:rsidRDefault="00A67620" w:rsidP="003739DC">
            <w:pPr>
              <w:spacing w:line="240" w:lineRule="auto"/>
              <w:rPr>
                <w:szCs w:val="22"/>
              </w:rPr>
            </w:pPr>
            <w:r w:rsidRPr="00A06953">
              <w:rPr>
                <w:szCs w:val="22"/>
              </w:rPr>
              <w:t>Homologous recombination repair</w:t>
            </w:r>
          </w:p>
        </w:tc>
      </w:tr>
      <w:tr w:rsidR="00A67620" w:rsidRPr="00FD119B" w14:paraId="68053716" w14:textId="77777777" w:rsidTr="00070083">
        <w:tc>
          <w:tcPr>
            <w:tcW w:w="1890" w:type="dxa"/>
          </w:tcPr>
          <w:p w14:paraId="5AAC4B8F" w14:textId="77777777" w:rsidR="00A67620" w:rsidRPr="00A06953" w:rsidRDefault="00A67620" w:rsidP="003739DC">
            <w:pPr>
              <w:spacing w:line="240" w:lineRule="auto"/>
              <w:rPr>
                <w:szCs w:val="22"/>
              </w:rPr>
            </w:pPr>
            <w:r>
              <w:rPr>
                <w:szCs w:val="22"/>
              </w:rPr>
              <w:lastRenderedPageBreak/>
              <w:t>IC</w:t>
            </w:r>
            <w:r w:rsidRPr="007B5DAD">
              <w:rPr>
                <w:szCs w:val="22"/>
                <w:vertAlign w:val="subscript"/>
              </w:rPr>
              <w:t>50</w:t>
            </w:r>
          </w:p>
        </w:tc>
        <w:tc>
          <w:tcPr>
            <w:tcW w:w="6830" w:type="dxa"/>
          </w:tcPr>
          <w:p w14:paraId="1EDB8EE2" w14:textId="77777777" w:rsidR="00A67620" w:rsidRPr="00A06953" w:rsidRDefault="00A67620" w:rsidP="003739DC">
            <w:pPr>
              <w:spacing w:line="240" w:lineRule="auto"/>
              <w:rPr>
                <w:szCs w:val="22"/>
              </w:rPr>
            </w:pPr>
            <w:r w:rsidRPr="00A06953">
              <w:rPr>
                <w:szCs w:val="22"/>
              </w:rPr>
              <w:t>Half maximal inhibitory concentration</w:t>
            </w:r>
          </w:p>
        </w:tc>
      </w:tr>
      <w:tr w:rsidR="00A67620" w:rsidRPr="00FD119B" w14:paraId="1EE37B77" w14:textId="77777777" w:rsidTr="00070083">
        <w:tc>
          <w:tcPr>
            <w:tcW w:w="1890" w:type="dxa"/>
          </w:tcPr>
          <w:p w14:paraId="2B1F2FAB" w14:textId="77777777" w:rsidR="00A67620" w:rsidRPr="00A06953" w:rsidRDefault="00A67620" w:rsidP="003739DC">
            <w:pPr>
              <w:spacing w:line="240" w:lineRule="auto"/>
              <w:rPr>
                <w:szCs w:val="22"/>
              </w:rPr>
            </w:pPr>
            <w:r>
              <w:rPr>
                <w:szCs w:val="22"/>
              </w:rPr>
              <w:t>IC</w:t>
            </w:r>
            <w:r w:rsidRPr="007B5DAD">
              <w:rPr>
                <w:szCs w:val="22"/>
                <w:vertAlign w:val="subscript"/>
              </w:rPr>
              <w:t>90</w:t>
            </w:r>
          </w:p>
        </w:tc>
        <w:tc>
          <w:tcPr>
            <w:tcW w:w="6830" w:type="dxa"/>
          </w:tcPr>
          <w:p w14:paraId="66748371" w14:textId="77777777" w:rsidR="00A67620" w:rsidRPr="00A06953" w:rsidRDefault="00A67620" w:rsidP="003739DC">
            <w:pPr>
              <w:spacing w:line="240" w:lineRule="auto"/>
              <w:rPr>
                <w:szCs w:val="22"/>
              </w:rPr>
            </w:pPr>
            <w:r w:rsidRPr="00A06953">
              <w:rPr>
                <w:szCs w:val="22"/>
              </w:rPr>
              <w:t>90% inhibitory concentration</w:t>
            </w:r>
          </w:p>
        </w:tc>
      </w:tr>
      <w:tr w:rsidR="00A67620" w:rsidRPr="00FD119B" w14:paraId="0A2785AD" w14:textId="77777777" w:rsidTr="00070083">
        <w:tc>
          <w:tcPr>
            <w:tcW w:w="1890" w:type="dxa"/>
          </w:tcPr>
          <w:p w14:paraId="18044FE9" w14:textId="77777777" w:rsidR="00A67620" w:rsidRPr="00A06953" w:rsidRDefault="00A67620" w:rsidP="003739DC">
            <w:pPr>
              <w:spacing w:line="240" w:lineRule="auto"/>
              <w:rPr>
                <w:szCs w:val="22"/>
              </w:rPr>
            </w:pPr>
            <w:r w:rsidRPr="00A06953">
              <w:rPr>
                <w:szCs w:val="22"/>
              </w:rPr>
              <w:t>ICH</w:t>
            </w:r>
          </w:p>
        </w:tc>
        <w:tc>
          <w:tcPr>
            <w:tcW w:w="6830" w:type="dxa"/>
          </w:tcPr>
          <w:p w14:paraId="787A62A6" w14:textId="77777777" w:rsidR="00A67620" w:rsidRPr="00A06953" w:rsidRDefault="00A67620" w:rsidP="003739DC">
            <w:pPr>
              <w:spacing w:line="240" w:lineRule="auto"/>
              <w:rPr>
                <w:szCs w:val="22"/>
              </w:rPr>
            </w:pPr>
            <w:r w:rsidRPr="00A06953">
              <w:rPr>
                <w:szCs w:val="22"/>
              </w:rPr>
              <w:t>International Council for Harmonisation</w:t>
            </w:r>
          </w:p>
        </w:tc>
      </w:tr>
      <w:tr w:rsidR="00A67620" w:rsidRPr="00FD119B" w14:paraId="5D38DE5A" w14:textId="77777777" w:rsidTr="00070083">
        <w:tc>
          <w:tcPr>
            <w:tcW w:w="1890" w:type="dxa"/>
          </w:tcPr>
          <w:p w14:paraId="293FEBA1" w14:textId="77777777" w:rsidR="00A67620" w:rsidRPr="00A06953" w:rsidRDefault="00A67620" w:rsidP="003739DC">
            <w:pPr>
              <w:spacing w:line="240" w:lineRule="auto"/>
              <w:rPr>
                <w:szCs w:val="22"/>
              </w:rPr>
            </w:pPr>
            <w:r w:rsidRPr="00A06953">
              <w:rPr>
                <w:szCs w:val="22"/>
              </w:rPr>
              <w:t>IVRS</w:t>
            </w:r>
          </w:p>
        </w:tc>
        <w:tc>
          <w:tcPr>
            <w:tcW w:w="6830" w:type="dxa"/>
          </w:tcPr>
          <w:p w14:paraId="143F58A8" w14:textId="77777777" w:rsidR="00A67620" w:rsidRPr="00A06953" w:rsidRDefault="00A67620" w:rsidP="003739DC">
            <w:pPr>
              <w:spacing w:line="240" w:lineRule="auto"/>
              <w:rPr>
                <w:szCs w:val="22"/>
              </w:rPr>
            </w:pPr>
            <w:r w:rsidRPr="00A06953">
              <w:rPr>
                <w:szCs w:val="22"/>
              </w:rPr>
              <w:t>Interactive Voice Response System</w:t>
            </w:r>
          </w:p>
        </w:tc>
      </w:tr>
      <w:tr w:rsidR="00A67620" w:rsidRPr="00FD119B" w14:paraId="1DD575F5" w14:textId="77777777" w:rsidTr="00070083">
        <w:tc>
          <w:tcPr>
            <w:tcW w:w="1890" w:type="dxa"/>
          </w:tcPr>
          <w:p w14:paraId="69B6FACF" w14:textId="77777777" w:rsidR="00A67620" w:rsidRPr="00A06953" w:rsidRDefault="00A67620" w:rsidP="003739DC">
            <w:pPr>
              <w:spacing w:line="240" w:lineRule="auto"/>
            </w:pPr>
            <w:r>
              <w:t>K</w:t>
            </w:r>
            <w:r w:rsidRPr="00613B68">
              <w:rPr>
                <w:vertAlign w:val="subscript"/>
              </w:rPr>
              <w:t>a</w:t>
            </w:r>
          </w:p>
        </w:tc>
        <w:tc>
          <w:tcPr>
            <w:tcW w:w="6830" w:type="dxa"/>
          </w:tcPr>
          <w:p w14:paraId="2BC0C86B" w14:textId="77777777" w:rsidR="00A67620" w:rsidRPr="00A06953" w:rsidRDefault="00A67620" w:rsidP="003739DC">
            <w:pPr>
              <w:spacing w:line="240" w:lineRule="auto"/>
            </w:pPr>
            <w:r>
              <w:t>Absorption rate constant</w:t>
            </w:r>
          </w:p>
        </w:tc>
      </w:tr>
      <w:tr w:rsidR="00A67620" w:rsidRPr="00FD119B" w14:paraId="0A2658FE" w14:textId="77777777" w:rsidTr="00070083">
        <w:tc>
          <w:tcPr>
            <w:tcW w:w="1890" w:type="dxa"/>
          </w:tcPr>
          <w:p w14:paraId="211AFD9D" w14:textId="77777777" w:rsidR="00A67620" w:rsidRDefault="00A67620" w:rsidP="003739DC">
            <w:pPr>
              <w:spacing w:line="240" w:lineRule="auto"/>
            </w:pPr>
            <w:r>
              <w:t>M…</w:t>
            </w:r>
          </w:p>
        </w:tc>
        <w:tc>
          <w:tcPr>
            <w:tcW w:w="6830" w:type="dxa"/>
          </w:tcPr>
          <w:p w14:paraId="23804010" w14:textId="77777777" w:rsidR="00A67620" w:rsidRPr="00A06953" w:rsidRDefault="00A67620" w:rsidP="003739DC">
            <w:pPr>
              <w:spacing w:line="240" w:lineRule="auto"/>
            </w:pPr>
            <w:r>
              <w:t>Major human olaparib metabolite</w:t>
            </w:r>
          </w:p>
        </w:tc>
      </w:tr>
      <w:tr w:rsidR="00A67620" w:rsidRPr="00FD119B" w14:paraId="017B8950" w14:textId="77777777" w:rsidTr="00070083">
        <w:tc>
          <w:tcPr>
            <w:tcW w:w="1890" w:type="dxa"/>
          </w:tcPr>
          <w:p w14:paraId="7C30BE12" w14:textId="77777777" w:rsidR="00A67620" w:rsidRPr="00A06953" w:rsidRDefault="00A67620" w:rsidP="003739DC">
            <w:pPr>
              <w:spacing w:line="240" w:lineRule="auto"/>
              <w:rPr>
                <w:szCs w:val="22"/>
              </w:rPr>
            </w:pPr>
            <w:r>
              <w:rPr>
                <w:szCs w:val="22"/>
              </w:rPr>
              <w:t>MATE1</w:t>
            </w:r>
          </w:p>
        </w:tc>
        <w:tc>
          <w:tcPr>
            <w:tcW w:w="6830" w:type="dxa"/>
          </w:tcPr>
          <w:p w14:paraId="74F8A269" w14:textId="77777777" w:rsidR="00A67620" w:rsidRPr="00A06953" w:rsidRDefault="00A67620" w:rsidP="003739DC">
            <w:pPr>
              <w:spacing w:line="240" w:lineRule="auto"/>
              <w:rPr>
                <w:szCs w:val="22"/>
              </w:rPr>
            </w:pPr>
            <w:r w:rsidRPr="00A06953">
              <w:rPr>
                <w:szCs w:val="22"/>
              </w:rPr>
              <w:t>Multi-drug and toxin extrusion protein-1</w:t>
            </w:r>
          </w:p>
        </w:tc>
      </w:tr>
      <w:tr w:rsidR="00A67620" w:rsidRPr="00FD119B" w14:paraId="32CFA57D" w14:textId="77777777" w:rsidTr="00070083">
        <w:tc>
          <w:tcPr>
            <w:tcW w:w="1890" w:type="dxa"/>
          </w:tcPr>
          <w:p w14:paraId="7B4F7C94" w14:textId="77777777" w:rsidR="00A67620" w:rsidRDefault="00A67620" w:rsidP="003739DC">
            <w:pPr>
              <w:spacing w:line="240" w:lineRule="auto"/>
            </w:pPr>
            <w:r>
              <w:t>MCID</w:t>
            </w:r>
          </w:p>
        </w:tc>
        <w:tc>
          <w:tcPr>
            <w:tcW w:w="6830" w:type="dxa"/>
          </w:tcPr>
          <w:p w14:paraId="336B34A6" w14:textId="77777777" w:rsidR="00A67620" w:rsidRPr="00A06953" w:rsidRDefault="00A67620" w:rsidP="003739DC">
            <w:pPr>
              <w:spacing w:line="240" w:lineRule="auto"/>
            </w:pPr>
            <w:r w:rsidRPr="00BD2434">
              <w:t>Minimal clinically important differences</w:t>
            </w:r>
          </w:p>
        </w:tc>
      </w:tr>
      <w:tr w:rsidR="00A67620" w:rsidRPr="00FD119B" w14:paraId="5F7DEE31" w14:textId="77777777" w:rsidTr="00070083">
        <w:tc>
          <w:tcPr>
            <w:tcW w:w="1890" w:type="dxa"/>
          </w:tcPr>
          <w:p w14:paraId="630C7670" w14:textId="77777777" w:rsidR="00A67620" w:rsidRDefault="00A67620" w:rsidP="003739DC">
            <w:pPr>
              <w:spacing w:line="240" w:lineRule="auto"/>
            </w:pPr>
            <w:r>
              <w:t>MDS</w:t>
            </w:r>
          </w:p>
        </w:tc>
        <w:tc>
          <w:tcPr>
            <w:tcW w:w="6830" w:type="dxa"/>
          </w:tcPr>
          <w:p w14:paraId="70289235" w14:textId="77777777" w:rsidR="00A67620" w:rsidRPr="00A06953" w:rsidRDefault="00A67620" w:rsidP="00B41A49">
            <w:pPr>
              <w:spacing w:line="240" w:lineRule="auto"/>
            </w:pPr>
            <w:r>
              <w:t>Myelodysplastic syndrome</w:t>
            </w:r>
          </w:p>
        </w:tc>
      </w:tr>
      <w:tr w:rsidR="00A67620" w:rsidRPr="00FD119B" w14:paraId="724EECED" w14:textId="77777777" w:rsidTr="00070083">
        <w:tc>
          <w:tcPr>
            <w:tcW w:w="1890" w:type="dxa"/>
          </w:tcPr>
          <w:p w14:paraId="7D27C036" w14:textId="77777777" w:rsidR="00A67620" w:rsidRPr="00A06953" w:rsidRDefault="00A67620" w:rsidP="003739DC">
            <w:pPr>
              <w:spacing w:line="240" w:lineRule="auto"/>
              <w:rPr>
                <w:szCs w:val="22"/>
              </w:rPr>
            </w:pPr>
            <w:r w:rsidRPr="00A06953">
              <w:rPr>
                <w:szCs w:val="22"/>
              </w:rPr>
              <w:t>MRI</w:t>
            </w:r>
          </w:p>
        </w:tc>
        <w:tc>
          <w:tcPr>
            <w:tcW w:w="6830" w:type="dxa"/>
          </w:tcPr>
          <w:p w14:paraId="7905E5D4" w14:textId="77777777" w:rsidR="00A67620" w:rsidRPr="00A06953" w:rsidRDefault="0067104F" w:rsidP="003739DC">
            <w:pPr>
              <w:spacing w:line="240" w:lineRule="auto"/>
              <w:rPr>
                <w:szCs w:val="22"/>
              </w:rPr>
            </w:pPr>
            <w:r>
              <w:rPr>
                <w:szCs w:val="22"/>
              </w:rPr>
              <w:t>Magnetic resonance imaging</w:t>
            </w:r>
          </w:p>
        </w:tc>
      </w:tr>
      <w:tr w:rsidR="00A67620" w:rsidRPr="00FD119B" w14:paraId="278E3B50" w14:textId="77777777" w:rsidTr="00070083">
        <w:tc>
          <w:tcPr>
            <w:tcW w:w="1890" w:type="dxa"/>
          </w:tcPr>
          <w:p w14:paraId="58E42420" w14:textId="77777777" w:rsidR="00A67620" w:rsidRDefault="00A67620" w:rsidP="003739DC">
            <w:pPr>
              <w:spacing w:line="240" w:lineRule="auto"/>
            </w:pPr>
            <w:r>
              <w:t>nM</w:t>
            </w:r>
          </w:p>
        </w:tc>
        <w:tc>
          <w:tcPr>
            <w:tcW w:w="6830" w:type="dxa"/>
          </w:tcPr>
          <w:p w14:paraId="434ACC59" w14:textId="77777777" w:rsidR="00A67620" w:rsidRPr="00A06953" w:rsidRDefault="00A67620" w:rsidP="003739DC">
            <w:pPr>
              <w:spacing w:line="240" w:lineRule="auto"/>
            </w:pPr>
            <w:r>
              <w:t>Nanomolar</w:t>
            </w:r>
          </w:p>
        </w:tc>
      </w:tr>
      <w:tr w:rsidR="00A67620" w:rsidRPr="00FD119B" w14:paraId="39A89AD6" w14:textId="77777777" w:rsidTr="00070083">
        <w:tc>
          <w:tcPr>
            <w:tcW w:w="1890" w:type="dxa"/>
          </w:tcPr>
          <w:p w14:paraId="168642C2" w14:textId="77777777" w:rsidR="00A67620" w:rsidRPr="00A06953" w:rsidRDefault="00A67620" w:rsidP="003739DC">
            <w:pPr>
              <w:spacing w:line="240" w:lineRule="auto"/>
              <w:rPr>
                <w:szCs w:val="22"/>
              </w:rPr>
            </w:pPr>
            <w:r w:rsidRPr="00A06953">
              <w:rPr>
                <w:szCs w:val="22"/>
              </w:rPr>
              <w:t>NR</w:t>
            </w:r>
          </w:p>
        </w:tc>
        <w:tc>
          <w:tcPr>
            <w:tcW w:w="6830" w:type="dxa"/>
          </w:tcPr>
          <w:p w14:paraId="37BBC606" w14:textId="77777777" w:rsidR="00A67620" w:rsidRPr="00A06953" w:rsidRDefault="00A67620" w:rsidP="003739DC">
            <w:pPr>
              <w:spacing w:line="240" w:lineRule="auto"/>
              <w:rPr>
                <w:szCs w:val="22"/>
              </w:rPr>
            </w:pPr>
            <w:r w:rsidRPr="00A06953">
              <w:rPr>
                <w:szCs w:val="22"/>
              </w:rPr>
              <w:t>Not reached</w:t>
            </w:r>
          </w:p>
        </w:tc>
      </w:tr>
      <w:tr w:rsidR="00A67620" w:rsidRPr="00FD119B" w14:paraId="1C3B55CB" w14:textId="77777777" w:rsidTr="00070083">
        <w:tc>
          <w:tcPr>
            <w:tcW w:w="1890" w:type="dxa"/>
          </w:tcPr>
          <w:p w14:paraId="1448E899" w14:textId="77777777" w:rsidR="00A67620" w:rsidRPr="00A06953" w:rsidRDefault="00A67620" w:rsidP="003739DC">
            <w:pPr>
              <w:spacing w:line="240" w:lineRule="auto"/>
              <w:rPr>
                <w:szCs w:val="22"/>
              </w:rPr>
            </w:pPr>
            <w:r>
              <w:rPr>
                <w:szCs w:val="22"/>
              </w:rPr>
              <w:t>OCT2</w:t>
            </w:r>
          </w:p>
        </w:tc>
        <w:tc>
          <w:tcPr>
            <w:tcW w:w="6830" w:type="dxa"/>
          </w:tcPr>
          <w:p w14:paraId="4C0FFBCA" w14:textId="77777777" w:rsidR="00A67620" w:rsidRPr="00A06953" w:rsidRDefault="00A67620" w:rsidP="003739DC">
            <w:pPr>
              <w:spacing w:line="240" w:lineRule="auto"/>
              <w:rPr>
                <w:szCs w:val="22"/>
              </w:rPr>
            </w:pPr>
            <w:r w:rsidRPr="00A06953">
              <w:rPr>
                <w:szCs w:val="22"/>
              </w:rPr>
              <w:t>Organic cation transporter-2</w:t>
            </w:r>
          </w:p>
        </w:tc>
      </w:tr>
      <w:tr w:rsidR="00A67620" w:rsidRPr="00FD119B" w14:paraId="2A88EF32" w14:textId="77777777" w:rsidTr="00070083">
        <w:tc>
          <w:tcPr>
            <w:tcW w:w="1890" w:type="dxa"/>
          </w:tcPr>
          <w:p w14:paraId="2B570552" w14:textId="77777777" w:rsidR="00A67620" w:rsidRDefault="00A67620" w:rsidP="003739DC">
            <w:pPr>
              <w:spacing w:line="240" w:lineRule="auto"/>
            </w:pPr>
            <w:r>
              <w:t>ORR</w:t>
            </w:r>
          </w:p>
        </w:tc>
        <w:tc>
          <w:tcPr>
            <w:tcW w:w="6830" w:type="dxa"/>
          </w:tcPr>
          <w:p w14:paraId="4473D396" w14:textId="77777777" w:rsidR="00A67620" w:rsidRPr="00A06953" w:rsidRDefault="00A67620" w:rsidP="007962C1">
            <w:pPr>
              <w:spacing w:line="240" w:lineRule="auto"/>
            </w:pPr>
            <w:r>
              <w:t>O</w:t>
            </w:r>
            <w:r w:rsidRPr="007962C1">
              <w:t>verall response r</w:t>
            </w:r>
            <w:r>
              <w:t>ate</w:t>
            </w:r>
          </w:p>
        </w:tc>
      </w:tr>
      <w:tr w:rsidR="00A67620" w:rsidRPr="00FD119B" w14:paraId="3BF8CB6A" w14:textId="77777777" w:rsidTr="00070083">
        <w:tc>
          <w:tcPr>
            <w:tcW w:w="1890" w:type="dxa"/>
          </w:tcPr>
          <w:p w14:paraId="624D1280" w14:textId="77777777" w:rsidR="00A67620" w:rsidRPr="00A06953" w:rsidRDefault="00A67620" w:rsidP="003739DC">
            <w:pPr>
              <w:spacing w:line="240" w:lineRule="auto"/>
              <w:rPr>
                <w:szCs w:val="22"/>
              </w:rPr>
            </w:pPr>
            <w:r w:rsidRPr="00A06953">
              <w:rPr>
                <w:szCs w:val="22"/>
              </w:rPr>
              <w:t>OS</w:t>
            </w:r>
          </w:p>
        </w:tc>
        <w:tc>
          <w:tcPr>
            <w:tcW w:w="6830" w:type="dxa"/>
          </w:tcPr>
          <w:p w14:paraId="41CBA153" w14:textId="77777777" w:rsidR="00A67620" w:rsidRPr="00A06953" w:rsidRDefault="00A67620" w:rsidP="003739DC">
            <w:pPr>
              <w:spacing w:line="240" w:lineRule="auto"/>
              <w:rPr>
                <w:szCs w:val="22"/>
              </w:rPr>
            </w:pPr>
            <w:r w:rsidRPr="00A06953">
              <w:rPr>
                <w:szCs w:val="22"/>
              </w:rPr>
              <w:t>Overall survival</w:t>
            </w:r>
          </w:p>
        </w:tc>
      </w:tr>
      <w:tr w:rsidR="00A67620" w:rsidRPr="00FD119B" w14:paraId="0B700A87" w14:textId="77777777" w:rsidTr="00070083">
        <w:tc>
          <w:tcPr>
            <w:tcW w:w="1890" w:type="dxa"/>
          </w:tcPr>
          <w:p w14:paraId="52A06850" w14:textId="77777777" w:rsidR="00A67620" w:rsidRPr="00A06953" w:rsidRDefault="00A67620" w:rsidP="003739DC">
            <w:pPr>
              <w:spacing w:line="240" w:lineRule="auto"/>
              <w:rPr>
                <w:szCs w:val="22"/>
              </w:rPr>
            </w:pPr>
            <w:r>
              <w:rPr>
                <w:szCs w:val="22"/>
              </w:rPr>
              <w:t>PARP</w:t>
            </w:r>
          </w:p>
        </w:tc>
        <w:tc>
          <w:tcPr>
            <w:tcW w:w="6830" w:type="dxa"/>
          </w:tcPr>
          <w:p w14:paraId="6ECEB7DA" w14:textId="77777777" w:rsidR="00A67620" w:rsidRPr="00A06953" w:rsidRDefault="00A67620" w:rsidP="003739DC">
            <w:pPr>
              <w:spacing w:line="240" w:lineRule="auto"/>
              <w:rPr>
                <w:szCs w:val="22"/>
              </w:rPr>
            </w:pPr>
            <w:r>
              <w:rPr>
                <w:szCs w:val="22"/>
              </w:rPr>
              <w:t>Poly adenosine diphosphate ribose</w:t>
            </w:r>
            <w:r w:rsidRPr="00A06953">
              <w:rPr>
                <w:szCs w:val="22"/>
              </w:rPr>
              <w:t xml:space="preserve"> polymerase</w:t>
            </w:r>
          </w:p>
        </w:tc>
      </w:tr>
      <w:tr w:rsidR="00A67620" w:rsidRPr="00FD119B" w14:paraId="3ED18A0E" w14:textId="77777777" w:rsidTr="00070083">
        <w:tc>
          <w:tcPr>
            <w:tcW w:w="1890" w:type="dxa"/>
          </w:tcPr>
          <w:p w14:paraId="645098E9" w14:textId="77777777" w:rsidR="00A67620" w:rsidRDefault="00A67620" w:rsidP="003739DC">
            <w:pPr>
              <w:spacing w:line="240" w:lineRule="auto"/>
            </w:pPr>
            <w:r>
              <w:t>PARylation</w:t>
            </w:r>
          </w:p>
        </w:tc>
        <w:tc>
          <w:tcPr>
            <w:tcW w:w="6830" w:type="dxa"/>
          </w:tcPr>
          <w:p w14:paraId="03070182" w14:textId="77777777" w:rsidR="00A67620" w:rsidRDefault="00A67620" w:rsidP="00A221EC">
            <w:pPr>
              <w:spacing w:line="240" w:lineRule="auto"/>
            </w:pPr>
            <w:r>
              <w:t>Poly adenosinediphosphate ribosylation</w:t>
            </w:r>
          </w:p>
        </w:tc>
      </w:tr>
      <w:tr w:rsidR="00A67620" w:rsidRPr="00FD119B" w14:paraId="15A929F4" w14:textId="77777777" w:rsidTr="00070083">
        <w:tc>
          <w:tcPr>
            <w:tcW w:w="1890" w:type="dxa"/>
          </w:tcPr>
          <w:p w14:paraId="07AA0CEA" w14:textId="77777777" w:rsidR="00A67620" w:rsidRPr="00A06953" w:rsidRDefault="00A67620" w:rsidP="003739DC">
            <w:pPr>
              <w:spacing w:line="240" w:lineRule="auto"/>
              <w:rPr>
                <w:szCs w:val="22"/>
              </w:rPr>
            </w:pPr>
            <w:r>
              <w:rPr>
                <w:szCs w:val="22"/>
              </w:rPr>
              <w:t>PBMCs</w:t>
            </w:r>
          </w:p>
        </w:tc>
        <w:tc>
          <w:tcPr>
            <w:tcW w:w="6830" w:type="dxa"/>
          </w:tcPr>
          <w:p w14:paraId="21BE1E9D" w14:textId="77777777" w:rsidR="00A67620" w:rsidRPr="00A06953" w:rsidRDefault="00A67620" w:rsidP="003739DC">
            <w:pPr>
              <w:spacing w:line="240" w:lineRule="auto"/>
              <w:rPr>
                <w:szCs w:val="22"/>
              </w:rPr>
            </w:pPr>
            <w:r w:rsidRPr="00A06953">
              <w:rPr>
                <w:szCs w:val="22"/>
              </w:rPr>
              <w:t>Peripheral blood mononuclear cells</w:t>
            </w:r>
          </w:p>
        </w:tc>
      </w:tr>
      <w:tr w:rsidR="00A67620" w:rsidRPr="00FD119B" w14:paraId="7369AFB4" w14:textId="77777777" w:rsidTr="00070083">
        <w:tc>
          <w:tcPr>
            <w:tcW w:w="1890" w:type="dxa"/>
          </w:tcPr>
          <w:p w14:paraId="15BB42F8" w14:textId="77777777" w:rsidR="00A67620" w:rsidRDefault="00A67620" w:rsidP="003739DC">
            <w:pPr>
              <w:spacing w:line="240" w:lineRule="auto"/>
              <w:rPr>
                <w:rFonts w:asciiTheme="minorHAnsi" w:eastAsia="TimesNewRoman" w:hAnsiTheme="minorHAnsi" w:cs="TimesNewRoman"/>
              </w:rPr>
            </w:pPr>
            <w:r>
              <w:t>PBS</w:t>
            </w:r>
          </w:p>
        </w:tc>
        <w:tc>
          <w:tcPr>
            <w:tcW w:w="6830" w:type="dxa"/>
          </w:tcPr>
          <w:p w14:paraId="4C04E8F4" w14:textId="77777777" w:rsidR="00A67620" w:rsidRPr="00A06953" w:rsidRDefault="00A67620" w:rsidP="00DE43A1">
            <w:pPr>
              <w:spacing w:line="240" w:lineRule="auto"/>
              <w:rPr>
                <w:rFonts w:asciiTheme="minorHAnsi" w:eastAsia="TimesNewRoman" w:hAnsiTheme="minorHAnsi" w:cs="TimesNewRoman"/>
              </w:rPr>
            </w:pPr>
            <w:r>
              <w:t>Pharmaceutical Benefits Scheme</w:t>
            </w:r>
          </w:p>
        </w:tc>
      </w:tr>
      <w:tr w:rsidR="00A67620" w:rsidRPr="00FD119B" w14:paraId="100A1860" w14:textId="77777777" w:rsidTr="00070083">
        <w:tc>
          <w:tcPr>
            <w:tcW w:w="1890" w:type="dxa"/>
          </w:tcPr>
          <w:p w14:paraId="38868F24" w14:textId="77777777" w:rsidR="00A67620" w:rsidRPr="00A06953" w:rsidRDefault="00A67620" w:rsidP="003739DC">
            <w:pPr>
              <w:spacing w:line="240" w:lineRule="auto"/>
              <w:rPr>
                <w:szCs w:val="22"/>
              </w:rPr>
            </w:pPr>
            <w:r>
              <w:rPr>
                <w:szCs w:val="22"/>
              </w:rPr>
              <w:t>PD</w:t>
            </w:r>
          </w:p>
        </w:tc>
        <w:tc>
          <w:tcPr>
            <w:tcW w:w="6830" w:type="dxa"/>
          </w:tcPr>
          <w:p w14:paraId="1D2E3092" w14:textId="77777777" w:rsidR="00A67620" w:rsidRPr="00A06953" w:rsidRDefault="00A67620" w:rsidP="003739DC">
            <w:pPr>
              <w:spacing w:line="240" w:lineRule="auto"/>
              <w:rPr>
                <w:szCs w:val="22"/>
              </w:rPr>
            </w:pPr>
            <w:r>
              <w:rPr>
                <w:szCs w:val="22"/>
              </w:rPr>
              <w:t>Pharmacodynamic</w:t>
            </w:r>
          </w:p>
        </w:tc>
      </w:tr>
      <w:tr w:rsidR="00A67620" w:rsidRPr="00FD119B" w14:paraId="4CB17810" w14:textId="77777777" w:rsidTr="00070083">
        <w:tc>
          <w:tcPr>
            <w:tcW w:w="1890" w:type="dxa"/>
          </w:tcPr>
          <w:p w14:paraId="6E55CB5A" w14:textId="77777777" w:rsidR="00A67620" w:rsidRDefault="00A67620" w:rsidP="003739DC">
            <w:pPr>
              <w:spacing w:line="240" w:lineRule="auto"/>
            </w:pPr>
            <w:r w:rsidRPr="00C105D7">
              <w:t>PFI</w:t>
            </w:r>
          </w:p>
        </w:tc>
        <w:tc>
          <w:tcPr>
            <w:tcW w:w="6830" w:type="dxa"/>
          </w:tcPr>
          <w:p w14:paraId="6C67298A" w14:textId="77777777" w:rsidR="00A67620" w:rsidRDefault="00A67620" w:rsidP="000A126F">
            <w:pPr>
              <w:spacing w:line="240" w:lineRule="auto"/>
            </w:pPr>
            <w:r>
              <w:t>Platinum free interval</w:t>
            </w:r>
          </w:p>
        </w:tc>
      </w:tr>
      <w:tr w:rsidR="00A67620" w:rsidRPr="00FD119B" w14:paraId="4666AC5D" w14:textId="77777777" w:rsidTr="00070083">
        <w:tc>
          <w:tcPr>
            <w:tcW w:w="1890" w:type="dxa"/>
          </w:tcPr>
          <w:p w14:paraId="4F57CB10" w14:textId="77777777" w:rsidR="00A67620" w:rsidRPr="00A06953" w:rsidRDefault="00A67620" w:rsidP="003739DC">
            <w:pPr>
              <w:spacing w:line="240" w:lineRule="auto"/>
              <w:rPr>
                <w:szCs w:val="22"/>
              </w:rPr>
            </w:pPr>
            <w:r w:rsidRPr="00A06953">
              <w:rPr>
                <w:szCs w:val="22"/>
              </w:rPr>
              <w:t>PFS</w:t>
            </w:r>
          </w:p>
        </w:tc>
        <w:tc>
          <w:tcPr>
            <w:tcW w:w="6830" w:type="dxa"/>
          </w:tcPr>
          <w:p w14:paraId="76160910" w14:textId="77777777" w:rsidR="00A67620" w:rsidRPr="00A06953" w:rsidRDefault="00A67620" w:rsidP="003739DC">
            <w:pPr>
              <w:spacing w:line="240" w:lineRule="auto"/>
              <w:rPr>
                <w:szCs w:val="22"/>
              </w:rPr>
            </w:pPr>
            <w:r>
              <w:rPr>
                <w:szCs w:val="22"/>
              </w:rPr>
              <w:t xml:space="preserve">Progression </w:t>
            </w:r>
            <w:r w:rsidRPr="00A06953">
              <w:rPr>
                <w:szCs w:val="22"/>
              </w:rPr>
              <w:t>free survival</w:t>
            </w:r>
          </w:p>
        </w:tc>
      </w:tr>
      <w:tr w:rsidR="00A67620" w:rsidRPr="00FD119B" w14:paraId="39B9C038" w14:textId="77777777" w:rsidTr="00070083">
        <w:tc>
          <w:tcPr>
            <w:tcW w:w="1890" w:type="dxa"/>
          </w:tcPr>
          <w:p w14:paraId="6BEF47DF" w14:textId="77777777" w:rsidR="00A67620" w:rsidRPr="00A06953" w:rsidRDefault="00A67620" w:rsidP="003739DC">
            <w:pPr>
              <w:spacing w:line="240" w:lineRule="auto"/>
              <w:rPr>
                <w:szCs w:val="22"/>
              </w:rPr>
            </w:pPr>
            <w:r w:rsidRPr="00A06953">
              <w:rPr>
                <w:szCs w:val="22"/>
              </w:rPr>
              <w:t>PFS2</w:t>
            </w:r>
          </w:p>
        </w:tc>
        <w:tc>
          <w:tcPr>
            <w:tcW w:w="6830" w:type="dxa"/>
          </w:tcPr>
          <w:p w14:paraId="55A518EB" w14:textId="77777777" w:rsidR="00A67620" w:rsidRPr="00A06953" w:rsidRDefault="00A67620" w:rsidP="003739DC">
            <w:pPr>
              <w:spacing w:line="240" w:lineRule="auto"/>
              <w:rPr>
                <w:szCs w:val="22"/>
              </w:rPr>
            </w:pPr>
            <w:r w:rsidRPr="00A06953">
              <w:rPr>
                <w:szCs w:val="22"/>
              </w:rPr>
              <w:t>Time from randomisation to second progression or death</w:t>
            </w:r>
          </w:p>
        </w:tc>
      </w:tr>
      <w:tr w:rsidR="00A67620" w:rsidRPr="00FD119B" w14:paraId="6FBCC152" w14:textId="77777777" w:rsidTr="00070083">
        <w:tc>
          <w:tcPr>
            <w:tcW w:w="1890" w:type="dxa"/>
          </w:tcPr>
          <w:p w14:paraId="260FFDCF" w14:textId="77777777" w:rsidR="00A67620" w:rsidRDefault="00A67620" w:rsidP="003739DC">
            <w:pPr>
              <w:spacing w:line="240" w:lineRule="auto"/>
            </w:pPr>
            <w:r>
              <w:t>PI</w:t>
            </w:r>
          </w:p>
        </w:tc>
        <w:tc>
          <w:tcPr>
            <w:tcW w:w="6830" w:type="dxa"/>
          </w:tcPr>
          <w:p w14:paraId="4E88C364" w14:textId="77777777" w:rsidR="00A67620" w:rsidRPr="00A06953" w:rsidRDefault="00A67620" w:rsidP="003739DC">
            <w:pPr>
              <w:spacing w:line="240" w:lineRule="auto"/>
            </w:pPr>
            <w:r>
              <w:t>Product information</w:t>
            </w:r>
          </w:p>
        </w:tc>
      </w:tr>
      <w:tr w:rsidR="00A67620" w:rsidRPr="00FD119B" w14:paraId="21CA5BDB" w14:textId="77777777" w:rsidTr="00070083">
        <w:tc>
          <w:tcPr>
            <w:tcW w:w="1890" w:type="dxa"/>
          </w:tcPr>
          <w:p w14:paraId="37515981" w14:textId="77777777" w:rsidR="00A67620" w:rsidRPr="00A06953" w:rsidRDefault="00A67620" w:rsidP="003739DC">
            <w:pPr>
              <w:spacing w:line="240" w:lineRule="auto"/>
              <w:rPr>
                <w:szCs w:val="22"/>
              </w:rPr>
            </w:pPr>
            <w:r>
              <w:rPr>
                <w:szCs w:val="22"/>
              </w:rPr>
              <w:t>PK</w:t>
            </w:r>
          </w:p>
        </w:tc>
        <w:tc>
          <w:tcPr>
            <w:tcW w:w="6830" w:type="dxa"/>
          </w:tcPr>
          <w:p w14:paraId="46E3874C" w14:textId="77777777" w:rsidR="00A67620" w:rsidRPr="00A06953" w:rsidRDefault="00A67620" w:rsidP="003739DC">
            <w:pPr>
              <w:spacing w:line="240" w:lineRule="auto"/>
              <w:rPr>
                <w:szCs w:val="22"/>
              </w:rPr>
            </w:pPr>
            <w:r>
              <w:rPr>
                <w:szCs w:val="22"/>
              </w:rPr>
              <w:t>Pharmacokinetic</w:t>
            </w:r>
          </w:p>
        </w:tc>
      </w:tr>
      <w:tr w:rsidR="00A67620" w:rsidRPr="00FD119B" w14:paraId="78B8A25C" w14:textId="77777777" w:rsidTr="00070083">
        <w:tc>
          <w:tcPr>
            <w:tcW w:w="1890" w:type="dxa"/>
          </w:tcPr>
          <w:p w14:paraId="6B32B3F4" w14:textId="77777777" w:rsidR="00A67620" w:rsidRDefault="00A67620" w:rsidP="003739DC">
            <w:pPr>
              <w:spacing w:line="240" w:lineRule="auto"/>
            </w:pPr>
            <w:r w:rsidRPr="006243E9">
              <w:t>PO</w:t>
            </w:r>
          </w:p>
        </w:tc>
        <w:tc>
          <w:tcPr>
            <w:tcW w:w="6830" w:type="dxa"/>
          </w:tcPr>
          <w:p w14:paraId="132E77DA" w14:textId="21532E91" w:rsidR="00A67620" w:rsidRDefault="004F04C3" w:rsidP="00950B2F">
            <w:pPr>
              <w:spacing w:line="240" w:lineRule="auto"/>
            </w:pPr>
            <w:r>
              <w:t>B</w:t>
            </w:r>
            <w:r w:rsidR="00A67620">
              <w:t>y mouth</w:t>
            </w:r>
            <w:r>
              <w:t>/oral (</w:t>
            </w:r>
            <w:r w:rsidRPr="005446B6">
              <w:rPr>
                <w:i/>
              </w:rPr>
              <w:t>Latin:</w:t>
            </w:r>
            <w:r>
              <w:t xml:space="preserve"> per os)</w:t>
            </w:r>
          </w:p>
        </w:tc>
      </w:tr>
      <w:tr w:rsidR="00A67620" w:rsidRPr="00FD119B" w14:paraId="2134B339" w14:textId="77777777" w:rsidTr="00070083">
        <w:tc>
          <w:tcPr>
            <w:tcW w:w="1890" w:type="dxa"/>
          </w:tcPr>
          <w:p w14:paraId="5E399E27" w14:textId="77777777" w:rsidR="00A67620" w:rsidRPr="00A06953" w:rsidRDefault="00A67620" w:rsidP="003739DC">
            <w:pPr>
              <w:spacing w:line="240" w:lineRule="auto"/>
              <w:rPr>
                <w:szCs w:val="22"/>
              </w:rPr>
            </w:pPr>
            <w:r w:rsidRPr="00A06953">
              <w:rPr>
                <w:szCs w:val="22"/>
              </w:rPr>
              <w:lastRenderedPageBreak/>
              <w:t>PT</w:t>
            </w:r>
          </w:p>
        </w:tc>
        <w:tc>
          <w:tcPr>
            <w:tcW w:w="6830" w:type="dxa"/>
          </w:tcPr>
          <w:p w14:paraId="63752C63" w14:textId="4A37AE9A" w:rsidR="00A67620" w:rsidRPr="00A06953" w:rsidRDefault="00A46C84" w:rsidP="003739DC">
            <w:pPr>
              <w:spacing w:line="240" w:lineRule="auto"/>
              <w:rPr>
                <w:szCs w:val="22"/>
              </w:rPr>
            </w:pPr>
            <w:r>
              <w:rPr>
                <w:szCs w:val="22"/>
              </w:rPr>
              <w:t>Preferred T</w:t>
            </w:r>
            <w:r w:rsidR="00A67620" w:rsidRPr="00A06953">
              <w:rPr>
                <w:szCs w:val="22"/>
              </w:rPr>
              <w:t>erm</w:t>
            </w:r>
          </w:p>
        </w:tc>
      </w:tr>
      <w:tr w:rsidR="00A67620" w:rsidRPr="00FD119B" w14:paraId="2BBA8AB3" w14:textId="77777777" w:rsidTr="00070083">
        <w:tc>
          <w:tcPr>
            <w:tcW w:w="1890" w:type="dxa"/>
          </w:tcPr>
          <w:p w14:paraId="7DCC62B3" w14:textId="77777777" w:rsidR="00A67620" w:rsidRPr="00A06953" w:rsidRDefault="00A67620" w:rsidP="003739DC">
            <w:pPr>
              <w:spacing w:line="240" w:lineRule="auto"/>
              <w:rPr>
                <w:szCs w:val="22"/>
              </w:rPr>
            </w:pPr>
            <w:r w:rsidRPr="00A06953">
              <w:rPr>
                <w:szCs w:val="22"/>
              </w:rPr>
              <w:t>QoL</w:t>
            </w:r>
          </w:p>
        </w:tc>
        <w:tc>
          <w:tcPr>
            <w:tcW w:w="6830" w:type="dxa"/>
          </w:tcPr>
          <w:p w14:paraId="24F37ACB" w14:textId="77777777" w:rsidR="00A67620" w:rsidRPr="00A06953" w:rsidRDefault="00A67620" w:rsidP="003739DC">
            <w:pPr>
              <w:spacing w:line="240" w:lineRule="auto"/>
              <w:rPr>
                <w:szCs w:val="22"/>
              </w:rPr>
            </w:pPr>
            <w:r w:rsidRPr="00A06953">
              <w:rPr>
                <w:szCs w:val="22"/>
              </w:rPr>
              <w:t>Quality of life</w:t>
            </w:r>
          </w:p>
        </w:tc>
      </w:tr>
      <w:tr w:rsidR="00A67620" w:rsidRPr="00FD119B" w14:paraId="389B7EA8" w14:textId="77777777" w:rsidTr="00070083">
        <w:tc>
          <w:tcPr>
            <w:tcW w:w="1890" w:type="dxa"/>
          </w:tcPr>
          <w:p w14:paraId="2E67BD69" w14:textId="77777777" w:rsidR="00A67620" w:rsidRPr="00A06953" w:rsidRDefault="00A67620" w:rsidP="003739DC">
            <w:pPr>
              <w:spacing w:line="240" w:lineRule="auto"/>
              <w:rPr>
                <w:szCs w:val="22"/>
              </w:rPr>
            </w:pPr>
            <w:r>
              <w:rPr>
                <w:szCs w:val="22"/>
              </w:rPr>
              <w:t>QTc</w:t>
            </w:r>
          </w:p>
        </w:tc>
        <w:tc>
          <w:tcPr>
            <w:tcW w:w="6830" w:type="dxa"/>
          </w:tcPr>
          <w:p w14:paraId="5CDA2A74" w14:textId="77777777" w:rsidR="00A67620" w:rsidRPr="00A06953" w:rsidRDefault="00A67620" w:rsidP="003739DC">
            <w:pPr>
              <w:spacing w:line="240" w:lineRule="auto"/>
              <w:rPr>
                <w:szCs w:val="22"/>
              </w:rPr>
            </w:pPr>
            <w:r w:rsidRPr="00A06953">
              <w:rPr>
                <w:szCs w:val="22"/>
              </w:rPr>
              <w:t>QT interval corrected for heart rate</w:t>
            </w:r>
          </w:p>
        </w:tc>
      </w:tr>
      <w:tr w:rsidR="00A67620" w:rsidRPr="00FD119B" w14:paraId="23329B54" w14:textId="77777777" w:rsidTr="00070083">
        <w:tc>
          <w:tcPr>
            <w:tcW w:w="1890" w:type="dxa"/>
          </w:tcPr>
          <w:p w14:paraId="4056B6B1" w14:textId="77777777" w:rsidR="00A67620" w:rsidRPr="00A06953" w:rsidRDefault="00A67620" w:rsidP="003739DC">
            <w:pPr>
              <w:spacing w:line="240" w:lineRule="auto"/>
              <w:rPr>
                <w:szCs w:val="22"/>
              </w:rPr>
            </w:pPr>
            <w:r w:rsidRPr="00A06953">
              <w:rPr>
                <w:szCs w:val="22"/>
              </w:rPr>
              <w:t>QTcF</w:t>
            </w:r>
          </w:p>
        </w:tc>
        <w:tc>
          <w:tcPr>
            <w:tcW w:w="6830" w:type="dxa"/>
          </w:tcPr>
          <w:p w14:paraId="59AB7EF6" w14:textId="77777777" w:rsidR="00A67620" w:rsidRPr="00A06953" w:rsidRDefault="00A67620" w:rsidP="003739DC">
            <w:pPr>
              <w:spacing w:line="240" w:lineRule="auto"/>
              <w:rPr>
                <w:szCs w:val="22"/>
              </w:rPr>
            </w:pPr>
            <w:r w:rsidRPr="00A06953">
              <w:rPr>
                <w:szCs w:val="22"/>
              </w:rPr>
              <w:t>QT interval corrected for heart rate using Fridericia correction</w:t>
            </w:r>
          </w:p>
        </w:tc>
      </w:tr>
      <w:tr w:rsidR="00A67620" w:rsidRPr="00FD119B" w14:paraId="54800725" w14:textId="77777777" w:rsidTr="00070083">
        <w:tc>
          <w:tcPr>
            <w:tcW w:w="1890" w:type="dxa"/>
          </w:tcPr>
          <w:p w14:paraId="677DB7EF" w14:textId="77777777" w:rsidR="00A67620" w:rsidRDefault="00A67620" w:rsidP="003739DC">
            <w:pPr>
              <w:spacing w:line="240" w:lineRule="auto"/>
            </w:pPr>
            <w:r w:rsidRPr="00A10256">
              <w:t>RAD51B</w:t>
            </w:r>
          </w:p>
        </w:tc>
        <w:tc>
          <w:tcPr>
            <w:tcW w:w="6830" w:type="dxa"/>
          </w:tcPr>
          <w:p w14:paraId="5D064488" w14:textId="77777777" w:rsidR="00A67620" w:rsidRPr="00A06953" w:rsidRDefault="00A67620" w:rsidP="00423FB9">
            <w:pPr>
              <w:spacing w:line="240" w:lineRule="auto"/>
            </w:pPr>
            <w:r>
              <w:t>Rad51 paralog B</w:t>
            </w:r>
          </w:p>
        </w:tc>
      </w:tr>
      <w:tr w:rsidR="00A67620" w:rsidRPr="00FD119B" w14:paraId="309B1084" w14:textId="77777777" w:rsidTr="00070083">
        <w:tc>
          <w:tcPr>
            <w:tcW w:w="1890" w:type="dxa"/>
          </w:tcPr>
          <w:p w14:paraId="4E9F0C4E" w14:textId="77777777" w:rsidR="00A67620" w:rsidRDefault="00A67620" w:rsidP="003739DC">
            <w:pPr>
              <w:spacing w:line="240" w:lineRule="auto"/>
            </w:pPr>
            <w:r>
              <w:rPr>
                <w:rFonts w:cs="TimesNewRoman"/>
              </w:rPr>
              <w:t>RBC</w:t>
            </w:r>
          </w:p>
        </w:tc>
        <w:tc>
          <w:tcPr>
            <w:tcW w:w="6830" w:type="dxa"/>
          </w:tcPr>
          <w:p w14:paraId="46A7DB76" w14:textId="77777777" w:rsidR="00A67620" w:rsidRPr="00A06953" w:rsidRDefault="00A67620" w:rsidP="00525132">
            <w:pPr>
              <w:spacing w:line="240" w:lineRule="auto"/>
            </w:pPr>
            <w:r>
              <w:rPr>
                <w:rFonts w:cs="TimesNewRoman"/>
              </w:rPr>
              <w:t>Red blood cells</w:t>
            </w:r>
          </w:p>
        </w:tc>
      </w:tr>
      <w:tr w:rsidR="00A67620" w:rsidRPr="00FD119B" w14:paraId="3D4B06AC" w14:textId="77777777" w:rsidTr="00070083">
        <w:tc>
          <w:tcPr>
            <w:tcW w:w="1890" w:type="dxa"/>
          </w:tcPr>
          <w:p w14:paraId="47D558D7" w14:textId="77777777" w:rsidR="00A67620" w:rsidRPr="00A06953" w:rsidRDefault="00A67620" w:rsidP="003739DC">
            <w:pPr>
              <w:spacing w:line="240" w:lineRule="auto"/>
              <w:rPr>
                <w:szCs w:val="22"/>
              </w:rPr>
            </w:pPr>
            <w:r w:rsidRPr="00A06953">
              <w:rPr>
                <w:szCs w:val="22"/>
              </w:rPr>
              <w:t>RECIST</w:t>
            </w:r>
          </w:p>
        </w:tc>
        <w:tc>
          <w:tcPr>
            <w:tcW w:w="6830" w:type="dxa"/>
          </w:tcPr>
          <w:p w14:paraId="5EBE157B" w14:textId="77777777" w:rsidR="00A67620" w:rsidRPr="00A06953" w:rsidRDefault="00A67620" w:rsidP="003739DC">
            <w:pPr>
              <w:spacing w:line="240" w:lineRule="auto"/>
              <w:rPr>
                <w:szCs w:val="22"/>
              </w:rPr>
            </w:pPr>
            <w:r w:rsidRPr="00A06953">
              <w:rPr>
                <w:szCs w:val="22"/>
              </w:rPr>
              <w:t>Response Evaluation Criteria in Solid Tumours</w:t>
            </w:r>
          </w:p>
        </w:tc>
      </w:tr>
      <w:tr w:rsidR="009F26CF" w:rsidRPr="00FD119B" w14:paraId="2AD0EACC" w14:textId="77777777" w:rsidTr="00070083">
        <w:tc>
          <w:tcPr>
            <w:tcW w:w="1890" w:type="dxa"/>
          </w:tcPr>
          <w:p w14:paraId="61563FD2" w14:textId="1B2420CC" w:rsidR="009F26CF" w:rsidRPr="00A06953" w:rsidRDefault="009F26CF" w:rsidP="003739DC">
            <w:pPr>
              <w:spacing w:line="240" w:lineRule="auto"/>
            </w:pPr>
            <w:r>
              <w:t>RMP</w:t>
            </w:r>
          </w:p>
        </w:tc>
        <w:tc>
          <w:tcPr>
            <w:tcW w:w="6830" w:type="dxa"/>
          </w:tcPr>
          <w:p w14:paraId="44DB441D" w14:textId="0A899B22" w:rsidR="009F26CF" w:rsidRPr="00A06953" w:rsidRDefault="009F26CF" w:rsidP="009F26CF">
            <w:pPr>
              <w:spacing w:line="240" w:lineRule="auto"/>
            </w:pPr>
            <w:r>
              <w:t>Risk management plan</w:t>
            </w:r>
          </w:p>
        </w:tc>
      </w:tr>
      <w:tr w:rsidR="00A67620" w:rsidRPr="00FD119B" w14:paraId="537C5A18" w14:textId="77777777" w:rsidTr="00070083">
        <w:tc>
          <w:tcPr>
            <w:tcW w:w="1890" w:type="dxa"/>
          </w:tcPr>
          <w:p w14:paraId="024BB90C" w14:textId="77777777" w:rsidR="00A67620" w:rsidRPr="00A06953" w:rsidRDefault="00A67620" w:rsidP="003739DC">
            <w:pPr>
              <w:spacing w:line="240" w:lineRule="auto"/>
              <w:rPr>
                <w:szCs w:val="22"/>
              </w:rPr>
            </w:pPr>
            <w:r>
              <w:rPr>
                <w:szCs w:val="22"/>
              </w:rPr>
              <w:t>SAE</w:t>
            </w:r>
          </w:p>
        </w:tc>
        <w:tc>
          <w:tcPr>
            <w:tcW w:w="6830" w:type="dxa"/>
          </w:tcPr>
          <w:p w14:paraId="2E06BC8E" w14:textId="77777777" w:rsidR="00A67620" w:rsidRPr="00A06953" w:rsidRDefault="00A67620" w:rsidP="003739DC">
            <w:pPr>
              <w:spacing w:line="240" w:lineRule="auto"/>
              <w:rPr>
                <w:szCs w:val="22"/>
              </w:rPr>
            </w:pPr>
            <w:r w:rsidRPr="00A06953">
              <w:rPr>
                <w:szCs w:val="22"/>
              </w:rPr>
              <w:t>Serious adverse event</w:t>
            </w:r>
          </w:p>
        </w:tc>
      </w:tr>
      <w:tr w:rsidR="00A67620" w:rsidRPr="00FD119B" w14:paraId="6577AED9" w14:textId="77777777" w:rsidTr="00070083">
        <w:tc>
          <w:tcPr>
            <w:tcW w:w="1890" w:type="dxa"/>
          </w:tcPr>
          <w:p w14:paraId="649938A3" w14:textId="77777777" w:rsidR="00A67620" w:rsidRPr="00A06953" w:rsidRDefault="00A67620" w:rsidP="003739DC">
            <w:pPr>
              <w:spacing w:line="240" w:lineRule="auto"/>
              <w:rPr>
                <w:szCs w:val="22"/>
              </w:rPr>
            </w:pPr>
            <w:r w:rsidRPr="00A06953">
              <w:rPr>
                <w:szCs w:val="22"/>
              </w:rPr>
              <w:t>SOC</w:t>
            </w:r>
          </w:p>
        </w:tc>
        <w:tc>
          <w:tcPr>
            <w:tcW w:w="6830" w:type="dxa"/>
          </w:tcPr>
          <w:p w14:paraId="651EB0F6" w14:textId="1260E8F9" w:rsidR="00A67620" w:rsidRPr="00A06953" w:rsidRDefault="00A46C84" w:rsidP="003739DC">
            <w:pPr>
              <w:spacing w:line="240" w:lineRule="auto"/>
              <w:rPr>
                <w:szCs w:val="22"/>
              </w:rPr>
            </w:pPr>
            <w:r>
              <w:rPr>
                <w:szCs w:val="22"/>
              </w:rPr>
              <w:t>System Organ C</w:t>
            </w:r>
            <w:r w:rsidR="00A67620" w:rsidRPr="00A06953">
              <w:rPr>
                <w:szCs w:val="22"/>
              </w:rPr>
              <w:t>lass</w:t>
            </w:r>
          </w:p>
        </w:tc>
      </w:tr>
      <w:tr w:rsidR="00A67620" w:rsidRPr="00FD119B" w14:paraId="693BDC51" w14:textId="77777777" w:rsidTr="00070083">
        <w:tc>
          <w:tcPr>
            <w:tcW w:w="1890" w:type="dxa"/>
          </w:tcPr>
          <w:p w14:paraId="3B7BA0BC" w14:textId="77777777" w:rsidR="00A67620" w:rsidRPr="00A06953" w:rsidRDefault="00A67620" w:rsidP="003739DC">
            <w:pPr>
              <w:spacing w:line="240" w:lineRule="auto"/>
              <w:rPr>
                <w:szCs w:val="22"/>
              </w:rPr>
            </w:pPr>
            <w:r w:rsidRPr="00A06953">
              <w:rPr>
                <w:szCs w:val="22"/>
              </w:rPr>
              <w:t>t</w:t>
            </w:r>
            <w:r w:rsidRPr="00A06953">
              <w:rPr>
                <w:szCs w:val="22"/>
                <w:vertAlign w:val="subscript"/>
              </w:rPr>
              <w:t>1/2</w:t>
            </w:r>
          </w:p>
        </w:tc>
        <w:tc>
          <w:tcPr>
            <w:tcW w:w="6830" w:type="dxa"/>
          </w:tcPr>
          <w:p w14:paraId="10D22757" w14:textId="77777777" w:rsidR="00A67620" w:rsidRPr="00A06953" w:rsidRDefault="00A67620" w:rsidP="003739DC">
            <w:pPr>
              <w:spacing w:line="240" w:lineRule="auto"/>
              <w:rPr>
                <w:szCs w:val="22"/>
              </w:rPr>
            </w:pPr>
            <w:r w:rsidRPr="00A06953">
              <w:rPr>
                <w:szCs w:val="22"/>
              </w:rPr>
              <w:t>Half life</w:t>
            </w:r>
          </w:p>
        </w:tc>
      </w:tr>
      <w:tr w:rsidR="00A67620" w:rsidRPr="00FD119B" w14:paraId="712AFC2C" w14:textId="77777777" w:rsidTr="00070083">
        <w:tc>
          <w:tcPr>
            <w:tcW w:w="1890" w:type="dxa"/>
          </w:tcPr>
          <w:p w14:paraId="387FF39B" w14:textId="77777777" w:rsidR="00A67620" w:rsidRPr="00A06953" w:rsidRDefault="00A67620" w:rsidP="003739DC">
            <w:pPr>
              <w:spacing w:line="240" w:lineRule="auto"/>
              <w:rPr>
                <w:szCs w:val="22"/>
              </w:rPr>
            </w:pPr>
            <w:r w:rsidRPr="00A06953">
              <w:rPr>
                <w:szCs w:val="22"/>
              </w:rPr>
              <w:t>TFST</w:t>
            </w:r>
          </w:p>
        </w:tc>
        <w:tc>
          <w:tcPr>
            <w:tcW w:w="6830" w:type="dxa"/>
          </w:tcPr>
          <w:p w14:paraId="1FB15588" w14:textId="77777777" w:rsidR="00A67620" w:rsidRPr="00A06953" w:rsidRDefault="00A67620" w:rsidP="003739DC">
            <w:pPr>
              <w:spacing w:line="240" w:lineRule="auto"/>
              <w:rPr>
                <w:szCs w:val="22"/>
              </w:rPr>
            </w:pPr>
            <w:r w:rsidRPr="00A06953">
              <w:rPr>
                <w:szCs w:val="22"/>
              </w:rPr>
              <w:t>Time from randomisation to first subsequent therapy or death</w:t>
            </w:r>
          </w:p>
        </w:tc>
      </w:tr>
      <w:tr w:rsidR="00A67620" w:rsidRPr="00FD119B" w14:paraId="7272A9C9" w14:textId="77777777" w:rsidTr="00070083">
        <w:tc>
          <w:tcPr>
            <w:tcW w:w="1890" w:type="dxa"/>
          </w:tcPr>
          <w:p w14:paraId="191925EA" w14:textId="77777777" w:rsidR="00A67620" w:rsidRPr="00A06953" w:rsidRDefault="00A67620" w:rsidP="003739DC">
            <w:pPr>
              <w:spacing w:line="240" w:lineRule="auto"/>
              <w:rPr>
                <w:szCs w:val="22"/>
              </w:rPr>
            </w:pPr>
            <w:r w:rsidRPr="00A06953">
              <w:rPr>
                <w:szCs w:val="22"/>
              </w:rPr>
              <w:t>t</w:t>
            </w:r>
            <w:r w:rsidRPr="00B41A49">
              <w:rPr>
                <w:szCs w:val="22"/>
                <w:vertAlign w:val="subscript"/>
              </w:rPr>
              <w:t>max</w:t>
            </w:r>
          </w:p>
        </w:tc>
        <w:tc>
          <w:tcPr>
            <w:tcW w:w="6830" w:type="dxa"/>
          </w:tcPr>
          <w:p w14:paraId="74D03448" w14:textId="77777777" w:rsidR="00A67620" w:rsidRPr="00A06953" w:rsidRDefault="00A67620" w:rsidP="003739DC">
            <w:pPr>
              <w:spacing w:line="240" w:lineRule="auto"/>
              <w:rPr>
                <w:szCs w:val="22"/>
              </w:rPr>
            </w:pPr>
            <w:r w:rsidRPr="00A06953">
              <w:rPr>
                <w:szCs w:val="22"/>
              </w:rPr>
              <w:t>Time to reach maximum observed concentration following drug administration</w:t>
            </w:r>
          </w:p>
        </w:tc>
      </w:tr>
      <w:tr w:rsidR="00A67620" w:rsidRPr="00FD119B" w14:paraId="43D71AAE" w14:textId="77777777" w:rsidTr="00070083">
        <w:tc>
          <w:tcPr>
            <w:tcW w:w="1890" w:type="dxa"/>
          </w:tcPr>
          <w:p w14:paraId="33E87922" w14:textId="77777777" w:rsidR="00A67620" w:rsidRPr="00A06953" w:rsidRDefault="00A67620" w:rsidP="003739DC">
            <w:pPr>
              <w:spacing w:line="240" w:lineRule="auto"/>
            </w:pPr>
            <w:r w:rsidRPr="003C009A">
              <w:t>TOI</w:t>
            </w:r>
          </w:p>
        </w:tc>
        <w:tc>
          <w:tcPr>
            <w:tcW w:w="6830" w:type="dxa"/>
          </w:tcPr>
          <w:p w14:paraId="787BE397" w14:textId="77777777" w:rsidR="00A67620" w:rsidRPr="00A06953" w:rsidRDefault="00A67620" w:rsidP="00B41A49">
            <w:pPr>
              <w:spacing w:line="240" w:lineRule="auto"/>
            </w:pPr>
            <w:r>
              <w:t>Trial Outcome Index</w:t>
            </w:r>
          </w:p>
        </w:tc>
      </w:tr>
      <w:tr w:rsidR="00A67620" w:rsidRPr="00FD119B" w14:paraId="0C8536C6" w14:textId="77777777" w:rsidTr="00070083">
        <w:tc>
          <w:tcPr>
            <w:tcW w:w="1890" w:type="dxa"/>
          </w:tcPr>
          <w:p w14:paraId="2E2764BF" w14:textId="77777777" w:rsidR="00A67620" w:rsidRPr="00A06953" w:rsidRDefault="00A67620" w:rsidP="003739DC">
            <w:pPr>
              <w:spacing w:line="240" w:lineRule="auto"/>
              <w:rPr>
                <w:szCs w:val="22"/>
              </w:rPr>
            </w:pPr>
            <w:r w:rsidRPr="00A06953">
              <w:rPr>
                <w:szCs w:val="22"/>
              </w:rPr>
              <w:t>TSST</w:t>
            </w:r>
          </w:p>
        </w:tc>
        <w:tc>
          <w:tcPr>
            <w:tcW w:w="6830" w:type="dxa"/>
          </w:tcPr>
          <w:p w14:paraId="3850BD91" w14:textId="77777777" w:rsidR="00A67620" w:rsidRPr="00A06953" w:rsidRDefault="00A67620" w:rsidP="003739DC">
            <w:pPr>
              <w:spacing w:line="240" w:lineRule="auto"/>
              <w:rPr>
                <w:szCs w:val="22"/>
              </w:rPr>
            </w:pPr>
            <w:r w:rsidRPr="00A06953">
              <w:rPr>
                <w:szCs w:val="22"/>
              </w:rPr>
              <w:t xml:space="preserve">Time from randomisation to second subsequent therapy or death </w:t>
            </w:r>
          </w:p>
        </w:tc>
      </w:tr>
      <w:tr w:rsidR="00A67620" w:rsidRPr="00FD119B" w14:paraId="67CE5D01" w14:textId="77777777" w:rsidTr="00070083">
        <w:tc>
          <w:tcPr>
            <w:tcW w:w="1890" w:type="dxa"/>
          </w:tcPr>
          <w:p w14:paraId="6D930E43" w14:textId="77777777" w:rsidR="00A67620" w:rsidRPr="00A06953" w:rsidRDefault="00A67620" w:rsidP="003739DC">
            <w:pPr>
              <w:spacing w:line="240" w:lineRule="auto"/>
              <w:rPr>
                <w:szCs w:val="22"/>
              </w:rPr>
            </w:pPr>
            <w:r w:rsidRPr="00A06953">
              <w:rPr>
                <w:szCs w:val="22"/>
              </w:rPr>
              <w:t>ULN</w:t>
            </w:r>
          </w:p>
        </w:tc>
        <w:tc>
          <w:tcPr>
            <w:tcW w:w="6830" w:type="dxa"/>
          </w:tcPr>
          <w:p w14:paraId="3D97135B" w14:textId="77777777" w:rsidR="00A67620" w:rsidRPr="00A06953" w:rsidRDefault="00A67620" w:rsidP="003739DC">
            <w:pPr>
              <w:spacing w:line="240" w:lineRule="auto"/>
              <w:rPr>
                <w:szCs w:val="22"/>
              </w:rPr>
            </w:pPr>
            <w:r w:rsidRPr="00A06953">
              <w:rPr>
                <w:szCs w:val="22"/>
              </w:rPr>
              <w:t>Upper limit of normal</w:t>
            </w:r>
          </w:p>
        </w:tc>
      </w:tr>
      <w:tr w:rsidR="00A67620" w:rsidRPr="00FD119B" w14:paraId="0A660C84" w14:textId="77777777" w:rsidTr="00070083">
        <w:tc>
          <w:tcPr>
            <w:tcW w:w="1890" w:type="dxa"/>
          </w:tcPr>
          <w:p w14:paraId="72D2CC1F" w14:textId="77777777" w:rsidR="00A67620" w:rsidRDefault="00A67620" w:rsidP="003739DC">
            <w:pPr>
              <w:spacing w:line="240" w:lineRule="auto"/>
            </w:pPr>
            <w:r w:rsidRPr="00F532A6">
              <w:rPr>
                <w:lang w:eastAsia="ja-JP"/>
              </w:rPr>
              <w:t>VEGF</w:t>
            </w:r>
          </w:p>
        </w:tc>
        <w:tc>
          <w:tcPr>
            <w:tcW w:w="6830" w:type="dxa"/>
          </w:tcPr>
          <w:p w14:paraId="1BEDBC85" w14:textId="77777777" w:rsidR="00A67620" w:rsidRPr="00A06953" w:rsidRDefault="00A67620" w:rsidP="00F532A6">
            <w:pPr>
              <w:spacing w:line="240" w:lineRule="auto"/>
            </w:pPr>
            <w:r>
              <w:rPr>
                <w:lang w:eastAsia="ja-JP"/>
              </w:rPr>
              <w:t>V</w:t>
            </w:r>
            <w:r w:rsidRPr="00F532A6">
              <w:rPr>
                <w:lang w:eastAsia="ja-JP"/>
              </w:rPr>
              <w:t>asc</w:t>
            </w:r>
            <w:r>
              <w:rPr>
                <w:lang w:eastAsia="ja-JP"/>
              </w:rPr>
              <w:t>ular endothelial growth factor</w:t>
            </w:r>
          </w:p>
        </w:tc>
      </w:tr>
      <w:tr w:rsidR="00A67620" w:rsidRPr="00FD119B" w14:paraId="767AEBB2" w14:textId="77777777" w:rsidTr="00070083">
        <w:tc>
          <w:tcPr>
            <w:tcW w:w="1890" w:type="dxa"/>
          </w:tcPr>
          <w:p w14:paraId="07FAE166" w14:textId="77777777" w:rsidR="00A67620" w:rsidRDefault="00A67620" w:rsidP="003739DC">
            <w:pPr>
              <w:spacing w:line="240" w:lineRule="auto"/>
            </w:pPr>
            <w:r>
              <w:t>WBC</w:t>
            </w:r>
          </w:p>
        </w:tc>
        <w:tc>
          <w:tcPr>
            <w:tcW w:w="6830" w:type="dxa"/>
          </w:tcPr>
          <w:p w14:paraId="3EA5B76F" w14:textId="77777777" w:rsidR="00A67620" w:rsidRPr="00A06953" w:rsidRDefault="00A67620" w:rsidP="003739DC">
            <w:pPr>
              <w:spacing w:line="240" w:lineRule="auto"/>
            </w:pPr>
            <w:r>
              <w:t>White blood cells</w:t>
            </w:r>
          </w:p>
        </w:tc>
      </w:tr>
      <w:tr w:rsidR="00A67620" w:rsidRPr="00FD119B" w14:paraId="6EB1D044" w14:textId="77777777" w:rsidTr="00070083">
        <w:tc>
          <w:tcPr>
            <w:tcW w:w="1890" w:type="dxa"/>
          </w:tcPr>
          <w:p w14:paraId="64B10BB7" w14:textId="77777777" w:rsidR="00A67620" w:rsidRPr="00A06953" w:rsidRDefault="00A67620" w:rsidP="003739DC">
            <w:pPr>
              <w:spacing w:line="240" w:lineRule="auto"/>
              <w:rPr>
                <w:szCs w:val="22"/>
              </w:rPr>
            </w:pPr>
            <w:r w:rsidRPr="00A06953">
              <w:rPr>
                <w:szCs w:val="22"/>
              </w:rPr>
              <w:t>wt</w:t>
            </w:r>
          </w:p>
        </w:tc>
        <w:tc>
          <w:tcPr>
            <w:tcW w:w="6830" w:type="dxa"/>
          </w:tcPr>
          <w:p w14:paraId="771B55A7" w14:textId="77777777" w:rsidR="00A67620" w:rsidRPr="00A06953" w:rsidRDefault="00A67620" w:rsidP="003739DC">
            <w:pPr>
              <w:spacing w:line="240" w:lineRule="auto"/>
              <w:rPr>
                <w:szCs w:val="22"/>
              </w:rPr>
            </w:pPr>
            <w:r w:rsidRPr="00A06953">
              <w:rPr>
                <w:szCs w:val="22"/>
              </w:rPr>
              <w:t>Wild type</w:t>
            </w:r>
          </w:p>
        </w:tc>
      </w:tr>
      <w:tr w:rsidR="00A67620" w:rsidRPr="00FD119B" w14:paraId="7EB62AF4" w14:textId="77777777" w:rsidTr="00070083">
        <w:tc>
          <w:tcPr>
            <w:tcW w:w="1890" w:type="dxa"/>
          </w:tcPr>
          <w:p w14:paraId="368FB06C" w14:textId="54069C23" w:rsidR="00A67620" w:rsidRPr="00A06953" w:rsidRDefault="004F04C3" w:rsidP="003739DC">
            <w:pPr>
              <w:spacing w:line="240" w:lineRule="auto"/>
            </w:pPr>
            <w:r>
              <w:t>µ</w:t>
            </w:r>
            <w:r w:rsidR="00A67620" w:rsidRPr="00055BF4">
              <w:t>M</w:t>
            </w:r>
          </w:p>
        </w:tc>
        <w:tc>
          <w:tcPr>
            <w:tcW w:w="6830" w:type="dxa"/>
          </w:tcPr>
          <w:p w14:paraId="416FF27B" w14:textId="77777777" w:rsidR="00A67620" w:rsidRPr="00A06953" w:rsidRDefault="00A67620" w:rsidP="003739DC">
            <w:pPr>
              <w:spacing w:line="240" w:lineRule="auto"/>
            </w:pPr>
            <w:r>
              <w:t>Micromolar</w:t>
            </w:r>
          </w:p>
        </w:tc>
      </w:tr>
    </w:tbl>
    <w:p w14:paraId="2D9ABD6A" w14:textId="77777777" w:rsidR="00FD119B" w:rsidRDefault="00FD119B" w:rsidP="00FD119B"/>
    <w:p w14:paraId="24615F3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68E239C" w14:textId="77777777" w:rsidR="008E7846" w:rsidRDefault="00F53C07" w:rsidP="008E7846">
      <w:pPr>
        <w:pStyle w:val="Heading2"/>
      </w:pPr>
      <w:bookmarkStart w:id="9" w:name="_Toc23326189"/>
      <w:r>
        <w:lastRenderedPageBreak/>
        <w:t>I.</w:t>
      </w:r>
      <w:r w:rsidR="008E7846">
        <w:t xml:space="preserve"> Introduction to product submission</w:t>
      </w:r>
      <w:bookmarkEnd w:id="3"/>
      <w:bookmarkEnd w:id="0"/>
      <w:bookmarkEnd w:id="9"/>
    </w:p>
    <w:p w14:paraId="55F8E9B8" w14:textId="77777777" w:rsidR="008E7846" w:rsidRDefault="008E7846" w:rsidP="008E7846">
      <w:pPr>
        <w:pStyle w:val="Heading3"/>
        <w:rPr>
          <w:lang w:eastAsia="en-AU"/>
        </w:rPr>
      </w:pPr>
      <w:bookmarkStart w:id="10" w:name="_Toc247691502"/>
      <w:bookmarkStart w:id="11" w:name="_Toc314842483"/>
      <w:bookmarkStart w:id="12" w:name="_Toc23326190"/>
      <w:r>
        <w:rPr>
          <w:lang w:eastAsia="en-AU"/>
        </w:rPr>
        <w:t>Submission details</w:t>
      </w:r>
      <w:bookmarkEnd w:id="10"/>
      <w:bookmarkEnd w:id="11"/>
      <w:bookmarkEnd w:id="12"/>
    </w:p>
    <w:tbl>
      <w:tblPr>
        <w:tblW w:w="8498" w:type="dxa"/>
        <w:tblInd w:w="108" w:type="dxa"/>
        <w:tblLook w:val="01E0" w:firstRow="1" w:lastRow="1" w:firstColumn="1" w:lastColumn="1" w:noHBand="0" w:noVBand="0"/>
      </w:tblPr>
      <w:tblGrid>
        <w:gridCol w:w="2667"/>
        <w:gridCol w:w="14"/>
        <w:gridCol w:w="5772"/>
        <w:gridCol w:w="45"/>
      </w:tblGrid>
      <w:tr w:rsidR="008E7846" w:rsidRPr="003D1E62" w14:paraId="5CB0B612" w14:textId="77777777" w:rsidTr="00284449">
        <w:trPr>
          <w:trHeight w:val="537"/>
        </w:trPr>
        <w:tc>
          <w:tcPr>
            <w:tcW w:w="2681" w:type="dxa"/>
            <w:gridSpan w:val="2"/>
          </w:tcPr>
          <w:p w14:paraId="492B0DB6" w14:textId="77777777" w:rsidR="008E7846" w:rsidRPr="003D1E62" w:rsidRDefault="001B5C90" w:rsidP="001B5C90">
            <w:pPr>
              <w:rPr>
                <w:i/>
              </w:rPr>
            </w:pPr>
            <w:r>
              <w:rPr>
                <w:i/>
              </w:rPr>
              <w:t>Type of s</w:t>
            </w:r>
            <w:r w:rsidR="008E7846" w:rsidRPr="003D1E62">
              <w:rPr>
                <w:i/>
              </w:rPr>
              <w:t>ubmission</w:t>
            </w:r>
            <w:r>
              <w:rPr>
                <w:i/>
              </w:rPr>
              <w:t>:</w:t>
            </w:r>
          </w:p>
        </w:tc>
        <w:tc>
          <w:tcPr>
            <w:tcW w:w="5817" w:type="dxa"/>
            <w:gridSpan w:val="2"/>
          </w:tcPr>
          <w:p w14:paraId="13B9DF1A" w14:textId="77777777" w:rsidR="008E7846" w:rsidRPr="003D1E62" w:rsidRDefault="0081374F" w:rsidP="001B5C90">
            <w:r>
              <w:t>Extension of indications</w:t>
            </w:r>
            <w:r w:rsidR="00767026">
              <w:t xml:space="preserve"> and major variation (strength and dosage form)</w:t>
            </w:r>
          </w:p>
        </w:tc>
      </w:tr>
      <w:tr w:rsidR="008E7846" w:rsidRPr="003D1E62" w14:paraId="31FDFDFB" w14:textId="77777777" w:rsidTr="00284449">
        <w:trPr>
          <w:trHeight w:val="524"/>
        </w:trPr>
        <w:tc>
          <w:tcPr>
            <w:tcW w:w="2681" w:type="dxa"/>
            <w:gridSpan w:val="2"/>
          </w:tcPr>
          <w:p w14:paraId="0245B147" w14:textId="77777777" w:rsidR="008E7846" w:rsidRPr="003D1E62" w:rsidRDefault="008E7846" w:rsidP="003D1E62">
            <w:r w:rsidRPr="003D1E62">
              <w:rPr>
                <w:i/>
              </w:rPr>
              <w:t>Decision</w:t>
            </w:r>
            <w:r w:rsidRPr="003D1E62">
              <w:t>:</w:t>
            </w:r>
          </w:p>
        </w:tc>
        <w:tc>
          <w:tcPr>
            <w:tcW w:w="5817" w:type="dxa"/>
            <w:gridSpan w:val="2"/>
          </w:tcPr>
          <w:p w14:paraId="46AE9103" w14:textId="77777777" w:rsidR="008E7846" w:rsidRPr="003D1E62" w:rsidRDefault="0081374F" w:rsidP="0081374F">
            <w:r>
              <w:t>Approved</w:t>
            </w:r>
          </w:p>
        </w:tc>
      </w:tr>
      <w:tr w:rsidR="008E7846" w:rsidRPr="003D1E62" w14:paraId="5318F4C8" w14:textId="77777777" w:rsidTr="00284449">
        <w:trPr>
          <w:trHeight w:val="524"/>
        </w:trPr>
        <w:tc>
          <w:tcPr>
            <w:tcW w:w="2681" w:type="dxa"/>
            <w:gridSpan w:val="2"/>
          </w:tcPr>
          <w:p w14:paraId="7805412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5817" w:type="dxa"/>
            <w:gridSpan w:val="2"/>
          </w:tcPr>
          <w:p w14:paraId="7CA14D21" w14:textId="77777777" w:rsidR="008E7846" w:rsidRPr="003D1E62" w:rsidRDefault="0081374F" w:rsidP="001B5C90">
            <w:r>
              <w:t>18 May 2018</w:t>
            </w:r>
          </w:p>
        </w:tc>
      </w:tr>
      <w:tr w:rsidR="00ED2922" w:rsidRPr="003D1E62" w14:paraId="27399F8E" w14:textId="77777777" w:rsidTr="00284449">
        <w:trPr>
          <w:trHeight w:val="524"/>
        </w:trPr>
        <w:tc>
          <w:tcPr>
            <w:tcW w:w="2681" w:type="dxa"/>
            <w:gridSpan w:val="2"/>
          </w:tcPr>
          <w:p w14:paraId="7F7377FE" w14:textId="77777777" w:rsidR="00ED2922" w:rsidRPr="00441C3F" w:rsidRDefault="00ED2922" w:rsidP="001B5C90">
            <w:pPr>
              <w:rPr>
                <w:i/>
              </w:rPr>
            </w:pPr>
            <w:r w:rsidRPr="00441C3F">
              <w:rPr>
                <w:i/>
              </w:rPr>
              <w:t>Date of entry onto ARTG</w:t>
            </w:r>
            <w:r w:rsidR="00500337">
              <w:rPr>
                <w:i/>
              </w:rPr>
              <w:t>:</w:t>
            </w:r>
          </w:p>
        </w:tc>
        <w:tc>
          <w:tcPr>
            <w:tcW w:w="5817" w:type="dxa"/>
            <w:gridSpan w:val="2"/>
          </w:tcPr>
          <w:p w14:paraId="0BCF353A" w14:textId="77777777" w:rsidR="00ED2922" w:rsidRPr="00441C3F" w:rsidRDefault="0081374F" w:rsidP="00D153D8">
            <w:pPr>
              <w:rPr>
                <w:i/>
              </w:rPr>
            </w:pPr>
            <w:r>
              <w:t>23 May 2018</w:t>
            </w:r>
          </w:p>
        </w:tc>
      </w:tr>
      <w:tr w:rsidR="00500337" w:rsidRPr="003D1E62" w14:paraId="1E2DC71E" w14:textId="77777777" w:rsidTr="00284449">
        <w:trPr>
          <w:trHeight w:val="524"/>
        </w:trPr>
        <w:tc>
          <w:tcPr>
            <w:tcW w:w="2681" w:type="dxa"/>
            <w:gridSpan w:val="2"/>
          </w:tcPr>
          <w:p w14:paraId="68AAC7E0" w14:textId="77777777" w:rsidR="00500337" w:rsidRPr="00441C3F" w:rsidRDefault="00156D57" w:rsidP="001B5C90">
            <w:pPr>
              <w:rPr>
                <w:i/>
              </w:rPr>
            </w:pPr>
            <w:r>
              <w:rPr>
                <w:i/>
              </w:rPr>
              <w:t>ARTG numbers</w:t>
            </w:r>
            <w:r w:rsidR="00500337">
              <w:rPr>
                <w:i/>
              </w:rPr>
              <w:t>:</w:t>
            </w:r>
          </w:p>
        </w:tc>
        <w:tc>
          <w:tcPr>
            <w:tcW w:w="5817" w:type="dxa"/>
            <w:gridSpan w:val="2"/>
          </w:tcPr>
          <w:p w14:paraId="7AC2CC8A" w14:textId="77777777" w:rsidR="00500337" w:rsidRPr="00441C3F" w:rsidRDefault="0081374F" w:rsidP="00EC463D">
            <w:r w:rsidRPr="00BC7889">
              <w:t>288613</w:t>
            </w:r>
            <w:r>
              <w:t>, 288614</w:t>
            </w:r>
          </w:p>
        </w:tc>
      </w:tr>
      <w:tr w:rsidR="003735BC" w:rsidRPr="003D1E62" w14:paraId="7235E68F" w14:textId="77777777" w:rsidTr="00284449">
        <w:trPr>
          <w:trHeight w:val="672"/>
        </w:trPr>
        <w:tc>
          <w:tcPr>
            <w:tcW w:w="2681" w:type="dxa"/>
            <w:gridSpan w:val="2"/>
          </w:tcPr>
          <w:p w14:paraId="5D3C7C79"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5817" w:type="dxa"/>
            <w:gridSpan w:val="2"/>
          </w:tcPr>
          <w:p w14:paraId="74801F19" w14:textId="77777777" w:rsidR="003735BC" w:rsidRPr="00487162" w:rsidRDefault="0081374F" w:rsidP="003735BC">
            <w:r>
              <w:t>No</w:t>
            </w:r>
          </w:p>
        </w:tc>
      </w:tr>
      <w:tr w:rsidR="008E7846" w:rsidRPr="00487162" w14:paraId="3C12FEDC" w14:textId="77777777" w:rsidTr="00284449">
        <w:trPr>
          <w:gridAfter w:val="1"/>
          <w:wAfter w:w="45" w:type="dxa"/>
          <w:trHeight w:val="502"/>
        </w:trPr>
        <w:tc>
          <w:tcPr>
            <w:tcW w:w="2667" w:type="dxa"/>
          </w:tcPr>
          <w:p w14:paraId="21A11198" w14:textId="77777777" w:rsidR="008E7846" w:rsidRPr="00487162" w:rsidRDefault="00156D57" w:rsidP="00E45619">
            <w:pPr>
              <w:rPr>
                <w:i/>
              </w:rPr>
            </w:pPr>
            <w:r>
              <w:rPr>
                <w:i/>
              </w:rPr>
              <w:t>Active ingredient</w:t>
            </w:r>
            <w:r w:rsidR="001B5C90">
              <w:rPr>
                <w:i/>
              </w:rPr>
              <w:t>:</w:t>
            </w:r>
          </w:p>
        </w:tc>
        <w:tc>
          <w:tcPr>
            <w:tcW w:w="5786" w:type="dxa"/>
            <w:gridSpan w:val="2"/>
          </w:tcPr>
          <w:p w14:paraId="3B2CADC4" w14:textId="77777777" w:rsidR="008E7846" w:rsidRPr="00487162" w:rsidRDefault="0067104F" w:rsidP="00E55CB0">
            <w:r>
              <w:t>O</w:t>
            </w:r>
            <w:r w:rsidR="0081374F">
              <w:t>laparib</w:t>
            </w:r>
          </w:p>
        </w:tc>
      </w:tr>
      <w:tr w:rsidR="008E7846" w:rsidRPr="00487162" w14:paraId="7F65F9E7" w14:textId="77777777" w:rsidTr="00284449">
        <w:trPr>
          <w:gridAfter w:val="1"/>
          <w:wAfter w:w="45" w:type="dxa"/>
          <w:trHeight w:val="514"/>
        </w:trPr>
        <w:tc>
          <w:tcPr>
            <w:tcW w:w="2667" w:type="dxa"/>
          </w:tcPr>
          <w:p w14:paraId="3FC822C7" w14:textId="77777777" w:rsidR="008E7846" w:rsidRPr="00487162" w:rsidRDefault="008E7846" w:rsidP="001B5C90">
            <w:pPr>
              <w:rPr>
                <w:i/>
              </w:rPr>
            </w:pPr>
            <w:r w:rsidRPr="00487162">
              <w:rPr>
                <w:i/>
              </w:rPr>
              <w:t>Product</w:t>
            </w:r>
            <w:r w:rsidR="00156D57">
              <w:rPr>
                <w:i/>
              </w:rPr>
              <w:t xml:space="preserve"> name</w:t>
            </w:r>
            <w:r w:rsidR="001B5C90">
              <w:rPr>
                <w:i/>
              </w:rPr>
              <w:t>:</w:t>
            </w:r>
          </w:p>
        </w:tc>
        <w:tc>
          <w:tcPr>
            <w:tcW w:w="5786" w:type="dxa"/>
            <w:gridSpan w:val="2"/>
          </w:tcPr>
          <w:p w14:paraId="7BEAF27F" w14:textId="77777777" w:rsidR="008E7846" w:rsidRPr="00487162" w:rsidRDefault="0081374F" w:rsidP="00E45619">
            <w:r>
              <w:t>Lynparza</w:t>
            </w:r>
          </w:p>
        </w:tc>
      </w:tr>
      <w:tr w:rsidR="008E7846" w:rsidRPr="00487162" w14:paraId="0E7BE94E" w14:textId="77777777" w:rsidTr="00284449">
        <w:trPr>
          <w:gridAfter w:val="1"/>
          <w:wAfter w:w="45" w:type="dxa"/>
          <w:trHeight w:val="1262"/>
        </w:trPr>
        <w:tc>
          <w:tcPr>
            <w:tcW w:w="2667" w:type="dxa"/>
          </w:tcPr>
          <w:p w14:paraId="06311838"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786" w:type="dxa"/>
            <w:gridSpan w:val="2"/>
          </w:tcPr>
          <w:p w14:paraId="247AD537" w14:textId="77777777" w:rsidR="0081374F" w:rsidRDefault="0081374F" w:rsidP="0081374F">
            <w:r w:rsidRPr="0093125A">
              <w:t>AstraZeneca</w:t>
            </w:r>
            <w:r>
              <w:t xml:space="preserve"> Pty Ltd</w:t>
            </w:r>
          </w:p>
          <w:p w14:paraId="175273A7" w14:textId="77777777" w:rsidR="0081374F" w:rsidRDefault="0081374F" w:rsidP="0081374F">
            <w:r>
              <w:t>PO Box 131</w:t>
            </w:r>
          </w:p>
          <w:p w14:paraId="512B8AE2" w14:textId="77777777" w:rsidR="008E7846" w:rsidRPr="00487162" w:rsidRDefault="0081374F" w:rsidP="0081374F">
            <w:r>
              <w:t>North Ryde</w:t>
            </w:r>
            <w:r w:rsidRPr="005A2CD9">
              <w:t xml:space="preserve"> NSW 1670</w:t>
            </w:r>
          </w:p>
        </w:tc>
      </w:tr>
      <w:tr w:rsidR="008E7846" w:rsidRPr="00487162" w14:paraId="729BFEDF" w14:textId="77777777" w:rsidTr="00284449">
        <w:trPr>
          <w:gridAfter w:val="1"/>
          <w:wAfter w:w="45" w:type="dxa"/>
          <w:trHeight w:val="514"/>
        </w:trPr>
        <w:tc>
          <w:tcPr>
            <w:tcW w:w="2667" w:type="dxa"/>
          </w:tcPr>
          <w:p w14:paraId="42B209B6" w14:textId="77777777" w:rsidR="008E7846" w:rsidRPr="00487162" w:rsidRDefault="00CD70A6" w:rsidP="00E45619">
            <w:pPr>
              <w:rPr>
                <w:i/>
              </w:rPr>
            </w:pPr>
            <w:r>
              <w:rPr>
                <w:i/>
              </w:rPr>
              <w:t>Dose form:</w:t>
            </w:r>
          </w:p>
        </w:tc>
        <w:tc>
          <w:tcPr>
            <w:tcW w:w="5786" w:type="dxa"/>
            <w:gridSpan w:val="2"/>
          </w:tcPr>
          <w:p w14:paraId="432B63AF" w14:textId="77777777" w:rsidR="008E7846" w:rsidRPr="00487162" w:rsidRDefault="00156D57" w:rsidP="00E45619">
            <w:r>
              <w:t xml:space="preserve">Film </w:t>
            </w:r>
            <w:r w:rsidR="0081374F">
              <w:t>coated tablet</w:t>
            </w:r>
          </w:p>
        </w:tc>
      </w:tr>
      <w:tr w:rsidR="008E7846" w:rsidRPr="00487162" w14:paraId="0CD20073" w14:textId="77777777" w:rsidTr="00284449">
        <w:trPr>
          <w:gridAfter w:val="1"/>
          <w:wAfter w:w="45" w:type="dxa"/>
          <w:trHeight w:val="502"/>
        </w:trPr>
        <w:tc>
          <w:tcPr>
            <w:tcW w:w="2667" w:type="dxa"/>
          </w:tcPr>
          <w:p w14:paraId="658DAA18" w14:textId="77777777" w:rsidR="008E7846" w:rsidRPr="00487162" w:rsidRDefault="00CD70A6" w:rsidP="00E45619">
            <w:pPr>
              <w:rPr>
                <w:i/>
              </w:rPr>
            </w:pPr>
            <w:r>
              <w:rPr>
                <w:i/>
              </w:rPr>
              <w:t>Strengths:</w:t>
            </w:r>
          </w:p>
        </w:tc>
        <w:tc>
          <w:tcPr>
            <w:tcW w:w="5786" w:type="dxa"/>
            <w:gridSpan w:val="2"/>
          </w:tcPr>
          <w:p w14:paraId="06C348F1" w14:textId="77777777" w:rsidR="008E7846" w:rsidRPr="00487162" w:rsidRDefault="0081374F" w:rsidP="0081374F">
            <w:r>
              <w:t xml:space="preserve">100 mg and </w:t>
            </w:r>
            <w:r w:rsidRPr="00952D63">
              <w:t>150 mg</w:t>
            </w:r>
          </w:p>
        </w:tc>
      </w:tr>
      <w:tr w:rsidR="008E7846" w:rsidRPr="00487162" w14:paraId="7C1C94CF" w14:textId="77777777" w:rsidTr="00284449">
        <w:trPr>
          <w:gridAfter w:val="1"/>
          <w:wAfter w:w="45" w:type="dxa"/>
          <w:trHeight w:val="502"/>
        </w:trPr>
        <w:tc>
          <w:tcPr>
            <w:tcW w:w="2667" w:type="dxa"/>
          </w:tcPr>
          <w:p w14:paraId="6F67E669" w14:textId="77777777" w:rsidR="008E7846" w:rsidRPr="00487162" w:rsidRDefault="00CD70A6" w:rsidP="00E45619">
            <w:pPr>
              <w:rPr>
                <w:i/>
              </w:rPr>
            </w:pPr>
            <w:r>
              <w:rPr>
                <w:i/>
              </w:rPr>
              <w:t>Container:</w:t>
            </w:r>
          </w:p>
        </w:tc>
        <w:tc>
          <w:tcPr>
            <w:tcW w:w="5786" w:type="dxa"/>
            <w:gridSpan w:val="2"/>
          </w:tcPr>
          <w:p w14:paraId="7FFF318B" w14:textId="77777777" w:rsidR="008E7846" w:rsidRPr="00487162" w:rsidRDefault="0081374F" w:rsidP="00E45619">
            <w:r>
              <w:t>Blister pack</w:t>
            </w:r>
          </w:p>
        </w:tc>
      </w:tr>
      <w:tr w:rsidR="008E7846" w:rsidRPr="00487162" w14:paraId="029CA310" w14:textId="77777777" w:rsidTr="00284449">
        <w:trPr>
          <w:gridAfter w:val="1"/>
          <w:wAfter w:w="45" w:type="dxa"/>
          <w:trHeight w:val="502"/>
        </w:trPr>
        <w:tc>
          <w:tcPr>
            <w:tcW w:w="2667" w:type="dxa"/>
          </w:tcPr>
          <w:p w14:paraId="6F85B804" w14:textId="77777777" w:rsidR="008E7846" w:rsidRPr="00487162" w:rsidRDefault="00CD70A6" w:rsidP="00E45619">
            <w:pPr>
              <w:rPr>
                <w:i/>
              </w:rPr>
            </w:pPr>
            <w:r>
              <w:rPr>
                <w:i/>
              </w:rPr>
              <w:t>Pack sizes</w:t>
            </w:r>
            <w:r w:rsidR="008E7846" w:rsidRPr="00487162">
              <w:rPr>
                <w:i/>
              </w:rPr>
              <w:t>:</w:t>
            </w:r>
          </w:p>
        </w:tc>
        <w:tc>
          <w:tcPr>
            <w:tcW w:w="5786" w:type="dxa"/>
            <w:gridSpan w:val="2"/>
          </w:tcPr>
          <w:p w14:paraId="77F1642A" w14:textId="77777777" w:rsidR="008E7846" w:rsidRPr="00487162" w:rsidRDefault="00CD70A6" w:rsidP="00156D57">
            <w:r w:rsidRPr="00D22FE6">
              <w:t xml:space="preserve">56 </w:t>
            </w:r>
            <w:r>
              <w:t>tablets</w:t>
            </w:r>
          </w:p>
        </w:tc>
      </w:tr>
      <w:tr w:rsidR="008E7846" w:rsidRPr="00487162" w14:paraId="42A81388" w14:textId="77777777" w:rsidTr="00284449">
        <w:trPr>
          <w:gridAfter w:val="1"/>
          <w:wAfter w:w="45" w:type="dxa"/>
          <w:trHeight w:val="2080"/>
        </w:trPr>
        <w:tc>
          <w:tcPr>
            <w:tcW w:w="2667" w:type="dxa"/>
          </w:tcPr>
          <w:p w14:paraId="4E283D6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786" w:type="dxa"/>
            <w:gridSpan w:val="2"/>
          </w:tcPr>
          <w:p w14:paraId="78C89925" w14:textId="77777777" w:rsidR="008E7846" w:rsidRPr="00E82A0A" w:rsidRDefault="00CD70A6" w:rsidP="00E82A0A">
            <w:pPr>
              <w:rPr>
                <w:i/>
              </w:rPr>
            </w:pPr>
            <w:r w:rsidRPr="00E82A0A">
              <w:rPr>
                <w:i/>
              </w:rPr>
              <w:t>Olaparib is indicated as monotherapy for the maintenance t</w:t>
            </w:r>
            <w:r w:rsidR="00E82A0A" w:rsidRPr="00E82A0A">
              <w:rPr>
                <w:i/>
              </w:rPr>
              <w:t xml:space="preserve">reatment of adult patients with </w:t>
            </w:r>
            <w:r w:rsidRPr="00E82A0A">
              <w:rPr>
                <w:i/>
              </w:rPr>
              <w:t>platinum- sensitive relapsed high grade epithelial ovarian, fallo</w:t>
            </w:r>
            <w:r w:rsidR="00E82A0A" w:rsidRPr="00E82A0A">
              <w:rPr>
                <w:i/>
              </w:rPr>
              <w:t xml:space="preserve">pian tube or primary peritoneal </w:t>
            </w:r>
            <w:r w:rsidRPr="00E82A0A">
              <w:rPr>
                <w:i/>
              </w:rPr>
              <w:t>cancer who are in response (complete response or partial</w:t>
            </w:r>
            <w:r w:rsidR="00E82A0A" w:rsidRPr="00E82A0A">
              <w:rPr>
                <w:i/>
              </w:rPr>
              <w:t xml:space="preserve"> response) after platinum-based </w:t>
            </w:r>
            <w:r w:rsidRPr="00E82A0A">
              <w:rPr>
                <w:i/>
              </w:rPr>
              <w:t>chemotherapy. Prior treatment must have included at le</w:t>
            </w:r>
            <w:r w:rsidR="00E82A0A" w:rsidRPr="00E82A0A">
              <w:rPr>
                <w:i/>
              </w:rPr>
              <w:t xml:space="preserve">ast 2 courses of platinum-based </w:t>
            </w:r>
            <w:r w:rsidR="00C20C37">
              <w:rPr>
                <w:i/>
              </w:rPr>
              <w:t>regimens.</w:t>
            </w:r>
          </w:p>
        </w:tc>
      </w:tr>
      <w:tr w:rsidR="008E7846" w:rsidRPr="00487162" w14:paraId="5FCAF356" w14:textId="77777777" w:rsidTr="00284449">
        <w:trPr>
          <w:gridAfter w:val="1"/>
          <w:wAfter w:w="45" w:type="dxa"/>
          <w:trHeight w:val="502"/>
        </w:trPr>
        <w:tc>
          <w:tcPr>
            <w:tcW w:w="2667" w:type="dxa"/>
          </w:tcPr>
          <w:p w14:paraId="4502223F" w14:textId="77777777" w:rsidR="008E7846" w:rsidRPr="00487162" w:rsidRDefault="00C20C37" w:rsidP="00E45619">
            <w:pPr>
              <w:rPr>
                <w:i/>
              </w:rPr>
            </w:pPr>
            <w:r>
              <w:rPr>
                <w:i/>
              </w:rPr>
              <w:t>Route</w:t>
            </w:r>
            <w:r w:rsidR="008E7846" w:rsidRPr="00487162">
              <w:rPr>
                <w:i/>
              </w:rPr>
              <w:t xml:space="preserve"> of administration:</w:t>
            </w:r>
          </w:p>
        </w:tc>
        <w:tc>
          <w:tcPr>
            <w:tcW w:w="5786" w:type="dxa"/>
            <w:gridSpan w:val="2"/>
          </w:tcPr>
          <w:p w14:paraId="7DE89C8E" w14:textId="77777777" w:rsidR="008E7846" w:rsidRPr="00487162" w:rsidRDefault="00E82A0A" w:rsidP="00E45619">
            <w:r>
              <w:t>Oral</w:t>
            </w:r>
          </w:p>
        </w:tc>
      </w:tr>
      <w:tr w:rsidR="008E7846" w:rsidRPr="00487162" w14:paraId="05945739" w14:textId="77777777" w:rsidTr="00284449">
        <w:trPr>
          <w:gridAfter w:val="1"/>
          <w:wAfter w:w="45" w:type="dxa"/>
          <w:trHeight w:val="502"/>
        </w:trPr>
        <w:tc>
          <w:tcPr>
            <w:tcW w:w="2667" w:type="dxa"/>
          </w:tcPr>
          <w:p w14:paraId="07E61EE9" w14:textId="77777777" w:rsidR="008E7846" w:rsidRPr="00487162" w:rsidRDefault="008E7846" w:rsidP="00E45619">
            <w:pPr>
              <w:rPr>
                <w:i/>
              </w:rPr>
            </w:pPr>
            <w:r w:rsidRPr="00487162">
              <w:rPr>
                <w:i/>
              </w:rPr>
              <w:t>Dosage:</w:t>
            </w:r>
          </w:p>
        </w:tc>
        <w:tc>
          <w:tcPr>
            <w:tcW w:w="5786" w:type="dxa"/>
            <w:gridSpan w:val="2"/>
          </w:tcPr>
          <w:p w14:paraId="223C7D01" w14:textId="77777777" w:rsidR="008E7846" w:rsidRPr="00487162" w:rsidRDefault="00C20C37" w:rsidP="007D2D19">
            <w:r>
              <w:t>Two 150 mg tablets taken twice daily (daily total dose of 600 mg). 100 mg tablet is available for dose reductions only.</w:t>
            </w:r>
            <w:r w:rsidR="007D2D19">
              <w:t xml:space="preserve"> For further details please refer to the Product Information.</w:t>
            </w:r>
          </w:p>
        </w:tc>
      </w:tr>
    </w:tbl>
    <w:p w14:paraId="26E2E09A" w14:textId="77777777" w:rsidR="008E7846" w:rsidRDefault="008E7846" w:rsidP="008E7846">
      <w:pPr>
        <w:pStyle w:val="Heading3"/>
      </w:pPr>
      <w:bookmarkStart w:id="13" w:name="_Toc247691503"/>
      <w:bookmarkStart w:id="14" w:name="_Toc314842484"/>
      <w:bookmarkStart w:id="15" w:name="_Toc23326191"/>
      <w:r>
        <w:lastRenderedPageBreak/>
        <w:t>Product background</w:t>
      </w:r>
      <w:bookmarkEnd w:id="13"/>
      <w:bookmarkEnd w:id="14"/>
      <w:bookmarkEnd w:id="15"/>
    </w:p>
    <w:p w14:paraId="68CF44F1" w14:textId="77777777" w:rsidR="008E7846" w:rsidRDefault="00940A89" w:rsidP="00940A89">
      <w:r w:rsidRPr="00940A89">
        <w:t xml:space="preserve">This AusPAR describes the application by </w:t>
      </w:r>
      <w:r w:rsidR="00C20C37">
        <w:t xml:space="preserve">AstraZeneca Pty Ltd (the sponsor) </w:t>
      </w:r>
      <w:r w:rsidRPr="00940A89">
        <w:t xml:space="preserve">to register </w:t>
      </w:r>
      <w:r w:rsidR="00D53BF6">
        <w:t xml:space="preserve">a new strength and dosage form of </w:t>
      </w:r>
      <w:r w:rsidR="00C20C37">
        <w:t>Lynparza (olaparib)</w:t>
      </w:r>
      <w:r w:rsidRPr="00940A89">
        <w:t xml:space="preserve"> </w:t>
      </w:r>
      <w:r w:rsidR="00D53BF6">
        <w:t xml:space="preserve">as a </w:t>
      </w:r>
      <w:r w:rsidR="00984369">
        <w:t xml:space="preserve">100 mg and 150 mg tablet formulation </w:t>
      </w:r>
      <w:r w:rsidRPr="00940A89">
        <w:t xml:space="preserve">for the following </w:t>
      </w:r>
      <w:r w:rsidR="00C20C37">
        <w:t>extension of indication:</w:t>
      </w:r>
    </w:p>
    <w:p w14:paraId="7294B8F3" w14:textId="77777777" w:rsidR="007D2D19" w:rsidRDefault="007D2D19" w:rsidP="007D2D19">
      <w:pPr>
        <w:ind w:left="720"/>
        <w:rPr>
          <w:i/>
        </w:rPr>
      </w:pPr>
      <w:r w:rsidRPr="007D2D19">
        <w:rPr>
          <w:i/>
        </w:rPr>
        <w:t>Olaparib is indicated as monotherapy for the maintenance treatment of adult patients with platinum sensitive relapsed high grade epithelial ovarian, fallopian tube, or primary peritoneal cancer who are in response (complete response or partial response) to platinum-based chemotherapy.</w:t>
      </w:r>
    </w:p>
    <w:p w14:paraId="4E883597" w14:textId="77777777" w:rsidR="00E7483A" w:rsidRDefault="004A12A3" w:rsidP="004A12A3">
      <w:pPr>
        <w:rPr>
          <w:lang w:eastAsia="ja-JP"/>
        </w:rPr>
      </w:pPr>
      <w:r w:rsidRPr="001E69D4">
        <w:rPr>
          <w:lang w:eastAsia="ja-JP"/>
        </w:rPr>
        <w:t>Ovarian cancer is a leading cause of death from gynaecological cancer and approximately 75% of cases</w:t>
      </w:r>
      <w:r w:rsidR="005B0B10">
        <w:rPr>
          <w:lang w:eastAsia="ja-JP"/>
        </w:rPr>
        <w:t xml:space="preserve"> present with advanced disease. </w:t>
      </w:r>
      <w:r w:rsidR="005B0B10" w:rsidRPr="00B8154F">
        <w:t>T</w:t>
      </w:r>
      <w:r w:rsidR="00834E4F">
        <w:t xml:space="preserve">he 5 </w:t>
      </w:r>
      <w:r w:rsidR="005B0B10">
        <w:t xml:space="preserve">year overall survival </w:t>
      </w:r>
      <w:r w:rsidR="005B0B10" w:rsidRPr="00B8154F">
        <w:t xml:space="preserve">of ovarian cancer patients is about 50% across all stages and </w:t>
      </w:r>
      <w:r w:rsidR="005B0B10">
        <w:t>&lt;</w:t>
      </w:r>
      <w:r w:rsidR="00156D57">
        <w:t xml:space="preserve"> </w:t>
      </w:r>
      <w:r w:rsidR="005B0B10" w:rsidRPr="00B8154F">
        <w:t xml:space="preserve">30% in patients with </w:t>
      </w:r>
      <w:r w:rsidR="005B0B10">
        <w:t xml:space="preserve">advanced or </w:t>
      </w:r>
      <w:r w:rsidR="005B0B10" w:rsidRPr="00B8154F">
        <w:t>metastatic disease</w:t>
      </w:r>
      <w:r w:rsidR="005B0B10">
        <w:t xml:space="preserve"> (stage III/IV).</w:t>
      </w:r>
      <w:r w:rsidR="00E7483A">
        <w:rPr>
          <w:lang w:eastAsia="ja-JP"/>
        </w:rPr>
        <w:t xml:space="preserve"> </w:t>
      </w:r>
      <w:r w:rsidR="005B0B10">
        <w:t xml:space="preserve">Most women have </w:t>
      </w:r>
      <w:r w:rsidR="005B0B10" w:rsidRPr="00B8154F">
        <w:t xml:space="preserve">primary debulking surgery, followed by adjuvant </w:t>
      </w:r>
      <w:r w:rsidR="00156D57">
        <w:t xml:space="preserve">platinum </w:t>
      </w:r>
      <w:r w:rsidR="005B0B10">
        <w:t>based chemotherapy</w:t>
      </w:r>
      <w:r w:rsidR="005B0B10" w:rsidRPr="00B8154F">
        <w:t>. Respo</w:t>
      </w:r>
      <w:r w:rsidR="00156D57">
        <w:t xml:space="preserve">nse rates are high in the first </w:t>
      </w:r>
      <w:r w:rsidR="005B0B10" w:rsidRPr="00B8154F">
        <w:t>line setting</w:t>
      </w:r>
      <w:r w:rsidR="005B0B10">
        <w:t xml:space="preserve"> (depending on the extent of post-surgical residual disease)</w:t>
      </w:r>
      <w:r w:rsidR="005B0B10" w:rsidRPr="00B8154F">
        <w:t xml:space="preserve">, but most </w:t>
      </w:r>
      <w:r w:rsidR="005B0B10">
        <w:t>women</w:t>
      </w:r>
      <w:r w:rsidR="005B0B10" w:rsidRPr="00B8154F">
        <w:t xml:space="preserve"> experience disease recurrence </w:t>
      </w:r>
      <w:r w:rsidR="00E7483A">
        <w:t xml:space="preserve">within 2 years and die within 3 to </w:t>
      </w:r>
      <w:r w:rsidR="005B0B10" w:rsidRPr="00B8154F">
        <w:t>4 years of diagnosis</w:t>
      </w:r>
      <w:r w:rsidR="00E7483A">
        <w:t xml:space="preserve"> (that is</w:t>
      </w:r>
      <w:r w:rsidR="005B0B10">
        <w:t xml:space="preserve">, recurrent ovarian cancer is incurable, with </w:t>
      </w:r>
      <w:r w:rsidR="00E7483A">
        <w:t>currently available treatments)</w:t>
      </w:r>
      <w:r>
        <w:rPr>
          <w:lang w:eastAsia="ja-JP"/>
        </w:rPr>
        <w:t xml:space="preserve">, </w:t>
      </w:r>
      <w:r w:rsidR="00E7483A">
        <w:rPr>
          <w:lang w:eastAsia="ja-JP"/>
        </w:rPr>
        <w:t>as such, new treatments are needed.</w:t>
      </w:r>
    </w:p>
    <w:p w14:paraId="5A7CD0AC" w14:textId="32E954A8" w:rsidR="004A12A3" w:rsidRPr="004A12A3" w:rsidRDefault="004A12A3" w:rsidP="004A12A3">
      <w:pPr>
        <w:rPr>
          <w:lang w:eastAsia="ja-JP"/>
        </w:rPr>
      </w:pPr>
      <w:r w:rsidRPr="00C23F27">
        <w:rPr>
          <w:lang w:eastAsia="ja-JP"/>
        </w:rPr>
        <w:t>Olaparib</w:t>
      </w:r>
      <w:r>
        <w:rPr>
          <w:lang w:eastAsia="ja-JP"/>
        </w:rPr>
        <w:t xml:space="preserve"> is an orally active, specific </w:t>
      </w:r>
      <w:r w:rsidR="00EC0A46">
        <w:t xml:space="preserve">poly adenosine diphosphate </w:t>
      </w:r>
      <w:r w:rsidR="00EC0A46" w:rsidRPr="00A06953">
        <w:t>r</w:t>
      </w:r>
      <w:r w:rsidR="00EC0A46">
        <w:t>ibose</w:t>
      </w:r>
      <w:r w:rsidR="00EC0A46" w:rsidRPr="00A06953">
        <w:t xml:space="preserve"> polymerase</w:t>
      </w:r>
      <w:r w:rsidR="00EC0A46">
        <w:rPr>
          <w:lang w:eastAsia="ja-JP"/>
        </w:rPr>
        <w:t xml:space="preserve"> (</w:t>
      </w:r>
      <w:r>
        <w:rPr>
          <w:lang w:eastAsia="ja-JP"/>
        </w:rPr>
        <w:t>PARP</w:t>
      </w:r>
      <w:r w:rsidR="00EC0A46">
        <w:rPr>
          <w:lang w:eastAsia="ja-JP"/>
        </w:rPr>
        <w:t>)</w:t>
      </w:r>
      <w:r>
        <w:rPr>
          <w:lang w:eastAsia="ja-JP"/>
        </w:rPr>
        <w:t xml:space="preserve"> inhibitor approved for use as </w:t>
      </w:r>
      <w:r w:rsidR="005E14B9">
        <w:rPr>
          <w:lang w:eastAsia="ja-JP"/>
        </w:rPr>
        <w:t xml:space="preserve">maintenance therapy in platinum </w:t>
      </w:r>
      <w:r>
        <w:rPr>
          <w:lang w:eastAsia="ja-JP"/>
        </w:rPr>
        <w:t xml:space="preserve">sensitive, advanced ovarian cancer. </w:t>
      </w:r>
      <w:r w:rsidRPr="00C23F27">
        <w:rPr>
          <w:lang w:eastAsia="ja-JP"/>
        </w:rPr>
        <w:t>Olaparib</w:t>
      </w:r>
      <w:r>
        <w:rPr>
          <w:lang w:eastAsia="ja-JP"/>
        </w:rPr>
        <w:t xml:space="preserve"> prolongs </w:t>
      </w:r>
      <w:r w:rsidR="00E7483A">
        <w:rPr>
          <w:lang w:eastAsia="ja-JP"/>
        </w:rPr>
        <w:t>progression free survival (</w:t>
      </w:r>
      <w:r>
        <w:rPr>
          <w:lang w:eastAsia="ja-JP"/>
        </w:rPr>
        <w:t>PFS</w:t>
      </w:r>
      <w:r w:rsidR="00E7483A">
        <w:rPr>
          <w:lang w:eastAsia="ja-JP"/>
        </w:rPr>
        <w:t>)</w:t>
      </w:r>
      <w:r>
        <w:rPr>
          <w:lang w:eastAsia="ja-JP"/>
        </w:rPr>
        <w:t xml:space="preserve"> with acceptable toxicity in patients with</w:t>
      </w:r>
      <w:r w:rsidR="00EC0A46" w:rsidRPr="00EC0A46">
        <w:t xml:space="preserve"> </w:t>
      </w:r>
      <w:r w:rsidR="00EC0A46">
        <w:t>b</w:t>
      </w:r>
      <w:r w:rsidR="00EC0A46" w:rsidRPr="00A06953">
        <w:t>r</w:t>
      </w:r>
      <w:r w:rsidR="00EC0A46">
        <w:t>east cancer susceptibility gene1 and 2 (</w:t>
      </w:r>
      <w:r w:rsidRPr="005446B6">
        <w:rPr>
          <w:lang w:eastAsia="ja-JP"/>
        </w:rPr>
        <w:t>BRCA1</w:t>
      </w:r>
      <w:r w:rsidRPr="004F04C3">
        <w:rPr>
          <w:lang w:eastAsia="ja-JP"/>
        </w:rPr>
        <w:t xml:space="preserve"> and </w:t>
      </w:r>
      <w:r w:rsidRPr="005446B6">
        <w:rPr>
          <w:lang w:eastAsia="ja-JP"/>
        </w:rPr>
        <w:t>BRCA2</w:t>
      </w:r>
      <w:r w:rsidR="00EC0A46" w:rsidRPr="00EC0A46">
        <w:rPr>
          <w:lang w:eastAsia="ja-JP"/>
        </w:rPr>
        <w:t>)</w:t>
      </w:r>
      <w:r>
        <w:rPr>
          <w:lang w:eastAsia="ja-JP"/>
        </w:rPr>
        <w:t xml:space="preserve"> mutations. </w:t>
      </w:r>
      <w:r w:rsidR="0022380A">
        <w:rPr>
          <w:lang w:eastAsia="ja-JP"/>
        </w:rPr>
        <w:t>In this submission the sponsor sought to extend the indications to patients without known deleterious or suspected deleterious BRCA mutations.</w:t>
      </w:r>
    </w:p>
    <w:p w14:paraId="015E4921" w14:textId="77777777" w:rsidR="008E7846" w:rsidRPr="003F31A2" w:rsidRDefault="00386150" w:rsidP="0022380A">
      <w:pPr>
        <w:pStyle w:val="Heading3"/>
      </w:pPr>
      <w:bookmarkStart w:id="16" w:name="_Toc314842485"/>
      <w:bookmarkStart w:id="17" w:name="_Toc247691504"/>
      <w:bookmarkStart w:id="18" w:name="_Toc23326192"/>
      <w:r>
        <w:t>Regulatory s</w:t>
      </w:r>
      <w:r w:rsidR="008E7846">
        <w:t>tatus</w:t>
      </w:r>
      <w:bookmarkEnd w:id="16"/>
      <w:bookmarkEnd w:id="17"/>
      <w:bookmarkEnd w:id="18"/>
    </w:p>
    <w:p w14:paraId="19282705" w14:textId="14397D1B" w:rsidR="008F6DAA" w:rsidRDefault="00940A89" w:rsidP="008F6DAA">
      <w:bookmarkStart w:id="19" w:name="_Toc247691505"/>
      <w:bookmarkStart w:id="20" w:name="_Toc314842486"/>
      <w:r w:rsidRPr="00940A89">
        <w:t>The product received initial registration on the Australian Register</w:t>
      </w:r>
      <w:r w:rsidR="008F6DAA">
        <w:t xml:space="preserve"> of Therapeutic Goods (ARTG) </w:t>
      </w:r>
      <w:r w:rsidR="004A12A3">
        <w:t xml:space="preserve">under </w:t>
      </w:r>
      <w:r w:rsidR="005446B6">
        <w:t>ARTG</w:t>
      </w:r>
      <w:r w:rsidR="004F04C3">
        <w:t xml:space="preserve"> registration </w:t>
      </w:r>
      <w:r w:rsidR="004A12A3">
        <w:t xml:space="preserve">234008 </w:t>
      </w:r>
      <w:r w:rsidR="008F6DAA">
        <w:t xml:space="preserve">on 7 January 2016 </w:t>
      </w:r>
      <w:r w:rsidR="0067104F">
        <w:t>(</w:t>
      </w:r>
      <w:r w:rsidR="004F04C3">
        <w:t xml:space="preserve">under </w:t>
      </w:r>
      <w:r w:rsidR="0067104F">
        <w:t>Submission PM</w:t>
      </w:r>
      <w:r w:rsidR="004F04C3">
        <w:noBreakHyphen/>
      </w:r>
      <w:r w:rsidR="0067104F">
        <w:t>2014</w:t>
      </w:r>
      <w:r w:rsidR="004F04C3">
        <w:noBreakHyphen/>
      </w:r>
      <w:r w:rsidR="0067104F">
        <w:t>04684</w:t>
      </w:r>
      <w:r w:rsidR="004F04C3">
        <w:noBreakHyphen/>
      </w:r>
      <w:r w:rsidR="0067104F">
        <w:t>1</w:t>
      </w:r>
      <w:r w:rsidR="004F04C3">
        <w:noBreakHyphen/>
      </w:r>
      <w:r w:rsidR="0067104F">
        <w:t xml:space="preserve">4) </w:t>
      </w:r>
      <w:r w:rsidR="008F6DAA">
        <w:t>with</w:t>
      </w:r>
      <w:r w:rsidR="003048B3">
        <w:t xml:space="preserve"> </w:t>
      </w:r>
      <w:r w:rsidR="005E14B9">
        <w:t>for a</w:t>
      </w:r>
      <w:r w:rsidR="008F6DAA">
        <w:t xml:space="preserve"> 50 mg capsule</w:t>
      </w:r>
      <w:r w:rsidR="0067104F">
        <w:t xml:space="preserve"> with the following indications</w:t>
      </w:r>
      <w:r w:rsidR="008F6DAA">
        <w:t>:</w:t>
      </w:r>
    </w:p>
    <w:p w14:paraId="346DAEDA" w14:textId="77777777" w:rsidR="008F6DAA" w:rsidRDefault="008F6DAA" w:rsidP="008F6DAA">
      <w:pPr>
        <w:ind w:left="720"/>
      </w:pPr>
      <w:r w:rsidRPr="006771E8">
        <w:rPr>
          <w:i/>
          <w:iCs/>
        </w:rPr>
        <w:t>Olaparib is indicated as monotherapy for the maintenance treatment of patients with</w:t>
      </w:r>
      <w:r>
        <w:rPr>
          <w:i/>
          <w:iCs/>
        </w:rPr>
        <w:t xml:space="preserve"> </w:t>
      </w:r>
      <w:r w:rsidRPr="006771E8">
        <w:rPr>
          <w:i/>
          <w:iCs/>
        </w:rPr>
        <w:t>platinum-sensitive relapsed BRCA-mutated (germline or somatic) high grade serous</w:t>
      </w:r>
      <w:r>
        <w:rPr>
          <w:i/>
          <w:iCs/>
        </w:rPr>
        <w:t xml:space="preserve"> </w:t>
      </w:r>
      <w:r w:rsidRPr="006771E8">
        <w:rPr>
          <w:i/>
          <w:iCs/>
        </w:rPr>
        <w:t>epithelial ovarian, fallopian tube or primary peritoneal cancer who are in response (complete</w:t>
      </w:r>
      <w:r>
        <w:rPr>
          <w:i/>
          <w:iCs/>
        </w:rPr>
        <w:t xml:space="preserve"> </w:t>
      </w:r>
      <w:r w:rsidRPr="006771E8">
        <w:rPr>
          <w:i/>
          <w:iCs/>
        </w:rPr>
        <w:t>response or partial response) after platinum-based chemotherapy. Prior treatment must have</w:t>
      </w:r>
      <w:r>
        <w:rPr>
          <w:i/>
          <w:iCs/>
        </w:rPr>
        <w:t xml:space="preserve"> </w:t>
      </w:r>
      <w:r w:rsidRPr="006771E8">
        <w:rPr>
          <w:i/>
          <w:iCs/>
        </w:rPr>
        <w:t>included at least 2 courses of platinum-based regimens.</w:t>
      </w:r>
    </w:p>
    <w:p w14:paraId="6ED9C3D6" w14:textId="741B5FCB" w:rsidR="004A12A3" w:rsidRPr="002D5934" w:rsidRDefault="004A12A3" w:rsidP="004A12A3">
      <w:r w:rsidRPr="005F2B4E">
        <w:t xml:space="preserve">In the current application, </w:t>
      </w:r>
      <w:r>
        <w:t>the sponsor</w:t>
      </w:r>
      <w:r w:rsidRPr="005F2B4E">
        <w:t xml:space="preserve"> has sought to register a </w:t>
      </w:r>
      <w:r w:rsidR="0067104F">
        <w:t xml:space="preserve">new formulation of olaparib; </w:t>
      </w:r>
      <w:r w:rsidRPr="005F2B4E">
        <w:t>100 and 150 mg tablet formulation</w:t>
      </w:r>
      <w:r w:rsidR="00202D15">
        <w:t>,</w:t>
      </w:r>
      <w:r w:rsidRPr="005F2B4E">
        <w:t xml:space="preserve"> with the following extension of indication</w:t>
      </w:r>
      <w:r w:rsidR="009F26CF">
        <w:t>s</w:t>
      </w:r>
      <w:r w:rsidRPr="005F2B4E">
        <w:t>:</w:t>
      </w:r>
    </w:p>
    <w:p w14:paraId="333ADABF" w14:textId="77777777" w:rsidR="004A12A3" w:rsidRPr="004A12A3" w:rsidRDefault="004A12A3" w:rsidP="004A12A3">
      <w:pPr>
        <w:ind w:left="720"/>
        <w:rPr>
          <w:i/>
        </w:rPr>
      </w:pPr>
      <w:r w:rsidRPr="004A12A3">
        <w:rPr>
          <w:i/>
        </w:rPr>
        <w:t>Olaparib is indicated as monotherapy for the maintenance treatment of adult patients with platinum sensitive relapsed high grade epithelial ovarian, fallopian tube, or primary peritoneal cancer who are in response (complete response or partial response) to platinum-based chemotherapy.</w:t>
      </w:r>
    </w:p>
    <w:p w14:paraId="73E6A621" w14:textId="178B5440" w:rsidR="00940A89" w:rsidRDefault="00940A89" w:rsidP="00940A89">
      <w:r w:rsidRPr="00940A89">
        <w:t xml:space="preserve">At the time the TGA considered this application, a similar application </w:t>
      </w:r>
      <w:r w:rsidR="00040C02" w:rsidRPr="005F2B4E">
        <w:t xml:space="preserve">to register </w:t>
      </w:r>
      <w:r w:rsidR="0067104F">
        <w:t>the</w:t>
      </w:r>
      <w:r w:rsidR="00040C02" w:rsidRPr="005F2B4E">
        <w:t xml:space="preserve"> 100</w:t>
      </w:r>
      <w:r w:rsidR="001F528E">
        <w:t> mg</w:t>
      </w:r>
      <w:r w:rsidR="009F26CF">
        <w:t xml:space="preserve"> </w:t>
      </w:r>
      <w:r w:rsidR="00040C02" w:rsidRPr="005F2B4E">
        <w:t>and 150 mg tablet formulation</w:t>
      </w:r>
      <w:r w:rsidR="001F528E">
        <w:t>s</w:t>
      </w:r>
      <w:r w:rsidR="00040C02" w:rsidRPr="00940A89">
        <w:t xml:space="preserve"> </w:t>
      </w:r>
      <w:r w:rsidRPr="00940A89">
        <w:t xml:space="preserve">had been approved </w:t>
      </w:r>
      <w:r w:rsidR="00040C02">
        <w:t xml:space="preserve">in the </w:t>
      </w:r>
      <w:r w:rsidR="001F528E">
        <w:t>United States of America (</w:t>
      </w:r>
      <w:r w:rsidR="00040C02">
        <w:t>USA</w:t>
      </w:r>
      <w:r w:rsidR="001F528E">
        <w:t>) on</w:t>
      </w:r>
      <w:r w:rsidR="00040C02">
        <w:t xml:space="preserve"> 17 August 2017</w:t>
      </w:r>
      <w:r w:rsidR="001F2220">
        <w:t xml:space="preserve"> and </w:t>
      </w:r>
      <w:r w:rsidRPr="00940A89">
        <w:t>was under co</w:t>
      </w:r>
      <w:r>
        <w:t xml:space="preserve">nsideration in </w:t>
      </w:r>
      <w:r w:rsidR="00040C02">
        <w:t xml:space="preserve">Canada, </w:t>
      </w:r>
      <w:r w:rsidR="001F528E">
        <w:t xml:space="preserve">the </w:t>
      </w:r>
      <w:r w:rsidR="00040C02">
        <w:t>European Union</w:t>
      </w:r>
      <w:r w:rsidR="001F528E">
        <w:t xml:space="preserve"> (EU),</w:t>
      </w:r>
      <w:r w:rsidR="00040C02">
        <w:t xml:space="preserve"> New Zealand and Switzerland, with plans to submit an application in Singapore (see</w:t>
      </w:r>
      <w:r w:rsidR="001F528E">
        <w:t> </w:t>
      </w:r>
      <w:r w:rsidR="00040C02">
        <w:t>Table 1)</w:t>
      </w:r>
      <w:r>
        <w:t>.</w:t>
      </w:r>
    </w:p>
    <w:p w14:paraId="72802A89" w14:textId="5DE6D937" w:rsidR="00040C02" w:rsidRDefault="00040C02" w:rsidP="00040C02">
      <w:pPr>
        <w:pStyle w:val="TableTitle"/>
      </w:pPr>
      <w:r>
        <w:lastRenderedPageBreak/>
        <w:t xml:space="preserve">Table 1: </w:t>
      </w:r>
      <w:r w:rsidR="00202D15">
        <w:t>Overseas</w:t>
      </w:r>
      <w:r>
        <w:t xml:space="preserve"> regulatory status </w:t>
      </w:r>
      <w:r w:rsidR="001F2220">
        <w:t xml:space="preserve">of Lynparza </w:t>
      </w:r>
      <w:r w:rsidR="001F2220" w:rsidRPr="005F2B4E">
        <w:t xml:space="preserve">100 </w:t>
      </w:r>
      <w:r w:rsidR="001F528E">
        <w:t xml:space="preserve">mg </w:t>
      </w:r>
      <w:r w:rsidR="001F2220" w:rsidRPr="005F2B4E">
        <w:t>and 150 mg tablet formulation</w:t>
      </w:r>
      <w:r w:rsidR="001F528E">
        <w:t>s</w:t>
      </w:r>
      <w:r w:rsidR="001F2220">
        <w:t xml:space="preserve"> </w:t>
      </w:r>
      <w:r>
        <w:t>as of 6 March 2018</w:t>
      </w:r>
    </w:p>
    <w:tbl>
      <w:tblPr>
        <w:tblStyle w:val="TableTGAblue"/>
        <w:tblW w:w="0" w:type="auto"/>
        <w:tblLook w:val="04A0" w:firstRow="1" w:lastRow="0" w:firstColumn="1" w:lastColumn="0" w:noHBand="0" w:noVBand="1"/>
      </w:tblPr>
      <w:tblGrid>
        <w:gridCol w:w="1405"/>
        <w:gridCol w:w="1380"/>
        <w:gridCol w:w="1576"/>
        <w:gridCol w:w="3964"/>
      </w:tblGrid>
      <w:tr w:rsidR="00202D15" w:rsidRPr="00040C02" w14:paraId="74A5D558" w14:textId="77777777" w:rsidTr="00202D15">
        <w:trPr>
          <w:cnfStyle w:val="100000000000" w:firstRow="1" w:lastRow="0" w:firstColumn="0" w:lastColumn="0" w:oddVBand="0" w:evenVBand="0" w:oddHBand="0" w:evenHBand="0" w:firstRowFirstColumn="0" w:firstRowLastColumn="0" w:lastRowFirstColumn="0" w:lastRowLastColumn="0"/>
          <w:trHeight w:val="487"/>
        </w:trPr>
        <w:tc>
          <w:tcPr>
            <w:tcW w:w="1405" w:type="dxa"/>
          </w:tcPr>
          <w:p w14:paraId="39ECAF00" w14:textId="77777777" w:rsidR="00202D15" w:rsidRPr="00040C02" w:rsidRDefault="00202D15" w:rsidP="00D53BF6">
            <w:pPr>
              <w:ind w:left="0" w:right="0"/>
              <w:rPr>
                <w:sz w:val="20"/>
                <w:szCs w:val="20"/>
              </w:rPr>
            </w:pPr>
            <w:r w:rsidRPr="00040C02">
              <w:rPr>
                <w:sz w:val="20"/>
                <w:szCs w:val="20"/>
              </w:rPr>
              <w:t>Region</w:t>
            </w:r>
          </w:p>
        </w:tc>
        <w:tc>
          <w:tcPr>
            <w:tcW w:w="1380" w:type="dxa"/>
          </w:tcPr>
          <w:p w14:paraId="480255C3" w14:textId="77777777" w:rsidR="00202D15" w:rsidRPr="00040C02" w:rsidRDefault="00202D15" w:rsidP="00D53BF6">
            <w:pPr>
              <w:ind w:left="0" w:right="0"/>
              <w:rPr>
                <w:sz w:val="20"/>
                <w:szCs w:val="20"/>
              </w:rPr>
            </w:pPr>
            <w:r>
              <w:rPr>
                <w:sz w:val="20"/>
                <w:szCs w:val="20"/>
              </w:rPr>
              <w:t>Submission d</w:t>
            </w:r>
            <w:r w:rsidRPr="00040C02">
              <w:rPr>
                <w:sz w:val="20"/>
                <w:szCs w:val="20"/>
              </w:rPr>
              <w:t>ate</w:t>
            </w:r>
          </w:p>
        </w:tc>
        <w:tc>
          <w:tcPr>
            <w:tcW w:w="1576" w:type="dxa"/>
          </w:tcPr>
          <w:p w14:paraId="1CA0ED9D" w14:textId="77777777" w:rsidR="00202D15" w:rsidRPr="00040C02" w:rsidRDefault="00202D15" w:rsidP="00D53BF6">
            <w:pPr>
              <w:ind w:left="0" w:right="0"/>
              <w:rPr>
                <w:sz w:val="20"/>
                <w:szCs w:val="20"/>
              </w:rPr>
            </w:pPr>
            <w:r>
              <w:rPr>
                <w:sz w:val="20"/>
                <w:szCs w:val="20"/>
              </w:rPr>
              <w:t>Approval status</w:t>
            </w:r>
          </w:p>
        </w:tc>
        <w:tc>
          <w:tcPr>
            <w:tcW w:w="3964" w:type="dxa"/>
          </w:tcPr>
          <w:p w14:paraId="64C8565B" w14:textId="77777777" w:rsidR="00202D15" w:rsidRPr="00040C02" w:rsidRDefault="00202D15" w:rsidP="00D53BF6">
            <w:pPr>
              <w:ind w:left="0" w:right="0"/>
              <w:rPr>
                <w:sz w:val="20"/>
                <w:szCs w:val="20"/>
              </w:rPr>
            </w:pPr>
            <w:r w:rsidRPr="00040C02">
              <w:rPr>
                <w:sz w:val="20"/>
                <w:szCs w:val="20"/>
              </w:rPr>
              <w:t>Indication</w:t>
            </w:r>
          </w:p>
        </w:tc>
      </w:tr>
      <w:tr w:rsidR="00202D15" w:rsidRPr="00040C02" w14:paraId="10827ACD" w14:textId="77777777" w:rsidTr="00202D15">
        <w:trPr>
          <w:trHeight w:val="3636"/>
        </w:trPr>
        <w:tc>
          <w:tcPr>
            <w:tcW w:w="1405" w:type="dxa"/>
          </w:tcPr>
          <w:p w14:paraId="18F68D94" w14:textId="77777777" w:rsidR="00202D15" w:rsidRPr="00040C02" w:rsidRDefault="00202D15" w:rsidP="00D53BF6">
            <w:pPr>
              <w:ind w:left="0" w:right="0"/>
              <w:rPr>
                <w:sz w:val="20"/>
                <w:szCs w:val="20"/>
              </w:rPr>
            </w:pPr>
            <w:r w:rsidRPr="00040C02">
              <w:rPr>
                <w:sz w:val="20"/>
                <w:szCs w:val="20"/>
              </w:rPr>
              <w:t>USA</w:t>
            </w:r>
          </w:p>
        </w:tc>
        <w:tc>
          <w:tcPr>
            <w:tcW w:w="1380" w:type="dxa"/>
          </w:tcPr>
          <w:p w14:paraId="45A21CF0" w14:textId="77777777" w:rsidR="00202D15" w:rsidRPr="00040C02" w:rsidRDefault="00202D15" w:rsidP="00D53BF6">
            <w:pPr>
              <w:ind w:left="0" w:right="0"/>
              <w:rPr>
                <w:sz w:val="20"/>
                <w:szCs w:val="20"/>
              </w:rPr>
            </w:pPr>
            <w:r>
              <w:rPr>
                <w:sz w:val="20"/>
                <w:szCs w:val="20"/>
              </w:rPr>
              <w:t>22 February 2017</w:t>
            </w:r>
          </w:p>
        </w:tc>
        <w:tc>
          <w:tcPr>
            <w:tcW w:w="1576" w:type="dxa"/>
          </w:tcPr>
          <w:p w14:paraId="773D0989" w14:textId="77777777" w:rsidR="00202D15" w:rsidRPr="001F2220" w:rsidRDefault="00202D15" w:rsidP="00D53BF6">
            <w:pPr>
              <w:ind w:left="0" w:right="0"/>
              <w:rPr>
                <w:i/>
                <w:sz w:val="20"/>
                <w:szCs w:val="20"/>
              </w:rPr>
            </w:pPr>
            <w:r>
              <w:rPr>
                <w:sz w:val="20"/>
                <w:szCs w:val="20"/>
              </w:rPr>
              <w:t>Approved 17 August 2017</w:t>
            </w:r>
          </w:p>
        </w:tc>
        <w:tc>
          <w:tcPr>
            <w:tcW w:w="3964" w:type="dxa"/>
          </w:tcPr>
          <w:p w14:paraId="7BA3D19D" w14:textId="77777777" w:rsidR="00202D15" w:rsidRPr="001F2220" w:rsidRDefault="00202D15" w:rsidP="00D53BF6">
            <w:pPr>
              <w:ind w:left="0" w:right="0"/>
              <w:rPr>
                <w:i/>
                <w:sz w:val="20"/>
                <w:szCs w:val="20"/>
              </w:rPr>
            </w:pPr>
            <w:r w:rsidRPr="001F2220">
              <w:rPr>
                <w:i/>
                <w:sz w:val="20"/>
                <w:szCs w:val="20"/>
              </w:rPr>
              <w:t>Lynparza is indicated for the maintenance treatment of adult patients with recurrent epithelial ovarian, fallopian tube or primary peritoneal cancer, who are in a complete or partial response to platinum-based chemotherapy.</w:t>
            </w:r>
          </w:p>
          <w:p w14:paraId="56AD762F" w14:textId="77777777" w:rsidR="00202D15" w:rsidRPr="00040C02" w:rsidRDefault="00202D15" w:rsidP="00D53BF6">
            <w:pPr>
              <w:ind w:left="0" w:right="0"/>
              <w:rPr>
                <w:sz w:val="20"/>
                <w:szCs w:val="20"/>
              </w:rPr>
            </w:pPr>
            <w:r w:rsidRPr="00040C02">
              <w:rPr>
                <w:sz w:val="20"/>
                <w:szCs w:val="20"/>
              </w:rPr>
              <w:t>and</w:t>
            </w:r>
          </w:p>
          <w:p w14:paraId="579BD68B" w14:textId="77777777" w:rsidR="00202D15" w:rsidRPr="001F2220" w:rsidRDefault="00202D15" w:rsidP="00D53BF6">
            <w:pPr>
              <w:ind w:left="0" w:right="0"/>
              <w:rPr>
                <w:i/>
                <w:sz w:val="20"/>
                <w:szCs w:val="20"/>
              </w:rPr>
            </w:pPr>
            <w:r w:rsidRPr="001F2220">
              <w:rPr>
                <w:i/>
                <w:sz w:val="20"/>
                <w:szCs w:val="20"/>
              </w:rPr>
              <w:t>Lynparza is indicated for the treatment of adult patients with deleterious or suspected deleterious germline BRCA-mutated (gBRCAm) advanced ovarian cancer who have been treated with three or more prior lines of chemotherapy. Select patients for therapy based on an FDA-approved companion diagnostic for Lynparza.</w:t>
            </w:r>
          </w:p>
        </w:tc>
      </w:tr>
      <w:tr w:rsidR="00202D15" w:rsidRPr="00040C02" w14:paraId="57C2AD58" w14:textId="77777777" w:rsidTr="00202D15">
        <w:trPr>
          <w:trHeight w:val="487"/>
        </w:trPr>
        <w:tc>
          <w:tcPr>
            <w:tcW w:w="1405" w:type="dxa"/>
          </w:tcPr>
          <w:p w14:paraId="78ADB7F3" w14:textId="77777777" w:rsidR="00202D15" w:rsidRPr="00040C02" w:rsidRDefault="00202D15" w:rsidP="00D53BF6">
            <w:pPr>
              <w:ind w:left="0" w:right="0"/>
              <w:rPr>
                <w:sz w:val="20"/>
                <w:szCs w:val="20"/>
              </w:rPr>
            </w:pPr>
            <w:r>
              <w:rPr>
                <w:sz w:val="20"/>
                <w:szCs w:val="20"/>
              </w:rPr>
              <w:t>Canada</w:t>
            </w:r>
          </w:p>
        </w:tc>
        <w:tc>
          <w:tcPr>
            <w:tcW w:w="1380" w:type="dxa"/>
          </w:tcPr>
          <w:p w14:paraId="3B76EF4C" w14:textId="77777777" w:rsidR="00202D15" w:rsidRPr="00040C02" w:rsidRDefault="00202D15" w:rsidP="00D53BF6">
            <w:pPr>
              <w:ind w:left="0" w:right="0"/>
              <w:rPr>
                <w:sz w:val="20"/>
                <w:szCs w:val="20"/>
              </w:rPr>
            </w:pPr>
            <w:r>
              <w:rPr>
                <w:sz w:val="20"/>
                <w:szCs w:val="20"/>
              </w:rPr>
              <w:t>5 May 2017</w:t>
            </w:r>
          </w:p>
        </w:tc>
        <w:tc>
          <w:tcPr>
            <w:tcW w:w="1576" w:type="dxa"/>
          </w:tcPr>
          <w:p w14:paraId="5CC70090" w14:textId="77777777" w:rsidR="00202D15" w:rsidRPr="00040C02" w:rsidRDefault="00202D15" w:rsidP="00D53BF6">
            <w:pPr>
              <w:ind w:left="0" w:right="0"/>
              <w:rPr>
                <w:sz w:val="20"/>
                <w:szCs w:val="20"/>
              </w:rPr>
            </w:pPr>
            <w:r>
              <w:rPr>
                <w:sz w:val="20"/>
                <w:szCs w:val="20"/>
              </w:rPr>
              <w:t>Under review</w:t>
            </w:r>
          </w:p>
        </w:tc>
        <w:tc>
          <w:tcPr>
            <w:tcW w:w="3964" w:type="dxa"/>
          </w:tcPr>
          <w:p w14:paraId="596D78DD" w14:textId="77777777" w:rsidR="00202D15" w:rsidRPr="00040C02" w:rsidRDefault="00202D15" w:rsidP="00D53BF6">
            <w:pPr>
              <w:ind w:left="0" w:right="0"/>
              <w:rPr>
                <w:sz w:val="20"/>
                <w:szCs w:val="20"/>
              </w:rPr>
            </w:pPr>
            <w:r>
              <w:rPr>
                <w:sz w:val="20"/>
                <w:szCs w:val="20"/>
              </w:rPr>
              <w:t>Under review</w:t>
            </w:r>
          </w:p>
        </w:tc>
      </w:tr>
      <w:tr w:rsidR="00202D15" w:rsidRPr="00040C02" w14:paraId="3529D79C" w14:textId="77777777" w:rsidTr="00202D15">
        <w:trPr>
          <w:trHeight w:val="475"/>
        </w:trPr>
        <w:tc>
          <w:tcPr>
            <w:tcW w:w="1405" w:type="dxa"/>
          </w:tcPr>
          <w:p w14:paraId="6280FADC" w14:textId="3C91FD32" w:rsidR="00202D15" w:rsidRPr="00040C02" w:rsidRDefault="00202D15" w:rsidP="00D53BF6">
            <w:pPr>
              <w:ind w:left="0" w:right="0"/>
              <w:rPr>
                <w:sz w:val="20"/>
                <w:szCs w:val="20"/>
              </w:rPr>
            </w:pPr>
            <w:r>
              <w:rPr>
                <w:sz w:val="20"/>
                <w:szCs w:val="20"/>
              </w:rPr>
              <w:t>European Union</w:t>
            </w:r>
            <w:r w:rsidR="001F528E">
              <w:rPr>
                <w:sz w:val="20"/>
                <w:szCs w:val="20"/>
              </w:rPr>
              <w:t xml:space="preserve"> (EU)</w:t>
            </w:r>
          </w:p>
        </w:tc>
        <w:tc>
          <w:tcPr>
            <w:tcW w:w="1380" w:type="dxa"/>
          </w:tcPr>
          <w:p w14:paraId="0924A75C" w14:textId="77777777" w:rsidR="00202D15" w:rsidRPr="00040C02" w:rsidRDefault="00202D15" w:rsidP="00D53BF6">
            <w:pPr>
              <w:ind w:left="0" w:right="0"/>
              <w:rPr>
                <w:sz w:val="20"/>
                <w:szCs w:val="20"/>
              </w:rPr>
            </w:pPr>
            <w:r>
              <w:rPr>
                <w:sz w:val="20"/>
                <w:szCs w:val="20"/>
              </w:rPr>
              <w:t>6 April 2017</w:t>
            </w:r>
          </w:p>
        </w:tc>
        <w:tc>
          <w:tcPr>
            <w:tcW w:w="1576" w:type="dxa"/>
          </w:tcPr>
          <w:p w14:paraId="5E353B4D" w14:textId="77777777" w:rsidR="00202D15" w:rsidRPr="001F2220" w:rsidRDefault="00202D15" w:rsidP="00D53BF6">
            <w:pPr>
              <w:ind w:left="0" w:right="0"/>
              <w:rPr>
                <w:sz w:val="20"/>
                <w:szCs w:val="20"/>
              </w:rPr>
            </w:pPr>
            <w:r>
              <w:rPr>
                <w:sz w:val="20"/>
                <w:szCs w:val="20"/>
              </w:rPr>
              <w:t>Under review</w:t>
            </w:r>
          </w:p>
        </w:tc>
        <w:tc>
          <w:tcPr>
            <w:tcW w:w="3964" w:type="dxa"/>
          </w:tcPr>
          <w:p w14:paraId="3B30F2BB" w14:textId="14ACAC64" w:rsidR="00202D15" w:rsidRPr="001F2220" w:rsidRDefault="00202D15" w:rsidP="00D53BF6">
            <w:pPr>
              <w:ind w:left="0" w:right="0"/>
              <w:rPr>
                <w:sz w:val="20"/>
                <w:szCs w:val="20"/>
              </w:rPr>
            </w:pPr>
            <w:r w:rsidRPr="001F2220">
              <w:rPr>
                <w:sz w:val="20"/>
                <w:szCs w:val="20"/>
              </w:rPr>
              <w:t xml:space="preserve">Positive </w:t>
            </w:r>
            <w:r w:rsidR="001E1FDB" w:rsidRPr="001E1FDB">
              <w:rPr>
                <w:sz w:val="20"/>
                <w:szCs w:val="20"/>
              </w:rPr>
              <w:t>Committee for Medicinal Products for Human Use</w:t>
            </w:r>
            <w:r w:rsidR="001E1FDB">
              <w:rPr>
                <w:sz w:val="20"/>
                <w:szCs w:val="20"/>
              </w:rPr>
              <w:t xml:space="preserve"> (</w:t>
            </w:r>
            <w:r w:rsidRPr="001F2220">
              <w:rPr>
                <w:sz w:val="20"/>
                <w:szCs w:val="20"/>
              </w:rPr>
              <w:t>CHMP</w:t>
            </w:r>
            <w:r w:rsidR="001E1FDB">
              <w:rPr>
                <w:sz w:val="20"/>
                <w:szCs w:val="20"/>
              </w:rPr>
              <w:t>)</w:t>
            </w:r>
            <w:r w:rsidRPr="001F2220">
              <w:rPr>
                <w:sz w:val="20"/>
                <w:szCs w:val="20"/>
              </w:rPr>
              <w:t xml:space="preserve"> opi</w:t>
            </w:r>
            <w:r>
              <w:rPr>
                <w:sz w:val="20"/>
                <w:szCs w:val="20"/>
              </w:rPr>
              <w:t xml:space="preserve">nion issued </w:t>
            </w:r>
            <w:r w:rsidRPr="001F2220">
              <w:rPr>
                <w:sz w:val="20"/>
                <w:szCs w:val="20"/>
              </w:rPr>
              <w:t>22</w:t>
            </w:r>
            <w:r w:rsidR="001F528E">
              <w:rPr>
                <w:sz w:val="20"/>
                <w:szCs w:val="20"/>
              </w:rPr>
              <w:t> </w:t>
            </w:r>
            <w:r w:rsidRPr="001F2220">
              <w:rPr>
                <w:sz w:val="20"/>
                <w:szCs w:val="20"/>
              </w:rPr>
              <w:t>February 2018</w:t>
            </w:r>
            <w:r>
              <w:rPr>
                <w:sz w:val="20"/>
                <w:szCs w:val="20"/>
              </w:rPr>
              <w:t xml:space="preserve"> for the following proposed indication.</w:t>
            </w:r>
          </w:p>
          <w:p w14:paraId="5FDCD024" w14:textId="77777777" w:rsidR="00202D15" w:rsidRPr="001F2220" w:rsidRDefault="00202D15" w:rsidP="00D53BF6">
            <w:pPr>
              <w:ind w:left="0" w:right="0"/>
              <w:rPr>
                <w:i/>
                <w:sz w:val="20"/>
                <w:szCs w:val="20"/>
              </w:rPr>
            </w:pPr>
            <w:r w:rsidRPr="001F2220">
              <w:rPr>
                <w:i/>
                <w:sz w:val="20"/>
                <w:szCs w:val="20"/>
              </w:rPr>
              <w:t>Lynparza is indicated as monotherapy for the maintenance treatment of adult patients with platinum-sensitive relapsed high-grade epithelial ovarian, fallopian tube, or primary peritoneal cancer who are in response (complete or partial) to platinum-based chemotherapy.</w:t>
            </w:r>
          </w:p>
        </w:tc>
      </w:tr>
      <w:tr w:rsidR="00202D15" w:rsidRPr="00040C02" w14:paraId="661569B5" w14:textId="77777777" w:rsidTr="00202D15">
        <w:trPr>
          <w:trHeight w:val="730"/>
        </w:trPr>
        <w:tc>
          <w:tcPr>
            <w:tcW w:w="1405" w:type="dxa"/>
          </w:tcPr>
          <w:p w14:paraId="2141500B" w14:textId="77777777" w:rsidR="00202D15" w:rsidRPr="00040C02" w:rsidRDefault="00202D15" w:rsidP="00D53BF6">
            <w:pPr>
              <w:ind w:left="0" w:right="0"/>
              <w:rPr>
                <w:sz w:val="20"/>
                <w:szCs w:val="20"/>
              </w:rPr>
            </w:pPr>
            <w:r>
              <w:rPr>
                <w:sz w:val="20"/>
                <w:szCs w:val="20"/>
              </w:rPr>
              <w:t>New Zealand</w:t>
            </w:r>
          </w:p>
        </w:tc>
        <w:tc>
          <w:tcPr>
            <w:tcW w:w="1380" w:type="dxa"/>
          </w:tcPr>
          <w:p w14:paraId="61A87DB3" w14:textId="77777777" w:rsidR="00202D15" w:rsidRPr="00040C02" w:rsidRDefault="00202D15" w:rsidP="00D53BF6">
            <w:pPr>
              <w:ind w:left="0" w:right="0"/>
              <w:rPr>
                <w:sz w:val="20"/>
                <w:szCs w:val="20"/>
              </w:rPr>
            </w:pPr>
            <w:r>
              <w:rPr>
                <w:sz w:val="20"/>
                <w:szCs w:val="20"/>
              </w:rPr>
              <w:t>8 December 2017</w:t>
            </w:r>
          </w:p>
        </w:tc>
        <w:tc>
          <w:tcPr>
            <w:tcW w:w="1576" w:type="dxa"/>
          </w:tcPr>
          <w:p w14:paraId="17EB35B7" w14:textId="77777777" w:rsidR="00202D15" w:rsidRPr="001F2220" w:rsidRDefault="00202D15" w:rsidP="00D53BF6">
            <w:pPr>
              <w:ind w:left="0" w:right="0"/>
              <w:rPr>
                <w:sz w:val="20"/>
                <w:szCs w:val="20"/>
              </w:rPr>
            </w:pPr>
            <w:r>
              <w:rPr>
                <w:sz w:val="20"/>
                <w:szCs w:val="20"/>
              </w:rPr>
              <w:t>Under review</w:t>
            </w:r>
          </w:p>
        </w:tc>
        <w:tc>
          <w:tcPr>
            <w:tcW w:w="3964" w:type="dxa"/>
          </w:tcPr>
          <w:p w14:paraId="3578605C" w14:textId="27931036" w:rsidR="00202D15" w:rsidRPr="00040C02" w:rsidRDefault="00202D15" w:rsidP="00D53BF6">
            <w:pPr>
              <w:ind w:left="0" w:right="0"/>
              <w:rPr>
                <w:sz w:val="20"/>
                <w:szCs w:val="20"/>
              </w:rPr>
            </w:pPr>
            <w:r w:rsidRPr="001F2220">
              <w:rPr>
                <w:sz w:val="20"/>
                <w:szCs w:val="20"/>
              </w:rPr>
              <w:t>Submission includes data to support indi</w:t>
            </w:r>
            <w:r>
              <w:rPr>
                <w:sz w:val="20"/>
                <w:szCs w:val="20"/>
              </w:rPr>
              <w:t xml:space="preserve">cations in ovarian </w:t>
            </w:r>
            <w:r w:rsidRPr="001F2220">
              <w:rPr>
                <w:sz w:val="20"/>
                <w:szCs w:val="20"/>
              </w:rPr>
              <w:t>cancer and breast ca</w:t>
            </w:r>
            <w:r>
              <w:rPr>
                <w:sz w:val="20"/>
                <w:szCs w:val="20"/>
              </w:rPr>
              <w:t xml:space="preserve">ncer consistent with Australian </w:t>
            </w:r>
            <w:r w:rsidRPr="001F2220">
              <w:rPr>
                <w:sz w:val="20"/>
                <w:szCs w:val="20"/>
              </w:rPr>
              <w:t>submissions PM-2017-01451-1-4 and PM</w:t>
            </w:r>
            <w:r w:rsidR="001F528E">
              <w:rPr>
                <w:sz w:val="20"/>
                <w:szCs w:val="20"/>
              </w:rPr>
              <w:noBreakHyphen/>
            </w:r>
            <w:r w:rsidRPr="001F2220">
              <w:rPr>
                <w:sz w:val="20"/>
                <w:szCs w:val="20"/>
              </w:rPr>
              <w:t>2017-03113-1-4.</w:t>
            </w:r>
          </w:p>
        </w:tc>
      </w:tr>
      <w:tr w:rsidR="00202D15" w:rsidRPr="00040C02" w14:paraId="75FE8EEF" w14:textId="77777777" w:rsidTr="00202D15">
        <w:trPr>
          <w:trHeight w:val="475"/>
        </w:trPr>
        <w:tc>
          <w:tcPr>
            <w:tcW w:w="1405" w:type="dxa"/>
          </w:tcPr>
          <w:p w14:paraId="5E853F1C" w14:textId="77777777" w:rsidR="00202D15" w:rsidRDefault="00202D15" w:rsidP="00D53BF6">
            <w:pPr>
              <w:ind w:left="0" w:right="0"/>
              <w:rPr>
                <w:sz w:val="20"/>
                <w:szCs w:val="20"/>
              </w:rPr>
            </w:pPr>
            <w:r>
              <w:rPr>
                <w:sz w:val="20"/>
                <w:szCs w:val="20"/>
              </w:rPr>
              <w:t>Switzerland</w:t>
            </w:r>
          </w:p>
        </w:tc>
        <w:tc>
          <w:tcPr>
            <w:tcW w:w="1380" w:type="dxa"/>
          </w:tcPr>
          <w:p w14:paraId="38D306C4" w14:textId="77777777" w:rsidR="00202D15" w:rsidRPr="00040C02" w:rsidRDefault="00202D15" w:rsidP="00D53BF6">
            <w:pPr>
              <w:ind w:left="0" w:right="0"/>
              <w:rPr>
                <w:sz w:val="20"/>
                <w:szCs w:val="20"/>
              </w:rPr>
            </w:pPr>
            <w:r>
              <w:rPr>
                <w:sz w:val="20"/>
                <w:szCs w:val="20"/>
              </w:rPr>
              <w:t>18 August 2017</w:t>
            </w:r>
          </w:p>
        </w:tc>
        <w:tc>
          <w:tcPr>
            <w:tcW w:w="1576" w:type="dxa"/>
          </w:tcPr>
          <w:p w14:paraId="12B74EC5" w14:textId="77777777" w:rsidR="00202D15" w:rsidRPr="001F2220" w:rsidRDefault="00202D15" w:rsidP="00D53BF6">
            <w:pPr>
              <w:ind w:left="0" w:right="0"/>
              <w:rPr>
                <w:sz w:val="20"/>
                <w:szCs w:val="20"/>
              </w:rPr>
            </w:pPr>
            <w:r>
              <w:rPr>
                <w:sz w:val="20"/>
                <w:szCs w:val="20"/>
              </w:rPr>
              <w:t>Under review</w:t>
            </w:r>
          </w:p>
        </w:tc>
        <w:tc>
          <w:tcPr>
            <w:tcW w:w="3964" w:type="dxa"/>
          </w:tcPr>
          <w:p w14:paraId="1D558C92" w14:textId="05B04B6F" w:rsidR="00202D15" w:rsidRPr="00040C02" w:rsidRDefault="00202D15" w:rsidP="00D53BF6">
            <w:pPr>
              <w:ind w:left="0" w:right="0"/>
              <w:rPr>
                <w:sz w:val="20"/>
                <w:szCs w:val="20"/>
              </w:rPr>
            </w:pPr>
            <w:r w:rsidRPr="001F2220">
              <w:rPr>
                <w:sz w:val="20"/>
                <w:szCs w:val="20"/>
              </w:rPr>
              <w:t>Submission includes data to</w:t>
            </w:r>
            <w:r>
              <w:rPr>
                <w:sz w:val="20"/>
                <w:szCs w:val="20"/>
              </w:rPr>
              <w:t xml:space="preserve"> support indications in ovarian </w:t>
            </w:r>
            <w:r w:rsidRPr="001F2220">
              <w:rPr>
                <w:sz w:val="20"/>
                <w:szCs w:val="20"/>
              </w:rPr>
              <w:t>cancer and breast ca</w:t>
            </w:r>
            <w:r>
              <w:rPr>
                <w:sz w:val="20"/>
                <w:szCs w:val="20"/>
              </w:rPr>
              <w:t xml:space="preserve">ncer consistent with Australian </w:t>
            </w:r>
            <w:r w:rsidRPr="001F2220">
              <w:rPr>
                <w:sz w:val="20"/>
                <w:szCs w:val="20"/>
              </w:rPr>
              <w:t>submissions PM-2017-01451-1-4 and PM</w:t>
            </w:r>
            <w:r w:rsidR="001F528E">
              <w:rPr>
                <w:sz w:val="20"/>
                <w:szCs w:val="20"/>
              </w:rPr>
              <w:noBreakHyphen/>
            </w:r>
            <w:r w:rsidRPr="001F2220">
              <w:rPr>
                <w:sz w:val="20"/>
                <w:szCs w:val="20"/>
              </w:rPr>
              <w:t>2017-03113-1-4</w:t>
            </w:r>
            <w:r>
              <w:rPr>
                <w:sz w:val="20"/>
                <w:szCs w:val="20"/>
              </w:rPr>
              <w:t>.</w:t>
            </w:r>
          </w:p>
        </w:tc>
      </w:tr>
      <w:tr w:rsidR="00202D15" w:rsidRPr="00040C02" w14:paraId="44712B39" w14:textId="77777777" w:rsidTr="00202D15">
        <w:trPr>
          <w:trHeight w:val="730"/>
        </w:trPr>
        <w:tc>
          <w:tcPr>
            <w:tcW w:w="1405" w:type="dxa"/>
          </w:tcPr>
          <w:p w14:paraId="41BE551E" w14:textId="77777777" w:rsidR="00202D15" w:rsidRDefault="00202D15" w:rsidP="00D53BF6">
            <w:pPr>
              <w:ind w:left="0" w:right="0"/>
              <w:rPr>
                <w:sz w:val="20"/>
                <w:szCs w:val="20"/>
              </w:rPr>
            </w:pPr>
            <w:r>
              <w:rPr>
                <w:sz w:val="20"/>
                <w:szCs w:val="20"/>
              </w:rPr>
              <w:t>Singapore</w:t>
            </w:r>
          </w:p>
        </w:tc>
        <w:tc>
          <w:tcPr>
            <w:tcW w:w="1380" w:type="dxa"/>
          </w:tcPr>
          <w:p w14:paraId="3DD44820" w14:textId="77777777" w:rsidR="00202D15" w:rsidRPr="00040C02" w:rsidRDefault="00202D15" w:rsidP="00D53BF6">
            <w:pPr>
              <w:ind w:left="0" w:right="0"/>
              <w:rPr>
                <w:sz w:val="20"/>
                <w:szCs w:val="20"/>
              </w:rPr>
            </w:pPr>
            <w:r>
              <w:rPr>
                <w:sz w:val="20"/>
                <w:szCs w:val="20"/>
              </w:rPr>
              <w:t>Plans to submit</w:t>
            </w:r>
          </w:p>
        </w:tc>
        <w:tc>
          <w:tcPr>
            <w:tcW w:w="1576" w:type="dxa"/>
          </w:tcPr>
          <w:p w14:paraId="13DFC081" w14:textId="77777777" w:rsidR="00202D15" w:rsidRPr="00040C02" w:rsidRDefault="00202D15" w:rsidP="00D53BF6">
            <w:pPr>
              <w:ind w:left="0" w:right="0"/>
              <w:rPr>
                <w:sz w:val="20"/>
                <w:szCs w:val="20"/>
              </w:rPr>
            </w:pPr>
          </w:p>
        </w:tc>
        <w:tc>
          <w:tcPr>
            <w:tcW w:w="3964" w:type="dxa"/>
          </w:tcPr>
          <w:p w14:paraId="09E8D648" w14:textId="77777777" w:rsidR="00202D15" w:rsidRPr="00040C02" w:rsidRDefault="00202D15" w:rsidP="00D53BF6">
            <w:pPr>
              <w:ind w:left="0" w:right="0"/>
              <w:rPr>
                <w:sz w:val="20"/>
                <w:szCs w:val="20"/>
              </w:rPr>
            </w:pPr>
          </w:p>
        </w:tc>
      </w:tr>
    </w:tbl>
    <w:p w14:paraId="449403D9" w14:textId="77777777" w:rsidR="008E7846" w:rsidRDefault="008E7846" w:rsidP="00940A89">
      <w:pPr>
        <w:pStyle w:val="Heading3"/>
      </w:pPr>
      <w:bookmarkStart w:id="21" w:name="_Toc23326193"/>
      <w:r>
        <w:lastRenderedPageBreak/>
        <w:t>Product Information</w:t>
      </w:r>
      <w:bookmarkEnd w:id="19"/>
      <w:bookmarkEnd w:id="20"/>
      <w:bookmarkEnd w:id="21"/>
    </w:p>
    <w:p w14:paraId="7D646303"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0F37595D" w14:textId="77777777" w:rsidR="00500337" w:rsidRDefault="00500337" w:rsidP="00500337">
      <w:pPr>
        <w:pStyle w:val="Heading2"/>
      </w:pPr>
      <w:bookmarkStart w:id="24" w:name="_Toc504480011"/>
      <w:bookmarkStart w:id="25" w:name="_Toc23326194"/>
      <w:r>
        <w:t>II. Registration time line</w:t>
      </w:r>
      <w:bookmarkEnd w:id="24"/>
      <w:bookmarkEnd w:id="25"/>
    </w:p>
    <w:p w14:paraId="596BEE38" w14:textId="77777777" w:rsidR="00500337" w:rsidRDefault="000A0DC3" w:rsidP="00500337">
      <w:r>
        <w:t>Table 2</w:t>
      </w:r>
      <w:r w:rsidR="00500337">
        <w:t xml:space="preserve"> captures the key steps and dates for this application and which are detailed and discussed in this AusPAR.</w:t>
      </w:r>
    </w:p>
    <w:p w14:paraId="1C9EC558" w14:textId="77777777" w:rsidR="00500337" w:rsidRPr="00377BD4" w:rsidRDefault="005E14B9" w:rsidP="003C771E">
      <w:pPr>
        <w:pStyle w:val="TableTitle"/>
      </w:pPr>
      <w:r>
        <w:t>Table 2:</w:t>
      </w:r>
      <w:r w:rsidR="006A58A8" w:rsidRPr="006A58A8">
        <w:t xml:space="preserve"> Timeline for Submission PM-</w:t>
      </w:r>
      <w:r w:rsidR="003C771E">
        <w:t>2017-01451-1-4</w:t>
      </w:r>
    </w:p>
    <w:tbl>
      <w:tblPr>
        <w:tblStyle w:val="TableTGAblue"/>
        <w:tblW w:w="0" w:type="auto"/>
        <w:tblLook w:val="04A0" w:firstRow="1" w:lastRow="0" w:firstColumn="1" w:lastColumn="0" w:noHBand="0" w:noVBand="1"/>
      </w:tblPr>
      <w:tblGrid>
        <w:gridCol w:w="5353"/>
        <w:gridCol w:w="2433"/>
      </w:tblGrid>
      <w:tr w:rsidR="00500337" w14:paraId="0C0C36F5" w14:textId="77777777" w:rsidTr="005E14B9">
        <w:trPr>
          <w:cnfStyle w:val="100000000000" w:firstRow="1" w:lastRow="0" w:firstColumn="0" w:lastColumn="0" w:oddVBand="0" w:evenVBand="0" w:oddHBand="0" w:evenHBand="0" w:firstRowFirstColumn="0" w:firstRowLastColumn="0" w:lastRowFirstColumn="0" w:lastRowLastColumn="0"/>
          <w:cantSplit/>
          <w:trHeight w:val="499"/>
        </w:trPr>
        <w:tc>
          <w:tcPr>
            <w:tcW w:w="5353" w:type="dxa"/>
          </w:tcPr>
          <w:p w14:paraId="12058322" w14:textId="77777777" w:rsidR="00500337" w:rsidRDefault="00500337" w:rsidP="00500337">
            <w:pPr>
              <w:ind w:left="0" w:right="0"/>
            </w:pPr>
            <w:r>
              <w:t>Description</w:t>
            </w:r>
          </w:p>
        </w:tc>
        <w:tc>
          <w:tcPr>
            <w:tcW w:w="2433" w:type="dxa"/>
          </w:tcPr>
          <w:p w14:paraId="788471BC" w14:textId="77777777" w:rsidR="00500337" w:rsidRDefault="00500337" w:rsidP="00500337">
            <w:pPr>
              <w:ind w:left="0" w:right="0"/>
            </w:pPr>
            <w:r>
              <w:t>Date</w:t>
            </w:r>
          </w:p>
        </w:tc>
      </w:tr>
      <w:tr w:rsidR="00500337" w14:paraId="01FA1E1A" w14:textId="77777777" w:rsidTr="005E14B9">
        <w:trPr>
          <w:trHeight w:val="754"/>
        </w:trPr>
        <w:tc>
          <w:tcPr>
            <w:tcW w:w="5353" w:type="dxa"/>
          </w:tcPr>
          <w:p w14:paraId="4BA4F9A5" w14:textId="77777777" w:rsidR="00500337" w:rsidRDefault="00500337" w:rsidP="00500337">
            <w:pPr>
              <w:ind w:left="0" w:right="0"/>
            </w:pPr>
            <w:r>
              <w:t>Submission dossier accepted and first round evaluation commenced</w:t>
            </w:r>
          </w:p>
        </w:tc>
        <w:tc>
          <w:tcPr>
            <w:tcW w:w="2433" w:type="dxa"/>
          </w:tcPr>
          <w:p w14:paraId="130A01F7" w14:textId="77777777" w:rsidR="00500337" w:rsidRDefault="00531D68" w:rsidP="00500337">
            <w:pPr>
              <w:ind w:left="0" w:right="0"/>
            </w:pPr>
            <w:r w:rsidRPr="003114D2">
              <w:t>31 May 2017</w:t>
            </w:r>
          </w:p>
        </w:tc>
      </w:tr>
      <w:tr w:rsidR="00500337" w14:paraId="16E17A68" w14:textId="77777777" w:rsidTr="005E14B9">
        <w:trPr>
          <w:trHeight w:val="499"/>
        </w:trPr>
        <w:tc>
          <w:tcPr>
            <w:tcW w:w="5353" w:type="dxa"/>
          </w:tcPr>
          <w:p w14:paraId="736175DA" w14:textId="77777777" w:rsidR="00500337" w:rsidRDefault="00500337" w:rsidP="00500337">
            <w:pPr>
              <w:ind w:left="0" w:right="0"/>
            </w:pPr>
            <w:r>
              <w:t>First round evaluation completed</w:t>
            </w:r>
          </w:p>
        </w:tc>
        <w:tc>
          <w:tcPr>
            <w:tcW w:w="2433" w:type="dxa"/>
          </w:tcPr>
          <w:p w14:paraId="7CF3250E" w14:textId="77777777" w:rsidR="00500337" w:rsidRDefault="00531D68" w:rsidP="00500337">
            <w:pPr>
              <w:ind w:left="0" w:right="0"/>
            </w:pPr>
            <w:r>
              <w:t>7 February 2018</w:t>
            </w:r>
          </w:p>
        </w:tc>
      </w:tr>
      <w:tr w:rsidR="00500337" w14:paraId="22B0BDF4" w14:textId="77777777" w:rsidTr="005E14B9">
        <w:trPr>
          <w:trHeight w:val="765"/>
        </w:trPr>
        <w:tc>
          <w:tcPr>
            <w:tcW w:w="5353" w:type="dxa"/>
          </w:tcPr>
          <w:p w14:paraId="6321A60B" w14:textId="77777777" w:rsidR="00500337" w:rsidRDefault="00500337" w:rsidP="00500337">
            <w:pPr>
              <w:ind w:left="0" w:right="0"/>
            </w:pPr>
            <w:r>
              <w:t>Sponsor provides responses on questions raised in first round evaluation</w:t>
            </w:r>
          </w:p>
        </w:tc>
        <w:tc>
          <w:tcPr>
            <w:tcW w:w="2433" w:type="dxa"/>
          </w:tcPr>
          <w:p w14:paraId="1CEBF207" w14:textId="77777777" w:rsidR="00500337" w:rsidRDefault="00531D68" w:rsidP="00500337">
            <w:pPr>
              <w:ind w:left="0" w:right="0"/>
            </w:pPr>
            <w:r>
              <w:t>22 February 2018</w:t>
            </w:r>
          </w:p>
        </w:tc>
      </w:tr>
      <w:tr w:rsidR="00500337" w14:paraId="53DECBB5" w14:textId="77777777" w:rsidTr="005E14B9">
        <w:trPr>
          <w:trHeight w:val="754"/>
        </w:trPr>
        <w:tc>
          <w:tcPr>
            <w:tcW w:w="5353" w:type="dxa"/>
          </w:tcPr>
          <w:p w14:paraId="7173F116" w14:textId="77777777" w:rsidR="00500337" w:rsidRDefault="00500337" w:rsidP="00500337">
            <w:pPr>
              <w:ind w:left="0" w:right="0"/>
            </w:pPr>
            <w:r>
              <w:t>Delegate’s Overall benefit-risk assessment and request for Advisory Committee advice</w:t>
            </w:r>
          </w:p>
        </w:tc>
        <w:tc>
          <w:tcPr>
            <w:tcW w:w="2433" w:type="dxa"/>
          </w:tcPr>
          <w:p w14:paraId="07F4C2B8" w14:textId="77777777" w:rsidR="00500337" w:rsidRDefault="00531D68" w:rsidP="00500337">
            <w:pPr>
              <w:ind w:left="0" w:right="0"/>
            </w:pPr>
            <w:r>
              <w:t>26 February 2018</w:t>
            </w:r>
          </w:p>
        </w:tc>
      </w:tr>
      <w:tr w:rsidR="00500337" w14:paraId="50ACAC06" w14:textId="77777777" w:rsidTr="005E14B9">
        <w:trPr>
          <w:trHeight w:val="754"/>
        </w:trPr>
        <w:tc>
          <w:tcPr>
            <w:tcW w:w="5353" w:type="dxa"/>
          </w:tcPr>
          <w:p w14:paraId="2539C7CE" w14:textId="77777777" w:rsidR="00500337" w:rsidRDefault="00500337" w:rsidP="00500337">
            <w:pPr>
              <w:ind w:left="0" w:right="0"/>
            </w:pPr>
            <w:r>
              <w:t>Sponsor’s pre-Advisory Committee response</w:t>
            </w:r>
          </w:p>
        </w:tc>
        <w:tc>
          <w:tcPr>
            <w:tcW w:w="2433" w:type="dxa"/>
          </w:tcPr>
          <w:p w14:paraId="34B2F6A3" w14:textId="77777777" w:rsidR="00500337" w:rsidRDefault="00531D68" w:rsidP="00500337">
            <w:pPr>
              <w:ind w:left="0" w:right="0"/>
            </w:pPr>
            <w:r>
              <w:t>2 March 2018</w:t>
            </w:r>
          </w:p>
        </w:tc>
      </w:tr>
      <w:tr w:rsidR="003048B3" w14:paraId="2FC287BB" w14:textId="77777777" w:rsidTr="005E14B9">
        <w:trPr>
          <w:trHeight w:val="499"/>
        </w:trPr>
        <w:tc>
          <w:tcPr>
            <w:tcW w:w="5353" w:type="dxa"/>
          </w:tcPr>
          <w:p w14:paraId="0B502FBC" w14:textId="77777777" w:rsidR="003048B3" w:rsidRPr="003048B3" w:rsidRDefault="003048B3" w:rsidP="005A0576">
            <w:pPr>
              <w:ind w:left="0" w:right="0"/>
            </w:pPr>
            <w:r w:rsidRPr="003048B3">
              <w:t>Second round evaluation completed</w:t>
            </w:r>
          </w:p>
        </w:tc>
        <w:tc>
          <w:tcPr>
            <w:tcW w:w="2433" w:type="dxa"/>
          </w:tcPr>
          <w:p w14:paraId="1E43F2B3" w14:textId="77777777" w:rsidR="003048B3" w:rsidRPr="003048B3" w:rsidRDefault="003048B3" w:rsidP="005A0576">
            <w:pPr>
              <w:ind w:left="0" w:right="0"/>
            </w:pPr>
            <w:r w:rsidRPr="003048B3">
              <w:t>18 May 2018</w:t>
            </w:r>
          </w:p>
        </w:tc>
      </w:tr>
      <w:tr w:rsidR="00500337" w14:paraId="719A54F9" w14:textId="77777777" w:rsidTr="005E14B9">
        <w:trPr>
          <w:trHeight w:val="499"/>
        </w:trPr>
        <w:tc>
          <w:tcPr>
            <w:tcW w:w="5353" w:type="dxa"/>
          </w:tcPr>
          <w:p w14:paraId="54DDEE71" w14:textId="77777777" w:rsidR="00500337" w:rsidRDefault="00500337" w:rsidP="00500337">
            <w:pPr>
              <w:ind w:left="0" w:right="0"/>
            </w:pPr>
            <w:r>
              <w:t>Registration decision (Outcome)</w:t>
            </w:r>
          </w:p>
        </w:tc>
        <w:tc>
          <w:tcPr>
            <w:tcW w:w="2433" w:type="dxa"/>
          </w:tcPr>
          <w:p w14:paraId="61115943" w14:textId="77777777" w:rsidR="00500337" w:rsidRDefault="003C771E" w:rsidP="00500337">
            <w:pPr>
              <w:ind w:left="0" w:right="0"/>
            </w:pPr>
            <w:r>
              <w:t>18 May 2018</w:t>
            </w:r>
          </w:p>
        </w:tc>
      </w:tr>
      <w:tr w:rsidR="00500337" w14:paraId="1B616499" w14:textId="77777777" w:rsidTr="005E14B9">
        <w:trPr>
          <w:trHeight w:val="765"/>
        </w:trPr>
        <w:tc>
          <w:tcPr>
            <w:tcW w:w="5353" w:type="dxa"/>
          </w:tcPr>
          <w:p w14:paraId="48BADB67" w14:textId="77777777" w:rsidR="00500337" w:rsidRDefault="00500337" w:rsidP="00500337">
            <w:pPr>
              <w:ind w:left="0" w:right="0"/>
            </w:pPr>
            <w:r>
              <w:t>Completion of administrative activities and registration on ARTG</w:t>
            </w:r>
          </w:p>
        </w:tc>
        <w:tc>
          <w:tcPr>
            <w:tcW w:w="2433" w:type="dxa"/>
          </w:tcPr>
          <w:p w14:paraId="437FDD81" w14:textId="77777777" w:rsidR="00500337" w:rsidRDefault="003C771E" w:rsidP="00500337">
            <w:pPr>
              <w:ind w:left="0" w:right="0"/>
            </w:pPr>
            <w:r>
              <w:t>23 May 2018</w:t>
            </w:r>
          </w:p>
        </w:tc>
      </w:tr>
      <w:tr w:rsidR="00500337" w14:paraId="54F14E69" w14:textId="77777777" w:rsidTr="005E14B9">
        <w:trPr>
          <w:trHeight w:val="765"/>
        </w:trPr>
        <w:tc>
          <w:tcPr>
            <w:tcW w:w="5353" w:type="dxa"/>
          </w:tcPr>
          <w:p w14:paraId="025D070B" w14:textId="77777777" w:rsidR="00500337" w:rsidRDefault="00500337" w:rsidP="00500337">
            <w:pPr>
              <w:ind w:left="0" w:right="0"/>
            </w:pPr>
            <w:r>
              <w:t>Number of working days from submission dossier acceptance to registration decision*</w:t>
            </w:r>
          </w:p>
        </w:tc>
        <w:tc>
          <w:tcPr>
            <w:tcW w:w="2433" w:type="dxa"/>
          </w:tcPr>
          <w:p w14:paraId="45E3F315" w14:textId="77777777" w:rsidR="00500337" w:rsidRDefault="00531D68" w:rsidP="00500337">
            <w:pPr>
              <w:ind w:left="0" w:right="0"/>
            </w:pPr>
            <w:r>
              <w:t>231</w:t>
            </w:r>
          </w:p>
        </w:tc>
      </w:tr>
    </w:tbl>
    <w:p w14:paraId="485A048F"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06DC9CD" w14:textId="77777777" w:rsidR="00500337" w:rsidRDefault="00500337" w:rsidP="00500337">
      <w:r>
        <w:t>Evaluations included under Quality findings and Nonclinical findings incorporate both the first and second round evaluations.</w:t>
      </w:r>
    </w:p>
    <w:p w14:paraId="4EE38DDF" w14:textId="77777777" w:rsidR="008E7846" w:rsidRPr="003602A9" w:rsidRDefault="00500337" w:rsidP="008E7846">
      <w:pPr>
        <w:pStyle w:val="Heading2"/>
        <w:ind w:left="-11"/>
      </w:pPr>
      <w:bookmarkStart w:id="26" w:name="_Toc23326195"/>
      <w:r>
        <w:t>I</w:t>
      </w:r>
      <w:r w:rsidR="008E7846">
        <w:t>II. Quality</w:t>
      </w:r>
      <w:bookmarkEnd w:id="1"/>
      <w:r w:rsidR="008E7846">
        <w:t xml:space="preserve"> findings</w:t>
      </w:r>
      <w:bookmarkEnd w:id="22"/>
      <w:bookmarkEnd w:id="23"/>
      <w:bookmarkEnd w:id="26"/>
    </w:p>
    <w:p w14:paraId="0AC67A08" w14:textId="77777777" w:rsidR="00E2243A" w:rsidRDefault="00940A89" w:rsidP="00940A89">
      <w:pPr>
        <w:pStyle w:val="Heading3"/>
      </w:pPr>
      <w:bookmarkStart w:id="27" w:name="_Toc247691507"/>
      <w:bookmarkStart w:id="28" w:name="_Toc314842488"/>
      <w:bookmarkStart w:id="29" w:name="_Toc23326196"/>
      <w:r w:rsidRPr="00940A89">
        <w:t>Introduction</w:t>
      </w:r>
      <w:bookmarkEnd w:id="29"/>
    </w:p>
    <w:p w14:paraId="7B444C76" w14:textId="77777777" w:rsidR="00E2243A" w:rsidRPr="00E2243A" w:rsidRDefault="0020141A" w:rsidP="00E2243A">
      <w:r>
        <w:t>The sponsor</w:t>
      </w:r>
      <w:r w:rsidR="00E2243A" w:rsidRPr="00E2243A">
        <w:t xml:space="preserve"> has applied to register olaparib 100 mg and 150 mg film coated tablets under the trade name Lynparza in blister packs containing</w:t>
      </w:r>
      <w:r w:rsidR="00E2243A">
        <w:t xml:space="preserve"> 56 tablets and 112 tablets (2 cartons of 56). </w:t>
      </w:r>
      <w:r w:rsidR="00E2243A" w:rsidRPr="00E2243A">
        <w:t xml:space="preserve">The sponsor has </w:t>
      </w:r>
      <w:r w:rsidR="00E2243A">
        <w:t xml:space="preserve">previously </w:t>
      </w:r>
      <w:r w:rsidR="00E2243A" w:rsidRPr="00E2243A">
        <w:t xml:space="preserve">registered 50 mg hard capsules </w:t>
      </w:r>
      <w:r w:rsidR="0067104F" w:rsidRPr="00E2243A">
        <w:t xml:space="preserve">in bottles </w:t>
      </w:r>
      <w:r w:rsidR="00E2243A" w:rsidRPr="00E2243A">
        <w:t>under the same trade name.</w:t>
      </w:r>
    </w:p>
    <w:p w14:paraId="0636369E" w14:textId="77777777" w:rsidR="008E7846" w:rsidRDefault="008E7846" w:rsidP="00940A89">
      <w:pPr>
        <w:pStyle w:val="Heading3"/>
      </w:pPr>
      <w:bookmarkStart w:id="30" w:name="_Toc23326197"/>
      <w:r w:rsidRPr="008751DC">
        <w:lastRenderedPageBreak/>
        <w:t xml:space="preserve">Drug </w:t>
      </w:r>
      <w:r>
        <w:t>s</w:t>
      </w:r>
      <w:r w:rsidRPr="008751DC">
        <w:t>ubstance</w:t>
      </w:r>
      <w:r>
        <w:t xml:space="preserve"> (active ingredient)</w:t>
      </w:r>
      <w:bookmarkEnd w:id="27"/>
      <w:bookmarkEnd w:id="28"/>
      <w:bookmarkEnd w:id="30"/>
    </w:p>
    <w:p w14:paraId="68DA06AA" w14:textId="77777777" w:rsidR="00E2243A" w:rsidRDefault="00E2243A" w:rsidP="00E2243A">
      <w:r>
        <w:t xml:space="preserve">The structure of olaparib, </w:t>
      </w:r>
      <w:r w:rsidRPr="0097610E">
        <w:t>4-</w:t>
      </w:r>
      <w:r w:rsidR="006B59CC">
        <w:t xml:space="preserve"> (</w:t>
      </w:r>
      <w:r w:rsidR="003C2823">
        <w:t>(</w:t>
      </w:r>
      <w:r w:rsidRPr="0097610E">
        <w:t>3-</w:t>
      </w:r>
      <w:r w:rsidR="006B59CC">
        <w:t xml:space="preserve"> (</w:t>
      </w:r>
      <w:r w:rsidR="003C2823">
        <w:t>(</w:t>
      </w:r>
      <w:r w:rsidRPr="0097610E">
        <w:t>4-(cyclopropylcarbonyl)-1-piperazinyl</w:t>
      </w:r>
      <w:r w:rsidR="003C2823">
        <w:t>)</w:t>
      </w:r>
      <w:r w:rsidR="006B59CC">
        <w:t xml:space="preserve"> </w:t>
      </w:r>
      <w:r w:rsidRPr="0097610E">
        <w:t>carbonyl</w:t>
      </w:r>
      <w:r w:rsidR="003C2823">
        <w:t>)</w:t>
      </w:r>
      <w:r w:rsidRPr="0097610E">
        <w:t>-4-fluorophenyl</w:t>
      </w:r>
      <w:r w:rsidR="003C2823">
        <w:t>)</w:t>
      </w:r>
      <w:r w:rsidR="006B59CC">
        <w:t xml:space="preserve"> </w:t>
      </w:r>
      <w:r w:rsidRPr="0097610E">
        <w:t>methyl</w:t>
      </w:r>
      <w:r w:rsidR="003C2823">
        <w:t>)</w:t>
      </w:r>
      <w:r w:rsidRPr="000A0DC3">
        <w:t>-1(2</w:t>
      </w:r>
      <w:r w:rsidRPr="000A0DC3">
        <w:rPr>
          <w:iCs/>
        </w:rPr>
        <w:t>H</w:t>
      </w:r>
      <w:r w:rsidRPr="000A0DC3">
        <w:t>)-phthalazinone</w:t>
      </w:r>
      <w:r>
        <w:t xml:space="preserve">, </w:t>
      </w:r>
      <w:r w:rsidRPr="00E75F0A">
        <w:t xml:space="preserve">is </w:t>
      </w:r>
      <w:r w:rsidR="003048B3">
        <w:t>shown in Figure 1</w:t>
      </w:r>
      <w:r>
        <w:t>.</w:t>
      </w:r>
    </w:p>
    <w:p w14:paraId="0F3E9B9A" w14:textId="77777777" w:rsidR="00E2243A" w:rsidRPr="00E75F0A" w:rsidRDefault="00E2243A" w:rsidP="00E2243A">
      <w:pPr>
        <w:pStyle w:val="FigureTitle"/>
      </w:pPr>
      <w:r>
        <w:t>Figure 1:</w:t>
      </w:r>
      <w:r w:rsidRPr="00812EBC">
        <w:t xml:space="preserve"> </w:t>
      </w:r>
      <w:r>
        <w:t>Olaparib chemical structure</w:t>
      </w:r>
    </w:p>
    <w:p w14:paraId="6FE40F60" w14:textId="77777777" w:rsidR="00E2243A" w:rsidRPr="00E75F0A" w:rsidRDefault="00E2243A" w:rsidP="00E2243A">
      <w:r w:rsidRPr="00E75F0A">
        <w:rPr>
          <w:noProof/>
          <w:lang w:eastAsia="en-AU"/>
        </w:rPr>
        <w:drawing>
          <wp:inline distT="0" distB="0" distL="0" distR="0" wp14:anchorId="6A020B1C" wp14:editId="6B711E0A">
            <wp:extent cx="2124075" cy="1402181"/>
            <wp:effectExtent l="0" t="0" r="0" b="7620"/>
            <wp:docPr id="2" name="Picture 2" descr="Olaparib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20" cy="1402144"/>
                    </a:xfrm>
                    <a:prstGeom prst="rect">
                      <a:avLst/>
                    </a:prstGeom>
                    <a:noFill/>
                    <a:ln>
                      <a:noFill/>
                    </a:ln>
                  </pic:spPr>
                </pic:pic>
              </a:graphicData>
            </a:graphic>
          </wp:inline>
        </w:drawing>
      </w:r>
    </w:p>
    <w:p w14:paraId="1B2ECB11" w14:textId="14FC0D8A" w:rsidR="008E7846" w:rsidRDefault="00E2243A" w:rsidP="00FC3515">
      <w:r w:rsidRPr="00217FAD">
        <w:t xml:space="preserve">Olaparib is </w:t>
      </w:r>
      <w:r>
        <w:t>synthetic, manufactured as the free base</w:t>
      </w:r>
      <w:r w:rsidR="005446B6">
        <w:t>.</w:t>
      </w:r>
      <w:r>
        <w:t xml:space="preserve"> </w:t>
      </w:r>
      <w:r w:rsidR="00E71CC9">
        <w:t>[Information redacted]</w:t>
      </w:r>
      <w:r w:rsidR="001F528E">
        <w:t>.</w:t>
      </w:r>
      <w:r w:rsidR="00E71CC9">
        <w:t xml:space="preserve"> </w:t>
      </w:r>
      <w:r>
        <w:t>The synthetic route provided</w:t>
      </w:r>
      <w:r w:rsidR="0022380A">
        <w:t xml:space="preserve"> appears to be the same as</w:t>
      </w:r>
      <w:r>
        <w:t xml:space="preserve"> that used in the manufacture the </w:t>
      </w:r>
      <w:r w:rsidR="003048B3">
        <w:t>active ingredient</w:t>
      </w:r>
      <w:r>
        <w:t xml:space="preserve"> for the 50 mg capsules, previously provided. The</w:t>
      </w:r>
      <w:r w:rsidRPr="00F22717">
        <w:t xml:space="preserve"> controls of critical steps and in-process controls</w:t>
      </w:r>
      <w:r>
        <w:t xml:space="preserve"> </w:t>
      </w:r>
      <w:r w:rsidR="0022380A">
        <w:t xml:space="preserve">appear </w:t>
      </w:r>
      <w:r>
        <w:t>adequate.</w:t>
      </w:r>
    </w:p>
    <w:p w14:paraId="6D3101F2" w14:textId="77777777" w:rsidR="008E7846" w:rsidRDefault="008E7846" w:rsidP="008E7846">
      <w:pPr>
        <w:pStyle w:val="Heading3"/>
      </w:pPr>
      <w:bookmarkStart w:id="31" w:name="_Toc247691508"/>
      <w:bookmarkStart w:id="32" w:name="_Toc314842490"/>
      <w:bookmarkStart w:id="33" w:name="_Toc23326198"/>
      <w:r w:rsidRPr="008751DC">
        <w:t xml:space="preserve">Drug </w:t>
      </w:r>
      <w:r>
        <w:t>p</w:t>
      </w:r>
      <w:r w:rsidRPr="008751DC">
        <w:t>roduct</w:t>
      </w:r>
      <w:bookmarkEnd w:id="31"/>
      <w:bookmarkEnd w:id="32"/>
      <w:bookmarkEnd w:id="33"/>
    </w:p>
    <w:p w14:paraId="0C2498A7" w14:textId="77777777" w:rsidR="00940A89" w:rsidRDefault="00FC3515" w:rsidP="00940A89">
      <w:r>
        <w:t>The proposed 100 mg and 150 mg tablets are immediate release film coated tablets</w:t>
      </w:r>
      <w:r w:rsidRPr="0087544F">
        <w:t xml:space="preserve"> packed in</w:t>
      </w:r>
      <w:r>
        <w:t xml:space="preserve"> </w:t>
      </w:r>
      <w:r w:rsidRPr="00221E06">
        <w:t>blister packs</w:t>
      </w:r>
      <w:r>
        <w:t>.</w:t>
      </w:r>
      <w:r w:rsidR="0065051F">
        <w:t xml:space="preserve"> The proposed pack sizes for t</w:t>
      </w:r>
      <w:r w:rsidR="0067104F">
        <w:t>he blister presentations are 56 </w:t>
      </w:r>
      <w:r w:rsidR="0065051F">
        <w:t>tablets and 112 tablets (2 cartons of 56).</w:t>
      </w:r>
    </w:p>
    <w:p w14:paraId="7300FC55" w14:textId="77777777" w:rsidR="00FC3515" w:rsidRDefault="00FC3515" w:rsidP="00FC3515">
      <w:r w:rsidRPr="00221E06">
        <w:t>The presentations are made by</w:t>
      </w:r>
      <w:r>
        <w:t xml:space="preserve"> compression </w:t>
      </w:r>
      <w:r w:rsidRPr="00BF3B2A">
        <w:t>from a common formulated</w:t>
      </w:r>
      <w:r>
        <w:t xml:space="preserve"> </w:t>
      </w:r>
      <w:r w:rsidRPr="00BF3B2A">
        <w:t xml:space="preserve">blend </w:t>
      </w:r>
      <w:r>
        <w:t>(</w:t>
      </w:r>
      <w:r w:rsidRPr="00BF3B2A">
        <w:t>and the manufacturing process is therefore identical up to the compression stage</w:t>
      </w:r>
      <w:r>
        <w:t xml:space="preserve">) </w:t>
      </w:r>
      <w:r w:rsidRPr="00221E06">
        <w:t>of</w:t>
      </w:r>
      <w:r>
        <w:t xml:space="preserve"> </w:t>
      </w:r>
      <w:r w:rsidRPr="00221E06">
        <w:t xml:space="preserve">milled olaparib extrudate blended </w:t>
      </w:r>
      <w:r>
        <w:t>with post-extrusion excipients.</w:t>
      </w:r>
    </w:p>
    <w:p w14:paraId="07DD3587" w14:textId="7FDF686F" w:rsidR="00FC3515" w:rsidRDefault="00FC3515" w:rsidP="00FC3515">
      <w:r>
        <w:t xml:space="preserve">The cores </w:t>
      </w:r>
      <w:r w:rsidRPr="00021300">
        <w:t xml:space="preserve">common formulated blend </w:t>
      </w:r>
      <w:r>
        <w:t xml:space="preserve">is made </w:t>
      </w:r>
      <w:r w:rsidRPr="00021300">
        <w:t>using conventional mixing, hot melt extrusion, milling,</w:t>
      </w:r>
      <w:r>
        <w:t xml:space="preserve"> followed by </w:t>
      </w:r>
      <w:r w:rsidRPr="00021300">
        <w:t xml:space="preserve">compression, </w:t>
      </w:r>
      <w:r>
        <w:t xml:space="preserve">and the tablet cores are </w:t>
      </w:r>
      <w:r w:rsidRPr="00021300">
        <w:t>film coat</w:t>
      </w:r>
      <w:r>
        <w:t>ed</w:t>
      </w:r>
      <w:r w:rsidRPr="00021300">
        <w:t xml:space="preserve"> and pack</w:t>
      </w:r>
      <w:r>
        <w:t xml:space="preserve">ed. </w:t>
      </w:r>
      <w:r w:rsidRPr="00221E06">
        <w:t xml:space="preserve">The tablet </w:t>
      </w:r>
      <w:r>
        <w:t xml:space="preserve">core </w:t>
      </w:r>
      <w:r w:rsidRPr="00221E06">
        <w:t>strength is</w:t>
      </w:r>
      <w:r>
        <w:t xml:space="preserve"> </w:t>
      </w:r>
      <w:r w:rsidRPr="00221E06">
        <w:t>achieved by altering the compression weight of the blended material. The composition of the</w:t>
      </w:r>
      <w:r>
        <w:t xml:space="preserve"> </w:t>
      </w:r>
      <w:r w:rsidRPr="00221E06">
        <w:t>coating has a minor difference in the colourants between the 100 and 150 mg strengths</w:t>
      </w:r>
      <w:r>
        <w:t xml:space="preserve"> </w:t>
      </w:r>
      <w:r w:rsidRPr="00221E06">
        <w:t>(100 mg tablet coat contains no black iron oxide)</w:t>
      </w:r>
      <w:r w:rsidR="00207E7B">
        <w:t>.</w:t>
      </w:r>
      <w:r w:rsidR="005446B6">
        <w:t xml:space="preserve"> </w:t>
      </w:r>
      <w:r w:rsidR="00E71CC9">
        <w:t>[Information redacted]</w:t>
      </w:r>
      <w:r w:rsidR="005446B6">
        <w:t>.</w:t>
      </w:r>
    </w:p>
    <w:p w14:paraId="4C5B3E34" w14:textId="77777777" w:rsidR="00FC3515" w:rsidRDefault="00FC3515" w:rsidP="00FC3515">
      <w:r>
        <w:t>The tablets are not scored. The tablet appearances are:</w:t>
      </w:r>
    </w:p>
    <w:p w14:paraId="636E39A3" w14:textId="77777777" w:rsidR="00FC3515" w:rsidRPr="00FC3515" w:rsidRDefault="00D53BF6" w:rsidP="00FC3515">
      <w:pPr>
        <w:pStyle w:val="ListBullet"/>
      </w:pPr>
      <w:r>
        <w:t>100 mg tablets: y</w:t>
      </w:r>
      <w:r w:rsidR="00FC3515" w:rsidRPr="00FC3515">
        <w:t xml:space="preserve">ellow to dark yellow, oval, bi-convex tablet, </w:t>
      </w:r>
      <w:r w:rsidR="00FC3515">
        <w:t>14.5 mm by</w:t>
      </w:r>
      <w:r w:rsidR="00FC3515" w:rsidRPr="00FC3515">
        <w:t xml:space="preserve"> 7.25 mm, debossed with ‘OP 100’ on one side and plain on the reverse.</w:t>
      </w:r>
    </w:p>
    <w:p w14:paraId="16A61FDF" w14:textId="77777777" w:rsidR="00FC3515" w:rsidRPr="00FC3515" w:rsidRDefault="00D53BF6" w:rsidP="00FC3515">
      <w:pPr>
        <w:pStyle w:val="ListBullet"/>
      </w:pPr>
      <w:r>
        <w:t>150 mg tablets: g</w:t>
      </w:r>
      <w:r w:rsidR="00FC3515" w:rsidRPr="00FC3515">
        <w:t xml:space="preserve">reen to green/grey, oval, bi-convex tablet, </w:t>
      </w:r>
      <w:r w:rsidR="00FC3515">
        <w:t>14.5 mm by</w:t>
      </w:r>
      <w:r w:rsidR="00FC3515" w:rsidRPr="00FC3515">
        <w:t xml:space="preserve"> 7.25 mm, debossed with ‘OP 150’ on one side and plain on the reverse.</w:t>
      </w:r>
    </w:p>
    <w:p w14:paraId="7E2178F0" w14:textId="77777777" w:rsidR="00FC3515" w:rsidRDefault="00FC3515" w:rsidP="00FC3515">
      <w:r>
        <w:t>The stability data provided is sufficient to support the proposed shelf life of 3 years when stored below 30°C with the conditions; protect from moisture, store in original container.</w:t>
      </w:r>
    </w:p>
    <w:p w14:paraId="6529819A" w14:textId="77777777" w:rsidR="0065051F" w:rsidRDefault="00FC3515" w:rsidP="00940A89">
      <w:r w:rsidRPr="00285DD0">
        <w:t xml:space="preserve">The </w:t>
      </w:r>
      <w:r>
        <w:t xml:space="preserve">data indicates that the </w:t>
      </w:r>
      <w:r w:rsidRPr="00285DD0">
        <w:t>manufacturing process has been adequately developed and optimised</w:t>
      </w:r>
      <w:r>
        <w:t xml:space="preserve"> to ensure consistent manufacture.</w:t>
      </w:r>
    </w:p>
    <w:p w14:paraId="045DD8E0" w14:textId="77777777" w:rsidR="00274450" w:rsidRDefault="00274450" w:rsidP="00274450">
      <w:pPr>
        <w:pStyle w:val="Heading3"/>
      </w:pPr>
      <w:bookmarkStart w:id="34" w:name="_Toc23326199"/>
      <w:r>
        <w:t>Biopharmaceutics</w:t>
      </w:r>
      <w:bookmarkEnd w:id="34"/>
    </w:p>
    <w:p w14:paraId="1F55BA61" w14:textId="270CAAB6" w:rsidR="00274450" w:rsidRDefault="00274450" w:rsidP="00940A89">
      <w:r>
        <w:t>The proposed tablets are immediate release. Solubility of the active ingredient is not pH dependent</w:t>
      </w:r>
      <w:r w:rsidR="00F3003E">
        <w:t xml:space="preserve"> across the physiological pH range</w:t>
      </w:r>
      <w:r>
        <w:t xml:space="preserve">. Olaparib has low aqueous solubility and poor bioavailability. </w:t>
      </w:r>
      <w:r w:rsidRPr="00BC3CB1">
        <w:t xml:space="preserve">50 mg capsules are registered and use </w:t>
      </w:r>
      <w:r>
        <w:t>active ingredient</w:t>
      </w:r>
      <w:r w:rsidRPr="00BC3CB1">
        <w:t xml:space="preserve"> with crystalline f</w:t>
      </w:r>
      <w:r>
        <w:t>orm</w:t>
      </w:r>
      <w:r w:rsidR="001F528E">
        <w:t>.</w:t>
      </w:r>
      <w:r w:rsidR="00DE4018">
        <w:t xml:space="preserve"> [I</w:t>
      </w:r>
      <w:r w:rsidR="0022380A">
        <w:t>nformation redacted]</w:t>
      </w:r>
      <w:r>
        <w:t xml:space="preserve">. </w:t>
      </w:r>
      <w:r w:rsidRPr="00BC3CB1">
        <w:t xml:space="preserve">The proposed 100 mg and 150 mg tablets have </w:t>
      </w:r>
      <w:r w:rsidRPr="00BC3CB1">
        <w:lastRenderedPageBreak/>
        <w:t>been developed</w:t>
      </w:r>
      <w:r w:rsidR="001F528E">
        <w:t>.</w:t>
      </w:r>
      <w:r w:rsidR="005E0053">
        <w:t xml:space="preserve"> [Information redacted]</w:t>
      </w:r>
      <w:r w:rsidRPr="00BC3CB1">
        <w:t xml:space="preserve"> using hot melt extrusion with improved bioavailability</w:t>
      </w:r>
      <w:r>
        <w:t xml:space="preserve"> </w:t>
      </w:r>
      <w:r w:rsidR="00766E7F">
        <w:t xml:space="preserve">leading to a </w:t>
      </w:r>
      <w:r>
        <w:t>reduc</w:t>
      </w:r>
      <w:r w:rsidR="00766E7F">
        <w:t>tion</w:t>
      </w:r>
      <w:r>
        <w:t xml:space="preserve"> </w:t>
      </w:r>
      <w:r w:rsidR="00766E7F">
        <w:t xml:space="preserve">of </w:t>
      </w:r>
      <w:r>
        <w:t>the number of dosage units that patients would need in dosing</w:t>
      </w:r>
      <w:r w:rsidRPr="00BC3CB1">
        <w:t>.</w:t>
      </w:r>
      <w:r>
        <w:t xml:space="preserve"> </w:t>
      </w:r>
      <w:r w:rsidRPr="0033333B">
        <w:t>Olaparib tablets and capsules are not interchangeable</w:t>
      </w:r>
      <w:r>
        <w:t>.</w:t>
      </w:r>
    </w:p>
    <w:p w14:paraId="2E251FA6" w14:textId="6245BC14" w:rsidR="001A3F56" w:rsidRPr="00F30AD1" w:rsidRDefault="00274450" w:rsidP="00F30AD1">
      <w:pPr>
        <w:rPr>
          <w:color w:val="000000"/>
          <w:szCs w:val="24"/>
        </w:rPr>
      </w:pPr>
      <w:r w:rsidRPr="009569FE">
        <w:rPr>
          <w:color w:val="000000"/>
          <w:szCs w:val="24"/>
        </w:rPr>
        <w:t xml:space="preserve">Following oral administration of olaparib </w:t>
      </w:r>
      <w:r w:rsidRPr="00274450">
        <w:rPr>
          <w:color w:val="000000"/>
          <w:szCs w:val="24"/>
        </w:rPr>
        <w:t>via</w:t>
      </w:r>
      <w:r>
        <w:rPr>
          <w:color w:val="000000"/>
          <w:szCs w:val="24"/>
        </w:rPr>
        <w:t xml:space="preserve"> the tablet formulation (2 times</w:t>
      </w:r>
      <w:r w:rsidRPr="009569FE">
        <w:rPr>
          <w:color w:val="000000"/>
          <w:szCs w:val="24"/>
        </w:rPr>
        <w:t xml:space="preserve"> 150 mg), absorption is rapid with peak plasma concentrations typically achieved b</w:t>
      </w:r>
      <w:r w:rsidR="00F30AD1">
        <w:rPr>
          <w:color w:val="000000"/>
          <w:szCs w:val="24"/>
        </w:rPr>
        <w:t>etween 1.5 hours after dosing.</w:t>
      </w:r>
    </w:p>
    <w:p w14:paraId="5F466AB9" w14:textId="6A19BD6E" w:rsidR="00D63B6A" w:rsidRDefault="00D63B6A" w:rsidP="001A3F56">
      <w:pPr>
        <w:shd w:val="clear" w:color="auto" w:fill="FFFFFF"/>
        <w:rPr>
          <w:bCs/>
          <w:color w:val="000000"/>
          <w:szCs w:val="24"/>
        </w:rPr>
      </w:pPr>
      <w:r w:rsidRPr="002E6926">
        <w:rPr>
          <w:bCs/>
          <w:color w:val="000000"/>
          <w:szCs w:val="24"/>
        </w:rPr>
        <w:t>Few clinical studies have been</w:t>
      </w:r>
      <w:r>
        <w:rPr>
          <w:bCs/>
          <w:color w:val="000000"/>
          <w:szCs w:val="24"/>
        </w:rPr>
        <w:t xml:space="preserve"> conducted on olaparib in man. </w:t>
      </w:r>
      <w:r w:rsidRPr="002E6926">
        <w:rPr>
          <w:bCs/>
          <w:color w:val="000000"/>
          <w:szCs w:val="24"/>
        </w:rPr>
        <w:t xml:space="preserve">The lack of overall studies is largely </w:t>
      </w:r>
      <w:r>
        <w:rPr>
          <w:bCs/>
          <w:color w:val="000000"/>
          <w:szCs w:val="24"/>
        </w:rPr>
        <w:t>due</w:t>
      </w:r>
      <w:r w:rsidRPr="002E6926">
        <w:rPr>
          <w:bCs/>
          <w:color w:val="000000"/>
          <w:szCs w:val="24"/>
        </w:rPr>
        <w:t xml:space="preserve"> to the nature of the </w:t>
      </w:r>
      <w:r>
        <w:rPr>
          <w:bCs/>
          <w:color w:val="000000"/>
          <w:szCs w:val="24"/>
        </w:rPr>
        <w:t>active ingredient</w:t>
      </w:r>
      <w:r w:rsidRPr="002E6926">
        <w:rPr>
          <w:bCs/>
          <w:color w:val="000000"/>
          <w:szCs w:val="24"/>
        </w:rPr>
        <w:t xml:space="preserve"> (chemotherapeutic) and </w:t>
      </w:r>
      <w:r>
        <w:rPr>
          <w:bCs/>
          <w:color w:val="000000"/>
          <w:szCs w:val="24"/>
        </w:rPr>
        <w:t>un</w:t>
      </w:r>
      <w:r w:rsidRPr="002E6926">
        <w:rPr>
          <w:bCs/>
          <w:color w:val="000000"/>
          <w:szCs w:val="24"/>
        </w:rPr>
        <w:t>suitability for inve</w:t>
      </w:r>
      <w:r>
        <w:rPr>
          <w:bCs/>
          <w:color w:val="000000"/>
          <w:szCs w:val="24"/>
        </w:rPr>
        <w:t>stigation in healthy subjects.</w:t>
      </w:r>
    </w:p>
    <w:p w14:paraId="613BE52A" w14:textId="77777777" w:rsidR="001A3F56" w:rsidRDefault="001A3F56" w:rsidP="001A3F56">
      <w:pPr>
        <w:shd w:val="clear" w:color="auto" w:fill="FFFFFF"/>
        <w:rPr>
          <w:bCs/>
          <w:color w:val="000000"/>
          <w:szCs w:val="24"/>
        </w:rPr>
      </w:pPr>
      <w:r w:rsidRPr="000E1A1C">
        <w:rPr>
          <w:bCs/>
          <w:color w:val="000000"/>
          <w:szCs w:val="24"/>
        </w:rPr>
        <w:t>Bioavailability aspects of olaparib 50 mg capsules were reviewed</w:t>
      </w:r>
      <w:r>
        <w:rPr>
          <w:bCs/>
          <w:color w:val="000000"/>
          <w:szCs w:val="24"/>
        </w:rPr>
        <w:t xml:space="preserve"> previously under submission </w:t>
      </w:r>
      <w:r w:rsidRPr="000E1A1C">
        <w:rPr>
          <w:bCs/>
          <w:color w:val="000000"/>
          <w:szCs w:val="24"/>
        </w:rPr>
        <w:t>PM-2014-04684-1-4</w:t>
      </w:r>
      <w:r>
        <w:rPr>
          <w:bCs/>
          <w:color w:val="000000"/>
          <w:szCs w:val="24"/>
        </w:rPr>
        <w:t xml:space="preserve">. </w:t>
      </w:r>
      <w:r w:rsidRPr="000E1A1C">
        <w:rPr>
          <w:bCs/>
          <w:color w:val="000000"/>
          <w:szCs w:val="24"/>
        </w:rPr>
        <w:t xml:space="preserve">The present </w:t>
      </w:r>
      <w:r>
        <w:rPr>
          <w:bCs/>
          <w:color w:val="000000"/>
          <w:szCs w:val="24"/>
        </w:rPr>
        <w:t>submission</w:t>
      </w:r>
      <w:r w:rsidRPr="000E1A1C">
        <w:rPr>
          <w:bCs/>
          <w:color w:val="000000"/>
          <w:szCs w:val="24"/>
        </w:rPr>
        <w:t xml:space="preserve"> is to regis</w:t>
      </w:r>
      <w:r w:rsidR="00202D15">
        <w:rPr>
          <w:bCs/>
          <w:color w:val="000000"/>
          <w:szCs w:val="24"/>
        </w:rPr>
        <w:t>ter 100 mg and 150 </w:t>
      </w:r>
      <w:r>
        <w:rPr>
          <w:bCs/>
          <w:color w:val="000000"/>
          <w:szCs w:val="24"/>
        </w:rPr>
        <w:t xml:space="preserve">mg tablets. </w:t>
      </w:r>
      <w:r w:rsidRPr="000E1A1C">
        <w:rPr>
          <w:bCs/>
          <w:color w:val="000000"/>
          <w:szCs w:val="24"/>
        </w:rPr>
        <w:t>The sponsor has demonstrated that registered capsules are not bioequivalent to the proposed tablets.</w:t>
      </w:r>
    </w:p>
    <w:p w14:paraId="51D36F7F" w14:textId="77777777" w:rsidR="00034FE8" w:rsidRDefault="005D3753" w:rsidP="00034FE8">
      <w:pPr>
        <w:shd w:val="clear" w:color="auto" w:fill="FFFFFF"/>
        <w:rPr>
          <w:iCs/>
          <w:color w:val="000000"/>
          <w:szCs w:val="24"/>
        </w:rPr>
      </w:pPr>
      <w:r>
        <w:rPr>
          <w:bCs/>
          <w:color w:val="000000"/>
          <w:szCs w:val="24"/>
        </w:rPr>
        <w:t xml:space="preserve">The following studies address </w:t>
      </w:r>
      <w:r w:rsidR="005A0576">
        <w:rPr>
          <w:iCs/>
          <w:color w:val="000000"/>
          <w:szCs w:val="24"/>
        </w:rPr>
        <w:t>bioavailability of capsules versus</w:t>
      </w:r>
      <w:r w:rsidRPr="001C31AB">
        <w:rPr>
          <w:iCs/>
          <w:color w:val="000000"/>
          <w:szCs w:val="24"/>
        </w:rPr>
        <w:t xml:space="preserve"> tablets</w:t>
      </w:r>
      <w:r>
        <w:rPr>
          <w:iCs/>
          <w:color w:val="000000"/>
          <w:szCs w:val="24"/>
        </w:rPr>
        <w:t>,</w:t>
      </w:r>
      <w:r w:rsidRPr="001C31AB">
        <w:rPr>
          <w:iCs/>
          <w:color w:val="000000"/>
          <w:szCs w:val="24"/>
        </w:rPr>
        <w:t xml:space="preserve"> and food effect on tablets</w:t>
      </w:r>
      <w:bookmarkStart w:id="35" w:name="_Toc247691509"/>
      <w:bookmarkStart w:id="36" w:name="_Toc314842493"/>
      <w:r w:rsidR="00034FE8">
        <w:rPr>
          <w:iCs/>
          <w:color w:val="000000"/>
          <w:szCs w:val="24"/>
        </w:rPr>
        <w:t>.</w:t>
      </w:r>
    </w:p>
    <w:p w14:paraId="376942EA" w14:textId="4AB19F7D" w:rsidR="00034FE8" w:rsidRDefault="0067104F" w:rsidP="00034FE8">
      <w:pPr>
        <w:pStyle w:val="ListBullet"/>
        <w:rPr>
          <w:iCs/>
          <w:color w:val="000000"/>
          <w:szCs w:val="24"/>
        </w:rPr>
      </w:pPr>
      <w:r>
        <w:t>Study D0816C00004;</w:t>
      </w:r>
      <w:r w:rsidR="00034FE8" w:rsidRPr="009373A3">
        <w:t xml:space="preserve"> </w:t>
      </w:r>
      <w:r w:rsidR="001F528E">
        <w:t>A ‘r</w:t>
      </w:r>
      <w:r w:rsidR="00034FE8" w:rsidRPr="009373A3">
        <w:t>andomised</w:t>
      </w:r>
      <w:r w:rsidR="00495D95">
        <w:t>, open label, three-</w:t>
      </w:r>
      <w:r w:rsidR="00495D95" w:rsidRPr="009373A3">
        <w:t>part</w:t>
      </w:r>
      <w:r w:rsidR="00034FE8" w:rsidRPr="009373A3">
        <w:t xml:space="preserve">, Phase I </w:t>
      </w:r>
      <w:r w:rsidR="00495D95" w:rsidRPr="009373A3">
        <w:t>study to determine the effect of food on the pharmacokinetics of olaparib and to provide data on the effect of olaparib on QT interval following oral dosing of a tablet formulation in patients with advanced solid tumours</w:t>
      </w:r>
      <w:r w:rsidR="00034FE8">
        <w:t>.’</w:t>
      </w:r>
    </w:p>
    <w:p w14:paraId="5C38D470" w14:textId="77777777" w:rsidR="00034FE8" w:rsidRPr="00034FE8" w:rsidRDefault="00034FE8" w:rsidP="00034FE8">
      <w:pPr>
        <w:pStyle w:val="ListBullet2"/>
        <w:rPr>
          <w:iCs/>
          <w:color w:val="000000"/>
          <w:szCs w:val="24"/>
        </w:rPr>
      </w:pPr>
      <w:r w:rsidRPr="009373A3">
        <w:t xml:space="preserve">The study used olaparib 150 </w:t>
      </w:r>
      <w:r w:rsidR="00447269">
        <w:t>mg tablets, dosed at 300 mg (2 times</w:t>
      </w:r>
      <w:r w:rsidRPr="009373A3">
        <w:t xml:space="preserve"> 150 mg tablets) comparing the fasted and fed (high fat meal) states.</w:t>
      </w:r>
    </w:p>
    <w:p w14:paraId="0B3AA6D4" w14:textId="77777777" w:rsidR="00034FE8" w:rsidRDefault="00034FE8" w:rsidP="00034FE8">
      <w:pPr>
        <w:pStyle w:val="ListBullet2"/>
      </w:pPr>
      <w:r w:rsidRPr="0080626C">
        <w:t>It is stated that the study was undertaken with appropriate ethical standards.</w:t>
      </w:r>
    </w:p>
    <w:p w14:paraId="641EDA32" w14:textId="5CDD6A32" w:rsidR="00034FE8" w:rsidRDefault="00034FE8" w:rsidP="00034FE8">
      <w:pPr>
        <w:pStyle w:val="ListBullet2"/>
      </w:pPr>
      <w:r w:rsidRPr="00980400">
        <w:t>Following multiple oral administration of olaparib (</w:t>
      </w:r>
      <w:r w:rsidR="00A778EF">
        <w:t>2 times 150 mg tablets</w:t>
      </w:r>
      <w:r w:rsidRPr="00980400">
        <w:t xml:space="preserve">) on Day 5, </w:t>
      </w:r>
      <w:r w:rsidR="00C920E8">
        <w:t>the m</w:t>
      </w:r>
      <w:r w:rsidR="00C920E8" w:rsidRPr="00A06953">
        <w:t>aximum observed plasma concentration</w:t>
      </w:r>
      <w:r w:rsidR="00C920E8" w:rsidRPr="00980400">
        <w:t xml:space="preserve"> </w:t>
      </w:r>
      <w:r w:rsidR="00C920E8">
        <w:t>(</w:t>
      </w:r>
      <w:r w:rsidRPr="00980400">
        <w:t>C</w:t>
      </w:r>
      <w:r w:rsidRPr="00C920E8">
        <w:rPr>
          <w:vertAlign w:val="subscript"/>
        </w:rPr>
        <w:t>max</w:t>
      </w:r>
      <w:r w:rsidR="00C920E8">
        <w:t>)</w:t>
      </w:r>
      <w:r w:rsidRPr="00980400">
        <w:t xml:space="preserve"> increased</w:t>
      </w:r>
      <w:r>
        <w:t xml:space="preserve"> </w:t>
      </w:r>
      <w:r w:rsidRPr="00980400">
        <w:t xml:space="preserve">by approximately 36% compared to a single dose in fasting conditions. </w:t>
      </w:r>
      <w:r w:rsidR="00C920E8">
        <w:t xml:space="preserve">The </w:t>
      </w:r>
      <w:r w:rsidR="00C920E8">
        <w:rPr>
          <w:rFonts w:eastAsiaTheme="minorHAnsi" w:cs="TimesNewRoman"/>
        </w:rPr>
        <w:t>a</w:t>
      </w:r>
      <w:r w:rsidR="00C920E8" w:rsidRPr="00A06953">
        <w:rPr>
          <w:rFonts w:eastAsiaTheme="minorHAnsi" w:cs="TimesNewRoman"/>
        </w:rPr>
        <w:t xml:space="preserve">rea under the plasma concentration-time </w:t>
      </w:r>
      <w:r w:rsidR="00C920E8">
        <w:rPr>
          <w:rFonts w:eastAsiaTheme="minorHAnsi" w:cs="TimesNewRoman"/>
        </w:rPr>
        <w:t>curve</w:t>
      </w:r>
      <w:r w:rsidR="00C920E8">
        <w:t xml:space="preserve"> (AUC) increased approximately 1.5 </w:t>
      </w:r>
      <w:r w:rsidRPr="00980400">
        <w:t>fold on Day 5 compared with Day 1, geometric</w:t>
      </w:r>
      <w:r>
        <w:t xml:space="preserve"> </w:t>
      </w:r>
      <w:r w:rsidRPr="00980400">
        <w:t xml:space="preserve">mean </w:t>
      </w:r>
      <w:r w:rsidR="00C920E8" w:rsidRPr="002C5E06">
        <w:t xml:space="preserve">temporal change parameter </w:t>
      </w:r>
      <w:r w:rsidRPr="00980400">
        <w:t>was 1.454. There was evidence of some accumulation for olaparib,</w:t>
      </w:r>
      <w:r>
        <w:t xml:space="preserve"> </w:t>
      </w:r>
      <w:r w:rsidRPr="00980400">
        <w:t xml:space="preserve">geometric mean </w:t>
      </w:r>
      <w:r w:rsidR="005E14B9">
        <w:t>accumulation index</w:t>
      </w:r>
      <w:r w:rsidRPr="00980400">
        <w:t xml:space="preserve"> (AUC) was approximately 1.7 (range 0.888 to 4.68).</w:t>
      </w:r>
    </w:p>
    <w:p w14:paraId="0EA59F70" w14:textId="77777777" w:rsidR="00034FE8" w:rsidRPr="0013131F" w:rsidRDefault="00034FE8" w:rsidP="00034FE8">
      <w:r w:rsidRPr="0013131F">
        <w:t>A previously evaluated bioavailability study was also provided for the capsule</w:t>
      </w:r>
      <w:r>
        <w:t xml:space="preserve">s. </w:t>
      </w:r>
      <w:r w:rsidR="00447269">
        <w:t>This was:</w:t>
      </w:r>
    </w:p>
    <w:p w14:paraId="02E2350D" w14:textId="77777777" w:rsidR="00034FE8" w:rsidRPr="00447269" w:rsidRDefault="00034FE8" w:rsidP="00447269">
      <w:pPr>
        <w:pStyle w:val="ListBullet"/>
      </w:pPr>
      <w:r w:rsidRPr="00447269">
        <w:t xml:space="preserve">Study </w:t>
      </w:r>
      <w:r w:rsidR="00C920E8">
        <w:t>D081AC00001</w:t>
      </w:r>
      <w:r w:rsidR="0067104F">
        <w:t>;</w:t>
      </w:r>
      <w:r w:rsidR="00C920E8">
        <w:t xml:space="preserve"> ‘A </w:t>
      </w:r>
      <w:r w:rsidR="0067104F">
        <w:t xml:space="preserve">two part, randomised, open </w:t>
      </w:r>
      <w:r w:rsidR="0067104F" w:rsidRPr="00447269">
        <w:t>label, multicentre</w:t>
      </w:r>
      <w:r w:rsidRPr="00447269">
        <w:t xml:space="preserve">, Phase I </w:t>
      </w:r>
      <w:r w:rsidR="0067104F" w:rsidRPr="00447269">
        <w:t>study to determine the effect of food on the pharmacokinetics of olaparib following single 400 mg doses of the capsule formulation in patients with advanced solid tumours</w:t>
      </w:r>
      <w:r w:rsidRPr="00447269">
        <w:t>’.</w:t>
      </w:r>
    </w:p>
    <w:p w14:paraId="3B19F164" w14:textId="37CDC4EC" w:rsidR="00034FE8" w:rsidRPr="00EC0B56" w:rsidRDefault="00034FE8" w:rsidP="00447269">
      <w:pPr>
        <w:pStyle w:val="ListBullet2"/>
      </w:pPr>
      <w:r w:rsidRPr="00EC0B56">
        <w:t>The study used 50 mg capsule</w:t>
      </w:r>
      <w:r w:rsidR="00C920E8">
        <w:t>s</w:t>
      </w:r>
      <w:r w:rsidR="005B0B10">
        <w:t>, dosed at 400 mg (8 times</w:t>
      </w:r>
      <w:r w:rsidRPr="00EC0B56">
        <w:t xml:space="preserve"> 50 mg </w:t>
      </w:r>
      <w:r w:rsidR="00401965">
        <w:t>capsules</w:t>
      </w:r>
      <w:r w:rsidRPr="00EC0B56">
        <w:t>) comparing the fasted and fed (high fat meal) states.</w:t>
      </w:r>
    </w:p>
    <w:p w14:paraId="6D4E4F9C" w14:textId="77777777" w:rsidR="005B0B10" w:rsidRDefault="00034FE8" w:rsidP="00034FE8">
      <w:r w:rsidRPr="009373A3">
        <w:t>Patient pharmacokinetic and initial tolerability study reports were also provided and included</w:t>
      </w:r>
      <w:r w:rsidR="005B0B10">
        <w:t>:</w:t>
      </w:r>
    </w:p>
    <w:p w14:paraId="7051130C" w14:textId="77777777" w:rsidR="00034FE8" w:rsidRDefault="0067104F" w:rsidP="00447269">
      <w:pPr>
        <w:pStyle w:val="ListBullet"/>
      </w:pPr>
      <w:r>
        <w:t xml:space="preserve">Study D0810C00024; </w:t>
      </w:r>
      <w:r w:rsidR="00034FE8" w:rsidRPr="009373A3">
        <w:t>‘</w:t>
      </w:r>
      <w:r w:rsidR="00034FE8">
        <w:t>A P</w:t>
      </w:r>
      <w:r w:rsidR="00034FE8" w:rsidRPr="009373A3">
        <w:t>hase I, randomised, 2 period cross over study to determine the comparative bioavailability of two different oral formulations of AZD2281 in cancer patients with advances solid tumours.’</w:t>
      </w:r>
    </w:p>
    <w:p w14:paraId="7154AB77" w14:textId="77777777" w:rsidR="00034FE8" w:rsidRDefault="00034FE8" w:rsidP="00447269">
      <w:pPr>
        <w:pStyle w:val="ListBullet2"/>
      </w:pPr>
      <w:r w:rsidRPr="009373A3">
        <w:t>This was a Phase I, randomised, 2 period cross over study originally intended to determine the comparative bioavailability of two different oral formulations of olaparib in cancer patient</w:t>
      </w:r>
      <w:r>
        <w:t xml:space="preserve">s with advanced solid tumours. </w:t>
      </w:r>
      <w:r w:rsidRPr="009373A3">
        <w:t>This study has been previously reviewed. The evaluator for this submission concluded that the tablet formulations are not bioequivale</w:t>
      </w:r>
      <w:r w:rsidR="00C920E8">
        <w:t>nt to the capsule formulation.</w:t>
      </w:r>
    </w:p>
    <w:p w14:paraId="5842FB06" w14:textId="77777777" w:rsidR="00034FE8" w:rsidRPr="00447269" w:rsidRDefault="00034FE8" w:rsidP="00447269">
      <w:pPr>
        <w:pStyle w:val="ListBullet"/>
      </w:pPr>
      <w:r w:rsidRPr="00447269">
        <w:t>Study D081BC00001</w:t>
      </w:r>
      <w:r w:rsidR="0067104F">
        <w:t>;</w:t>
      </w:r>
      <w:r w:rsidRPr="00447269">
        <w:t xml:space="preserve"> ‘A Phase</w:t>
      </w:r>
      <w:r w:rsidR="00C920E8">
        <w:t xml:space="preserve"> I, </w:t>
      </w:r>
      <w:r w:rsidR="0067104F">
        <w:t xml:space="preserve">open </w:t>
      </w:r>
      <w:r w:rsidR="0067104F" w:rsidRPr="00447269">
        <w:t xml:space="preserve">label study to assess the safety and tolerability </w:t>
      </w:r>
      <w:r w:rsidR="0067104F">
        <w:t>of doses of olaparib tablet in J</w:t>
      </w:r>
      <w:r w:rsidR="0067104F" w:rsidRPr="00447269">
        <w:t>apanese patients with advanced solid malignancies</w:t>
      </w:r>
      <w:r w:rsidRPr="00447269">
        <w:t>’.</w:t>
      </w:r>
    </w:p>
    <w:p w14:paraId="1CA50CB1" w14:textId="77777777" w:rsidR="00034FE8" w:rsidRPr="0013131F" w:rsidRDefault="00034FE8" w:rsidP="00447269">
      <w:pPr>
        <w:pStyle w:val="ListBullet2"/>
      </w:pPr>
      <w:r w:rsidRPr="0013131F">
        <w:lastRenderedPageBreak/>
        <w:t xml:space="preserve">In this study, the dose for Cohort 1 was 200 mg </w:t>
      </w:r>
      <w:r w:rsidR="00C920E8">
        <w:t>twice daily (BID)</w:t>
      </w:r>
      <w:r w:rsidRPr="0013131F">
        <w:t xml:space="preserve"> and for Cohort 2 was 300 mg </w:t>
      </w:r>
      <w:r w:rsidR="00C920E8">
        <w:t>BID</w:t>
      </w:r>
      <w:r w:rsidRPr="0013131F">
        <w:t xml:space="preserve">, single oral dosing and at steady state after </w:t>
      </w:r>
      <w:r w:rsidR="00C920E8">
        <w:t>BID</w:t>
      </w:r>
      <w:r w:rsidRPr="0013131F">
        <w:t xml:space="preserve"> dosing of oral t</w:t>
      </w:r>
      <w:r w:rsidR="00447269">
        <w:t>ablet formulation of olaparib.</w:t>
      </w:r>
    </w:p>
    <w:p w14:paraId="02E4B147" w14:textId="77777777" w:rsidR="00034FE8" w:rsidRPr="00447269" w:rsidRDefault="00034FE8" w:rsidP="00447269">
      <w:pPr>
        <w:pStyle w:val="ListBullet"/>
      </w:pPr>
      <w:r w:rsidRPr="00447269">
        <w:t>Study D0</w:t>
      </w:r>
      <w:r w:rsidR="00C920E8">
        <w:t>81CC00001</w:t>
      </w:r>
      <w:r w:rsidR="0067104F">
        <w:t>;</w:t>
      </w:r>
      <w:r w:rsidR="00C920E8">
        <w:t xml:space="preserve"> ‘An </w:t>
      </w:r>
      <w:r w:rsidR="0067104F" w:rsidRPr="0067104F">
        <w:t>open label, non-randomised, parallel group, multicentre</w:t>
      </w:r>
      <w:r w:rsidRPr="00447269">
        <w:t xml:space="preserve">, Phase I </w:t>
      </w:r>
      <w:r w:rsidR="0067104F" w:rsidRPr="00447269">
        <w:t>study to assess the safety and the effect of olaparib at steady state on the pharmacokinetics of the anti-hormonal agents anastrozole, letrozole and tamoxifen at steady state, and the effect of the anti-hormonal agents on olaparib, following administration in patient</w:t>
      </w:r>
      <w:r w:rsidR="0067104F">
        <w:t>s with advanced solid cancer</w:t>
      </w:r>
      <w:r w:rsidR="00C920E8">
        <w:t>’.</w:t>
      </w:r>
    </w:p>
    <w:p w14:paraId="1A71B581" w14:textId="77777777" w:rsidR="00034FE8" w:rsidRPr="0013131F" w:rsidRDefault="00034FE8" w:rsidP="00034FE8">
      <w:r w:rsidRPr="0013131F">
        <w:t>Population pharmacokinetic study reports were also included for tablets and capsules.</w:t>
      </w:r>
    </w:p>
    <w:p w14:paraId="174CDF00" w14:textId="77777777" w:rsidR="0067104F" w:rsidRDefault="0067104F" w:rsidP="0067104F">
      <w:pPr>
        <w:pStyle w:val="Heading4"/>
      </w:pPr>
      <w:r>
        <w:t>Conclusion</w:t>
      </w:r>
    </w:p>
    <w:p w14:paraId="7B13B1E7" w14:textId="77777777" w:rsidR="00034FE8" w:rsidRPr="000E1A1C" w:rsidRDefault="00034FE8" w:rsidP="00034FE8">
      <w:pPr>
        <w:shd w:val="clear" w:color="auto" w:fill="FFFFFF"/>
        <w:rPr>
          <w:color w:val="000000"/>
          <w:szCs w:val="24"/>
        </w:rPr>
      </w:pPr>
      <w:r w:rsidRPr="000E1A1C">
        <w:rPr>
          <w:bCs/>
          <w:color w:val="000000"/>
          <w:szCs w:val="24"/>
        </w:rPr>
        <w:t>Given that bioequivalence of the capsules and tablets is not claimed, it has been decided, on risk management grounds, not to review these studies in the context of the current submission.</w:t>
      </w:r>
    </w:p>
    <w:p w14:paraId="3D9CDFE2" w14:textId="77777777" w:rsidR="008E7846" w:rsidRPr="008751DC" w:rsidRDefault="008E7846" w:rsidP="008E7846">
      <w:pPr>
        <w:pStyle w:val="Heading3"/>
      </w:pPr>
      <w:bookmarkStart w:id="37" w:name="_Toc23326200"/>
      <w:r>
        <w:t>Quality s</w:t>
      </w:r>
      <w:r w:rsidRPr="008751DC">
        <w:t>ummary</w:t>
      </w:r>
      <w:r>
        <w:t xml:space="preserve"> and conclusions</w:t>
      </w:r>
      <w:bookmarkEnd w:id="35"/>
      <w:bookmarkEnd w:id="36"/>
      <w:bookmarkEnd w:id="37"/>
    </w:p>
    <w:p w14:paraId="4645A968" w14:textId="77777777" w:rsidR="008E7846" w:rsidRDefault="0065051F" w:rsidP="008E7846">
      <w:r w:rsidRPr="00346DC5">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r>
        <w:t xml:space="preserve"> Some outstanding </w:t>
      </w:r>
      <w:r w:rsidRPr="00E93C8D">
        <w:t xml:space="preserve">issues </w:t>
      </w:r>
      <w:r>
        <w:t>will be</w:t>
      </w:r>
      <w:r w:rsidRPr="00E93C8D">
        <w:t xml:space="preserve"> finalised separately.</w:t>
      </w:r>
      <w:r>
        <w:rPr>
          <w:rStyle w:val="FootnoteReference"/>
        </w:rPr>
        <w:footnoteReference w:id="1"/>
      </w:r>
    </w:p>
    <w:p w14:paraId="7980DF7B" w14:textId="77777777" w:rsidR="0065051F" w:rsidRDefault="0065051F" w:rsidP="00A231F0">
      <w:r w:rsidRPr="00E93C8D">
        <w:t>Registration is recommended on chemistry, quality control and bioavailability grounds.</w:t>
      </w:r>
    </w:p>
    <w:p w14:paraId="600A76AE" w14:textId="77777777" w:rsidR="008E7846" w:rsidRDefault="008E7846" w:rsidP="008E7846">
      <w:pPr>
        <w:pStyle w:val="Heading2"/>
      </w:pPr>
      <w:bookmarkStart w:id="38" w:name="_Toc196046439"/>
      <w:bookmarkStart w:id="39" w:name="_Toc247691510"/>
      <w:bookmarkStart w:id="40" w:name="_Toc314842494"/>
      <w:bookmarkStart w:id="41" w:name="_Toc23326201"/>
      <w:r>
        <w:t>I</w:t>
      </w:r>
      <w:r w:rsidR="00500337">
        <w:t>V</w:t>
      </w:r>
      <w:r>
        <w:t>. Nonclinical</w:t>
      </w:r>
      <w:bookmarkEnd w:id="38"/>
      <w:r>
        <w:t xml:space="preserve"> findings</w:t>
      </w:r>
      <w:bookmarkEnd w:id="39"/>
      <w:bookmarkEnd w:id="40"/>
      <w:bookmarkEnd w:id="41"/>
    </w:p>
    <w:p w14:paraId="0C77DAF0" w14:textId="77777777" w:rsidR="008E7846" w:rsidRDefault="008E7846" w:rsidP="00940A89">
      <w:pPr>
        <w:pStyle w:val="Heading3"/>
      </w:pPr>
      <w:bookmarkStart w:id="42" w:name="_Toc247691511"/>
      <w:bookmarkStart w:id="43" w:name="_Toc314842495"/>
      <w:bookmarkStart w:id="44" w:name="_Toc23326202"/>
      <w:r>
        <w:t>Introduction</w:t>
      </w:r>
      <w:bookmarkEnd w:id="42"/>
      <w:bookmarkEnd w:id="43"/>
      <w:bookmarkEnd w:id="44"/>
    </w:p>
    <w:p w14:paraId="6D16E7FA" w14:textId="6CB58CE1" w:rsidR="00447269" w:rsidRPr="00307AB6" w:rsidRDefault="00447269" w:rsidP="00447269">
      <w:r w:rsidRPr="00307AB6">
        <w:t>Olaparib (</w:t>
      </w:r>
      <w:r w:rsidR="00C920E8">
        <w:t>Lynparza</w:t>
      </w:r>
      <w:r w:rsidRPr="00307AB6">
        <w:t xml:space="preserve">) </w:t>
      </w:r>
      <w:r>
        <w:t>is registered in Australia (</w:t>
      </w:r>
      <w:r w:rsidR="001F528E">
        <w:t xml:space="preserve">on </w:t>
      </w:r>
      <w:r w:rsidR="00C920E8">
        <w:t>7 January 2016</w:t>
      </w:r>
      <w:r w:rsidR="001F528E">
        <w:t>;</w:t>
      </w:r>
      <w:r w:rsidR="00C920E8">
        <w:t xml:space="preserve"> ARTG </w:t>
      </w:r>
      <w:r w:rsidR="001F528E">
        <w:t xml:space="preserve">R </w:t>
      </w:r>
      <w:r w:rsidR="00C920E8">
        <w:t>234008</w:t>
      </w:r>
      <w:r>
        <w:t xml:space="preserve">) </w:t>
      </w:r>
      <w:r w:rsidR="001F528E">
        <w:t xml:space="preserve">by </w:t>
      </w:r>
      <w:r w:rsidR="0020141A">
        <w:t>the sponsor</w:t>
      </w:r>
      <w:r w:rsidRPr="00FE6423">
        <w:t xml:space="preserve"> </w:t>
      </w:r>
      <w:r>
        <w:t xml:space="preserve">as a </w:t>
      </w:r>
      <w:r w:rsidR="0020141A">
        <w:t xml:space="preserve">50 mg </w:t>
      </w:r>
      <w:r w:rsidRPr="00307AB6">
        <w:t>capsule formulation, for the following indication</w:t>
      </w:r>
      <w:r>
        <w:t>:</w:t>
      </w:r>
    </w:p>
    <w:p w14:paraId="22CE43E7" w14:textId="77777777" w:rsidR="00447269" w:rsidRPr="00307AB6" w:rsidRDefault="00447269" w:rsidP="00447269">
      <w:pPr>
        <w:ind w:left="720"/>
        <w:rPr>
          <w:rFonts w:cs="Arial,Italic"/>
          <w:i/>
          <w:iCs/>
        </w:rPr>
      </w:pPr>
      <w:r w:rsidRPr="00307AB6">
        <w:rPr>
          <w:rFonts w:cs="Arial,Italic"/>
          <w:i/>
          <w:iCs/>
        </w:rPr>
        <w:t>Olaparib is indicated as monotherapy for the maintenance treatment of patients with platinum-sensitive relapsed BRCA-mutated (germline or somatic) high grade serous epithelial ovarian, fallopian tube or primary peritoneal cancer who are in response (complete response or partial response) after platinum-based chemotherapy. Prior treatment must have included at least 2 cour</w:t>
      </w:r>
      <w:r w:rsidR="0067104F">
        <w:rPr>
          <w:rFonts w:cs="Arial,Italic"/>
          <w:i/>
          <w:iCs/>
        </w:rPr>
        <w:t>ses of platinum-based regimens.</w:t>
      </w:r>
    </w:p>
    <w:p w14:paraId="5E0FC5EA" w14:textId="77777777" w:rsidR="005B0B10" w:rsidRDefault="00447269" w:rsidP="00447269">
      <w:r w:rsidRPr="00307AB6">
        <w:t>In th</w:t>
      </w:r>
      <w:r>
        <w:t>e</w:t>
      </w:r>
      <w:r w:rsidRPr="00307AB6">
        <w:t xml:space="preserve"> </w:t>
      </w:r>
      <w:r>
        <w:t xml:space="preserve">current </w:t>
      </w:r>
      <w:r w:rsidRPr="00307AB6">
        <w:t>application</w:t>
      </w:r>
      <w:r>
        <w:t>,</w:t>
      </w:r>
      <w:r w:rsidRPr="00307AB6">
        <w:t xml:space="preserve"> </w:t>
      </w:r>
      <w:r w:rsidR="0020141A">
        <w:t>the sponsor</w:t>
      </w:r>
      <w:r w:rsidRPr="00307AB6">
        <w:t xml:space="preserve"> has </w:t>
      </w:r>
      <w:r>
        <w:t xml:space="preserve">sought to register </w:t>
      </w:r>
      <w:r w:rsidRPr="00307AB6">
        <w:t xml:space="preserve">a </w:t>
      </w:r>
      <w:r w:rsidR="00202D15">
        <w:t xml:space="preserve">100 mg and 150 mg </w:t>
      </w:r>
      <w:r w:rsidRPr="00307AB6">
        <w:t xml:space="preserve">tablet formulation </w:t>
      </w:r>
      <w:r w:rsidR="00202D15">
        <w:t>of</w:t>
      </w:r>
      <w:r w:rsidRPr="00307AB6">
        <w:t xml:space="preserve"> olaparib </w:t>
      </w:r>
      <w:r>
        <w:t xml:space="preserve">with </w:t>
      </w:r>
      <w:r w:rsidRPr="00307AB6">
        <w:t>the following extension of indication</w:t>
      </w:r>
      <w:r w:rsidR="005B0B10">
        <w:t>:</w:t>
      </w:r>
    </w:p>
    <w:p w14:paraId="1E288969" w14:textId="77777777" w:rsidR="00447269" w:rsidRPr="00307AB6" w:rsidRDefault="00447269" w:rsidP="00447269">
      <w:pPr>
        <w:ind w:left="720"/>
      </w:pPr>
      <w:r w:rsidRPr="00307AB6">
        <w:rPr>
          <w:rFonts w:cs="Arial,Italic"/>
          <w:i/>
          <w:iCs/>
        </w:rPr>
        <w:t>Olaparib is indicated as monotherapy for the maintenance treatment of adult patients with platinum sensitive relapsed high grade epithelial ovarian, fallopian tube, or primary peritoneal cancer who are in response (complete response or partial response) to platinum-based chemotherapy</w:t>
      </w:r>
      <w:r w:rsidR="0067104F">
        <w:t>.</w:t>
      </w:r>
    </w:p>
    <w:p w14:paraId="142C4E19" w14:textId="77777777" w:rsidR="00447269" w:rsidRPr="0079473F" w:rsidRDefault="00447269" w:rsidP="00447269">
      <w:r w:rsidRPr="002A6490">
        <w:t xml:space="preserve">The sponsor also </w:t>
      </w:r>
      <w:r>
        <w:t xml:space="preserve">proposed </w:t>
      </w:r>
      <w:r w:rsidRPr="00EC0021">
        <w:t>various</w:t>
      </w:r>
      <w:r w:rsidRPr="002A6490">
        <w:t xml:space="preserve"> changes to </w:t>
      </w:r>
      <w:r>
        <w:t xml:space="preserve">nonclinical statements under the headings </w:t>
      </w:r>
      <w:r w:rsidRPr="00FE6423">
        <w:rPr>
          <w:b/>
        </w:rPr>
        <w:t>‘</w:t>
      </w:r>
      <w:r>
        <w:t>Pharmacological actions’ and ‘</w:t>
      </w:r>
      <w:r w:rsidRPr="00FE6423">
        <w:t>Pharmacokinetics’</w:t>
      </w:r>
      <w:r>
        <w:rPr>
          <w:b/>
        </w:rPr>
        <w:t xml:space="preserve"> </w:t>
      </w:r>
      <w:r w:rsidRPr="00307AB6">
        <w:t xml:space="preserve">under </w:t>
      </w:r>
      <w:r>
        <w:t>‘</w:t>
      </w:r>
      <w:r w:rsidRPr="00307AB6">
        <w:t>Pharmacology</w:t>
      </w:r>
      <w:r>
        <w:t>’</w:t>
      </w:r>
      <w:r w:rsidRPr="00307AB6">
        <w:t xml:space="preserve"> and </w:t>
      </w:r>
      <w:r>
        <w:t>‘</w:t>
      </w:r>
      <w:r w:rsidRPr="00307AB6">
        <w:t>Inte</w:t>
      </w:r>
      <w:r>
        <w:t xml:space="preserve">ractions with Other Medicines’ in </w:t>
      </w:r>
      <w:r w:rsidRPr="002A6490">
        <w:t>th</w:t>
      </w:r>
      <w:r>
        <w:t xml:space="preserve">e </w:t>
      </w:r>
      <w:r w:rsidR="0020141A">
        <w:t>PI</w:t>
      </w:r>
      <w:r>
        <w:t xml:space="preserve"> document.</w:t>
      </w:r>
    </w:p>
    <w:p w14:paraId="02BCDD78" w14:textId="77777777" w:rsidR="004334C7" w:rsidRPr="004334C7" w:rsidRDefault="00447269" w:rsidP="00447269">
      <w:r w:rsidRPr="0079473F">
        <w:lastRenderedPageBreak/>
        <w:t>The proposed dosing regimen involves oral administration of 300 mg (2</w:t>
      </w:r>
      <w:r>
        <w:t xml:space="preserve"> </w:t>
      </w:r>
      <w:r w:rsidR="0020141A">
        <w:t>times</w:t>
      </w:r>
      <w:r w:rsidR="00AD7B94">
        <w:t xml:space="preserve"> 150 </w:t>
      </w:r>
      <w:r w:rsidRPr="0079473F">
        <w:t>mg tablets or 3</w:t>
      </w:r>
      <w:r>
        <w:t xml:space="preserve"> </w:t>
      </w:r>
      <w:r w:rsidR="0020141A">
        <w:t>times</w:t>
      </w:r>
      <w:r w:rsidRPr="00307AB6">
        <w:t xml:space="preserve"> 100</w:t>
      </w:r>
      <w:r>
        <w:t> </w:t>
      </w:r>
      <w:r w:rsidRPr="0079473F">
        <w:t xml:space="preserve">mg tablets) taken twice daily, equivalent to </w:t>
      </w:r>
      <w:r>
        <w:t xml:space="preserve">a </w:t>
      </w:r>
      <w:r w:rsidR="0020141A">
        <w:t>total daily dose of 600 </w:t>
      </w:r>
      <w:r w:rsidRPr="0079473F">
        <w:t>mg</w:t>
      </w:r>
      <w:r>
        <w:t>, which is lower than the recommended dose (400 mg twice daily) for the already approved indication.</w:t>
      </w:r>
    </w:p>
    <w:p w14:paraId="2288E38B" w14:textId="77777777" w:rsidR="008E7846" w:rsidRDefault="008E7846" w:rsidP="008E7846">
      <w:pPr>
        <w:pStyle w:val="Heading3"/>
      </w:pPr>
      <w:bookmarkStart w:id="45" w:name="_Toc247691512"/>
      <w:bookmarkStart w:id="46" w:name="_Toc314842496"/>
      <w:bookmarkStart w:id="47" w:name="_Toc23326203"/>
      <w:r w:rsidRPr="00020030">
        <w:t>Pharmacology</w:t>
      </w:r>
      <w:bookmarkEnd w:id="45"/>
      <w:bookmarkEnd w:id="46"/>
      <w:bookmarkEnd w:id="47"/>
    </w:p>
    <w:p w14:paraId="788DFFA5" w14:textId="77777777" w:rsidR="00CA1EAE" w:rsidRDefault="001F2D1F" w:rsidP="001F2D1F">
      <w:r>
        <w:t>Two new pharmacology studies provided in this submission showed that o</w:t>
      </w:r>
      <w:r w:rsidR="00AD7B94">
        <w:t xml:space="preserve">laparib inhibited PARP in a non </w:t>
      </w:r>
      <w:r>
        <w:t xml:space="preserve">BRCA1 mutated breast cancer cell line (HCC1806) </w:t>
      </w:r>
      <w:r w:rsidRPr="00734EB4">
        <w:rPr>
          <w:i/>
        </w:rPr>
        <w:t>in vitro</w:t>
      </w:r>
      <w:r>
        <w:t xml:space="preserve"> (</w:t>
      </w:r>
      <w:r w:rsidR="007B5DAD">
        <w:t>h</w:t>
      </w:r>
      <w:r w:rsidR="007B5DAD" w:rsidRPr="00A06953">
        <w:t>alf maximal inhibitory concentration</w:t>
      </w:r>
      <w:r w:rsidR="007B5DAD" w:rsidRPr="00DF1224">
        <w:t xml:space="preserve"> </w:t>
      </w:r>
      <w:r w:rsidR="003C2823">
        <w:t>(</w:t>
      </w:r>
      <w:r w:rsidRPr="00DF1224">
        <w:t>IC</w:t>
      </w:r>
      <w:r w:rsidRPr="00DF1224">
        <w:rPr>
          <w:vertAlign w:val="subscript"/>
        </w:rPr>
        <w:t>50</w:t>
      </w:r>
      <w:r w:rsidR="003C2823">
        <w:t>)</w:t>
      </w:r>
      <w:r>
        <w:t xml:space="preserve"> </w:t>
      </w:r>
      <w:r w:rsidR="0067104F">
        <w:t>approximately</w:t>
      </w:r>
      <w:r w:rsidR="003C2823">
        <w:t xml:space="preserve"> (</w:t>
      </w:r>
      <w:r>
        <w:t>~</w:t>
      </w:r>
      <w:r w:rsidR="003C2823">
        <w:t>)</w:t>
      </w:r>
      <w:r w:rsidR="00EC0A46">
        <w:t> </w:t>
      </w:r>
      <w:r>
        <w:t xml:space="preserve">1 </w:t>
      </w:r>
      <w:r w:rsidR="00076AC1">
        <w:t xml:space="preserve">nanomolar </w:t>
      </w:r>
      <w:r w:rsidR="003C2823">
        <w:t>(</w:t>
      </w:r>
      <w:r w:rsidR="00AD7B94">
        <w:t>nM</w:t>
      </w:r>
      <w:r w:rsidR="003C2823">
        <w:t>)</w:t>
      </w:r>
      <w:r w:rsidR="00AD7B94">
        <w:t>), cell proliferation of a BRC</w:t>
      </w:r>
      <w:r>
        <w:t xml:space="preserve">A1 mutant cell line </w:t>
      </w:r>
      <w:r w:rsidRPr="008E6167">
        <w:rPr>
          <w:i/>
        </w:rPr>
        <w:t>in vitro</w:t>
      </w:r>
      <w:r>
        <w:t xml:space="preserve"> (</w:t>
      </w:r>
      <w:r w:rsidRPr="008E6167">
        <w:t>IC</w:t>
      </w:r>
      <w:r w:rsidRPr="008E6167">
        <w:rPr>
          <w:vertAlign w:val="subscript"/>
        </w:rPr>
        <w:t>50</w:t>
      </w:r>
      <w:r>
        <w:t xml:space="preserve"> 1.6 nM), and PARP and tumour growth inhibition in a mice implanted with B</w:t>
      </w:r>
      <w:r w:rsidR="007B5DAD">
        <w:t>RC</w:t>
      </w:r>
      <w:r>
        <w:t xml:space="preserve">A mutant breast cancer cells (HBCx-10). A </w:t>
      </w:r>
      <w:r w:rsidR="00AD7B94">
        <w:t>pharmacodynamic (</w:t>
      </w:r>
      <w:r>
        <w:t>PD</w:t>
      </w:r>
      <w:r w:rsidR="00AD7B94">
        <w:t>)/pharmacokinetic (</w:t>
      </w:r>
      <w:r>
        <w:t>PK</w:t>
      </w:r>
      <w:r w:rsidR="00AD7B94">
        <w:t>)</w:t>
      </w:r>
      <w:r>
        <w:t xml:space="preserve"> analysis of data from the mouse study showed correlation of PARP inhibition with free plasma olaparib concentration, and tumour regression was associated with time above </w:t>
      </w:r>
      <w:r w:rsidRPr="00A9059A">
        <w:t>IC</w:t>
      </w:r>
      <w:r w:rsidRPr="00A9059A">
        <w:rPr>
          <w:vertAlign w:val="subscript"/>
        </w:rPr>
        <w:t>50</w:t>
      </w:r>
      <w:r>
        <w:t xml:space="preserve"> &gt; 13 h</w:t>
      </w:r>
      <w:r w:rsidR="00AD7B94">
        <w:t>ours</w:t>
      </w:r>
      <w:r>
        <w:t xml:space="preserve"> and time above </w:t>
      </w:r>
      <w:r w:rsidR="00F960D8" w:rsidRPr="00A06953">
        <w:t>90% inhibitory concentration</w:t>
      </w:r>
      <w:r w:rsidR="00F960D8">
        <w:t xml:space="preserve"> (</w:t>
      </w:r>
      <w:r>
        <w:t>IC</w:t>
      </w:r>
      <w:r w:rsidRPr="00285E97">
        <w:rPr>
          <w:vertAlign w:val="subscript"/>
        </w:rPr>
        <w:t>90</w:t>
      </w:r>
      <w:r w:rsidR="00F960D8">
        <w:t>)</w:t>
      </w:r>
      <w:r>
        <w:t xml:space="preserve"> &gt; 6 h</w:t>
      </w:r>
      <w:r w:rsidR="00AD7B94">
        <w:t>ours</w:t>
      </w:r>
      <w:r>
        <w:t xml:space="preserve">. These findings are consistent with results of previously evaluated studies in the new chemical entity submission. Nonclinical pharmacology studies in animal models with cancer cells without </w:t>
      </w:r>
      <w:r w:rsidR="00F532A6">
        <w:t>BRCA</w:t>
      </w:r>
      <w:r>
        <w:t xml:space="preserve"> mutation were not provided in this submission </w:t>
      </w:r>
      <w:r w:rsidR="00AD7B94">
        <w:t xml:space="preserve">to support the new indication. </w:t>
      </w:r>
      <w:r>
        <w:t>Previously evaluated studies showed some eff</w:t>
      </w:r>
      <w:r w:rsidR="007B5DAD">
        <w:t xml:space="preserve">icacy in animal models with non </w:t>
      </w:r>
      <w:r>
        <w:t>B</w:t>
      </w:r>
      <w:r w:rsidR="007B5DAD">
        <w:t>RC</w:t>
      </w:r>
      <w:r>
        <w:t xml:space="preserve">A mutant </w:t>
      </w:r>
      <w:r w:rsidR="00A231F0">
        <w:t>cancer cells, but anti</w:t>
      </w:r>
      <w:r w:rsidR="00A231F0">
        <w:noBreakHyphen/>
      </w:r>
      <w:r>
        <w:t>tumour activity of olaparib was significantly less against cells with functional BRCA than against B</w:t>
      </w:r>
      <w:r w:rsidR="007B5DAD">
        <w:t>RC</w:t>
      </w:r>
      <w:r>
        <w:t>A mutant cells</w:t>
      </w:r>
      <w:r w:rsidR="00CA1EAE">
        <w:t>.</w:t>
      </w:r>
    </w:p>
    <w:p w14:paraId="7A955DF7" w14:textId="77777777" w:rsidR="004334C7" w:rsidRPr="004334C7" w:rsidRDefault="001F2D1F" w:rsidP="001F2D1F">
      <w:r>
        <w:t xml:space="preserve">The pharmacological activity of three major human metabolites (M12, M15 and M18) was compared with the parent drug </w:t>
      </w:r>
      <w:r>
        <w:rPr>
          <w:i/>
        </w:rPr>
        <w:t>in vitro</w:t>
      </w:r>
      <w:r>
        <w:t>. The anti-PARP and anti</w:t>
      </w:r>
      <w:r w:rsidR="00AD7B94">
        <w:t>-</w:t>
      </w:r>
      <w:r>
        <w:t>proliferative activities of M12 and M15 (~</w:t>
      </w:r>
      <w:r w:rsidR="00AD7B94">
        <w:t xml:space="preserve"> </w:t>
      </w:r>
      <w:r>
        <w:t>14% of parent in human plasma) are markedly lower that the activity of olaparib (≥ 20 fold lower), and the pharmacological activity of M18 (~</w:t>
      </w:r>
      <w:r w:rsidR="00AD7B94">
        <w:t xml:space="preserve"> </w:t>
      </w:r>
      <w:r>
        <w:t xml:space="preserve">20% of olaparib in human plasma) </w:t>
      </w:r>
      <w:r w:rsidRPr="005F2B4E">
        <w:t>was 4 to 7 fold</w:t>
      </w:r>
      <w:r>
        <w:t xml:space="preserve"> lower than that of the parent. Thus, the metabolites are unlikely to have a significant contribution to the pharmacological activity of olaparib.</w:t>
      </w:r>
    </w:p>
    <w:p w14:paraId="4F42C4D7" w14:textId="77777777" w:rsidR="008E7846" w:rsidRDefault="008E7846" w:rsidP="008E7846">
      <w:pPr>
        <w:pStyle w:val="Heading3"/>
      </w:pPr>
      <w:bookmarkStart w:id="48" w:name="_Toc247691513"/>
      <w:bookmarkStart w:id="49" w:name="_Toc314842497"/>
      <w:bookmarkStart w:id="50" w:name="_Toc23326204"/>
      <w:r>
        <w:t>Pharmacokinetics</w:t>
      </w:r>
      <w:bookmarkEnd w:id="48"/>
      <w:bookmarkEnd w:id="49"/>
      <w:bookmarkEnd w:id="50"/>
    </w:p>
    <w:p w14:paraId="4F864C8A" w14:textId="46F648E0" w:rsidR="00CA1EAE" w:rsidRDefault="001F2D1F" w:rsidP="001F2D1F">
      <w:bookmarkStart w:id="51" w:name="_Toc247691514"/>
      <w:bookmarkStart w:id="52" w:name="_Toc314842498"/>
      <w:r w:rsidRPr="00055BF4">
        <w:t>Similar to the parent compounds, the extent of protein binding to its major metabolites M12, M15 and M18 was moderate to high in mice and in human pl</w:t>
      </w:r>
      <w:r w:rsidR="00076AC1">
        <w:t xml:space="preserve">asma. For M12, no concentration </w:t>
      </w:r>
      <w:r w:rsidRPr="00055BF4">
        <w:t>dependence was observed in mouse plasma (free fraction ~</w:t>
      </w:r>
      <w:r w:rsidR="00076AC1">
        <w:t> </w:t>
      </w:r>
      <w:r w:rsidRPr="00055BF4">
        <w:t>45%), but protein binding appeared t</w:t>
      </w:r>
      <w:r w:rsidR="00076AC1">
        <w:t xml:space="preserve">o be concentration </w:t>
      </w:r>
      <w:r w:rsidRPr="00055BF4">
        <w:t>dependent i</w:t>
      </w:r>
      <w:r w:rsidR="00076AC1">
        <w:t xml:space="preserve">n human plasma over the range 1 to </w:t>
      </w:r>
      <w:r w:rsidRPr="00055BF4">
        <w:t xml:space="preserve">100 </w:t>
      </w:r>
      <w:r w:rsidR="00076AC1">
        <w:t>micromolar (</w:t>
      </w:r>
      <w:r w:rsidRPr="00055BF4">
        <w:t>μM</w:t>
      </w:r>
      <w:r w:rsidR="00076AC1">
        <w:t xml:space="preserve">), </w:t>
      </w:r>
      <w:r w:rsidRPr="00055BF4">
        <w:t>free fracti</w:t>
      </w:r>
      <w:r w:rsidR="00076AC1">
        <w:t xml:space="preserve">on 7% at 1 µM and 47% at 100 µM. For M15, no concentration </w:t>
      </w:r>
      <w:r w:rsidRPr="00055BF4">
        <w:t>dependence was observed in both mouse and human plasma (free fraction ~</w:t>
      </w:r>
      <w:r w:rsidR="00076AC1">
        <w:t> </w:t>
      </w:r>
      <w:r w:rsidRPr="00055BF4">
        <w:t>60% in plasma of both species). For M18, there was a trend fo</w:t>
      </w:r>
      <w:r w:rsidR="00076AC1">
        <w:t>r lower binding fraction at 100 </w:t>
      </w:r>
      <w:r w:rsidR="001F528E" w:rsidRPr="00055BF4">
        <w:t>µ</w:t>
      </w:r>
      <w:r w:rsidR="00076AC1">
        <w:t xml:space="preserve">M (free fraction 24 to 32% in mouse plasma, 12 to 14% at 0.1 to </w:t>
      </w:r>
      <w:r w:rsidRPr="00055BF4">
        <w:t>10 µM and 23% at 100 µM in human plasma)</w:t>
      </w:r>
      <w:r w:rsidR="00CA1EAE">
        <w:t>.</w:t>
      </w:r>
    </w:p>
    <w:p w14:paraId="6E331B34" w14:textId="77777777" w:rsidR="001F2D1F" w:rsidRPr="003739DC" w:rsidRDefault="001F2D1F" w:rsidP="001F2D1F">
      <w:pPr>
        <w:pStyle w:val="Heading4"/>
      </w:pPr>
      <w:bookmarkStart w:id="53" w:name="_Toc294861725"/>
      <w:r w:rsidRPr="003739DC">
        <w:t>Pharmacokinetic drug interactions</w:t>
      </w:r>
      <w:bookmarkEnd w:id="53"/>
    </w:p>
    <w:p w14:paraId="39A78843" w14:textId="013A73E0" w:rsidR="00CA1EAE" w:rsidRDefault="001F2D1F" w:rsidP="00CA1EAE">
      <w:pPr>
        <w:rPr>
          <w:rFonts w:eastAsiaTheme="minorHAnsi" w:cs="TimesNewRoman"/>
          <w:snapToGrid w:val="0"/>
          <w:color w:val="000000"/>
          <w:kern w:val="16"/>
          <w:szCs w:val="24"/>
        </w:rPr>
      </w:pPr>
      <w:r w:rsidRPr="003739DC">
        <w:t xml:space="preserve">The sponsor re-analysed the </w:t>
      </w:r>
      <w:r w:rsidR="00076AC1" w:rsidRPr="003739DC">
        <w:t>cytochrome oxidase P450 3A4 (</w:t>
      </w:r>
      <w:r w:rsidRPr="003739DC">
        <w:t>CYP3A4</w:t>
      </w:r>
      <w:r w:rsidR="00076AC1" w:rsidRPr="003739DC">
        <w:t>)</w:t>
      </w:r>
      <w:r w:rsidRPr="003739DC">
        <w:t xml:space="preserve"> induction data from a previously evaluated study. Olaparib induced CYP3A4 mRNA expression, but did not increase the activity of this enzyme in cultured human hepatocytes. </w:t>
      </w:r>
      <w:r w:rsidR="003739DC" w:rsidRPr="003739DC">
        <w:t>T</w:t>
      </w:r>
      <w:r w:rsidR="003739DC">
        <w:t>he c</w:t>
      </w:r>
      <w:r w:rsidR="003739DC" w:rsidRPr="00A06953">
        <w:t>oncentration which causes 50% maximum induction</w:t>
      </w:r>
      <w:r w:rsidR="003739DC">
        <w:t xml:space="preserve"> (</w:t>
      </w:r>
      <w:r>
        <w:t>EC</w:t>
      </w:r>
      <w:r w:rsidRPr="00F740E7">
        <w:rPr>
          <w:vertAlign w:val="subscript"/>
        </w:rPr>
        <w:t>50</w:t>
      </w:r>
      <w:r w:rsidR="003739DC">
        <w:t>)</w:t>
      </w:r>
      <w:r>
        <w:t xml:space="preserve"> for mRNA </w:t>
      </w:r>
      <w:r w:rsidR="0067104F">
        <w:t>induction in hepatocytes from 3 </w:t>
      </w:r>
      <w:r>
        <w:t xml:space="preserve">donors ranged from 6 to 18 µM, compared with the </w:t>
      </w:r>
      <w:r w:rsidRPr="00444EEF">
        <w:rPr>
          <w:rFonts w:eastAsiaTheme="minorHAnsi" w:cs="TimesNewRoman"/>
          <w:snapToGrid w:val="0"/>
          <w:color w:val="000000"/>
          <w:kern w:val="16"/>
          <w:szCs w:val="24"/>
        </w:rPr>
        <w:t>clinical free C</w:t>
      </w:r>
      <w:r w:rsidRPr="00444EEF">
        <w:rPr>
          <w:rFonts w:eastAsiaTheme="minorHAnsi" w:cs="TimesNewRoman"/>
          <w:snapToGrid w:val="0"/>
          <w:color w:val="000000"/>
          <w:kern w:val="16"/>
          <w:szCs w:val="24"/>
          <w:vertAlign w:val="subscript"/>
        </w:rPr>
        <w:t>max</w:t>
      </w:r>
      <w:r w:rsidRPr="00444EEF">
        <w:rPr>
          <w:rFonts w:eastAsiaTheme="minorHAnsi" w:cs="TimesNewRoman"/>
          <w:snapToGrid w:val="0"/>
          <w:color w:val="000000"/>
          <w:kern w:val="16"/>
          <w:szCs w:val="24"/>
        </w:rPr>
        <w:t xml:space="preserve"> of </w:t>
      </w:r>
      <w:r>
        <w:rPr>
          <w:rFonts w:eastAsiaTheme="minorHAnsi" w:cs="TimesNewRoman"/>
          <w:snapToGrid w:val="0"/>
          <w:color w:val="000000"/>
          <w:kern w:val="16"/>
          <w:szCs w:val="24"/>
        </w:rPr>
        <w:t>3.8</w:t>
      </w:r>
      <w:r w:rsidRPr="00444EEF">
        <w:rPr>
          <w:rFonts w:eastAsiaTheme="minorHAnsi" w:cs="TimesNewRoman"/>
          <w:snapToGrid w:val="0"/>
          <w:color w:val="000000"/>
          <w:kern w:val="16"/>
          <w:szCs w:val="24"/>
        </w:rPr>
        <w:t xml:space="preserve"> μM (300 mg </w:t>
      </w:r>
      <w:r w:rsidR="001F528E">
        <w:rPr>
          <w:rFonts w:eastAsiaTheme="minorHAnsi" w:cs="TimesNewRoman"/>
          <w:snapToGrid w:val="0"/>
          <w:color w:val="000000"/>
          <w:kern w:val="16"/>
          <w:szCs w:val="24"/>
        </w:rPr>
        <w:t>twice daily (</w:t>
      </w:r>
      <w:r w:rsidR="00C920E8">
        <w:rPr>
          <w:rFonts w:eastAsiaTheme="minorHAnsi" w:cs="TimesNewRoman"/>
          <w:snapToGrid w:val="0"/>
          <w:color w:val="000000"/>
          <w:kern w:val="16"/>
          <w:szCs w:val="24"/>
        </w:rPr>
        <w:t>BID</w:t>
      </w:r>
      <w:r w:rsidR="001F528E">
        <w:rPr>
          <w:rFonts w:eastAsiaTheme="minorHAnsi" w:cs="TimesNewRoman"/>
          <w:snapToGrid w:val="0"/>
          <w:color w:val="000000"/>
          <w:kern w:val="16"/>
          <w:szCs w:val="24"/>
        </w:rPr>
        <w:t>)</w:t>
      </w:r>
      <w:r w:rsidRPr="00444EEF">
        <w:rPr>
          <w:rFonts w:eastAsiaTheme="minorHAnsi" w:cs="TimesNewRoman"/>
          <w:snapToGrid w:val="0"/>
          <w:color w:val="000000"/>
          <w:kern w:val="16"/>
          <w:szCs w:val="24"/>
        </w:rPr>
        <w:t xml:space="preserve"> tablet)</w:t>
      </w:r>
      <w:r w:rsidR="001F528E">
        <w:rPr>
          <w:rFonts w:eastAsiaTheme="minorHAnsi" w:cs="TimesNewRoman"/>
          <w:snapToGrid w:val="0"/>
          <w:color w:val="000000"/>
          <w:kern w:val="16"/>
          <w:szCs w:val="24"/>
        </w:rPr>
        <w:t>;</w:t>
      </w:r>
      <w:r>
        <w:rPr>
          <w:rStyle w:val="FootnoteReference"/>
          <w:rFonts w:eastAsiaTheme="minorHAnsi" w:cs="TimesNewRoman"/>
          <w:snapToGrid w:val="0"/>
          <w:color w:val="000000"/>
          <w:kern w:val="16"/>
          <w:szCs w:val="24"/>
        </w:rPr>
        <w:footnoteReference w:id="2"/>
      </w:r>
      <w:r>
        <w:rPr>
          <w:rFonts w:eastAsiaTheme="minorHAnsi" w:cs="TimesNewRoman"/>
          <w:snapToGrid w:val="0"/>
          <w:color w:val="000000"/>
          <w:kern w:val="16"/>
          <w:szCs w:val="24"/>
        </w:rPr>
        <w:t xml:space="preserve"> or 1.8 µM (400 mg </w:t>
      </w:r>
      <w:r w:rsidR="00C920E8">
        <w:rPr>
          <w:rFonts w:eastAsiaTheme="minorHAnsi" w:cs="TimesNewRoman"/>
          <w:snapToGrid w:val="0"/>
          <w:color w:val="000000"/>
          <w:kern w:val="16"/>
          <w:szCs w:val="24"/>
        </w:rPr>
        <w:t>BID</w:t>
      </w:r>
      <w:r>
        <w:rPr>
          <w:rFonts w:eastAsiaTheme="minorHAnsi" w:cs="TimesNewRoman"/>
          <w:snapToGrid w:val="0"/>
          <w:color w:val="000000"/>
          <w:kern w:val="16"/>
          <w:szCs w:val="24"/>
        </w:rPr>
        <w:t xml:space="preserve"> capsule). The induction of CYP3A4 by </w:t>
      </w:r>
      <w:r w:rsidRPr="00444EEF">
        <w:rPr>
          <w:rFonts w:eastAsiaTheme="minorHAnsi" w:cs="TimesNewRoman"/>
          <w:snapToGrid w:val="0"/>
          <w:color w:val="000000"/>
          <w:kern w:val="16"/>
          <w:szCs w:val="24"/>
        </w:rPr>
        <w:t xml:space="preserve">olaparib </w:t>
      </w:r>
      <w:r w:rsidR="003739DC">
        <w:rPr>
          <w:rFonts w:eastAsiaTheme="minorHAnsi" w:cs="TimesNewRoman"/>
          <w:snapToGrid w:val="0"/>
          <w:color w:val="000000"/>
          <w:kern w:val="16"/>
          <w:szCs w:val="24"/>
        </w:rPr>
        <w:t>was 18 to </w:t>
      </w:r>
      <w:r>
        <w:rPr>
          <w:rFonts w:eastAsiaTheme="minorHAnsi" w:cs="TimesNewRoman"/>
          <w:snapToGrid w:val="0"/>
          <w:color w:val="000000"/>
          <w:kern w:val="16"/>
          <w:szCs w:val="24"/>
        </w:rPr>
        <w:t xml:space="preserve">40% of that by the positive control rifampicin. Given that olaparib inhibits CYP3A4 (albeit at high concentrations) and the relatively low to moderate </w:t>
      </w:r>
      <w:r>
        <w:rPr>
          <w:rFonts w:eastAsiaTheme="minorHAnsi" w:cs="TimesNewRoman"/>
          <w:snapToGrid w:val="0"/>
          <w:color w:val="000000"/>
          <w:kern w:val="16"/>
          <w:szCs w:val="24"/>
        </w:rPr>
        <w:lastRenderedPageBreak/>
        <w:t xml:space="preserve">induction of mRNA (relative to the positive control) without an increase in CYP3A4 activity, the induction </w:t>
      </w:r>
      <w:r w:rsidRPr="00444EEF">
        <w:rPr>
          <w:rFonts w:eastAsiaTheme="minorHAnsi" w:cs="TimesNewRoman"/>
          <w:snapToGrid w:val="0"/>
          <w:color w:val="000000"/>
          <w:kern w:val="16"/>
          <w:szCs w:val="24"/>
        </w:rPr>
        <w:t xml:space="preserve">of CYP3A4 </w:t>
      </w:r>
      <w:r>
        <w:rPr>
          <w:rFonts w:eastAsiaTheme="minorHAnsi" w:cs="TimesNewRoman"/>
          <w:snapToGrid w:val="0"/>
          <w:color w:val="000000"/>
          <w:kern w:val="16"/>
          <w:szCs w:val="24"/>
        </w:rPr>
        <w:t xml:space="preserve">is not expected </w:t>
      </w:r>
      <w:r w:rsidRPr="00444EEF">
        <w:rPr>
          <w:rFonts w:eastAsiaTheme="minorHAnsi" w:cs="TimesNewRoman"/>
          <w:snapToGrid w:val="0"/>
          <w:color w:val="000000"/>
          <w:kern w:val="16"/>
          <w:szCs w:val="24"/>
        </w:rPr>
        <w:t>to occur during the clinical use</w:t>
      </w:r>
      <w:r w:rsidR="00CA1EAE">
        <w:rPr>
          <w:rFonts w:eastAsiaTheme="minorHAnsi" w:cs="TimesNewRoman"/>
          <w:snapToGrid w:val="0"/>
          <w:color w:val="000000"/>
          <w:kern w:val="16"/>
          <w:szCs w:val="24"/>
        </w:rPr>
        <w:t>.</w:t>
      </w:r>
    </w:p>
    <w:p w14:paraId="6B233B3E" w14:textId="77777777" w:rsidR="00CA1EAE" w:rsidRPr="00CA1EAE" w:rsidRDefault="008E7846" w:rsidP="00CA1EAE">
      <w:pPr>
        <w:pStyle w:val="Heading3"/>
        <w:rPr>
          <w:kern w:val="2"/>
        </w:rPr>
      </w:pPr>
      <w:bookmarkStart w:id="54" w:name="_Toc23326205"/>
      <w:r>
        <w:t>Toxicology</w:t>
      </w:r>
      <w:bookmarkStart w:id="55" w:name="_Toc294861728"/>
      <w:bookmarkEnd w:id="51"/>
      <w:bookmarkEnd w:id="52"/>
      <w:bookmarkEnd w:id="54"/>
    </w:p>
    <w:p w14:paraId="41A4AF9C" w14:textId="77777777" w:rsidR="001F2D1F" w:rsidRPr="00EB69F1" w:rsidRDefault="001F2D1F" w:rsidP="00CA1EAE">
      <w:pPr>
        <w:pStyle w:val="Heading4"/>
      </w:pPr>
      <w:r w:rsidRPr="00EB69F1">
        <w:t>Repeat-dose toxicity</w:t>
      </w:r>
      <w:bookmarkEnd w:id="55"/>
    </w:p>
    <w:p w14:paraId="65F1D7B3" w14:textId="60DD9A96" w:rsidR="00CA1EAE" w:rsidRDefault="001F2D1F" w:rsidP="001F2D1F">
      <w:pPr>
        <w:rPr>
          <w:rFonts w:cs="TimesNewRoman"/>
        </w:rPr>
      </w:pPr>
      <w:r>
        <w:t>It was concluded in the previous assessment that two species (rat and dog) were appropriate models based on pharmacokinetic parameters however the exposures to olaparib in longer term studies in rats and dogs were subclinical. W</w:t>
      </w:r>
      <w:r w:rsidR="003739DC">
        <w:t xml:space="preserve">ith this submission, two repeat </w:t>
      </w:r>
      <w:r>
        <w:t xml:space="preserve">dose rat studies with higher oral doses (up to 1000 in males and </w:t>
      </w:r>
      <w:r w:rsidRPr="00950B2F">
        <w:t xml:space="preserve">100 mg/kg/day in females) were provided, compared with the doses (up to 40 mg/kg/day in pivotal studies) used in previously evaluated studies. The exposures were below the anticipated clinical level. In the pivotal </w:t>
      </w:r>
      <w:r w:rsidR="001F528E">
        <w:t>G</w:t>
      </w:r>
      <w:r w:rsidR="003739DC" w:rsidRPr="00950B2F">
        <w:t xml:space="preserve">ood </w:t>
      </w:r>
      <w:r w:rsidR="001F528E">
        <w:t>L</w:t>
      </w:r>
      <w:r w:rsidR="003739DC" w:rsidRPr="00950B2F">
        <w:t xml:space="preserve">aboratory </w:t>
      </w:r>
      <w:r w:rsidR="001F528E">
        <w:t>P</w:t>
      </w:r>
      <w:r w:rsidR="003739DC" w:rsidRPr="00950B2F">
        <w:t xml:space="preserve">ractice (GLP) </w:t>
      </w:r>
      <w:r w:rsidRPr="00950B2F">
        <w:t>compliant</w:t>
      </w:r>
      <w:r w:rsidRPr="0081057D">
        <w:t xml:space="preserve"> </w:t>
      </w:r>
      <w:r w:rsidR="003739DC">
        <w:t>repeat </w:t>
      </w:r>
      <w:r>
        <w:t xml:space="preserve">dose </w:t>
      </w:r>
      <w:r w:rsidRPr="0081057D">
        <w:t>toxicity study</w:t>
      </w:r>
      <w:r>
        <w:t xml:space="preserve">, </w:t>
      </w:r>
      <w:r>
        <w:rPr>
          <w:rFonts w:eastAsiaTheme="minorHAnsi" w:cs="TimesNewRomanPSMT"/>
        </w:rPr>
        <w:t>olaparib was orally administrated to male and female rats for 3</w:t>
      </w:r>
      <w:r w:rsidR="00A231F0">
        <w:rPr>
          <w:rFonts w:eastAsiaTheme="minorHAnsi" w:cs="TimesNewRomanPSMT"/>
        </w:rPr>
        <w:t> </w:t>
      </w:r>
      <w:r w:rsidRPr="008F396E">
        <w:rPr>
          <w:rFonts w:eastAsiaTheme="minorHAnsi" w:cs="TimesNewRomanPSMT"/>
        </w:rPr>
        <w:t>month</w:t>
      </w:r>
      <w:r w:rsidR="00A231F0">
        <w:rPr>
          <w:rFonts w:eastAsiaTheme="minorHAnsi" w:cs="TimesNewRomanPSMT"/>
        </w:rPr>
        <w:t>s</w:t>
      </w:r>
      <w:r w:rsidRPr="0081057D">
        <w:t xml:space="preserve">. </w:t>
      </w:r>
      <w:r>
        <w:t xml:space="preserve">Group sizes were adequate and the </w:t>
      </w:r>
      <w:r w:rsidRPr="006243E9">
        <w:t>clinical route (</w:t>
      </w:r>
      <w:r w:rsidR="00950B2F">
        <w:t>by mouth</w:t>
      </w:r>
      <w:r w:rsidR="00EE2122">
        <w:t xml:space="preserve"> (</w:t>
      </w:r>
      <w:r w:rsidRPr="006243E9">
        <w:t>PO</w:t>
      </w:r>
      <w:r w:rsidR="003C2823">
        <w:t>)</w:t>
      </w:r>
      <w:r w:rsidRPr="006243E9">
        <w:t xml:space="preserve">) was used in this study. </w:t>
      </w:r>
      <w:r>
        <w:t>T</w:t>
      </w:r>
      <w:r w:rsidRPr="006243E9">
        <w:t xml:space="preserve">he animals were dosed only once daily </w:t>
      </w:r>
      <w:r w:rsidRPr="005F2B4E">
        <w:t xml:space="preserve">(compared with the proposed clinical dosing regimen of </w:t>
      </w:r>
      <w:r w:rsidR="00950B2F">
        <w:t>BID</w:t>
      </w:r>
      <w:r w:rsidRPr="005F2B4E">
        <w:t>), and the exposures to</w:t>
      </w:r>
      <w:r>
        <w:t xml:space="preserve"> olaparib </w:t>
      </w:r>
      <w:r w:rsidRPr="00CB514E">
        <w:t>based on plasma AUC</w:t>
      </w:r>
      <w:r w:rsidRPr="00CB514E">
        <w:rPr>
          <w:vertAlign w:val="subscript"/>
        </w:rPr>
        <w:t>0-24h</w:t>
      </w:r>
      <w:r w:rsidR="00950B2F">
        <w:rPr>
          <w:vertAlign w:val="subscript"/>
        </w:rPr>
        <w:t>ours</w:t>
      </w:r>
      <w:r>
        <w:rPr>
          <w:vertAlign w:val="subscript"/>
        </w:rPr>
        <w:t xml:space="preserve"> </w:t>
      </w:r>
      <w:r>
        <w:t xml:space="preserve">were below </w:t>
      </w:r>
      <w:r w:rsidRPr="00CB514E">
        <w:t>th</w:t>
      </w:r>
      <w:r>
        <w:t>e level achieved clinically</w:t>
      </w:r>
      <w:r w:rsidRPr="00CB514E">
        <w:t xml:space="preserve"> in </w:t>
      </w:r>
      <w:r>
        <w:t xml:space="preserve">patients </w:t>
      </w:r>
      <w:r w:rsidR="00950B2F">
        <w:t>receiving</w:t>
      </w:r>
      <w:r>
        <w:t xml:space="preserve"> 400 mg capsules </w:t>
      </w:r>
      <w:r w:rsidR="00950B2F">
        <w:t>BID</w:t>
      </w:r>
      <w:r>
        <w:t xml:space="preserve"> or 300 mg tablets </w:t>
      </w:r>
      <w:r w:rsidR="00950B2F">
        <w:t>BID</w:t>
      </w:r>
      <w:r w:rsidR="00A221EC">
        <w:t xml:space="preserve"> (</w:t>
      </w:r>
      <w:r w:rsidR="001F528E">
        <w:t xml:space="preserve">see </w:t>
      </w:r>
      <w:r w:rsidR="00A221EC" w:rsidRPr="000A0DC3">
        <w:t>Table 3</w:t>
      </w:r>
      <w:r w:rsidRPr="000A0DC3">
        <w:t>).</w:t>
      </w:r>
      <w:r w:rsidRPr="00CB514E">
        <w:t xml:space="preserve"> </w:t>
      </w:r>
      <w:r w:rsidRPr="006243E9">
        <w:t xml:space="preserve">Doses were selected based on </w:t>
      </w:r>
      <w:r w:rsidRPr="006243E9">
        <w:rPr>
          <w:rFonts w:cs="TimesNewRoman"/>
        </w:rPr>
        <w:t xml:space="preserve">the data obtained </w:t>
      </w:r>
      <w:r>
        <w:rPr>
          <w:rFonts w:cs="TimesNewRoman"/>
        </w:rPr>
        <w:t>from</w:t>
      </w:r>
      <w:r w:rsidRPr="006243E9">
        <w:rPr>
          <w:rFonts w:cs="TimesNewRoman"/>
        </w:rPr>
        <w:t xml:space="preserve"> a </w:t>
      </w:r>
      <w:r>
        <w:rPr>
          <w:rFonts w:cs="TimesNewRoman"/>
        </w:rPr>
        <w:t xml:space="preserve">preliminary </w:t>
      </w:r>
      <w:r w:rsidRPr="006243E9">
        <w:rPr>
          <w:rFonts w:cs="TimesNewRoman"/>
        </w:rPr>
        <w:t xml:space="preserve">one month study where the dose levels of 1000 </w:t>
      </w:r>
      <w:r>
        <w:rPr>
          <w:rFonts w:cs="TimesNewRoman"/>
        </w:rPr>
        <w:t xml:space="preserve">and </w:t>
      </w:r>
      <w:r w:rsidRPr="006243E9">
        <w:rPr>
          <w:rFonts w:cs="TimesNewRoman"/>
        </w:rPr>
        <w:t>250 mg/kg</w:t>
      </w:r>
      <w:r>
        <w:rPr>
          <w:rFonts w:cs="TimesNewRoman"/>
        </w:rPr>
        <w:t>/day</w:t>
      </w:r>
      <w:r w:rsidRPr="006243E9">
        <w:rPr>
          <w:rFonts w:cs="TimesNewRoman"/>
        </w:rPr>
        <w:t xml:space="preserve"> in </w:t>
      </w:r>
      <w:r>
        <w:rPr>
          <w:rFonts w:cs="TimesNewRoman"/>
        </w:rPr>
        <w:t xml:space="preserve">males and </w:t>
      </w:r>
      <w:r w:rsidRPr="006243E9">
        <w:rPr>
          <w:rFonts w:cs="TimesNewRoman"/>
        </w:rPr>
        <w:t xml:space="preserve">females were associated with reductions in weight gain </w:t>
      </w:r>
      <w:r w:rsidR="00950B2F">
        <w:rPr>
          <w:rFonts w:cs="TimesNewRoman"/>
        </w:rPr>
        <w:t xml:space="preserve">(34 to </w:t>
      </w:r>
      <w:r>
        <w:rPr>
          <w:rFonts w:cs="TimesNewRoman"/>
        </w:rPr>
        <w:t xml:space="preserve">45%) </w:t>
      </w:r>
      <w:r w:rsidRPr="006243E9">
        <w:rPr>
          <w:rFonts w:cs="TimesNewRoman"/>
        </w:rPr>
        <w:t>and food</w:t>
      </w:r>
      <w:r>
        <w:rPr>
          <w:rFonts w:cs="TimesNewRoman"/>
        </w:rPr>
        <w:t xml:space="preserve"> consumption. Significant effects on body weight gain (~</w:t>
      </w:r>
      <w:r w:rsidR="00950B2F">
        <w:rPr>
          <w:rFonts w:cs="TimesNewRoman"/>
        </w:rPr>
        <w:t xml:space="preserve"> </w:t>
      </w:r>
      <w:r>
        <w:rPr>
          <w:rFonts w:cs="TimesNewRoman"/>
        </w:rPr>
        <w:t>45% lower than the control group in both sexes), together with organ toxici</w:t>
      </w:r>
      <w:r w:rsidR="00950B2F">
        <w:rPr>
          <w:rFonts w:cs="TimesNewRoman"/>
        </w:rPr>
        <w:t xml:space="preserve">ty, were also observed in the 3 </w:t>
      </w:r>
      <w:r>
        <w:rPr>
          <w:rFonts w:cs="TimesNewRoman"/>
        </w:rPr>
        <w:t>month study, suggesting adequate doses</w:t>
      </w:r>
      <w:r w:rsidR="00CA1EAE">
        <w:rPr>
          <w:rFonts w:cs="TimesNewRoman"/>
        </w:rPr>
        <w:t>.</w:t>
      </w:r>
    </w:p>
    <w:p w14:paraId="09ECDAAD" w14:textId="77777777" w:rsidR="001F2D1F" w:rsidRPr="00990B6F" w:rsidRDefault="001F2D1F" w:rsidP="001F528E">
      <w:pPr>
        <w:pStyle w:val="TableTitle"/>
      </w:pPr>
      <w:r>
        <w:t xml:space="preserve">Table 3: </w:t>
      </w:r>
      <w:r w:rsidR="00525132">
        <w:t xml:space="preserve">Relative exposure in repeat </w:t>
      </w:r>
      <w:r w:rsidRPr="00990B6F">
        <w:t>dose toxicity study</w:t>
      </w:r>
    </w:p>
    <w:tbl>
      <w:tblPr>
        <w:tblStyle w:val="TableTGAblue"/>
        <w:tblW w:w="8591" w:type="dxa"/>
        <w:tblLayout w:type="fixed"/>
        <w:tblLook w:val="01E0" w:firstRow="1" w:lastRow="1" w:firstColumn="1" w:lastColumn="1" w:noHBand="0" w:noVBand="0"/>
      </w:tblPr>
      <w:tblGrid>
        <w:gridCol w:w="959"/>
        <w:gridCol w:w="1843"/>
        <w:gridCol w:w="850"/>
        <w:gridCol w:w="709"/>
        <w:gridCol w:w="709"/>
        <w:gridCol w:w="708"/>
        <w:gridCol w:w="709"/>
        <w:gridCol w:w="709"/>
        <w:gridCol w:w="709"/>
        <w:gridCol w:w="686"/>
      </w:tblGrid>
      <w:tr w:rsidR="001F2D1F" w:rsidRPr="005F2B4E" w14:paraId="35DB165F" w14:textId="77777777" w:rsidTr="00284449">
        <w:trPr>
          <w:cnfStyle w:val="100000000000" w:firstRow="1" w:lastRow="0" w:firstColumn="0" w:lastColumn="0" w:oddVBand="0" w:evenVBand="0" w:oddHBand="0" w:evenHBand="0" w:firstRowFirstColumn="0" w:firstRowLastColumn="0" w:lastRowFirstColumn="0" w:lastRowLastColumn="0"/>
          <w:cantSplit/>
          <w:trHeight w:val="497"/>
        </w:trPr>
        <w:tc>
          <w:tcPr>
            <w:tcW w:w="959" w:type="dxa"/>
            <w:vMerge w:val="restart"/>
          </w:tcPr>
          <w:p w14:paraId="5E8DE0DC" w14:textId="77777777" w:rsidR="001F2D1F" w:rsidRPr="00525132" w:rsidRDefault="001F2D1F" w:rsidP="00D65DC7">
            <w:pPr>
              <w:ind w:left="0" w:right="0"/>
              <w:jc w:val="center"/>
              <w:rPr>
                <w:sz w:val="20"/>
                <w:szCs w:val="20"/>
              </w:rPr>
            </w:pPr>
            <w:r w:rsidRPr="00525132">
              <w:rPr>
                <w:sz w:val="20"/>
                <w:szCs w:val="20"/>
              </w:rPr>
              <w:t>Species</w:t>
            </w:r>
          </w:p>
        </w:tc>
        <w:tc>
          <w:tcPr>
            <w:tcW w:w="1843" w:type="dxa"/>
            <w:vMerge w:val="restart"/>
          </w:tcPr>
          <w:p w14:paraId="03F832BD" w14:textId="77777777" w:rsidR="001F2D1F" w:rsidRPr="00525132" w:rsidRDefault="001F2D1F" w:rsidP="00D65DC7">
            <w:pPr>
              <w:ind w:left="0" w:right="0"/>
              <w:jc w:val="center"/>
              <w:rPr>
                <w:sz w:val="20"/>
                <w:szCs w:val="20"/>
              </w:rPr>
            </w:pPr>
            <w:r w:rsidRPr="00525132">
              <w:rPr>
                <w:sz w:val="20"/>
                <w:szCs w:val="20"/>
              </w:rPr>
              <w:t>Study duration</w:t>
            </w:r>
          </w:p>
        </w:tc>
        <w:tc>
          <w:tcPr>
            <w:tcW w:w="1559" w:type="dxa"/>
            <w:gridSpan w:val="2"/>
            <w:vMerge w:val="restart"/>
          </w:tcPr>
          <w:p w14:paraId="3980F68F" w14:textId="3F2822E0" w:rsidR="001F2D1F" w:rsidRPr="00525132" w:rsidRDefault="00525132" w:rsidP="00284449">
            <w:pPr>
              <w:ind w:left="0" w:right="0"/>
              <w:jc w:val="center"/>
              <w:rPr>
                <w:sz w:val="20"/>
                <w:szCs w:val="20"/>
              </w:rPr>
            </w:pPr>
            <w:r w:rsidRPr="00525132">
              <w:rPr>
                <w:sz w:val="20"/>
                <w:szCs w:val="20"/>
              </w:rPr>
              <w:t>Dose</w:t>
            </w:r>
            <w:r w:rsidR="00284449">
              <w:rPr>
                <w:sz w:val="20"/>
                <w:szCs w:val="20"/>
              </w:rPr>
              <w:t xml:space="preserve"> </w:t>
            </w:r>
            <w:r w:rsidR="001F2D1F" w:rsidRPr="00525132">
              <w:rPr>
                <w:sz w:val="20"/>
                <w:szCs w:val="20"/>
              </w:rPr>
              <w:t>(mg/kg/day PO)</w:t>
            </w:r>
          </w:p>
        </w:tc>
        <w:tc>
          <w:tcPr>
            <w:tcW w:w="1417" w:type="dxa"/>
            <w:gridSpan w:val="2"/>
            <w:vMerge w:val="restart"/>
          </w:tcPr>
          <w:p w14:paraId="720553B1" w14:textId="66277498" w:rsidR="001F2D1F" w:rsidRPr="00525132" w:rsidRDefault="001F2D1F" w:rsidP="00284449">
            <w:pPr>
              <w:ind w:left="0" w:right="0"/>
              <w:jc w:val="center"/>
              <w:rPr>
                <w:sz w:val="20"/>
                <w:szCs w:val="20"/>
              </w:rPr>
            </w:pPr>
            <w:r w:rsidRPr="00525132">
              <w:rPr>
                <w:sz w:val="20"/>
                <w:szCs w:val="20"/>
              </w:rPr>
              <w:t>AUC</w:t>
            </w:r>
            <w:r w:rsidRPr="00525132">
              <w:rPr>
                <w:sz w:val="20"/>
                <w:szCs w:val="20"/>
                <w:vertAlign w:val="subscript"/>
              </w:rPr>
              <w:t>0–24</w:t>
            </w:r>
            <w:r w:rsidRPr="00525132">
              <w:rPr>
                <w:w w:val="50"/>
                <w:sz w:val="20"/>
                <w:szCs w:val="20"/>
                <w:vertAlign w:val="subscript"/>
              </w:rPr>
              <w:t> </w:t>
            </w:r>
            <w:r w:rsidRPr="00525132">
              <w:rPr>
                <w:sz w:val="20"/>
                <w:szCs w:val="20"/>
                <w:vertAlign w:val="subscript"/>
              </w:rPr>
              <w:t>h</w:t>
            </w:r>
            <w:r w:rsidR="00525132" w:rsidRPr="00525132">
              <w:rPr>
                <w:sz w:val="20"/>
                <w:szCs w:val="20"/>
                <w:vertAlign w:val="subscript"/>
              </w:rPr>
              <w:t>ours</w:t>
            </w:r>
            <w:r w:rsidR="00284449">
              <w:rPr>
                <w:sz w:val="20"/>
                <w:szCs w:val="20"/>
                <w:vertAlign w:val="subscript"/>
              </w:rPr>
              <w:t xml:space="preserve"> </w:t>
            </w:r>
            <w:r w:rsidRPr="00525132">
              <w:rPr>
                <w:sz w:val="20"/>
                <w:szCs w:val="20"/>
              </w:rPr>
              <w:t>(μmol.</w:t>
            </w:r>
            <w:r w:rsidR="00A55817">
              <w:rPr>
                <w:sz w:val="20"/>
                <w:szCs w:val="20"/>
              </w:rPr>
              <w:t>hour</w:t>
            </w:r>
            <w:r w:rsidRPr="00525132">
              <w:rPr>
                <w:sz w:val="20"/>
                <w:szCs w:val="20"/>
              </w:rPr>
              <w:t>)</w:t>
            </w:r>
          </w:p>
        </w:tc>
        <w:tc>
          <w:tcPr>
            <w:tcW w:w="2813" w:type="dxa"/>
            <w:gridSpan w:val="4"/>
          </w:tcPr>
          <w:p w14:paraId="5168A051" w14:textId="77777777" w:rsidR="001F2D1F" w:rsidRPr="00525132" w:rsidRDefault="001F2D1F">
            <w:pPr>
              <w:ind w:left="0" w:right="0"/>
              <w:jc w:val="center"/>
              <w:rPr>
                <w:sz w:val="20"/>
                <w:szCs w:val="20"/>
              </w:rPr>
            </w:pPr>
            <w:r w:rsidRPr="00525132">
              <w:rPr>
                <w:sz w:val="20"/>
                <w:szCs w:val="20"/>
              </w:rPr>
              <w:t>Exposure ratio</w:t>
            </w:r>
            <w:r w:rsidRPr="00525132">
              <w:rPr>
                <w:sz w:val="20"/>
                <w:szCs w:val="20"/>
                <w:vertAlign w:val="superscript"/>
              </w:rPr>
              <w:t>#</w:t>
            </w:r>
          </w:p>
        </w:tc>
      </w:tr>
      <w:tr w:rsidR="001F2D1F" w:rsidRPr="005F2B4E" w14:paraId="6F4F6B0E" w14:textId="77777777" w:rsidTr="00284449">
        <w:trPr>
          <w:cnfStyle w:val="100000000000" w:firstRow="1" w:lastRow="0" w:firstColumn="0" w:lastColumn="0" w:oddVBand="0" w:evenVBand="0" w:oddHBand="0" w:evenHBand="0" w:firstRowFirstColumn="0" w:firstRowLastColumn="0" w:lastRowFirstColumn="0" w:lastRowLastColumn="0"/>
          <w:cantSplit/>
          <w:trHeight w:val="148"/>
        </w:trPr>
        <w:tc>
          <w:tcPr>
            <w:tcW w:w="959" w:type="dxa"/>
            <w:vMerge/>
          </w:tcPr>
          <w:p w14:paraId="30F61746" w14:textId="77777777" w:rsidR="001F2D1F" w:rsidRPr="00525132" w:rsidRDefault="001F2D1F" w:rsidP="00F30AD1">
            <w:pPr>
              <w:ind w:left="0" w:right="0"/>
              <w:jc w:val="center"/>
              <w:rPr>
                <w:sz w:val="20"/>
                <w:szCs w:val="20"/>
              </w:rPr>
            </w:pPr>
          </w:p>
        </w:tc>
        <w:tc>
          <w:tcPr>
            <w:tcW w:w="1843" w:type="dxa"/>
            <w:vMerge/>
          </w:tcPr>
          <w:p w14:paraId="6BE7AD52" w14:textId="77777777" w:rsidR="001F2D1F" w:rsidRPr="00525132" w:rsidRDefault="001F2D1F" w:rsidP="00F30AD1">
            <w:pPr>
              <w:ind w:left="0" w:right="0"/>
              <w:jc w:val="center"/>
              <w:rPr>
                <w:sz w:val="20"/>
                <w:szCs w:val="20"/>
              </w:rPr>
            </w:pPr>
          </w:p>
        </w:tc>
        <w:tc>
          <w:tcPr>
            <w:tcW w:w="1559" w:type="dxa"/>
            <w:gridSpan w:val="2"/>
            <w:vMerge/>
          </w:tcPr>
          <w:p w14:paraId="31F11B46" w14:textId="77777777" w:rsidR="001F2D1F" w:rsidRPr="00525132" w:rsidRDefault="001F2D1F" w:rsidP="00F30AD1">
            <w:pPr>
              <w:ind w:left="0" w:right="0"/>
              <w:jc w:val="center"/>
              <w:rPr>
                <w:sz w:val="20"/>
                <w:szCs w:val="20"/>
              </w:rPr>
            </w:pPr>
          </w:p>
        </w:tc>
        <w:tc>
          <w:tcPr>
            <w:tcW w:w="1417" w:type="dxa"/>
            <w:gridSpan w:val="2"/>
            <w:vMerge/>
          </w:tcPr>
          <w:p w14:paraId="09B02945" w14:textId="77777777" w:rsidR="001F2D1F" w:rsidRPr="00525132" w:rsidRDefault="001F2D1F" w:rsidP="00F30AD1">
            <w:pPr>
              <w:ind w:left="0" w:right="0"/>
              <w:jc w:val="center"/>
              <w:rPr>
                <w:sz w:val="20"/>
                <w:szCs w:val="20"/>
              </w:rPr>
            </w:pPr>
          </w:p>
        </w:tc>
        <w:tc>
          <w:tcPr>
            <w:tcW w:w="1418" w:type="dxa"/>
            <w:gridSpan w:val="2"/>
          </w:tcPr>
          <w:p w14:paraId="462BF191" w14:textId="77777777" w:rsidR="001F2D1F" w:rsidRPr="00525132" w:rsidRDefault="001F2D1F" w:rsidP="00F30AD1">
            <w:pPr>
              <w:ind w:left="0" w:right="0"/>
              <w:jc w:val="center"/>
              <w:rPr>
                <w:sz w:val="20"/>
                <w:szCs w:val="20"/>
              </w:rPr>
            </w:pPr>
            <w:r w:rsidRPr="00525132">
              <w:rPr>
                <w:sz w:val="20"/>
                <w:szCs w:val="20"/>
              </w:rPr>
              <w:t>Tablet</w:t>
            </w:r>
          </w:p>
        </w:tc>
        <w:tc>
          <w:tcPr>
            <w:tcW w:w="1395" w:type="dxa"/>
            <w:gridSpan w:val="2"/>
          </w:tcPr>
          <w:p w14:paraId="1EDF15AE" w14:textId="77777777" w:rsidR="001F2D1F" w:rsidRPr="00525132" w:rsidRDefault="001F2D1F" w:rsidP="00F30AD1">
            <w:pPr>
              <w:ind w:left="0" w:right="0"/>
              <w:jc w:val="center"/>
              <w:rPr>
                <w:sz w:val="20"/>
                <w:szCs w:val="20"/>
              </w:rPr>
            </w:pPr>
            <w:r w:rsidRPr="00525132">
              <w:rPr>
                <w:sz w:val="20"/>
                <w:szCs w:val="20"/>
              </w:rPr>
              <w:t>Capsule</w:t>
            </w:r>
          </w:p>
        </w:tc>
      </w:tr>
      <w:tr w:rsidR="001F2D1F" w:rsidRPr="005F2B4E" w14:paraId="21A0A16F" w14:textId="77777777" w:rsidTr="00284449">
        <w:trPr>
          <w:cnfStyle w:val="100000000000" w:firstRow="1" w:lastRow="0" w:firstColumn="0" w:lastColumn="0" w:oddVBand="0" w:evenVBand="0" w:oddHBand="0" w:evenHBand="0" w:firstRowFirstColumn="0" w:firstRowLastColumn="0" w:lastRowFirstColumn="0" w:lastRowLastColumn="0"/>
          <w:cantSplit/>
          <w:trHeight w:val="148"/>
        </w:trPr>
        <w:tc>
          <w:tcPr>
            <w:tcW w:w="959" w:type="dxa"/>
            <w:vMerge/>
          </w:tcPr>
          <w:p w14:paraId="54CAF6CA" w14:textId="77777777" w:rsidR="001F2D1F" w:rsidRPr="00525132" w:rsidRDefault="001F2D1F" w:rsidP="00F30AD1">
            <w:pPr>
              <w:ind w:left="0" w:right="0"/>
              <w:jc w:val="center"/>
              <w:rPr>
                <w:sz w:val="20"/>
                <w:szCs w:val="20"/>
              </w:rPr>
            </w:pPr>
          </w:p>
        </w:tc>
        <w:tc>
          <w:tcPr>
            <w:tcW w:w="1843" w:type="dxa"/>
            <w:vMerge/>
          </w:tcPr>
          <w:p w14:paraId="096A8338" w14:textId="77777777" w:rsidR="001F2D1F" w:rsidRPr="00525132" w:rsidRDefault="001F2D1F" w:rsidP="00F30AD1">
            <w:pPr>
              <w:ind w:left="0" w:right="0"/>
              <w:jc w:val="center"/>
              <w:rPr>
                <w:sz w:val="20"/>
                <w:szCs w:val="20"/>
              </w:rPr>
            </w:pPr>
          </w:p>
        </w:tc>
        <w:tc>
          <w:tcPr>
            <w:tcW w:w="850" w:type="dxa"/>
          </w:tcPr>
          <w:p w14:paraId="5638BB08" w14:textId="77777777" w:rsidR="001F2D1F" w:rsidRPr="0067104F" w:rsidRDefault="0067104F" w:rsidP="00F30AD1">
            <w:pPr>
              <w:ind w:left="0" w:right="0"/>
              <w:jc w:val="center"/>
              <w:rPr>
                <w:sz w:val="20"/>
                <w:szCs w:val="20"/>
              </w:rPr>
            </w:pPr>
            <w:r w:rsidRPr="0067104F">
              <w:rPr>
                <w:sz w:val="20"/>
                <w:szCs w:val="20"/>
              </w:rPr>
              <w:t>M</w:t>
            </w:r>
          </w:p>
        </w:tc>
        <w:tc>
          <w:tcPr>
            <w:tcW w:w="709" w:type="dxa"/>
          </w:tcPr>
          <w:p w14:paraId="596C0AE1" w14:textId="77777777" w:rsidR="001F2D1F" w:rsidRPr="0067104F" w:rsidRDefault="0067104F" w:rsidP="00F30AD1">
            <w:pPr>
              <w:ind w:left="0" w:right="0"/>
              <w:jc w:val="center"/>
              <w:rPr>
                <w:sz w:val="20"/>
                <w:szCs w:val="20"/>
              </w:rPr>
            </w:pPr>
            <w:r w:rsidRPr="0067104F">
              <w:rPr>
                <w:sz w:val="20"/>
                <w:szCs w:val="20"/>
              </w:rPr>
              <w:t>F</w:t>
            </w:r>
          </w:p>
        </w:tc>
        <w:tc>
          <w:tcPr>
            <w:tcW w:w="709" w:type="dxa"/>
          </w:tcPr>
          <w:p w14:paraId="20EA45F0" w14:textId="77777777" w:rsidR="001F2D1F" w:rsidRPr="0067104F" w:rsidRDefault="0067104F" w:rsidP="00F30AD1">
            <w:pPr>
              <w:ind w:left="0" w:right="0"/>
              <w:jc w:val="center"/>
              <w:rPr>
                <w:sz w:val="20"/>
                <w:szCs w:val="20"/>
              </w:rPr>
            </w:pPr>
            <w:r w:rsidRPr="0067104F">
              <w:rPr>
                <w:sz w:val="20"/>
                <w:szCs w:val="20"/>
              </w:rPr>
              <w:t>M</w:t>
            </w:r>
          </w:p>
        </w:tc>
        <w:tc>
          <w:tcPr>
            <w:tcW w:w="708" w:type="dxa"/>
          </w:tcPr>
          <w:p w14:paraId="5689C6C0" w14:textId="77777777" w:rsidR="001F2D1F" w:rsidRPr="0067104F" w:rsidRDefault="0067104F" w:rsidP="00F30AD1">
            <w:pPr>
              <w:ind w:left="0" w:right="0"/>
              <w:jc w:val="center"/>
              <w:rPr>
                <w:sz w:val="20"/>
                <w:szCs w:val="20"/>
              </w:rPr>
            </w:pPr>
            <w:r w:rsidRPr="0067104F">
              <w:rPr>
                <w:sz w:val="20"/>
                <w:szCs w:val="20"/>
              </w:rPr>
              <w:t>F</w:t>
            </w:r>
          </w:p>
        </w:tc>
        <w:tc>
          <w:tcPr>
            <w:tcW w:w="709" w:type="dxa"/>
          </w:tcPr>
          <w:p w14:paraId="7E9AA749" w14:textId="77777777" w:rsidR="001F2D1F" w:rsidRPr="0067104F" w:rsidRDefault="0067104F" w:rsidP="00F30AD1">
            <w:pPr>
              <w:ind w:left="0" w:right="0"/>
              <w:jc w:val="center"/>
              <w:rPr>
                <w:sz w:val="20"/>
                <w:szCs w:val="20"/>
              </w:rPr>
            </w:pPr>
            <w:r w:rsidRPr="0067104F">
              <w:rPr>
                <w:sz w:val="20"/>
                <w:szCs w:val="20"/>
              </w:rPr>
              <w:t>M</w:t>
            </w:r>
          </w:p>
        </w:tc>
        <w:tc>
          <w:tcPr>
            <w:tcW w:w="709" w:type="dxa"/>
          </w:tcPr>
          <w:p w14:paraId="0E109F2C" w14:textId="77777777" w:rsidR="001F2D1F" w:rsidRPr="0067104F" w:rsidRDefault="0067104F" w:rsidP="00F30AD1">
            <w:pPr>
              <w:ind w:left="0" w:right="0"/>
              <w:jc w:val="center"/>
              <w:rPr>
                <w:sz w:val="20"/>
                <w:szCs w:val="20"/>
              </w:rPr>
            </w:pPr>
            <w:r w:rsidRPr="0067104F">
              <w:rPr>
                <w:sz w:val="20"/>
                <w:szCs w:val="20"/>
              </w:rPr>
              <w:t>F</w:t>
            </w:r>
          </w:p>
        </w:tc>
        <w:tc>
          <w:tcPr>
            <w:tcW w:w="709" w:type="dxa"/>
          </w:tcPr>
          <w:p w14:paraId="2EB71402" w14:textId="77777777" w:rsidR="001F2D1F" w:rsidRPr="0067104F" w:rsidRDefault="0067104F" w:rsidP="00F30AD1">
            <w:pPr>
              <w:ind w:left="0" w:right="0"/>
              <w:jc w:val="center"/>
              <w:rPr>
                <w:sz w:val="20"/>
                <w:szCs w:val="20"/>
              </w:rPr>
            </w:pPr>
            <w:r w:rsidRPr="0067104F">
              <w:rPr>
                <w:sz w:val="20"/>
                <w:szCs w:val="20"/>
              </w:rPr>
              <w:t>M</w:t>
            </w:r>
          </w:p>
        </w:tc>
        <w:tc>
          <w:tcPr>
            <w:tcW w:w="686" w:type="dxa"/>
          </w:tcPr>
          <w:p w14:paraId="40874CF8" w14:textId="77777777" w:rsidR="001F2D1F" w:rsidRPr="0067104F" w:rsidRDefault="0067104F" w:rsidP="00F30AD1">
            <w:pPr>
              <w:ind w:left="0" w:right="0"/>
              <w:jc w:val="center"/>
              <w:rPr>
                <w:sz w:val="20"/>
                <w:szCs w:val="20"/>
              </w:rPr>
            </w:pPr>
            <w:r w:rsidRPr="0067104F">
              <w:rPr>
                <w:sz w:val="20"/>
                <w:szCs w:val="20"/>
              </w:rPr>
              <w:t>F</w:t>
            </w:r>
          </w:p>
        </w:tc>
      </w:tr>
      <w:tr w:rsidR="001F2D1F" w14:paraId="73AFEF9B" w14:textId="77777777" w:rsidTr="00284449">
        <w:trPr>
          <w:trHeight w:val="34"/>
        </w:trPr>
        <w:tc>
          <w:tcPr>
            <w:tcW w:w="959" w:type="dxa"/>
            <w:vMerge w:val="restart"/>
            <w:vAlign w:val="center"/>
          </w:tcPr>
          <w:p w14:paraId="2A5DE2E9" w14:textId="77777777" w:rsidR="001F2D1F" w:rsidRPr="00525132" w:rsidRDefault="001F2D1F" w:rsidP="00495D95">
            <w:pPr>
              <w:keepNext/>
              <w:ind w:left="0" w:right="0"/>
              <w:jc w:val="center"/>
              <w:rPr>
                <w:b/>
                <w:kern w:val="2"/>
                <w:sz w:val="20"/>
                <w:szCs w:val="20"/>
              </w:rPr>
            </w:pPr>
            <w:r w:rsidRPr="00525132">
              <w:rPr>
                <w:b/>
                <w:kern w:val="2"/>
                <w:sz w:val="20"/>
                <w:szCs w:val="20"/>
              </w:rPr>
              <w:t>Rat</w:t>
            </w:r>
          </w:p>
        </w:tc>
        <w:tc>
          <w:tcPr>
            <w:tcW w:w="1843" w:type="dxa"/>
            <w:vMerge w:val="restart"/>
            <w:vAlign w:val="center"/>
          </w:tcPr>
          <w:p w14:paraId="6ED6D856" w14:textId="77777777" w:rsidR="001F2D1F" w:rsidRPr="00525132" w:rsidRDefault="00525132" w:rsidP="00495D95">
            <w:pPr>
              <w:keepNext/>
              <w:ind w:left="0" w:right="0"/>
              <w:jc w:val="center"/>
              <w:rPr>
                <w:kern w:val="2"/>
                <w:sz w:val="20"/>
                <w:szCs w:val="20"/>
              </w:rPr>
            </w:pPr>
            <w:r w:rsidRPr="00525132">
              <w:rPr>
                <w:kern w:val="2"/>
                <w:sz w:val="20"/>
                <w:szCs w:val="20"/>
              </w:rPr>
              <w:t>13 weeks</w:t>
            </w:r>
          </w:p>
        </w:tc>
        <w:tc>
          <w:tcPr>
            <w:tcW w:w="850" w:type="dxa"/>
          </w:tcPr>
          <w:p w14:paraId="43365753" w14:textId="77777777" w:rsidR="001F2D1F" w:rsidRPr="00525132" w:rsidRDefault="001F2D1F" w:rsidP="00495D95">
            <w:pPr>
              <w:keepNext/>
              <w:ind w:left="0" w:right="0"/>
              <w:jc w:val="center"/>
              <w:rPr>
                <w:kern w:val="2"/>
                <w:sz w:val="20"/>
                <w:szCs w:val="20"/>
              </w:rPr>
            </w:pPr>
            <w:r w:rsidRPr="00525132">
              <w:rPr>
                <w:sz w:val="20"/>
                <w:szCs w:val="20"/>
              </w:rPr>
              <w:t>100</w:t>
            </w:r>
          </w:p>
        </w:tc>
        <w:tc>
          <w:tcPr>
            <w:tcW w:w="709" w:type="dxa"/>
          </w:tcPr>
          <w:p w14:paraId="16C0DD34" w14:textId="77777777" w:rsidR="001F2D1F" w:rsidRPr="00525132" w:rsidRDefault="001F2D1F" w:rsidP="00495D95">
            <w:pPr>
              <w:keepNext/>
              <w:ind w:left="0" w:right="0"/>
              <w:jc w:val="center"/>
              <w:rPr>
                <w:sz w:val="20"/>
                <w:szCs w:val="20"/>
              </w:rPr>
            </w:pPr>
            <w:r w:rsidRPr="00525132">
              <w:rPr>
                <w:sz w:val="20"/>
                <w:szCs w:val="20"/>
              </w:rPr>
              <w:t>25</w:t>
            </w:r>
          </w:p>
        </w:tc>
        <w:tc>
          <w:tcPr>
            <w:tcW w:w="709" w:type="dxa"/>
          </w:tcPr>
          <w:p w14:paraId="7FF2C364" w14:textId="77777777" w:rsidR="001F2D1F" w:rsidRPr="00525132" w:rsidRDefault="001F2D1F" w:rsidP="00495D95">
            <w:pPr>
              <w:keepNext/>
              <w:ind w:left="0" w:right="0"/>
              <w:jc w:val="center"/>
              <w:rPr>
                <w:rFonts w:cs="Calibri"/>
                <w:color w:val="000000"/>
                <w:sz w:val="20"/>
                <w:szCs w:val="20"/>
              </w:rPr>
            </w:pPr>
            <w:r w:rsidRPr="00525132">
              <w:rPr>
                <w:sz w:val="20"/>
                <w:szCs w:val="20"/>
              </w:rPr>
              <w:t>6.74</w:t>
            </w:r>
          </w:p>
        </w:tc>
        <w:tc>
          <w:tcPr>
            <w:tcW w:w="708" w:type="dxa"/>
          </w:tcPr>
          <w:p w14:paraId="1F3ED9AD" w14:textId="77777777" w:rsidR="001F2D1F" w:rsidRPr="00525132" w:rsidRDefault="001F2D1F" w:rsidP="00495D95">
            <w:pPr>
              <w:keepNext/>
              <w:ind w:left="0" w:right="0"/>
              <w:jc w:val="center"/>
              <w:rPr>
                <w:rFonts w:cs="Calibri"/>
                <w:color w:val="000000"/>
                <w:sz w:val="20"/>
                <w:szCs w:val="20"/>
              </w:rPr>
            </w:pPr>
            <w:r w:rsidRPr="00525132">
              <w:rPr>
                <w:sz w:val="20"/>
                <w:szCs w:val="20"/>
              </w:rPr>
              <w:t>24.1</w:t>
            </w:r>
          </w:p>
        </w:tc>
        <w:tc>
          <w:tcPr>
            <w:tcW w:w="709" w:type="dxa"/>
          </w:tcPr>
          <w:p w14:paraId="49318F8C"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0.03</w:t>
            </w:r>
          </w:p>
        </w:tc>
        <w:tc>
          <w:tcPr>
            <w:tcW w:w="709" w:type="dxa"/>
          </w:tcPr>
          <w:p w14:paraId="0D5CD590"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0.09</w:t>
            </w:r>
          </w:p>
        </w:tc>
        <w:tc>
          <w:tcPr>
            <w:tcW w:w="709" w:type="dxa"/>
          </w:tcPr>
          <w:p w14:paraId="3D79B7C6"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0.04</w:t>
            </w:r>
          </w:p>
        </w:tc>
        <w:tc>
          <w:tcPr>
            <w:tcW w:w="686" w:type="dxa"/>
          </w:tcPr>
          <w:p w14:paraId="018C0532"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0.13</w:t>
            </w:r>
          </w:p>
        </w:tc>
      </w:tr>
      <w:tr w:rsidR="001F2D1F" w14:paraId="645DF3AE" w14:textId="77777777" w:rsidTr="00284449">
        <w:trPr>
          <w:trHeight w:val="31"/>
        </w:trPr>
        <w:tc>
          <w:tcPr>
            <w:tcW w:w="959" w:type="dxa"/>
            <w:vMerge/>
          </w:tcPr>
          <w:p w14:paraId="3F88001A" w14:textId="77777777" w:rsidR="001F2D1F" w:rsidRPr="00525132" w:rsidRDefault="001F2D1F" w:rsidP="00495D95">
            <w:pPr>
              <w:keepNext/>
              <w:ind w:left="0" w:right="0"/>
              <w:jc w:val="center"/>
              <w:rPr>
                <w:b/>
                <w:kern w:val="2"/>
                <w:sz w:val="20"/>
                <w:szCs w:val="20"/>
              </w:rPr>
            </w:pPr>
          </w:p>
        </w:tc>
        <w:tc>
          <w:tcPr>
            <w:tcW w:w="1843" w:type="dxa"/>
            <w:vMerge/>
          </w:tcPr>
          <w:p w14:paraId="5F78AEF3" w14:textId="77777777" w:rsidR="001F2D1F" w:rsidRPr="00525132" w:rsidRDefault="001F2D1F" w:rsidP="00495D95">
            <w:pPr>
              <w:keepNext/>
              <w:ind w:left="0" w:right="0"/>
              <w:jc w:val="center"/>
              <w:rPr>
                <w:kern w:val="2"/>
                <w:sz w:val="20"/>
                <w:szCs w:val="20"/>
              </w:rPr>
            </w:pPr>
          </w:p>
        </w:tc>
        <w:tc>
          <w:tcPr>
            <w:tcW w:w="850" w:type="dxa"/>
          </w:tcPr>
          <w:p w14:paraId="33DC8163" w14:textId="77777777" w:rsidR="001F2D1F" w:rsidRPr="00525132" w:rsidRDefault="001F2D1F" w:rsidP="00495D95">
            <w:pPr>
              <w:keepNext/>
              <w:ind w:left="0" w:right="0"/>
              <w:jc w:val="center"/>
              <w:rPr>
                <w:kern w:val="2"/>
                <w:sz w:val="20"/>
                <w:szCs w:val="20"/>
              </w:rPr>
            </w:pPr>
            <w:r w:rsidRPr="00525132">
              <w:rPr>
                <w:kern w:val="2"/>
                <w:sz w:val="20"/>
                <w:szCs w:val="20"/>
              </w:rPr>
              <w:t>250</w:t>
            </w:r>
          </w:p>
        </w:tc>
        <w:tc>
          <w:tcPr>
            <w:tcW w:w="709" w:type="dxa"/>
          </w:tcPr>
          <w:p w14:paraId="2D5C7607" w14:textId="77777777" w:rsidR="001F2D1F" w:rsidRPr="00525132" w:rsidRDefault="001F2D1F" w:rsidP="00495D95">
            <w:pPr>
              <w:keepNext/>
              <w:ind w:left="0" w:right="0"/>
              <w:jc w:val="center"/>
              <w:rPr>
                <w:sz w:val="20"/>
                <w:szCs w:val="20"/>
              </w:rPr>
            </w:pPr>
            <w:r w:rsidRPr="00525132">
              <w:rPr>
                <w:sz w:val="20"/>
                <w:szCs w:val="20"/>
              </w:rPr>
              <w:t>50</w:t>
            </w:r>
          </w:p>
        </w:tc>
        <w:tc>
          <w:tcPr>
            <w:tcW w:w="709" w:type="dxa"/>
          </w:tcPr>
          <w:p w14:paraId="4F28B3D2" w14:textId="77777777" w:rsidR="001F2D1F" w:rsidRPr="00525132" w:rsidRDefault="001F2D1F" w:rsidP="00495D95">
            <w:pPr>
              <w:keepNext/>
              <w:ind w:left="0" w:right="0"/>
              <w:jc w:val="center"/>
              <w:rPr>
                <w:sz w:val="20"/>
                <w:szCs w:val="20"/>
              </w:rPr>
            </w:pPr>
            <w:r w:rsidRPr="00525132">
              <w:rPr>
                <w:sz w:val="20"/>
                <w:szCs w:val="20"/>
              </w:rPr>
              <w:t>15.3</w:t>
            </w:r>
          </w:p>
        </w:tc>
        <w:tc>
          <w:tcPr>
            <w:tcW w:w="708" w:type="dxa"/>
          </w:tcPr>
          <w:p w14:paraId="678771DA" w14:textId="77777777" w:rsidR="001F2D1F" w:rsidRPr="00525132" w:rsidRDefault="001F2D1F" w:rsidP="00495D95">
            <w:pPr>
              <w:keepNext/>
              <w:ind w:left="0" w:right="0"/>
              <w:jc w:val="center"/>
              <w:rPr>
                <w:sz w:val="20"/>
                <w:szCs w:val="20"/>
              </w:rPr>
            </w:pPr>
            <w:r w:rsidRPr="00525132">
              <w:rPr>
                <w:sz w:val="20"/>
                <w:szCs w:val="20"/>
              </w:rPr>
              <w:t>41.0</w:t>
            </w:r>
          </w:p>
        </w:tc>
        <w:tc>
          <w:tcPr>
            <w:tcW w:w="709" w:type="dxa"/>
          </w:tcPr>
          <w:p w14:paraId="5227ADFB" w14:textId="77777777" w:rsidR="001F2D1F" w:rsidRPr="00525132" w:rsidRDefault="001F2D1F" w:rsidP="00495D95">
            <w:pPr>
              <w:keepNext/>
              <w:ind w:left="0" w:right="0"/>
              <w:jc w:val="center"/>
              <w:rPr>
                <w:rFonts w:cs="Calibri"/>
                <w:color w:val="000000"/>
                <w:sz w:val="20"/>
                <w:szCs w:val="20"/>
                <w:highlight w:val="darkGray"/>
              </w:rPr>
            </w:pPr>
            <w:r w:rsidRPr="00525132">
              <w:rPr>
                <w:rFonts w:cs="Calibri"/>
                <w:color w:val="000000"/>
                <w:sz w:val="20"/>
                <w:szCs w:val="20"/>
              </w:rPr>
              <w:t>0.06</w:t>
            </w:r>
          </w:p>
        </w:tc>
        <w:tc>
          <w:tcPr>
            <w:tcW w:w="709" w:type="dxa"/>
          </w:tcPr>
          <w:p w14:paraId="574A64B4" w14:textId="77777777" w:rsidR="001F2D1F" w:rsidRPr="00525132" w:rsidRDefault="001F2D1F" w:rsidP="00495D95">
            <w:pPr>
              <w:keepNext/>
              <w:ind w:left="0" w:right="0"/>
              <w:jc w:val="center"/>
              <w:rPr>
                <w:rFonts w:cs="Calibri"/>
                <w:color w:val="000000"/>
                <w:sz w:val="20"/>
                <w:szCs w:val="20"/>
                <w:highlight w:val="darkGray"/>
              </w:rPr>
            </w:pPr>
            <w:r w:rsidRPr="00525132">
              <w:rPr>
                <w:rFonts w:cs="Calibri"/>
                <w:color w:val="000000"/>
                <w:sz w:val="20"/>
                <w:szCs w:val="20"/>
              </w:rPr>
              <w:t>0.15</w:t>
            </w:r>
          </w:p>
        </w:tc>
        <w:tc>
          <w:tcPr>
            <w:tcW w:w="709" w:type="dxa"/>
          </w:tcPr>
          <w:p w14:paraId="5C062428"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0.08</w:t>
            </w:r>
          </w:p>
        </w:tc>
        <w:tc>
          <w:tcPr>
            <w:tcW w:w="686" w:type="dxa"/>
          </w:tcPr>
          <w:p w14:paraId="72A5F968"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0.22</w:t>
            </w:r>
          </w:p>
        </w:tc>
      </w:tr>
      <w:tr w:rsidR="001F2D1F" w14:paraId="553FD41A" w14:textId="77777777" w:rsidTr="00284449">
        <w:trPr>
          <w:trHeight w:val="162"/>
        </w:trPr>
        <w:tc>
          <w:tcPr>
            <w:tcW w:w="959" w:type="dxa"/>
            <w:vMerge/>
          </w:tcPr>
          <w:p w14:paraId="035A3F71" w14:textId="77777777" w:rsidR="001F2D1F" w:rsidRPr="00525132" w:rsidRDefault="001F2D1F" w:rsidP="00495D95">
            <w:pPr>
              <w:keepNext/>
              <w:ind w:left="0" w:right="0"/>
              <w:jc w:val="center"/>
              <w:rPr>
                <w:b/>
                <w:kern w:val="2"/>
                <w:sz w:val="20"/>
                <w:szCs w:val="20"/>
              </w:rPr>
            </w:pPr>
          </w:p>
        </w:tc>
        <w:tc>
          <w:tcPr>
            <w:tcW w:w="1843" w:type="dxa"/>
            <w:vMerge/>
          </w:tcPr>
          <w:p w14:paraId="384094BD" w14:textId="77777777" w:rsidR="001F2D1F" w:rsidRPr="00525132" w:rsidRDefault="001F2D1F" w:rsidP="00495D95">
            <w:pPr>
              <w:keepNext/>
              <w:ind w:left="0" w:right="0"/>
              <w:jc w:val="center"/>
              <w:rPr>
                <w:kern w:val="2"/>
                <w:sz w:val="20"/>
                <w:szCs w:val="20"/>
              </w:rPr>
            </w:pPr>
          </w:p>
        </w:tc>
        <w:tc>
          <w:tcPr>
            <w:tcW w:w="850" w:type="dxa"/>
          </w:tcPr>
          <w:p w14:paraId="2096E377" w14:textId="77777777" w:rsidR="001F2D1F" w:rsidRPr="00525132" w:rsidRDefault="001F2D1F" w:rsidP="00495D95">
            <w:pPr>
              <w:keepNext/>
              <w:ind w:left="0" w:right="0"/>
              <w:jc w:val="center"/>
              <w:rPr>
                <w:kern w:val="2"/>
                <w:sz w:val="20"/>
                <w:szCs w:val="20"/>
              </w:rPr>
            </w:pPr>
            <w:r w:rsidRPr="00525132">
              <w:rPr>
                <w:kern w:val="2"/>
                <w:sz w:val="20"/>
                <w:szCs w:val="20"/>
              </w:rPr>
              <w:t>1000</w:t>
            </w:r>
          </w:p>
        </w:tc>
        <w:tc>
          <w:tcPr>
            <w:tcW w:w="709" w:type="dxa"/>
          </w:tcPr>
          <w:p w14:paraId="57A106AC" w14:textId="77777777" w:rsidR="001F2D1F" w:rsidRPr="00525132" w:rsidRDefault="001F2D1F" w:rsidP="00495D95">
            <w:pPr>
              <w:keepNext/>
              <w:ind w:left="0" w:right="0"/>
              <w:jc w:val="center"/>
              <w:rPr>
                <w:sz w:val="20"/>
                <w:szCs w:val="20"/>
              </w:rPr>
            </w:pPr>
            <w:r w:rsidRPr="00525132">
              <w:rPr>
                <w:sz w:val="20"/>
                <w:szCs w:val="20"/>
              </w:rPr>
              <w:t>100</w:t>
            </w:r>
          </w:p>
        </w:tc>
        <w:tc>
          <w:tcPr>
            <w:tcW w:w="709" w:type="dxa"/>
          </w:tcPr>
          <w:p w14:paraId="5789E866" w14:textId="77777777" w:rsidR="001F2D1F" w:rsidRPr="00525132" w:rsidRDefault="001F2D1F" w:rsidP="00495D95">
            <w:pPr>
              <w:keepNext/>
              <w:ind w:left="0" w:right="0"/>
              <w:jc w:val="center"/>
              <w:rPr>
                <w:sz w:val="20"/>
                <w:szCs w:val="20"/>
              </w:rPr>
            </w:pPr>
            <w:r w:rsidRPr="00525132">
              <w:rPr>
                <w:sz w:val="20"/>
                <w:szCs w:val="20"/>
              </w:rPr>
              <w:t>36.6</w:t>
            </w:r>
          </w:p>
        </w:tc>
        <w:tc>
          <w:tcPr>
            <w:tcW w:w="708" w:type="dxa"/>
          </w:tcPr>
          <w:p w14:paraId="60A56AD1" w14:textId="77777777" w:rsidR="001F2D1F" w:rsidRPr="00525132" w:rsidRDefault="001F2D1F" w:rsidP="00495D95">
            <w:pPr>
              <w:keepNext/>
              <w:ind w:left="0" w:right="0"/>
              <w:jc w:val="center"/>
              <w:rPr>
                <w:sz w:val="20"/>
                <w:szCs w:val="20"/>
              </w:rPr>
            </w:pPr>
            <w:r w:rsidRPr="00525132">
              <w:rPr>
                <w:sz w:val="20"/>
                <w:szCs w:val="20"/>
              </w:rPr>
              <w:t>70.6</w:t>
            </w:r>
          </w:p>
        </w:tc>
        <w:tc>
          <w:tcPr>
            <w:tcW w:w="709" w:type="dxa"/>
          </w:tcPr>
          <w:p w14:paraId="44FFC4FE" w14:textId="77777777" w:rsidR="001F2D1F" w:rsidRPr="00525132" w:rsidRDefault="001F2D1F" w:rsidP="00495D95">
            <w:pPr>
              <w:keepNext/>
              <w:ind w:left="0" w:right="0"/>
              <w:jc w:val="center"/>
              <w:rPr>
                <w:rFonts w:cs="Calibri"/>
                <w:color w:val="000000"/>
                <w:sz w:val="20"/>
                <w:szCs w:val="20"/>
                <w:highlight w:val="darkGray"/>
              </w:rPr>
            </w:pPr>
            <w:r w:rsidRPr="00525132">
              <w:rPr>
                <w:rFonts w:cs="Calibri"/>
                <w:color w:val="000000"/>
                <w:sz w:val="20"/>
                <w:szCs w:val="20"/>
              </w:rPr>
              <w:t>0.13</w:t>
            </w:r>
          </w:p>
        </w:tc>
        <w:tc>
          <w:tcPr>
            <w:tcW w:w="709" w:type="dxa"/>
          </w:tcPr>
          <w:p w14:paraId="233521C9" w14:textId="77777777" w:rsidR="001F2D1F" w:rsidRPr="00525132" w:rsidRDefault="001F2D1F" w:rsidP="00495D95">
            <w:pPr>
              <w:keepNext/>
              <w:ind w:left="0" w:right="0"/>
              <w:jc w:val="center"/>
              <w:rPr>
                <w:rFonts w:cs="Calibri"/>
                <w:color w:val="000000"/>
                <w:sz w:val="20"/>
                <w:szCs w:val="20"/>
                <w:highlight w:val="darkGray"/>
              </w:rPr>
            </w:pPr>
            <w:r w:rsidRPr="00525132">
              <w:rPr>
                <w:rFonts w:cs="Calibri"/>
                <w:color w:val="000000"/>
                <w:sz w:val="20"/>
                <w:szCs w:val="20"/>
              </w:rPr>
              <w:t>0.26</w:t>
            </w:r>
          </w:p>
        </w:tc>
        <w:tc>
          <w:tcPr>
            <w:tcW w:w="709" w:type="dxa"/>
          </w:tcPr>
          <w:p w14:paraId="485DE9DF"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0.2</w:t>
            </w:r>
          </w:p>
        </w:tc>
        <w:tc>
          <w:tcPr>
            <w:tcW w:w="686" w:type="dxa"/>
          </w:tcPr>
          <w:p w14:paraId="55E1DF49" w14:textId="77777777" w:rsidR="001F2D1F" w:rsidRPr="00525132" w:rsidRDefault="001F2D1F" w:rsidP="00495D95">
            <w:pPr>
              <w:keepNext/>
              <w:ind w:left="0" w:right="0"/>
              <w:jc w:val="center"/>
              <w:rPr>
                <w:rFonts w:cs="Calibri"/>
                <w:color w:val="000000"/>
                <w:sz w:val="20"/>
                <w:szCs w:val="20"/>
              </w:rPr>
            </w:pPr>
            <w:r w:rsidRPr="00525132">
              <w:rPr>
                <w:rFonts w:cs="Calibri"/>
                <w:color w:val="000000"/>
                <w:sz w:val="20"/>
                <w:szCs w:val="20"/>
              </w:rPr>
              <w:t>0.4</w:t>
            </w:r>
          </w:p>
        </w:tc>
      </w:tr>
      <w:tr w:rsidR="001F2D1F" w14:paraId="7A155516" w14:textId="77777777" w:rsidTr="00284449">
        <w:trPr>
          <w:trHeight w:val="660"/>
        </w:trPr>
        <w:tc>
          <w:tcPr>
            <w:tcW w:w="959" w:type="dxa"/>
            <w:vMerge w:val="restart"/>
            <w:vAlign w:val="center"/>
          </w:tcPr>
          <w:p w14:paraId="27EEF045" w14:textId="224D3594" w:rsidR="001F2D1F" w:rsidRPr="00525132" w:rsidRDefault="001F2D1F" w:rsidP="00284449">
            <w:pPr>
              <w:keepNext/>
              <w:ind w:left="0" w:right="0"/>
              <w:jc w:val="center"/>
              <w:rPr>
                <w:b/>
                <w:kern w:val="2"/>
                <w:sz w:val="20"/>
                <w:szCs w:val="20"/>
              </w:rPr>
            </w:pPr>
            <w:r w:rsidRPr="00525132">
              <w:rPr>
                <w:b/>
                <w:kern w:val="2"/>
                <w:sz w:val="20"/>
                <w:szCs w:val="20"/>
              </w:rPr>
              <w:t>Human</w:t>
            </w:r>
            <w:r w:rsidR="00284449">
              <w:rPr>
                <w:b/>
                <w:kern w:val="2"/>
                <w:sz w:val="20"/>
                <w:szCs w:val="20"/>
              </w:rPr>
              <w:t xml:space="preserve"> </w:t>
            </w:r>
            <w:r w:rsidRPr="00525132">
              <w:rPr>
                <w:kern w:val="2"/>
                <w:sz w:val="20"/>
                <w:szCs w:val="20"/>
              </w:rPr>
              <w:t>(patients)</w:t>
            </w:r>
          </w:p>
        </w:tc>
        <w:tc>
          <w:tcPr>
            <w:tcW w:w="1843" w:type="dxa"/>
          </w:tcPr>
          <w:p w14:paraId="148450A6" w14:textId="77777777" w:rsidR="001F2D1F" w:rsidRPr="00525132" w:rsidRDefault="00A221EC" w:rsidP="00495D95">
            <w:pPr>
              <w:keepNext/>
              <w:ind w:left="0" w:right="0"/>
              <w:jc w:val="center"/>
              <w:rPr>
                <w:kern w:val="2"/>
                <w:sz w:val="20"/>
                <w:szCs w:val="20"/>
              </w:rPr>
            </w:pPr>
            <w:r>
              <w:rPr>
                <w:kern w:val="2"/>
                <w:sz w:val="20"/>
                <w:szCs w:val="20"/>
              </w:rPr>
              <w:t>steady state (</w:t>
            </w:r>
            <w:r w:rsidR="001F2D1F" w:rsidRPr="00525132">
              <w:rPr>
                <w:kern w:val="2"/>
                <w:sz w:val="20"/>
                <w:szCs w:val="20"/>
              </w:rPr>
              <w:t>P</w:t>
            </w:r>
            <w:r>
              <w:rPr>
                <w:kern w:val="2"/>
                <w:sz w:val="20"/>
                <w:szCs w:val="20"/>
              </w:rPr>
              <w:t>opulation PK report MS-02, 2016)</w:t>
            </w:r>
          </w:p>
        </w:tc>
        <w:tc>
          <w:tcPr>
            <w:tcW w:w="1559" w:type="dxa"/>
            <w:gridSpan w:val="2"/>
          </w:tcPr>
          <w:p w14:paraId="3316B205" w14:textId="77777777" w:rsidR="001F2D1F" w:rsidRPr="00525132" w:rsidRDefault="001F2D1F" w:rsidP="00495D95">
            <w:pPr>
              <w:keepNext/>
              <w:ind w:left="0" w:right="0"/>
              <w:jc w:val="center"/>
              <w:rPr>
                <w:sz w:val="20"/>
                <w:szCs w:val="20"/>
              </w:rPr>
            </w:pPr>
            <w:r w:rsidRPr="00525132">
              <w:rPr>
                <w:kern w:val="2"/>
                <w:sz w:val="20"/>
                <w:szCs w:val="20"/>
              </w:rPr>
              <w:t>300 mg tw</w:t>
            </w:r>
            <w:r w:rsidR="00A221EC">
              <w:rPr>
                <w:kern w:val="2"/>
                <w:sz w:val="20"/>
                <w:szCs w:val="20"/>
              </w:rPr>
              <w:t>ice a day tablet</w:t>
            </w:r>
          </w:p>
        </w:tc>
        <w:tc>
          <w:tcPr>
            <w:tcW w:w="1417" w:type="dxa"/>
            <w:gridSpan w:val="2"/>
          </w:tcPr>
          <w:p w14:paraId="08B828C3" w14:textId="77777777" w:rsidR="001F2D1F" w:rsidRPr="00525132" w:rsidRDefault="001F2D1F" w:rsidP="00495D95">
            <w:pPr>
              <w:keepNext/>
              <w:ind w:left="0" w:right="0"/>
              <w:jc w:val="center"/>
              <w:rPr>
                <w:sz w:val="20"/>
                <w:szCs w:val="20"/>
              </w:rPr>
            </w:pPr>
            <w:r w:rsidRPr="00525132">
              <w:rPr>
                <w:kern w:val="2"/>
                <w:sz w:val="20"/>
                <w:szCs w:val="20"/>
              </w:rPr>
              <w:t>275</w:t>
            </w:r>
            <w:r w:rsidRPr="00525132">
              <w:rPr>
                <w:kern w:val="2"/>
                <w:sz w:val="20"/>
                <w:szCs w:val="20"/>
                <w:vertAlign w:val="superscript"/>
              </w:rPr>
              <w:t>##</w:t>
            </w:r>
          </w:p>
        </w:tc>
        <w:tc>
          <w:tcPr>
            <w:tcW w:w="1418" w:type="dxa"/>
            <w:gridSpan w:val="2"/>
          </w:tcPr>
          <w:p w14:paraId="1C006422" w14:textId="77777777" w:rsidR="001F2D1F" w:rsidRPr="00525132" w:rsidRDefault="001F2D1F" w:rsidP="00495D95">
            <w:pPr>
              <w:keepNext/>
              <w:ind w:left="0" w:right="0"/>
              <w:jc w:val="center"/>
              <w:rPr>
                <w:rFonts w:cs="Calibri"/>
                <w:color w:val="000000"/>
                <w:sz w:val="20"/>
                <w:szCs w:val="20"/>
              </w:rPr>
            </w:pPr>
            <w:r w:rsidRPr="00525132">
              <w:rPr>
                <w:kern w:val="2"/>
                <w:sz w:val="20"/>
                <w:szCs w:val="20"/>
              </w:rPr>
              <w:t>-</w:t>
            </w:r>
          </w:p>
        </w:tc>
        <w:tc>
          <w:tcPr>
            <w:tcW w:w="1395" w:type="dxa"/>
            <w:gridSpan w:val="2"/>
          </w:tcPr>
          <w:p w14:paraId="560E3508" w14:textId="77777777" w:rsidR="001F2D1F" w:rsidRPr="00525132" w:rsidRDefault="001F2D1F" w:rsidP="00495D95">
            <w:pPr>
              <w:keepNext/>
              <w:ind w:left="0" w:right="0"/>
              <w:jc w:val="center"/>
              <w:rPr>
                <w:kern w:val="2"/>
                <w:sz w:val="20"/>
                <w:szCs w:val="20"/>
              </w:rPr>
            </w:pPr>
            <w:r w:rsidRPr="00525132">
              <w:rPr>
                <w:kern w:val="2"/>
                <w:sz w:val="20"/>
                <w:szCs w:val="20"/>
              </w:rPr>
              <w:t>-</w:t>
            </w:r>
          </w:p>
        </w:tc>
      </w:tr>
      <w:tr w:rsidR="001F2D1F" w14:paraId="232DB18A" w14:textId="77777777" w:rsidTr="00284449">
        <w:trPr>
          <w:trHeight w:val="660"/>
        </w:trPr>
        <w:tc>
          <w:tcPr>
            <w:tcW w:w="959" w:type="dxa"/>
            <w:vMerge/>
          </w:tcPr>
          <w:p w14:paraId="1F6E1D63" w14:textId="77777777" w:rsidR="001F2D1F" w:rsidRPr="00525132" w:rsidRDefault="001F2D1F" w:rsidP="00495D95">
            <w:pPr>
              <w:keepNext/>
              <w:ind w:left="0" w:right="0"/>
              <w:jc w:val="center"/>
              <w:rPr>
                <w:b/>
                <w:kern w:val="2"/>
                <w:sz w:val="20"/>
                <w:szCs w:val="20"/>
              </w:rPr>
            </w:pPr>
          </w:p>
        </w:tc>
        <w:tc>
          <w:tcPr>
            <w:tcW w:w="1843" w:type="dxa"/>
          </w:tcPr>
          <w:p w14:paraId="5E6A241F" w14:textId="77777777" w:rsidR="001F2D1F" w:rsidRPr="00525132" w:rsidRDefault="00A221EC" w:rsidP="00495D95">
            <w:pPr>
              <w:keepNext/>
              <w:ind w:left="0" w:right="0"/>
              <w:jc w:val="center"/>
              <w:rPr>
                <w:kern w:val="2"/>
                <w:sz w:val="20"/>
                <w:szCs w:val="20"/>
              </w:rPr>
            </w:pPr>
            <w:r>
              <w:rPr>
                <w:kern w:val="2"/>
                <w:sz w:val="20"/>
                <w:szCs w:val="20"/>
              </w:rPr>
              <w:t>steady state (</w:t>
            </w:r>
            <w:r w:rsidR="001F2D1F" w:rsidRPr="00525132">
              <w:rPr>
                <w:kern w:val="2"/>
                <w:sz w:val="20"/>
                <w:szCs w:val="20"/>
              </w:rPr>
              <w:t xml:space="preserve">Population PK report </w:t>
            </w:r>
            <w:r>
              <w:rPr>
                <w:kern w:val="2"/>
                <w:sz w:val="20"/>
                <w:szCs w:val="20"/>
              </w:rPr>
              <w:t>MS-01, 2014)</w:t>
            </w:r>
          </w:p>
        </w:tc>
        <w:tc>
          <w:tcPr>
            <w:tcW w:w="1559" w:type="dxa"/>
            <w:gridSpan w:val="2"/>
          </w:tcPr>
          <w:p w14:paraId="28F8AC34" w14:textId="77777777" w:rsidR="001F2D1F" w:rsidRPr="00525132" w:rsidRDefault="001F2D1F" w:rsidP="00495D95">
            <w:pPr>
              <w:keepNext/>
              <w:ind w:left="0" w:right="0"/>
              <w:jc w:val="center"/>
              <w:rPr>
                <w:kern w:val="2"/>
                <w:sz w:val="20"/>
                <w:szCs w:val="20"/>
              </w:rPr>
            </w:pPr>
            <w:r w:rsidRPr="00525132">
              <w:rPr>
                <w:kern w:val="2"/>
                <w:sz w:val="20"/>
                <w:szCs w:val="20"/>
              </w:rPr>
              <w:t>400 mg twice a day capsule</w:t>
            </w:r>
          </w:p>
        </w:tc>
        <w:tc>
          <w:tcPr>
            <w:tcW w:w="1417" w:type="dxa"/>
            <w:gridSpan w:val="2"/>
          </w:tcPr>
          <w:p w14:paraId="66F312CA" w14:textId="77777777" w:rsidR="001F2D1F" w:rsidRPr="00525132" w:rsidRDefault="001F2D1F" w:rsidP="00495D95">
            <w:pPr>
              <w:keepNext/>
              <w:ind w:left="0" w:right="0"/>
              <w:jc w:val="center"/>
              <w:rPr>
                <w:kern w:val="2"/>
                <w:sz w:val="20"/>
                <w:szCs w:val="20"/>
              </w:rPr>
            </w:pPr>
            <w:r w:rsidRPr="00525132">
              <w:rPr>
                <w:kern w:val="2"/>
                <w:sz w:val="20"/>
                <w:szCs w:val="20"/>
              </w:rPr>
              <w:t>186</w:t>
            </w:r>
            <w:r w:rsidRPr="00525132">
              <w:rPr>
                <w:kern w:val="2"/>
                <w:sz w:val="20"/>
                <w:szCs w:val="20"/>
                <w:vertAlign w:val="superscript"/>
              </w:rPr>
              <w:t>###</w:t>
            </w:r>
          </w:p>
        </w:tc>
        <w:tc>
          <w:tcPr>
            <w:tcW w:w="1418" w:type="dxa"/>
            <w:gridSpan w:val="2"/>
          </w:tcPr>
          <w:p w14:paraId="1624CFAA" w14:textId="77777777" w:rsidR="001F2D1F" w:rsidRPr="00525132" w:rsidRDefault="001F2D1F" w:rsidP="00495D95">
            <w:pPr>
              <w:keepNext/>
              <w:ind w:left="0" w:right="0"/>
              <w:jc w:val="center"/>
              <w:rPr>
                <w:kern w:val="2"/>
                <w:sz w:val="20"/>
                <w:szCs w:val="20"/>
              </w:rPr>
            </w:pPr>
            <w:r w:rsidRPr="00525132">
              <w:rPr>
                <w:kern w:val="2"/>
                <w:sz w:val="20"/>
                <w:szCs w:val="20"/>
              </w:rPr>
              <w:t>-</w:t>
            </w:r>
          </w:p>
        </w:tc>
        <w:tc>
          <w:tcPr>
            <w:tcW w:w="1395" w:type="dxa"/>
            <w:gridSpan w:val="2"/>
          </w:tcPr>
          <w:p w14:paraId="1D3F5F0A" w14:textId="77777777" w:rsidR="001F2D1F" w:rsidRPr="00525132" w:rsidRDefault="001F2D1F" w:rsidP="00495D95">
            <w:pPr>
              <w:keepNext/>
              <w:ind w:left="0" w:right="0"/>
              <w:jc w:val="center"/>
              <w:rPr>
                <w:kern w:val="2"/>
                <w:sz w:val="20"/>
                <w:szCs w:val="20"/>
              </w:rPr>
            </w:pPr>
            <w:r w:rsidRPr="00525132">
              <w:rPr>
                <w:kern w:val="2"/>
                <w:sz w:val="20"/>
                <w:szCs w:val="20"/>
              </w:rPr>
              <w:t>-</w:t>
            </w:r>
          </w:p>
        </w:tc>
      </w:tr>
    </w:tbl>
    <w:p w14:paraId="2B00C9BC" w14:textId="77777777" w:rsidR="001F2D1F" w:rsidRPr="0067104F" w:rsidRDefault="001F2D1F" w:rsidP="001F2D1F">
      <w:pPr>
        <w:pStyle w:val="TableDescription"/>
      </w:pPr>
      <w:r w:rsidRPr="00CB514E">
        <w:t>The exposure ratios were calculated separately for male and female animals because the exposure in female animals is significantly higher than in males</w:t>
      </w:r>
      <w:r w:rsidRPr="00E45CFE">
        <w:t>.</w:t>
      </w:r>
      <w:r w:rsidR="00E45CFE">
        <w:rPr>
          <w:position w:val="-2"/>
        </w:rPr>
        <w:t xml:space="preserve"> </w:t>
      </w:r>
      <w:r w:rsidRPr="00EB69F1">
        <w:rPr>
          <w:position w:val="-2"/>
          <w:vertAlign w:val="superscript"/>
        </w:rPr>
        <w:t>#</w:t>
      </w:r>
      <w:r w:rsidRPr="00EB69F1">
        <w:t xml:space="preserve"> = animal:</w:t>
      </w:r>
      <w:r>
        <w:t xml:space="preserve"> </w:t>
      </w:r>
      <w:r w:rsidRPr="00EB69F1">
        <w:t>human plasma AUC</w:t>
      </w:r>
      <w:r w:rsidRPr="00EB69F1">
        <w:rPr>
          <w:vertAlign w:val="subscript"/>
        </w:rPr>
        <w:t>0–24</w:t>
      </w:r>
      <w:r w:rsidRPr="00EB69F1">
        <w:rPr>
          <w:w w:val="50"/>
          <w:vertAlign w:val="subscript"/>
        </w:rPr>
        <w:t> </w:t>
      </w:r>
      <w:r w:rsidRPr="00EB69F1">
        <w:rPr>
          <w:vertAlign w:val="subscript"/>
        </w:rPr>
        <w:t>h</w:t>
      </w:r>
      <w:r w:rsidR="00525132" w:rsidRPr="00525132">
        <w:rPr>
          <w:vertAlign w:val="subscript"/>
        </w:rPr>
        <w:t>ours</w:t>
      </w:r>
      <w:r w:rsidR="00525132">
        <w:t xml:space="preserve">, </w:t>
      </w:r>
      <w:r w:rsidRPr="001D0043">
        <w:rPr>
          <w:vertAlign w:val="superscript"/>
        </w:rPr>
        <w:t>##</w:t>
      </w:r>
      <w:r>
        <w:t xml:space="preserve"> AUC</w:t>
      </w:r>
      <w:r w:rsidRPr="00525132">
        <w:rPr>
          <w:vertAlign w:val="subscript"/>
        </w:rPr>
        <w:t>ss(0-t)</w:t>
      </w:r>
      <w:r w:rsidR="00525132">
        <w:t xml:space="preserve"> 59.7 µg.</w:t>
      </w:r>
      <w:r w:rsidR="00A55817">
        <w:t>hour</w:t>
      </w:r>
      <w:r w:rsidR="00525132">
        <w:t>/mL (137.4 µM.</w:t>
      </w:r>
      <w:r w:rsidR="00A55817">
        <w:t>hour</w:t>
      </w:r>
      <w:r w:rsidR="00525132">
        <w:t>) times</w:t>
      </w:r>
      <w:r>
        <w:t xml:space="preserve"> 2</w:t>
      </w:r>
      <w:r>
        <w:rPr>
          <w:szCs w:val="18"/>
        </w:rPr>
        <w:t xml:space="preserve">. </w:t>
      </w:r>
      <w:r w:rsidRPr="00DF654C">
        <w:rPr>
          <w:szCs w:val="18"/>
          <w:vertAlign w:val="superscript"/>
        </w:rPr>
        <w:t xml:space="preserve">### </w:t>
      </w:r>
      <w:r>
        <w:t>AUC</w:t>
      </w:r>
      <w:r w:rsidRPr="00525132">
        <w:rPr>
          <w:vertAlign w:val="subscript"/>
        </w:rPr>
        <w:t xml:space="preserve">ss(0-t) </w:t>
      </w:r>
      <w:r w:rsidR="00525132">
        <w:t>40.4 µg.</w:t>
      </w:r>
      <w:r w:rsidR="00A55817">
        <w:t>hour</w:t>
      </w:r>
      <w:r w:rsidR="00525132">
        <w:t>/mL (93 µM.</w:t>
      </w:r>
      <w:r w:rsidR="00A55817">
        <w:t>hour</w:t>
      </w:r>
      <w:r w:rsidR="00525132">
        <w:t>) times</w:t>
      </w:r>
      <w:r>
        <w:t xml:space="preserve"> 2</w:t>
      </w:r>
      <w:r w:rsidRPr="00CB514E">
        <w:t>.</w:t>
      </w:r>
      <w:r w:rsidR="00E45CFE">
        <w:t xml:space="preserve"> M = male, F = female.</w:t>
      </w:r>
    </w:p>
    <w:p w14:paraId="5847F987" w14:textId="77777777" w:rsidR="00C9747E" w:rsidRDefault="001F2D1F" w:rsidP="00C9747E">
      <w:r w:rsidRPr="00A8247E">
        <w:lastRenderedPageBreak/>
        <w:t>The pivot</w:t>
      </w:r>
      <w:r>
        <w:t>al</w:t>
      </w:r>
      <w:r w:rsidR="00525132">
        <w:t xml:space="preserve"> three </w:t>
      </w:r>
      <w:r w:rsidRPr="00A8247E">
        <w:t xml:space="preserve">month rat study generally showed similar toxicological findings as the </w:t>
      </w:r>
      <w:r>
        <w:t xml:space="preserve">previously evaluated studies, including decreased body weight gain as all dose levels </w:t>
      </w:r>
      <w:r w:rsidRPr="00A8247E">
        <w:rPr>
          <w:rFonts w:cs="TimesNewRoman"/>
        </w:rPr>
        <w:t>(</w:t>
      </w:r>
      <w:r w:rsidR="00525132">
        <w:rPr>
          <w:rFonts w:cs="TimesNewRoman"/>
        </w:rPr>
        <w:t xml:space="preserve">≥ 27 to </w:t>
      </w:r>
      <w:r w:rsidRPr="00A8247E">
        <w:rPr>
          <w:rFonts w:cs="TimesNewRoman"/>
        </w:rPr>
        <w:t>35% comparing to the control)</w:t>
      </w:r>
      <w:r>
        <w:rPr>
          <w:rFonts w:cs="TimesNewRoman"/>
        </w:rPr>
        <w:t xml:space="preserve">, and hypocellularity of bone marrow (and decreased </w:t>
      </w:r>
      <w:r w:rsidR="00525132">
        <w:rPr>
          <w:rFonts w:cs="TimesNewRoman"/>
        </w:rPr>
        <w:t xml:space="preserve">red blood cells </w:t>
      </w:r>
      <w:r w:rsidR="003C2823">
        <w:rPr>
          <w:rFonts w:cs="TimesNewRoman"/>
        </w:rPr>
        <w:t>(</w:t>
      </w:r>
      <w:r>
        <w:rPr>
          <w:rFonts w:cs="TimesNewRoman"/>
        </w:rPr>
        <w:t>RBC</w:t>
      </w:r>
      <w:r w:rsidR="003C2823">
        <w:rPr>
          <w:rFonts w:cs="TimesNewRoman"/>
        </w:rPr>
        <w:t>)</w:t>
      </w:r>
      <w:r>
        <w:rPr>
          <w:rFonts w:cs="TimesNewRoman"/>
        </w:rPr>
        <w:t xml:space="preserve">, </w:t>
      </w:r>
      <w:r w:rsidR="00525132">
        <w:rPr>
          <w:rFonts w:cs="TimesNewRoman"/>
        </w:rPr>
        <w:t xml:space="preserve">white blood cells </w:t>
      </w:r>
      <w:r w:rsidR="003C2823">
        <w:rPr>
          <w:rFonts w:cs="TimesNewRoman"/>
        </w:rPr>
        <w:t>(</w:t>
      </w:r>
      <w:r>
        <w:rPr>
          <w:rFonts w:cs="TimesNewRoman"/>
        </w:rPr>
        <w:t>WBC</w:t>
      </w:r>
      <w:r w:rsidR="003C2823">
        <w:rPr>
          <w:rFonts w:cs="TimesNewRoman"/>
        </w:rPr>
        <w:t>)</w:t>
      </w:r>
      <w:r>
        <w:rPr>
          <w:rFonts w:cs="TimesNewRoman"/>
        </w:rPr>
        <w:t xml:space="preserve"> and re</w:t>
      </w:r>
      <w:r w:rsidR="006348FE">
        <w:rPr>
          <w:rFonts w:cs="TimesNewRoman"/>
        </w:rPr>
        <w:t>lated parameters, for example haemoglobin</w:t>
      </w:r>
      <w:r w:rsidR="00A67620">
        <w:rPr>
          <w:rFonts w:cs="TimesNewRoman"/>
        </w:rPr>
        <w:t xml:space="preserve"> (Hb)</w:t>
      </w:r>
      <w:r>
        <w:rPr>
          <w:rFonts w:cs="TimesNewRoman"/>
        </w:rPr>
        <w:t>, neutrophil, lymphocyte), lymphoid depletion and increased extramedullary ha</w:t>
      </w:r>
      <w:r w:rsidR="006666D8">
        <w:rPr>
          <w:rFonts w:cs="TimesNewRoman"/>
        </w:rPr>
        <w:t>emato</w:t>
      </w:r>
      <w:r>
        <w:rPr>
          <w:rFonts w:cs="TimesNewRoman"/>
        </w:rPr>
        <w:t>poiesis at 1000 mg/kg/day in males and ≥ 50 mg/kg/day in females. Epithelial degeneration of small intestines occurred in males at 1000 mg/kg/day.</w:t>
      </w:r>
    </w:p>
    <w:p w14:paraId="5C3C8DC7" w14:textId="77777777" w:rsidR="008E7846" w:rsidRDefault="008E7846" w:rsidP="008E7846">
      <w:pPr>
        <w:pStyle w:val="Heading3"/>
      </w:pPr>
      <w:bookmarkStart w:id="56" w:name="_Toc247691515"/>
      <w:bookmarkStart w:id="57" w:name="_Toc314842499"/>
      <w:bookmarkStart w:id="58" w:name="_Toc23326206"/>
      <w:r>
        <w:t>Nonclinical summary and conclusions</w:t>
      </w:r>
      <w:bookmarkEnd w:id="56"/>
      <w:bookmarkEnd w:id="57"/>
      <w:bookmarkEnd w:id="58"/>
    </w:p>
    <w:p w14:paraId="1A17EE0D" w14:textId="77777777" w:rsidR="001F2D1F" w:rsidRDefault="001F2D1F" w:rsidP="001F2D1F">
      <w:pPr>
        <w:pStyle w:val="Heading4"/>
      </w:pPr>
      <w:bookmarkStart w:id="59" w:name="_Toc196046462"/>
      <w:bookmarkStart w:id="60" w:name="_Toc247691516"/>
      <w:bookmarkStart w:id="61" w:name="_Toc314842500"/>
      <w:bookmarkStart w:id="62" w:name="_Toc163441353"/>
      <w:bookmarkStart w:id="63" w:name="_Toc163441348"/>
      <w:r>
        <w:t>Summary</w:t>
      </w:r>
    </w:p>
    <w:p w14:paraId="23142BA3" w14:textId="77777777" w:rsidR="001F2D1F" w:rsidRPr="00171A6B" w:rsidRDefault="001F2D1F" w:rsidP="00284449">
      <w:pPr>
        <w:pStyle w:val="ListBullet"/>
      </w:pPr>
      <w:r w:rsidRPr="00653982">
        <w:t>Olaparib (</w:t>
      </w:r>
      <w:r>
        <w:t>Lynparza</w:t>
      </w:r>
      <w:r w:rsidRPr="00653982">
        <w:t xml:space="preserve">) </w:t>
      </w:r>
      <w:r>
        <w:t>is currently registered to the sponsor</w:t>
      </w:r>
      <w:r w:rsidRPr="00653982">
        <w:t xml:space="preserve"> </w:t>
      </w:r>
      <w:r>
        <w:t xml:space="preserve">as </w:t>
      </w:r>
      <w:r w:rsidRPr="00653982">
        <w:t xml:space="preserve">a </w:t>
      </w:r>
      <w:r>
        <w:t xml:space="preserve">50 mg </w:t>
      </w:r>
      <w:r w:rsidRPr="00653982">
        <w:t>capsule</w:t>
      </w:r>
      <w:r>
        <w:t xml:space="preserve">, for </w:t>
      </w:r>
      <w:r w:rsidRPr="00653982">
        <w:t xml:space="preserve">monotherapy </w:t>
      </w:r>
      <w:r>
        <w:t xml:space="preserve">in </w:t>
      </w:r>
      <w:r w:rsidRPr="00653982">
        <w:t>the maintenance trea</w:t>
      </w:r>
      <w:r w:rsidR="006348FE">
        <w:t xml:space="preserve">tment of patients with platinum sensitive relapsed BRCA </w:t>
      </w:r>
      <w:r w:rsidRPr="00653982">
        <w:t>mutated (germline or somatic) high grade serous epithelial ovarian, fallopian tube or primary peritoneal cancer who are in response (complete response or p</w:t>
      </w:r>
      <w:r w:rsidR="006348FE">
        <w:t xml:space="preserve">artial response) after platinum </w:t>
      </w:r>
      <w:r w:rsidRPr="00653982">
        <w:t xml:space="preserve">based chemotherapy. </w:t>
      </w:r>
      <w:r>
        <w:t xml:space="preserve">In </w:t>
      </w:r>
      <w:r w:rsidRPr="00653982">
        <w:t>th</w:t>
      </w:r>
      <w:r>
        <w:t>e current application, the sponsor</w:t>
      </w:r>
      <w:r w:rsidRPr="00653982">
        <w:t xml:space="preserve"> has applied to register </w:t>
      </w:r>
      <w:r>
        <w:t>two</w:t>
      </w:r>
      <w:r w:rsidRPr="00653982">
        <w:t xml:space="preserve"> tablet formulation</w:t>
      </w:r>
      <w:r>
        <w:t>s</w:t>
      </w:r>
      <w:r w:rsidRPr="00653982">
        <w:t xml:space="preserve"> </w:t>
      </w:r>
      <w:r>
        <w:t xml:space="preserve">(100 mg and 150 mg) </w:t>
      </w:r>
      <w:r w:rsidRPr="00653982">
        <w:t xml:space="preserve">for olaparib </w:t>
      </w:r>
      <w:r>
        <w:t xml:space="preserve">and extend the </w:t>
      </w:r>
      <w:r w:rsidRPr="00653982">
        <w:t xml:space="preserve">indication </w:t>
      </w:r>
      <w:r>
        <w:t xml:space="preserve">to </w:t>
      </w:r>
      <w:r w:rsidRPr="00653982">
        <w:t xml:space="preserve">remove the requirement for a </w:t>
      </w:r>
      <w:r>
        <w:t xml:space="preserve">patient to have a BRCA mutation. The maximum proposed tablet dose is 300 mg </w:t>
      </w:r>
      <w:r w:rsidR="006348FE">
        <w:t>BID, compared to 400 </w:t>
      </w:r>
      <w:r>
        <w:t xml:space="preserve">mg </w:t>
      </w:r>
      <w:r w:rsidR="006348FE">
        <w:t>BID</w:t>
      </w:r>
      <w:r>
        <w:t xml:space="preserve"> for the capsule formulation.</w:t>
      </w:r>
    </w:p>
    <w:p w14:paraId="57DAC78F" w14:textId="77777777" w:rsidR="001F2D1F" w:rsidRPr="00315927" w:rsidRDefault="001F2D1F" w:rsidP="007E3E1E">
      <w:pPr>
        <w:pStyle w:val="ListBullet"/>
      </w:pPr>
      <w:r w:rsidRPr="00315927">
        <w:t>Limited new nonclinical data was subm</w:t>
      </w:r>
      <w:r w:rsidR="007E3E1E">
        <w:t>itted to support these changes.</w:t>
      </w:r>
    </w:p>
    <w:p w14:paraId="7F268D64" w14:textId="77777777" w:rsidR="00CA1EAE" w:rsidRDefault="001F2D1F" w:rsidP="006348FE">
      <w:pPr>
        <w:pStyle w:val="ListBullet"/>
      </w:pPr>
      <w:r w:rsidRPr="00315927">
        <w:t xml:space="preserve">Olaparib and three of its major metabolites (M12, M15 and M18) inhibited </w:t>
      </w:r>
      <w:r w:rsidR="006348FE">
        <w:t>poly adenosinediphosphate ribosylation</w:t>
      </w:r>
      <w:r w:rsidR="006666D8">
        <w:t xml:space="preserve"> </w:t>
      </w:r>
      <w:r w:rsidR="00A221EC">
        <w:t>(PARylation)</w:t>
      </w:r>
      <w:r w:rsidRPr="00315927">
        <w:t xml:space="preserve"> in a HCC 1806 breast cell line (with wild type BRCA), and inhibited the growth of</w:t>
      </w:r>
      <w:r w:rsidRPr="00315927">
        <w:rPr>
          <w:rFonts w:eastAsiaTheme="minorHAnsi" w:cs="TimesNewRoman"/>
        </w:rPr>
        <w:t xml:space="preserve"> MDA-MB-436 cell line (with BRCA 1 mutation) at nanomolar concentrations. </w:t>
      </w:r>
      <w:r>
        <w:t>The anti-PARP and anti</w:t>
      </w:r>
      <w:r w:rsidR="00A221EC">
        <w:t>-</w:t>
      </w:r>
      <w:r>
        <w:t>proliferative activities of M12</w:t>
      </w:r>
      <w:r w:rsidR="006348FE">
        <w:t xml:space="preserve"> and M15 are markedly lower than</w:t>
      </w:r>
      <w:r>
        <w:t xml:space="preserve"> the activity of olaparib (≥ 20 fold lower), and the pharmacological activity of M18 was 4 to 7 fold lower than that of the parent. Thus, the metabolites are unlikely to have a significant contribution to the pharmacological activity of olaparib. </w:t>
      </w:r>
      <w:r w:rsidRPr="00315927">
        <w:rPr>
          <w:rFonts w:eastAsiaTheme="minorHAnsi" w:cs="TimesNewRoman"/>
        </w:rPr>
        <w:t xml:space="preserve">The </w:t>
      </w:r>
      <w:r w:rsidRPr="00315927">
        <w:t>anti-tumour efficacy of olaparib was also demonstrated in a</w:t>
      </w:r>
      <w:r w:rsidR="006348FE">
        <w:t xml:space="preserve"> mouse xenograft/allograft BRCA </w:t>
      </w:r>
      <w:r w:rsidRPr="00315927">
        <w:t xml:space="preserve">deficient model </w:t>
      </w:r>
      <w:r w:rsidRPr="00315927">
        <w:rPr>
          <w:i/>
        </w:rPr>
        <w:t>in vivo</w:t>
      </w:r>
      <w:r w:rsidR="00CA1EAE">
        <w:t>.</w:t>
      </w:r>
    </w:p>
    <w:p w14:paraId="050B2A5F" w14:textId="77777777" w:rsidR="001F2D1F" w:rsidRPr="006B122C" w:rsidRDefault="001F2D1F" w:rsidP="007E3E1E">
      <w:pPr>
        <w:pStyle w:val="ListBullet"/>
        <w:rPr>
          <w:kern w:val="2"/>
        </w:rPr>
      </w:pPr>
      <w:r w:rsidRPr="006348FE">
        <w:rPr>
          <w:i/>
        </w:rPr>
        <w:t>In vitro</w:t>
      </w:r>
      <w:r>
        <w:t>,</w:t>
      </w:r>
      <w:r w:rsidRPr="00915957">
        <w:t xml:space="preserve"> the extent of protein binding to</w:t>
      </w:r>
      <w:r>
        <w:t xml:space="preserve"> olaparib and </w:t>
      </w:r>
      <w:r w:rsidRPr="00915957">
        <w:t xml:space="preserve">metabolites M12, M15 and M18 was moderate to high in </w:t>
      </w:r>
      <w:r>
        <w:t xml:space="preserve">mouse </w:t>
      </w:r>
      <w:r w:rsidRPr="00915957">
        <w:t>and</w:t>
      </w:r>
      <w:r w:rsidR="006348FE">
        <w:t xml:space="preserve"> human plasma.</w:t>
      </w:r>
    </w:p>
    <w:p w14:paraId="18652780" w14:textId="77777777" w:rsidR="00CA1EAE" w:rsidRDefault="001F2D1F" w:rsidP="007E3E1E">
      <w:pPr>
        <w:pStyle w:val="ListBullet"/>
      </w:pPr>
      <w:r>
        <w:rPr>
          <w:kern w:val="2"/>
        </w:rPr>
        <w:t xml:space="preserve">A previously evaluated study showed marked induction of CYP3A4 mRNA, but not enzyme activity. A re-analysis of the mRNA induction data showed that </w:t>
      </w:r>
      <w:r>
        <w:t>olaparib induced CYP3A4 mRNA expression with EC</w:t>
      </w:r>
      <w:r w:rsidRPr="00F740E7">
        <w:rPr>
          <w:vertAlign w:val="subscript"/>
        </w:rPr>
        <w:t>50</w:t>
      </w:r>
      <w:r>
        <w:t xml:space="preserve"> 6 to 18</w:t>
      </w:r>
      <w:r w:rsidRPr="00D57E31">
        <w:t xml:space="preserve"> </w:t>
      </w:r>
      <w:r>
        <w:t xml:space="preserve">µM and </w:t>
      </w:r>
      <w:r w:rsidR="006348FE">
        <w:t>maximum induction (</w:t>
      </w:r>
      <w:r>
        <w:t>E</w:t>
      </w:r>
      <w:r w:rsidRPr="006348FE">
        <w:rPr>
          <w:vertAlign w:val="subscript"/>
        </w:rPr>
        <w:t>max</w:t>
      </w:r>
      <w:r w:rsidR="006348FE">
        <w:t xml:space="preserve">) </w:t>
      </w:r>
      <w:r>
        <w:t>18 to 40% of that by the positive control rifampicin</w:t>
      </w:r>
      <w:r w:rsidR="00CA1EAE">
        <w:t>.</w:t>
      </w:r>
    </w:p>
    <w:p w14:paraId="7BA91AAF" w14:textId="77777777" w:rsidR="001F2D1F" w:rsidRDefault="006348FE" w:rsidP="007E3E1E">
      <w:pPr>
        <w:pStyle w:val="ListBullet"/>
      </w:pPr>
      <w:r>
        <w:t xml:space="preserve">GLP compliant repeat </w:t>
      </w:r>
      <w:r w:rsidR="001F2D1F" w:rsidRPr="00315927">
        <w:t>dose toxicity studies were conducted in rats (up to 13 weeks) g</w:t>
      </w:r>
      <w:r>
        <w:t xml:space="preserve">iven oral olaparib once daily. </w:t>
      </w:r>
      <w:r w:rsidR="001F2D1F" w:rsidRPr="00315927">
        <w:t xml:space="preserve">Maximum olaparib exposure levels achieved in the three month study were </w:t>
      </w:r>
      <w:r w:rsidR="001F2D1F">
        <w:t xml:space="preserve">below </w:t>
      </w:r>
      <w:r w:rsidR="001F2D1F" w:rsidRPr="00315927">
        <w:t>that anticipated clinically</w:t>
      </w:r>
      <w:r w:rsidR="001F2D1F">
        <w:t xml:space="preserve"> in patients</w:t>
      </w:r>
      <w:r w:rsidR="001F2D1F" w:rsidRPr="00315927">
        <w:t xml:space="preserve">. No </w:t>
      </w:r>
      <w:r w:rsidR="001F2D1F">
        <w:t xml:space="preserve">new </w:t>
      </w:r>
      <w:r w:rsidR="001F2D1F" w:rsidRPr="00315927">
        <w:t>toxicity findings were identified in these studies, with the main target organs for toxicity bein</w:t>
      </w:r>
      <w:r w:rsidR="001F2D1F">
        <w:t>g</w:t>
      </w:r>
      <w:r w:rsidR="001F2D1F" w:rsidRPr="00315927">
        <w:t xml:space="preserve"> the haematopoietic system (including the bone marrow</w:t>
      </w:r>
      <w:r w:rsidR="00EE2122">
        <w:t xml:space="preserve"> (</w:t>
      </w:r>
      <w:r w:rsidR="001F2D1F" w:rsidRPr="00315927">
        <w:t>myelosuppression and effects on erythroid differentiation</w:t>
      </w:r>
      <w:r w:rsidR="003C2823">
        <w:t>)</w:t>
      </w:r>
      <w:r w:rsidR="001F2D1F" w:rsidRPr="00315927">
        <w:t>, spleen/liver and thymus</w:t>
      </w:r>
      <w:r w:rsidR="00EE2122">
        <w:t xml:space="preserve"> (</w:t>
      </w:r>
      <w:r w:rsidR="001F2D1F" w:rsidRPr="00315927">
        <w:t>secondary to reductions in circulating blood cells</w:t>
      </w:r>
      <w:r w:rsidR="003C2823">
        <w:t>)</w:t>
      </w:r>
      <w:r w:rsidR="001F2D1F" w:rsidRPr="00315927">
        <w:t xml:space="preserve">), </w:t>
      </w:r>
      <w:r w:rsidR="001F2D1F" w:rsidRPr="00315927">
        <w:rPr>
          <w:rFonts w:eastAsiaTheme="minorHAnsi" w:cs="TimesNewRoman"/>
        </w:rPr>
        <w:t>lymphoid organs (lymphoid depletion), and/or small intestine (epithelial degeneration in duodenum, jejunum, ileum)</w:t>
      </w:r>
      <w:r w:rsidR="001F2D1F" w:rsidRPr="00315927">
        <w:t>.</w:t>
      </w:r>
    </w:p>
    <w:p w14:paraId="2171ACD4" w14:textId="77777777" w:rsidR="007E3E1E" w:rsidRDefault="007E3E1E" w:rsidP="007E3E1E">
      <w:pPr>
        <w:pStyle w:val="Heading4"/>
      </w:pPr>
      <w:r>
        <w:t>Conclusions and recommendation</w:t>
      </w:r>
    </w:p>
    <w:p w14:paraId="2100013B" w14:textId="77777777" w:rsidR="00CA1EAE" w:rsidRDefault="007E3E1E" w:rsidP="007E3E1E">
      <w:pPr>
        <w:pStyle w:val="ListBullet"/>
      </w:pPr>
      <w:r w:rsidRPr="00C704A6">
        <w:t xml:space="preserve">The pharmacology studies support the use of olaparib to treat tumours with a mutated BRCA background. </w:t>
      </w:r>
      <w:r>
        <w:t>However, there is insufficient nonclinical information supporting the use of olaparib to treat tumours with wild type BRCA</w:t>
      </w:r>
      <w:r w:rsidR="00CA1EAE">
        <w:t>.</w:t>
      </w:r>
    </w:p>
    <w:p w14:paraId="183C0176" w14:textId="77777777" w:rsidR="007E3E1E" w:rsidRPr="003C45EA" w:rsidRDefault="007E3E1E" w:rsidP="007E3E1E">
      <w:pPr>
        <w:pStyle w:val="ListBullet"/>
      </w:pPr>
      <w:r>
        <w:lastRenderedPageBreak/>
        <w:t xml:space="preserve">The animal toxicity studies provided in the current submission did not identify any new toxicity findings at exposures higher than exposures in previously evaluated studies but below the clinical exposure. Toxicity studies demonstrated </w:t>
      </w:r>
      <w:r w:rsidRPr="003C45EA">
        <w:t>myelosuppression and haematological toxicity</w:t>
      </w:r>
      <w:r w:rsidR="006666D8">
        <w:t xml:space="preserve"> (including anaemia and lymphop</w:t>
      </w:r>
      <w:r w:rsidRPr="003C45EA">
        <w:t>enia)</w:t>
      </w:r>
      <w:r>
        <w:t>, lymphoid depletion and epithelial degeneration of small intestines.</w:t>
      </w:r>
    </w:p>
    <w:p w14:paraId="5110DB37" w14:textId="29A7B98B" w:rsidR="007E3E1E" w:rsidRPr="00915957" w:rsidRDefault="007E3E1E" w:rsidP="007E3E1E">
      <w:pPr>
        <w:pStyle w:val="ListBullet"/>
      </w:pPr>
      <w:r w:rsidRPr="00915957">
        <w:t>In human</w:t>
      </w:r>
      <w:r>
        <w:t>s</w:t>
      </w:r>
      <w:r w:rsidRPr="00915957">
        <w:t xml:space="preserve">, the tablet 300 mg </w:t>
      </w:r>
      <w:r w:rsidR="006348FE">
        <w:t>BID</w:t>
      </w:r>
      <w:r w:rsidRPr="00915957">
        <w:t xml:space="preserve"> dos</w:t>
      </w:r>
      <w:r>
        <w:t>ing</w:t>
      </w:r>
      <w:r w:rsidRPr="00915957">
        <w:t xml:space="preserve"> achieves higher level of systemic exposure (</w:t>
      </w:r>
      <w:r>
        <w:t>AUC</w:t>
      </w:r>
      <w:r w:rsidRPr="00DF2B36">
        <w:rPr>
          <w:vertAlign w:val="subscript"/>
        </w:rPr>
        <w:t>0-t ss</w:t>
      </w:r>
      <w:r>
        <w:t xml:space="preserve"> 59.7 µg.</w:t>
      </w:r>
      <w:r w:rsidR="00A55817">
        <w:t>hour</w:t>
      </w:r>
      <w:r>
        <w:t>/mL</w:t>
      </w:r>
      <w:r w:rsidRPr="00915957">
        <w:t xml:space="preserve">) than the capsule 400 mg </w:t>
      </w:r>
      <w:r w:rsidR="006348FE">
        <w:t>BID</w:t>
      </w:r>
      <w:r w:rsidRPr="00915957">
        <w:t xml:space="preserve"> dos</w:t>
      </w:r>
      <w:r>
        <w:t>ing</w:t>
      </w:r>
      <w:r w:rsidRPr="00915957">
        <w:t xml:space="preserve"> (</w:t>
      </w:r>
      <w:r>
        <w:t>AUC</w:t>
      </w:r>
      <w:r w:rsidRPr="00E4386E">
        <w:rPr>
          <w:vertAlign w:val="subscript"/>
        </w:rPr>
        <w:t>0-t ss</w:t>
      </w:r>
      <w:r>
        <w:t xml:space="preserve"> 40.4</w:t>
      </w:r>
      <w:r w:rsidR="008017C8">
        <w:t> </w:t>
      </w:r>
      <w:r>
        <w:t>µg.</w:t>
      </w:r>
      <w:r w:rsidR="00A55817">
        <w:t>hour</w:t>
      </w:r>
      <w:r>
        <w:t>/mL</w:t>
      </w:r>
      <w:r w:rsidRPr="00915957">
        <w:t xml:space="preserve">). </w:t>
      </w:r>
      <w:r w:rsidR="004A1DF2">
        <w:t>Thus, toxicity findings in animal species are more likely to occur in patients taking the tablets than those taking the capsules.</w:t>
      </w:r>
    </w:p>
    <w:p w14:paraId="0EB6B489" w14:textId="77777777" w:rsidR="00CA1EAE" w:rsidRDefault="007E3E1E" w:rsidP="007E3E1E">
      <w:pPr>
        <w:pStyle w:val="ListBullet"/>
      </w:pPr>
      <w:r w:rsidRPr="00061003">
        <w:t xml:space="preserve">There are no objections on nonclinical grounds to the proposed registration </w:t>
      </w:r>
      <w:r w:rsidRPr="006348FE">
        <w:t>of</w:t>
      </w:r>
      <w:r w:rsidR="006348FE" w:rsidRPr="006348FE">
        <w:t xml:space="preserve"> </w:t>
      </w:r>
      <w:r w:rsidRPr="006348FE">
        <w:t>two</w:t>
      </w:r>
      <w:r w:rsidRPr="00653982">
        <w:rPr>
          <w:rFonts w:cs="Arial,Italic"/>
          <w:iCs/>
        </w:rPr>
        <w:t xml:space="preserve"> tablet formulation</w:t>
      </w:r>
      <w:r>
        <w:rPr>
          <w:rFonts w:cs="Arial,Italic"/>
          <w:iCs/>
        </w:rPr>
        <w:t>s</w:t>
      </w:r>
      <w:r w:rsidRPr="00653982">
        <w:rPr>
          <w:rFonts w:cs="Arial,Italic"/>
          <w:iCs/>
        </w:rPr>
        <w:t xml:space="preserve"> </w:t>
      </w:r>
      <w:r>
        <w:rPr>
          <w:rFonts w:cs="Arial,Italic"/>
          <w:iCs/>
        </w:rPr>
        <w:t xml:space="preserve">(100 mg and 150 mg) </w:t>
      </w:r>
      <w:r w:rsidRPr="00653982">
        <w:rPr>
          <w:rFonts w:cs="Arial,Italic"/>
          <w:iCs/>
        </w:rPr>
        <w:t>for olaparib</w:t>
      </w:r>
      <w:r w:rsidRPr="00DF2B36">
        <w:t xml:space="preserve"> provided </w:t>
      </w:r>
      <w:r>
        <w:t>efficacy has been adequately demonstrated by clinical data</w:t>
      </w:r>
      <w:r w:rsidR="00CA1EAE">
        <w:t>.</w:t>
      </w:r>
    </w:p>
    <w:p w14:paraId="1238A04C" w14:textId="77777777" w:rsidR="008E7846" w:rsidRPr="00254787" w:rsidRDefault="008E7846" w:rsidP="008E7846">
      <w:pPr>
        <w:pStyle w:val="Heading2"/>
      </w:pPr>
      <w:bookmarkStart w:id="64" w:name="_Toc23326207"/>
      <w:r>
        <w:t xml:space="preserve">V. </w:t>
      </w:r>
      <w:r w:rsidRPr="00254787">
        <w:t>Clinical</w:t>
      </w:r>
      <w:bookmarkEnd w:id="59"/>
      <w:r>
        <w:t xml:space="preserve"> </w:t>
      </w:r>
      <w:r w:rsidR="003A7F6C">
        <w:t>f</w:t>
      </w:r>
      <w:r>
        <w:t>indings</w:t>
      </w:r>
      <w:bookmarkEnd w:id="60"/>
      <w:bookmarkEnd w:id="61"/>
      <w:bookmarkEnd w:id="64"/>
    </w:p>
    <w:p w14:paraId="216A43C0" w14:textId="77777777" w:rsidR="00C80137" w:rsidRDefault="00C80137" w:rsidP="00D425BB">
      <w:bookmarkStart w:id="65" w:name="_Toc196046463"/>
      <w:r>
        <w:t xml:space="preserve">A summary of the </w:t>
      </w:r>
      <w:r w:rsidRPr="00FD70B8">
        <w:t>clinical findings is presented in this section.</w:t>
      </w:r>
    </w:p>
    <w:p w14:paraId="04B5E2D0" w14:textId="77777777" w:rsidR="008E7846" w:rsidRDefault="008E7846" w:rsidP="008E7846">
      <w:pPr>
        <w:pStyle w:val="Heading3"/>
      </w:pPr>
      <w:bookmarkStart w:id="66" w:name="_Toc247691517"/>
      <w:bookmarkStart w:id="67" w:name="_Toc314842501"/>
      <w:bookmarkStart w:id="68" w:name="_Toc23326208"/>
      <w:r w:rsidRPr="00254787">
        <w:t>Introduction</w:t>
      </w:r>
      <w:bookmarkEnd w:id="65"/>
      <w:bookmarkEnd w:id="66"/>
      <w:bookmarkEnd w:id="67"/>
      <w:bookmarkEnd w:id="68"/>
    </w:p>
    <w:p w14:paraId="50CAF2AB" w14:textId="77777777" w:rsidR="005B0B10" w:rsidRDefault="005B0B10" w:rsidP="005B0B10">
      <w:pPr>
        <w:pStyle w:val="Heading4"/>
      </w:pPr>
      <w:bookmarkStart w:id="69" w:name="_Toc505155526"/>
      <w:bookmarkStart w:id="70" w:name="_Toc196046464"/>
      <w:bookmarkStart w:id="71" w:name="_Toc247691518"/>
      <w:bookmarkStart w:id="72" w:name="_Toc314842502"/>
      <w:r w:rsidRPr="00E709B3">
        <w:t>Information on the condition being treated</w:t>
      </w:r>
      <w:bookmarkEnd w:id="69"/>
    </w:p>
    <w:p w14:paraId="14CC714D" w14:textId="77777777" w:rsidR="005B0B10" w:rsidRDefault="005B0B10" w:rsidP="005B0B10">
      <w:pPr>
        <w:rPr>
          <w:lang w:eastAsia="ja-JP"/>
        </w:rPr>
      </w:pPr>
      <w:r>
        <w:rPr>
          <w:lang w:eastAsia="ja-JP"/>
        </w:rPr>
        <w:t xml:space="preserve">Ovarian cancer is a leading cause of death from gynaecological cancer and approximately 75% of cases present with advanced disease. It is estimated that in 2017, 1,580 new cases of ovarian cancer will be diagnosed in Australia, </w:t>
      </w:r>
      <w:r w:rsidR="006348FE" w:rsidRPr="001E69D4">
        <w:rPr>
          <w:lang w:eastAsia="ja-JP"/>
        </w:rPr>
        <w:t>representing 2.5</w:t>
      </w:r>
      <w:r w:rsidR="006348FE">
        <w:rPr>
          <w:lang w:eastAsia="ja-JP"/>
        </w:rPr>
        <w:t>% of all new cancers in females.</w:t>
      </w:r>
      <w:r w:rsidR="006348FE">
        <w:rPr>
          <w:rStyle w:val="FootnoteReference"/>
          <w:lang w:eastAsia="ja-JP"/>
        </w:rPr>
        <w:footnoteReference w:id="3"/>
      </w:r>
      <w:r>
        <w:rPr>
          <w:lang w:eastAsia="ja-JP"/>
        </w:rPr>
        <w:t xml:space="preserve"> There will be an estimated 1,047 deaths from ovarian cancer, representing 5.1% of all female deaths from cancer. There were 3,980 women living with ovarian cancer in 2012. Advanced ovarian cancer is incurable. However, drug treatment can significantly prolong survival and the chance of surviving at least 5 years was 44.4% from 2009 to 2013.</w:t>
      </w:r>
    </w:p>
    <w:p w14:paraId="02234F06" w14:textId="77777777" w:rsidR="005B0B10" w:rsidRDefault="005B0B10" w:rsidP="005B0B10">
      <w:pPr>
        <w:rPr>
          <w:lang w:eastAsia="ja-JP"/>
        </w:rPr>
      </w:pPr>
      <w:r w:rsidRPr="00F30AD1">
        <w:rPr>
          <w:lang w:eastAsia="ja-JP"/>
        </w:rPr>
        <w:t>BRCA1</w:t>
      </w:r>
      <w:r w:rsidRPr="002E3C8E">
        <w:rPr>
          <w:lang w:eastAsia="ja-JP"/>
        </w:rPr>
        <w:t xml:space="preserve"> and </w:t>
      </w:r>
      <w:r w:rsidRPr="00F30AD1">
        <w:rPr>
          <w:lang w:eastAsia="ja-JP"/>
        </w:rPr>
        <w:t>BRCA2</w:t>
      </w:r>
      <w:r>
        <w:rPr>
          <w:lang w:eastAsia="ja-JP"/>
        </w:rPr>
        <w:t xml:space="preserve"> are genes which produce tumour suppressor proteins which help repair damaged DNA</w:t>
      </w:r>
      <w:r w:rsidR="00CC0D6A">
        <w:rPr>
          <w:lang w:eastAsia="ja-JP"/>
        </w:rPr>
        <w:t>.</w:t>
      </w:r>
      <w:r>
        <w:rPr>
          <w:rStyle w:val="FootnoteReference"/>
          <w:lang w:eastAsia="ja-JP"/>
        </w:rPr>
        <w:footnoteReference w:id="4"/>
      </w:r>
      <w:r>
        <w:rPr>
          <w:lang w:eastAsia="ja-JP"/>
        </w:rPr>
        <w:t xml:space="preserve"> Mutated </w:t>
      </w:r>
      <w:r w:rsidRPr="00F30AD1">
        <w:rPr>
          <w:lang w:eastAsia="ja-JP"/>
        </w:rPr>
        <w:t>BRCA</w:t>
      </w:r>
      <w:r w:rsidRPr="002E3C8E">
        <w:rPr>
          <w:lang w:eastAsia="ja-JP"/>
        </w:rPr>
        <w:t xml:space="preserve"> </w:t>
      </w:r>
      <w:r>
        <w:rPr>
          <w:lang w:eastAsia="ja-JP"/>
        </w:rPr>
        <w:t xml:space="preserve">genes result in poorly functioning DNA repair leading to several cancers, particularly breast and ovarian cancer. Specific inherited mutations </w:t>
      </w:r>
      <w:r w:rsidRPr="002E3C8E">
        <w:rPr>
          <w:lang w:eastAsia="ja-JP"/>
        </w:rPr>
        <w:t xml:space="preserve">of </w:t>
      </w:r>
      <w:r w:rsidRPr="00F30AD1">
        <w:rPr>
          <w:lang w:eastAsia="ja-JP"/>
        </w:rPr>
        <w:t>BRCA1</w:t>
      </w:r>
      <w:r w:rsidRPr="002E3C8E">
        <w:rPr>
          <w:lang w:eastAsia="ja-JP"/>
        </w:rPr>
        <w:t xml:space="preserve"> and </w:t>
      </w:r>
      <w:r w:rsidRPr="00F30AD1">
        <w:rPr>
          <w:lang w:eastAsia="ja-JP"/>
        </w:rPr>
        <w:t>BRCA2</w:t>
      </w:r>
      <w:r>
        <w:rPr>
          <w:lang w:eastAsia="ja-JP"/>
        </w:rPr>
        <w:t xml:space="preserve"> are implicated in approximately 15% of ovarian cancers, particularly in younger women, and in women of Ashkenazi Jewish descent. Not all mutations are associated with cancers, and these are classified as genetic variants of unknown significance (present in approximately 10% of women with mutations). Because </w:t>
      </w:r>
      <w:r w:rsidRPr="00F30AD1">
        <w:rPr>
          <w:lang w:eastAsia="ja-JP"/>
        </w:rPr>
        <w:t>BRCA1</w:t>
      </w:r>
      <w:r w:rsidRPr="002E3C8E">
        <w:rPr>
          <w:lang w:eastAsia="ja-JP"/>
        </w:rPr>
        <w:t xml:space="preserve"> and </w:t>
      </w:r>
      <w:r w:rsidRPr="00F30AD1">
        <w:rPr>
          <w:lang w:eastAsia="ja-JP"/>
        </w:rPr>
        <w:t>BRCA2</w:t>
      </w:r>
      <w:r>
        <w:rPr>
          <w:lang w:eastAsia="ja-JP"/>
        </w:rPr>
        <w:t xml:space="preserve"> genes are involved in DNA repair, it has been suggested that harmful mutations may increase the sensitivity of tumours to anticancer therapies which act by damaging DNA (</w:t>
      </w:r>
      <w:r w:rsidR="00CC0D6A">
        <w:rPr>
          <w:lang w:eastAsia="ja-JP"/>
        </w:rPr>
        <w:t>for example,</w:t>
      </w:r>
      <w:r>
        <w:rPr>
          <w:lang w:eastAsia="ja-JP"/>
        </w:rPr>
        <w:t xml:space="preserve"> cisplatin).</w:t>
      </w:r>
    </w:p>
    <w:p w14:paraId="1F9B4790" w14:textId="77777777" w:rsidR="005B0B10" w:rsidRDefault="005B0B10" w:rsidP="005B0B10">
      <w:pPr>
        <w:pStyle w:val="Heading4"/>
      </w:pPr>
      <w:bookmarkStart w:id="73" w:name="_Toc505155527"/>
      <w:r>
        <w:t>Current treatment options</w:t>
      </w:r>
      <w:bookmarkEnd w:id="73"/>
    </w:p>
    <w:p w14:paraId="23152380" w14:textId="77777777" w:rsidR="00CA1EAE" w:rsidRDefault="005B0B10" w:rsidP="005B0B10">
      <w:pPr>
        <w:rPr>
          <w:lang w:eastAsia="ja-JP"/>
        </w:rPr>
      </w:pPr>
      <w:r>
        <w:rPr>
          <w:lang w:eastAsia="ja-JP"/>
        </w:rPr>
        <w:t>The treatment of choice for adva</w:t>
      </w:r>
      <w:r w:rsidR="00CC0D6A">
        <w:rPr>
          <w:lang w:eastAsia="ja-JP"/>
        </w:rPr>
        <w:t xml:space="preserve">nced ovarian cancer is platinum </w:t>
      </w:r>
      <w:r>
        <w:rPr>
          <w:lang w:eastAsia="ja-JP"/>
        </w:rPr>
        <w:t>based chemotherapy (most commonly paclitaxel/carboplatin) given as first and second line therapy.</w:t>
      </w:r>
      <w:r w:rsidR="00A775D3">
        <w:rPr>
          <w:rStyle w:val="FootnoteReference"/>
          <w:lang w:eastAsia="ja-JP"/>
        </w:rPr>
        <w:footnoteReference w:id="5"/>
      </w:r>
      <w:r>
        <w:rPr>
          <w:lang w:eastAsia="ja-JP"/>
        </w:rPr>
        <w:t xml:space="preserve"> However, </w:t>
      </w:r>
      <w:r>
        <w:rPr>
          <w:lang w:eastAsia="ja-JP"/>
        </w:rPr>
        <w:lastRenderedPageBreak/>
        <w:t>new treatments are needed as progression free intervals are often short after treatment.</w:t>
      </w:r>
      <w:r w:rsidR="00F532A6">
        <w:rPr>
          <w:rStyle w:val="FootnoteReference"/>
          <w:lang w:eastAsia="ja-JP"/>
        </w:rPr>
        <w:footnoteReference w:id="6"/>
      </w:r>
      <w:r>
        <w:rPr>
          <w:lang w:eastAsia="ja-JP"/>
        </w:rPr>
        <w:t xml:space="preserve"> The </w:t>
      </w:r>
      <w:r w:rsidR="00F532A6">
        <w:rPr>
          <w:lang w:eastAsia="ja-JP"/>
        </w:rPr>
        <w:t>v</w:t>
      </w:r>
      <w:r w:rsidR="00F532A6" w:rsidRPr="00F532A6">
        <w:rPr>
          <w:lang w:eastAsia="ja-JP"/>
        </w:rPr>
        <w:t>ascular endothelial growth factor (VEGF</w:t>
      </w:r>
      <w:r w:rsidR="00F532A6">
        <w:rPr>
          <w:lang w:eastAsia="ja-JP"/>
        </w:rPr>
        <w:t>)</w:t>
      </w:r>
      <w:r>
        <w:rPr>
          <w:lang w:eastAsia="ja-JP"/>
        </w:rPr>
        <w:t xml:space="preserve"> inhibitor bevacizumab is commonly used in patients</w:t>
      </w:r>
      <w:r w:rsidR="00F532A6">
        <w:rPr>
          <w:lang w:eastAsia="ja-JP"/>
        </w:rPr>
        <w:t xml:space="preserve"> who do not respond to platinum </w:t>
      </w:r>
      <w:r>
        <w:rPr>
          <w:lang w:eastAsia="ja-JP"/>
        </w:rPr>
        <w:t xml:space="preserve">based chemotherapy. Details of other therapies, including PFS hazard ratios, are </w:t>
      </w:r>
      <w:r w:rsidRPr="000A0DC3">
        <w:rPr>
          <w:lang w:eastAsia="ja-JP"/>
        </w:rPr>
        <w:t xml:space="preserve">shown in </w:t>
      </w:r>
      <w:r w:rsidR="000A0DC3" w:rsidRPr="000A0DC3">
        <w:rPr>
          <w:lang w:eastAsia="ja-JP"/>
        </w:rPr>
        <w:t>Table 4</w:t>
      </w:r>
      <w:r w:rsidR="00CC0D6A" w:rsidRPr="000A0DC3">
        <w:rPr>
          <w:lang w:eastAsia="ja-JP"/>
        </w:rPr>
        <w:t>.</w:t>
      </w:r>
    </w:p>
    <w:p w14:paraId="7CFFBB37" w14:textId="77777777" w:rsidR="00CC0D6A" w:rsidRDefault="000A0DC3" w:rsidP="00CC0D6A">
      <w:pPr>
        <w:pStyle w:val="TableTitle"/>
        <w:rPr>
          <w:lang w:eastAsia="ja-JP"/>
        </w:rPr>
      </w:pPr>
      <w:r>
        <w:rPr>
          <w:lang w:eastAsia="ja-JP"/>
        </w:rPr>
        <w:t>Table 4</w:t>
      </w:r>
      <w:r w:rsidR="00CC0D6A">
        <w:rPr>
          <w:lang w:eastAsia="ja-JP"/>
        </w:rPr>
        <w:t>: Current treatment options in platinum sensitive relapsed ovarian cancer</w:t>
      </w:r>
    </w:p>
    <w:p w14:paraId="79BE2563" w14:textId="77777777" w:rsidR="00CC0D6A" w:rsidRDefault="00CC0D6A" w:rsidP="005B0B10">
      <w:pPr>
        <w:rPr>
          <w:lang w:eastAsia="ja-JP"/>
        </w:rPr>
      </w:pPr>
      <w:r>
        <w:rPr>
          <w:noProof/>
          <w:lang w:eastAsia="en-AU"/>
        </w:rPr>
        <w:drawing>
          <wp:inline distT="0" distB="0" distL="0" distR="0" wp14:anchorId="6D9A62E9" wp14:editId="56D17975">
            <wp:extent cx="5349923" cy="5068710"/>
            <wp:effectExtent l="0" t="0" r="3175" b="0"/>
            <wp:docPr id="6" name="Picture 6" descr="Current treatment options in platinum sensitive relapsed ovaria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2252" cy="5070917"/>
                    </a:xfrm>
                    <a:prstGeom prst="rect">
                      <a:avLst/>
                    </a:prstGeom>
                  </pic:spPr>
                </pic:pic>
              </a:graphicData>
            </a:graphic>
          </wp:inline>
        </w:drawing>
      </w:r>
    </w:p>
    <w:p w14:paraId="0EAD4346" w14:textId="77777777" w:rsidR="00605AD4" w:rsidRDefault="00605AD4" w:rsidP="00605AD4">
      <w:pPr>
        <w:pStyle w:val="Heading4"/>
      </w:pPr>
      <w:r w:rsidRPr="00605AD4">
        <w:t xml:space="preserve">Clinical </w:t>
      </w:r>
      <w:r w:rsidR="00EF59DC">
        <w:t>r</w:t>
      </w:r>
      <w:r w:rsidRPr="00605AD4">
        <w:t>ationale</w:t>
      </w:r>
    </w:p>
    <w:p w14:paraId="27FA9518" w14:textId="77777777" w:rsidR="00CA1EAE" w:rsidRDefault="00B73E06" w:rsidP="00500337">
      <w:pPr>
        <w:rPr>
          <w:lang w:eastAsia="ja-JP"/>
        </w:rPr>
      </w:pPr>
      <w:r>
        <w:rPr>
          <w:lang w:eastAsia="ja-JP"/>
        </w:rPr>
        <w:t xml:space="preserve">The aim of treatment for advanced ovarian cancer is to maintain </w:t>
      </w:r>
      <w:r w:rsidR="00F532A6">
        <w:rPr>
          <w:lang w:eastAsia="ja-JP"/>
        </w:rPr>
        <w:t>PFS</w:t>
      </w:r>
      <w:r>
        <w:rPr>
          <w:lang w:eastAsia="ja-JP"/>
        </w:rPr>
        <w:t xml:space="preserve"> and quality of life for as long as possible. Drug treatments should have acceptable toxicities and should be easily administered. </w:t>
      </w:r>
      <w:r w:rsidRPr="00C23F27">
        <w:rPr>
          <w:lang w:eastAsia="ja-JP"/>
        </w:rPr>
        <w:t>Olaparib</w:t>
      </w:r>
      <w:r>
        <w:rPr>
          <w:lang w:eastAsia="ja-JP"/>
        </w:rPr>
        <w:t xml:space="preserve"> is an orally active, specific PARP inhibitor approved for use as </w:t>
      </w:r>
      <w:r w:rsidR="00F532A6">
        <w:rPr>
          <w:lang w:eastAsia="ja-JP"/>
        </w:rPr>
        <w:t xml:space="preserve">maintenance therapy in platinum </w:t>
      </w:r>
      <w:r>
        <w:rPr>
          <w:lang w:eastAsia="ja-JP"/>
        </w:rPr>
        <w:t xml:space="preserve">sensitive, advanced ovarian cancer. PARP inhibitors block the enzyme </w:t>
      </w:r>
      <w:r w:rsidR="00F532A6">
        <w:rPr>
          <w:lang w:eastAsia="ja-JP"/>
        </w:rPr>
        <w:t>PARP</w:t>
      </w:r>
      <w:r>
        <w:rPr>
          <w:lang w:eastAsia="ja-JP"/>
        </w:rPr>
        <w:t xml:space="preserve">, which acts to repair DNA damage. This action may prevent malignant cells from repairing themselves when they have been damaged by chemotherapy. </w:t>
      </w:r>
      <w:r w:rsidRPr="00C23F27">
        <w:rPr>
          <w:lang w:eastAsia="ja-JP"/>
        </w:rPr>
        <w:t>Olaparib</w:t>
      </w:r>
      <w:r>
        <w:rPr>
          <w:lang w:eastAsia="ja-JP"/>
        </w:rPr>
        <w:t xml:space="preserve"> prolongs PFS with acceptable toxicity in patients </w:t>
      </w:r>
      <w:r w:rsidRPr="00055BF4">
        <w:rPr>
          <w:lang w:eastAsia="ja-JP"/>
        </w:rPr>
        <w:t xml:space="preserve">with </w:t>
      </w:r>
      <w:r w:rsidRPr="00F30AD1">
        <w:rPr>
          <w:lang w:eastAsia="ja-JP"/>
        </w:rPr>
        <w:t>BRCA1</w:t>
      </w:r>
      <w:r w:rsidRPr="002E3C8E">
        <w:rPr>
          <w:lang w:eastAsia="ja-JP"/>
        </w:rPr>
        <w:t xml:space="preserve"> </w:t>
      </w:r>
      <w:r w:rsidRPr="00055BF4">
        <w:rPr>
          <w:lang w:eastAsia="ja-JP"/>
        </w:rPr>
        <w:t xml:space="preserve">and </w:t>
      </w:r>
      <w:r w:rsidRPr="00F30AD1">
        <w:rPr>
          <w:lang w:eastAsia="ja-JP"/>
        </w:rPr>
        <w:t>BRCA2</w:t>
      </w:r>
      <w:r w:rsidRPr="002E3C8E">
        <w:rPr>
          <w:lang w:eastAsia="ja-JP"/>
        </w:rPr>
        <w:t xml:space="preserve"> </w:t>
      </w:r>
      <w:r w:rsidRPr="00055BF4">
        <w:rPr>
          <w:lang w:eastAsia="ja-JP"/>
        </w:rPr>
        <w:t>mutations</w:t>
      </w:r>
      <w:r>
        <w:rPr>
          <w:lang w:eastAsia="ja-JP"/>
        </w:rPr>
        <w:t xml:space="preserve">. It is hoped that </w:t>
      </w:r>
      <w:r w:rsidRPr="00C23F27">
        <w:rPr>
          <w:lang w:eastAsia="ja-JP"/>
        </w:rPr>
        <w:t>olaparib</w:t>
      </w:r>
      <w:r>
        <w:rPr>
          <w:lang w:eastAsia="ja-JP"/>
        </w:rPr>
        <w:t xml:space="preserve"> will also prolong PFS in patients without known deleterious </w:t>
      </w:r>
      <w:r w:rsidRPr="00F30AD1">
        <w:rPr>
          <w:lang w:eastAsia="ja-JP"/>
        </w:rPr>
        <w:t>BRCA</w:t>
      </w:r>
      <w:r>
        <w:rPr>
          <w:lang w:eastAsia="ja-JP"/>
        </w:rPr>
        <w:t xml:space="preserve"> mutations</w:t>
      </w:r>
      <w:r w:rsidR="00CA1EAE">
        <w:rPr>
          <w:lang w:eastAsia="ja-JP"/>
        </w:rPr>
        <w:t>.</w:t>
      </w:r>
    </w:p>
    <w:p w14:paraId="53368A31" w14:textId="77777777" w:rsidR="00605AD4" w:rsidRDefault="00605AD4" w:rsidP="00605AD4">
      <w:pPr>
        <w:pStyle w:val="Heading4"/>
      </w:pPr>
      <w:r w:rsidRPr="00605AD4">
        <w:lastRenderedPageBreak/>
        <w:t>Guidance</w:t>
      </w:r>
    </w:p>
    <w:p w14:paraId="6E6056C9" w14:textId="447F094E" w:rsidR="00B73E06" w:rsidRPr="00B25798" w:rsidRDefault="00B73E06" w:rsidP="00B73E06">
      <w:r w:rsidRPr="00B25798">
        <w:t>The studies were designed in accordance with</w:t>
      </w:r>
      <w:r w:rsidR="002E3C8E">
        <w:t xml:space="preserve"> the following</w:t>
      </w:r>
      <w:r w:rsidRPr="00B25798">
        <w:t>:</w:t>
      </w:r>
    </w:p>
    <w:p w14:paraId="00EE46D3" w14:textId="77777777" w:rsidR="00CA1EAE" w:rsidRDefault="00B73E06" w:rsidP="00B73E06">
      <w:pPr>
        <w:pStyle w:val="ListBullet"/>
      </w:pPr>
      <w:r w:rsidRPr="00B73E06">
        <w:t xml:space="preserve">The CHMP </w:t>
      </w:r>
      <w:r w:rsidR="00521AC6">
        <w:t>guidelines</w:t>
      </w:r>
      <w:r w:rsidRPr="00B73E06">
        <w:t xml:space="preserve"> on evaluation of anticancer medicinal products in man;</w:t>
      </w:r>
      <w:r w:rsidR="00521AC6">
        <w:rPr>
          <w:rStyle w:val="FootnoteReference"/>
        </w:rPr>
        <w:footnoteReference w:id="7"/>
      </w:r>
      <w:r w:rsidRPr="00B73E06">
        <w:t xml:space="preserve"> and methodological consider</w:t>
      </w:r>
      <w:r w:rsidR="00521AC6">
        <w:t xml:space="preserve">ations for using PFS or disease </w:t>
      </w:r>
      <w:r w:rsidRPr="00B73E06">
        <w:t>free surviva</w:t>
      </w:r>
      <w:r w:rsidR="00521AC6">
        <w:t>l (DFS) in confirmatory trials</w:t>
      </w:r>
      <w:r w:rsidR="00CA1EAE">
        <w:t>.</w:t>
      </w:r>
      <w:r w:rsidR="00521AC6">
        <w:rPr>
          <w:rStyle w:val="FootnoteReference"/>
        </w:rPr>
        <w:footnoteReference w:id="8"/>
      </w:r>
    </w:p>
    <w:p w14:paraId="501FAC0C" w14:textId="77777777" w:rsidR="00B73E06" w:rsidRPr="00B73E06" w:rsidRDefault="00B73E06" w:rsidP="00B73E06">
      <w:pPr>
        <w:pStyle w:val="ListBullet"/>
      </w:pPr>
      <w:r w:rsidRPr="00B73E06">
        <w:t xml:space="preserve">The </w:t>
      </w:r>
      <w:r w:rsidR="001E1FDB">
        <w:t>Food and Drug Administration (</w:t>
      </w:r>
      <w:r w:rsidRPr="00B73E06">
        <w:t>FDA</w:t>
      </w:r>
      <w:r w:rsidR="001E1FDB">
        <w:t>)</w:t>
      </w:r>
      <w:r w:rsidRPr="00B73E06">
        <w:t xml:space="preserve"> </w:t>
      </w:r>
      <w:r w:rsidR="001E1FDB" w:rsidRPr="00B73E06">
        <w:t>guidance to industry on clinical trial endpoints for the approval of cancer drugs and biologics</w:t>
      </w:r>
      <w:r w:rsidRPr="00B73E06">
        <w:t>.</w:t>
      </w:r>
      <w:r w:rsidR="004B16BD">
        <w:rPr>
          <w:rStyle w:val="FootnoteReference"/>
        </w:rPr>
        <w:footnoteReference w:id="9"/>
      </w:r>
    </w:p>
    <w:p w14:paraId="6A182652" w14:textId="77777777" w:rsidR="00500337" w:rsidRPr="00500337" w:rsidRDefault="00B73E06" w:rsidP="004B16BD">
      <w:pPr>
        <w:pStyle w:val="ListBullet"/>
      </w:pPr>
      <w:r w:rsidRPr="00B73E06">
        <w:t>Scientific advice was sought from the regulatory authorities of Sweden (</w:t>
      </w:r>
      <w:r w:rsidR="004B16BD">
        <w:t>Medical Product Agency</w:t>
      </w:r>
      <w:r w:rsidRPr="00B73E06">
        <w:t>), the Nethe</w:t>
      </w:r>
      <w:r w:rsidR="00521AC6">
        <w:t>rlands (</w:t>
      </w:r>
      <w:r w:rsidR="004B16BD">
        <w:t>Medicines Evaluation Board</w:t>
      </w:r>
      <w:r w:rsidR="00521AC6">
        <w:t>) and France (</w:t>
      </w:r>
      <w:r w:rsidR="004B16BD" w:rsidRPr="004B16BD">
        <w:t>French National Agency for Medicines and Health Products Safety</w:t>
      </w:r>
      <w:r w:rsidR="00521AC6">
        <w:t>).</w:t>
      </w:r>
    </w:p>
    <w:p w14:paraId="3B82F48D" w14:textId="77777777" w:rsidR="00605AD4" w:rsidRDefault="00605AD4" w:rsidP="00605AD4">
      <w:pPr>
        <w:pStyle w:val="Heading4"/>
      </w:pPr>
      <w:r w:rsidRPr="00605AD4">
        <w:t>Contents of the clinical dossier</w:t>
      </w:r>
    </w:p>
    <w:p w14:paraId="29EC9A1E" w14:textId="77777777" w:rsidR="00CA1EAE" w:rsidRDefault="00B73E06" w:rsidP="00B73E06">
      <w:pPr>
        <w:rPr>
          <w:lang w:eastAsia="ja-JP"/>
        </w:rPr>
      </w:pPr>
      <w:r>
        <w:rPr>
          <w:lang w:eastAsia="ja-JP"/>
        </w:rPr>
        <w:t xml:space="preserve">The clinical dossier contains </w:t>
      </w:r>
      <w:r w:rsidR="000E7A27">
        <w:rPr>
          <w:lang w:eastAsia="ja-JP"/>
        </w:rPr>
        <w:t xml:space="preserve">the following </w:t>
      </w:r>
      <w:r>
        <w:rPr>
          <w:lang w:eastAsia="ja-JP"/>
        </w:rPr>
        <w:t>clinical study reports</w:t>
      </w:r>
      <w:r w:rsidR="00CA1EAE">
        <w:rPr>
          <w:lang w:eastAsia="ja-JP"/>
        </w:rPr>
        <w:t>:</w:t>
      </w:r>
    </w:p>
    <w:p w14:paraId="74E14304" w14:textId="77777777" w:rsidR="00B73E06" w:rsidRPr="00B06190" w:rsidRDefault="00B73E06" w:rsidP="00B73E06">
      <w:pPr>
        <w:pStyle w:val="ListBullet"/>
        <w:rPr>
          <w:lang w:eastAsia="ja-JP"/>
        </w:rPr>
      </w:pPr>
      <w:r w:rsidRPr="00B06190">
        <w:rPr>
          <w:lang w:eastAsia="ja-JP"/>
        </w:rPr>
        <w:t>PK/PD studies</w:t>
      </w:r>
    </w:p>
    <w:p w14:paraId="00D4F3A8" w14:textId="2F420E45" w:rsidR="00B73E06" w:rsidRDefault="00B73E06" w:rsidP="00B73E06">
      <w:pPr>
        <w:pStyle w:val="ListBullet2"/>
        <w:rPr>
          <w:lang w:eastAsia="ja-JP"/>
        </w:rPr>
      </w:pPr>
      <w:r>
        <w:rPr>
          <w:lang w:eastAsia="ja-JP"/>
        </w:rPr>
        <w:t>O</w:t>
      </w:r>
      <w:r w:rsidR="000E7A27">
        <w:rPr>
          <w:lang w:eastAsia="ja-JP"/>
        </w:rPr>
        <w:t xml:space="preserve">ne comparative bioavailability </w:t>
      </w:r>
      <w:r w:rsidR="0030617F">
        <w:rPr>
          <w:lang w:eastAsia="ja-JP"/>
        </w:rPr>
        <w:t>s</w:t>
      </w:r>
      <w:r>
        <w:rPr>
          <w:lang w:eastAsia="ja-JP"/>
        </w:rPr>
        <w:t>tudy (</w:t>
      </w:r>
      <w:r w:rsidR="009F26CF">
        <w:rPr>
          <w:lang w:eastAsia="ja-JP"/>
        </w:rPr>
        <w:t xml:space="preserve">Study </w:t>
      </w:r>
      <w:r>
        <w:rPr>
          <w:lang w:eastAsia="ja-JP"/>
        </w:rPr>
        <w:t>D081OC00024)</w:t>
      </w:r>
      <w:r w:rsidR="000E7A27">
        <w:rPr>
          <w:lang w:eastAsia="ja-JP"/>
        </w:rPr>
        <w:t>.</w:t>
      </w:r>
    </w:p>
    <w:p w14:paraId="0494299C" w14:textId="23255780" w:rsidR="00B73E06" w:rsidRDefault="00F06704" w:rsidP="00B73E06">
      <w:pPr>
        <w:pStyle w:val="ListBullet2"/>
        <w:rPr>
          <w:lang w:eastAsia="ja-JP"/>
        </w:rPr>
      </w:pPr>
      <w:r>
        <w:rPr>
          <w:lang w:eastAsia="ja-JP"/>
        </w:rPr>
        <w:t xml:space="preserve">One drug metabolism </w:t>
      </w:r>
      <w:r w:rsidR="0030617F">
        <w:rPr>
          <w:lang w:eastAsia="ja-JP"/>
        </w:rPr>
        <w:t>s</w:t>
      </w:r>
      <w:r w:rsidR="00B73E06">
        <w:rPr>
          <w:lang w:eastAsia="ja-JP"/>
        </w:rPr>
        <w:t>tudy (</w:t>
      </w:r>
      <w:r w:rsidR="0030617F">
        <w:rPr>
          <w:lang w:eastAsia="ja-JP"/>
        </w:rPr>
        <w:t xml:space="preserve">Study </w:t>
      </w:r>
      <w:r w:rsidR="00B73E06">
        <w:rPr>
          <w:lang w:eastAsia="ja-JP"/>
        </w:rPr>
        <w:t>D0810C00010)</w:t>
      </w:r>
      <w:r w:rsidR="000E7A27">
        <w:rPr>
          <w:lang w:eastAsia="ja-JP"/>
        </w:rPr>
        <w:t>.</w:t>
      </w:r>
    </w:p>
    <w:p w14:paraId="430CF447" w14:textId="477FB6FF" w:rsidR="00B73E06" w:rsidRDefault="00B73E06" w:rsidP="00B73E06">
      <w:pPr>
        <w:pStyle w:val="ListBullet2"/>
        <w:rPr>
          <w:lang w:eastAsia="ja-JP"/>
        </w:rPr>
      </w:pPr>
      <w:r>
        <w:rPr>
          <w:lang w:eastAsia="ja-JP"/>
        </w:rPr>
        <w:t>Four special populati</w:t>
      </w:r>
      <w:r w:rsidR="00F06704">
        <w:rPr>
          <w:lang w:eastAsia="ja-JP"/>
        </w:rPr>
        <w:t xml:space="preserve">on </w:t>
      </w:r>
      <w:r w:rsidR="0030617F">
        <w:rPr>
          <w:lang w:eastAsia="ja-JP"/>
        </w:rPr>
        <w:t xml:space="preserve">studies </w:t>
      </w:r>
      <w:r w:rsidR="000E7A27">
        <w:rPr>
          <w:lang w:eastAsia="ja-JP"/>
        </w:rPr>
        <w:t>(</w:t>
      </w:r>
      <w:r w:rsidR="0030617F">
        <w:rPr>
          <w:lang w:eastAsia="ja-JP"/>
        </w:rPr>
        <w:t xml:space="preserve">Studies </w:t>
      </w:r>
      <w:r w:rsidR="000E7A27">
        <w:rPr>
          <w:lang w:eastAsia="ja-JP"/>
        </w:rPr>
        <w:t>D081BC00001, D081OC</w:t>
      </w:r>
      <w:r>
        <w:rPr>
          <w:lang w:eastAsia="ja-JP"/>
        </w:rPr>
        <w:t xml:space="preserve">00001, D0816C00007 </w:t>
      </w:r>
      <w:r w:rsidR="0030617F">
        <w:rPr>
          <w:lang w:eastAsia="ja-JP"/>
        </w:rPr>
        <w:t xml:space="preserve">and </w:t>
      </w:r>
      <w:r>
        <w:rPr>
          <w:lang w:eastAsia="ja-JP"/>
        </w:rPr>
        <w:t>D0816C00007)</w:t>
      </w:r>
      <w:r w:rsidR="000E7A27">
        <w:rPr>
          <w:lang w:eastAsia="ja-JP"/>
        </w:rPr>
        <w:t>.</w:t>
      </w:r>
    </w:p>
    <w:p w14:paraId="63042C61" w14:textId="456B2A1E" w:rsidR="00B73E06" w:rsidRDefault="00B73E06" w:rsidP="00B73E06">
      <w:pPr>
        <w:pStyle w:val="ListBullet2"/>
        <w:rPr>
          <w:lang w:eastAsia="ja-JP"/>
        </w:rPr>
      </w:pPr>
      <w:r>
        <w:rPr>
          <w:lang w:eastAsia="ja-JP"/>
        </w:rPr>
        <w:t>Three drug-d</w:t>
      </w:r>
      <w:r w:rsidR="00F06704">
        <w:rPr>
          <w:lang w:eastAsia="ja-JP"/>
        </w:rPr>
        <w:t xml:space="preserve">rug interaction </w:t>
      </w:r>
      <w:r w:rsidR="000A0DC3">
        <w:rPr>
          <w:lang w:eastAsia="ja-JP"/>
        </w:rPr>
        <w:t xml:space="preserve">(DDI) </w:t>
      </w:r>
      <w:r w:rsidR="0030617F">
        <w:rPr>
          <w:lang w:eastAsia="ja-JP"/>
        </w:rPr>
        <w:t>s</w:t>
      </w:r>
      <w:r w:rsidR="000E7A27">
        <w:rPr>
          <w:lang w:eastAsia="ja-JP"/>
        </w:rPr>
        <w:t>tudies (</w:t>
      </w:r>
      <w:r w:rsidR="0030617F">
        <w:rPr>
          <w:lang w:eastAsia="ja-JP"/>
        </w:rPr>
        <w:t xml:space="preserve">Studies </w:t>
      </w:r>
      <w:r w:rsidR="000E7A27">
        <w:rPr>
          <w:lang w:eastAsia="ja-JP"/>
        </w:rPr>
        <w:t>D0816C</w:t>
      </w:r>
      <w:r>
        <w:rPr>
          <w:lang w:eastAsia="ja-JP"/>
        </w:rPr>
        <w:t>00007, D0816</w:t>
      </w:r>
      <w:r w:rsidR="000E7A27">
        <w:rPr>
          <w:lang w:eastAsia="ja-JP"/>
        </w:rPr>
        <w:t>C00008</w:t>
      </w:r>
      <w:r w:rsidR="0030617F">
        <w:rPr>
          <w:lang w:eastAsia="ja-JP"/>
        </w:rPr>
        <w:t xml:space="preserve"> and</w:t>
      </w:r>
      <w:r w:rsidR="000E7A27">
        <w:rPr>
          <w:lang w:eastAsia="ja-JP"/>
        </w:rPr>
        <w:t xml:space="preserve"> D081CC</w:t>
      </w:r>
      <w:r>
        <w:rPr>
          <w:lang w:eastAsia="ja-JP"/>
        </w:rPr>
        <w:t>00001)</w:t>
      </w:r>
      <w:r w:rsidR="000E7A27">
        <w:rPr>
          <w:lang w:eastAsia="ja-JP"/>
        </w:rPr>
        <w:t>.</w:t>
      </w:r>
    </w:p>
    <w:p w14:paraId="322764FF" w14:textId="3B3B8EC0" w:rsidR="00B73E06" w:rsidRDefault="000E7A27" w:rsidP="00B73E06">
      <w:pPr>
        <w:pStyle w:val="ListBullet2"/>
        <w:rPr>
          <w:lang w:eastAsia="ja-JP"/>
        </w:rPr>
      </w:pPr>
      <w:r>
        <w:rPr>
          <w:lang w:eastAsia="ja-JP"/>
        </w:rPr>
        <w:t>One food</w:t>
      </w:r>
      <w:r w:rsidR="00B73E06">
        <w:rPr>
          <w:lang w:eastAsia="ja-JP"/>
        </w:rPr>
        <w:t>/</w:t>
      </w:r>
      <w:r w:rsidR="00F960D8" w:rsidRPr="00A06953">
        <w:t>QT interval corrected for heart rate</w:t>
      </w:r>
      <w:r w:rsidR="00F960D8">
        <w:rPr>
          <w:lang w:eastAsia="ja-JP"/>
        </w:rPr>
        <w:t xml:space="preserve"> (</w:t>
      </w:r>
      <w:r w:rsidR="00B73E06">
        <w:rPr>
          <w:lang w:eastAsia="ja-JP"/>
        </w:rPr>
        <w:t>QTc</w:t>
      </w:r>
      <w:r w:rsidR="00F960D8">
        <w:rPr>
          <w:lang w:eastAsia="ja-JP"/>
        </w:rPr>
        <w:t>)</w:t>
      </w:r>
      <w:r w:rsidR="00F06704">
        <w:rPr>
          <w:lang w:eastAsia="ja-JP"/>
        </w:rPr>
        <w:t xml:space="preserve"> </w:t>
      </w:r>
      <w:r w:rsidR="0030617F">
        <w:rPr>
          <w:lang w:eastAsia="ja-JP"/>
        </w:rPr>
        <w:t>s</w:t>
      </w:r>
      <w:r w:rsidR="00B73E06">
        <w:rPr>
          <w:lang w:eastAsia="ja-JP"/>
        </w:rPr>
        <w:t>tudy (</w:t>
      </w:r>
      <w:r w:rsidR="0030617F">
        <w:rPr>
          <w:lang w:eastAsia="ja-JP"/>
        </w:rPr>
        <w:t xml:space="preserve">Study </w:t>
      </w:r>
      <w:r w:rsidR="00B73E06">
        <w:rPr>
          <w:lang w:eastAsia="ja-JP"/>
        </w:rPr>
        <w:t>D0816C00004)</w:t>
      </w:r>
      <w:r>
        <w:rPr>
          <w:lang w:eastAsia="ja-JP"/>
        </w:rPr>
        <w:t>.</w:t>
      </w:r>
    </w:p>
    <w:p w14:paraId="2C5A69B9" w14:textId="654FC8EC" w:rsidR="00B73E06" w:rsidRDefault="000E7A27" w:rsidP="00B73E06">
      <w:pPr>
        <w:pStyle w:val="ListBullet2"/>
        <w:rPr>
          <w:lang w:eastAsia="ja-JP"/>
        </w:rPr>
      </w:pPr>
      <w:r>
        <w:rPr>
          <w:lang w:eastAsia="ja-JP"/>
        </w:rPr>
        <w:t xml:space="preserve">Four </w:t>
      </w:r>
      <w:r w:rsidR="0030617F">
        <w:rPr>
          <w:lang w:eastAsia="ja-JP"/>
        </w:rPr>
        <w:t>p</w:t>
      </w:r>
      <w:r>
        <w:rPr>
          <w:lang w:eastAsia="ja-JP"/>
        </w:rPr>
        <w:t>opulation PK</w:t>
      </w:r>
      <w:r w:rsidR="00F06704">
        <w:rPr>
          <w:lang w:eastAsia="ja-JP"/>
        </w:rPr>
        <w:t xml:space="preserve">/PD </w:t>
      </w:r>
      <w:r w:rsidR="0030617F">
        <w:rPr>
          <w:lang w:eastAsia="ja-JP"/>
        </w:rPr>
        <w:t>s</w:t>
      </w:r>
      <w:r w:rsidR="00B73E06">
        <w:rPr>
          <w:lang w:eastAsia="ja-JP"/>
        </w:rPr>
        <w:t>tudies (</w:t>
      </w:r>
      <w:r w:rsidR="0030617F">
        <w:rPr>
          <w:lang w:eastAsia="ja-JP"/>
        </w:rPr>
        <w:t xml:space="preserve">Studies </w:t>
      </w:r>
      <w:r w:rsidR="00B73E06">
        <w:rPr>
          <w:lang w:eastAsia="ja-JP"/>
        </w:rPr>
        <w:t>MS01, MS02, MS03</w:t>
      </w:r>
      <w:r w:rsidR="0030617F">
        <w:rPr>
          <w:lang w:eastAsia="ja-JP"/>
        </w:rPr>
        <w:t xml:space="preserve"> and</w:t>
      </w:r>
      <w:r w:rsidR="00B73E06">
        <w:rPr>
          <w:lang w:eastAsia="ja-JP"/>
        </w:rPr>
        <w:t xml:space="preserve"> MS04)</w:t>
      </w:r>
      <w:r>
        <w:rPr>
          <w:lang w:eastAsia="ja-JP"/>
        </w:rPr>
        <w:t>.</w:t>
      </w:r>
    </w:p>
    <w:p w14:paraId="2396A4F1" w14:textId="40DBF2D5" w:rsidR="00B73E06" w:rsidRPr="00B06190" w:rsidRDefault="000E7A27" w:rsidP="00B73E06">
      <w:pPr>
        <w:pStyle w:val="ListBullet"/>
        <w:rPr>
          <w:lang w:eastAsia="ja-JP"/>
        </w:rPr>
      </w:pPr>
      <w:r>
        <w:rPr>
          <w:lang w:eastAsia="ja-JP"/>
        </w:rPr>
        <w:t>Efficacy/</w:t>
      </w:r>
      <w:r w:rsidR="00B73E06" w:rsidRPr="00B06190">
        <w:rPr>
          <w:lang w:eastAsia="ja-JP"/>
        </w:rPr>
        <w:t xml:space="preserve">Safety </w:t>
      </w:r>
      <w:r w:rsidR="0030617F">
        <w:rPr>
          <w:lang w:eastAsia="ja-JP"/>
        </w:rPr>
        <w:t>s</w:t>
      </w:r>
      <w:r w:rsidR="00B73E06" w:rsidRPr="00B06190">
        <w:rPr>
          <w:lang w:eastAsia="ja-JP"/>
        </w:rPr>
        <w:t>tudies</w:t>
      </w:r>
    </w:p>
    <w:p w14:paraId="65427702" w14:textId="50FF9AD6" w:rsidR="00B73E06" w:rsidRPr="00E22E6B" w:rsidRDefault="00B73E06" w:rsidP="00B73E06">
      <w:pPr>
        <w:pStyle w:val="ListBullet2"/>
        <w:rPr>
          <w:lang w:eastAsia="ja-JP"/>
        </w:rPr>
      </w:pPr>
      <w:r>
        <w:rPr>
          <w:lang w:eastAsia="ja-JP"/>
        </w:rPr>
        <w:t xml:space="preserve">Two </w:t>
      </w:r>
      <w:r w:rsidR="00F06704">
        <w:rPr>
          <w:lang w:eastAsia="ja-JP"/>
        </w:rPr>
        <w:t xml:space="preserve">dose ranging </w:t>
      </w:r>
      <w:r w:rsidR="0030617F">
        <w:rPr>
          <w:lang w:eastAsia="ja-JP"/>
        </w:rPr>
        <w:t>s</w:t>
      </w:r>
      <w:r w:rsidRPr="00E22E6B">
        <w:rPr>
          <w:lang w:eastAsia="ja-JP"/>
        </w:rPr>
        <w:t>tudies</w:t>
      </w:r>
      <w:r w:rsidR="00CD4D1E">
        <w:rPr>
          <w:lang w:eastAsia="ja-JP"/>
        </w:rPr>
        <w:t xml:space="preserve"> (</w:t>
      </w:r>
      <w:r w:rsidR="0030617F">
        <w:rPr>
          <w:lang w:eastAsia="ja-JP"/>
        </w:rPr>
        <w:t xml:space="preserve">Studies </w:t>
      </w:r>
      <w:r w:rsidR="00CD4D1E">
        <w:rPr>
          <w:lang w:eastAsia="ja-JP"/>
        </w:rPr>
        <w:t xml:space="preserve">09 and </w:t>
      </w:r>
      <w:r w:rsidRPr="00E22E6B">
        <w:rPr>
          <w:lang w:eastAsia="ja-JP"/>
        </w:rPr>
        <w:t>12)</w:t>
      </w:r>
      <w:r w:rsidR="000E7A27">
        <w:rPr>
          <w:lang w:eastAsia="ja-JP"/>
        </w:rPr>
        <w:t>.</w:t>
      </w:r>
    </w:p>
    <w:p w14:paraId="41DC702D" w14:textId="5AE8F595" w:rsidR="00B73E06" w:rsidRPr="00E22E6B" w:rsidRDefault="00F06704" w:rsidP="00B73E06">
      <w:pPr>
        <w:pStyle w:val="ListBullet2"/>
        <w:rPr>
          <w:lang w:eastAsia="ja-JP"/>
        </w:rPr>
      </w:pPr>
      <w:r>
        <w:rPr>
          <w:lang w:eastAsia="ja-JP"/>
        </w:rPr>
        <w:t xml:space="preserve">One pivotal Phase III </w:t>
      </w:r>
      <w:r w:rsidR="0030617F">
        <w:rPr>
          <w:lang w:eastAsia="ja-JP"/>
        </w:rPr>
        <w:t>s</w:t>
      </w:r>
      <w:r w:rsidR="00B73E06" w:rsidRPr="00E22E6B">
        <w:rPr>
          <w:lang w:eastAsia="ja-JP"/>
        </w:rPr>
        <w:t>tudy (</w:t>
      </w:r>
      <w:r w:rsidR="0030617F">
        <w:rPr>
          <w:lang w:eastAsia="ja-JP"/>
        </w:rPr>
        <w:t xml:space="preserve">Study </w:t>
      </w:r>
      <w:r w:rsidR="00B73E06" w:rsidRPr="00E22E6B">
        <w:rPr>
          <w:lang w:eastAsia="ja-JP"/>
        </w:rPr>
        <w:t>02</w:t>
      </w:r>
      <w:r w:rsidR="0030617F">
        <w:rPr>
          <w:lang w:eastAsia="ja-JP"/>
        </w:rPr>
        <w:t xml:space="preserve"> (also known as the </w:t>
      </w:r>
      <w:r w:rsidR="00205AC8">
        <w:rPr>
          <w:lang w:eastAsia="ja-JP"/>
        </w:rPr>
        <w:t>SOLO-2</w:t>
      </w:r>
      <w:r w:rsidR="0030617F">
        <w:rPr>
          <w:lang w:eastAsia="ja-JP"/>
        </w:rPr>
        <w:t xml:space="preserve"> trial</w:t>
      </w:r>
      <w:r w:rsidR="00C500FE">
        <w:rPr>
          <w:lang w:eastAsia="ja-JP"/>
        </w:rPr>
        <w:t>)</w:t>
      </w:r>
      <w:r w:rsidR="00B73E06" w:rsidRPr="00E22E6B">
        <w:rPr>
          <w:lang w:eastAsia="ja-JP"/>
        </w:rPr>
        <w:t>)</w:t>
      </w:r>
      <w:r w:rsidR="000E7A27">
        <w:rPr>
          <w:lang w:eastAsia="ja-JP"/>
        </w:rPr>
        <w:t>.</w:t>
      </w:r>
    </w:p>
    <w:p w14:paraId="40C85021" w14:textId="3622309E" w:rsidR="00B73E06" w:rsidRDefault="00F06704" w:rsidP="00B73E06">
      <w:pPr>
        <w:pStyle w:val="ListBullet2"/>
        <w:rPr>
          <w:lang w:eastAsia="ja-JP"/>
        </w:rPr>
      </w:pPr>
      <w:r>
        <w:rPr>
          <w:lang w:eastAsia="ja-JP"/>
        </w:rPr>
        <w:t xml:space="preserve">One pivotal Phase II </w:t>
      </w:r>
      <w:r w:rsidR="0030617F">
        <w:rPr>
          <w:lang w:eastAsia="ja-JP"/>
        </w:rPr>
        <w:t>s</w:t>
      </w:r>
      <w:r w:rsidR="00CD4D1E">
        <w:rPr>
          <w:lang w:eastAsia="ja-JP"/>
        </w:rPr>
        <w:t>tudy (</w:t>
      </w:r>
      <w:r w:rsidR="0030617F">
        <w:rPr>
          <w:lang w:eastAsia="ja-JP"/>
        </w:rPr>
        <w:t xml:space="preserve">Study </w:t>
      </w:r>
      <w:r w:rsidR="00B73E06" w:rsidRPr="00E22E6B">
        <w:rPr>
          <w:lang w:eastAsia="ja-JP"/>
        </w:rPr>
        <w:t>19</w:t>
      </w:r>
      <w:r w:rsidR="00B73E06">
        <w:rPr>
          <w:lang w:eastAsia="ja-JP"/>
        </w:rPr>
        <w:t>)</w:t>
      </w:r>
      <w:r w:rsidR="000E7A27">
        <w:rPr>
          <w:lang w:eastAsia="ja-JP"/>
        </w:rPr>
        <w:t>.</w:t>
      </w:r>
    </w:p>
    <w:p w14:paraId="5FB6DD66" w14:textId="522EAC6F" w:rsidR="00500337" w:rsidRPr="00500337" w:rsidRDefault="00F06704" w:rsidP="00500337">
      <w:pPr>
        <w:pStyle w:val="ListBullet2"/>
        <w:rPr>
          <w:lang w:eastAsia="ja-JP"/>
        </w:rPr>
      </w:pPr>
      <w:r>
        <w:rPr>
          <w:lang w:eastAsia="ja-JP"/>
        </w:rPr>
        <w:t xml:space="preserve">Four supportive Phase II </w:t>
      </w:r>
      <w:r w:rsidR="0030617F">
        <w:rPr>
          <w:lang w:eastAsia="ja-JP"/>
        </w:rPr>
        <w:t>s</w:t>
      </w:r>
      <w:r w:rsidR="00B73E06">
        <w:rPr>
          <w:lang w:eastAsia="ja-JP"/>
        </w:rPr>
        <w:t>tudies (</w:t>
      </w:r>
      <w:r w:rsidR="0030617F">
        <w:rPr>
          <w:lang w:eastAsia="ja-JP"/>
        </w:rPr>
        <w:t xml:space="preserve">Studies </w:t>
      </w:r>
      <w:r w:rsidR="00B73E06">
        <w:rPr>
          <w:lang w:eastAsia="ja-JP"/>
        </w:rPr>
        <w:t>020, 041, 042</w:t>
      </w:r>
      <w:r w:rsidR="0030617F">
        <w:rPr>
          <w:lang w:eastAsia="ja-JP"/>
        </w:rPr>
        <w:t xml:space="preserve"> and</w:t>
      </w:r>
      <w:r w:rsidR="00B73E06">
        <w:rPr>
          <w:lang w:eastAsia="ja-JP"/>
        </w:rPr>
        <w:t>08)</w:t>
      </w:r>
      <w:r w:rsidR="000E7A27">
        <w:rPr>
          <w:lang w:eastAsia="ja-JP"/>
        </w:rPr>
        <w:t>.</w:t>
      </w:r>
    </w:p>
    <w:p w14:paraId="055882FA" w14:textId="77777777" w:rsidR="00605AD4" w:rsidRDefault="00605AD4" w:rsidP="00605AD4">
      <w:pPr>
        <w:pStyle w:val="Heading4"/>
      </w:pPr>
      <w:r w:rsidRPr="00605AD4">
        <w:t>Paediatric data</w:t>
      </w:r>
    </w:p>
    <w:p w14:paraId="2FA55A08" w14:textId="77777777" w:rsidR="00500337" w:rsidRPr="00500337" w:rsidRDefault="00B73E06" w:rsidP="00500337">
      <w:pPr>
        <w:rPr>
          <w:lang w:eastAsia="ja-JP"/>
        </w:rPr>
      </w:pPr>
      <w:r>
        <w:rPr>
          <w:lang w:eastAsia="ja-JP"/>
        </w:rPr>
        <w:t>No paediatric data was submitted.</w:t>
      </w:r>
    </w:p>
    <w:p w14:paraId="757BBAFF" w14:textId="77777777" w:rsidR="00605AD4" w:rsidRDefault="00605AD4" w:rsidP="00605AD4">
      <w:pPr>
        <w:pStyle w:val="Heading4"/>
      </w:pPr>
      <w:r w:rsidRPr="00605AD4">
        <w:t>Good clinical practice</w:t>
      </w:r>
    </w:p>
    <w:p w14:paraId="26C1BD87" w14:textId="0D45B051" w:rsidR="00CA1EAE" w:rsidRDefault="00B73E06" w:rsidP="00500337">
      <w:pPr>
        <w:rPr>
          <w:lang w:eastAsia="ja-JP"/>
        </w:rPr>
      </w:pPr>
      <w:r>
        <w:rPr>
          <w:lang w:eastAsia="ja-JP"/>
        </w:rPr>
        <w:t xml:space="preserve">All studies were conducted in accordance with the principles of </w:t>
      </w:r>
      <w:r w:rsidR="0030617F">
        <w:rPr>
          <w:lang w:eastAsia="ja-JP"/>
        </w:rPr>
        <w:t xml:space="preserve">the </w:t>
      </w:r>
      <w:r w:rsidR="000E7A27" w:rsidRPr="00A06953">
        <w:t>International Council for Harmonisation</w:t>
      </w:r>
      <w:r w:rsidR="000E7A27">
        <w:rPr>
          <w:lang w:eastAsia="ja-JP"/>
        </w:rPr>
        <w:t xml:space="preserve"> (</w:t>
      </w:r>
      <w:r>
        <w:rPr>
          <w:lang w:eastAsia="ja-JP"/>
        </w:rPr>
        <w:t>ICH</w:t>
      </w:r>
      <w:r w:rsidR="000E7A27">
        <w:rPr>
          <w:lang w:eastAsia="ja-JP"/>
        </w:rPr>
        <w:t>)</w:t>
      </w:r>
      <w:r>
        <w:rPr>
          <w:lang w:eastAsia="ja-JP"/>
        </w:rPr>
        <w:t xml:space="preserve"> </w:t>
      </w:r>
      <w:r w:rsidR="0030617F">
        <w:rPr>
          <w:lang w:eastAsia="ja-JP"/>
        </w:rPr>
        <w:t>G</w:t>
      </w:r>
      <w:r w:rsidR="006F498C">
        <w:rPr>
          <w:lang w:eastAsia="ja-JP"/>
        </w:rPr>
        <w:t xml:space="preserve">ood </w:t>
      </w:r>
      <w:r w:rsidR="0030617F">
        <w:rPr>
          <w:lang w:eastAsia="ja-JP"/>
        </w:rPr>
        <w:t>C</w:t>
      </w:r>
      <w:r w:rsidR="006F498C">
        <w:rPr>
          <w:lang w:eastAsia="ja-JP"/>
        </w:rPr>
        <w:t xml:space="preserve">linical </w:t>
      </w:r>
      <w:r w:rsidR="0030617F">
        <w:rPr>
          <w:lang w:eastAsia="ja-JP"/>
        </w:rPr>
        <w:t>P</w:t>
      </w:r>
      <w:r w:rsidR="006F498C">
        <w:rPr>
          <w:lang w:eastAsia="ja-JP"/>
        </w:rPr>
        <w:t>ractice (</w:t>
      </w:r>
      <w:r>
        <w:rPr>
          <w:lang w:eastAsia="ja-JP"/>
        </w:rPr>
        <w:t>GCP</w:t>
      </w:r>
      <w:r w:rsidR="006F498C">
        <w:rPr>
          <w:lang w:eastAsia="ja-JP"/>
        </w:rPr>
        <w:t>)</w:t>
      </w:r>
      <w:r w:rsidR="00CA1EAE">
        <w:rPr>
          <w:lang w:eastAsia="ja-JP"/>
        </w:rPr>
        <w:t>.</w:t>
      </w:r>
    </w:p>
    <w:p w14:paraId="7190A54E" w14:textId="77777777" w:rsidR="008E7846" w:rsidRDefault="008E7846" w:rsidP="00605AD4">
      <w:pPr>
        <w:pStyle w:val="Heading3"/>
      </w:pPr>
      <w:bookmarkStart w:id="74" w:name="_Toc23326209"/>
      <w:r w:rsidRPr="00254787">
        <w:lastRenderedPageBreak/>
        <w:t>Pharmacokinetics</w:t>
      </w:r>
      <w:bookmarkEnd w:id="62"/>
      <w:bookmarkEnd w:id="70"/>
      <w:bookmarkEnd w:id="71"/>
      <w:bookmarkEnd w:id="72"/>
      <w:bookmarkEnd w:id="74"/>
    </w:p>
    <w:p w14:paraId="55228331" w14:textId="77777777" w:rsidR="00605AD4" w:rsidRDefault="00605AD4" w:rsidP="000E7A27">
      <w:pPr>
        <w:pStyle w:val="Heading4"/>
      </w:pPr>
      <w:r w:rsidRPr="000E7A27">
        <w:t>Studies</w:t>
      </w:r>
      <w:r w:rsidR="00500337" w:rsidRPr="000E7A27">
        <w:t xml:space="preserve"> providing pharmacokinetic data</w:t>
      </w:r>
    </w:p>
    <w:p w14:paraId="280FD155" w14:textId="77777777" w:rsidR="00F960D8" w:rsidRPr="00F960D8" w:rsidRDefault="000A0DC3" w:rsidP="00F960D8">
      <w:r>
        <w:t>See Table 5</w:t>
      </w:r>
      <w:r w:rsidR="00F960D8">
        <w:t>.</w:t>
      </w:r>
    </w:p>
    <w:p w14:paraId="01DE7E41" w14:textId="77777777" w:rsidR="00B73E06" w:rsidRPr="000E7A27" w:rsidRDefault="000A0DC3" w:rsidP="000E7A27">
      <w:pPr>
        <w:pStyle w:val="TableTitle"/>
      </w:pPr>
      <w:r>
        <w:t>Table 5</w:t>
      </w:r>
      <w:r w:rsidR="00B73E06" w:rsidRPr="000E7A27">
        <w:t>: Submitted pharmacokinetic studies</w:t>
      </w:r>
    </w:p>
    <w:tbl>
      <w:tblPr>
        <w:tblStyle w:val="TableTGAblue"/>
        <w:tblW w:w="8046" w:type="dxa"/>
        <w:tblLayout w:type="fixed"/>
        <w:tblLook w:val="04A0" w:firstRow="1" w:lastRow="0" w:firstColumn="1" w:lastColumn="0" w:noHBand="0" w:noVBand="1"/>
      </w:tblPr>
      <w:tblGrid>
        <w:gridCol w:w="1809"/>
        <w:gridCol w:w="4395"/>
        <w:gridCol w:w="1842"/>
      </w:tblGrid>
      <w:tr w:rsidR="00B73E06" w:rsidRPr="00F06704" w14:paraId="6091EE47" w14:textId="77777777" w:rsidTr="00834C3C">
        <w:trPr>
          <w:cnfStyle w:val="100000000000" w:firstRow="1" w:lastRow="0" w:firstColumn="0" w:lastColumn="0" w:oddVBand="0" w:evenVBand="0" w:oddHBand="0" w:evenHBand="0" w:firstRowFirstColumn="0" w:firstRowLastColumn="0" w:lastRowFirstColumn="0" w:lastRowLastColumn="0"/>
        </w:trPr>
        <w:tc>
          <w:tcPr>
            <w:tcW w:w="1809" w:type="dxa"/>
          </w:tcPr>
          <w:p w14:paraId="4F9E24F5" w14:textId="77777777" w:rsidR="00B73E06" w:rsidRPr="00F06704" w:rsidRDefault="00B73E06" w:rsidP="00834E4F">
            <w:pPr>
              <w:ind w:left="0" w:right="0"/>
              <w:rPr>
                <w:rFonts w:cs="Calibri"/>
                <w:b w:val="0"/>
                <w:sz w:val="20"/>
                <w:szCs w:val="20"/>
              </w:rPr>
            </w:pPr>
            <w:r w:rsidRPr="00F06704">
              <w:rPr>
                <w:rFonts w:cs="Calibri"/>
                <w:sz w:val="20"/>
                <w:szCs w:val="20"/>
              </w:rPr>
              <w:t>PK topic</w:t>
            </w:r>
          </w:p>
        </w:tc>
        <w:tc>
          <w:tcPr>
            <w:tcW w:w="4395" w:type="dxa"/>
          </w:tcPr>
          <w:p w14:paraId="00FC9E55" w14:textId="77777777" w:rsidR="00B73E06" w:rsidRPr="00F06704" w:rsidRDefault="00B73E06" w:rsidP="00834E4F">
            <w:pPr>
              <w:ind w:left="0" w:right="0"/>
              <w:rPr>
                <w:rFonts w:cs="Calibri"/>
                <w:b w:val="0"/>
                <w:sz w:val="20"/>
                <w:szCs w:val="20"/>
              </w:rPr>
            </w:pPr>
            <w:r w:rsidRPr="00F06704">
              <w:rPr>
                <w:rFonts w:cs="Calibri"/>
                <w:sz w:val="20"/>
                <w:szCs w:val="20"/>
              </w:rPr>
              <w:t>Subtopic</w:t>
            </w:r>
          </w:p>
        </w:tc>
        <w:tc>
          <w:tcPr>
            <w:tcW w:w="1842" w:type="dxa"/>
          </w:tcPr>
          <w:p w14:paraId="7652C664" w14:textId="77777777" w:rsidR="00B73E06" w:rsidRPr="00F06704" w:rsidRDefault="00B73E06" w:rsidP="00834E4F">
            <w:pPr>
              <w:ind w:left="0" w:right="0"/>
              <w:rPr>
                <w:rFonts w:cs="Calibri"/>
                <w:b w:val="0"/>
                <w:sz w:val="20"/>
                <w:szCs w:val="20"/>
              </w:rPr>
            </w:pPr>
            <w:r w:rsidRPr="00F06704">
              <w:rPr>
                <w:rFonts w:cs="Calibri"/>
                <w:sz w:val="20"/>
                <w:szCs w:val="20"/>
              </w:rPr>
              <w:t>Study ID</w:t>
            </w:r>
          </w:p>
        </w:tc>
      </w:tr>
      <w:tr w:rsidR="00B73E06" w:rsidRPr="00F06704" w14:paraId="4C701F9B" w14:textId="77777777" w:rsidTr="00834C3C">
        <w:tc>
          <w:tcPr>
            <w:tcW w:w="1809" w:type="dxa"/>
            <w:vMerge w:val="restart"/>
          </w:tcPr>
          <w:p w14:paraId="596EFA39" w14:textId="77777777" w:rsidR="00B73E06" w:rsidRPr="00F06704" w:rsidRDefault="00B73E06" w:rsidP="00834E4F">
            <w:pPr>
              <w:ind w:left="0" w:right="0"/>
              <w:rPr>
                <w:rFonts w:cs="Calibri"/>
                <w:sz w:val="20"/>
                <w:szCs w:val="20"/>
              </w:rPr>
            </w:pPr>
            <w:r w:rsidRPr="00F06704">
              <w:rPr>
                <w:rFonts w:cs="Calibri"/>
                <w:sz w:val="20"/>
                <w:szCs w:val="20"/>
              </w:rPr>
              <w:t>PK in patients with solid tumours</w:t>
            </w:r>
          </w:p>
        </w:tc>
        <w:tc>
          <w:tcPr>
            <w:tcW w:w="4395" w:type="dxa"/>
          </w:tcPr>
          <w:p w14:paraId="11825425" w14:textId="77777777" w:rsidR="00B73E06" w:rsidRPr="00F06704" w:rsidRDefault="00B73E06" w:rsidP="00E45CFE">
            <w:pPr>
              <w:ind w:left="0" w:right="0"/>
              <w:rPr>
                <w:rFonts w:cs="Calibri"/>
                <w:sz w:val="20"/>
                <w:szCs w:val="20"/>
              </w:rPr>
            </w:pPr>
            <w:r w:rsidRPr="00F06704">
              <w:rPr>
                <w:rFonts w:cs="Calibri"/>
                <w:sz w:val="20"/>
                <w:szCs w:val="20"/>
              </w:rPr>
              <w:t>PK- Single dose</w:t>
            </w:r>
          </w:p>
        </w:tc>
        <w:tc>
          <w:tcPr>
            <w:tcW w:w="1842" w:type="dxa"/>
          </w:tcPr>
          <w:p w14:paraId="4FE2D772" w14:textId="77777777" w:rsidR="00B73E06" w:rsidRPr="00F06704" w:rsidRDefault="00B73E06" w:rsidP="00834E4F">
            <w:pPr>
              <w:ind w:left="0" w:right="0"/>
              <w:rPr>
                <w:rFonts w:cs="Calibri"/>
                <w:sz w:val="20"/>
                <w:szCs w:val="20"/>
              </w:rPr>
            </w:pPr>
            <w:r w:rsidRPr="00F06704">
              <w:rPr>
                <w:rFonts w:cs="Calibri"/>
                <w:sz w:val="20"/>
                <w:szCs w:val="20"/>
              </w:rPr>
              <w:t>D0810C00002</w:t>
            </w:r>
          </w:p>
        </w:tc>
      </w:tr>
      <w:tr w:rsidR="00B73E06" w:rsidRPr="00F06704" w14:paraId="7D9C98ED" w14:textId="77777777" w:rsidTr="00834C3C">
        <w:tc>
          <w:tcPr>
            <w:tcW w:w="1809" w:type="dxa"/>
            <w:vMerge/>
          </w:tcPr>
          <w:p w14:paraId="04796C6E" w14:textId="77777777" w:rsidR="00B73E06" w:rsidRPr="00F06704" w:rsidRDefault="00B73E06" w:rsidP="00834E4F">
            <w:pPr>
              <w:ind w:left="0" w:right="0"/>
              <w:rPr>
                <w:rFonts w:cs="Calibri"/>
                <w:sz w:val="20"/>
                <w:szCs w:val="20"/>
              </w:rPr>
            </w:pPr>
          </w:p>
        </w:tc>
        <w:tc>
          <w:tcPr>
            <w:tcW w:w="4395" w:type="dxa"/>
          </w:tcPr>
          <w:p w14:paraId="414179C0" w14:textId="77777777" w:rsidR="00B73E06" w:rsidRPr="00F06704" w:rsidRDefault="00B73E06" w:rsidP="00E45CFE">
            <w:pPr>
              <w:ind w:left="0" w:right="0"/>
              <w:rPr>
                <w:rFonts w:cs="Calibri"/>
                <w:sz w:val="20"/>
                <w:szCs w:val="20"/>
              </w:rPr>
            </w:pPr>
            <w:r w:rsidRPr="00F06704">
              <w:rPr>
                <w:rFonts w:cs="Calibri"/>
                <w:sz w:val="20"/>
                <w:szCs w:val="20"/>
              </w:rPr>
              <w:t>Metabolism</w:t>
            </w:r>
          </w:p>
        </w:tc>
        <w:tc>
          <w:tcPr>
            <w:tcW w:w="1842" w:type="dxa"/>
          </w:tcPr>
          <w:p w14:paraId="07E880A9" w14:textId="77777777" w:rsidR="00B73E06" w:rsidRPr="00F06704" w:rsidRDefault="00B73E06" w:rsidP="00834E4F">
            <w:pPr>
              <w:ind w:left="0" w:right="0"/>
              <w:rPr>
                <w:rFonts w:cs="Calibri"/>
                <w:sz w:val="20"/>
                <w:szCs w:val="20"/>
              </w:rPr>
            </w:pPr>
            <w:r w:rsidRPr="00F06704">
              <w:rPr>
                <w:rFonts w:cs="Calibri"/>
                <w:sz w:val="20"/>
                <w:szCs w:val="20"/>
              </w:rPr>
              <w:t>D0810C00010</w:t>
            </w:r>
          </w:p>
        </w:tc>
      </w:tr>
      <w:tr w:rsidR="00B73E06" w:rsidRPr="00F06704" w14:paraId="06762D73" w14:textId="77777777" w:rsidTr="00834C3C">
        <w:tc>
          <w:tcPr>
            <w:tcW w:w="1809" w:type="dxa"/>
            <w:vMerge/>
          </w:tcPr>
          <w:p w14:paraId="7BA3AB83" w14:textId="77777777" w:rsidR="00B73E06" w:rsidRPr="00F06704" w:rsidRDefault="00B73E06" w:rsidP="00834E4F">
            <w:pPr>
              <w:ind w:left="0" w:right="0"/>
              <w:rPr>
                <w:rFonts w:cs="Calibri"/>
                <w:sz w:val="20"/>
                <w:szCs w:val="20"/>
              </w:rPr>
            </w:pPr>
          </w:p>
        </w:tc>
        <w:tc>
          <w:tcPr>
            <w:tcW w:w="4395" w:type="dxa"/>
          </w:tcPr>
          <w:p w14:paraId="50F7C4B0" w14:textId="77777777" w:rsidR="00B73E06" w:rsidRPr="00F06704" w:rsidRDefault="00B73E06" w:rsidP="00834E4F">
            <w:pPr>
              <w:ind w:left="0" w:right="0"/>
              <w:rPr>
                <w:rFonts w:cs="Calibri"/>
                <w:sz w:val="20"/>
                <w:szCs w:val="20"/>
              </w:rPr>
            </w:pPr>
            <w:r w:rsidRPr="00F06704">
              <w:rPr>
                <w:rFonts w:cs="Calibri"/>
                <w:sz w:val="20"/>
                <w:szCs w:val="20"/>
              </w:rPr>
              <w:t>- Multi-dose</w:t>
            </w:r>
          </w:p>
        </w:tc>
        <w:tc>
          <w:tcPr>
            <w:tcW w:w="1842" w:type="dxa"/>
          </w:tcPr>
          <w:p w14:paraId="4C4176C4" w14:textId="77777777" w:rsidR="00B73E06" w:rsidRPr="00F06704" w:rsidRDefault="00B73E06" w:rsidP="00834E4F">
            <w:pPr>
              <w:ind w:left="0" w:right="0"/>
              <w:rPr>
                <w:rFonts w:cs="Calibri"/>
                <w:sz w:val="20"/>
                <w:szCs w:val="20"/>
              </w:rPr>
            </w:pPr>
            <w:r w:rsidRPr="00F06704">
              <w:rPr>
                <w:rFonts w:cs="Calibri"/>
                <w:sz w:val="20"/>
                <w:szCs w:val="20"/>
              </w:rPr>
              <w:t>D0810C00002</w:t>
            </w:r>
          </w:p>
        </w:tc>
      </w:tr>
      <w:tr w:rsidR="00B73E06" w:rsidRPr="00F06704" w14:paraId="16BE1703" w14:textId="77777777" w:rsidTr="00834C3C">
        <w:tc>
          <w:tcPr>
            <w:tcW w:w="1809" w:type="dxa"/>
            <w:vMerge/>
          </w:tcPr>
          <w:p w14:paraId="7EBA4BFF" w14:textId="77777777" w:rsidR="00B73E06" w:rsidRPr="00F06704" w:rsidRDefault="00B73E06" w:rsidP="00834E4F">
            <w:pPr>
              <w:ind w:left="0" w:right="0"/>
              <w:rPr>
                <w:rFonts w:cs="Calibri"/>
                <w:sz w:val="20"/>
                <w:szCs w:val="20"/>
              </w:rPr>
            </w:pPr>
          </w:p>
        </w:tc>
        <w:tc>
          <w:tcPr>
            <w:tcW w:w="4395" w:type="dxa"/>
          </w:tcPr>
          <w:p w14:paraId="4C0270D2" w14:textId="77777777" w:rsidR="00B73E06" w:rsidRPr="00F06704" w:rsidRDefault="00B73E06" w:rsidP="00E45CFE">
            <w:pPr>
              <w:ind w:left="0" w:right="0"/>
              <w:rPr>
                <w:rFonts w:cs="Calibri"/>
                <w:sz w:val="20"/>
                <w:szCs w:val="20"/>
              </w:rPr>
            </w:pPr>
            <w:r w:rsidRPr="00F06704">
              <w:rPr>
                <w:rFonts w:cs="Calibri"/>
                <w:sz w:val="20"/>
                <w:szCs w:val="20"/>
              </w:rPr>
              <w:t>Bioequivalence †- Single dose</w:t>
            </w:r>
          </w:p>
        </w:tc>
        <w:tc>
          <w:tcPr>
            <w:tcW w:w="1842" w:type="dxa"/>
          </w:tcPr>
          <w:p w14:paraId="14AEF372" w14:textId="77777777" w:rsidR="00B73E06" w:rsidRPr="00F06704" w:rsidRDefault="00B73E06" w:rsidP="00834E4F">
            <w:pPr>
              <w:ind w:left="0" w:right="0"/>
              <w:rPr>
                <w:rFonts w:cs="Calibri"/>
                <w:sz w:val="20"/>
                <w:szCs w:val="20"/>
              </w:rPr>
            </w:pPr>
            <w:r w:rsidRPr="00F06704">
              <w:rPr>
                <w:rFonts w:cs="Calibri"/>
                <w:sz w:val="20"/>
                <w:szCs w:val="20"/>
              </w:rPr>
              <w:t>D0801C0024</w:t>
            </w:r>
          </w:p>
        </w:tc>
      </w:tr>
      <w:tr w:rsidR="00B73E06" w:rsidRPr="00F06704" w14:paraId="6E13EFE4" w14:textId="77777777" w:rsidTr="00834C3C">
        <w:tc>
          <w:tcPr>
            <w:tcW w:w="1809" w:type="dxa"/>
            <w:vMerge/>
          </w:tcPr>
          <w:p w14:paraId="15858338" w14:textId="77777777" w:rsidR="00B73E06" w:rsidRPr="00F06704" w:rsidRDefault="00B73E06" w:rsidP="00834E4F">
            <w:pPr>
              <w:ind w:left="0" w:right="0"/>
              <w:rPr>
                <w:rFonts w:cs="Calibri"/>
                <w:sz w:val="20"/>
                <w:szCs w:val="20"/>
              </w:rPr>
            </w:pPr>
          </w:p>
        </w:tc>
        <w:tc>
          <w:tcPr>
            <w:tcW w:w="4395" w:type="dxa"/>
          </w:tcPr>
          <w:p w14:paraId="3E07A681" w14:textId="77777777" w:rsidR="00B73E06" w:rsidRPr="00F06704" w:rsidRDefault="00B73E06" w:rsidP="00834E4F">
            <w:pPr>
              <w:ind w:left="0" w:right="0"/>
              <w:rPr>
                <w:rFonts w:cs="Calibri"/>
                <w:sz w:val="20"/>
                <w:szCs w:val="20"/>
              </w:rPr>
            </w:pPr>
            <w:r w:rsidRPr="00F06704">
              <w:rPr>
                <w:rFonts w:cs="Calibri"/>
                <w:sz w:val="20"/>
                <w:szCs w:val="20"/>
              </w:rPr>
              <w:t>- Multi-dose</w:t>
            </w:r>
          </w:p>
        </w:tc>
        <w:tc>
          <w:tcPr>
            <w:tcW w:w="1842" w:type="dxa"/>
          </w:tcPr>
          <w:p w14:paraId="468B6E51" w14:textId="77777777" w:rsidR="00B73E06" w:rsidRPr="00F06704" w:rsidRDefault="00B73E06" w:rsidP="00834E4F">
            <w:pPr>
              <w:ind w:left="0" w:right="0"/>
              <w:rPr>
                <w:rFonts w:cs="Calibri"/>
                <w:sz w:val="20"/>
                <w:szCs w:val="20"/>
              </w:rPr>
            </w:pPr>
          </w:p>
        </w:tc>
      </w:tr>
      <w:tr w:rsidR="00B73E06" w:rsidRPr="00F06704" w14:paraId="33FED380" w14:textId="77777777" w:rsidTr="00834C3C">
        <w:tc>
          <w:tcPr>
            <w:tcW w:w="1809" w:type="dxa"/>
            <w:vMerge/>
          </w:tcPr>
          <w:p w14:paraId="0DE6EF33" w14:textId="77777777" w:rsidR="00B73E06" w:rsidRPr="00F06704" w:rsidRDefault="00B73E06" w:rsidP="00834E4F">
            <w:pPr>
              <w:ind w:left="0" w:right="0"/>
              <w:rPr>
                <w:rFonts w:cs="Calibri"/>
                <w:sz w:val="20"/>
                <w:szCs w:val="20"/>
              </w:rPr>
            </w:pPr>
          </w:p>
        </w:tc>
        <w:tc>
          <w:tcPr>
            <w:tcW w:w="4395" w:type="dxa"/>
          </w:tcPr>
          <w:p w14:paraId="6F732442" w14:textId="77777777" w:rsidR="00B73E06" w:rsidRPr="00F06704" w:rsidRDefault="00B73E06" w:rsidP="00834E4F">
            <w:pPr>
              <w:ind w:left="0" w:right="0"/>
              <w:rPr>
                <w:rFonts w:cs="Calibri"/>
                <w:sz w:val="20"/>
                <w:szCs w:val="20"/>
              </w:rPr>
            </w:pPr>
            <w:r w:rsidRPr="00F06704">
              <w:rPr>
                <w:rFonts w:cs="Calibri"/>
                <w:sz w:val="20"/>
                <w:szCs w:val="20"/>
              </w:rPr>
              <w:t>Food effect</w:t>
            </w:r>
          </w:p>
        </w:tc>
        <w:tc>
          <w:tcPr>
            <w:tcW w:w="1842" w:type="dxa"/>
          </w:tcPr>
          <w:p w14:paraId="2F42E2AD" w14:textId="77777777" w:rsidR="00B73E06" w:rsidRPr="00F06704" w:rsidRDefault="00B73E06" w:rsidP="00834E4F">
            <w:pPr>
              <w:ind w:left="0" w:right="0"/>
              <w:rPr>
                <w:rFonts w:cs="Calibri"/>
                <w:sz w:val="20"/>
                <w:szCs w:val="20"/>
              </w:rPr>
            </w:pPr>
            <w:r w:rsidRPr="00F06704">
              <w:rPr>
                <w:rFonts w:cs="Calibri"/>
                <w:sz w:val="20"/>
                <w:szCs w:val="20"/>
              </w:rPr>
              <w:t>D081AC00001</w:t>
            </w:r>
          </w:p>
        </w:tc>
      </w:tr>
      <w:tr w:rsidR="00B73E06" w:rsidRPr="00F06704" w14:paraId="7F3C7D70" w14:textId="77777777" w:rsidTr="00834C3C">
        <w:tc>
          <w:tcPr>
            <w:tcW w:w="1809" w:type="dxa"/>
            <w:vMerge/>
          </w:tcPr>
          <w:p w14:paraId="5204A85F" w14:textId="77777777" w:rsidR="00B73E06" w:rsidRPr="00F06704" w:rsidRDefault="00B73E06" w:rsidP="00834E4F">
            <w:pPr>
              <w:ind w:left="0" w:right="0"/>
              <w:rPr>
                <w:rFonts w:cs="Calibri"/>
                <w:sz w:val="20"/>
                <w:szCs w:val="20"/>
              </w:rPr>
            </w:pPr>
          </w:p>
        </w:tc>
        <w:tc>
          <w:tcPr>
            <w:tcW w:w="4395" w:type="dxa"/>
          </w:tcPr>
          <w:p w14:paraId="17BC1A4F" w14:textId="77777777" w:rsidR="00B73E06" w:rsidRPr="00F06704" w:rsidRDefault="00B73E06" w:rsidP="00834E4F">
            <w:pPr>
              <w:ind w:left="0" w:right="0"/>
              <w:rPr>
                <w:rFonts w:cs="Calibri"/>
                <w:sz w:val="20"/>
                <w:szCs w:val="20"/>
              </w:rPr>
            </w:pPr>
            <w:r w:rsidRPr="00F06704">
              <w:rPr>
                <w:rFonts w:cs="Calibri"/>
                <w:sz w:val="20"/>
                <w:szCs w:val="20"/>
              </w:rPr>
              <w:t>Food effect</w:t>
            </w:r>
          </w:p>
        </w:tc>
        <w:tc>
          <w:tcPr>
            <w:tcW w:w="1842" w:type="dxa"/>
          </w:tcPr>
          <w:p w14:paraId="2649FB5A" w14:textId="77777777" w:rsidR="00B73E06" w:rsidRPr="00F06704" w:rsidRDefault="00B73E06" w:rsidP="00834E4F">
            <w:pPr>
              <w:ind w:left="0" w:right="0"/>
              <w:rPr>
                <w:rFonts w:cs="Calibri"/>
                <w:sz w:val="20"/>
                <w:szCs w:val="20"/>
              </w:rPr>
            </w:pPr>
            <w:r w:rsidRPr="00F06704">
              <w:rPr>
                <w:rFonts w:cs="Calibri"/>
                <w:sz w:val="20"/>
                <w:szCs w:val="20"/>
              </w:rPr>
              <w:t>D0816C00004</w:t>
            </w:r>
          </w:p>
        </w:tc>
      </w:tr>
      <w:tr w:rsidR="00B73E06" w:rsidRPr="00F06704" w14:paraId="38C96A7A" w14:textId="77777777" w:rsidTr="00834C3C">
        <w:tc>
          <w:tcPr>
            <w:tcW w:w="1809" w:type="dxa"/>
            <w:vMerge w:val="restart"/>
          </w:tcPr>
          <w:p w14:paraId="4EA53868" w14:textId="77777777" w:rsidR="00B73E06" w:rsidRPr="00F06704" w:rsidRDefault="00B73E06" w:rsidP="00834E4F">
            <w:pPr>
              <w:ind w:left="0" w:right="0"/>
              <w:rPr>
                <w:rFonts w:cs="Calibri"/>
                <w:sz w:val="20"/>
                <w:szCs w:val="20"/>
              </w:rPr>
            </w:pPr>
            <w:r w:rsidRPr="00F06704">
              <w:rPr>
                <w:rFonts w:cs="Calibri"/>
                <w:sz w:val="20"/>
                <w:szCs w:val="20"/>
              </w:rPr>
              <w:t>PK in special populations</w:t>
            </w:r>
          </w:p>
        </w:tc>
        <w:tc>
          <w:tcPr>
            <w:tcW w:w="4395" w:type="dxa"/>
          </w:tcPr>
          <w:p w14:paraId="3371DE66" w14:textId="77777777" w:rsidR="00B73E06" w:rsidRPr="00F06704" w:rsidRDefault="00B73E06" w:rsidP="00E45CFE">
            <w:pPr>
              <w:ind w:left="0" w:right="0"/>
              <w:rPr>
                <w:rFonts w:cs="Calibri"/>
                <w:sz w:val="20"/>
                <w:szCs w:val="20"/>
              </w:rPr>
            </w:pPr>
            <w:r w:rsidRPr="00F06704">
              <w:rPr>
                <w:rFonts w:cs="Calibri"/>
                <w:sz w:val="20"/>
                <w:szCs w:val="20"/>
              </w:rPr>
              <w:t>Target population §- Single dose</w:t>
            </w:r>
          </w:p>
        </w:tc>
        <w:tc>
          <w:tcPr>
            <w:tcW w:w="1842" w:type="dxa"/>
          </w:tcPr>
          <w:p w14:paraId="326DC91F" w14:textId="77777777" w:rsidR="00B73E06" w:rsidRPr="00F06704" w:rsidRDefault="00B73E06" w:rsidP="00834E4F">
            <w:pPr>
              <w:ind w:left="0" w:right="0"/>
              <w:rPr>
                <w:rFonts w:cs="Calibri"/>
                <w:sz w:val="20"/>
                <w:szCs w:val="20"/>
              </w:rPr>
            </w:pPr>
          </w:p>
        </w:tc>
      </w:tr>
      <w:tr w:rsidR="00B73E06" w:rsidRPr="00F06704" w14:paraId="365FE5E1" w14:textId="77777777" w:rsidTr="00834C3C">
        <w:tc>
          <w:tcPr>
            <w:tcW w:w="1809" w:type="dxa"/>
            <w:vMerge/>
          </w:tcPr>
          <w:p w14:paraId="22069759" w14:textId="77777777" w:rsidR="00B73E06" w:rsidRPr="00F06704" w:rsidRDefault="00B73E06" w:rsidP="00834E4F">
            <w:pPr>
              <w:ind w:left="0" w:right="0"/>
              <w:rPr>
                <w:rFonts w:cs="Calibri"/>
                <w:sz w:val="20"/>
                <w:szCs w:val="20"/>
              </w:rPr>
            </w:pPr>
          </w:p>
        </w:tc>
        <w:tc>
          <w:tcPr>
            <w:tcW w:w="4395" w:type="dxa"/>
          </w:tcPr>
          <w:p w14:paraId="71E900AE" w14:textId="77777777" w:rsidR="00B73E06" w:rsidRPr="00F06704" w:rsidRDefault="00B73E06" w:rsidP="00834E4F">
            <w:pPr>
              <w:ind w:left="0" w:right="0"/>
              <w:rPr>
                <w:rFonts w:cs="Calibri"/>
                <w:sz w:val="20"/>
                <w:szCs w:val="20"/>
              </w:rPr>
            </w:pPr>
            <w:r w:rsidRPr="00F06704">
              <w:rPr>
                <w:rFonts w:cs="Calibri"/>
                <w:sz w:val="20"/>
                <w:szCs w:val="20"/>
              </w:rPr>
              <w:t>- Multi-dose</w:t>
            </w:r>
          </w:p>
        </w:tc>
        <w:tc>
          <w:tcPr>
            <w:tcW w:w="1842" w:type="dxa"/>
          </w:tcPr>
          <w:p w14:paraId="12CBFAC4" w14:textId="77777777" w:rsidR="00B73E06" w:rsidRPr="00F06704" w:rsidRDefault="00B73E06" w:rsidP="00834E4F">
            <w:pPr>
              <w:ind w:left="0" w:right="0"/>
              <w:rPr>
                <w:rFonts w:cs="Calibri"/>
                <w:sz w:val="20"/>
                <w:szCs w:val="20"/>
              </w:rPr>
            </w:pPr>
            <w:r w:rsidRPr="00F06704">
              <w:rPr>
                <w:rFonts w:cs="Calibri"/>
                <w:sz w:val="20"/>
                <w:szCs w:val="20"/>
              </w:rPr>
              <w:t>D0810C00002</w:t>
            </w:r>
          </w:p>
        </w:tc>
      </w:tr>
      <w:tr w:rsidR="00B73E06" w:rsidRPr="00F06704" w14:paraId="406D78A8" w14:textId="77777777" w:rsidTr="00834C3C">
        <w:tc>
          <w:tcPr>
            <w:tcW w:w="1809" w:type="dxa"/>
            <w:vMerge/>
          </w:tcPr>
          <w:p w14:paraId="1802B6D1" w14:textId="77777777" w:rsidR="00B73E06" w:rsidRPr="00F06704" w:rsidRDefault="00B73E06" w:rsidP="00834E4F">
            <w:pPr>
              <w:ind w:left="0" w:right="0"/>
              <w:rPr>
                <w:rFonts w:cs="Calibri"/>
                <w:sz w:val="20"/>
                <w:szCs w:val="20"/>
              </w:rPr>
            </w:pPr>
          </w:p>
        </w:tc>
        <w:tc>
          <w:tcPr>
            <w:tcW w:w="4395" w:type="dxa"/>
          </w:tcPr>
          <w:p w14:paraId="3B2C2DBE" w14:textId="77777777" w:rsidR="00B73E06" w:rsidRPr="00F06704" w:rsidRDefault="00B73E06" w:rsidP="00834E4F">
            <w:pPr>
              <w:ind w:left="0" w:right="0"/>
              <w:rPr>
                <w:rFonts w:cs="Calibri"/>
                <w:sz w:val="20"/>
                <w:szCs w:val="20"/>
              </w:rPr>
            </w:pPr>
            <w:r w:rsidRPr="00F06704">
              <w:rPr>
                <w:rFonts w:cs="Calibri"/>
                <w:sz w:val="20"/>
                <w:szCs w:val="20"/>
              </w:rPr>
              <w:t>Hepatic impairment</w:t>
            </w:r>
          </w:p>
        </w:tc>
        <w:tc>
          <w:tcPr>
            <w:tcW w:w="1842" w:type="dxa"/>
          </w:tcPr>
          <w:p w14:paraId="28E3A63F" w14:textId="77777777" w:rsidR="00B73E06" w:rsidRPr="00F06704" w:rsidRDefault="00B73E06" w:rsidP="00834E4F">
            <w:pPr>
              <w:ind w:left="0" w:right="0"/>
              <w:rPr>
                <w:rFonts w:cs="Calibri"/>
                <w:sz w:val="20"/>
                <w:szCs w:val="20"/>
              </w:rPr>
            </w:pPr>
            <w:r w:rsidRPr="00F06704">
              <w:rPr>
                <w:rFonts w:cs="Calibri"/>
                <w:sz w:val="20"/>
                <w:szCs w:val="20"/>
              </w:rPr>
              <w:t>D0816C00005</w:t>
            </w:r>
          </w:p>
        </w:tc>
      </w:tr>
      <w:tr w:rsidR="00B73E06" w:rsidRPr="00F06704" w14:paraId="2198C29F" w14:textId="77777777" w:rsidTr="00834C3C">
        <w:tc>
          <w:tcPr>
            <w:tcW w:w="1809" w:type="dxa"/>
            <w:vMerge/>
          </w:tcPr>
          <w:p w14:paraId="42BAA098" w14:textId="77777777" w:rsidR="00B73E06" w:rsidRPr="00F06704" w:rsidRDefault="00B73E06" w:rsidP="00834E4F">
            <w:pPr>
              <w:ind w:left="0" w:right="0"/>
              <w:rPr>
                <w:rFonts w:cs="Calibri"/>
                <w:sz w:val="20"/>
                <w:szCs w:val="20"/>
              </w:rPr>
            </w:pPr>
          </w:p>
        </w:tc>
        <w:tc>
          <w:tcPr>
            <w:tcW w:w="4395" w:type="dxa"/>
          </w:tcPr>
          <w:p w14:paraId="0CAFBFB6" w14:textId="77777777" w:rsidR="00B73E06" w:rsidRPr="00F06704" w:rsidRDefault="00B73E06" w:rsidP="00834E4F">
            <w:pPr>
              <w:ind w:left="0" w:right="0"/>
              <w:rPr>
                <w:rFonts w:cs="Calibri"/>
                <w:sz w:val="20"/>
                <w:szCs w:val="20"/>
              </w:rPr>
            </w:pPr>
            <w:r w:rsidRPr="00F06704">
              <w:rPr>
                <w:rFonts w:cs="Calibri"/>
                <w:sz w:val="20"/>
                <w:szCs w:val="20"/>
              </w:rPr>
              <w:t>Renal impairment</w:t>
            </w:r>
          </w:p>
        </w:tc>
        <w:tc>
          <w:tcPr>
            <w:tcW w:w="1842" w:type="dxa"/>
          </w:tcPr>
          <w:p w14:paraId="4D5A7073" w14:textId="77777777" w:rsidR="00B73E06" w:rsidRPr="00F06704" w:rsidRDefault="00B73E06" w:rsidP="00834E4F">
            <w:pPr>
              <w:ind w:left="0" w:right="0"/>
              <w:rPr>
                <w:rFonts w:cs="Calibri"/>
                <w:sz w:val="20"/>
                <w:szCs w:val="20"/>
              </w:rPr>
            </w:pPr>
            <w:r w:rsidRPr="00F06704">
              <w:rPr>
                <w:rFonts w:cs="Calibri"/>
                <w:sz w:val="20"/>
                <w:szCs w:val="20"/>
              </w:rPr>
              <w:t>D0816C00006</w:t>
            </w:r>
          </w:p>
        </w:tc>
      </w:tr>
      <w:tr w:rsidR="00B73E06" w:rsidRPr="00F06704" w14:paraId="4F316FCD" w14:textId="77777777" w:rsidTr="00834C3C">
        <w:tc>
          <w:tcPr>
            <w:tcW w:w="1809" w:type="dxa"/>
            <w:vMerge/>
          </w:tcPr>
          <w:p w14:paraId="7C6F153D" w14:textId="77777777" w:rsidR="00B73E06" w:rsidRPr="00F06704" w:rsidRDefault="00B73E06" w:rsidP="00834E4F">
            <w:pPr>
              <w:ind w:left="0" w:right="0"/>
              <w:rPr>
                <w:rFonts w:cs="Calibri"/>
                <w:sz w:val="20"/>
                <w:szCs w:val="20"/>
              </w:rPr>
            </w:pPr>
          </w:p>
        </w:tc>
        <w:tc>
          <w:tcPr>
            <w:tcW w:w="4395" w:type="dxa"/>
          </w:tcPr>
          <w:p w14:paraId="4C8ED04D" w14:textId="77777777" w:rsidR="00B73E06" w:rsidRPr="00F06704" w:rsidRDefault="00B73E06" w:rsidP="00834E4F">
            <w:pPr>
              <w:ind w:left="0" w:right="0"/>
              <w:rPr>
                <w:rFonts w:cs="Calibri"/>
                <w:sz w:val="20"/>
                <w:szCs w:val="20"/>
              </w:rPr>
            </w:pPr>
            <w:r w:rsidRPr="00F06704">
              <w:rPr>
                <w:rFonts w:cs="Calibri"/>
                <w:sz w:val="20"/>
                <w:szCs w:val="20"/>
              </w:rPr>
              <w:t>Japanese patients (capsule formulation)</w:t>
            </w:r>
          </w:p>
        </w:tc>
        <w:tc>
          <w:tcPr>
            <w:tcW w:w="1842" w:type="dxa"/>
          </w:tcPr>
          <w:p w14:paraId="1DD9FFA7" w14:textId="77777777" w:rsidR="00B73E06" w:rsidRPr="00F06704" w:rsidRDefault="00B73E06" w:rsidP="00834E4F">
            <w:pPr>
              <w:ind w:left="0" w:right="0"/>
              <w:rPr>
                <w:rFonts w:cs="Calibri"/>
                <w:sz w:val="20"/>
                <w:szCs w:val="20"/>
              </w:rPr>
            </w:pPr>
            <w:r w:rsidRPr="00F06704">
              <w:rPr>
                <w:rFonts w:cs="Calibri"/>
                <w:sz w:val="20"/>
                <w:szCs w:val="20"/>
              </w:rPr>
              <w:t>D0810C00001</w:t>
            </w:r>
          </w:p>
        </w:tc>
      </w:tr>
      <w:tr w:rsidR="00B73E06" w:rsidRPr="00F06704" w14:paraId="45ACB7DC" w14:textId="77777777" w:rsidTr="00834C3C">
        <w:tc>
          <w:tcPr>
            <w:tcW w:w="1809" w:type="dxa"/>
            <w:vMerge/>
          </w:tcPr>
          <w:p w14:paraId="369AE5E9" w14:textId="77777777" w:rsidR="00B73E06" w:rsidRPr="00F06704" w:rsidRDefault="00B73E06" w:rsidP="00834E4F">
            <w:pPr>
              <w:ind w:left="0" w:right="0"/>
              <w:rPr>
                <w:rFonts w:cs="Calibri"/>
                <w:sz w:val="20"/>
                <w:szCs w:val="20"/>
              </w:rPr>
            </w:pPr>
          </w:p>
        </w:tc>
        <w:tc>
          <w:tcPr>
            <w:tcW w:w="4395" w:type="dxa"/>
          </w:tcPr>
          <w:p w14:paraId="6F72FEB2" w14:textId="77777777" w:rsidR="00B73E06" w:rsidRPr="00F06704" w:rsidRDefault="00B73E06" w:rsidP="00834E4F">
            <w:pPr>
              <w:ind w:left="0" w:right="0"/>
              <w:rPr>
                <w:rFonts w:cs="Calibri"/>
                <w:sz w:val="20"/>
                <w:szCs w:val="20"/>
              </w:rPr>
            </w:pPr>
            <w:r w:rsidRPr="00F06704">
              <w:rPr>
                <w:rFonts w:cs="Calibri"/>
                <w:sz w:val="20"/>
                <w:szCs w:val="20"/>
              </w:rPr>
              <w:t>Japanese patients (tablet formulation)</w:t>
            </w:r>
          </w:p>
        </w:tc>
        <w:tc>
          <w:tcPr>
            <w:tcW w:w="1842" w:type="dxa"/>
          </w:tcPr>
          <w:p w14:paraId="29A1F7D0" w14:textId="77777777" w:rsidR="00B73E06" w:rsidRPr="00F06704" w:rsidRDefault="00B73E06" w:rsidP="00834E4F">
            <w:pPr>
              <w:ind w:left="0" w:right="0"/>
              <w:rPr>
                <w:rFonts w:cs="Calibri"/>
                <w:sz w:val="20"/>
                <w:szCs w:val="20"/>
              </w:rPr>
            </w:pPr>
            <w:r w:rsidRPr="00F06704">
              <w:rPr>
                <w:rFonts w:cs="Calibri"/>
                <w:sz w:val="20"/>
                <w:szCs w:val="20"/>
              </w:rPr>
              <w:t>D081BC00001</w:t>
            </w:r>
          </w:p>
        </w:tc>
      </w:tr>
      <w:tr w:rsidR="00B73E06" w:rsidRPr="00F06704" w14:paraId="7886EBB8" w14:textId="77777777" w:rsidTr="00834C3C">
        <w:tc>
          <w:tcPr>
            <w:tcW w:w="1809" w:type="dxa"/>
            <w:vMerge w:val="restart"/>
          </w:tcPr>
          <w:p w14:paraId="0E164FD6" w14:textId="77777777" w:rsidR="00B73E06" w:rsidRPr="00F06704" w:rsidRDefault="00B73E06" w:rsidP="00834E4F">
            <w:pPr>
              <w:ind w:left="0" w:right="0"/>
              <w:rPr>
                <w:rFonts w:cs="Calibri"/>
                <w:sz w:val="20"/>
                <w:szCs w:val="20"/>
              </w:rPr>
            </w:pPr>
            <w:r w:rsidRPr="00F06704">
              <w:rPr>
                <w:rFonts w:cs="Calibri"/>
                <w:sz w:val="20"/>
                <w:szCs w:val="20"/>
              </w:rPr>
              <w:t>PK interactions</w:t>
            </w:r>
          </w:p>
        </w:tc>
        <w:tc>
          <w:tcPr>
            <w:tcW w:w="4395" w:type="dxa"/>
          </w:tcPr>
          <w:p w14:paraId="09018137" w14:textId="77777777" w:rsidR="00B73E06" w:rsidRPr="00F06704" w:rsidRDefault="00B73E06" w:rsidP="00834E4F">
            <w:pPr>
              <w:ind w:left="0" w:right="0"/>
              <w:rPr>
                <w:rFonts w:cs="Calibri"/>
                <w:sz w:val="20"/>
                <w:szCs w:val="20"/>
              </w:rPr>
            </w:pPr>
            <w:r w:rsidRPr="00F06704">
              <w:rPr>
                <w:rFonts w:cs="Calibri"/>
                <w:sz w:val="20"/>
                <w:szCs w:val="20"/>
              </w:rPr>
              <w:t>Drug anastrozole, letrozole tamoxifen</w:t>
            </w:r>
          </w:p>
        </w:tc>
        <w:tc>
          <w:tcPr>
            <w:tcW w:w="1842" w:type="dxa"/>
          </w:tcPr>
          <w:p w14:paraId="19C6BE80" w14:textId="77777777" w:rsidR="00B73E06" w:rsidRPr="00F06704" w:rsidRDefault="00B73E06" w:rsidP="00834E4F">
            <w:pPr>
              <w:ind w:left="0" w:right="0"/>
              <w:rPr>
                <w:rFonts w:cs="Calibri"/>
                <w:sz w:val="20"/>
                <w:szCs w:val="20"/>
              </w:rPr>
            </w:pPr>
            <w:r w:rsidRPr="00F06704">
              <w:rPr>
                <w:rFonts w:cs="Calibri"/>
                <w:sz w:val="20"/>
                <w:szCs w:val="20"/>
              </w:rPr>
              <w:t>D081CC00001</w:t>
            </w:r>
          </w:p>
        </w:tc>
      </w:tr>
      <w:tr w:rsidR="00B73E06" w:rsidRPr="00F06704" w14:paraId="057A3820" w14:textId="77777777" w:rsidTr="00834C3C">
        <w:tc>
          <w:tcPr>
            <w:tcW w:w="1809" w:type="dxa"/>
            <w:vMerge/>
          </w:tcPr>
          <w:p w14:paraId="6B0DED06" w14:textId="77777777" w:rsidR="00B73E06" w:rsidRPr="00F06704" w:rsidRDefault="00B73E06" w:rsidP="00834E4F">
            <w:pPr>
              <w:ind w:left="0" w:right="0"/>
              <w:rPr>
                <w:rFonts w:cs="Calibri"/>
                <w:sz w:val="20"/>
                <w:szCs w:val="20"/>
              </w:rPr>
            </w:pPr>
          </w:p>
        </w:tc>
        <w:tc>
          <w:tcPr>
            <w:tcW w:w="4395" w:type="dxa"/>
          </w:tcPr>
          <w:p w14:paraId="104AF0B3" w14:textId="77777777" w:rsidR="00B73E06" w:rsidRPr="00F06704" w:rsidRDefault="00B73E06" w:rsidP="00834E4F">
            <w:pPr>
              <w:ind w:left="0" w:right="0"/>
              <w:rPr>
                <w:rFonts w:cs="Calibri"/>
                <w:sz w:val="20"/>
                <w:szCs w:val="20"/>
              </w:rPr>
            </w:pPr>
            <w:r w:rsidRPr="00F06704">
              <w:rPr>
                <w:rFonts w:cs="Calibri"/>
                <w:sz w:val="20"/>
                <w:szCs w:val="20"/>
              </w:rPr>
              <w:t>Drug itraconazole</w:t>
            </w:r>
          </w:p>
        </w:tc>
        <w:tc>
          <w:tcPr>
            <w:tcW w:w="1842" w:type="dxa"/>
          </w:tcPr>
          <w:p w14:paraId="2600BDB3" w14:textId="77777777" w:rsidR="00B73E06" w:rsidRPr="00F06704" w:rsidRDefault="00B73E06" w:rsidP="00834E4F">
            <w:pPr>
              <w:ind w:left="0" w:right="0"/>
              <w:rPr>
                <w:rFonts w:cs="Calibri"/>
                <w:sz w:val="20"/>
                <w:szCs w:val="20"/>
              </w:rPr>
            </w:pPr>
            <w:r w:rsidRPr="00F06704">
              <w:rPr>
                <w:rFonts w:cs="Calibri"/>
                <w:sz w:val="20"/>
                <w:szCs w:val="20"/>
              </w:rPr>
              <w:t>D0816C00007</w:t>
            </w:r>
          </w:p>
        </w:tc>
      </w:tr>
      <w:tr w:rsidR="00B73E06" w:rsidRPr="00F06704" w14:paraId="0512BD74" w14:textId="77777777" w:rsidTr="00834C3C">
        <w:tc>
          <w:tcPr>
            <w:tcW w:w="1809" w:type="dxa"/>
            <w:vMerge/>
          </w:tcPr>
          <w:p w14:paraId="3CC7CAAA" w14:textId="77777777" w:rsidR="00B73E06" w:rsidRPr="00F06704" w:rsidRDefault="00B73E06" w:rsidP="00834E4F">
            <w:pPr>
              <w:ind w:left="0" w:right="0"/>
              <w:rPr>
                <w:rFonts w:cs="Calibri"/>
                <w:sz w:val="20"/>
                <w:szCs w:val="20"/>
              </w:rPr>
            </w:pPr>
          </w:p>
        </w:tc>
        <w:tc>
          <w:tcPr>
            <w:tcW w:w="4395" w:type="dxa"/>
          </w:tcPr>
          <w:p w14:paraId="57B6A796" w14:textId="77777777" w:rsidR="00B73E06" w:rsidRPr="00F06704" w:rsidRDefault="00B73E06" w:rsidP="00834E4F">
            <w:pPr>
              <w:ind w:left="0" w:right="0"/>
              <w:rPr>
                <w:rFonts w:cs="Calibri"/>
                <w:sz w:val="20"/>
                <w:szCs w:val="20"/>
              </w:rPr>
            </w:pPr>
            <w:r w:rsidRPr="00F06704">
              <w:rPr>
                <w:rFonts w:cs="Calibri"/>
                <w:sz w:val="20"/>
                <w:szCs w:val="20"/>
              </w:rPr>
              <w:t>Drug rifampicin</w:t>
            </w:r>
          </w:p>
        </w:tc>
        <w:tc>
          <w:tcPr>
            <w:tcW w:w="1842" w:type="dxa"/>
          </w:tcPr>
          <w:p w14:paraId="1547F871" w14:textId="77777777" w:rsidR="00B73E06" w:rsidRPr="00F06704" w:rsidRDefault="00B73E06" w:rsidP="00834E4F">
            <w:pPr>
              <w:ind w:left="0" w:right="0"/>
              <w:rPr>
                <w:rFonts w:cs="Calibri"/>
                <w:sz w:val="20"/>
                <w:szCs w:val="20"/>
              </w:rPr>
            </w:pPr>
            <w:r w:rsidRPr="00F06704">
              <w:rPr>
                <w:rFonts w:cs="Calibri"/>
                <w:sz w:val="20"/>
                <w:szCs w:val="20"/>
              </w:rPr>
              <w:t>D0816C00008</w:t>
            </w:r>
          </w:p>
        </w:tc>
      </w:tr>
      <w:tr w:rsidR="00B73E06" w:rsidRPr="00F06704" w14:paraId="0C8BB74F" w14:textId="77777777" w:rsidTr="00834C3C">
        <w:tc>
          <w:tcPr>
            <w:tcW w:w="1809" w:type="dxa"/>
            <w:vMerge w:val="restart"/>
          </w:tcPr>
          <w:p w14:paraId="3AFAB9AC" w14:textId="77777777" w:rsidR="00B73E06" w:rsidRPr="00F06704" w:rsidRDefault="00B73E06" w:rsidP="00834E4F">
            <w:pPr>
              <w:ind w:left="0" w:right="0"/>
              <w:rPr>
                <w:rFonts w:cs="Calibri"/>
                <w:sz w:val="20"/>
                <w:szCs w:val="20"/>
              </w:rPr>
            </w:pPr>
            <w:r w:rsidRPr="00F06704">
              <w:rPr>
                <w:rFonts w:cs="Calibri"/>
                <w:sz w:val="20"/>
                <w:szCs w:val="20"/>
              </w:rPr>
              <w:t>Population PK analyses</w:t>
            </w:r>
          </w:p>
        </w:tc>
        <w:tc>
          <w:tcPr>
            <w:tcW w:w="4395" w:type="dxa"/>
          </w:tcPr>
          <w:p w14:paraId="3FB1CD9B" w14:textId="77777777" w:rsidR="00B73E06" w:rsidRPr="00F06704" w:rsidRDefault="00B73E06" w:rsidP="00834E4F">
            <w:pPr>
              <w:ind w:left="0" w:right="0"/>
              <w:rPr>
                <w:rFonts w:cs="Calibri"/>
                <w:sz w:val="20"/>
                <w:szCs w:val="20"/>
              </w:rPr>
            </w:pPr>
            <w:r w:rsidRPr="00F06704">
              <w:rPr>
                <w:rFonts w:cs="Calibri"/>
                <w:sz w:val="20"/>
                <w:szCs w:val="20"/>
              </w:rPr>
              <w:t>Target population</w:t>
            </w:r>
          </w:p>
        </w:tc>
        <w:tc>
          <w:tcPr>
            <w:tcW w:w="1842" w:type="dxa"/>
          </w:tcPr>
          <w:p w14:paraId="23299026" w14:textId="77777777" w:rsidR="00B73E06" w:rsidRPr="00F06704" w:rsidRDefault="00B73E06" w:rsidP="00834E4F">
            <w:pPr>
              <w:ind w:left="0" w:right="0"/>
              <w:rPr>
                <w:rFonts w:cs="Calibri"/>
                <w:sz w:val="20"/>
                <w:szCs w:val="20"/>
              </w:rPr>
            </w:pPr>
            <w:r w:rsidRPr="00F06704">
              <w:rPr>
                <w:rFonts w:cs="Calibri"/>
                <w:sz w:val="20"/>
                <w:szCs w:val="20"/>
              </w:rPr>
              <w:t>MS-02</w:t>
            </w:r>
          </w:p>
        </w:tc>
      </w:tr>
      <w:tr w:rsidR="00B73E06" w:rsidRPr="00F06704" w14:paraId="5449FD71" w14:textId="77777777" w:rsidTr="00834C3C">
        <w:tc>
          <w:tcPr>
            <w:tcW w:w="1809" w:type="dxa"/>
            <w:vMerge/>
          </w:tcPr>
          <w:p w14:paraId="6703F956" w14:textId="77777777" w:rsidR="00B73E06" w:rsidRPr="00F06704" w:rsidRDefault="00B73E06" w:rsidP="00834E4F">
            <w:pPr>
              <w:ind w:left="0" w:right="0"/>
              <w:rPr>
                <w:rFonts w:cs="Calibri"/>
                <w:sz w:val="20"/>
                <w:szCs w:val="20"/>
              </w:rPr>
            </w:pPr>
          </w:p>
        </w:tc>
        <w:tc>
          <w:tcPr>
            <w:tcW w:w="4395" w:type="dxa"/>
          </w:tcPr>
          <w:p w14:paraId="1E813575" w14:textId="77777777" w:rsidR="00B73E06" w:rsidRPr="00F06704" w:rsidRDefault="00B73E06" w:rsidP="00834E4F">
            <w:pPr>
              <w:ind w:left="0" w:right="0"/>
              <w:rPr>
                <w:rFonts w:cs="Calibri"/>
                <w:sz w:val="20"/>
                <w:szCs w:val="20"/>
              </w:rPr>
            </w:pPr>
            <w:r w:rsidRPr="00F06704">
              <w:rPr>
                <w:rFonts w:cs="Calibri"/>
                <w:sz w:val="20"/>
                <w:szCs w:val="20"/>
              </w:rPr>
              <w:t>Target population</w:t>
            </w:r>
          </w:p>
        </w:tc>
        <w:tc>
          <w:tcPr>
            <w:tcW w:w="1842" w:type="dxa"/>
          </w:tcPr>
          <w:p w14:paraId="5DEC7B7B" w14:textId="77777777" w:rsidR="00B73E06" w:rsidRPr="00F06704" w:rsidRDefault="00B73E06" w:rsidP="00834E4F">
            <w:pPr>
              <w:ind w:left="0" w:right="0"/>
              <w:rPr>
                <w:rFonts w:cs="Calibri"/>
                <w:sz w:val="20"/>
                <w:szCs w:val="20"/>
              </w:rPr>
            </w:pPr>
            <w:r w:rsidRPr="00F06704">
              <w:rPr>
                <w:rFonts w:cs="Calibri"/>
                <w:sz w:val="20"/>
                <w:szCs w:val="20"/>
              </w:rPr>
              <w:t>MS-03</w:t>
            </w:r>
          </w:p>
        </w:tc>
      </w:tr>
    </w:tbl>
    <w:p w14:paraId="358CB723" w14:textId="77777777" w:rsidR="00B73E06" w:rsidRPr="00ED4476" w:rsidRDefault="00B73E06" w:rsidP="00B73E06">
      <w:pPr>
        <w:pStyle w:val="TableDescription"/>
      </w:pPr>
      <w:r w:rsidRPr="00ED4476">
        <w:t>† Bioequivalence of different formulations</w:t>
      </w:r>
      <w:r w:rsidR="003C2823">
        <w:t xml:space="preserve">. </w:t>
      </w:r>
      <w:r w:rsidRPr="00ED4476">
        <w:t>§ Subjects who would be eligible to receive the drug if approved for the proposed indication.</w:t>
      </w:r>
      <w:bookmarkStart w:id="75" w:name="_Toc453839420"/>
    </w:p>
    <w:p w14:paraId="725A8072" w14:textId="77777777" w:rsidR="00500337" w:rsidRPr="00500337" w:rsidRDefault="00B73E06" w:rsidP="00500337">
      <w:r w:rsidRPr="007B78A0">
        <w:t xml:space="preserve">No </w:t>
      </w:r>
      <w:r>
        <w:t>PK</w:t>
      </w:r>
      <w:r w:rsidRPr="007B78A0">
        <w:t xml:space="preserve"> results were excluded from consideration.</w:t>
      </w:r>
      <w:bookmarkEnd w:id="75"/>
    </w:p>
    <w:p w14:paraId="14FE813D" w14:textId="77777777" w:rsidR="00605AD4" w:rsidRDefault="00605AD4" w:rsidP="00605AD4">
      <w:pPr>
        <w:pStyle w:val="Heading4"/>
      </w:pPr>
      <w:r>
        <w:t>Evaluator’s conclusions on pharmacokinetics</w:t>
      </w:r>
    </w:p>
    <w:p w14:paraId="02B0C353" w14:textId="77777777" w:rsidR="00CA1EAE" w:rsidRDefault="00B73E06" w:rsidP="00B73E06">
      <w:pPr>
        <w:rPr>
          <w:lang w:eastAsia="ja-JP"/>
        </w:rPr>
      </w:pPr>
      <w:r>
        <w:rPr>
          <w:lang w:eastAsia="ja-JP"/>
        </w:rPr>
        <w:t>The sponsor has provided a reasonably comprehensive set of studies on the PK of olaparib, for the most part conducted in patients for whom the drug is intended to be used. These studies have adequately addressed the main PK issues to inform the clinical use of the medication</w:t>
      </w:r>
      <w:r w:rsidR="00CA1EAE">
        <w:rPr>
          <w:lang w:eastAsia="ja-JP"/>
        </w:rPr>
        <w:t>.</w:t>
      </w:r>
    </w:p>
    <w:p w14:paraId="5242098A" w14:textId="77777777" w:rsidR="00CA1EAE" w:rsidRDefault="00B73E06" w:rsidP="00B73E06">
      <w:pPr>
        <w:rPr>
          <w:lang w:eastAsia="ja-JP"/>
        </w:rPr>
      </w:pPr>
      <w:r>
        <w:rPr>
          <w:lang w:eastAsia="ja-JP"/>
        </w:rPr>
        <w:lastRenderedPageBreak/>
        <w:t xml:space="preserve">Most studies have used an appropriate design and were powered to meet </w:t>
      </w:r>
      <w:r w:rsidRPr="00D2236B">
        <w:rPr>
          <w:lang w:eastAsia="ja-JP"/>
        </w:rPr>
        <w:t>a priori</w:t>
      </w:r>
      <w:r>
        <w:rPr>
          <w:lang w:eastAsia="ja-JP"/>
        </w:rPr>
        <w:t xml:space="preserve"> objectives. In particular, the bioequivalence of the tablet formulation and the capsule formulation has been investigated with the tablet providing higher bioavailability than the capsule</w:t>
      </w:r>
      <w:r w:rsidR="00CA1EAE">
        <w:rPr>
          <w:lang w:eastAsia="ja-JP"/>
        </w:rPr>
        <w:t>.</w:t>
      </w:r>
    </w:p>
    <w:p w14:paraId="4A74CA6D" w14:textId="77777777" w:rsidR="00CA1EAE" w:rsidRDefault="00B73E06" w:rsidP="00B73E06">
      <w:pPr>
        <w:rPr>
          <w:lang w:eastAsia="ja-JP"/>
        </w:rPr>
      </w:pPr>
      <w:r>
        <w:rPr>
          <w:lang w:eastAsia="ja-JP"/>
        </w:rPr>
        <w:t xml:space="preserve">Some aspects of the </w:t>
      </w:r>
      <w:r w:rsidR="000A0DC3">
        <w:rPr>
          <w:lang w:eastAsia="ja-JP"/>
        </w:rPr>
        <w:t>DDI</w:t>
      </w:r>
      <w:r>
        <w:rPr>
          <w:lang w:eastAsia="ja-JP"/>
        </w:rPr>
        <w:t xml:space="preserve"> profile</w:t>
      </w:r>
      <w:r w:rsidRPr="00A60BF8">
        <w:rPr>
          <w:lang w:eastAsia="ja-JP"/>
        </w:rPr>
        <w:t xml:space="preserve"> </w:t>
      </w:r>
      <w:r>
        <w:rPr>
          <w:lang w:eastAsia="ja-JP"/>
        </w:rPr>
        <w:t xml:space="preserve">of olaparib, in particular the potential for interactions with transporter molecules, have been derived from model studies rather than </w:t>
      </w:r>
      <w:r w:rsidRPr="008215B3">
        <w:rPr>
          <w:i/>
          <w:lang w:eastAsia="ja-JP"/>
        </w:rPr>
        <w:t>in vivo</w:t>
      </w:r>
      <w:r>
        <w:rPr>
          <w:lang w:eastAsia="ja-JP"/>
        </w:rPr>
        <w:t xml:space="preserve"> studies in patients. The sponsors have made an adequate case that these model studies satisfactorily represent the outcome of any likely </w:t>
      </w:r>
      <w:r w:rsidRPr="008215B3">
        <w:rPr>
          <w:i/>
          <w:lang w:eastAsia="ja-JP"/>
        </w:rPr>
        <w:t>in vivo</w:t>
      </w:r>
      <w:r>
        <w:rPr>
          <w:lang w:eastAsia="ja-JP"/>
        </w:rPr>
        <w:t xml:space="preserve"> situations. Studies in renal and hepatic impairment can be considered as partial information as some cohorts usually included (for example severe renal impairment, Child-Pugh Class B) have not been examined. Consequently, dosing in such patients, based on potential PK effects should be conservative and has been adequately addressed in the proposed PI</w:t>
      </w:r>
      <w:r w:rsidR="00CA1EAE">
        <w:rPr>
          <w:lang w:eastAsia="ja-JP"/>
        </w:rPr>
        <w:t>.</w:t>
      </w:r>
    </w:p>
    <w:p w14:paraId="7D869987" w14:textId="77777777" w:rsidR="00CA1EAE" w:rsidRDefault="00B73E06" w:rsidP="00B73E06">
      <w:pPr>
        <w:rPr>
          <w:lang w:eastAsia="ja-JP"/>
        </w:rPr>
      </w:pPr>
      <w:r>
        <w:rPr>
          <w:lang w:eastAsia="ja-JP"/>
        </w:rPr>
        <w:t xml:space="preserve">As all of the PK data presented </w:t>
      </w:r>
      <w:r w:rsidR="002D1E88">
        <w:rPr>
          <w:lang w:eastAsia="ja-JP"/>
        </w:rPr>
        <w:t>in the clinical dossier</w:t>
      </w:r>
      <w:r>
        <w:rPr>
          <w:lang w:eastAsia="ja-JP"/>
        </w:rPr>
        <w:t>, for the most part, conducted in the intended patient population, the difficulty of finding sufficient n</w:t>
      </w:r>
      <w:r w:rsidR="00F960D8">
        <w:rPr>
          <w:lang w:eastAsia="ja-JP"/>
        </w:rPr>
        <w:t>umbers of patients with such co </w:t>
      </w:r>
      <w:r>
        <w:rPr>
          <w:lang w:eastAsia="ja-JP"/>
        </w:rPr>
        <w:t>morbidities probably explains this lack of clinical data</w:t>
      </w:r>
      <w:r w:rsidR="00CA1EAE">
        <w:rPr>
          <w:lang w:eastAsia="ja-JP"/>
        </w:rPr>
        <w:t>.</w:t>
      </w:r>
    </w:p>
    <w:p w14:paraId="2FBCB965" w14:textId="77777777" w:rsidR="00500337" w:rsidRDefault="00B73E06" w:rsidP="00500337">
      <w:pPr>
        <w:rPr>
          <w:lang w:eastAsia="ja-JP"/>
        </w:rPr>
      </w:pPr>
      <w:r>
        <w:rPr>
          <w:lang w:eastAsia="ja-JP"/>
        </w:rPr>
        <w:t xml:space="preserve">The PK data in the PI and </w:t>
      </w:r>
      <w:r w:rsidR="006A2E98">
        <w:rPr>
          <w:lang w:eastAsia="ja-JP"/>
        </w:rPr>
        <w:t>Consumer Medicines Information (</w:t>
      </w:r>
      <w:r>
        <w:rPr>
          <w:lang w:eastAsia="ja-JP"/>
        </w:rPr>
        <w:t>CMI</w:t>
      </w:r>
      <w:r w:rsidR="006A2E98">
        <w:rPr>
          <w:lang w:eastAsia="ja-JP"/>
        </w:rPr>
        <w:t>)</w:t>
      </w:r>
      <w:r>
        <w:rPr>
          <w:lang w:eastAsia="ja-JP"/>
        </w:rPr>
        <w:t xml:space="preserve"> adequately reflect the findings of the studies presented in the applications</w:t>
      </w:r>
      <w:r w:rsidR="00F960D8">
        <w:rPr>
          <w:lang w:eastAsia="ja-JP"/>
        </w:rPr>
        <w:t>.</w:t>
      </w:r>
    </w:p>
    <w:p w14:paraId="76211A26" w14:textId="77777777" w:rsidR="00445430" w:rsidRDefault="00445430" w:rsidP="00445430">
      <w:pPr>
        <w:pStyle w:val="Heading4"/>
        <w:rPr>
          <w:lang w:eastAsia="ja-JP"/>
        </w:rPr>
      </w:pPr>
      <w:r>
        <w:rPr>
          <w:lang w:eastAsia="ja-JP"/>
        </w:rPr>
        <w:t>Population PK</w:t>
      </w:r>
    </w:p>
    <w:p w14:paraId="6EF5286D" w14:textId="77777777" w:rsidR="00595EDD" w:rsidRDefault="00595EDD" w:rsidP="00595EDD">
      <w:pPr>
        <w:pStyle w:val="Heading5"/>
      </w:pPr>
      <w:r>
        <w:t xml:space="preserve">Rationale for </w:t>
      </w:r>
      <w:r w:rsidR="009973A2">
        <w:t>the</w:t>
      </w:r>
      <w:r>
        <w:t xml:space="preserve"> evaluation</w:t>
      </w:r>
    </w:p>
    <w:p w14:paraId="4E1CCAEB" w14:textId="77777777" w:rsidR="002D1E88" w:rsidRDefault="002D1E88" w:rsidP="002D1E88">
      <w:r>
        <w:t xml:space="preserve">Previously, </w:t>
      </w:r>
      <w:r w:rsidR="009973A2">
        <w:t>the sponsor</w:t>
      </w:r>
      <w:r>
        <w:t xml:space="preserve"> received marketing approval in Australia for the use of olaparib capsules (400 mg BID) as monotherapy for the maintenance treatment </w:t>
      </w:r>
      <w:r w:rsidR="006A2E98">
        <w:t xml:space="preserve">of adult patients with platinum </w:t>
      </w:r>
      <w:r>
        <w:t>sensitive relapsed BRCA mutated ovarian cancer (including fallopian tube or primary peritoneal) who are in complete or partial response to platinum based chemotherapy. In this extension application, the sponsor is seeking to register the olaparib tablet formulation (300 mg</w:t>
      </w:r>
      <w:r w:rsidRPr="002D1E88">
        <w:t xml:space="preserve"> </w:t>
      </w:r>
      <w:r>
        <w:t>BID) as monotherapy for the maintenance treatment of adult patients with p</w:t>
      </w:r>
      <w:r w:rsidR="00E00D98">
        <w:t xml:space="preserve">latinum sensitive relapsed high </w:t>
      </w:r>
      <w:r>
        <w:t xml:space="preserve">grade epithelial ovarian, fallopian tube or primary peritoneal cancer who are </w:t>
      </w:r>
      <w:r w:rsidR="00E00D98">
        <w:t xml:space="preserve">completely or partially responsive to platinum </w:t>
      </w:r>
      <w:r>
        <w:t>based chemotherapy.</w:t>
      </w:r>
    </w:p>
    <w:p w14:paraId="41A173CF" w14:textId="774613F3" w:rsidR="00445430" w:rsidRDefault="0064340F" w:rsidP="002D1E88">
      <w:r>
        <w:t>The evaluation</w:t>
      </w:r>
      <w:r w:rsidR="002D1E88">
        <w:t xml:space="preserve"> reviews two reports of the population PK and </w:t>
      </w:r>
      <w:r w:rsidR="00E00D98">
        <w:t>Exposure-Response (</w:t>
      </w:r>
      <w:r w:rsidR="002D1E88">
        <w:t>E-R</w:t>
      </w:r>
      <w:r w:rsidR="00E00D98">
        <w:t>)</w:t>
      </w:r>
      <w:r w:rsidR="002D1E88">
        <w:t xml:space="preserve"> for olaparib. One report is entitled </w:t>
      </w:r>
      <w:r w:rsidR="00A46C84">
        <w:t>‘</w:t>
      </w:r>
      <w:r w:rsidR="002D1E88">
        <w:t>Population Ph</w:t>
      </w:r>
      <w:r w:rsidR="00E00D98">
        <w:t>armacokinetic (PK) and Exposure–</w:t>
      </w:r>
      <w:r w:rsidR="002D1E88">
        <w:t>Adverse Eve</w:t>
      </w:r>
      <w:r w:rsidR="006A2E98">
        <w:t>nt Response Analysis for Phase I</w:t>
      </w:r>
      <w:r w:rsidR="002D1E88">
        <w:t xml:space="preserve"> Olaparib Studies Following Dosing of Olaparib Tablet Formulation to Cancer Patients (</w:t>
      </w:r>
      <w:r w:rsidR="00E45CFE">
        <w:t xml:space="preserve">Studies; </w:t>
      </w:r>
      <w:r w:rsidR="002D1E88">
        <w:t>D0816C00004, D0816C00007, D0816C00008, D0810C00024 and D081BC00001)</w:t>
      </w:r>
      <w:r w:rsidR="00A46C84">
        <w:t>’</w:t>
      </w:r>
      <w:r w:rsidR="002D1E88">
        <w:t xml:space="preserve"> and the other is entitled </w:t>
      </w:r>
      <w:r w:rsidR="00A46C84">
        <w:t>‘</w:t>
      </w:r>
      <w:r w:rsidR="002D1E88">
        <w:t>Populati</w:t>
      </w:r>
      <w:r w:rsidR="00E00D98">
        <w:t>on Pharmacokinetic and Exposure–</w:t>
      </w:r>
      <w:r w:rsidR="002D1E88">
        <w:t xml:space="preserve">Response Analysis of Olaparib Tablet Formulation in Patients: </w:t>
      </w:r>
      <w:r w:rsidR="00205AC8">
        <w:t>SOLO-2</w:t>
      </w:r>
      <w:r w:rsidR="002D1E88">
        <w:t xml:space="preserve"> Study (D0816C00002)</w:t>
      </w:r>
      <w:r w:rsidR="00A46C84">
        <w:t>’</w:t>
      </w:r>
      <w:r w:rsidR="002D1E88">
        <w:t>. The reports were evaluated to determine the validity of the analysis methods and results presented and to assess the clinical implications of their findings.</w:t>
      </w:r>
    </w:p>
    <w:p w14:paraId="69E4AF41" w14:textId="77777777" w:rsidR="002D1E88" w:rsidRDefault="002D1E88" w:rsidP="002D1E88">
      <w:r>
        <w:t>The evaluation comprised:</w:t>
      </w:r>
    </w:p>
    <w:p w14:paraId="05242F67" w14:textId="77777777" w:rsidR="002D1E88" w:rsidRDefault="002D1E88" w:rsidP="002D1E88">
      <w:pPr>
        <w:pStyle w:val="ListBullet"/>
      </w:pPr>
      <w:r>
        <w:t xml:space="preserve">Replication of the key </w:t>
      </w:r>
      <w:r w:rsidR="0064340F">
        <w:t>population PK analysis of five Phase I</w:t>
      </w:r>
      <w:r>
        <w:t xml:space="preserve"> studies to confirm the results submitted by the sponsor</w:t>
      </w:r>
      <w:r w:rsidR="00E45CFE">
        <w:t>.</w:t>
      </w:r>
    </w:p>
    <w:p w14:paraId="583B2D47" w14:textId="77777777" w:rsidR="009973A2" w:rsidRDefault="002D1E88" w:rsidP="002D1E88">
      <w:pPr>
        <w:pStyle w:val="ListBullet"/>
      </w:pPr>
      <w:r>
        <w:t xml:space="preserve">A detailed review of the </w:t>
      </w:r>
      <w:r w:rsidR="0064340F">
        <w:t>population PK analysis of five Phase I</w:t>
      </w:r>
      <w:r>
        <w:t xml:space="preserve"> studies using the Guideline on Reporting the Results of Population Pharmacokinetic Analyses</w:t>
      </w:r>
      <w:r w:rsidR="00E45CFE">
        <w:t>.</w:t>
      </w:r>
      <w:r w:rsidR="00E00D98">
        <w:rPr>
          <w:rStyle w:val="FootnoteReference"/>
        </w:rPr>
        <w:footnoteReference w:id="10"/>
      </w:r>
    </w:p>
    <w:p w14:paraId="7144D2BC" w14:textId="77777777" w:rsidR="009973A2" w:rsidRDefault="002D1E88" w:rsidP="002D1E88">
      <w:pPr>
        <w:pStyle w:val="ListBullet"/>
      </w:pPr>
      <w:r>
        <w:t xml:space="preserve">A review of the </w:t>
      </w:r>
      <w:r w:rsidR="0064340F">
        <w:t xml:space="preserve">E-R </w:t>
      </w:r>
      <w:r>
        <w:t>information included in th</w:t>
      </w:r>
      <w:r w:rsidR="0064340F">
        <w:t>e population PK report of five Phase I</w:t>
      </w:r>
      <w:r>
        <w:t xml:space="preserve"> studies including validity of study design and implications for dosing</w:t>
      </w:r>
      <w:r w:rsidR="00E45CFE">
        <w:t>.</w:t>
      </w:r>
    </w:p>
    <w:p w14:paraId="78555D3F" w14:textId="71237701" w:rsidR="002D1E88" w:rsidRDefault="002D1E88" w:rsidP="002D1E88">
      <w:pPr>
        <w:pStyle w:val="ListBullet"/>
      </w:pPr>
      <w:r>
        <w:lastRenderedPageBreak/>
        <w:t>A revi</w:t>
      </w:r>
      <w:r w:rsidR="0064340F">
        <w:t>ew of the PK/E-R report of the Phase III</w:t>
      </w:r>
      <w:r w:rsidR="00E43D9C">
        <w:t xml:space="preserve"> </w:t>
      </w:r>
      <w:r w:rsidR="00277093">
        <w:t>study</w:t>
      </w:r>
      <w:r>
        <w:t xml:space="preserve"> </w:t>
      </w:r>
      <w:r w:rsidR="00277093">
        <w:t xml:space="preserve">the </w:t>
      </w:r>
      <w:r>
        <w:t>SOLO-2</w:t>
      </w:r>
      <w:r w:rsidR="00277093">
        <w:t xml:space="preserve"> trial</w:t>
      </w:r>
      <w:r>
        <w:t>, including validity of study design and implications for dosing</w:t>
      </w:r>
      <w:r w:rsidR="00E45CFE">
        <w:t>.</w:t>
      </w:r>
    </w:p>
    <w:p w14:paraId="7DE729E7" w14:textId="77777777" w:rsidR="002D1E88" w:rsidRDefault="002D1E88" w:rsidP="002D1E88">
      <w:pPr>
        <w:pStyle w:val="ListBullet"/>
        <w:rPr>
          <w:lang w:eastAsia="ja-JP"/>
        </w:rPr>
      </w:pPr>
      <w:r>
        <w:t xml:space="preserve">Comment on the consequences or implications, if any, of the results of this review on first-round benefit-risk assessment and relevant sections of the proposed Australian </w:t>
      </w:r>
      <w:r w:rsidR="0064340F">
        <w:t>PI</w:t>
      </w:r>
      <w:r>
        <w:t>.</w:t>
      </w:r>
    </w:p>
    <w:p w14:paraId="283F720A" w14:textId="752D131D" w:rsidR="0048338C" w:rsidRDefault="0048338C" w:rsidP="0048338C">
      <w:pPr>
        <w:pStyle w:val="Heading5"/>
      </w:pPr>
      <w:r>
        <w:t xml:space="preserve">Summary of </w:t>
      </w:r>
      <w:r w:rsidR="00284449">
        <w:t>f</w:t>
      </w:r>
      <w:r>
        <w:t xml:space="preserve">indings: PK </w:t>
      </w:r>
      <w:r w:rsidR="00284449">
        <w:t>r</w:t>
      </w:r>
      <w:r>
        <w:t>eport</w:t>
      </w:r>
    </w:p>
    <w:p w14:paraId="2506AB7F" w14:textId="77777777" w:rsidR="0048338C" w:rsidRDefault="0048338C" w:rsidP="0048338C">
      <w:r>
        <w:t>The purpose of the analysis was to identify and quantify sources of PK variability for o</w:t>
      </w:r>
      <w:r w:rsidR="0064340F">
        <w:t>laparib in five Phase I</w:t>
      </w:r>
      <w:r>
        <w:t xml:space="preserve"> studies and to evaluate </w:t>
      </w:r>
      <w:r w:rsidR="003979EE">
        <w:t>E-R</w:t>
      </w:r>
      <w:r>
        <w:t xml:space="preserve"> analyses</w:t>
      </w:r>
      <w:r w:rsidR="00652481">
        <w:t xml:space="preserve"> for selected safety endpoints.</w:t>
      </w:r>
    </w:p>
    <w:p w14:paraId="0BEDF404" w14:textId="77777777" w:rsidR="0048338C" w:rsidRDefault="0048338C" w:rsidP="0048338C">
      <w:r>
        <w:t>On the basis of thi</w:t>
      </w:r>
      <w:r w:rsidR="009973A2">
        <w:t xml:space="preserve">s evaluation, </w:t>
      </w:r>
      <w:r w:rsidR="00D37C28">
        <w:t xml:space="preserve">the following points were </w:t>
      </w:r>
      <w:r w:rsidR="004F343E">
        <w:t>summarised</w:t>
      </w:r>
      <w:r w:rsidR="009973A2">
        <w:t>:</w:t>
      </w:r>
    </w:p>
    <w:p w14:paraId="42B6FEDE" w14:textId="77777777" w:rsidR="004F343E" w:rsidRDefault="004F343E" w:rsidP="004F343E">
      <w:pPr>
        <w:pStyle w:val="ListBullet"/>
      </w:pPr>
      <w:r>
        <w:t>The PK model comprised a 2 compartment disposition model with sequential zero and first order absorption and different elimination rates for the first dose and all subsequent doses.</w:t>
      </w:r>
    </w:p>
    <w:p w14:paraId="015C5415" w14:textId="77777777" w:rsidR="0048338C" w:rsidRDefault="0048338C" w:rsidP="0048338C">
      <w:pPr>
        <w:pStyle w:val="ListBullet"/>
      </w:pPr>
      <w:r>
        <w:t>The base and final PK models were successfully replicated verifying the models</w:t>
      </w:r>
      <w:r w:rsidR="009973A2">
        <w:t xml:space="preserve"> </w:t>
      </w:r>
      <w:r>
        <w:t>and the reported PK parameters in the report.</w:t>
      </w:r>
    </w:p>
    <w:p w14:paraId="4E125D67" w14:textId="77777777" w:rsidR="0048338C" w:rsidRDefault="0048338C" w:rsidP="0048338C">
      <w:pPr>
        <w:pStyle w:val="ListBullet"/>
      </w:pPr>
      <w:r>
        <w:t>The modelling methods described, including choice of software and analysis,</w:t>
      </w:r>
      <w:r w:rsidR="009973A2">
        <w:t xml:space="preserve"> </w:t>
      </w:r>
      <w:r>
        <w:t>modelling assumptions, model building methods, model evaluation methods, were</w:t>
      </w:r>
      <w:r w:rsidR="009973A2">
        <w:t xml:space="preserve"> </w:t>
      </w:r>
      <w:r>
        <w:t>appropriate and consistent with the requirements of the EMA guidelines. Model</w:t>
      </w:r>
      <w:r w:rsidR="009973A2">
        <w:t xml:space="preserve"> </w:t>
      </w:r>
      <w:r>
        <w:t>applications were relevant to understanding the clinical relevance of covariate</w:t>
      </w:r>
      <w:r w:rsidR="009973A2">
        <w:t xml:space="preserve"> </w:t>
      </w:r>
      <w:r>
        <w:t>effe</w:t>
      </w:r>
      <w:r w:rsidR="003979EE">
        <w:t xml:space="preserve">cts and for subsequent exposure </w:t>
      </w:r>
      <w:r>
        <w:t>safety analyses.</w:t>
      </w:r>
    </w:p>
    <w:p w14:paraId="319625F7" w14:textId="77777777" w:rsidR="0048338C" w:rsidRPr="0048338C" w:rsidRDefault="0048338C" w:rsidP="003979EE">
      <w:pPr>
        <w:pStyle w:val="ListBullet"/>
        <w:rPr>
          <w:sz w:val="24"/>
          <w:szCs w:val="24"/>
        </w:rPr>
      </w:pPr>
      <w:r>
        <w:t>PK modelling was executed in accordance with EMA guidelines. The results may</w:t>
      </w:r>
      <w:r w:rsidR="009973A2">
        <w:t xml:space="preserve"> </w:t>
      </w:r>
      <w:r>
        <w:t>be deemed adequate for estimating individual exposures for subsequent exposure-safety an</w:t>
      </w:r>
      <w:r w:rsidRPr="003979EE">
        <w:t xml:space="preserve">alyses. However, covariate evaluations to characterise sources of PK variability for olaparib were incomplete as trends were evident in plots of </w:t>
      </w:r>
      <w:r w:rsidR="003979EE">
        <w:t>r</w:t>
      </w:r>
      <w:r w:rsidR="003979EE" w:rsidRPr="003979EE">
        <w:t>andom effect variable for inter-individual variability</w:t>
      </w:r>
      <w:r w:rsidR="003979EE">
        <w:t xml:space="preserve"> (ETA)</w:t>
      </w:r>
      <w:r w:rsidRPr="003979EE">
        <w:t xml:space="preserve"> </w:t>
      </w:r>
      <w:r w:rsidR="003979EE">
        <w:t>apparent clearance (</w:t>
      </w:r>
      <w:r w:rsidRPr="003979EE">
        <w:t>CL/F</w:t>
      </w:r>
      <w:r w:rsidR="003979EE">
        <w:t>)</w:t>
      </w:r>
      <w:r w:rsidRPr="003979EE">
        <w:t xml:space="preserve"> for a subset of</w:t>
      </w:r>
      <w:r w:rsidR="003979EE">
        <w:t xml:space="preserve"> covariates in the final model.</w:t>
      </w:r>
    </w:p>
    <w:p w14:paraId="683B4919" w14:textId="77777777" w:rsidR="0048338C" w:rsidRDefault="0048338C" w:rsidP="003979EE">
      <w:pPr>
        <w:pStyle w:val="ListBullet"/>
      </w:pPr>
      <w:r>
        <w:t>The only statistical</w:t>
      </w:r>
      <w:r w:rsidR="004F343E">
        <w:t>ly significant covariate effect</w:t>
      </w:r>
      <w:r>
        <w:t xml:space="preserve"> was an effect of tablet strength on </w:t>
      </w:r>
      <w:r w:rsidR="003979EE">
        <w:rPr>
          <w:sz w:val="23"/>
          <w:szCs w:val="23"/>
        </w:rPr>
        <w:t>absorption rate constant (</w:t>
      </w:r>
      <w:r>
        <w:t>K</w:t>
      </w:r>
      <w:r w:rsidRPr="00613B68">
        <w:rPr>
          <w:vertAlign w:val="subscript"/>
        </w:rPr>
        <w:t>a</w:t>
      </w:r>
      <w:r w:rsidR="003979EE">
        <w:t>)</w:t>
      </w:r>
      <w:r>
        <w:t>. Race (including Asian/Japanese), gender, age and weight were not selected as covariates in the PK analysis.</w:t>
      </w:r>
    </w:p>
    <w:p w14:paraId="45703227" w14:textId="77777777" w:rsidR="0048338C" w:rsidRDefault="0048338C" w:rsidP="0048338C">
      <w:pPr>
        <w:pStyle w:val="ListBullet"/>
      </w:pPr>
      <w:r>
        <w:t>Mean predicted exposures (AUC</w:t>
      </w:r>
      <w:r w:rsidRPr="003979EE">
        <w:rPr>
          <w:vertAlign w:val="subscript"/>
        </w:rPr>
        <w:t>ss</w:t>
      </w:r>
      <w:r>
        <w:t>, C</w:t>
      </w:r>
      <w:r w:rsidRPr="003979EE">
        <w:rPr>
          <w:vertAlign w:val="subscript"/>
        </w:rPr>
        <w:t xml:space="preserve">max,ss </w:t>
      </w:r>
      <w:r>
        <w:t>and C</w:t>
      </w:r>
      <w:r w:rsidRPr="003979EE">
        <w:rPr>
          <w:vertAlign w:val="subscript"/>
        </w:rPr>
        <w:t>min,ss</w:t>
      </w:r>
      <w:r>
        <w:t xml:space="preserve">) for 300 mg </w:t>
      </w:r>
      <w:r w:rsidR="003979EE">
        <w:t>BID</w:t>
      </w:r>
      <w:r>
        <w:t xml:space="preserve"> tablet were in good agreement with those obtained by </w:t>
      </w:r>
      <w:r w:rsidR="003979EE">
        <w:t>non</w:t>
      </w:r>
      <w:r w:rsidR="00613B68">
        <w:t>-</w:t>
      </w:r>
      <w:r w:rsidR="003979EE">
        <w:t>compartmental analysis</w:t>
      </w:r>
      <w:r>
        <w:t xml:space="preserve">. It was noted that exposures for 300 mg tablet </w:t>
      </w:r>
      <w:r w:rsidR="00D37C28">
        <w:t>BID</w:t>
      </w:r>
      <w:r>
        <w:t xml:space="preserve"> were increase</w:t>
      </w:r>
      <w:r w:rsidR="003979EE">
        <w:t>d compared to exposures for 400 </w:t>
      </w:r>
      <w:r>
        <w:t xml:space="preserve">mg capsule </w:t>
      </w:r>
      <w:r w:rsidR="003979EE">
        <w:t>BID</w:t>
      </w:r>
      <w:r>
        <w:t>.</w:t>
      </w:r>
    </w:p>
    <w:p w14:paraId="7C40D57C" w14:textId="77777777" w:rsidR="0048338C" w:rsidRDefault="0048338C" w:rsidP="0048338C">
      <w:pPr>
        <w:pStyle w:val="ListBullet"/>
      </w:pPr>
      <w:r>
        <w:t xml:space="preserve">In the E-R analyses of </w:t>
      </w:r>
      <w:r w:rsidR="00613B68">
        <w:t>adverse events (</w:t>
      </w:r>
      <w:r>
        <w:t>AEs</w:t>
      </w:r>
      <w:r w:rsidR="00613B68">
        <w:t>)</w:t>
      </w:r>
      <w:r>
        <w:t xml:space="preserve">, no relationships with olaparib exposure were identified for any of the AEs included in the graphical exploratory analysis, with the exception of the effect of olaparib on </w:t>
      </w:r>
      <w:r w:rsidR="00A67620">
        <w:t>Hb</w:t>
      </w:r>
      <w:r>
        <w:t>.</w:t>
      </w:r>
    </w:p>
    <w:p w14:paraId="5E4AF5A6" w14:textId="681D38F9" w:rsidR="0048338C" w:rsidRDefault="0048338C" w:rsidP="0048338C">
      <w:pPr>
        <w:pStyle w:val="ListBullet"/>
      </w:pPr>
      <w:r>
        <w:t xml:space="preserve">An indirect E-R model with olaparib AUC inhibiting synthesis of </w:t>
      </w:r>
      <w:r w:rsidR="00A67620">
        <w:t>Hb</w:t>
      </w:r>
      <w:r>
        <w:t xml:space="preserve"> described the reduction in </w:t>
      </w:r>
      <w:r w:rsidR="00A67620">
        <w:t>Hb</w:t>
      </w:r>
      <w:r>
        <w:t xml:space="preserve"> during olaparib treatment. Simulations showed that </w:t>
      </w:r>
      <w:r w:rsidR="00A67620">
        <w:t>Hb</w:t>
      </w:r>
      <w:r>
        <w:t xml:space="preserve"> concentrations decreased by mean values of 1.3 to 1.7</w:t>
      </w:r>
      <w:r w:rsidR="00D37C28">
        <w:t> </w:t>
      </w:r>
      <w:r>
        <w:t xml:space="preserve">g/dL at the typical exposure for 300 mg tablet </w:t>
      </w:r>
      <w:r w:rsidR="00D37C28">
        <w:t>BID</w:t>
      </w:r>
      <w:r w:rsidR="006666D8">
        <w:t xml:space="preserve"> </w:t>
      </w:r>
      <w:r>
        <w:t xml:space="preserve">and by 2 to 3.2 g/dL when olaparib exposure was doubled relative to the typical exposure for 300 mg tablet </w:t>
      </w:r>
      <w:r w:rsidR="00600C79">
        <w:t>BID</w:t>
      </w:r>
      <w:r>
        <w:t>. However, th</w:t>
      </w:r>
      <w:r w:rsidR="00D37C28">
        <w:t>e effect of tablet strength (3</w:t>
      </w:r>
      <w:r w:rsidR="009D0A56">
        <w:t> </w:t>
      </w:r>
      <w:r w:rsidR="00D37C28">
        <w:t>times 100 mg compared with 2 times</w:t>
      </w:r>
      <w:r>
        <w:t xml:space="preserve"> 150 mg)</w:t>
      </w:r>
      <w:r w:rsidR="00E00D98">
        <w:t xml:space="preserve"> </w:t>
      </w:r>
      <w:r>
        <w:t xml:space="preserve">on change in </w:t>
      </w:r>
      <w:r w:rsidR="00A67620">
        <w:t>Hb</w:t>
      </w:r>
      <w:r>
        <w:t xml:space="preserve"> concentration was small (0.3 to 0. 6 g/dL).</w:t>
      </w:r>
    </w:p>
    <w:p w14:paraId="7CBEC807" w14:textId="297CD32E" w:rsidR="0048338C" w:rsidRDefault="0048338C" w:rsidP="0048338C">
      <w:pPr>
        <w:pStyle w:val="Heading5"/>
      </w:pPr>
      <w:r>
        <w:t xml:space="preserve">Summary of </w:t>
      </w:r>
      <w:r w:rsidR="00B058F2">
        <w:t>findings</w:t>
      </w:r>
      <w:r>
        <w:t xml:space="preserve">: </w:t>
      </w:r>
      <w:r w:rsidR="00205AC8">
        <w:t>SOLO-2</w:t>
      </w:r>
      <w:r>
        <w:t xml:space="preserve"> </w:t>
      </w:r>
      <w:r w:rsidR="00B058F2">
        <w:t>trial r</w:t>
      </w:r>
      <w:r>
        <w:t>eport</w:t>
      </w:r>
    </w:p>
    <w:p w14:paraId="3E0CB5DF" w14:textId="6209D058" w:rsidR="0048338C" w:rsidRDefault="0048338C" w:rsidP="0048338C">
      <w:r>
        <w:t xml:space="preserve">The purpose of the analysis was to evaluate the predictive ability of the previously developed population </w:t>
      </w:r>
      <w:r w:rsidR="00E43D9C">
        <w:t xml:space="preserve">PK model in the </w:t>
      </w:r>
      <w:r w:rsidR="00205AC8">
        <w:t>SOLO-2</w:t>
      </w:r>
      <w:r w:rsidR="00E43D9C">
        <w:t xml:space="preserve"> </w:t>
      </w:r>
      <w:r w:rsidR="009D0A56">
        <w:t>trial</w:t>
      </w:r>
      <w:r w:rsidR="00D37C28">
        <w:t>, a Phase III</w:t>
      </w:r>
      <w:r>
        <w:t xml:space="preserve"> study of olaparib maintenance monotherapy in </w:t>
      </w:r>
      <w:r w:rsidR="00D37C28">
        <w:t xml:space="preserve">platinum sensitive relapsed </w:t>
      </w:r>
      <w:r>
        <w:t>BRCA mutated ovarian cancer patients and to examine E-R relationships between olaparib plasma exposure and selected efficacy and safet</w:t>
      </w:r>
      <w:r w:rsidR="00E43D9C">
        <w:t>y variables based on data from S</w:t>
      </w:r>
      <w:r>
        <w:t xml:space="preserve">tudy </w:t>
      </w:r>
      <w:r w:rsidR="00205AC8">
        <w:t>SOLO-2</w:t>
      </w:r>
      <w:r>
        <w:t>.</w:t>
      </w:r>
    </w:p>
    <w:p w14:paraId="08A9F346" w14:textId="77777777" w:rsidR="0048338C" w:rsidRDefault="0048338C" w:rsidP="0048338C">
      <w:pPr>
        <w:pStyle w:val="ListBullet"/>
      </w:pPr>
      <w:r>
        <w:lastRenderedPageBreak/>
        <w:t>Limitations of analysing sparse PK and E-R data at a single dose level in the</w:t>
      </w:r>
      <w:r w:rsidR="00834E4F">
        <w:t xml:space="preserve"> </w:t>
      </w:r>
      <w:r w:rsidR="00205AC8">
        <w:t>SOLO-2</w:t>
      </w:r>
      <w:r w:rsidR="00E43D9C">
        <w:t xml:space="preserve"> S</w:t>
      </w:r>
      <w:r>
        <w:t>tudy alone should have been addressed.</w:t>
      </w:r>
    </w:p>
    <w:p w14:paraId="7AE66DF0" w14:textId="77777777" w:rsidR="0048338C" w:rsidRDefault="0048338C" w:rsidP="0048338C">
      <w:pPr>
        <w:pStyle w:val="ListBullet"/>
      </w:pPr>
      <w:r>
        <w:t>The previously developed population PK model over predicted olaparib plas</w:t>
      </w:r>
      <w:r w:rsidR="00E43D9C">
        <w:t xml:space="preserve">ma concentrations in the </w:t>
      </w:r>
      <w:r w:rsidR="00205AC8">
        <w:t>SOLO-2</w:t>
      </w:r>
      <w:r w:rsidR="00E43D9C">
        <w:t xml:space="preserve"> S</w:t>
      </w:r>
      <w:r>
        <w:t xml:space="preserve">tudy. Given the sparse nature of the data in </w:t>
      </w:r>
      <w:r w:rsidR="00205AC8">
        <w:t>SOLO-2</w:t>
      </w:r>
      <w:r>
        <w:t>,</w:t>
      </w:r>
      <w:r w:rsidR="00D37C28">
        <w:t xml:space="preserve"> </w:t>
      </w:r>
      <w:r>
        <w:t xml:space="preserve">it would have been expected that the </w:t>
      </w:r>
      <w:r w:rsidR="00205AC8">
        <w:t>SOLO-2</w:t>
      </w:r>
      <w:r>
        <w:t xml:space="preserve"> data would have been added to the previous data set to explore the source of the misfit. Instead, the model was fit to the </w:t>
      </w:r>
      <w:r w:rsidR="00205AC8">
        <w:t>SOLO-2</w:t>
      </w:r>
      <w:r>
        <w:t xml:space="preserve"> data alone and parameters not supported by the data were fixed or removed so that remaining parameters could be precisely estimated. Diagnostic plots revealed misfit of the structural model to the data that was not explored in the</w:t>
      </w:r>
      <w:r w:rsidR="00600C79">
        <w:t xml:space="preserve"> </w:t>
      </w:r>
      <w:r w:rsidR="00205AC8">
        <w:t>SOLO-2</w:t>
      </w:r>
      <w:r>
        <w:t xml:space="preserve"> report. Nevertheless, the </w:t>
      </w:r>
      <w:r w:rsidR="00D37C28">
        <w:rPr>
          <w:sz w:val="23"/>
          <w:szCs w:val="23"/>
        </w:rPr>
        <w:t xml:space="preserve">visual predictive check </w:t>
      </w:r>
      <w:r>
        <w:t>showed reasonable predictive ability of the model.</w:t>
      </w:r>
    </w:p>
    <w:p w14:paraId="75148227" w14:textId="77777777" w:rsidR="0048338C" w:rsidRPr="0048338C" w:rsidRDefault="0048338C" w:rsidP="0048338C">
      <w:pPr>
        <w:pStyle w:val="ListBullet"/>
      </w:pPr>
      <w:r w:rsidRPr="0048338C">
        <w:t xml:space="preserve">No exposure-efficacy relationships were identified for PFS, </w:t>
      </w:r>
      <w:r w:rsidR="00D37C28">
        <w:t>time from randomization to second progression (</w:t>
      </w:r>
      <w:r w:rsidRPr="0048338C">
        <w:t>PFS2</w:t>
      </w:r>
      <w:r w:rsidR="00D37C28">
        <w:t>)</w:t>
      </w:r>
      <w:r w:rsidRPr="0048338C">
        <w:t xml:space="preserve"> and </w:t>
      </w:r>
      <w:r w:rsidR="00695CB5">
        <w:t>overall survival (</w:t>
      </w:r>
      <w:r w:rsidRPr="0048338C">
        <w:t>OS</w:t>
      </w:r>
      <w:r w:rsidR="00695CB5">
        <w:t>)</w:t>
      </w:r>
      <w:r w:rsidRPr="0048338C">
        <w:t xml:space="preserve"> in the analysis.</w:t>
      </w:r>
    </w:p>
    <w:p w14:paraId="2ED1F6A6" w14:textId="77777777" w:rsidR="0048338C" w:rsidRPr="0048338C" w:rsidRDefault="0048338C" w:rsidP="0048338C">
      <w:pPr>
        <w:pStyle w:val="ListBullet"/>
      </w:pPr>
      <w:r w:rsidRPr="0048338C">
        <w:t xml:space="preserve">An indirect E-R model was developed for </w:t>
      </w:r>
      <w:r w:rsidR="00A67620">
        <w:t>Hb</w:t>
      </w:r>
      <w:r w:rsidRPr="0048338C">
        <w:t xml:space="preserve"> similar in structure to that developed previously. Model predictions were consistent with those in the previous analysis, such that </w:t>
      </w:r>
      <w:r w:rsidR="00A67620">
        <w:t>Hb</w:t>
      </w:r>
      <w:r w:rsidRPr="0048338C">
        <w:t xml:space="preserve"> concentrations decreased by a mean of 1.3 g/dL and 2.7 g/dL, respectively for typical exposure and double the typical exposure associated wi</w:t>
      </w:r>
      <w:r w:rsidR="00391A17">
        <w:t>th 300 </w:t>
      </w:r>
      <w:r w:rsidR="00D37C28">
        <w:t>mg tablet BID</w:t>
      </w:r>
      <w:r w:rsidRPr="0048338C">
        <w:t>.</w:t>
      </w:r>
    </w:p>
    <w:p w14:paraId="47F0081C" w14:textId="77777777" w:rsidR="0048338C" w:rsidRPr="0048338C" w:rsidRDefault="0048338C" w:rsidP="0048338C">
      <w:pPr>
        <w:pStyle w:val="ListBullet"/>
      </w:pPr>
      <w:r w:rsidRPr="0048338C">
        <w:t>A model was also developed to describe the relationship between olaparib exposure and fatigue. The relationship was not very strong since the predicted probability of experiencing fatigue on a day without prior fatigue was 0.258% for high exposures corresponding to the 97.5th percentile of p</w:t>
      </w:r>
      <w:r w:rsidR="00D37C28">
        <w:t>redicted exposure for a 300 mg BID dose.</w:t>
      </w:r>
    </w:p>
    <w:p w14:paraId="5E73F0CA" w14:textId="77777777" w:rsidR="0048338C" w:rsidRPr="0048338C" w:rsidRDefault="0048338C" w:rsidP="0048338C">
      <w:pPr>
        <w:pStyle w:val="Heading5"/>
      </w:pPr>
      <w:r>
        <w:t>Implications of findings</w:t>
      </w:r>
    </w:p>
    <w:p w14:paraId="20E94E53" w14:textId="77777777" w:rsidR="0048338C" w:rsidRPr="0048338C" w:rsidRDefault="0048338C" w:rsidP="0048338C">
      <w:r w:rsidRPr="0048338C">
        <w:t xml:space="preserve">References to these analyses in the Australian </w:t>
      </w:r>
      <w:r>
        <w:t>PI</w:t>
      </w:r>
      <w:r w:rsidRPr="0048338C">
        <w:t xml:space="preserve"> were deemed to accurately reflect t</w:t>
      </w:r>
      <w:r w:rsidR="00600C79">
        <w:t>he findings of this evaluation.</w:t>
      </w:r>
    </w:p>
    <w:p w14:paraId="316E90EF" w14:textId="77777777" w:rsidR="0048338C" w:rsidRPr="0048338C" w:rsidRDefault="0048338C" w:rsidP="0048338C">
      <w:r w:rsidRPr="0048338C">
        <w:t>No assessment of benefit-risk was possible based on the evaluated analyses.</w:t>
      </w:r>
    </w:p>
    <w:p w14:paraId="79BADEF0" w14:textId="77777777" w:rsidR="008E7846" w:rsidRDefault="008E7846" w:rsidP="008E7846">
      <w:pPr>
        <w:pStyle w:val="Heading3"/>
      </w:pPr>
      <w:bookmarkStart w:id="76" w:name="_Toc196046481"/>
      <w:bookmarkStart w:id="77" w:name="_Toc247691520"/>
      <w:bookmarkStart w:id="78" w:name="_Toc314842503"/>
      <w:bookmarkStart w:id="79" w:name="_Toc23326210"/>
      <w:r w:rsidRPr="00254787">
        <w:t>Pharmacodynamics</w:t>
      </w:r>
      <w:bookmarkEnd w:id="63"/>
      <w:bookmarkEnd w:id="76"/>
      <w:bookmarkEnd w:id="77"/>
      <w:bookmarkEnd w:id="78"/>
      <w:bookmarkEnd w:id="79"/>
    </w:p>
    <w:p w14:paraId="11078D49" w14:textId="77777777" w:rsidR="00605AD4" w:rsidRDefault="00605AD4" w:rsidP="00605AD4">
      <w:pPr>
        <w:pStyle w:val="Heading4"/>
      </w:pPr>
      <w:r>
        <w:t>Studies providing pharmacodynamic data</w:t>
      </w:r>
    </w:p>
    <w:p w14:paraId="69C3D2CE" w14:textId="77777777" w:rsidR="00F960D8" w:rsidRPr="00F960D8" w:rsidRDefault="000A0DC3" w:rsidP="00F960D8">
      <w:r>
        <w:t>See Table 6</w:t>
      </w:r>
      <w:r w:rsidR="00F960D8">
        <w:t>.</w:t>
      </w:r>
    </w:p>
    <w:p w14:paraId="187B05E6" w14:textId="77777777" w:rsidR="00834C3C" w:rsidRDefault="000A0DC3" w:rsidP="00834C3C">
      <w:pPr>
        <w:pStyle w:val="TableTitle"/>
      </w:pPr>
      <w:bookmarkStart w:id="80" w:name="_Toc453839421"/>
      <w:bookmarkStart w:id="81" w:name="_Toc505155651"/>
      <w:r>
        <w:t>Table 6</w:t>
      </w:r>
      <w:r w:rsidR="00834C3C">
        <w:t xml:space="preserve">: </w:t>
      </w:r>
      <w:r w:rsidR="00834C3C" w:rsidRPr="008C40FD">
        <w:t>Submitted pharmacodynamic studies</w:t>
      </w:r>
      <w:bookmarkEnd w:id="80"/>
      <w:bookmarkEnd w:id="81"/>
    </w:p>
    <w:tbl>
      <w:tblPr>
        <w:tblStyle w:val="TableTGAblue"/>
        <w:tblW w:w="8472" w:type="dxa"/>
        <w:tblLayout w:type="fixed"/>
        <w:tblLook w:val="04A0" w:firstRow="1" w:lastRow="0" w:firstColumn="1" w:lastColumn="0" w:noHBand="0" w:noVBand="1"/>
      </w:tblPr>
      <w:tblGrid>
        <w:gridCol w:w="2943"/>
        <w:gridCol w:w="3402"/>
        <w:gridCol w:w="2127"/>
      </w:tblGrid>
      <w:tr w:rsidR="00834C3C" w:rsidRPr="00391A17" w14:paraId="1BF945CE" w14:textId="77777777" w:rsidTr="00834C3C">
        <w:trPr>
          <w:cnfStyle w:val="100000000000" w:firstRow="1" w:lastRow="0" w:firstColumn="0" w:lastColumn="0" w:oddVBand="0" w:evenVBand="0" w:oddHBand="0" w:evenHBand="0" w:firstRowFirstColumn="0" w:firstRowLastColumn="0" w:lastRowFirstColumn="0" w:lastRowLastColumn="0"/>
        </w:trPr>
        <w:tc>
          <w:tcPr>
            <w:tcW w:w="2943" w:type="dxa"/>
          </w:tcPr>
          <w:p w14:paraId="429E12F5" w14:textId="77777777" w:rsidR="00834C3C" w:rsidRPr="00391A17" w:rsidRDefault="00834C3C" w:rsidP="00284449">
            <w:pPr>
              <w:rPr>
                <w:b w:val="0"/>
              </w:rPr>
            </w:pPr>
            <w:r w:rsidRPr="00391A17">
              <w:t>PD Topic</w:t>
            </w:r>
          </w:p>
        </w:tc>
        <w:tc>
          <w:tcPr>
            <w:tcW w:w="3402" w:type="dxa"/>
          </w:tcPr>
          <w:p w14:paraId="454A2901" w14:textId="77777777" w:rsidR="00834C3C" w:rsidRPr="00391A17" w:rsidRDefault="00834C3C" w:rsidP="00284449">
            <w:pPr>
              <w:rPr>
                <w:b w:val="0"/>
              </w:rPr>
            </w:pPr>
            <w:r w:rsidRPr="00391A17">
              <w:t>Subtopic</w:t>
            </w:r>
          </w:p>
        </w:tc>
        <w:tc>
          <w:tcPr>
            <w:tcW w:w="2127" w:type="dxa"/>
          </w:tcPr>
          <w:p w14:paraId="4913E9B3" w14:textId="77777777" w:rsidR="00834C3C" w:rsidRPr="00391A17" w:rsidRDefault="00834C3C" w:rsidP="00284449">
            <w:pPr>
              <w:rPr>
                <w:b w:val="0"/>
              </w:rPr>
            </w:pPr>
            <w:r w:rsidRPr="00391A17">
              <w:t>Study ID</w:t>
            </w:r>
          </w:p>
        </w:tc>
      </w:tr>
      <w:tr w:rsidR="00834C3C" w:rsidRPr="00391A17" w14:paraId="1669049C" w14:textId="77777777" w:rsidTr="00834C3C">
        <w:tc>
          <w:tcPr>
            <w:tcW w:w="2943" w:type="dxa"/>
            <w:vMerge w:val="restart"/>
          </w:tcPr>
          <w:p w14:paraId="44F7B824" w14:textId="77777777" w:rsidR="00834C3C" w:rsidRPr="00391A17" w:rsidRDefault="00834C3C" w:rsidP="00284449">
            <w:r w:rsidRPr="00391A17">
              <w:t>Primary Pharmacology</w:t>
            </w:r>
          </w:p>
        </w:tc>
        <w:tc>
          <w:tcPr>
            <w:tcW w:w="3402" w:type="dxa"/>
          </w:tcPr>
          <w:p w14:paraId="6E6021C7" w14:textId="77777777" w:rsidR="00834C3C" w:rsidRPr="00391A17" w:rsidRDefault="00834C3C" w:rsidP="00284449">
            <w:r w:rsidRPr="00391A17">
              <w:t>Effect on PARP-1 activity</w:t>
            </w:r>
          </w:p>
        </w:tc>
        <w:tc>
          <w:tcPr>
            <w:tcW w:w="2127" w:type="dxa"/>
          </w:tcPr>
          <w:p w14:paraId="78FCD44A" w14:textId="77777777" w:rsidR="00834C3C" w:rsidRPr="00391A17" w:rsidRDefault="00834C3C" w:rsidP="00284449">
            <w:r w:rsidRPr="00391A17">
              <w:t>D0810C00001</w:t>
            </w:r>
          </w:p>
        </w:tc>
      </w:tr>
      <w:tr w:rsidR="00834C3C" w:rsidRPr="00391A17" w14:paraId="7299333C" w14:textId="77777777" w:rsidTr="00834C3C">
        <w:tc>
          <w:tcPr>
            <w:tcW w:w="2943" w:type="dxa"/>
            <w:vMerge/>
          </w:tcPr>
          <w:p w14:paraId="55E29389" w14:textId="77777777" w:rsidR="00834C3C" w:rsidRPr="00391A17" w:rsidRDefault="00834C3C" w:rsidP="00284449"/>
        </w:tc>
        <w:tc>
          <w:tcPr>
            <w:tcW w:w="3402" w:type="dxa"/>
          </w:tcPr>
          <w:p w14:paraId="7042D7D1" w14:textId="77777777" w:rsidR="00834C3C" w:rsidRPr="00391A17" w:rsidRDefault="00834C3C" w:rsidP="00284449">
            <w:r w:rsidRPr="00391A17">
              <w:t>Effect on PARP-1 activity, efficacy</w:t>
            </w:r>
          </w:p>
        </w:tc>
        <w:tc>
          <w:tcPr>
            <w:tcW w:w="2127" w:type="dxa"/>
          </w:tcPr>
          <w:p w14:paraId="4F5E6017" w14:textId="77777777" w:rsidR="00834C3C" w:rsidRPr="00391A17" w:rsidRDefault="00834C3C" w:rsidP="00284449">
            <w:r w:rsidRPr="00391A17">
              <w:t>D0810C00002</w:t>
            </w:r>
          </w:p>
        </w:tc>
      </w:tr>
      <w:tr w:rsidR="00834C3C" w:rsidRPr="00391A17" w14:paraId="0E7B7614" w14:textId="77777777" w:rsidTr="00834C3C">
        <w:tc>
          <w:tcPr>
            <w:tcW w:w="2943" w:type="dxa"/>
          </w:tcPr>
          <w:p w14:paraId="7A4F7FAD" w14:textId="77777777" w:rsidR="00834C3C" w:rsidRPr="00391A17" w:rsidRDefault="00834C3C" w:rsidP="00284449"/>
        </w:tc>
        <w:tc>
          <w:tcPr>
            <w:tcW w:w="3402" w:type="dxa"/>
          </w:tcPr>
          <w:p w14:paraId="56E20BDA" w14:textId="77777777" w:rsidR="00834C3C" w:rsidRPr="00391A17" w:rsidRDefault="00834C3C" w:rsidP="00284449">
            <w:r w:rsidRPr="00391A17">
              <w:t>Effect on PARP-1 activity</w:t>
            </w:r>
          </w:p>
        </w:tc>
        <w:tc>
          <w:tcPr>
            <w:tcW w:w="2127" w:type="dxa"/>
          </w:tcPr>
          <w:p w14:paraId="38ED9BB6" w14:textId="77777777" w:rsidR="00834C3C" w:rsidRPr="00391A17" w:rsidRDefault="00834C3C" w:rsidP="00284449">
            <w:r w:rsidRPr="00391A17">
              <w:t>D0810C00007</w:t>
            </w:r>
          </w:p>
        </w:tc>
      </w:tr>
      <w:tr w:rsidR="00834C3C" w:rsidRPr="00391A17" w14:paraId="638E63C5" w14:textId="77777777" w:rsidTr="00834C3C">
        <w:tc>
          <w:tcPr>
            <w:tcW w:w="2943" w:type="dxa"/>
            <w:vMerge w:val="restart"/>
          </w:tcPr>
          <w:p w14:paraId="316D9264" w14:textId="77777777" w:rsidR="00834C3C" w:rsidRPr="00391A17" w:rsidRDefault="00834C3C" w:rsidP="00284449">
            <w:r w:rsidRPr="00391A17">
              <w:t>Secondary Pharmacology</w:t>
            </w:r>
          </w:p>
        </w:tc>
        <w:tc>
          <w:tcPr>
            <w:tcW w:w="3402" w:type="dxa"/>
          </w:tcPr>
          <w:p w14:paraId="5395D7D9" w14:textId="77777777" w:rsidR="00834C3C" w:rsidRPr="00391A17" w:rsidRDefault="00834C3C" w:rsidP="00284449">
            <w:r w:rsidRPr="00391A17">
              <w:t>Effect on QTc Interval</w:t>
            </w:r>
          </w:p>
        </w:tc>
        <w:tc>
          <w:tcPr>
            <w:tcW w:w="2127" w:type="dxa"/>
          </w:tcPr>
          <w:p w14:paraId="368691A6" w14:textId="77777777" w:rsidR="00834C3C" w:rsidRPr="00391A17" w:rsidRDefault="00834C3C" w:rsidP="00284449">
            <w:r w:rsidRPr="00391A17">
              <w:t>D0816C00004</w:t>
            </w:r>
          </w:p>
        </w:tc>
      </w:tr>
      <w:tr w:rsidR="00834C3C" w:rsidRPr="00391A17" w14:paraId="77F08B5F" w14:textId="77777777" w:rsidTr="00834C3C">
        <w:tc>
          <w:tcPr>
            <w:tcW w:w="2943" w:type="dxa"/>
            <w:vMerge/>
          </w:tcPr>
          <w:p w14:paraId="68966DEE" w14:textId="77777777" w:rsidR="00834C3C" w:rsidRPr="00391A17" w:rsidRDefault="00834C3C" w:rsidP="00284449"/>
        </w:tc>
        <w:tc>
          <w:tcPr>
            <w:tcW w:w="3402" w:type="dxa"/>
          </w:tcPr>
          <w:p w14:paraId="6E043CD8" w14:textId="77777777" w:rsidR="00834C3C" w:rsidRPr="00391A17" w:rsidRDefault="00391A17" w:rsidP="00284449">
            <w:r>
              <w:t>Effect on e</w:t>
            </w:r>
            <w:r w:rsidR="00834C3C" w:rsidRPr="00391A17">
              <w:t>fficacy</w:t>
            </w:r>
          </w:p>
        </w:tc>
        <w:tc>
          <w:tcPr>
            <w:tcW w:w="2127" w:type="dxa"/>
          </w:tcPr>
          <w:p w14:paraId="339F0E33" w14:textId="77777777" w:rsidR="00834C3C" w:rsidRPr="00391A17" w:rsidRDefault="00834C3C" w:rsidP="00284449">
            <w:r w:rsidRPr="00391A17">
              <w:t>D0810C00008</w:t>
            </w:r>
          </w:p>
        </w:tc>
      </w:tr>
      <w:tr w:rsidR="00834C3C" w:rsidRPr="00391A17" w14:paraId="23572118" w14:textId="77777777" w:rsidTr="00834C3C">
        <w:tc>
          <w:tcPr>
            <w:tcW w:w="2943" w:type="dxa"/>
            <w:vMerge w:val="restart"/>
          </w:tcPr>
          <w:p w14:paraId="621FBB56" w14:textId="77777777" w:rsidR="00834C3C" w:rsidRPr="00391A17" w:rsidRDefault="00834C3C" w:rsidP="00284449">
            <w:r w:rsidRPr="00391A17">
              <w:t xml:space="preserve">Gender other genetic and </w:t>
            </w:r>
            <w:r w:rsidRPr="00391A17">
              <w:lastRenderedPageBreak/>
              <w:t>Age Related Differences in PD Response</w:t>
            </w:r>
          </w:p>
        </w:tc>
        <w:tc>
          <w:tcPr>
            <w:tcW w:w="3402" w:type="dxa"/>
          </w:tcPr>
          <w:p w14:paraId="7662CDF2" w14:textId="77777777" w:rsidR="00834C3C" w:rsidRPr="00391A17" w:rsidRDefault="00834C3C" w:rsidP="00284449">
            <w:r w:rsidRPr="00391A17">
              <w:lastRenderedPageBreak/>
              <w:t>Effect of gender</w:t>
            </w:r>
          </w:p>
        </w:tc>
        <w:tc>
          <w:tcPr>
            <w:tcW w:w="2127" w:type="dxa"/>
          </w:tcPr>
          <w:p w14:paraId="4783B8D8" w14:textId="77777777" w:rsidR="00834C3C" w:rsidRPr="00391A17" w:rsidRDefault="00834C3C" w:rsidP="00284449"/>
        </w:tc>
      </w:tr>
      <w:tr w:rsidR="00834C3C" w:rsidRPr="00391A17" w14:paraId="6814DAD9" w14:textId="77777777" w:rsidTr="00834C3C">
        <w:tc>
          <w:tcPr>
            <w:tcW w:w="2943" w:type="dxa"/>
            <w:vMerge/>
          </w:tcPr>
          <w:p w14:paraId="609D5B67" w14:textId="77777777" w:rsidR="00834C3C" w:rsidRPr="00391A17" w:rsidRDefault="00834C3C" w:rsidP="00284449"/>
        </w:tc>
        <w:tc>
          <w:tcPr>
            <w:tcW w:w="3402" w:type="dxa"/>
          </w:tcPr>
          <w:p w14:paraId="0FC8556A" w14:textId="77777777" w:rsidR="00834C3C" w:rsidRPr="00391A17" w:rsidRDefault="00834C3C" w:rsidP="00284449">
            <w:r w:rsidRPr="00391A17">
              <w:t>Effect of genetic characteristic</w:t>
            </w:r>
          </w:p>
        </w:tc>
        <w:tc>
          <w:tcPr>
            <w:tcW w:w="2127" w:type="dxa"/>
          </w:tcPr>
          <w:p w14:paraId="13817291" w14:textId="77777777" w:rsidR="00834C3C" w:rsidRPr="00391A17" w:rsidRDefault="00834C3C" w:rsidP="00284449"/>
        </w:tc>
      </w:tr>
      <w:tr w:rsidR="00834C3C" w:rsidRPr="00391A17" w14:paraId="2B4ED7E7" w14:textId="77777777" w:rsidTr="00834C3C">
        <w:tc>
          <w:tcPr>
            <w:tcW w:w="2943" w:type="dxa"/>
            <w:vMerge/>
          </w:tcPr>
          <w:p w14:paraId="031C9D30" w14:textId="77777777" w:rsidR="00834C3C" w:rsidRPr="00391A17" w:rsidRDefault="00834C3C" w:rsidP="00284449"/>
        </w:tc>
        <w:tc>
          <w:tcPr>
            <w:tcW w:w="3402" w:type="dxa"/>
          </w:tcPr>
          <w:p w14:paraId="7BC6F28E" w14:textId="77777777" w:rsidR="00834C3C" w:rsidRPr="00391A17" w:rsidRDefault="00834C3C" w:rsidP="00284449">
            <w:r w:rsidRPr="00391A17">
              <w:t>Effect of age</w:t>
            </w:r>
          </w:p>
        </w:tc>
        <w:tc>
          <w:tcPr>
            <w:tcW w:w="2127" w:type="dxa"/>
          </w:tcPr>
          <w:p w14:paraId="1A5433AB" w14:textId="77777777" w:rsidR="00834C3C" w:rsidRPr="00391A17" w:rsidRDefault="00834C3C" w:rsidP="00284449"/>
        </w:tc>
      </w:tr>
      <w:tr w:rsidR="00834C3C" w:rsidRPr="00391A17" w14:paraId="3EAA0B53" w14:textId="77777777" w:rsidTr="00834C3C">
        <w:tc>
          <w:tcPr>
            <w:tcW w:w="2943" w:type="dxa"/>
            <w:vMerge/>
          </w:tcPr>
          <w:p w14:paraId="0ABD75EA" w14:textId="77777777" w:rsidR="00834C3C" w:rsidRPr="00391A17" w:rsidRDefault="00834C3C" w:rsidP="00284449"/>
        </w:tc>
        <w:tc>
          <w:tcPr>
            <w:tcW w:w="3402" w:type="dxa"/>
          </w:tcPr>
          <w:p w14:paraId="21613FF1" w14:textId="77777777" w:rsidR="00834C3C" w:rsidRPr="00391A17" w:rsidRDefault="00834C3C" w:rsidP="00284449">
            <w:r w:rsidRPr="00391A17">
              <w:t>Drug itraconazole on QTc</w:t>
            </w:r>
          </w:p>
        </w:tc>
        <w:tc>
          <w:tcPr>
            <w:tcW w:w="2127" w:type="dxa"/>
          </w:tcPr>
          <w:p w14:paraId="2ADEC14A" w14:textId="77777777" w:rsidR="00834C3C" w:rsidRPr="00391A17" w:rsidRDefault="00834C3C" w:rsidP="00284449">
            <w:r w:rsidRPr="00391A17">
              <w:t>D0816C00007</w:t>
            </w:r>
          </w:p>
        </w:tc>
      </w:tr>
      <w:tr w:rsidR="00834C3C" w:rsidRPr="00391A17" w14:paraId="4C3405ED" w14:textId="77777777" w:rsidTr="00834C3C">
        <w:trPr>
          <w:trHeight w:val="531"/>
        </w:trPr>
        <w:tc>
          <w:tcPr>
            <w:tcW w:w="2943" w:type="dxa"/>
          </w:tcPr>
          <w:p w14:paraId="1C814805" w14:textId="77777777" w:rsidR="00834C3C" w:rsidRPr="00391A17" w:rsidRDefault="00834C3C" w:rsidP="00284449">
            <w:r w:rsidRPr="00391A17">
              <w:t>PD Interactions</w:t>
            </w:r>
          </w:p>
        </w:tc>
        <w:tc>
          <w:tcPr>
            <w:tcW w:w="3402" w:type="dxa"/>
          </w:tcPr>
          <w:p w14:paraId="26B4ABA1" w14:textId="77777777" w:rsidR="00834C3C" w:rsidRPr="00391A17" w:rsidRDefault="00834C3C" w:rsidP="00284449">
            <w:r w:rsidRPr="00391A17">
              <w:t>Combined QTc interval</w:t>
            </w:r>
          </w:p>
        </w:tc>
        <w:tc>
          <w:tcPr>
            <w:tcW w:w="2127" w:type="dxa"/>
          </w:tcPr>
          <w:p w14:paraId="7C2901B9" w14:textId="77777777" w:rsidR="00834C3C" w:rsidRPr="00391A17" w:rsidRDefault="00834C3C" w:rsidP="00284449">
            <w:r w:rsidRPr="00391A17">
              <w:t>MS-04</w:t>
            </w:r>
          </w:p>
        </w:tc>
      </w:tr>
      <w:tr w:rsidR="00834C3C" w:rsidRPr="00391A17" w14:paraId="76922B72" w14:textId="77777777" w:rsidTr="00834C3C">
        <w:tc>
          <w:tcPr>
            <w:tcW w:w="2943" w:type="dxa"/>
          </w:tcPr>
          <w:p w14:paraId="02D42859" w14:textId="77777777" w:rsidR="00834C3C" w:rsidRPr="00391A17" w:rsidRDefault="00834C3C" w:rsidP="00284449">
            <w:r w:rsidRPr="00391A17">
              <w:t>Population PD and PK-PD analyses</w:t>
            </w:r>
          </w:p>
        </w:tc>
        <w:tc>
          <w:tcPr>
            <w:tcW w:w="3402" w:type="dxa"/>
          </w:tcPr>
          <w:p w14:paraId="201C8A3E" w14:textId="77777777" w:rsidR="00834C3C" w:rsidRPr="00391A17" w:rsidRDefault="00834C3C" w:rsidP="00284449">
            <w:r w:rsidRPr="00391A17">
              <w:t>Target population</w:t>
            </w:r>
          </w:p>
        </w:tc>
        <w:tc>
          <w:tcPr>
            <w:tcW w:w="2127" w:type="dxa"/>
          </w:tcPr>
          <w:p w14:paraId="01F030F0" w14:textId="77777777" w:rsidR="00834C3C" w:rsidRPr="00391A17" w:rsidRDefault="00834C3C" w:rsidP="00284449">
            <w:r w:rsidRPr="00391A17">
              <w:t>MS-02</w:t>
            </w:r>
          </w:p>
        </w:tc>
      </w:tr>
    </w:tbl>
    <w:p w14:paraId="6099A076" w14:textId="77777777" w:rsidR="00500337" w:rsidRPr="00500337" w:rsidRDefault="00834C3C" w:rsidP="00500337">
      <w:bookmarkStart w:id="82" w:name="_Toc453839422"/>
      <w:r w:rsidRPr="00ED4476">
        <w:t xml:space="preserve">No </w:t>
      </w:r>
      <w:r>
        <w:t>PD</w:t>
      </w:r>
      <w:r w:rsidRPr="00ED4476">
        <w:t xml:space="preserve"> results were excluded from consideration.</w:t>
      </w:r>
      <w:bookmarkEnd w:id="82"/>
    </w:p>
    <w:p w14:paraId="00ADBCF1" w14:textId="77777777" w:rsidR="00605AD4" w:rsidRDefault="00605AD4" w:rsidP="00605AD4">
      <w:pPr>
        <w:pStyle w:val="Heading4"/>
      </w:pPr>
      <w:r>
        <w:t>Evaluator’s conclusions on pharmacodynamics</w:t>
      </w:r>
    </w:p>
    <w:p w14:paraId="24361683" w14:textId="77777777" w:rsidR="00834C3C" w:rsidRDefault="00834C3C" w:rsidP="00834C3C">
      <w:pPr>
        <w:rPr>
          <w:lang w:eastAsia="ja-JP"/>
        </w:rPr>
      </w:pPr>
      <w:r w:rsidRPr="00D07BAD">
        <w:rPr>
          <w:lang w:eastAsia="ja-JP"/>
        </w:rPr>
        <w:t>The inhibition of PARP-1 was evaluated in clinic</w:t>
      </w:r>
      <w:r>
        <w:rPr>
          <w:lang w:eastAsia="ja-JP"/>
        </w:rPr>
        <w:t xml:space="preserve">al </w:t>
      </w:r>
      <w:r w:rsidRPr="00D07BAD">
        <w:rPr>
          <w:lang w:eastAsia="ja-JP"/>
        </w:rPr>
        <w:t>s</w:t>
      </w:r>
      <w:r>
        <w:rPr>
          <w:lang w:eastAsia="ja-JP"/>
        </w:rPr>
        <w:t xml:space="preserve">amples </w:t>
      </w:r>
      <w:r w:rsidR="00613B68">
        <w:rPr>
          <w:lang w:eastAsia="ja-JP"/>
        </w:rPr>
        <w:t>using</w:t>
      </w:r>
      <w:r w:rsidRPr="00D07BAD">
        <w:rPr>
          <w:lang w:eastAsia="ja-JP"/>
        </w:rPr>
        <w:t xml:space="preserve"> peripheral blood mononuclear cells</w:t>
      </w:r>
      <w:r w:rsidR="00F960D8">
        <w:rPr>
          <w:lang w:eastAsia="ja-JP"/>
        </w:rPr>
        <w:t xml:space="preserve"> (PBMC)</w:t>
      </w:r>
      <w:r>
        <w:rPr>
          <w:lang w:eastAsia="ja-JP"/>
        </w:rPr>
        <w:t>.</w:t>
      </w:r>
      <w:r w:rsidRPr="00045065">
        <w:t xml:space="preserve"> </w:t>
      </w:r>
      <w:r>
        <w:rPr>
          <w:lang w:eastAsia="ja-JP"/>
        </w:rPr>
        <w:t>I</w:t>
      </w:r>
      <w:r w:rsidRPr="00045065">
        <w:rPr>
          <w:lang w:eastAsia="ja-JP"/>
        </w:rPr>
        <w:t xml:space="preserve">nhibition </w:t>
      </w:r>
      <w:r>
        <w:rPr>
          <w:lang w:eastAsia="ja-JP"/>
        </w:rPr>
        <w:t>after</w:t>
      </w:r>
      <w:r w:rsidRPr="00045065">
        <w:rPr>
          <w:lang w:eastAsia="ja-JP"/>
        </w:rPr>
        <w:t xml:space="preserve"> single</w:t>
      </w:r>
      <w:r>
        <w:rPr>
          <w:lang w:eastAsia="ja-JP"/>
        </w:rPr>
        <w:t xml:space="preserve"> and repeated</w:t>
      </w:r>
      <w:r w:rsidRPr="00045065">
        <w:rPr>
          <w:lang w:eastAsia="ja-JP"/>
        </w:rPr>
        <w:t xml:space="preserve"> doses showed high variability</w:t>
      </w:r>
      <w:r>
        <w:rPr>
          <w:lang w:eastAsia="ja-JP"/>
        </w:rPr>
        <w:t>,</w:t>
      </w:r>
      <w:r w:rsidRPr="00045065">
        <w:t xml:space="preserve"> </w:t>
      </w:r>
      <w:r w:rsidRPr="00045065">
        <w:rPr>
          <w:lang w:eastAsia="ja-JP"/>
        </w:rPr>
        <w:t>between 20 and 80%</w:t>
      </w:r>
      <w:r>
        <w:rPr>
          <w:lang w:eastAsia="ja-JP"/>
        </w:rPr>
        <w:t>. These studies did not demonstrate a dose response relationship for the extent of PARP inhibition. Studies of the effect of olaparib on QTc intervals showed that the drug caused minimal clinically meaningful</w:t>
      </w:r>
      <w:r w:rsidRPr="00811E2F">
        <w:rPr>
          <w:lang w:eastAsia="ja-JP"/>
        </w:rPr>
        <w:t xml:space="preserve"> </w:t>
      </w:r>
      <w:r w:rsidR="00F960D8">
        <w:rPr>
          <w:lang w:eastAsia="ja-JP"/>
        </w:rPr>
        <w:t>changes even when co </w:t>
      </w:r>
      <w:r>
        <w:rPr>
          <w:lang w:eastAsia="ja-JP"/>
        </w:rPr>
        <w:t>administered with itraconazole a CYP3A4 inhibitor. There was no simple relationship between olaparib concentrations and side effects.</w:t>
      </w:r>
    </w:p>
    <w:p w14:paraId="4A0A5278" w14:textId="77777777" w:rsidR="00500337" w:rsidRPr="00500337" w:rsidRDefault="00834C3C" w:rsidP="00500337">
      <w:pPr>
        <w:rPr>
          <w:lang w:eastAsia="ja-JP"/>
        </w:rPr>
      </w:pPr>
      <w:r>
        <w:rPr>
          <w:lang w:eastAsia="ja-JP"/>
        </w:rPr>
        <w:t>The studies that were presented were appropriately designed. Data presented in the PI and CMI adequately reflect the results of the studies presented.</w:t>
      </w:r>
    </w:p>
    <w:p w14:paraId="090A9163" w14:textId="77777777" w:rsidR="008E7846" w:rsidRDefault="00605AD4" w:rsidP="00605AD4">
      <w:pPr>
        <w:pStyle w:val="Heading3"/>
      </w:pPr>
      <w:bookmarkStart w:id="83" w:name="_Toc23326211"/>
      <w:r>
        <w:t>Dosage selection for the pivotal studies</w:t>
      </w:r>
      <w:bookmarkEnd w:id="83"/>
    </w:p>
    <w:p w14:paraId="75783F34" w14:textId="77777777" w:rsidR="00834C3C" w:rsidRPr="00545B14" w:rsidRDefault="00834C3C" w:rsidP="00834C3C">
      <w:pPr>
        <w:pStyle w:val="Heading4"/>
      </w:pPr>
      <w:bookmarkStart w:id="84" w:name="_Toc416353695"/>
      <w:bookmarkStart w:id="85" w:name="_Toc421005262"/>
      <w:bookmarkStart w:id="86" w:name="_Toc432079144"/>
      <w:bookmarkStart w:id="87" w:name="_Toc432080717"/>
      <w:bookmarkStart w:id="88" w:name="_Toc505155565"/>
      <w:r w:rsidRPr="005C1900">
        <w:t>Pharmacokinetics</w:t>
      </w:r>
      <w:r>
        <w:t xml:space="preserve"> and pharmacodynamics: dos</w:t>
      </w:r>
      <w:r w:rsidRPr="00545B14">
        <w:t xml:space="preserve">e </w:t>
      </w:r>
      <w:r>
        <w:t>finding</w:t>
      </w:r>
      <w:r w:rsidRPr="00545B14">
        <w:t xml:space="preserve"> </w:t>
      </w:r>
      <w:r>
        <w:t>s</w:t>
      </w:r>
      <w:r w:rsidRPr="00545B14">
        <w:t>tudies</w:t>
      </w:r>
      <w:bookmarkEnd w:id="84"/>
      <w:bookmarkEnd w:id="85"/>
      <w:bookmarkEnd w:id="86"/>
      <w:bookmarkEnd w:id="87"/>
      <w:bookmarkEnd w:id="88"/>
    </w:p>
    <w:p w14:paraId="211DAF98" w14:textId="77777777" w:rsidR="00CA1EAE" w:rsidRDefault="00834C3C" w:rsidP="00834C3C">
      <w:pPr>
        <w:rPr>
          <w:lang w:eastAsia="ja-JP"/>
        </w:rPr>
      </w:pPr>
      <w:r>
        <w:rPr>
          <w:lang w:eastAsia="ja-JP"/>
        </w:rPr>
        <w:t xml:space="preserve">The 300 mg </w:t>
      </w:r>
      <w:r w:rsidR="00C920E8">
        <w:rPr>
          <w:lang w:eastAsia="ja-JP"/>
        </w:rPr>
        <w:t>BID</w:t>
      </w:r>
      <w:r>
        <w:rPr>
          <w:lang w:eastAsia="ja-JP"/>
        </w:rPr>
        <w:t xml:space="preserve"> tablet dose was selected as the dose/schedule for Phase III on the basis of having similar efficacy in terms of tumour shrinkage in advanced </w:t>
      </w:r>
      <w:r w:rsidRPr="001F5DE1">
        <w:rPr>
          <w:lang w:eastAsia="ja-JP"/>
        </w:rPr>
        <w:t>g</w:t>
      </w:r>
      <w:r w:rsidR="00F960D8">
        <w:rPr>
          <w:lang w:eastAsia="ja-JP"/>
        </w:rPr>
        <w:t xml:space="preserve">ermline </w:t>
      </w:r>
      <w:r w:rsidRPr="001F5DE1">
        <w:rPr>
          <w:lang w:eastAsia="ja-JP"/>
        </w:rPr>
        <w:t xml:space="preserve">BRCA </w:t>
      </w:r>
      <w:r>
        <w:rPr>
          <w:lang w:eastAsia="ja-JP"/>
        </w:rPr>
        <w:t xml:space="preserve">mutated ovarian cancer patients to the 400 mg </w:t>
      </w:r>
      <w:r w:rsidR="00C920E8">
        <w:rPr>
          <w:lang w:eastAsia="ja-JP"/>
        </w:rPr>
        <w:t>BID</w:t>
      </w:r>
      <w:r>
        <w:rPr>
          <w:lang w:eastAsia="ja-JP"/>
        </w:rPr>
        <w:t xml:space="preserve"> capsule (</w:t>
      </w:r>
      <w:r w:rsidRPr="00ED4476">
        <w:rPr>
          <w:rFonts w:eastAsia="Calibri"/>
          <w:smallCaps/>
        </w:rPr>
        <w:t>D0801C0024</w:t>
      </w:r>
      <w:r w:rsidRPr="00ED4476">
        <w:rPr>
          <w:lang w:eastAsia="ja-JP"/>
        </w:rPr>
        <w:t>)</w:t>
      </w:r>
      <w:r>
        <w:rPr>
          <w:lang w:eastAsia="ja-JP"/>
        </w:rPr>
        <w:t xml:space="preserve"> and having an acceptable tolerability profile</w:t>
      </w:r>
      <w:r w:rsidR="00CA1EAE">
        <w:rPr>
          <w:lang w:eastAsia="ja-JP"/>
        </w:rPr>
        <w:t>.</w:t>
      </w:r>
    </w:p>
    <w:p w14:paraId="0AE61DE2" w14:textId="77777777" w:rsidR="00834C3C" w:rsidRDefault="00834C3C" w:rsidP="00834C3C">
      <w:pPr>
        <w:rPr>
          <w:lang w:eastAsia="ja-JP"/>
        </w:rPr>
      </w:pPr>
      <w:r>
        <w:rPr>
          <w:lang w:eastAsia="ja-JP"/>
        </w:rPr>
        <w:t>The dose sel</w:t>
      </w:r>
      <w:r w:rsidR="00F960D8">
        <w:rPr>
          <w:lang w:eastAsia="ja-JP"/>
        </w:rPr>
        <w:t>ection was supported by the non</w:t>
      </w:r>
      <w:r>
        <w:rPr>
          <w:lang w:eastAsia="ja-JP"/>
        </w:rPr>
        <w:t>clinical PK</w:t>
      </w:r>
      <w:r w:rsidR="00F960D8">
        <w:rPr>
          <w:lang w:eastAsia="ja-JP"/>
        </w:rPr>
        <w:t>/</w:t>
      </w:r>
      <w:r>
        <w:rPr>
          <w:lang w:eastAsia="ja-JP"/>
        </w:rPr>
        <w:t xml:space="preserve">PD modelling conducted in </w:t>
      </w:r>
      <w:r w:rsidR="00600C79">
        <w:rPr>
          <w:lang w:eastAsia="ja-JP"/>
        </w:rPr>
        <w:t>mice</w:t>
      </w:r>
      <w:r>
        <w:rPr>
          <w:lang w:eastAsia="ja-JP"/>
        </w:rPr>
        <w:t xml:space="preserve"> and based on the IC</w:t>
      </w:r>
      <w:r w:rsidRPr="00F95EFA">
        <w:rPr>
          <w:vertAlign w:val="subscript"/>
          <w:lang w:eastAsia="ja-JP"/>
        </w:rPr>
        <w:t>50</w:t>
      </w:r>
      <w:r>
        <w:rPr>
          <w:lang w:eastAsia="ja-JP"/>
        </w:rPr>
        <w:t xml:space="preserve"> and IC</w:t>
      </w:r>
      <w:r w:rsidRPr="00F95EFA">
        <w:rPr>
          <w:vertAlign w:val="subscript"/>
          <w:lang w:eastAsia="ja-JP"/>
        </w:rPr>
        <w:t>90</w:t>
      </w:r>
      <w:r>
        <w:rPr>
          <w:lang w:eastAsia="ja-JP"/>
        </w:rPr>
        <w:t xml:space="preserve"> PARP inhibition threshold and cover which identified the olaparib tumour IC</w:t>
      </w:r>
      <w:r w:rsidRPr="00F95EFA">
        <w:rPr>
          <w:vertAlign w:val="subscript"/>
          <w:lang w:eastAsia="ja-JP"/>
        </w:rPr>
        <w:t>50</w:t>
      </w:r>
      <w:r>
        <w:rPr>
          <w:lang w:eastAsia="ja-JP"/>
        </w:rPr>
        <w:t xml:space="preserve"> of PARP as being 24.3 ng/mL (56 nM) and the IC</w:t>
      </w:r>
      <w:r w:rsidRPr="00F95EFA">
        <w:rPr>
          <w:vertAlign w:val="subscript"/>
          <w:lang w:eastAsia="ja-JP"/>
        </w:rPr>
        <w:t>90</w:t>
      </w:r>
      <w:r>
        <w:rPr>
          <w:lang w:eastAsia="ja-JP"/>
        </w:rPr>
        <w:t xml:space="preserve"> of PARP as being 165.1 ng/mL (380 nM). Retrospective evaluation of the clinical exposure data has been conducted to compare the geometric mean free steady state trough plasma concentration (±</w:t>
      </w:r>
      <w:r w:rsidR="00F960D8">
        <w:rPr>
          <w:lang w:eastAsia="ja-JP"/>
        </w:rPr>
        <w:t xml:space="preserve"> 90% </w:t>
      </w:r>
      <w:r w:rsidR="00A55817">
        <w:rPr>
          <w:lang w:eastAsia="ja-JP"/>
        </w:rPr>
        <w:t xml:space="preserve">confidence interval </w:t>
      </w:r>
      <w:r w:rsidR="003C2823">
        <w:rPr>
          <w:lang w:eastAsia="ja-JP"/>
        </w:rPr>
        <w:t>(</w:t>
      </w:r>
      <w:r w:rsidR="00F960D8">
        <w:rPr>
          <w:lang w:eastAsia="ja-JP"/>
        </w:rPr>
        <w:t>CI</w:t>
      </w:r>
      <w:r w:rsidR="003C2823">
        <w:rPr>
          <w:lang w:eastAsia="ja-JP"/>
        </w:rPr>
        <w:t>)</w:t>
      </w:r>
      <w:r w:rsidR="00F960D8">
        <w:rPr>
          <w:lang w:eastAsia="ja-JP"/>
        </w:rPr>
        <w:t>) with the estimated non</w:t>
      </w:r>
      <w:r>
        <w:rPr>
          <w:lang w:eastAsia="ja-JP"/>
        </w:rPr>
        <w:t>clinical IC</w:t>
      </w:r>
      <w:r w:rsidRPr="00F95EFA">
        <w:rPr>
          <w:vertAlign w:val="subscript"/>
          <w:lang w:eastAsia="ja-JP"/>
        </w:rPr>
        <w:t>90</w:t>
      </w:r>
      <w:r>
        <w:rPr>
          <w:lang w:eastAsia="ja-JP"/>
        </w:rPr>
        <w:t xml:space="preserve"> value (and its 95% CI). This analysis has shown a 300 mg </w:t>
      </w:r>
      <w:r w:rsidR="00C920E8">
        <w:rPr>
          <w:lang w:eastAsia="ja-JP"/>
        </w:rPr>
        <w:t>BID</w:t>
      </w:r>
      <w:r>
        <w:rPr>
          <w:lang w:eastAsia="ja-JP"/>
        </w:rPr>
        <w:t xml:space="preserve"> tablet would be expected to maintain plasma concentrations above the IC</w:t>
      </w:r>
      <w:r w:rsidRPr="00F95EFA">
        <w:rPr>
          <w:vertAlign w:val="subscript"/>
          <w:lang w:eastAsia="ja-JP"/>
        </w:rPr>
        <w:t>90</w:t>
      </w:r>
      <w:r>
        <w:rPr>
          <w:lang w:eastAsia="ja-JP"/>
        </w:rPr>
        <w:t xml:space="preserve"> (and its upper 95% CI) across the full dosing interval, that is</w:t>
      </w:r>
      <w:r w:rsidR="00F960D8">
        <w:rPr>
          <w:lang w:eastAsia="ja-JP"/>
        </w:rPr>
        <w:t>,</w:t>
      </w:r>
      <w:r>
        <w:rPr>
          <w:lang w:eastAsia="ja-JP"/>
        </w:rPr>
        <w:t xml:space="preserve"> 12 hours. In contrast, a dose of 100 mg </w:t>
      </w:r>
      <w:r w:rsidR="00C920E8">
        <w:rPr>
          <w:lang w:eastAsia="ja-JP"/>
        </w:rPr>
        <w:t>BID</w:t>
      </w:r>
      <w:r>
        <w:rPr>
          <w:lang w:eastAsia="ja-JP"/>
        </w:rPr>
        <w:t xml:space="preserve"> capsule results in plasma concentrations in the majority of patients lower than the IC</w:t>
      </w:r>
      <w:r w:rsidRPr="00F95EFA">
        <w:rPr>
          <w:vertAlign w:val="subscript"/>
          <w:lang w:eastAsia="ja-JP"/>
        </w:rPr>
        <w:t>90</w:t>
      </w:r>
      <w:r>
        <w:rPr>
          <w:lang w:eastAsia="ja-JP"/>
        </w:rPr>
        <w:t>.</w:t>
      </w:r>
    </w:p>
    <w:p w14:paraId="39151B67" w14:textId="77777777" w:rsidR="00834C3C" w:rsidRDefault="00834C3C" w:rsidP="00834C3C">
      <w:pPr>
        <w:rPr>
          <w:lang w:eastAsia="ja-JP"/>
        </w:rPr>
      </w:pPr>
      <w:r>
        <w:rPr>
          <w:lang w:eastAsia="ja-JP"/>
        </w:rPr>
        <w:t xml:space="preserve">The inhibition of PARP-1 was also evaluated in clinics but using the PBMC in blood </w:t>
      </w:r>
      <w:r w:rsidRPr="00ED4476">
        <w:rPr>
          <w:lang w:eastAsia="ja-JP"/>
        </w:rPr>
        <w:t>(</w:t>
      </w:r>
      <w:r w:rsidRPr="00ED4476">
        <w:rPr>
          <w:rFonts w:eastAsia="Calibri"/>
          <w:smallCaps/>
        </w:rPr>
        <w:t xml:space="preserve">D0801C0024 </w:t>
      </w:r>
      <w:r w:rsidRPr="00ED4476">
        <w:rPr>
          <w:lang w:eastAsia="ja-JP"/>
        </w:rPr>
        <w:t>with</w:t>
      </w:r>
      <w:r>
        <w:rPr>
          <w:lang w:eastAsia="ja-JP"/>
        </w:rPr>
        <w:t xml:space="preserve"> capsule and tablet formulations and in </w:t>
      </w:r>
      <w:r w:rsidR="00E43D9C">
        <w:rPr>
          <w:lang w:eastAsia="ja-JP"/>
        </w:rPr>
        <w:t>Japanese S</w:t>
      </w:r>
      <w:r w:rsidRPr="00ED4476">
        <w:rPr>
          <w:lang w:eastAsia="ja-JP"/>
        </w:rPr>
        <w:t>tudy D0810C00001</w:t>
      </w:r>
      <w:r>
        <w:rPr>
          <w:lang w:eastAsia="ja-JP"/>
        </w:rPr>
        <w:t xml:space="preserve"> with olaparib capsule). There was no evidence of any dose relationship in the extent of inhibition achieved in those two studies.</w:t>
      </w:r>
    </w:p>
    <w:p w14:paraId="79C91003" w14:textId="77777777" w:rsidR="00834C3C" w:rsidRPr="00545B14" w:rsidRDefault="00834C3C" w:rsidP="00834C3C">
      <w:pPr>
        <w:pStyle w:val="Heading4"/>
      </w:pPr>
      <w:bookmarkStart w:id="89" w:name="_Toc416353696"/>
      <w:bookmarkStart w:id="90" w:name="_Toc421005263"/>
      <w:bookmarkStart w:id="91" w:name="_Toc432079145"/>
      <w:bookmarkStart w:id="92" w:name="_Toc432080718"/>
      <w:bookmarkStart w:id="93" w:name="_Toc505155566"/>
      <w:r>
        <w:lastRenderedPageBreak/>
        <w:t>Phase II</w:t>
      </w:r>
      <w:r w:rsidRPr="00545B14">
        <w:t xml:space="preserve"> </w:t>
      </w:r>
      <w:r>
        <w:t>d</w:t>
      </w:r>
      <w:r w:rsidRPr="00545B14">
        <w:t xml:space="preserve">ose </w:t>
      </w:r>
      <w:r>
        <w:t>finding</w:t>
      </w:r>
      <w:r w:rsidRPr="00545B14">
        <w:t xml:space="preserve"> </w:t>
      </w:r>
      <w:r>
        <w:t>s</w:t>
      </w:r>
      <w:r w:rsidRPr="00545B14">
        <w:t>tudies</w:t>
      </w:r>
      <w:bookmarkEnd w:id="89"/>
      <w:bookmarkEnd w:id="90"/>
      <w:bookmarkEnd w:id="91"/>
      <w:bookmarkEnd w:id="92"/>
      <w:bookmarkEnd w:id="93"/>
    </w:p>
    <w:p w14:paraId="31783BE0" w14:textId="77777777" w:rsidR="00834C3C" w:rsidRDefault="00834C3C" w:rsidP="00834C3C">
      <w:pPr>
        <w:rPr>
          <w:lang w:eastAsia="ja-JP"/>
        </w:rPr>
      </w:pPr>
      <w:r>
        <w:rPr>
          <w:lang w:eastAsia="ja-JP"/>
        </w:rPr>
        <w:t>Study 09 was a Phase II,</w:t>
      </w:r>
      <w:r w:rsidR="00F960D8">
        <w:rPr>
          <w:lang w:eastAsia="ja-JP"/>
        </w:rPr>
        <w:t xml:space="preserve"> open </w:t>
      </w:r>
      <w:r>
        <w:rPr>
          <w:lang w:eastAsia="ja-JP"/>
        </w:rPr>
        <w:t xml:space="preserve">label comparison of two doses of olaparib capsules in patients with advanced ovarian. The overall response rates were clearly superior in the group given 400 mg </w:t>
      </w:r>
      <w:r w:rsidR="00C920E8">
        <w:rPr>
          <w:lang w:eastAsia="ja-JP"/>
        </w:rPr>
        <w:t>BID</w:t>
      </w:r>
      <w:r>
        <w:rPr>
          <w:lang w:eastAsia="ja-JP"/>
        </w:rPr>
        <w:t xml:space="preserve"> (33.3%), compared with the group given 100 mg </w:t>
      </w:r>
      <w:r w:rsidR="00C920E8">
        <w:rPr>
          <w:lang w:eastAsia="ja-JP"/>
        </w:rPr>
        <w:t>BID</w:t>
      </w:r>
      <w:r>
        <w:rPr>
          <w:lang w:eastAsia="ja-JP"/>
        </w:rPr>
        <w:t xml:space="preserve"> (12.5%). Study 12 was a Phase II, o</w:t>
      </w:r>
      <w:r w:rsidR="00F960D8">
        <w:rPr>
          <w:lang w:eastAsia="ja-JP"/>
        </w:rPr>
        <w:t xml:space="preserve">pen </w:t>
      </w:r>
      <w:r>
        <w:rPr>
          <w:lang w:eastAsia="ja-JP"/>
        </w:rPr>
        <w:t xml:space="preserve">label comparison of two doses of olaparib capsules versus liposomal doxorubicin in patients with advanced ovarian </w:t>
      </w:r>
      <w:r w:rsidR="00F960D8">
        <w:rPr>
          <w:lang w:eastAsia="ja-JP"/>
        </w:rPr>
        <w:t>cancer. PFS in the olaparib 400 </w:t>
      </w:r>
      <w:r>
        <w:rPr>
          <w:lang w:eastAsia="ja-JP"/>
        </w:rPr>
        <w:t xml:space="preserve">mg </w:t>
      </w:r>
      <w:r w:rsidR="00C920E8">
        <w:rPr>
          <w:lang w:eastAsia="ja-JP"/>
        </w:rPr>
        <w:t>BID</w:t>
      </w:r>
      <w:r>
        <w:rPr>
          <w:lang w:eastAsia="ja-JP"/>
        </w:rPr>
        <w:t xml:space="preserve"> group was numerically superior to the 200 mg </w:t>
      </w:r>
      <w:r w:rsidR="00C920E8">
        <w:rPr>
          <w:lang w:eastAsia="ja-JP"/>
        </w:rPr>
        <w:t>BID</w:t>
      </w:r>
      <w:r>
        <w:rPr>
          <w:lang w:eastAsia="ja-JP"/>
        </w:rPr>
        <w:t xml:space="preserve"> group but the difference was not statistically significant.</w:t>
      </w:r>
    </w:p>
    <w:p w14:paraId="6C9DD2B8" w14:textId="77777777" w:rsidR="00834C3C" w:rsidRPr="00670FF0" w:rsidRDefault="00834C3C" w:rsidP="00834C3C">
      <w:pPr>
        <w:pStyle w:val="Heading4"/>
      </w:pPr>
      <w:bookmarkStart w:id="94" w:name="_Toc416353712"/>
      <w:bookmarkStart w:id="95" w:name="_Toc421005265"/>
      <w:bookmarkStart w:id="96" w:name="_Toc432079147"/>
      <w:bookmarkStart w:id="97" w:name="_Toc432080720"/>
      <w:bookmarkStart w:id="98" w:name="_Toc505155567"/>
      <w:r>
        <w:t>Phase III</w:t>
      </w:r>
      <w:r w:rsidRPr="00670FF0">
        <w:t xml:space="preserve"> pivotal studies investigating more than one dose regimen</w:t>
      </w:r>
      <w:bookmarkEnd w:id="94"/>
      <w:bookmarkEnd w:id="95"/>
      <w:bookmarkEnd w:id="96"/>
      <w:bookmarkEnd w:id="97"/>
      <w:bookmarkEnd w:id="98"/>
    </w:p>
    <w:p w14:paraId="7DA9CE95" w14:textId="5F68E7A4" w:rsidR="00834C3C" w:rsidRDefault="00CD4D1E" w:rsidP="00834C3C">
      <w:pPr>
        <w:rPr>
          <w:lang w:eastAsia="ja-JP"/>
        </w:rPr>
      </w:pPr>
      <w:r>
        <w:rPr>
          <w:lang w:eastAsia="ja-JP"/>
        </w:rPr>
        <w:t xml:space="preserve">In the pivotal Phase II Study </w:t>
      </w:r>
      <w:r w:rsidR="00834C3C">
        <w:rPr>
          <w:lang w:eastAsia="ja-JP"/>
        </w:rPr>
        <w:t xml:space="preserve">19, patients with advanced ovarian cancer were treated with olaparib given as capsules 400 mg </w:t>
      </w:r>
      <w:r w:rsidR="00C920E8">
        <w:rPr>
          <w:lang w:eastAsia="ja-JP"/>
        </w:rPr>
        <w:t>BID</w:t>
      </w:r>
      <w:r w:rsidR="00834C3C">
        <w:rPr>
          <w:lang w:eastAsia="ja-JP"/>
        </w:rPr>
        <w:t xml:space="preserve">. In the pivotal Phase III </w:t>
      </w:r>
      <w:r w:rsidR="00205AC8">
        <w:rPr>
          <w:lang w:eastAsia="ja-JP"/>
        </w:rPr>
        <w:t>SOLO-2</w:t>
      </w:r>
      <w:r w:rsidR="00B12E0A">
        <w:rPr>
          <w:lang w:eastAsia="ja-JP"/>
        </w:rPr>
        <w:t xml:space="preserve"> trial</w:t>
      </w:r>
      <w:r w:rsidR="00834C3C">
        <w:rPr>
          <w:lang w:eastAsia="ja-JP"/>
        </w:rPr>
        <w:t xml:space="preserve">, patients with advanced ovarian cancer were treated with olaparib given as tablets 300 mg </w:t>
      </w:r>
      <w:r w:rsidR="00C920E8">
        <w:rPr>
          <w:lang w:eastAsia="ja-JP"/>
        </w:rPr>
        <w:t>BID</w:t>
      </w:r>
      <w:r w:rsidR="00834C3C">
        <w:rPr>
          <w:lang w:eastAsia="ja-JP"/>
        </w:rPr>
        <w:t>. Only one dose was investigated in each study.</w:t>
      </w:r>
    </w:p>
    <w:p w14:paraId="76672023" w14:textId="77777777" w:rsidR="00834C3C" w:rsidRDefault="00834C3C" w:rsidP="00834C3C">
      <w:pPr>
        <w:pStyle w:val="Heading4"/>
      </w:pPr>
      <w:bookmarkStart w:id="99" w:name="_Toc416353713"/>
      <w:bookmarkStart w:id="100" w:name="_Toc421005266"/>
      <w:bookmarkStart w:id="101" w:name="_Toc432079148"/>
      <w:bookmarkStart w:id="102" w:name="_Toc432080721"/>
      <w:bookmarkStart w:id="103" w:name="_Toc505155568"/>
      <w:r>
        <w:t>Evaluator’s conclusions on dos</w:t>
      </w:r>
      <w:r w:rsidRPr="00670FF0">
        <w:t>e finding for the pivotal studies</w:t>
      </w:r>
      <w:bookmarkEnd w:id="99"/>
      <w:bookmarkEnd w:id="100"/>
      <w:bookmarkEnd w:id="101"/>
      <w:bookmarkEnd w:id="102"/>
      <w:bookmarkEnd w:id="103"/>
    </w:p>
    <w:p w14:paraId="6D48E236" w14:textId="4539F612" w:rsidR="00834C3C" w:rsidRDefault="004A1DF2" w:rsidP="00834C3C">
      <w:pPr>
        <w:rPr>
          <w:lang w:eastAsia="ja-JP"/>
        </w:rPr>
      </w:pPr>
      <w:r w:rsidRPr="00F03718">
        <w:rPr>
          <w:lang w:eastAsia="ja-JP"/>
        </w:rPr>
        <w:t>Tablet and capsule are not strictly bioequivalent.</w:t>
      </w:r>
      <w:r w:rsidDel="004A1DF2">
        <w:rPr>
          <w:rStyle w:val="CommentReference"/>
        </w:rPr>
        <w:t xml:space="preserve"> </w:t>
      </w:r>
      <w:r w:rsidR="00834C3C" w:rsidRPr="00F03718">
        <w:rPr>
          <w:lang w:eastAsia="ja-JP"/>
        </w:rPr>
        <w:t>At doses of up to 100 mg, the capsule and</w:t>
      </w:r>
      <w:r w:rsidR="00834C3C">
        <w:rPr>
          <w:lang w:eastAsia="ja-JP"/>
        </w:rPr>
        <w:t xml:space="preserve"> tablet ha</w:t>
      </w:r>
      <w:r w:rsidR="00F960D8">
        <w:rPr>
          <w:lang w:eastAsia="ja-JP"/>
        </w:rPr>
        <w:t>d similar extent of absorption.</w:t>
      </w:r>
      <w:r w:rsidR="00834C3C">
        <w:rPr>
          <w:lang w:eastAsia="ja-JP"/>
        </w:rPr>
        <w:t xml:space="preserve"> At higher doses, the tablet formulation had consistently higher relative bioavailability than the capsule. Tablet doses of 300 mg </w:t>
      </w:r>
      <w:r w:rsidR="00C920E8">
        <w:rPr>
          <w:lang w:eastAsia="ja-JP"/>
        </w:rPr>
        <w:t>BID</w:t>
      </w:r>
      <w:r w:rsidR="00834C3C">
        <w:rPr>
          <w:lang w:eastAsia="ja-JP"/>
        </w:rPr>
        <w:t xml:space="preserve"> and 400 mg </w:t>
      </w:r>
      <w:r w:rsidR="00C920E8">
        <w:rPr>
          <w:lang w:eastAsia="ja-JP"/>
        </w:rPr>
        <w:t>BID</w:t>
      </w:r>
      <w:r w:rsidR="00834C3C">
        <w:rPr>
          <w:lang w:eastAsia="ja-JP"/>
        </w:rPr>
        <w:t xml:space="preserve"> delivered mean steady state C</w:t>
      </w:r>
      <w:r w:rsidR="00834C3C" w:rsidRPr="00F03718">
        <w:rPr>
          <w:vertAlign w:val="subscript"/>
          <w:lang w:eastAsia="ja-JP"/>
        </w:rPr>
        <w:t>max,ss</w:t>
      </w:r>
      <w:r w:rsidR="00834C3C">
        <w:rPr>
          <w:lang w:eastAsia="ja-JP"/>
        </w:rPr>
        <w:t>, AUC</w:t>
      </w:r>
      <w:r w:rsidR="00834C3C" w:rsidRPr="00F03718">
        <w:rPr>
          <w:vertAlign w:val="subscript"/>
          <w:lang w:eastAsia="ja-JP"/>
        </w:rPr>
        <w:t>ss</w:t>
      </w:r>
      <w:r w:rsidR="00834C3C">
        <w:rPr>
          <w:lang w:eastAsia="ja-JP"/>
        </w:rPr>
        <w:t xml:space="preserve"> and minimum observed plasma concentration (C</w:t>
      </w:r>
      <w:r w:rsidR="00834C3C" w:rsidRPr="00F03718">
        <w:rPr>
          <w:vertAlign w:val="subscript"/>
          <w:lang w:eastAsia="ja-JP"/>
        </w:rPr>
        <w:t>min,ss</w:t>
      </w:r>
      <w:r w:rsidR="00834C3C">
        <w:rPr>
          <w:lang w:eastAsia="ja-JP"/>
        </w:rPr>
        <w:t>) values which were a</w:t>
      </w:r>
      <w:r w:rsidR="00F960D8">
        <w:rPr>
          <w:lang w:eastAsia="ja-JP"/>
        </w:rPr>
        <w:t xml:space="preserve">ll in excess (approximately 1.5 and 2.0 </w:t>
      </w:r>
      <w:r w:rsidR="00834C3C">
        <w:rPr>
          <w:lang w:eastAsia="ja-JP"/>
        </w:rPr>
        <w:t xml:space="preserve">fold higher) of those delivered by the 400 mg </w:t>
      </w:r>
      <w:r w:rsidR="00C920E8">
        <w:rPr>
          <w:lang w:eastAsia="ja-JP"/>
        </w:rPr>
        <w:t>BID</w:t>
      </w:r>
      <w:r w:rsidR="00834C3C">
        <w:rPr>
          <w:lang w:eastAsia="ja-JP"/>
        </w:rPr>
        <w:t xml:space="preserve"> capsule dose.</w:t>
      </w:r>
    </w:p>
    <w:p w14:paraId="201B296E" w14:textId="0D729636" w:rsidR="00834C3C" w:rsidRPr="00834C3C" w:rsidRDefault="00834C3C" w:rsidP="00834C3C">
      <w:pPr>
        <w:rPr>
          <w:lang w:eastAsia="ja-JP"/>
        </w:rPr>
      </w:pPr>
      <w:r>
        <w:rPr>
          <w:lang w:eastAsia="ja-JP"/>
        </w:rPr>
        <w:t xml:space="preserve">Dose finding for the pivotal studies is satisfactory. Dose finding studies in patients with advanced disease are limited by ethical constraints. In exploratory Phase II studies, the efficacy of the approved dose of 400 mg </w:t>
      </w:r>
      <w:r w:rsidR="00C920E8">
        <w:rPr>
          <w:lang w:eastAsia="ja-JP"/>
        </w:rPr>
        <w:t>BID</w:t>
      </w:r>
      <w:r>
        <w:rPr>
          <w:lang w:eastAsia="ja-JP"/>
        </w:rPr>
        <w:t xml:space="preserve"> for the capsule formulation was clearly superior to 100 mg </w:t>
      </w:r>
      <w:r w:rsidR="00C920E8">
        <w:rPr>
          <w:lang w:eastAsia="ja-JP"/>
        </w:rPr>
        <w:t>BID</w:t>
      </w:r>
      <w:r>
        <w:rPr>
          <w:lang w:eastAsia="ja-JP"/>
        </w:rPr>
        <w:t xml:space="preserve">, and marginally superior to 200 mg </w:t>
      </w:r>
      <w:r w:rsidR="00C920E8">
        <w:rPr>
          <w:lang w:eastAsia="ja-JP"/>
        </w:rPr>
        <w:t>BID</w:t>
      </w:r>
      <w:r w:rsidR="00F960D8">
        <w:rPr>
          <w:lang w:eastAsia="ja-JP"/>
        </w:rPr>
        <w:t xml:space="preserve">. </w:t>
      </w:r>
      <w:r>
        <w:rPr>
          <w:lang w:eastAsia="ja-JP"/>
        </w:rPr>
        <w:t>Th</w:t>
      </w:r>
      <w:r w:rsidR="00F960D8">
        <w:rPr>
          <w:lang w:eastAsia="ja-JP"/>
        </w:rPr>
        <w:t>e efficacy of the 300 </w:t>
      </w:r>
      <w:r>
        <w:rPr>
          <w:lang w:eastAsia="ja-JP"/>
        </w:rPr>
        <w:t xml:space="preserve">mg </w:t>
      </w:r>
      <w:r w:rsidR="00C920E8">
        <w:rPr>
          <w:lang w:eastAsia="ja-JP"/>
        </w:rPr>
        <w:t>BID</w:t>
      </w:r>
      <w:r>
        <w:rPr>
          <w:lang w:eastAsia="ja-JP"/>
        </w:rPr>
        <w:t xml:space="preserve"> tablet formulation was investig</w:t>
      </w:r>
      <w:r w:rsidR="00C500FE">
        <w:rPr>
          <w:lang w:eastAsia="ja-JP"/>
        </w:rPr>
        <w:t xml:space="preserve">ated in the Phase III </w:t>
      </w:r>
      <w:r w:rsidR="00205AC8">
        <w:rPr>
          <w:lang w:eastAsia="ja-JP"/>
        </w:rPr>
        <w:t>SOLO-2</w:t>
      </w:r>
      <w:r w:rsidR="00B12E0A">
        <w:rPr>
          <w:lang w:eastAsia="ja-JP"/>
        </w:rPr>
        <w:t xml:space="preserve"> trial</w:t>
      </w:r>
      <w:r w:rsidR="00F960D8">
        <w:rPr>
          <w:lang w:eastAsia="ja-JP"/>
        </w:rPr>
        <w:t>.</w:t>
      </w:r>
    </w:p>
    <w:p w14:paraId="4D112585" w14:textId="77777777" w:rsidR="008E7846" w:rsidRPr="00254787" w:rsidRDefault="008E7846" w:rsidP="008E7846">
      <w:pPr>
        <w:pStyle w:val="Heading3"/>
      </w:pPr>
      <w:bookmarkStart w:id="104" w:name="_Toc163441372"/>
      <w:bookmarkStart w:id="105" w:name="_Toc196046485"/>
      <w:bookmarkStart w:id="106" w:name="_Toc247691521"/>
      <w:bookmarkStart w:id="107" w:name="_Toc314842504"/>
      <w:bookmarkStart w:id="108" w:name="_Toc23326212"/>
      <w:r w:rsidRPr="00254787">
        <w:t>Efficacy</w:t>
      </w:r>
      <w:bookmarkEnd w:id="104"/>
      <w:bookmarkEnd w:id="105"/>
      <w:bookmarkEnd w:id="106"/>
      <w:bookmarkEnd w:id="107"/>
      <w:bookmarkEnd w:id="108"/>
    </w:p>
    <w:p w14:paraId="25D940E0" w14:textId="77777777" w:rsidR="00834C3C" w:rsidRDefault="00834C3C" w:rsidP="00834C3C">
      <w:pPr>
        <w:pStyle w:val="Heading4"/>
      </w:pPr>
      <w:bookmarkStart w:id="109" w:name="_Toc184439992"/>
      <w:bookmarkStart w:id="110" w:name="_Toc184440279"/>
      <w:bookmarkStart w:id="111" w:name="_Toc184444657"/>
      <w:bookmarkStart w:id="112" w:name="_Toc196046487"/>
      <w:r>
        <w:t>Studies providing efficacy data</w:t>
      </w:r>
    </w:p>
    <w:p w14:paraId="1A9A97E3" w14:textId="77777777" w:rsidR="001F00F8" w:rsidRDefault="00834C3C" w:rsidP="001F00F8">
      <w:pPr>
        <w:rPr>
          <w:lang w:eastAsia="ja-JP"/>
        </w:rPr>
      </w:pPr>
      <w:r>
        <w:rPr>
          <w:lang w:eastAsia="ja-JP"/>
        </w:rPr>
        <w:t>Two pivotal studies were conducted in patient</w:t>
      </w:r>
      <w:r w:rsidR="001F00F8">
        <w:rPr>
          <w:lang w:eastAsia="ja-JP"/>
        </w:rPr>
        <w:t>s with advanced ovarian cancer:</w:t>
      </w:r>
    </w:p>
    <w:p w14:paraId="37C19005" w14:textId="0051C42D" w:rsidR="001F00F8" w:rsidRPr="001F00F8" w:rsidRDefault="00B12E0A" w:rsidP="001F00F8">
      <w:pPr>
        <w:pStyle w:val="ListBullet"/>
      </w:pPr>
      <w:r>
        <w:t xml:space="preserve">The </w:t>
      </w:r>
      <w:r w:rsidR="00205AC8">
        <w:t>SOLO-2</w:t>
      </w:r>
      <w:r>
        <w:t xml:space="preserve"> trial</w:t>
      </w:r>
      <w:r w:rsidR="00C500FE">
        <w:t xml:space="preserve"> </w:t>
      </w:r>
      <w:r w:rsidR="00834C3C" w:rsidRPr="001F00F8">
        <w:t xml:space="preserve">was a Phase III study conducted in patients with a BRCA </w:t>
      </w:r>
      <w:r w:rsidR="001F00F8" w:rsidRPr="001F00F8">
        <w:t>mutation.</w:t>
      </w:r>
    </w:p>
    <w:p w14:paraId="17BEDE45" w14:textId="77777777" w:rsidR="00834C3C" w:rsidRPr="001F00F8" w:rsidRDefault="00CD4D1E" w:rsidP="001F00F8">
      <w:pPr>
        <w:pStyle w:val="ListBullet"/>
      </w:pPr>
      <w:r w:rsidRPr="001F00F8">
        <w:t xml:space="preserve">Study </w:t>
      </w:r>
      <w:r w:rsidR="00F960D8" w:rsidRPr="001F00F8">
        <w:t>19 was a Phase </w:t>
      </w:r>
      <w:r w:rsidR="00834C3C" w:rsidRPr="001F00F8">
        <w:t>II study conducted in patients with or without a BRCA mutation.</w:t>
      </w:r>
    </w:p>
    <w:p w14:paraId="1061B75D" w14:textId="77777777" w:rsidR="001F00F8" w:rsidRDefault="00834C3C" w:rsidP="001F00F8">
      <w:pPr>
        <w:rPr>
          <w:lang w:eastAsia="ja-JP"/>
        </w:rPr>
      </w:pPr>
      <w:r>
        <w:rPr>
          <w:lang w:eastAsia="ja-JP"/>
        </w:rPr>
        <w:t>Four supportive Phase II studies were conducted in patien</w:t>
      </w:r>
      <w:r w:rsidR="001F00F8">
        <w:rPr>
          <w:lang w:eastAsia="ja-JP"/>
        </w:rPr>
        <w:t>ts with advanced ovarian cancer:</w:t>
      </w:r>
    </w:p>
    <w:p w14:paraId="0FC42A67" w14:textId="324580F6" w:rsidR="00834C3C" w:rsidRPr="001F00F8" w:rsidRDefault="00F960D8" w:rsidP="001F00F8">
      <w:pPr>
        <w:pStyle w:val="ListBullet"/>
      </w:pPr>
      <w:r w:rsidRPr="001F00F8">
        <w:t xml:space="preserve">Studies </w:t>
      </w:r>
      <w:r w:rsidR="00CD4D1E" w:rsidRPr="001F00F8">
        <w:t xml:space="preserve">020, 09, </w:t>
      </w:r>
      <w:r w:rsidR="001F00F8" w:rsidRPr="001F00F8">
        <w:t>12</w:t>
      </w:r>
      <w:r w:rsidR="00B12E0A">
        <w:t xml:space="preserve"> and</w:t>
      </w:r>
      <w:r w:rsidR="001F00F8" w:rsidRPr="001F00F8">
        <w:t xml:space="preserve"> 041</w:t>
      </w:r>
      <w:r w:rsidRPr="001F00F8">
        <w:t>.</w:t>
      </w:r>
    </w:p>
    <w:p w14:paraId="739B6D0F" w14:textId="77777777" w:rsidR="00834C3C" w:rsidRDefault="00834C3C" w:rsidP="001F00F8">
      <w:r>
        <w:rPr>
          <w:lang w:eastAsia="ja-JP"/>
        </w:rPr>
        <w:t>One exploratory Phase II study was conducted in patients with advanced cancers with a BRCA mutation (</w:t>
      </w:r>
      <w:r w:rsidR="00F960D8">
        <w:rPr>
          <w:lang w:eastAsia="ja-JP"/>
        </w:rPr>
        <w:t xml:space="preserve">Study </w:t>
      </w:r>
      <w:r>
        <w:rPr>
          <w:lang w:eastAsia="ja-JP"/>
        </w:rPr>
        <w:t>042)</w:t>
      </w:r>
      <w:r w:rsidR="00F960D8">
        <w:rPr>
          <w:lang w:eastAsia="ja-JP"/>
        </w:rPr>
        <w:t>.</w:t>
      </w:r>
    </w:p>
    <w:p w14:paraId="2CB3C8C5" w14:textId="77777777" w:rsidR="00834C3C" w:rsidRDefault="00834C3C" w:rsidP="001F00F8">
      <w:r>
        <w:rPr>
          <w:lang w:eastAsia="ja-JP"/>
        </w:rPr>
        <w:t>One study was conducted in patients with colorectal cancer (</w:t>
      </w:r>
      <w:r w:rsidR="00F960D8">
        <w:rPr>
          <w:lang w:eastAsia="ja-JP"/>
        </w:rPr>
        <w:t xml:space="preserve">Study </w:t>
      </w:r>
      <w:r>
        <w:rPr>
          <w:lang w:eastAsia="ja-JP"/>
        </w:rPr>
        <w:t>08)</w:t>
      </w:r>
      <w:r w:rsidR="00F960D8">
        <w:rPr>
          <w:lang w:eastAsia="ja-JP"/>
        </w:rPr>
        <w:t>.</w:t>
      </w:r>
    </w:p>
    <w:p w14:paraId="0829EBD6" w14:textId="77777777" w:rsidR="00834C3C" w:rsidRPr="00F960D8" w:rsidRDefault="00834C3C" w:rsidP="00F960D8">
      <w:pPr>
        <w:pStyle w:val="TableTitle"/>
      </w:pPr>
      <w:bookmarkStart w:id="113" w:name="_Ref493243764"/>
      <w:bookmarkStart w:id="114" w:name="_Toc505155704"/>
      <w:r w:rsidRPr="00F960D8">
        <w:lastRenderedPageBreak/>
        <w:t xml:space="preserve">Table </w:t>
      </w:r>
      <w:r w:rsidR="000A0DC3">
        <w:t>7</w:t>
      </w:r>
      <w:r w:rsidR="00F960D8">
        <w:t xml:space="preserve">: </w:t>
      </w:r>
      <w:r w:rsidRPr="00F960D8">
        <w:t>Studies with evaluable efficacy data</w:t>
      </w:r>
      <w:bookmarkEnd w:id="113"/>
      <w:bookmarkEnd w:id="114"/>
    </w:p>
    <w:p w14:paraId="4B49220B" w14:textId="77777777" w:rsidR="00500337" w:rsidRPr="00F960D8" w:rsidRDefault="00834C3C" w:rsidP="00500337">
      <w:pPr>
        <w:rPr>
          <w:b/>
          <w:lang w:eastAsia="ja-JP"/>
        </w:rPr>
      </w:pPr>
      <w:r w:rsidRPr="001F031F">
        <w:rPr>
          <w:b/>
          <w:noProof/>
          <w:lang w:eastAsia="en-AU"/>
        </w:rPr>
        <w:drawing>
          <wp:inline distT="0" distB="0" distL="0" distR="0" wp14:anchorId="3D2D5E3D" wp14:editId="108510BF">
            <wp:extent cx="5332780" cy="1967055"/>
            <wp:effectExtent l="0" t="0" r="1270" b="0"/>
            <wp:docPr id="56" name="Picture 56" descr="Studies with evaluable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3509"/>
                    <a:stretch/>
                  </pic:blipFill>
                  <pic:spPr bwMode="auto">
                    <a:xfrm>
                      <a:off x="0" y="0"/>
                      <a:ext cx="5334503" cy="1967691"/>
                    </a:xfrm>
                    <a:prstGeom prst="rect">
                      <a:avLst/>
                    </a:prstGeom>
                    <a:noFill/>
                    <a:ln>
                      <a:noFill/>
                    </a:ln>
                    <a:extLst>
                      <a:ext uri="{53640926-AAD7-44D8-BBD7-CCE9431645EC}">
                        <a14:shadowObscured xmlns:a14="http://schemas.microsoft.com/office/drawing/2010/main"/>
                      </a:ext>
                    </a:extLst>
                  </pic:spPr>
                </pic:pic>
              </a:graphicData>
            </a:graphic>
          </wp:inline>
        </w:drawing>
      </w:r>
    </w:p>
    <w:p w14:paraId="4FABEDC4" w14:textId="77777777" w:rsidR="008E7846" w:rsidRDefault="00605AD4" w:rsidP="00605AD4">
      <w:pPr>
        <w:pStyle w:val="Heading4"/>
      </w:pPr>
      <w:r>
        <w:t>Evaluator’s conclusions on efficacy</w:t>
      </w:r>
    </w:p>
    <w:p w14:paraId="11CD5604" w14:textId="77777777" w:rsidR="00CA1EAE" w:rsidRDefault="00834C3C" w:rsidP="00834C3C">
      <w:pPr>
        <w:rPr>
          <w:lang w:eastAsia="ja-JP"/>
        </w:rPr>
      </w:pPr>
      <w:r w:rsidRPr="00070083">
        <w:rPr>
          <w:lang w:eastAsia="ja-JP"/>
        </w:rPr>
        <w:t>Two pivotal studies have been submitted to support the draft PI</w:t>
      </w:r>
      <w:r w:rsidR="004A1B72">
        <w:rPr>
          <w:lang w:eastAsia="ja-JP"/>
        </w:rPr>
        <w:t xml:space="preserve"> for olaparib tablets. Data has</w:t>
      </w:r>
      <w:r w:rsidRPr="00070083">
        <w:rPr>
          <w:lang w:eastAsia="ja-JP"/>
        </w:rPr>
        <w:t xml:space="preserve"> been provided to support the new olaparib tablet formulation given as 300 mg </w:t>
      </w:r>
      <w:r w:rsidR="00C920E8" w:rsidRPr="00070083">
        <w:rPr>
          <w:lang w:eastAsia="ja-JP"/>
        </w:rPr>
        <w:t>BID</w:t>
      </w:r>
      <w:r w:rsidRPr="00070083">
        <w:rPr>
          <w:lang w:eastAsia="ja-JP"/>
        </w:rPr>
        <w:t xml:space="preserve">, compared with the approved capsule formulation given as 400 mg </w:t>
      </w:r>
      <w:r w:rsidR="00C920E8" w:rsidRPr="00070083">
        <w:rPr>
          <w:lang w:eastAsia="ja-JP"/>
        </w:rPr>
        <w:t>BID</w:t>
      </w:r>
      <w:r w:rsidRPr="00070083">
        <w:rPr>
          <w:lang w:eastAsia="ja-JP"/>
        </w:rPr>
        <w:t>. The approved indication for the capsule formulation restricts the use of olaparib to patients with known BRCA mutations. The proposed amendment for the tablet formulation removes this restriction, to permit use in patients with or without BRCA mutations</w:t>
      </w:r>
      <w:r w:rsidR="00CA1EAE" w:rsidRPr="00070083">
        <w:rPr>
          <w:lang w:eastAsia="ja-JP"/>
        </w:rPr>
        <w:t>.</w:t>
      </w:r>
    </w:p>
    <w:p w14:paraId="0D699AD1" w14:textId="3B59BDD3" w:rsidR="00834C3C" w:rsidRPr="007C3074" w:rsidRDefault="00070083" w:rsidP="00834C3C">
      <w:pPr>
        <w:rPr>
          <w:lang w:eastAsia="ja-JP"/>
        </w:rPr>
      </w:pPr>
      <w:r w:rsidRPr="00150618">
        <w:rPr>
          <w:lang w:eastAsia="ja-JP"/>
        </w:rPr>
        <w:t xml:space="preserve">In the placebo </w:t>
      </w:r>
      <w:r w:rsidR="00834C3C" w:rsidRPr="00150618">
        <w:rPr>
          <w:lang w:eastAsia="ja-JP"/>
        </w:rPr>
        <w:t xml:space="preserve">controlled, Phase III </w:t>
      </w:r>
      <w:r w:rsidR="00205AC8">
        <w:rPr>
          <w:lang w:eastAsia="ja-JP"/>
        </w:rPr>
        <w:t>SOLO-2</w:t>
      </w:r>
      <w:r w:rsidR="00B12E0A">
        <w:rPr>
          <w:lang w:eastAsia="ja-JP"/>
        </w:rPr>
        <w:t xml:space="preserve"> trial</w:t>
      </w:r>
      <w:r w:rsidRPr="00150618">
        <w:rPr>
          <w:lang w:eastAsia="ja-JP"/>
        </w:rPr>
        <w:t xml:space="preserve">, the efficacy of long </w:t>
      </w:r>
      <w:r w:rsidR="00834C3C" w:rsidRPr="00150618">
        <w:rPr>
          <w:lang w:eastAsia="ja-JP"/>
        </w:rPr>
        <w:t xml:space="preserve">term, maintenance olaparib monotherapy using the proposed tablet formulation in patients with advanced ovarian cancer with known BRCA mutations has been demonstrated. The study was well conducted using endpoints generally recognised in regulatory guidelines and by professional bodies. The primary endpoint was </w:t>
      </w:r>
      <w:r w:rsidRPr="00150618">
        <w:rPr>
          <w:lang w:eastAsia="ja-JP"/>
        </w:rPr>
        <w:t>PFS</w:t>
      </w:r>
      <w:r w:rsidR="00834C3C" w:rsidRPr="00150618">
        <w:rPr>
          <w:lang w:eastAsia="ja-JP"/>
        </w:rPr>
        <w:t xml:space="preserve">, measured by objective radiological assessments of tumour progression using </w:t>
      </w:r>
      <w:r w:rsidRPr="00150618">
        <w:t>Response Evaluation Criteria in Solid Tumours</w:t>
      </w:r>
      <w:r w:rsidRPr="00150618">
        <w:rPr>
          <w:lang w:eastAsia="ja-JP"/>
        </w:rPr>
        <w:t xml:space="preserve"> (</w:t>
      </w:r>
      <w:r w:rsidR="00834C3C" w:rsidRPr="00150618">
        <w:rPr>
          <w:lang w:eastAsia="ja-JP"/>
        </w:rPr>
        <w:t>RECIST</w:t>
      </w:r>
      <w:r w:rsidRPr="00150618">
        <w:rPr>
          <w:lang w:eastAsia="ja-JP"/>
        </w:rPr>
        <w:t>)</w:t>
      </w:r>
      <w:r w:rsidR="00834C3C" w:rsidRPr="00150618">
        <w:rPr>
          <w:lang w:eastAsia="ja-JP"/>
        </w:rPr>
        <w:t xml:space="preserve"> criteria. PFS was assessed by investigators, but confirmed by blinded central</w:t>
      </w:r>
      <w:r w:rsidR="00834C3C" w:rsidRPr="007C3074">
        <w:rPr>
          <w:lang w:eastAsia="ja-JP"/>
        </w:rPr>
        <w:t xml:space="preserve"> reviewers. Compared with placebo, there was a statistically significant and clinically meaningful 70% reduction in the risk of disease progression or death (</w:t>
      </w:r>
      <w:r w:rsidR="00150618">
        <w:t>h</w:t>
      </w:r>
      <w:r w:rsidR="00150618" w:rsidRPr="00A06953">
        <w:t xml:space="preserve">azard </w:t>
      </w:r>
      <w:r w:rsidR="00150618" w:rsidRPr="00150618">
        <w:t>ratio</w:t>
      </w:r>
      <w:r w:rsidR="003C2823">
        <w:rPr>
          <w:lang w:eastAsia="ja-JP"/>
        </w:rPr>
        <w:t xml:space="preserve"> (</w:t>
      </w:r>
      <w:r w:rsidR="00834C3C" w:rsidRPr="00150618">
        <w:rPr>
          <w:lang w:eastAsia="ja-JP"/>
        </w:rPr>
        <w:t>HR</w:t>
      </w:r>
      <w:r w:rsidR="003C2823">
        <w:rPr>
          <w:lang w:eastAsia="ja-JP"/>
        </w:rPr>
        <w:t>)</w:t>
      </w:r>
      <w:r w:rsidR="00834C3C" w:rsidRPr="007C3074">
        <w:rPr>
          <w:lang w:eastAsia="ja-JP"/>
        </w:rPr>
        <w:t xml:space="preserve"> 0.30, p</w:t>
      </w:r>
      <w:r w:rsidR="004A1B72">
        <w:rPr>
          <w:lang w:eastAsia="ja-JP"/>
        </w:rPr>
        <w:t xml:space="preserve"> </w:t>
      </w:r>
      <w:r w:rsidR="00834C3C" w:rsidRPr="007C3074">
        <w:rPr>
          <w:lang w:eastAsia="ja-JP"/>
        </w:rPr>
        <w:t>&lt;</w:t>
      </w:r>
      <w:r w:rsidR="006F498C">
        <w:rPr>
          <w:lang w:eastAsia="ja-JP"/>
        </w:rPr>
        <w:t> </w:t>
      </w:r>
      <w:r w:rsidR="00834C3C" w:rsidRPr="007C3074">
        <w:rPr>
          <w:lang w:eastAsia="ja-JP"/>
        </w:rPr>
        <w:t>0.0001). A survival benefit could n</w:t>
      </w:r>
      <w:r w:rsidR="004A1B72">
        <w:rPr>
          <w:lang w:eastAsia="ja-JP"/>
        </w:rPr>
        <w:t>ot be established. The data was</w:t>
      </w:r>
      <w:r w:rsidR="00834C3C" w:rsidRPr="007C3074">
        <w:rPr>
          <w:lang w:eastAsia="ja-JP"/>
        </w:rPr>
        <w:t xml:space="preserve"> immature at the time of the primary analysis, and patients in the placebo group were offered other therapies when disease progression occurred. The study did not include patients without BRCA mutations so the efficacy of the tablet formulation in this popula</w:t>
      </w:r>
      <w:r w:rsidR="00150618">
        <w:rPr>
          <w:lang w:eastAsia="ja-JP"/>
        </w:rPr>
        <w:t>tion has not been established.</w:t>
      </w:r>
    </w:p>
    <w:p w14:paraId="276502B8" w14:textId="77777777" w:rsidR="00CA1EAE" w:rsidRDefault="00150618" w:rsidP="00834C3C">
      <w:pPr>
        <w:rPr>
          <w:lang w:eastAsia="ja-JP"/>
        </w:rPr>
      </w:pPr>
      <w:r>
        <w:rPr>
          <w:lang w:eastAsia="ja-JP"/>
        </w:rPr>
        <w:t xml:space="preserve">In the placebo </w:t>
      </w:r>
      <w:r w:rsidR="00834C3C" w:rsidRPr="007C3074">
        <w:rPr>
          <w:lang w:eastAsia="ja-JP"/>
        </w:rPr>
        <w:t xml:space="preserve">controlled, </w:t>
      </w:r>
      <w:r w:rsidR="00834C3C">
        <w:rPr>
          <w:lang w:eastAsia="ja-JP"/>
        </w:rPr>
        <w:t>Phase II</w:t>
      </w:r>
      <w:r w:rsidR="00834C3C" w:rsidRPr="007C3074">
        <w:rPr>
          <w:lang w:eastAsia="ja-JP"/>
        </w:rPr>
        <w:t xml:space="preserve"> </w:t>
      </w:r>
      <w:r w:rsidR="00CD4D1E">
        <w:rPr>
          <w:lang w:eastAsia="ja-JP"/>
        </w:rPr>
        <w:t xml:space="preserve">Study </w:t>
      </w:r>
      <w:r w:rsidR="00834C3C">
        <w:rPr>
          <w:lang w:eastAsia="ja-JP"/>
        </w:rPr>
        <w:t>19</w:t>
      </w:r>
      <w:r w:rsidR="00834C3C" w:rsidRPr="007C3074">
        <w:rPr>
          <w:lang w:eastAsia="ja-JP"/>
        </w:rPr>
        <w:t xml:space="preserve"> (evaluated previously by the TGA), the efficacy of maintenance olaparib monotherapy using the capsule formulation in patients with advanced ovarian cancer with unknown BRCA</w:t>
      </w:r>
      <w:r>
        <w:rPr>
          <w:lang w:eastAsia="ja-JP"/>
        </w:rPr>
        <w:t xml:space="preserve"> status has been demonstrated. The study conduct was sub </w:t>
      </w:r>
      <w:r w:rsidR="00834C3C" w:rsidRPr="007C3074">
        <w:rPr>
          <w:lang w:eastAsia="ja-JP"/>
        </w:rPr>
        <w:t>optimal with a high number of important protocol deviations, mainly randomisation errors. Compared with placebo, there was a statistically significant and clinically meaningful 65% reduction in the risk of disease progression or death (HR 0.35, p</w:t>
      </w:r>
      <w:r w:rsidR="001F00F8">
        <w:rPr>
          <w:lang w:eastAsia="ja-JP"/>
        </w:rPr>
        <w:t> </w:t>
      </w:r>
      <w:r w:rsidR="00834C3C" w:rsidRPr="007C3074">
        <w:rPr>
          <w:lang w:eastAsia="ja-JP"/>
        </w:rPr>
        <w:t>&lt;</w:t>
      </w:r>
      <w:r>
        <w:rPr>
          <w:lang w:eastAsia="ja-JP"/>
        </w:rPr>
        <w:t xml:space="preserve"> </w:t>
      </w:r>
      <w:r w:rsidR="00834C3C" w:rsidRPr="007C3074">
        <w:rPr>
          <w:lang w:eastAsia="ja-JP"/>
        </w:rPr>
        <w:t>0.00001). In a recent analysis (not evaluated previously by the TGA), BRCA status was retrospectively established in approximately 80% of the original patient population. In patients without BRCA mutations, there was a benefit in favour of olaparib compared with placebo in the subgroup of patients without BRCA mutations. There was a statistically significant 46% reduction in the risk of disease progression or death (HR 0.5435, p</w:t>
      </w:r>
      <w:r w:rsidR="00391A17">
        <w:rPr>
          <w:lang w:eastAsia="ja-JP"/>
        </w:rPr>
        <w:t> </w:t>
      </w:r>
      <w:r w:rsidR="00834C3C" w:rsidRPr="007C3074">
        <w:rPr>
          <w:lang w:eastAsia="ja-JP"/>
        </w:rPr>
        <w:t>&lt;</w:t>
      </w:r>
      <w:r w:rsidR="00391A17">
        <w:rPr>
          <w:lang w:eastAsia="ja-JP"/>
        </w:rPr>
        <w:t> </w:t>
      </w:r>
      <w:r w:rsidR="00834C3C" w:rsidRPr="007C3074">
        <w:rPr>
          <w:lang w:eastAsia="ja-JP"/>
        </w:rPr>
        <w:t>0.0075). Compared with patients with a BRCA mutation, the benefit was less marked but still clinically meaningful</w:t>
      </w:r>
      <w:r w:rsidR="00CA1EAE">
        <w:rPr>
          <w:lang w:eastAsia="ja-JP"/>
        </w:rPr>
        <w:t>.</w:t>
      </w:r>
    </w:p>
    <w:p w14:paraId="6926088F" w14:textId="77777777" w:rsidR="00500337" w:rsidRPr="00500337" w:rsidRDefault="00834C3C" w:rsidP="00500337">
      <w:pPr>
        <w:rPr>
          <w:lang w:eastAsia="ja-JP"/>
        </w:rPr>
      </w:pPr>
      <w:r w:rsidRPr="007C3074">
        <w:rPr>
          <w:lang w:eastAsia="ja-JP"/>
        </w:rPr>
        <w:t xml:space="preserve">While Studies 02 and 19 are not directly comparable, the efficacy of the new tablet formulation can be considered comparable to that of the approved capsule formulation. The efficacy of the capsule formulation appears less in patients without BRCA mutations </w:t>
      </w:r>
      <w:r w:rsidRPr="007C3074">
        <w:rPr>
          <w:lang w:eastAsia="ja-JP"/>
        </w:rPr>
        <w:lastRenderedPageBreak/>
        <w:t>compared with patients with BRCA mutations. Nonetheless, olaparib treatment offers a clinically meaningful benefit in patients without BRCA mutations who have few other therapeutic options. Patients without BRCA mutations have not been investigated in clinical studies with the new tablet formulation. However, efficacy in patients with BRCA mutations was comparable in Studies 02 and 19 using the tablet and capsule formulations, respectively. On this basis, it is reasonable to assume comparable efficacy with the tablet and capsule formulations in patients without BRCA mutations. There are no data to support retreatment with olaparib as maintenance following subsequent relapse</w:t>
      </w:r>
      <w:r w:rsidR="00DF25C8">
        <w:rPr>
          <w:lang w:eastAsia="ja-JP"/>
        </w:rPr>
        <w:t>.</w:t>
      </w:r>
    </w:p>
    <w:p w14:paraId="73234D3B" w14:textId="77777777" w:rsidR="008E7846" w:rsidRPr="002E238E" w:rsidRDefault="008E7846" w:rsidP="008E7846">
      <w:pPr>
        <w:pStyle w:val="Heading3"/>
      </w:pPr>
      <w:bookmarkStart w:id="115" w:name="_Toc163441378"/>
      <w:bookmarkStart w:id="116" w:name="_Toc196046495"/>
      <w:bookmarkStart w:id="117" w:name="_Toc247691522"/>
      <w:bookmarkStart w:id="118" w:name="_Toc314842505"/>
      <w:bookmarkStart w:id="119" w:name="_Toc23326213"/>
      <w:bookmarkEnd w:id="109"/>
      <w:bookmarkEnd w:id="110"/>
      <w:bookmarkEnd w:id="111"/>
      <w:bookmarkEnd w:id="112"/>
      <w:r w:rsidRPr="002E238E">
        <w:t>Safety</w:t>
      </w:r>
      <w:bookmarkEnd w:id="115"/>
      <w:bookmarkEnd w:id="116"/>
      <w:bookmarkEnd w:id="117"/>
      <w:bookmarkEnd w:id="118"/>
      <w:bookmarkEnd w:id="119"/>
    </w:p>
    <w:p w14:paraId="2C56D73B" w14:textId="77777777" w:rsidR="00605AD4" w:rsidRDefault="00605AD4" w:rsidP="00605AD4">
      <w:pPr>
        <w:pStyle w:val="Heading4"/>
      </w:pPr>
      <w:bookmarkStart w:id="120" w:name="_Toc247691524"/>
      <w:bookmarkStart w:id="121" w:name="_Toc314842508"/>
      <w:bookmarkStart w:id="122" w:name="_Toc196046504"/>
      <w:bookmarkStart w:id="123" w:name="_Toc163441390"/>
      <w:r w:rsidRPr="00605AD4">
        <w:t>Studies providing safety data</w:t>
      </w:r>
    </w:p>
    <w:p w14:paraId="1A8BC395" w14:textId="77777777" w:rsidR="00834C3C" w:rsidRPr="00545B14" w:rsidRDefault="00834C3C" w:rsidP="00834C3C">
      <w:pPr>
        <w:pStyle w:val="Heading5"/>
      </w:pPr>
      <w:bookmarkStart w:id="124" w:name="_Ref268776745"/>
      <w:bookmarkStart w:id="125" w:name="_Toc421005276"/>
      <w:bookmarkStart w:id="126" w:name="_Toc432079158"/>
      <w:bookmarkStart w:id="127" w:name="_Toc432080731"/>
      <w:bookmarkStart w:id="128" w:name="_Toc505155585"/>
      <w:r w:rsidRPr="00545B14">
        <w:t xml:space="preserve">Pivotal </w:t>
      </w:r>
      <w:r>
        <w:t xml:space="preserve">and/or main </w:t>
      </w:r>
      <w:r w:rsidRPr="00545B14">
        <w:t>efficacy studies</w:t>
      </w:r>
      <w:bookmarkEnd w:id="124"/>
      <w:bookmarkEnd w:id="125"/>
      <w:bookmarkEnd w:id="126"/>
      <w:bookmarkEnd w:id="127"/>
      <w:bookmarkEnd w:id="128"/>
    </w:p>
    <w:p w14:paraId="7EDAFA1A" w14:textId="77777777" w:rsidR="00834C3C" w:rsidRDefault="00CD4D1E" w:rsidP="00DF25C8">
      <w:pPr>
        <w:pStyle w:val="ListBullet"/>
        <w:rPr>
          <w:lang w:eastAsia="ja-JP"/>
        </w:rPr>
      </w:pPr>
      <w:bookmarkStart w:id="129" w:name="_Toc421005277"/>
      <w:bookmarkStart w:id="130" w:name="_Toc432079159"/>
      <w:bookmarkStart w:id="131" w:name="_Toc432080732"/>
      <w:r>
        <w:rPr>
          <w:lang w:eastAsia="ja-JP"/>
        </w:rPr>
        <w:t xml:space="preserve">Study </w:t>
      </w:r>
      <w:r w:rsidR="00834C3C">
        <w:rPr>
          <w:lang w:eastAsia="ja-JP"/>
        </w:rPr>
        <w:t>19 provided safety d</w:t>
      </w:r>
      <w:r w:rsidR="00DF25C8">
        <w:rPr>
          <w:lang w:eastAsia="ja-JP"/>
        </w:rPr>
        <w:t>ata for the capsule formulation.</w:t>
      </w:r>
    </w:p>
    <w:p w14:paraId="31B9A285" w14:textId="012E5544" w:rsidR="00CA1EAE" w:rsidRDefault="00B12E0A" w:rsidP="00DF25C8">
      <w:pPr>
        <w:pStyle w:val="ListBullet"/>
        <w:rPr>
          <w:lang w:eastAsia="ja-JP"/>
        </w:rPr>
      </w:pPr>
      <w:r>
        <w:rPr>
          <w:lang w:eastAsia="ja-JP"/>
        </w:rPr>
        <w:t xml:space="preserve">The </w:t>
      </w:r>
      <w:r w:rsidR="00205AC8">
        <w:rPr>
          <w:lang w:eastAsia="ja-JP"/>
        </w:rPr>
        <w:t>SOLO-2</w:t>
      </w:r>
      <w:r w:rsidR="00834C3C">
        <w:rPr>
          <w:lang w:eastAsia="ja-JP"/>
        </w:rPr>
        <w:t xml:space="preserve"> </w:t>
      </w:r>
      <w:r>
        <w:rPr>
          <w:lang w:eastAsia="ja-JP"/>
        </w:rPr>
        <w:t xml:space="preserve">trial </w:t>
      </w:r>
      <w:r w:rsidR="00834C3C">
        <w:rPr>
          <w:lang w:eastAsia="ja-JP"/>
        </w:rPr>
        <w:t>provided safety data for the tablet formulation</w:t>
      </w:r>
      <w:r w:rsidR="00CA1EAE">
        <w:rPr>
          <w:lang w:eastAsia="ja-JP"/>
        </w:rPr>
        <w:t>.</w:t>
      </w:r>
    </w:p>
    <w:bookmarkEnd w:id="129"/>
    <w:bookmarkEnd w:id="130"/>
    <w:bookmarkEnd w:id="131"/>
    <w:p w14:paraId="399C9186" w14:textId="77777777" w:rsidR="00834C3C" w:rsidRPr="00073FEC" w:rsidRDefault="00834C3C" w:rsidP="00834C3C">
      <w:pPr>
        <w:pStyle w:val="Heading5"/>
      </w:pPr>
      <w:r w:rsidRPr="00073FEC">
        <w:t>Other efficacy studies</w:t>
      </w:r>
    </w:p>
    <w:p w14:paraId="468786EA" w14:textId="77777777" w:rsidR="00834C3C" w:rsidRDefault="00834C3C" w:rsidP="00DF25C8">
      <w:pPr>
        <w:rPr>
          <w:lang w:eastAsia="ja-JP"/>
        </w:rPr>
      </w:pPr>
      <w:r>
        <w:rPr>
          <w:lang w:eastAsia="ja-JP"/>
        </w:rPr>
        <w:t xml:space="preserve">Safety data in other efficacy studies </w:t>
      </w:r>
      <w:r w:rsidR="00DF25C8">
        <w:rPr>
          <w:lang w:eastAsia="ja-JP"/>
        </w:rPr>
        <w:t>was</w:t>
      </w:r>
      <w:r>
        <w:rPr>
          <w:lang w:eastAsia="ja-JP"/>
        </w:rPr>
        <w:t xml:space="preserve"> pooled according to the formulation.</w:t>
      </w:r>
    </w:p>
    <w:p w14:paraId="584F928D" w14:textId="77777777" w:rsidR="00834C3C" w:rsidRDefault="00834C3C" w:rsidP="00DF25C8">
      <w:pPr>
        <w:rPr>
          <w:lang w:eastAsia="ja-JP"/>
        </w:rPr>
      </w:pPr>
      <w:r w:rsidRPr="00772AD4">
        <w:rPr>
          <w:lang w:eastAsia="ja-JP"/>
        </w:rPr>
        <w:t>The 400 mg capsule pool</w:t>
      </w:r>
      <w:r w:rsidR="00CD4D1E">
        <w:rPr>
          <w:lang w:eastAsia="ja-JP"/>
        </w:rPr>
        <w:t xml:space="preserve"> comprised Study </w:t>
      </w:r>
      <w:r>
        <w:rPr>
          <w:lang w:eastAsia="ja-JP"/>
        </w:rPr>
        <w:t>19 and 11 additional studies:</w:t>
      </w:r>
    </w:p>
    <w:p w14:paraId="7FB6195D" w14:textId="6985262B" w:rsidR="00834C3C" w:rsidRDefault="00834C3C" w:rsidP="00DF25C8">
      <w:pPr>
        <w:pStyle w:val="ListBullet"/>
        <w:rPr>
          <w:lang w:eastAsia="ja-JP"/>
        </w:rPr>
      </w:pPr>
      <w:r>
        <w:rPr>
          <w:lang w:eastAsia="ja-JP"/>
        </w:rPr>
        <w:t>Four</w:t>
      </w:r>
      <w:r w:rsidR="00E43D9C">
        <w:rPr>
          <w:lang w:eastAsia="ja-JP"/>
        </w:rPr>
        <w:t xml:space="preserve"> Phase I </w:t>
      </w:r>
      <w:r w:rsidR="00B12E0A">
        <w:rPr>
          <w:lang w:eastAsia="ja-JP"/>
        </w:rPr>
        <w:t>s</w:t>
      </w:r>
      <w:r w:rsidR="00DF25C8">
        <w:rPr>
          <w:lang w:eastAsia="ja-JP"/>
        </w:rPr>
        <w:t>tudies (</w:t>
      </w:r>
      <w:r w:rsidR="00B12E0A">
        <w:rPr>
          <w:lang w:eastAsia="ja-JP"/>
        </w:rPr>
        <w:t xml:space="preserve">Studies </w:t>
      </w:r>
      <w:r w:rsidR="00DF25C8">
        <w:rPr>
          <w:lang w:eastAsia="ja-JP"/>
        </w:rPr>
        <w:t xml:space="preserve">D0810C00001; </w:t>
      </w:r>
      <w:r>
        <w:rPr>
          <w:lang w:eastAsia="ja-JP"/>
        </w:rPr>
        <w:t>D0810C0002;</w:t>
      </w:r>
      <w:r w:rsidRPr="00772AD4">
        <w:rPr>
          <w:lang w:eastAsia="ja-JP"/>
        </w:rPr>
        <w:t xml:space="preserve"> </w:t>
      </w:r>
      <w:r>
        <w:rPr>
          <w:lang w:eastAsia="ja-JP"/>
        </w:rPr>
        <w:t>D0810C00007; D081A00001)</w:t>
      </w:r>
      <w:r w:rsidR="00DF25C8">
        <w:rPr>
          <w:lang w:eastAsia="ja-JP"/>
        </w:rPr>
        <w:t>.</w:t>
      </w:r>
    </w:p>
    <w:p w14:paraId="07F80571" w14:textId="341633D6" w:rsidR="00834C3C" w:rsidRDefault="00E43D9C" w:rsidP="00DF25C8">
      <w:pPr>
        <w:pStyle w:val="ListBullet"/>
        <w:rPr>
          <w:lang w:eastAsia="ja-JP"/>
        </w:rPr>
      </w:pPr>
      <w:r>
        <w:rPr>
          <w:lang w:eastAsia="ja-JP"/>
        </w:rPr>
        <w:t xml:space="preserve">Five Phase II </w:t>
      </w:r>
      <w:r w:rsidR="00B12E0A">
        <w:rPr>
          <w:lang w:eastAsia="ja-JP"/>
        </w:rPr>
        <w:t>s</w:t>
      </w:r>
      <w:r w:rsidR="00834C3C">
        <w:rPr>
          <w:lang w:eastAsia="ja-JP"/>
        </w:rPr>
        <w:t>tudies (</w:t>
      </w:r>
      <w:r w:rsidR="00B12E0A">
        <w:rPr>
          <w:lang w:eastAsia="ja-JP"/>
        </w:rPr>
        <w:t xml:space="preserve">Studies </w:t>
      </w:r>
      <w:r w:rsidR="00834C3C">
        <w:rPr>
          <w:lang w:eastAsia="ja-JP"/>
        </w:rPr>
        <w:t>D0810C00009; 1</w:t>
      </w:r>
      <w:r w:rsidR="00834C3C" w:rsidRPr="00F500F4">
        <w:rPr>
          <w:lang w:eastAsia="ja-JP"/>
        </w:rPr>
        <w:t xml:space="preserve"> </w:t>
      </w:r>
      <w:r w:rsidR="00834C3C">
        <w:rPr>
          <w:lang w:eastAsia="ja-JP"/>
        </w:rPr>
        <w:t>D0810C00012;</w:t>
      </w:r>
      <w:r w:rsidR="00834C3C" w:rsidRPr="00F500F4">
        <w:rPr>
          <w:lang w:eastAsia="ja-JP"/>
        </w:rPr>
        <w:t xml:space="preserve"> </w:t>
      </w:r>
      <w:r w:rsidR="00834C3C">
        <w:rPr>
          <w:lang w:eastAsia="ja-JP"/>
        </w:rPr>
        <w:t>D0810C00020;</w:t>
      </w:r>
      <w:r w:rsidR="00834C3C" w:rsidRPr="00F500F4">
        <w:rPr>
          <w:lang w:eastAsia="ja-JP"/>
        </w:rPr>
        <w:t xml:space="preserve"> </w:t>
      </w:r>
      <w:r w:rsidR="00834C3C">
        <w:rPr>
          <w:lang w:eastAsia="ja-JP"/>
        </w:rPr>
        <w:t>D0810C00024;</w:t>
      </w:r>
      <w:r w:rsidR="00834C3C" w:rsidRPr="00F500F4">
        <w:rPr>
          <w:lang w:eastAsia="ja-JP"/>
        </w:rPr>
        <w:t xml:space="preserve"> </w:t>
      </w:r>
      <w:r w:rsidR="00834C3C">
        <w:rPr>
          <w:lang w:eastAsia="ja-JP"/>
        </w:rPr>
        <w:t>D0810C00042)</w:t>
      </w:r>
      <w:r w:rsidR="00DF25C8">
        <w:rPr>
          <w:lang w:eastAsia="ja-JP"/>
        </w:rPr>
        <w:t>.</w:t>
      </w:r>
    </w:p>
    <w:p w14:paraId="50F56EE1" w14:textId="52CF6804" w:rsidR="00834C3C" w:rsidRDefault="00E43D9C" w:rsidP="00DF25C8">
      <w:pPr>
        <w:pStyle w:val="ListBullet"/>
        <w:rPr>
          <w:lang w:eastAsia="ja-JP"/>
        </w:rPr>
      </w:pPr>
      <w:r>
        <w:rPr>
          <w:lang w:eastAsia="ja-JP"/>
        </w:rPr>
        <w:t xml:space="preserve">Two Phase II </w:t>
      </w:r>
      <w:r w:rsidR="00B12E0A">
        <w:rPr>
          <w:lang w:eastAsia="ja-JP"/>
        </w:rPr>
        <w:t>s</w:t>
      </w:r>
      <w:r w:rsidR="00834C3C">
        <w:rPr>
          <w:lang w:eastAsia="ja-JP"/>
        </w:rPr>
        <w:t>tudies in breast cancer (</w:t>
      </w:r>
      <w:r w:rsidR="00B12E0A">
        <w:rPr>
          <w:lang w:eastAsia="ja-JP"/>
        </w:rPr>
        <w:t xml:space="preserve">Study </w:t>
      </w:r>
      <w:r w:rsidR="00834C3C">
        <w:rPr>
          <w:lang w:eastAsia="ja-JP"/>
        </w:rPr>
        <w:t>D0810C00008); and colorectal cancer (D9010C00008). These studies have not been evaluated for efficacy as they did not include patients with ovarian cancer.</w:t>
      </w:r>
    </w:p>
    <w:p w14:paraId="72AB9BBB" w14:textId="2BB03248" w:rsidR="00834C3C" w:rsidRDefault="00834C3C" w:rsidP="00DF25C8">
      <w:pPr>
        <w:rPr>
          <w:lang w:eastAsia="ja-JP"/>
        </w:rPr>
      </w:pPr>
      <w:r>
        <w:rPr>
          <w:lang w:eastAsia="ja-JP"/>
        </w:rPr>
        <w:t>The 300 mg tablet pool compri</w:t>
      </w:r>
      <w:r w:rsidR="00C500FE">
        <w:rPr>
          <w:lang w:eastAsia="ja-JP"/>
        </w:rPr>
        <w:t>sed</w:t>
      </w:r>
      <w:r w:rsidR="00B12E0A">
        <w:rPr>
          <w:lang w:eastAsia="ja-JP"/>
        </w:rPr>
        <w:t>the</w:t>
      </w:r>
      <w:r w:rsidR="00C500FE">
        <w:rPr>
          <w:lang w:eastAsia="ja-JP"/>
        </w:rPr>
        <w:t xml:space="preserve"> </w:t>
      </w:r>
      <w:r w:rsidR="00205AC8">
        <w:rPr>
          <w:lang w:eastAsia="ja-JP"/>
        </w:rPr>
        <w:t>SOLO-2</w:t>
      </w:r>
      <w:r w:rsidR="00B12E0A">
        <w:rPr>
          <w:lang w:eastAsia="ja-JP"/>
        </w:rPr>
        <w:t xml:space="preserve"> trial</w:t>
      </w:r>
      <w:r w:rsidR="00C500FE">
        <w:rPr>
          <w:lang w:eastAsia="ja-JP"/>
        </w:rPr>
        <w:t xml:space="preserve"> </w:t>
      </w:r>
      <w:r w:rsidR="00E43D9C">
        <w:rPr>
          <w:lang w:eastAsia="ja-JP"/>
        </w:rPr>
        <w:t xml:space="preserve">and seven Phase I </w:t>
      </w:r>
      <w:r w:rsidR="00B12E0A">
        <w:rPr>
          <w:lang w:eastAsia="ja-JP"/>
        </w:rPr>
        <w:t>s</w:t>
      </w:r>
      <w:r>
        <w:rPr>
          <w:lang w:eastAsia="ja-JP"/>
        </w:rPr>
        <w:t>tudies (</w:t>
      </w:r>
      <w:r w:rsidR="00B12E0A">
        <w:rPr>
          <w:lang w:eastAsia="ja-JP"/>
        </w:rPr>
        <w:t xml:space="preserve">Studies </w:t>
      </w:r>
      <w:r>
        <w:rPr>
          <w:lang w:eastAsia="ja-JP"/>
        </w:rPr>
        <w:t>D0810C00024;</w:t>
      </w:r>
      <w:r w:rsidRPr="00001C6C">
        <w:rPr>
          <w:lang w:eastAsia="ja-JP"/>
        </w:rPr>
        <w:t xml:space="preserve"> </w:t>
      </w:r>
      <w:r>
        <w:rPr>
          <w:lang w:eastAsia="ja-JP"/>
        </w:rPr>
        <w:t>D0816C00004; D0816C00007;</w:t>
      </w:r>
      <w:r w:rsidRPr="00001C6C">
        <w:rPr>
          <w:lang w:eastAsia="ja-JP"/>
        </w:rPr>
        <w:t xml:space="preserve"> </w:t>
      </w:r>
      <w:r>
        <w:rPr>
          <w:lang w:eastAsia="ja-JP"/>
        </w:rPr>
        <w:t>D0816C00008; D081BC00001; D081CC00001;</w:t>
      </w:r>
      <w:r w:rsidRPr="00001C6C">
        <w:rPr>
          <w:lang w:eastAsia="ja-JP"/>
        </w:rPr>
        <w:t xml:space="preserve"> </w:t>
      </w:r>
      <w:r>
        <w:rPr>
          <w:lang w:eastAsia="ja-JP"/>
        </w:rPr>
        <w:t>D0816C00006).</w:t>
      </w:r>
    </w:p>
    <w:p w14:paraId="3C8247A6" w14:textId="77777777" w:rsidR="00834C3C" w:rsidRPr="00073FEC" w:rsidRDefault="00834C3C" w:rsidP="00834C3C">
      <w:pPr>
        <w:pStyle w:val="Heading5"/>
      </w:pPr>
      <w:r w:rsidRPr="00073FEC">
        <w:t>Studies with evaluable safety data: dose finding</w:t>
      </w:r>
      <w:r w:rsidR="004A1B72">
        <w:t xml:space="preserve"> and pharmacology</w:t>
      </w:r>
    </w:p>
    <w:p w14:paraId="6D0388BD" w14:textId="77777777" w:rsidR="00500337" w:rsidRPr="00500337" w:rsidRDefault="00834C3C" w:rsidP="00500337">
      <w:pPr>
        <w:rPr>
          <w:lang w:eastAsia="ja-JP"/>
        </w:rPr>
      </w:pPr>
      <w:r>
        <w:rPr>
          <w:lang w:eastAsia="ja-JP"/>
        </w:rPr>
        <w:t>None submitted.</w:t>
      </w:r>
    </w:p>
    <w:p w14:paraId="3BA1A7E8" w14:textId="77777777" w:rsidR="00605AD4" w:rsidRDefault="00605AD4" w:rsidP="00605AD4">
      <w:pPr>
        <w:pStyle w:val="Heading4"/>
      </w:pPr>
      <w:r w:rsidRPr="00605AD4">
        <w:t>Patient exposure</w:t>
      </w:r>
    </w:p>
    <w:p w14:paraId="43B342D4" w14:textId="77777777" w:rsidR="00500337" w:rsidRDefault="00834C3C" w:rsidP="00DF25C8">
      <w:pPr>
        <w:rPr>
          <w:lang w:eastAsia="ja-JP"/>
        </w:rPr>
      </w:pPr>
      <w:r>
        <w:rPr>
          <w:lang w:eastAsia="ja-JP"/>
        </w:rPr>
        <w:t>As of December 2016, 6558 patients in the total clinical trial program had received at least one dose of olaparib. Exposure has been calculated for the</w:t>
      </w:r>
      <w:r w:rsidR="00DF25C8">
        <w:rPr>
          <w:lang w:eastAsia="ja-JP"/>
        </w:rPr>
        <w:t xml:space="preserve"> olaparib 300 mg tablet and 400 </w:t>
      </w:r>
      <w:r>
        <w:rPr>
          <w:lang w:eastAsia="ja-JP"/>
        </w:rPr>
        <w:t>mg capsule pooled sets. Most patients in the pooled data sets had ovarian cancer (64.7% tablet; 68.1% capsule). The pooled data included all patients who had received at least one dose of olaparib as monotherapy (n = 482 tablet; n = 766 capsule). In the 300 mg tablet pool, 231 patients (47.9%) had 6 months exposure to olaparib; and 145 patients (</w:t>
      </w:r>
      <w:r w:rsidR="00DF25C8">
        <w:rPr>
          <w:lang w:eastAsia="ja-JP"/>
        </w:rPr>
        <w:t xml:space="preserve">30.1%) had 12 months exposure. </w:t>
      </w:r>
      <w:r>
        <w:rPr>
          <w:lang w:eastAsia="ja-JP"/>
        </w:rPr>
        <w:t>In the 400 mg capsule p</w:t>
      </w:r>
      <w:r w:rsidR="00DF25C8">
        <w:rPr>
          <w:lang w:eastAsia="ja-JP"/>
        </w:rPr>
        <w:t>ool, 325 patients (42.4%) had 6 </w:t>
      </w:r>
      <w:r>
        <w:rPr>
          <w:lang w:eastAsia="ja-JP"/>
        </w:rPr>
        <w:t>months exposure to olaparib; and 140 patients (18.3%) had 12 months exposure. The median total treatment duration was more than three times longer in the olaparib group compared with the placebo group (19.4 months versus 5.6 months).</w:t>
      </w:r>
    </w:p>
    <w:p w14:paraId="4F1786CC" w14:textId="77777777" w:rsidR="00834C3C" w:rsidRDefault="00834C3C" w:rsidP="00834C3C">
      <w:pPr>
        <w:pStyle w:val="Heading5"/>
      </w:pPr>
      <w:bookmarkStart w:id="132" w:name="_Ref272317284"/>
      <w:bookmarkStart w:id="133" w:name="_Ref272333565"/>
      <w:bookmarkStart w:id="134" w:name="_Toc272414664"/>
      <w:bookmarkStart w:id="135" w:name="_Toc290888528"/>
      <w:bookmarkStart w:id="136" w:name="_Toc416353744"/>
      <w:bookmarkStart w:id="137" w:name="_Toc421005287"/>
      <w:bookmarkStart w:id="138" w:name="_Toc432079164"/>
      <w:bookmarkStart w:id="139" w:name="_Toc432080737"/>
      <w:bookmarkStart w:id="140" w:name="_Toc505155588"/>
      <w:r w:rsidRPr="00545B14">
        <w:t xml:space="preserve">All adverse events (irrespective of relationship to </w:t>
      </w:r>
      <w:r>
        <w:t xml:space="preserve">study </w:t>
      </w:r>
      <w:r w:rsidRPr="00545B14">
        <w:t>treatment)</w:t>
      </w:r>
      <w:bookmarkEnd w:id="132"/>
      <w:bookmarkEnd w:id="133"/>
      <w:bookmarkEnd w:id="134"/>
      <w:bookmarkEnd w:id="135"/>
      <w:bookmarkEnd w:id="136"/>
      <w:bookmarkEnd w:id="137"/>
      <w:bookmarkEnd w:id="138"/>
      <w:bookmarkEnd w:id="139"/>
      <w:bookmarkEnd w:id="140"/>
    </w:p>
    <w:p w14:paraId="549B1A66" w14:textId="77777777" w:rsidR="00CA1EAE" w:rsidRDefault="00834C3C" w:rsidP="00834C3C">
      <w:pPr>
        <w:rPr>
          <w:lang w:eastAsia="ja-JP"/>
        </w:rPr>
      </w:pPr>
      <w:r>
        <w:rPr>
          <w:lang w:eastAsia="ja-JP"/>
        </w:rPr>
        <w:t xml:space="preserve">The safety profiles of the placebo controlled, pivotal studies are assessed individually and compared. In addition, integrated safety analyses for the pooled 400 mg </w:t>
      </w:r>
      <w:r w:rsidR="00C920E8">
        <w:rPr>
          <w:lang w:eastAsia="ja-JP"/>
        </w:rPr>
        <w:t>BID</w:t>
      </w:r>
      <w:r>
        <w:rPr>
          <w:lang w:eastAsia="ja-JP"/>
        </w:rPr>
        <w:t xml:space="preserve"> capsule </w:t>
      </w:r>
      <w:r w:rsidR="001F00F8">
        <w:rPr>
          <w:lang w:eastAsia="ja-JP"/>
        </w:rPr>
        <w:lastRenderedPageBreak/>
        <w:t>studies (Study 19</w:t>
      </w:r>
      <w:r w:rsidR="003C2823">
        <w:rPr>
          <w:lang w:eastAsia="ja-JP"/>
        </w:rPr>
        <w:t xml:space="preserve"> (</w:t>
      </w:r>
      <w:r w:rsidR="00DF25C8">
        <w:rPr>
          <w:lang w:eastAsia="ja-JP"/>
        </w:rPr>
        <w:t>n = 136</w:t>
      </w:r>
      <w:r w:rsidR="003C2823">
        <w:rPr>
          <w:lang w:eastAsia="ja-JP"/>
        </w:rPr>
        <w:t>)</w:t>
      </w:r>
      <w:r>
        <w:rPr>
          <w:lang w:eastAsia="ja-JP"/>
        </w:rPr>
        <w:t>, and support</w:t>
      </w:r>
      <w:r w:rsidR="001F00F8">
        <w:rPr>
          <w:lang w:eastAsia="ja-JP"/>
        </w:rPr>
        <w:t>ing studies</w:t>
      </w:r>
      <w:r w:rsidR="003C2823">
        <w:rPr>
          <w:lang w:eastAsia="ja-JP"/>
        </w:rPr>
        <w:t xml:space="preserve"> (</w:t>
      </w:r>
      <w:r w:rsidR="00DF25C8">
        <w:rPr>
          <w:lang w:eastAsia="ja-JP"/>
        </w:rPr>
        <w:t>n = 766</w:t>
      </w:r>
      <w:r w:rsidR="003C2823">
        <w:rPr>
          <w:lang w:eastAsia="ja-JP"/>
        </w:rPr>
        <w:t>)</w:t>
      </w:r>
      <w:r w:rsidR="00DF25C8">
        <w:rPr>
          <w:lang w:eastAsia="ja-JP"/>
        </w:rPr>
        <w:t>)</w:t>
      </w:r>
      <w:r>
        <w:rPr>
          <w:lang w:eastAsia="ja-JP"/>
        </w:rPr>
        <w:t xml:space="preserve"> are compared with the pooled 300 mg </w:t>
      </w:r>
      <w:r w:rsidR="00C920E8">
        <w:rPr>
          <w:lang w:eastAsia="ja-JP"/>
        </w:rPr>
        <w:t>BID</w:t>
      </w:r>
      <w:r w:rsidR="00DF25C8">
        <w:rPr>
          <w:lang w:eastAsia="ja-JP"/>
        </w:rPr>
        <w:t xml:space="preserve"> tablet studies (</w:t>
      </w:r>
      <w:r w:rsidR="00C500FE">
        <w:rPr>
          <w:lang w:eastAsia="ja-JP"/>
        </w:rPr>
        <w:t xml:space="preserve">Study </w:t>
      </w:r>
      <w:r w:rsidR="00205AC8">
        <w:rPr>
          <w:lang w:eastAsia="ja-JP"/>
        </w:rPr>
        <w:t>SOLO-2</w:t>
      </w:r>
      <w:r w:rsidR="00DF25C8">
        <w:rPr>
          <w:lang w:eastAsia="ja-JP"/>
        </w:rPr>
        <w:t xml:space="preserve"> </w:t>
      </w:r>
      <w:r w:rsidR="003C2823">
        <w:rPr>
          <w:lang w:eastAsia="ja-JP"/>
        </w:rPr>
        <w:t>(</w:t>
      </w:r>
      <w:r w:rsidR="00DF25C8">
        <w:rPr>
          <w:lang w:eastAsia="ja-JP"/>
        </w:rPr>
        <w:t>n = 195</w:t>
      </w:r>
      <w:r w:rsidR="003C2823">
        <w:rPr>
          <w:lang w:eastAsia="ja-JP"/>
        </w:rPr>
        <w:t>)</w:t>
      </w:r>
      <w:r w:rsidR="001F00F8">
        <w:rPr>
          <w:lang w:eastAsia="ja-JP"/>
        </w:rPr>
        <w:t>, and supporting studies</w:t>
      </w:r>
      <w:r w:rsidR="003C2823">
        <w:rPr>
          <w:lang w:eastAsia="ja-JP"/>
        </w:rPr>
        <w:t xml:space="preserve"> (</w:t>
      </w:r>
      <w:r w:rsidR="00DF25C8">
        <w:rPr>
          <w:lang w:eastAsia="ja-JP"/>
        </w:rPr>
        <w:t>n = 482</w:t>
      </w:r>
      <w:r w:rsidR="003C2823">
        <w:rPr>
          <w:lang w:eastAsia="ja-JP"/>
        </w:rPr>
        <w:t>)</w:t>
      </w:r>
      <w:r w:rsidR="00DF25C8">
        <w:rPr>
          <w:lang w:eastAsia="ja-JP"/>
        </w:rPr>
        <w:t>)</w:t>
      </w:r>
      <w:r w:rsidR="00CA1EAE">
        <w:rPr>
          <w:lang w:eastAsia="ja-JP"/>
        </w:rPr>
        <w:t>.</w:t>
      </w:r>
    </w:p>
    <w:p w14:paraId="5D50902C" w14:textId="77777777" w:rsidR="00834C3C" w:rsidRPr="00073FEC" w:rsidRDefault="00834C3C" w:rsidP="00834C3C">
      <w:pPr>
        <w:pStyle w:val="Heading6"/>
      </w:pPr>
      <w:r w:rsidRPr="00073FEC">
        <w:t>Integrated safety analyses</w:t>
      </w:r>
    </w:p>
    <w:p w14:paraId="76B7CF02" w14:textId="5C67A3AA" w:rsidR="00834C3C" w:rsidRDefault="00834C3C" w:rsidP="00DF25C8">
      <w:pPr>
        <w:rPr>
          <w:lang w:eastAsia="en-AU"/>
        </w:rPr>
      </w:pPr>
      <w:r>
        <w:rPr>
          <w:lang w:eastAsia="en-AU"/>
        </w:rPr>
        <w:t xml:space="preserve">The pattern of AEs was broadly comparable in each of the four groups. A comparison of the most common AEs (≥ 10%) by </w:t>
      </w:r>
      <w:r w:rsidR="00A46C84">
        <w:rPr>
          <w:lang w:eastAsia="en-AU"/>
        </w:rPr>
        <w:t>System O</w:t>
      </w:r>
      <w:r w:rsidR="00DF25C8">
        <w:rPr>
          <w:lang w:eastAsia="en-AU"/>
        </w:rPr>
        <w:t xml:space="preserve">rgan </w:t>
      </w:r>
      <w:r w:rsidR="00A46C84">
        <w:rPr>
          <w:lang w:eastAsia="en-AU"/>
        </w:rPr>
        <w:t>C</w:t>
      </w:r>
      <w:r w:rsidR="00DF25C8">
        <w:rPr>
          <w:lang w:eastAsia="en-AU"/>
        </w:rPr>
        <w:t>lass (</w:t>
      </w:r>
      <w:r w:rsidRPr="00DF25C8">
        <w:rPr>
          <w:lang w:eastAsia="en-AU"/>
        </w:rPr>
        <w:t>SOC</w:t>
      </w:r>
      <w:r w:rsidR="00DF25C8" w:rsidRPr="00DF25C8">
        <w:rPr>
          <w:lang w:eastAsia="en-AU"/>
        </w:rPr>
        <w:t>)</w:t>
      </w:r>
      <w:r w:rsidRPr="00DF25C8">
        <w:rPr>
          <w:lang w:eastAsia="en-AU"/>
        </w:rPr>
        <w:t xml:space="preserve"> and </w:t>
      </w:r>
      <w:r w:rsidR="00A46C84">
        <w:rPr>
          <w:lang w:eastAsia="en-AU"/>
        </w:rPr>
        <w:t>Preferred T</w:t>
      </w:r>
      <w:r w:rsidR="00DF25C8" w:rsidRPr="00DF25C8">
        <w:rPr>
          <w:lang w:eastAsia="en-AU"/>
        </w:rPr>
        <w:t>erm (</w:t>
      </w:r>
      <w:r w:rsidRPr="00DF25C8">
        <w:rPr>
          <w:lang w:eastAsia="en-AU"/>
        </w:rPr>
        <w:t>PT</w:t>
      </w:r>
      <w:r w:rsidR="00DF25C8" w:rsidRPr="00DF25C8">
        <w:rPr>
          <w:lang w:eastAsia="en-AU"/>
        </w:rPr>
        <w:t>)</w:t>
      </w:r>
      <w:r>
        <w:rPr>
          <w:lang w:eastAsia="en-AU"/>
        </w:rPr>
        <w:t xml:space="preserve"> for the pivotal and pooled studies showed comparable AE profiles for the tablet and capsule formulations, and in keeping with the known adverse drug reactions (ADRs) associated with </w:t>
      </w:r>
      <w:r w:rsidRPr="003050A7">
        <w:rPr>
          <w:lang w:eastAsia="en-AU"/>
        </w:rPr>
        <w:t>olaparib</w:t>
      </w:r>
      <w:r>
        <w:rPr>
          <w:lang w:eastAsia="en-AU"/>
        </w:rPr>
        <w:t>. Anaemia, dysgeusia, and asthenia were notably more common in patients treated with the tablet formulation, while fatigue was more common with the capsule formulation. Overall, severe AEs were marginally less common in the tablet pool compared with the capsule pool.</w:t>
      </w:r>
    </w:p>
    <w:p w14:paraId="048D7691" w14:textId="77777777" w:rsidR="00834C3C" w:rsidRDefault="00834C3C" w:rsidP="00834C3C">
      <w:pPr>
        <w:pStyle w:val="Heading6"/>
      </w:pPr>
      <w:r w:rsidRPr="00073FEC">
        <w:t>Pivotal and/or main efficacy studies</w:t>
      </w:r>
    </w:p>
    <w:p w14:paraId="420A4F73" w14:textId="77777777" w:rsidR="00834C3C" w:rsidRPr="00DF25C8" w:rsidRDefault="001F00F8" w:rsidP="00DF25C8">
      <w:r w:rsidRPr="00F30AD1">
        <w:rPr>
          <w:i/>
        </w:rPr>
        <w:t xml:space="preserve">Study </w:t>
      </w:r>
      <w:r w:rsidR="00834C3C" w:rsidRPr="00F30AD1">
        <w:rPr>
          <w:i/>
        </w:rPr>
        <w:t>19</w:t>
      </w:r>
      <w:r w:rsidR="00834C3C" w:rsidRPr="00DF25C8">
        <w:t>: In the overall population, at least one AE was reported in 95.1% of patients (olaparib 97.1%; placebo 93.0%), but most AEs were mild to moderate in severity. For AEs occurring in more than 10% of patients, the most common AEs were nausea (olaparib 70.6%; placebo 35.9%); fatigue (52.2% versus 39.1%); vomiting (33.8% versus 14.1%); and anaemia (21.3% versus 5.5%). Other AEs reported with 5% greater frequency in the olaparib group compared with placebo were constipation (20.6% versus 10.9%); decreased appetite (20.6% versus 13.3%); headache (20.6% versus 12.5%); upper abdominal pain (17.6% versus 7.8%); cough (17.6% versus 10.2%); dyspepsia (17.6% versus 8.6%); back pain (16.2% versus 6.3%); dysgeusia (16.2% versus 6.3%); dizziness (13.2% versus 7.0%); dyspnoea (11.8% versus 6.3%); and upper respiratory tract infection (11.8% versus 6.3%). AEs reported with 5% to 10% greater frequency in the olaparib group compared with placebo were muscle spasms (9.6% versus 3.9%); pyrexia (9.6% versus 3.1%); peripheral neuropathy (8.8% versus 2.3%); and stomatitis (8.8% versus 3.1%). Severe AEs (</w:t>
      </w:r>
      <w:r w:rsidR="00391A17">
        <w:t>c</w:t>
      </w:r>
      <w:r w:rsidR="00DF25C8" w:rsidRPr="00A06953">
        <w:t>ommon terminology criteria for adverse events</w:t>
      </w:r>
      <w:r w:rsidR="00DF25C8" w:rsidRPr="00DF25C8">
        <w:t xml:space="preserve"> </w:t>
      </w:r>
      <w:r w:rsidR="003C2823">
        <w:t>(</w:t>
      </w:r>
      <w:r w:rsidR="00834C3C" w:rsidRPr="00DF25C8">
        <w:t>CTCAE</w:t>
      </w:r>
      <w:r w:rsidR="003C2823">
        <w:t>)</w:t>
      </w:r>
      <w:r w:rsidR="00834C3C" w:rsidRPr="00DF25C8">
        <w:t xml:space="preserve"> Grade ≥</w:t>
      </w:r>
      <w:r w:rsidR="00DF25C8">
        <w:t xml:space="preserve"> </w:t>
      </w:r>
      <w:r w:rsidR="00834C3C" w:rsidRPr="00DF25C8">
        <w:t>3) were reported in more patients in the olaparib group (40.4%) compared with the placebo group (21.9%). The most common severe AEs were fatigue (7.4% versus 3.1%), and anaemia (5.1% v</w:t>
      </w:r>
      <w:r w:rsidR="00DF25C8">
        <w:t>ersus</w:t>
      </w:r>
      <w:r w:rsidR="00834C3C" w:rsidRPr="00DF25C8">
        <w:t xml:space="preserve"> 0.8%).</w:t>
      </w:r>
    </w:p>
    <w:p w14:paraId="2096C027" w14:textId="77777777" w:rsidR="00834C3C" w:rsidRPr="00BC4658" w:rsidRDefault="00834C3C" w:rsidP="00DF25C8">
      <w:r w:rsidRPr="00BC4658">
        <w:t xml:space="preserve">Safety in the subgroup of patients with BRCA mutations was comparable to the overall group. The most common AEs were nausea (73.0% </w:t>
      </w:r>
      <w:r>
        <w:t>versus</w:t>
      </w:r>
      <w:r w:rsidRPr="00BC4658">
        <w:t xml:space="preserve"> 32.3%); fatigue (54.1% </w:t>
      </w:r>
      <w:r>
        <w:t>versus</w:t>
      </w:r>
      <w:r w:rsidRPr="00BC4658">
        <w:t xml:space="preserve"> 37.1%); vomiting (36.5% </w:t>
      </w:r>
      <w:r>
        <w:t>versus</w:t>
      </w:r>
      <w:r w:rsidRPr="00BC4658">
        <w:t xml:space="preserve"> 8.1%); diarrhoea (29.7% </w:t>
      </w:r>
      <w:r>
        <w:t>versus</w:t>
      </w:r>
      <w:r w:rsidRPr="00BC4658">
        <w:t xml:space="preserve"> 19.4%); and anaemia (25.7% </w:t>
      </w:r>
      <w:r>
        <w:t>versus</w:t>
      </w:r>
      <w:r w:rsidRPr="00BC4658">
        <w:t xml:space="preserve"> 4.8%). For AEs reported by SOC and PT, there were no meaningful differences compared with the overall population.</w:t>
      </w:r>
    </w:p>
    <w:p w14:paraId="525655AF" w14:textId="162DD583" w:rsidR="00CA1EAE" w:rsidRDefault="00205AC8" w:rsidP="00834C3C">
      <w:pPr>
        <w:pStyle w:val="ListBullet"/>
        <w:numPr>
          <w:ilvl w:val="0"/>
          <w:numId w:val="0"/>
        </w:numPr>
      </w:pPr>
      <w:r w:rsidRPr="00F30AD1">
        <w:rPr>
          <w:i/>
        </w:rPr>
        <w:t>SOLO-2</w:t>
      </w:r>
      <w:r w:rsidR="00B12E0A" w:rsidRPr="00F30AD1">
        <w:rPr>
          <w:i/>
        </w:rPr>
        <w:t xml:space="preserve"> trial</w:t>
      </w:r>
      <w:r w:rsidR="00834C3C" w:rsidRPr="00F30AD1">
        <w:rPr>
          <w:i/>
        </w:rPr>
        <w:t>:</w:t>
      </w:r>
      <w:r w:rsidR="00834C3C" w:rsidRPr="00BC4658">
        <w:t xml:space="preserve"> In the overall population, nearly all patients reported at least one AE (olaparib 98.5%; placebo 94.9%), but most AEs were mild to moderate in severity. For AEs occurring in more than 10% of patients reported by SOC and PT, the most common AEs in the olaparib group were nausea (olaparib 75.9%; placebo 33.3%), anaemia (43.1% </w:t>
      </w:r>
      <w:r w:rsidR="00834C3C">
        <w:t>versus</w:t>
      </w:r>
      <w:r w:rsidR="00834C3C" w:rsidRPr="00BC4658">
        <w:t xml:space="preserve"> 7.1%), fatigue (37.9% </w:t>
      </w:r>
      <w:r w:rsidR="00834C3C">
        <w:t>versus</w:t>
      </w:r>
      <w:r w:rsidR="00834C3C" w:rsidRPr="00BC4658">
        <w:t xml:space="preserve"> 15.2%), vomiting (37.4% </w:t>
      </w:r>
      <w:r w:rsidR="00834C3C">
        <w:t>versus</w:t>
      </w:r>
      <w:r w:rsidR="00834C3C" w:rsidRPr="00BC4658">
        <w:t xml:space="preserve"> 19.2%), diarrhoea (32.8% </w:t>
      </w:r>
      <w:r w:rsidR="00834C3C">
        <w:t>versus</w:t>
      </w:r>
      <w:r w:rsidR="00963BC0">
        <w:t xml:space="preserve"> </w:t>
      </w:r>
      <w:r w:rsidR="00834C3C" w:rsidRPr="00BC4658">
        <w:t xml:space="preserve">20.2%) and asthenia (31.3% </w:t>
      </w:r>
      <w:r w:rsidR="00834C3C">
        <w:t>versus</w:t>
      </w:r>
      <w:r w:rsidR="00834C3C" w:rsidRPr="00BC4658">
        <w:t xml:space="preserve"> 27.3%). Other AEs reported with 5% greater frequency in the olaparib group compared with placebo were dysgeusia (26.7% </w:t>
      </w:r>
      <w:r w:rsidR="00834C3C">
        <w:t>versus</w:t>
      </w:r>
      <w:r w:rsidR="00834C3C" w:rsidRPr="00BC4658">
        <w:t xml:space="preserve"> 7.1%), headache</w:t>
      </w:r>
      <w:r w:rsidR="00963BC0">
        <w:t xml:space="preserve"> </w:t>
      </w:r>
      <w:r w:rsidR="00834C3C" w:rsidRPr="00BC4658">
        <w:t xml:space="preserve">(25.1% </w:t>
      </w:r>
      <w:r w:rsidR="00834C3C">
        <w:t>versus</w:t>
      </w:r>
      <w:r w:rsidR="00834C3C" w:rsidRPr="00BC4658">
        <w:t xml:space="preserve"> 13.1%), decreased appetite (22.1% </w:t>
      </w:r>
      <w:r w:rsidR="00834C3C">
        <w:t>versus</w:t>
      </w:r>
      <w:r w:rsidR="00834C3C" w:rsidRPr="00BC4658">
        <w:t xml:space="preserve"> 11.1%), cough (16.9% </w:t>
      </w:r>
      <w:r w:rsidR="00834C3C">
        <w:t>versus</w:t>
      </w:r>
      <w:r w:rsidR="00834C3C" w:rsidRPr="00BC4658">
        <w:t xml:space="preserve"> 5.1%), dizziness (13.3% </w:t>
      </w:r>
      <w:r w:rsidR="00834C3C">
        <w:t>versus</w:t>
      </w:r>
      <w:r w:rsidR="00834C3C" w:rsidRPr="00BC4658">
        <w:t xml:space="preserve"> 5.1%), pyrexia (13.3% </w:t>
      </w:r>
      <w:r w:rsidR="00834C3C">
        <w:t>versus</w:t>
      </w:r>
      <w:r w:rsidR="00834C3C" w:rsidRPr="00BC4658">
        <w:t xml:space="preserve"> 6.1%), dyspnoea (11.8% </w:t>
      </w:r>
      <w:r w:rsidR="00834C3C">
        <w:t>versus</w:t>
      </w:r>
      <w:r w:rsidR="006666D8">
        <w:t xml:space="preserve"> 1.0%), neutrop</w:t>
      </w:r>
      <w:r w:rsidR="00834C3C" w:rsidRPr="00BC4658">
        <w:t xml:space="preserve">enia (11.8% </w:t>
      </w:r>
      <w:r w:rsidR="00834C3C">
        <w:t>versus</w:t>
      </w:r>
      <w:r w:rsidR="00834C3C" w:rsidRPr="00BC4658">
        <w:t xml:space="preserve"> 5.1%), increased blood creatinine (10.8% </w:t>
      </w:r>
      <w:r w:rsidR="00834C3C">
        <w:t>versus</w:t>
      </w:r>
      <w:r w:rsidR="006666D8">
        <w:t xml:space="preserve"> 1.0%) and leukop</w:t>
      </w:r>
      <w:r w:rsidR="00834C3C" w:rsidRPr="00BC4658">
        <w:t xml:space="preserve">enia (10.3% </w:t>
      </w:r>
      <w:r w:rsidR="00834C3C">
        <w:t>versus</w:t>
      </w:r>
      <w:r w:rsidR="00834C3C" w:rsidRPr="00BC4658">
        <w:t xml:space="preserve"> 1.0%). For severe AEs, severe events (Grade ≥</w:t>
      </w:r>
      <w:r w:rsidR="00DF25C8">
        <w:t xml:space="preserve"> </w:t>
      </w:r>
      <w:r w:rsidR="00834C3C" w:rsidRPr="00BC4658">
        <w:t xml:space="preserve">3) were reported in 36.9% of the olaparib group compared with 18.2% in the placebo group. The most common severe AE in the olaparib group was anaemia (19.5% </w:t>
      </w:r>
      <w:r w:rsidR="00834C3C">
        <w:t>versus</w:t>
      </w:r>
      <w:r w:rsidR="00834C3C" w:rsidRPr="00BC4658">
        <w:t xml:space="preserve"> 2.0%), although discontinuation of treatment occurred in only 3.1% of patients</w:t>
      </w:r>
      <w:r w:rsidR="00CA1EAE">
        <w:t>.</w:t>
      </w:r>
    </w:p>
    <w:p w14:paraId="5521F948" w14:textId="021997C8" w:rsidR="00834C3C" w:rsidRPr="00F30AD1" w:rsidRDefault="00834C3C" w:rsidP="00F30AD1">
      <w:r w:rsidRPr="00F30AD1">
        <w:rPr>
          <w:i/>
        </w:rPr>
        <w:lastRenderedPageBreak/>
        <w:t>Note</w:t>
      </w:r>
      <w:r w:rsidRPr="00F30AD1">
        <w:t xml:space="preserve">: In </w:t>
      </w:r>
      <w:r w:rsidR="00B12E0A">
        <w:t xml:space="preserve">the </w:t>
      </w:r>
      <w:r w:rsidR="00205AC8" w:rsidRPr="00F30AD1">
        <w:t>SOLO-2</w:t>
      </w:r>
      <w:r w:rsidR="00B12E0A">
        <w:t xml:space="preserve"> trial</w:t>
      </w:r>
      <w:r w:rsidRPr="00F30AD1">
        <w:t>, the median total exposure to olaparib was over three times longer than for placebo (19.4 months versus 5.6 months).</w:t>
      </w:r>
    </w:p>
    <w:p w14:paraId="13652FC7" w14:textId="77777777" w:rsidR="00834C3C" w:rsidRDefault="00834C3C" w:rsidP="00834C3C">
      <w:pPr>
        <w:pStyle w:val="Heading5"/>
      </w:pPr>
      <w:bookmarkStart w:id="141" w:name="_Ref272333567"/>
      <w:bookmarkStart w:id="142" w:name="_Toc272414665"/>
      <w:bookmarkStart w:id="143" w:name="_Toc290888529"/>
      <w:bookmarkStart w:id="144" w:name="_Toc416353745"/>
      <w:bookmarkStart w:id="145" w:name="_Toc421005288"/>
      <w:bookmarkStart w:id="146" w:name="_Toc432079165"/>
      <w:bookmarkStart w:id="147" w:name="_Toc432080738"/>
      <w:bookmarkStart w:id="148" w:name="_Toc505155589"/>
      <w:r w:rsidRPr="00545B14">
        <w:t>Treatment</w:t>
      </w:r>
      <w:r>
        <w:t xml:space="preserve"> </w:t>
      </w:r>
      <w:r w:rsidRPr="00545B14">
        <w:t>related adverse events (</w:t>
      </w:r>
      <w:r w:rsidR="00963BC0">
        <w:t>ADRs</w:t>
      </w:r>
      <w:r w:rsidRPr="00545B14">
        <w:t>)</w:t>
      </w:r>
      <w:bookmarkEnd w:id="141"/>
      <w:bookmarkEnd w:id="142"/>
      <w:bookmarkEnd w:id="143"/>
      <w:bookmarkEnd w:id="144"/>
      <w:bookmarkEnd w:id="145"/>
      <w:bookmarkEnd w:id="146"/>
      <w:bookmarkEnd w:id="147"/>
      <w:bookmarkEnd w:id="148"/>
    </w:p>
    <w:p w14:paraId="2BE698FF" w14:textId="77777777" w:rsidR="00834C3C" w:rsidRPr="00073FEC" w:rsidRDefault="00834C3C" w:rsidP="00834C3C">
      <w:pPr>
        <w:pStyle w:val="Heading6"/>
      </w:pPr>
      <w:r w:rsidRPr="00073FEC">
        <w:t>Integrated safety analyses</w:t>
      </w:r>
    </w:p>
    <w:p w14:paraId="48882EDA" w14:textId="77777777" w:rsidR="00CA1EAE" w:rsidRDefault="00834C3C" w:rsidP="00834C3C">
      <w:pPr>
        <w:rPr>
          <w:lang w:eastAsia="ja-JP"/>
        </w:rPr>
      </w:pPr>
      <w:r>
        <w:rPr>
          <w:lang w:eastAsia="ja-JP"/>
        </w:rPr>
        <w:t>No integrated analyses of ADRs were performed</w:t>
      </w:r>
      <w:r w:rsidR="00CA1EAE">
        <w:rPr>
          <w:lang w:eastAsia="ja-JP"/>
        </w:rPr>
        <w:t>.</w:t>
      </w:r>
    </w:p>
    <w:p w14:paraId="2B7A2E39" w14:textId="77777777" w:rsidR="00834C3C" w:rsidRPr="00834C3C" w:rsidRDefault="00834C3C" w:rsidP="00834C3C">
      <w:pPr>
        <w:pStyle w:val="Heading6"/>
      </w:pPr>
      <w:r w:rsidRPr="00834C3C">
        <w:t>Pivotal and/or main efficacy studies</w:t>
      </w:r>
    </w:p>
    <w:p w14:paraId="094C100F" w14:textId="77777777" w:rsidR="00CA1EAE" w:rsidRPr="00963BC0" w:rsidRDefault="001F00F8" w:rsidP="00DF25C8">
      <w:r w:rsidRPr="00F30AD1">
        <w:rPr>
          <w:i/>
        </w:rPr>
        <w:t xml:space="preserve">Study </w:t>
      </w:r>
      <w:r w:rsidR="00834C3C" w:rsidRPr="00F30AD1">
        <w:rPr>
          <w:i/>
        </w:rPr>
        <w:t>19</w:t>
      </w:r>
      <w:r w:rsidR="00834C3C" w:rsidRPr="00963BC0">
        <w:t>: ADRs were reported in 90.5% and 72.6% of the olaparib and placebo groups, respectively. Severe ADRs (Grade 3 or higher) were reported in 21.6% and 8.1% of the respective groups</w:t>
      </w:r>
      <w:r w:rsidR="00CA1EAE" w:rsidRPr="00963BC0">
        <w:t>.</w:t>
      </w:r>
    </w:p>
    <w:p w14:paraId="4610D0A3" w14:textId="52A6F337" w:rsidR="00CA1EAE" w:rsidRDefault="00205AC8" w:rsidP="00DF25C8">
      <w:r w:rsidRPr="00F30AD1">
        <w:rPr>
          <w:i/>
        </w:rPr>
        <w:t>SOLO-2</w:t>
      </w:r>
      <w:r w:rsidR="00B12E0A" w:rsidRPr="00F30AD1">
        <w:rPr>
          <w:i/>
        </w:rPr>
        <w:t xml:space="preserve"> trial</w:t>
      </w:r>
      <w:r w:rsidR="00834C3C" w:rsidRPr="00963BC0">
        <w:t>: ADRs were reported in 92.3% and 62.6% of the olaparib and placebo groups, respectively. Most ADRs were Grade ≤</w:t>
      </w:r>
      <w:r w:rsidR="00DF25C8" w:rsidRPr="00963BC0">
        <w:t xml:space="preserve"> </w:t>
      </w:r>
      <w:r w:rsidR="00834C3C" w:rsidRPr="00963BC0">
        <w:t>2 in severity (29.7% versus 7.1%). The most common severe ADR in the olaparib group was anaemia (</w:t>
      </w:r>
      <w:r w:rsidR="00834C3C" w:rsidRPr="00963BC0">
        <w:rPr>
          <w:lang w:eastAsia="ja-JP"/>
        </w:rPr>
        <w:t>19.5% versus 2.0%</w:t>
      </w:r>
      <w:r w:rsidR="00834C3C" w:rsidRPr="00963BC0">
        <w:t>)</w:t>
      </w:r>
      <w:r w:rsidR="00CA1EAE" w:rsidRPr="00963BC0">
        <w:t>.</w:t>
      </w:r>
    </w:p>
    <w:p w14:paraId="0E20D81B" w14:textId="77777777" w:rsidR="00834C3C" w:rsidRPr="00834C3C" w:rsidRDefault="00834C3C" w:rsidP="00834C3C">
      <w:pPr>
        <w:pStyle w:val="Heading5"/>
      </w:pPr>
      <w:bookmarkStart w:id="149" w:name="_Toc241374320"/>
      <w:bookmarkStart w:id="150" w:name="_Ref272333507"/>
      <w:bookmarkStart w:id="151" w:name="_Toc272414666"/>
      <w:bookmarkStart w:id="152" w:name="_Toc290888530"/>
      <w:bookmarkStart w:id="153" w:name="_Toc416353746"/>
      <w:bookmarkStart w:id="154" w:name="_Toc421005289"/>
      <w:bookmarkStart w:id="155" w:name="_Toc432079166"/>
      <w:bookmarkStart w:id="156" w:name="_Toc432080739"/>
      <w:bookmarkStart w:id="157" w:name="_Toc505155590"/>
      <w:r w:rsidRPr="00834C3C">
        <w:t>Deaths and other serious adverse events</w:t>
      </w:r>
      <w:bookmarkEnd w:id="149"/>
      <w:bookmarkEnd w:id="150"/>
      <w:bookmarkEnd w:id="151"/>
      <w:bookmarkEnd w:id="152"/>
      <w:bookmarkEnd w:id="153"/>
      <w:bookmarkEnd w:id="154"/>
      <w:bookmarkEnd w:id="155"/>
      <w:bookmarkEnd w:id="156"/>
      <w:bookmarkEnd w:id="157"/>
    </w:p>
    <w:p w14:paraId="1D0F43F3" w14:textId="77777777" w:rsidR="00834C3C" w:rsidRPr="00834C3C" w:rsidRDefault="00834C3C" w:rsidP="00834C3C">
      <w:pPr>
        <w:pStyle w:val="Heading6"/>
      </w:pPr>
      <w:r w:rsidRPr="00834C3C">
        <w:t>Integrated safety analyses</w:t>
      </w:r>
    </w:p>
    <w:p w14:paraId="6DAE8755" w14:textId="77777777" w:rsidR="00834C3C" w:rsidRDefault="00834C3C" w:rsidP="00DF25C8">
      <w:pPr>
        <w:rPr>
          <w:lang w:eastAsia="en-AU"/>
        </w:rPr>
      </w:pPr>
      <w:r>
        <w:rPr>
          <w:lang w:eastAsia="en-AU"/>
        </w:rPr>
        <w:t xml:space="preserve">The great majority of deaths were related to the underlying disease, and they occurred more than 30 days after the last treatment dose. Fewer deaths were reported in the tablet group compared with the capsule group. </w:t>
      </w:r>
      <w:r w:rsidR="00963BC0">
        <w:rPr>
          <w:lang w:eastAsia="en-AU"/>
        </w:rPr>
        <w:t>Serious adverse events (</w:t>
      </w:r>
      <w:r>
        <w:rPr>
          <w:lang w:eastAsia="en-AU"/>
        </w:rPr>
        <w:t>SAEs</w:t>
      </w:r>
      <w:r w:rsidR="00963BC0">
        <w:rPr>
          <w:lang w:eastAsia="en-AU"/>
        </w:rPr>
        <w:t>)</w:t>
      </w:r>
      <w:r>
        <w:rPr>
          <w:lang w:eastAsia="en-AU"/>
        </w:rPr>
        <w:t xml:space="preserve"> were generally comparable between groups although they were marginally less frequent in the pooled tablet studies compared with the capsule studies. The most common </w:t>
      </w:r>
      <w:r w:rsidR="00DF25C8">
        <w:rPr>
          <w:lang w:eastAsia="en-AU"/>
        </w:rPr>
        <w:t>SAE in each group was anaemia.</w:t>
      </w:r>
    </w:p>
    <w:p w14:paraId="5B8AC1B6" w14:textId="77777777" w:rsidR="00834C3C" w:rsidRPr="00C2074B" w:rsidRDefault="00834C3C" w:rsidP="00834C3C">
      <w:pPr>
        <w:pStyle w:val="Heading6"/>
      </w:pPr>
      <w:r w:rsidRPr="00C2074B">
        <w:t>Pivotal and/or main efficacy studies</w:t>
      </w:r>
    </w:p>
    <w:p w14:paraId="75364A71" w14:textId="77777777" w:rsidR="00834C3C" w:rsidRPr="00BC4658" w:rsidRDefault="001F00F8" w:rsidP="00DF25C8">
      <w:r w:rsidRPr="00F30AD1">
        <w:rPr>
          <w:i/>
        </w:rPr>
        <w:t xml:space="preserve">Study </w:t>
      </w:r>
      <w:r w:rsidR="00834C3C" w:rsidRPr="00F30AD1">
        <w:rPr>
          <w:i/>
        </w:rPr>
        <w:t>19</w:t>
      </w:r>
      <w:r w:rsidR="00834C3C" w:rsidRPr="00BC4658">
        <w:t xml:space="preserve">: In the overall population, 56.6% of the olaparib group died before the </w:t>
      </w:r>
      <w:r w:rsidR="00332A3C">
        <w:t>data cut </w:t>
      </w:r>
      <w:r w:rsidR="00DF25C8">
        <w:t>off</w:t>
      </w:r>
      <w:r w:rsidR="00834C3C" w:rsidRPr="00BC4658">
        <w:t xml:space="preserve"> compared with 60.2% in the placebo group. Most deaths were due to disease progression (50.0% </w:t>
      </w:r>
      <w:r w:rsidR="00834C3C">
        <w:t>versus</w:t>
      </w:r>
      <w:r w:rsidR="00834C3C" w:rsidRPr="00BC4658">
        <w:t xml:space="preserve"> 55.5</w:t>
      </w:r>
      <w:r w:rsidR="00DF25C8">
        <w:t>%</w:t>
      </w:r>
      <w:r w:rsidR="00834C3C" w:rsidRPr="00BC4658">
        <w:t xml:space="preserve">), but there was only one death related to AEs with an outcome of death (0.7% </w:t>
      </w:r>
      <w:r w:rsidR="00834C3C">
        <w:t>versus</w:t>
      </w:r>
      <w:r w:rsidR="00834C3C" w:rsidRPr="00BC4658">
        <w:t xml:space="preserve"> 0%). SAEs were reported in 18.4% and 8.6% of the respective groups,</w:t>
      </w:r>
      <w:r w:rsidR="00DF25C8">
        <w:t xml:space="preserve"> most commonly anaemia (2.2%).</w:t>
      </w:r>
    </w:p>
    <w:p w14:paraId="3ED2BD66" w14:textId="77777777" w:rsidR="00834C3C" w:rsidRPr="00BC4658" w:rsidRDefault="00834C3C" w:rsidP="00DF25C8">
      <w:r w:rsidRPr="00BC4658">
        <w:t xml:space="preserve">In the subgroup of patients with a BRCA mutation, 50.0% of the olaparib group died before the </w:t>
      </w:r>
      <w:r w:rsidR="00DF25C8">
        <w:t xml:space="preserve">data cut off </w:t>
      </w:r>
      <w:r w:rsidRPr="00BC4658">
        <w:t xml:space="preserve">compared with 54.8% in the placebo group. Most deaths were due to disease progression (41.9% </w:t>
      </w:r>
      <w:r>
        <w:t>versus</w:t>
      </w:r>
      <w:r w:rsidRPr="00BC4658">
        <w:t xml:space="preserve"> 48.4%), but there were few deaths related to AEs with an outcome of death (1.4% </w:t>
      </w:r>
      <w:r>
        <w:t>versus</w:t>
      </w:r>
      <w:r w:rsidRPr="00BC4658">
        <w:t xml:space="preserve"> 0%). SAEs were reported in 21.6% and 9.7% of the respective groups. No single event by PT was reported in more than one patient.</w:t>
      </w:r>
    </w:p>
    <w:p w14:paraId="35B8BEB5" w14:textId="5CA2EC43" w:rsidR="00834C3C" w:rsidRPr="00BC4658" w:rsidRDefault="00205AC8" w:rsidP="00DF25C8">
      <w:r w:rsidRPr="00F30AD1">
        <w:rPr>
          <w:i/>
        </w:rPr>
        <w:t>SOLO-2</w:t>
      </w:r>
      <w:r w:rsidR="00B12E0A" w:rsidRPr="00F30AD1">
        <w:rPr>
          <w:i/>
        </w:rPr>
        <w:t xml:space="preserve"> trial</w:t>
      </w:r>
      <w:r w:rsidR="00834C3C" w:rsidRPr="00BC4658">
        <w:t xml:space="preserve">: In the olaparib group, 23.0% of patients died up to the </w:t>
      </w:r>
      <w:r w:rsidR="00DF25C8">
        <w:t>data cut off</w:t>
      </w:r>
      <w:r w:rsidR="00834C3C" w:rsidRPr="00BC4658">
        <w:t xml:space="preserve"> compared with 27.3% in the placebo group. Most deaths were due to disease progression occurring at least 30 days after the last treatment dose (21.4% </w:t>
      </w:r>
      <w:r w:rsidR="00834C3C">
        <w:t>versus</w:t>
      </w:r>
      <w:r w:rsidR="00834C3C" w:rsidRPr="00BC4658">
        <w:t xml:space="preserve"> 25.3</w:t>
      </w:r>
      <w:r w:rsidR="00DF25C8">
        <w:t>%</w:t>
      </w:r>
      <w:r w:rsidR="00834C3C" w:rsidRPr="00BC4658">
        <w:t>). There were no deaths related to AEs in either treatment group. SAEs were reported in 17.9% and 8.1% of the respective groups,</w:t>
      </w:r>
      <w:bookmarkStart w:id="158" w:name="_Toc241374325"/>
      <w:bookmarkStart w:id="159" w:name="_Ref272333477"/>
      <w:bookmarkStart w:id="160" w:name="_Toc272414667"/>
      <w:bookmarkStart w:id="161" w:name="_Toc290888531"/>
      <w:bookmarkStart w:id="162" w:name="_Toc416353747"/>
      <w:bookmarkStart w:id="163" w:name="_Toc421005290"/>
      <w:bookmarkStart w:id="164" w:name="_Toc432079167"/>
      <w:bookmarkStart w:id="165" w:name="_Toc432080740"/>
      <w:r w:rsidR="00DF25C8">
        <w:t xml:space="preserve"> most commonly anaemia (2.2%).</w:t>
      </w:r>
    </w:p>
    <w:p w14:paraId="0B78F8A1" w14:textId="77777777" w:rsidR="00834C3C" w:rsidRPr="00545B14" w:rsidRDefault="00834C3C" w:rsidP="00834C3C">
      <w:pPr>
        <w:pStyle w:val="Heading5"/>
      </w:pPr>
      <w:bookmarkStart w:id="166" w:name="_Toc505155591"/>
      <w:r w:rsidRPr="00545B14">
        <w:t>Discontinuation</w:t>
      </w:r>
      <w:r>
        <w:t>s</w:t>
      </w:r>
      <w:r w:rsidRPr="00545B14">
        <w:t xml:space="preserve"> due to adverse events</w:t>
      </w:r>
      <w:bookmarkEnd w:id="158"/>
      <w:bookmarkEnd w:id="159"/>
      <w:bookmarkEnd w:id="160"/>
      <w:bookmarkEnd w:id="161"/>
      <w:bookmarkEnd w:id="162"/>
      <w:bookmarkEnd w:id="163"/>
      <w:bookmarkEnd w:id="164"/>
      <w:bookmarkEnd w:id="165"/>
      <w:bookmarkEnd w:id="166"/>
    </w:p>
    <w:p w14:paraId="3AE6E7EB" w14:textId="77777777" w:rsidR="00834C3C" w:rsidRPr="002B7B05" w:rsidRDefault="00834C3C" w:rsidP="00834C3C">
      <w:pPr>
        <w:pStyle w:val="Heading6"/>
      </w:pPr>
      <w:r>
        <w:t>I</w:t>
      </w:r>
      <w:r w:rsidRPr="002B7B05">
        <w:t>ntegrated safety analyses</w:t>
      </w:r>
    </w:p>
    <w:p w14:paraId="475BFB63" w14:textId="4DC2D64B" w:rsidR="00CA1EAE" w:rsidRDefault="00834C3C" w:rsidP="00834C3C">
      <w:pPr>
        <w:rPr>
          <w:lang w:eastAsia="ja-JP"/>
        </w:rPr>
      </w:pPr>
      <w:r>
        <w:rPr>
          <w:lang w:eastAsia="ja-JP"/>
        </w:rPr>
        <w:t>Overall, withdrawals due to AEs were infrequent and comparable in the capsule and tablet pooled sets. Anaemia was the most common reason for withdrawal, most notably in the patients treated with the tablet formulation (3.1% in Study 02)</w:t>
      </w:r>
      <w:r w:rsidR="00CA1EAE">
        <w:rPr>
          <w:lang w:eastAsia="ja-JP"/>
        </w:rPr>
        <w:t>.</w:t>
      </w:r>
    </w:p>
    <w:p w14:paraId="2EC7D6B7" w14:textId="77777777" w:rsidR="00834C3C" w:rsidRPr="00C2074B" w:rsidRDefault="00834C3C" w:rsidP="00834C3C">
      <w:pPr>
        <w:pStyle w:val="Heading6"/>
      </w:pPr>
      <w:r w:rsidRPr="00C2074B">
        <w:t>Pivotal and/or main efficacy studies</w:t>
      </w:r>
    </w:p>
    <w:p w14:paraId="4384E47A" w14:textId="77777777" w:rsidR="00834C3C" w:rsidRPr="00BC4658" w:rsidRDefault="001F00F8" w:rsidP="00DF25C8">
      <w:r w:rsidRPr="00F30AD1">
        <w:rPr>
          <w:i/>
        </w:rPr>
        <w:t xml:space="preserve">Study </w:t>
      </w:r>
      <w:r w:rsidR="00834C3C" w:rsidRPr="00F30AD1">
        <w:rPr>
          <w:i/>
        </w:rPr>
        <w:t>19</w:t>
      </w:r>
      <w:r w:rsidR="00834C3C" w:rsidRPr="00BC4658">
        <w:t xml:space="preserve">: Overall, discontinuations due to AEs occurred more commonly in the olaparib group compared with the placebo group (5.1% </w:t>
      </w:r>
      <w:r w:rsidR="00834C3C">
        <w:t>versus</w:t>
      </w:r>
      <w:r w:rsidR="00834C3C" w:rsidRPr="00BC4658">
        <w:t xml:space="preserve"> 1.6%). The most commonly reported AEs were nausea, vomiting, fatigue and diarrhoea; however, these events rarely led to discontinuation. In patients with a BRCA mutation, there were no discontinuations </w:t>
      </w:r>
      <w:r w:rsidR="00834C3C" w:rsidRPr="00BC4658">
        <w:lastRenderedPageBreak/>
        <w:t>due to AEs in the placebo group. Discontinuations occurred in 8.1% of the olaparib group, but no single AE by PT was reported by more than one patient.</w:t>
      </w:r>
    </w:p>
    <w:p w14:paraId="5C3DE66C" w14:textId="15A89BE1" w:rsidR="00834C3C" w:rsidRPr="00500337" w:rsidRDefault="00834C3C" w:rsidP="00DF25C8">
      <w:r w:rsidRPr="00F30AD1">
        <w:rPr>
          <w:i/>
        </w:rPr>
        <w:t>Study 02</w:t>
      </w:r>
      <w:r w:rsidRPr="00BC4658">
        <w:t xml:space="preserve">: AEs leading to drug discontinuation occurred more commonly in the olaparib group compared with the placebo group (10.8% </w:t>
      </w:r>
      <w:r>
        <w:t>versus</w:t>
      </w:r>
      <w:r w:rsidRPr="00BC4658">
        <w:t xml:space="preserve"> 2.0%). The most common event leading to discontinuation was anaemia (4.1% </w:t>
      </w:r>
      <w:r>
        <w:t>versus</w:t>
      </w:r>
      <w:r w:rsidRPr="00BC4658">
        <w:t xml:space="preserve"> 1.0%).</w:t>
      </w:r>
    </w:p>
    <w:p w14:paraId="4DBDAFB9" w14:textId="77777777" w:rsidR="00605AD4" w:rsidRDefault="00605AD4" w:rsidP="00605AD4">
      <w:pPr>
        <w:pStyle w:val="Heading4"/>
      </w:pPr>
      <w:r w:rsidRPr="00605AD4">
        <w:t>Safety issues with the potential for major regulatory impact</w:t>
      </w:r>
    </w:p>
    <w:p w14:paraId="010B3B08" w14:textId="77777777" w:rsidR="00834C3C" w:rsidRDefault="00834C3C" w:rsidP="00834C3C">
      <w:pPr>
        <w:pStyle w:val="Heading5"/>
      </w:pPr>
      <w:bookmarkStart w:id="167" w:name="_Toc272414669"/>
      <w:bookmarkStart w:id="168" w:name="_Toc290888533"/>
      <w:bookmarkStart w:id="169" w:name="_Toc416353749"/>
      <w:bookmarkStart w:id="170" w:name="_Toc421005292"/>
      <w:bookmarkStart w:id="171" w:name="_Toc432079169"/>
      <w:bookmarkStart w:id="172" w:name="_Toc432080742"/>
      <w:bookmarkStart w:id="173" w:name="_Toc505155593"/>
      <w:r w:rsidRPr="00545B14">
        <w:t>Liver function</w:t>
      </w:r>
      <w:bookmarkEnd w:id="167"/>
      <w:bookmarkEnd w:id="168"/>
      <w:bookmarkEnd w:id="169"/>
      <w:bookmarkEnd w:id="170"/>
      <w:r>
        <w:t xml:space="preserve"> and liver toxicity</w:t>
      </w:r>
      <w:bookmarkEnd w:id="171"/>
      <w:bookmarkEnd w:id="172"/>
      <w:bookmarkEnd w:id="173"/>
    </w:p>
    <w:p w14:paraId="26E447D2" w14:textId="77777777" w:rsidR="00834C3C" w:rsidRPr="00F30AD1" w:rsidRDefault="00834C3C" w:rsidP="00F30AD1">
      <w:r w:rsidRPr="00F30AD1">
        <w:rPr>
          <w:i/>
        </w:rPr>
        <w:t>Note</w:t>
      </w:r>
      <w:r w:rsidRPr="00F30AD1">
        <w:t xml:space="preserve">: AEs related to liver function are reported differently in the different studies in the </w:t>
      </w:r>
      <w:r w:rsidR="00DF25C8" w:rsidRPr="00F30AD1">
        <w:t>clinical study report</w:t>
      </w:r>
      <w:r w:rsidRPr="00F30AD1">
        <w:t>s and clinical summary. However, all significant events have been identified and reported in detail.</w:t>
      </w:r>
    </w:p>
    <w:p w14:paraId="1EA419AF" w14:textId="77777777" w:rsidR="00834C3C" w:rsidRDefault="00834C3C" w:rsidP="00834C3C">
      <w:pPr>
        <w:pStyle w:val="Heading6"/>
      </w:pPr>
      <w:r>
        <w:t>I</w:t>
      </w:r>
      <w:r w:rsidRPr="002B7B05">
        <w:t>ntegrated safety analyses</w:t>
      </w:r>
    </w:p>
    <w:p w14:paraId="187A1E1D" w14:textId="77777777" w:rsidR="00834C3C" w:rsidRDefault="00834C3C" w:rsidP="00834C3C">
      <w:pPr>
        <w:rPr>
          <w:lang w:eastAsia="ja-JP"/>
        </w:rPr>
      </w:pPr>
      <w:r>
        <w:rPr>
          <w:lang w:eastAsia="ja-JP"/>
        </w:rPr>
        <w:t xml:space="preserve">No cases of potential </w:t>
      </w:r>
      <w:r w:rsidR="00332A3C">
        <w:rPr>
          <w:lang w:eastAsia="ja-JP"/>
        </w:rPr>
        <w:t xml:space="preserve">disease </w:t>
      </w:r>
      <w:r w:rsidR="00DF25C8">
        <w:rPr>
          <w:lang w:eastAsia="ja-JP"/>
        </w:rPr>
        <w:t>induced liver injury</w:t>
      </w:r>
      <w:r>
        <w:rPr>
          <w:lang w:eastAsia="ja-JP"/>
        </w:rPr>
        <w:t xml:space="preserve"> were identified in analysis of </w:t>
      </w:r>
      <w:r w:rsidR="00DF25C8">
        <w:rPr>
          <w:lang w:eastAsia="ja-JP"/>
        </w:rPr>
        <w:t>a</w:t>
      </w:r>
      <w:r w:rsidR="00DF25C8" w:rsidRPr="00DF25C8">
        <w:rPr>
          <w:lang w:eastAsia="ja-JP"/>
        </w:rPr>
        <w:t xml:space="preserve">lanine aminotransferase </w:t>
      </w:r>
      <w:r w:rsidR="00DF25C8">
        <w:rPr>
          <w:lang w:eastAsia="ja-JP"/>
        </w:rPr>
        <w:t>(</w:t>
      </w:r>
      <w:r>
        <w:rPr>
          <w:lang w:eastAsia="ja-JP"/>
        </w:rPr>
        <w:t>ALT</w:t>
      </w:r>
      <w:r w:rsidR="00DF25C8">
        <w:rPr>
          <w:lang w:eastAsia="ja-JP"/>
        </w:rPr>
        <w:t>)</w:t>
      </w:r>
      <w:r>
        <w:rPr>
          <w:lang w:eastAsia="ja-JP"/>
        </w:rPr>
        <w:t xml:space="preserve"> and bilirubin in any capsule or tablet treatment groups. In the tablet pool of 482 patients, there were eight events of </w:t>
      </w:r>
      <w:r w:rsidR="00DF25C8" w:rsidRPr="00DF25C8">
        <w:rPr>
          <w:lang w:eastAsia="ja-JP"/>
        </w:rPr>
        <w:t xml:space="preserve">aspartate aminotransferase </w:t>
      </w:r>
      <w:r w:rsidR="00DF25C8">
        <w:rPr>
          <w:lang w:eastAsia="ja-JP"/>
        </w:rPr>
        <w:t>(</w:t>
      </w:r>
      <w:r>
        <w:rPr>
          <w:lang w:eastAsia="ja-JP"/>
        </w:rPr>
        <w:t>AST</w:t>
      </w:r>
      <w:r w:rsidR="00DF25C8">
        <w:rPr>
          <w:lang w:eastAsia="ja-JP"/>
        </w:rPr>
        <w:t>)</w:t>
      </w:r>
      <w:r>
        <w:rPr>
          <w:lang w:eastAsia="ja-JP"/>
        </w:rPr>
        <w:t xml:space="preserve"> or ALT ≥</w:t>
      </w:r>
      <w:r w:rsidR="00DF25C8">
        <w:rPr>
          <w:lang w:eastAsia="ja-JP"/>
        </w:rPr>
        <w:t xml:space="preserve"> </w:t>
      </w:r>
      <w:r>
        <w:rPr>
          <w:lang w:eastAsia="ja-JP"/>
        </w:rPr>
        <w:t xml:space="preserve">3 </w:t>
      </w:r>
      <w:r w:rsidR="00DF25C8">
        <w:rPr>
          <w:lang w:eastAsia="ja-JP"/>
        </w:rPr>
        <w:t>times</w:t>
      </w:r>
      <w:r>
        <w:rPr>
          <w:lang w:eastAsia="ja-JP"/>
        </w:rPr>
        <w:t xml:space="preserve"> </w:t>
      </w:r>
      <w:r w:rsidR="00DF25C8">
        <w:rPr>
          <w:lang w:eastAsia="ja-JP"/>
        </w:rPr>
        <w:t>upper limit normal (</w:t>
      </w:r>
      <w:r>
        <w:rPr>
          <w:lang w:eastAsia="ja-JP"/>
        </w:rPr>
        <w:t>ULN</w:t>
      </w:r>
      <w:r w:rsidR="00DF25C8">
        <w:rPr>
          <w:lang w:eastAsia="ja-JP"/>
        </w:rPr>
        <w:t>)</w:t>
      </w:r>
      <w:r>
        <w:rPr>
          <w:lang w:eastAsia="ja-JP"/>
        </w:rPr>
        <w:t xml:space="preserve"> and total bilirubin ≥</w:t>
      </w:r>
      <w:r w:rsidR="00DF25C8">
        <w:rPr>
          <w:lang w:eastAsia="ja-JP"/>
        </w:rPr>
        <w:t xml:space="preserve"> 2 times</w:t>
      </w:r>
      <w:r>
        <w:rPr>
          <w:lang w:eastAsia="ja-JP"/>
        </w:rPr>
        <w:t xml:space="preserve"> ULN. Each event had a plausible explanation, including biliary obstruction, cancer disease progression, and dis</w:t>
      </w:r>
      <w:r w:rsidR="00DF25C8">
        <w:rPr>
          <w:lang w:eastAsia="ja-JP"/>
        </w:rPr>
        <w:t xml:space="preserve">ease progression in the liver. </w:t>
      </w:r>
      <w:r>
        <w:rPr>
          <w:lang w:eastAsia="ja-JP"/>
        </w:rPr>
        <w:t>Maximal ALT/AST elevations &gt;</w:t>
      </w:r>
      <w:r w:rsidR="00DF25C8">
        <w:rPr>
          <w:lang w:eastAsia="ja-JP"/>
        </w:rPr>
        <w:t xml:space="preserve"> 3 times</w:t>
      </w:r>
      <w:r>
        <w:rPr>
          <w:lang w:eastAsia="ja-JP"/>
        </w:rPr>
        <w:t xml:space="preserve"> ULN to ≤</w:t>
      </w:r>
      <w:r w:rsidR="00DF25C8">
        <w:rPr>
          <w:lang w:eastAsia="ja-JP"/>
        </w:rPr>
        <w:t xml:space="preserve"> 5 times</w:t>
      </w:r>
      <w:r>
        <w:rPr>
          <w:lang w:eastAsia="ja-JP"/>
        </w:rPr>
        <w:t xml:space="preserve"> ULN were reported in 3.1% of patients; and ALT/AST elevations &gt;</w:t>
      </w:r>
      <w:r w:rsidR="00DF25C8">
        <w:rPr>
          <w:lang w:eastAsia="ja-JP"/>
        </w:rPr>
        <w:t xml:space="preserve"> 5 times </w:t>
      </w:r>
      <w:r>
        <w:rPr>
          <w:lang w:eastAsia="ja-JP"/>
        </w:rPr>
        <w:t>ULN to ≤</w:t>
      </w:r>
      <w:r w:rsidR="00DF25C8">
        <w:rPr>
          <w:lang w:eastAsia="ja-JP"/>
        </w:rPr>
        <w:t xml:space="preserve"> </w:t>
      </w:r>
      <w:r>
        <w:rPr>
          <w:lang w:eastAsia="ja-JP"/>
        </w:rPr>
        <w:t xml:space="preserve">10 </w:t>
      </w:r>
      <w:r w:rsidR="00DF25C8">
        <w:rPr>
          <w:lang w:eastAsia="ja-JP"/>
        </w:rPr>
        <w:t>times</w:t>
      </w:r>
      <w:r>
        <w:rPr>
          <w:lang w:eastAsia="ja-JP"/>
        </w:rPr>
        <w:t xml:space="preserve"> ULN were reported in 1.9% of patients. No pooled analysis of the capsule population was performed.</w:t>
      </w:r>
    </w:p>
    <w:p w14:paraId="1FE1FDF7" w14:textId="77777777" w:rsidR="00834C3C" w:rsidRPr="00C2074B" w:rsidRDefault="00834C3C" w:rsidP="00834C3C">
      <w:pPr>
        <w:pStyle w:val="Heading6"/>
      </w:pPr>
      <w:r w:rsidRPr="00C2074B">
        <w:t>Pivotal and/or main efficacy studies</w:t>
      </w:r>
    </w:p>
    <w:p w14:paraId="3BD8AA23" w14:textId="77777777" w:rsidR="00CA1EAE" w:rsidRDefault="001F00F8" w:rsidP="00834C3C">
      <w:pPr>
        <w:pStyle w:val="ListBullet"/>
        <w:numPr>
          <w:ilvl w:val="0"/>
          <w:numId w:val="0"/>
        </w:numPr>
      </w:pPr>
      <w:r w:rsidRPr="00F30AD1">
        <w:rPr>
          <w:i/>
        </w:rPr>
        <w:t>Study 19</w:t>
      </w:r>
      <w:r w:rsidR="00834C3C" w:rsidRPr="00BC4658">
        <w:t>: AST/ALT elevations remained &lt;</w:t>
      </w:r>
      <w:r w:rsidR="00DF25C8">
        <w:t xml:space="preserve"> 3 times</w:t>
      </w:r>
      <w:r w:rsidR="00834C3C" w:rsidRPr="00BC4658">
        <w:t xml:space="preserve"> ULN in 95% of patients in the olaparib and placebo groups. The pattern of maximal AST/ALT elevations was comparable in each group; however, two patients in the olaparib group (both with a BRCA mutation) had AST/ALT elevations &gt;</w:t>
      </w:r>
      <w:r w:rsidR="00DF25C8">
        <w:t xml:space="preserve"> 10 times</w:t>
      </w:r>
      <w:r w:rsidR="00834C3C" w:rsidRPr="00BC4658">
        <w:t xml:space="preserve"> ULN to ≤</w:t>
      </w:r>
      <w:r w:rsidR="00DF25C8">
        <w:t xml:space="preserve"> 20 times</w:t>
      </w:r>
      <w:r w:rsidR="00834C3C" w:rsidRPr="00BC4658">
        <w:t xml:space="preserve"> ULN. One patient had fatal cholestatic jaundice after 1014 days of olaparib treatment. It was considered unrelated to study treatment by the investigator. The second patient developed AST/ALT elevations without increased bilirubin after 431 days of olaparib treatment. The study drug was stopped and the patient died of progressive disease on Day 869</w:t>
      </w:r>
      <w:r w:rsidR="00CA1EAE">
        <w:t>.</w:t>
      </w:r>
    </w:p>
    <w:p w14:paraId="0203C1CB" w14:textId="0070B6B2" w:rsidR="00CA1EAE" w:rsidRDefault="00834C3C" w:rsidP="00834C3C">
      <w:pPr>
        <w:pStyle w:val="ListBullet"/>
        <w:numPr>
          <w:ilvl w:val="0"/>
          <w:numId w:val="0"/>
        </w:numPr>
      </w:pPr>
      <w:r w:rsidRPr="00F30AD1">
        <w:rPr>
          <w:i/>
        </w:rPr>
        <w:t>Study 02</w:t>
      </w:r>
      <w:r w:rsidRPr="00BC4658">
        <w:t>: Overall, AEs of Grade 1, 2, 3 and 4 related to ALT elevations were comparable in the olaparib and placebo groups. Grade 3 elevations were reported in 1% of each group. There was a single Grade 4 event in the olaparib group. The patient developed and ALT elevation ≥</w:t>
      </w:r>
      <w:r w:rsidR="00DF25C8">
        <w:t xml:space="preserve"> 20 times</w:t>
      </w:r>
      <w:r w:rsidRPr="00BC4658">
        <w:t xml:space="preserve"> ULN with bilirubin ≥</w:t>
      </w:r>
      <w:r w:rsidR="00DF25C8">
        <w:t xml:space="preserve"> 2 times</w:t>
      </w:r>
      <w:r w:rsidRPr="00BC4658">
        <w:t xml:space="preserve"> ULN on Day 337 and treatment was stopped. The abnormalities met the criteria for Hy’s law;</w:t>
      </w:r>
      <w:r w:rsidR="00EF620F">
        <w:rPr>
          <w:rStyle w:val="FootnoteReference"/>
        </w:rPr>
        <w:footnoteReference w:id="11"/>
      </w:r>
      <w:r w:rsidRPr="00BC4658">
        <w:t xml:space="preserve"> however, the event was attributed to biliary obstruction by progressive lymph node metastases at the liver hilum</w:t>
      </w:r>
      <w:r w:rsidR="00CA1EAE">
        <w:t>.</w:t>
      </w:r>
    </w:p>
    <w:p w14:paraId="652E4609" w14:textId="77777777" w:rsidR="00834C3C" w:rsidRPr="00545B14" w:rsidRDefault="00834C3C" w:rsidP="00834C3C">
      <w:pPr>
        <w:pStyle w:val="Heading5"/>
      </w:pPr>
      <w:bookmarkStart w:id="174" w:name="_Toc272414670"/>
      <w:bookmarkStart w:id="175" w:name="_Toc290888534"/>
      <w:bookmarkStart w:id="176" w:name="_Toc416353750"/>
      <w:bookmarkStart w:id="177" w:name="_Toc421005293"/>
      <w:bookmarkStart w:id="178" w:name="_Toc432079170"/>
      <w:bookmarkStart w:id="179" w:name="_Toc432080743"/>
      <w:bookmarkStart w:id="180" w:name="_Toc505155594"/>
      <w:r>
        <w:t xml:space="preserve">Renal </w:t>
      </w:r>
      <w:r w:rsidRPr="00545B14">
        <w:t>function</w:t>
      </w:r>
      <w:bookmarkEnd w:id="174"/>
      <w:bookmarkEnd w:id="175"/>
      <w:bookmarkEnd w:id="176"/>
      <w:bookmarkEnd w:id="177"/>
      <w:r>
        <w:t xml:space="preserve"> and renal toxicity</w:t>
      </w:r>
      <w:bookmarkEnd w:id="178"/>
      <w:bookmarkEnd w:id="179"/>
      <w:bookmarkEnd w:id="180"/>
    </w:p>
    <w:p w14:paraId="3B41B771" w14:textId="77777777" w:rsidR="00834C3C" w:rsidRPr="002B7B05" w:rsidRDefault="00834C3C" w:rsidP="00834C3C">
      <w:pPr>
        <w:pStyle w:val="Heading6"/>
      </w:pPr>
      <w:r>
        <w:t>I</w:t>
      </w:r>
      <w:r w:rsidRPr="002B7B05">
        <w:t>ntegrated safety analyses</w:t>
      </w:r>
    </w:p>
    <w:p w14:paraId="6327314E" w14:textId="77777777" w:rsidR="00834C3C" w:rsidRDefault="00834C3C" w:rsidP="006F3818">
      <w:pPr>
        <w:rPr>
          <w:lang w:eastAsia="ja-JP"/>
        </w:rPr>
      </w:pPr>
      <w:r>
        <w:rPr>
          <w:lang w:eastAsia="ja-JP"/>
        </w:rPr>
        <w:t xml:space="preserve">There was no evidence of renal toxicity related to </w:t>
      </w:r>
      <w:r w:rsidRPr="003050A7">
        <w:rPr>
          <w:lang w:eastAsia="ja-JP"/>
        </w:rPr>
        <w:t>olaparib</w:t>
      </w:r>
      <w:r>
        <w:rPr>
          <w:lang w:eastAsia="ja-JP"/>
        </w:rPr>
        <w:t xml:space="preserve"> assessed by serum creatinine, blood urea, and urinalysis in the pooled capsule and tablet analyses. Increased serum creatinine is a known common ADR associated with </w:t>
      </w:r>
      <w:r w:rsidRPr="003050A7">
        <w:rPr>
          <w:lang w:eastAsia="ja-JP"/>
        </w:rPr>
        <w:t>olaparib</w:t>
      </w:r>
      <w:r>
        <w:rPr>
          <w:lang w:eastAsia="ja-JP"/>
        </w:rPr>
        <w:t xml:space="preserve">. Mild transient increases were observed in the majority of patients in the </w:t>
      </w:r>
      <w:r w:rsidRPr="003050A7">
        <w:rPr>
          <w:lang w:eastAsia="ja-JP"/>
        </w:rPr>
        <w:t>olaparib</w:t>
      </w:r>
      <w:r>
        <w:rPr>
          <w:lang w:eastAsia="ja-JP"/>
        </w:rPr>
        <w:t xml:space="preserve"> groups but not in the placebo group, in keeping with the known inhibitory effects of </w:t>
      </w:r>
      <w:r w:rsidRPr="003050A7">
        <w:rPr>
          <w:lang w:eastAsia="ja-JP"/>
        </w:rPr>
        <w:t>olaparib</w:t>
      </w:r>
      <w:r>
        <w:rPr>
          <w:lang w:eastAsia="ja-JP"/>
        </w:rPr>
        <w:t xml:space="preserve"> on </w:t>
      </w:r>
      <w:r w:rsidR="00BA1F95">
        <w:rPr>
          <w:lang w:eastAsia="ja-JP"/>
        </w:rPr>
        <w:t>o</w:t>
      </w:r>
      <w:r w:rsidR="00BA1F95" w:rsidRPr="00BA1F95">
        <w:rPr>
          <w:lang w:eastAsia="ja-JP"/>
        </w:rPr>
        <w:t>rganic cation transporter 2 (OCT2)</w:t>
      </w:r>
      <w:r>
        <w:rPr>
          <w:lang w:eastAsia="ja-JP"/>
        </w:rPr>
        <w:t xml:space="preserve"> and </w:t>
      </w:r>
      <w:r w:rsidR="00BA1F95">
        <w:rPr>
          <w:lang w:eastAsia="ja-JP"/>
        </w:rPr>
        <w:t>m</w:t>
      </w:r>
      <w:r w:rsidR="00BA1F95" w:rsidRPr="00BA1F95">
        <w:rPr>
          <w:lang w:eastAsia="ja-JP"/>
        </w:rPr>
        <w:t xml:space="preserve">ultidrug and toxin extrusion 1 </w:t>
      </w:r>
      <w:r w:rsidR="00BA1F95">
        <w:rPr>
          <w:lang w:eastAsia="ja-JP"/>
        </w:rPr>
        <w:t>(</w:t>
      </w:r>
      <w:r>
        <w:rPr>
          <w:lang w:eastAsia="ja-JP"/>
        </w:rPr>
        <w:t>MATE1</w:t>
      </w:r>
      <w:r w:rsidR="00BA1F95">
        <w:rPr>
          <w:lang w:eastAsia="ja-JP"/>
        </w:rPr>
        <w:t>)</w:t>
      </w:r>
      <w:r>
        <w:rPr>
          <w:lang w:eastAsia="ja-JP"/>
        </w:rPr>
        <w:t>. No meaningful changes in blood urea were reported.</w:t>
      </w:r>
    </w:p>
    <w:p w14:paraId="719B7392" w14:textId="77777777" w:rsidR="00834C3C" w:rsidRPr="00C2074B" w:rsidRDefault="00834C3C" w:rsidP="00834C3C">
      <w:pPr>
        <w:pStyle w:val="Heading6"/>
      </w:pPr>
      <w:r w:rsidRPr="00C2074B">
        <w:lastRenderedPageBreak/>
        <w:t>Pivotal and/or main efficacy studies</w:t>
      </w:r>
    </w:p>
    <w:p w14:paraId="73AD9A01" w14:textId="4F37AC53" w:rsidR="00CA1EAE" w:rsidRDefault="001F00F8" w:rsidP="006F3818">
      <w:r w:rsidRPr="00F30AD1">
        <w:rPr>
          <w:i/>
        </w:rPr>
        <w:t>Study 19</w:t>
      </w:r>
      <w:r w:rsidR="00834C3C" w:rsidRPr="00BC4658">
        <w:t>: In the first week of olaparib treatment, there was a small increase in mean and median serum creatinine in the olaparib group (median 71</w:t>
      </w:r>
      <w:r w:rsidR="00BA1F95">
        <w:t xml:space="preserve"> µmol/L at baseline; and 85 </w:t>
      </w:r>
      <w:r w:rsidR="00834C3C" w:rsidRPr="00BC4658">
        <w:t xml:space="preserve">µmol/L on Day 8). Median levels returned </w:t>
      </w:r>
      <w:r w:rsidR="00A46C84">
        <w:t>to Baseline</w:t>
      </w:r>
      <w:r w:rsidR="00AE4357">
        <w:t xml:space="preserve"> at the D</w:t>
      </w:r>
      <w:r w:rsidR="00BA1F95">
        <w:t xml:space="preserve">ay </w:t>
      </w:r>
      <w:r w:rsidR="00F30AD1">
        <w:t xml:space="preserve">30 </w:t>
      </w:r>
      <w:r w:rsidR="00BA1F95">
        <w:t xml:space="preserve">follow </w:t>
      </w:r>
      <w:r w:rsidR="00834C3C" w:rsidRPr="00BC4658">
        <w:t>up visit. No similar changes were observed in the placebo group. With the exception of raised serum creatinine, renal AEs were reported in 12.5% and 9.4% of the olaparib and placebo groups, respectively. Only one patient in the olaparib group had a Grade 4 AE related to renal function</w:t>
      </w:r>
      <w:r w:rsidR="00CA1EAE">
        <w:t>.</w:t>
      </w:r>
    </w:p>
    <w:p w14:paraId="65F9FCD7" w14:textId="7F1D87BA" w:rsidR="00834C3C" w:rsidRPr="00BC4658" w:rsidRDefault="00834C3C" w:rsidP="006F3818">
      <w:r w:rsidRPr="00F30AD1">
        <w:rPr>
          <w:i/>
        </w:rPr>
        <w:t>Study 02</w:t>
      </w:r>
      <w:r w:rsidRPr="00BC4658">
        <w:t>: More patients in the olaparib group had Grade 1 elevations in serum creatinine (39.5%) compared with the placebo group (28.3%). Grade 2 creatinine elevations were observed in 4.6% and 1.0% of the respective groups but no Grade 3 or 4 elevati</w:t>
      </w:r>
      <w:bookmarkStart w:id="181" w:name="_Toc272414671"/>
      <w:bookmarkStart w:id="182" w:name="_Toc290888535"/>
      <w:bookmarkStart w:id="183" w:name="_Toc416353751"/>
      <w:bookmarkStart w:id="184" w:name="_Toc421005294"/>
      <w:bookmarkStart w:id="185" w:name="_Toc432079171"/>
      <w:bookmarkStart w:id="186" w:name="_Toc432080744"/>
      <w:r w:rsidR="00BA1F95">
        <w:t xml:space="preserve">ons were seen in either group. </w:t>
      </w:r>
      <w:r w:rsidRPr="00BC4658">
        <w:t>Renal and urinary disorders were reported in 9.2% and 11.1% of the respective groups.</w:t>
      </w:r>
    </w:p>
    <w:p w14:paraId="4265B446" w14:textId="77777777" w:rsidR="00834C3C" w:rsidRDefault="00834C3C" w:rsidP="00834C3C">
      <w:pPr>
        <w:pStyle w:val="Heading5"/>
      </w:pPr>
      <w:bookmarkStart w:id="187" w:name="_Toc505155595"/>
      <w:r w:rsidRPr="00545B14">
        <w:t>Other clinical chemistry</w:t>
      </w:r>
      <w:bookmarkEnd w:id="181"/>
      <w:bookmarkEnd w:id="182"/>
      <w:bookmarkEnd w:id="183"/>
      <w:bookmarkEnd w:id="184"/>
      <w:bookmarkEnd w:id="185"/>
      <w:bookmarkEnd w:id="186"/>
      <w:bookmarkEnd w:id="187"/>
    </w:p>
    <w:p w14:paraId="52C1B80C" w14:textId="77777777" w:rsidR="00834C3C" w:rsidRPr="002B7B05" w:rsidRDefault="00834C3C" w:rsidP="00834C3C">
      <w:pPr>
        <w:pStyle w:val="Heading6"/>
      </w:pPr>
      <w:r>
        <w:t>I</w:t>
      </w:r>
      <w:r w:rsidRPr="002B7B05">
        <w:t>ntegrated safety analyses</w:t>
      </w:r>
    </w:p>
    <w:p w14:paraId="6CBE7D4C" w14:textId="77777777" w:rsidR="00CA1EAE" w:rsidRDefault="00834C3C" w:rsidP="006F3818">
      <w:pPr>
        <w:rPr>
          <w:lang w:eastAsia="ja-JP"/>
        </w:rPr>
      </w:pPr>
      <w:r>
        <w:rPr>
          <w:lang w:eastAsia="ja-JP"/>
        </w:rPr>
        <w:t>Changes in clinical chemistry were assessed by changes in mean values over time, changes in individual patients over time, and individually important AEs. The only notable difference in clinical chemistry between the pooled groups was serum creatinine</w:t>
      </w:r>
      <w:r w:rsidR="00CA1EAE">
        <w:rPr>
          <w:lang w:eastAsia="ja-JP"/>
        </w:rPr>
        <w:t>.</w:t>
      </w:r>
    </w:p>
    <w:p w14:paraId="62D9BDC0" w14:textId="77777777" w:rsidR="00834C3C" w:rsidRPr="00C2074B" w:rsidRDefault="00834C3C" w:rsidP="00834C3C">
      <w:pPr>
        <w:pStyle w:val="Heading6"/>
      </w:pPr>
      <w:r w:rsidRPr="00C2074B">
        <w:t>Pivotal and/or main efficacy studies</w:t>
      </w:r>
    </w:p>
    <w:p w14:paraId="56515361" w14:textId="3992BE22" w:rsidR="00CA1EAE" w:rsidRDefault="001F00F8" w:rsidP="006F3818">
      <w:r w:rsidRPr="00F30AD1">
        <w:rPr>
          <w:i/>
        </w:rPr>
        <w:t>Study 19</w:t>
      </w:r>
      <w:r w:rsidR="00834C3C" w:rsidRPr="00BC4658">
        <w:t xml:space="preserve">: In the overall population, there were no clinically meaningful changes </w:t>
      </w:r>
      <w:r w:rsidR="00A46C84">
        <w:t>from Baseline</w:t>
      </w:r>
      <w:r w:rsidR="00834C3C" w:rsidRPr="00BC4658">
        <w:t xml:space="preserve"> or changes over time for any clinical chemistry parameter with the exception of serum creatinine</w:t>
      </w:r>
      <w:r w:rsidR="00CA1EAE">
        <w:t>.</w:t>
      </w:r>
    </w:p>
    <w:p w14:paraId="08F887E8" w14:textId="2AECEC33" w:rsidR="00CA1EAE" w:rsidRDefault="00834C3C" w:rsidP="006F3818">
      <w:r w:rsidRPr="00F30AD1">
        <w:rPr>
          <w:i/>
        </w:rPr>
        <w:t>Study 02</w:t>
      </w:r>
      <w:r w:rsidRPr="00BC4658">
        <w:t>: With the exception of serum creatinine, there were no meaningful differences between the olaparib and placebo groups</w:t>
      </w:r>
      <w:r w:rsidR="00CA1EAE">
        <w:t>.</w:t>
      </w:r>
    </w:p>
    <w:p w14:paraId="418296B0" w14:textId="77777777" w:rsidR="00834C3C" w:rsidRPr="00834C3C" w:rsidRDefault="00834C3C" w:rsidP="00834C3C">
      <w:pPr>
        <w:pStyle w:val="Heading5"/>
      </w:pPr>
      <w:bookmarkStart w:id="188" w:name="_Toc272414672"/>
      <w:bookmarkStart w:id="189" w:name="_Toc290888536"/>
      <w:bookmarkStart w:id="190" w:name="_Toc416353752"/>
      <w:bookmarkStart w:id="191" w:name="_Toc421005295"/>
      <w:bookmarkStart w:id="192" w:name="_Toc432079172"/>
      <w:bookmarkStart w:id="193" w:name="_Toc432080745"/>
      <w:bookmarkStart w:id="194" w:name="_Toc505155596"/>
      <w:r w:rsidRPr="00834C3C">
        <w:t>Haematology</w:t>
      </w:r>
      <w:bookmarkEnd w:id="188"/>
      <w:bookmarkEnd w:id="189"/>
      <w:bookmarkEnd w:id="190"/>
      <w:bookmarkEnd w:id="191"/>
      <w:r w:rsidRPr="00834C3C">
        <w:t xml:space="preserve"> and haematological toxicity</w:t>
      </w:r>
      <w:bookmarkEnd w:id="192"/>
      <w:bookmarkEnd w:id="193"/>
      <w:bookmarkEnd w:id="194"/>
    </w:p>
    <w:p w14:paraId="49DBBBBF" w14:textId="77777777" w:rsidR="00834C3C" w:rsidRPr="002B7B05" w:rsidRDefault="00834C3C" w:rsidP="00834C3C">
      <w:pPr>
        <w:pStyle w:val="Heading6"/>
      </w:pPr>
      <w:r>
        <w:t>I</w:t>
      </w:r>
      <w:r w:rsidRPr="002B7B05">
        <w:t>ntegrated safety analyses</w:t>
      </w:r>
    </w:p>
    <w:p w14:paraId="0DBE781D" w14:textId="5E2E28AF" w:rsidR="00834C3C" w:rsidRDefault="006666D8" w:rsidP="006F3818">
      <w:pPr>
        <w:rPr>
          <w:lang w:eastAsia="ja-JP"/>
        </w:rPr>
      </w:pPr>
      <w:r>
        <w:rPr>
          <w:lang w:eastAsia="ja-JP"/>
        </w:rPr>
        <w:t>Leukopenia, neutropenia, and thrombocytop</w:t>
      </w:r>
      <w:r w:rsidR="00834C3C">
        <w:rPr>
          <w:lang w:eastAsia="ja-JP"/>
        </w:rPr>
        <w:t xml:space="preserve">enia are known important ADRs associated with </w:t>
      </w:r>
      <w:r w:rsidR="00834C3C" w:rsidRPr="003050A7">
        <w:rPr>
          <w:lang w:eastAsia="ja-JP"/>
        </w:rPr>
        <w:t>olaparib</w:t>
      </w:r>
      <w:r w:rsidR="00834C3C">
        <w:rPr>
          <w:lang w:eastAsia="ja-JP"/>
        </w:rPr>
        <w:t>. Anaemia is very common with an incidence of ≥</w:t>
      </w:r>
      <w:r w:rsidR="006F3818">
        <w:rPr>
          <w:lang w:eastAsia="ja-JP"/>
        </w:rPr>
        <w:t xml:space="preserve"> </w:t>
      </w:r>
      <w:r w:rsidR="00834C3C">
        <w:rPr>
          <w:lang w:eastAsia="ja-JP"/>
        </w:rPr>
        <w:t xml:space="preserve">10% of patients. The incidence of anaemia in the tablet pool (35.1%) was higher than in the capsule pool (28.5%). The incidence of Grade 3 events was higher in Study 02 (19.5%) than in </w:t>
      </w:r>
      <w:r w:rsidR="001F00F8">
        <w:rPr>
          <w:lang w:eastAsia="ja-JP"/>
        </w:rPr>
        <w:t>Study 19</w:t>
      </w:r>
      <w:r w:rsidR="00834C3C">
        <w:rPr>
          <w:lang w:eastAsia="ja-JP"/>
        </w:rPr>
        <w:t xml:space="preserve"> (7.4%). However, the incidence of events in the tablet pool (14.1%) was comparable to the capsule pool (13.6%).</w:t>
      </w:r>
    </w:p>
    <w:p w14:paraId="5F12AF53" w14:textId="77777777" w:rsidR="00834C3C" w:rsidRPr="00C2074B" w:rsidRDefault="00834C3C" w:rsidP="00834C3C">
      <w:pPr>
        <w:pStyle w:val="Heading6"/>
      </w:pPr>
      <w:r w:rsidRPr="00C2074B">
        <w:t>Pivotal and/or main efficacy studies</w:t>
      </w:r>
    </w:p>
    <w:p w14:paraId="6ADCE53B" w14:textId="472BF74E" w:rsidR="00CA1EAE" w:rsidRDefault="001F00F8" w:rsidP="006F3818">
      <w:r w:rsidRPr="00F30AD1">
        <w:rPr>
          <w:i/>
        </w:rPr>
        <w:t>Study 19</w:t>
      </w:r>
      <w:r w:rsidR="00834C3C" w:rsidRPr="00BC4658">
        <w:t xml:space="preserve">: In the overall population, there was a decrease </w:t>
      </w:r>
      <w:r w:rsidR="00A46C84">
        <w:t>from Baseline</w:t>
      </w:r>
      <w:r w:rsidR="00834C3C" w:rsidRPr="00BC4658">
        <w:t xml:space="preserve"> in mean </w:t>
      </w:r>
      <w:r w:rsidR="00A67620">
        <w:t>Hb</w:t>
      </w:r>
      <w:r w:rsidR="00834C3C" w:rsidRPr="00BC4658">
        <w:t xml:space="preserve"> in the olaparib group, and a slight rise </w:t>
      </w:r>
      <w:r w:rsidR="00A46C84">
        <w:t>from Baseline</w:t>
      </w:r>
      <w:r w:rsidR="00834C3C" w:rsidRPr="00BC4658">
        <w:t xml:space="preserve"> in the placebo group. AEs related to haematology were mostly mild to moderate in severity. However, Grade 3 AEs related to anaemia were reported more commonly in the olaparib group (5.1%) compared with the placebo group (0.8%). Grade 4 events were reported only in the olaparib group (1.5% </w:t>
      </w:r>
      <w:r w:rsidR="00834C3C">
        <w:t>versus</w:t>
      </w:r>
      <w:r w:rsidR="00834C3C" w:rsidRPr="00BC4658">
        <w:t xml:space="preserve"> 0.0%). Severe AEs related to lymphocytes, neutrophils and platelets were also reported more commonly in the olaparib group</w:t>
      </w:r>
      <w:r w:rsidR="00CA1EAE">
        <w:t>.</w:t>
      </w:r>
    </w:p>
    <w:p w14:paraId="3752FFB8" w14:textId="2BDB9858" w:rsidR="00CA1EAE" w:rsidRDefault="00834C3C" w:rsidP="006F3818">
      <w:r w:rsidRPr="00F30AD1">
        <w:rPr>
          <w:i/>
        </w:rPr>
        <w:t>Study 02</w:t>
      </w:r>
      <w:r w:rsidRPr="00BC4658">
        <w:t xml:space="preserve">: The incidence of anaemia AEs was notably higher in the olaparib tablet group (43.6%) compared with the placebo group (8.1%). Most events were mild to moderate in severity; however, there was a high incidence of severe AEs in the olaparib group (19.5% </w:t>
      </w:r>
      <w:r>
        <w:t>versus</w:t>
      </w:r>
      <w:r w:rsidRPr="00BC4658">
        <w:t xml:space="preserve"> 2.0%). Most anaemia was observed in the first 6 months of treatment. Other haematological events were reported more commonly in the olaparib group compared with the pl</w:t>
      </w:r>
      <w:r w:rsidR="006666D8">
        <w:t>acebo group. AEs related to leukop</w:t>
      </w:r>
      <w:r w:rsidRPr="00BC4658">
        <w:t>enia were reported in 15.9% and 2.0% of</w:t>
      </w:r>
      <w:r w:rsidR="006666D8">
        <w:t xml:space="preserve"> the respective groups; neutrop</w:t>
      </w:r>
      <w:r w:rsidRPr="00BC4658">
        <w:t>enia AEs were reported in 19.5% and 6.1% of the resp</w:t>
      </w:r>
      <w:r w:rsidR="006666D8">
        <w:t xml:space="preserve">ective </w:t>
      </w:r>
      <w:r w:rsidR="006666D8">
        <w:lastRenderedPageBreak/>
        <w:t>groups; and thrombocytop</w:t>
      </w:r>
      <w:r w:rsidRPr="00BC4658">
        <w:t>enia AEs were reported in 13.8% and 3.0% of the respective groups. The incidence of severe AEs related to other haematological parameters was low</w:t>
      </w:r>
      <w:r w:rsidR="00CA1EAE">
        <w:t>.</w:t>
      </w:r>
    </w:p>
    <w:p w14:paraId="06291648" w14:textId="1FAEAD81" w:rsidR="00CA1EAE" w:rsidRDefault="00834C3C" w:rsidP="00F30AD1">
      <w:bookmarkStart w:id="195" w:name="_Toc272414674"/>
      <w:bookmarkStart w:id="196" w:name="_Toc290888538"/>
      <w:bookmarkStart w:id="197" w:name="_Toc416353753"/>
      <w:bookmarkStart w:id="198" w:name="_Toc421005296"/>
      <w:bookmarkStart w:id="199" w:name="_Toc432079173"/>
      <w:bookmarkStart w:id="200" w:name="_Toc432080746"/>
      <w:r w:rsidRPr="00BC4658">
        <w:t xml:space="preserve">The incidence of anaemia in Study 02 was notably higher than in </w:t>
      </w:r>
      <w:r w:rsidR="001F00F8">
        <w:t>Study 19</w:t>
      </w:r>
      <w:r w:rsidRPr="00BC4658">
        <w:t>, although the incidence of anaemia in the pooled tablet and capsule populations was similar</w:t>
      </w:r>
      <w:r w:rsidR="00CA1EAE">
        <w:t>.</w:t>
      </w:r>
    </w:p>
    <w:p w14:paraId="714872DD" w14:textId="77777777" w:rsidR="00834C3C" w:rsidRPr="00545B14" w:rsidRDefault="00834C3C" w:rsidP="00834C3C">
      <w:pPr>
        <w:pStyle w:val="Heading5"/>
      </w:pPr>
      <w:bookmarkStart w:id="201" w:name="_Toc272414675"/>
      <w:bookmarkStart w:id="202" w:name="_Toc290888539"/>
      <w:bookmarkStart w:id="203" w:name="_Toc416353754"/>
      <w:bookmarkStart w:id="204" w:name="_Toc421005297"/>
      <w:bookmarkStart w:id="205" w:name="_Toc432079174"/>
      <w:bookmarkStart w:id="206" w:name="_Toc432080747"/>
      <w:bookmarkStart w:id="207" w:name="_Toc505155597"/>
      <w:bookmarkEnd w:id="195"/>
      <w:bookmarkEnd w:id="196"/>
      <w:bookmarkEnd w:id="197"/>
      <w:bookmarkEnd w:id="198"/>
      <w:bookmarkEnd w:id="199"/>
      <w:bookmarkEnd w:id="200"/>
      <w:r w:rsidRPr="00545B14">
        <w:t>Electrocardiograph</w:t>
      </w:r>
      <w:bookmarkEnd w:id="201"/>
      <w:bookmarkEnd w:id="202"/>
      <w:bookmarkEnd w:id="203"/>
      <w:bookmarkEnd w:id="204"/>
      <w:r>
        <w:t xml:space="preserve"> findings and cardiovascular safety</w:t>
      </w:r>
      <w:bookmarkEnd w:id="205"/>
      <w:bookmarkEnd w:id="206"/>
      <w:bookmarkEnd w:id="207"/>
    </w:p>
    <w:p w14:paraId="036B76A9" w14:textId="77777777" w:rsidR="00834C3C" w:rsidRPr="002B7B05" w:rsidRDefault="00834C3C" w:rsidP="00834C3C">
      <w:pPr>
        <w:pStyle w:val="Heading6"/>
      </w:pPr>
      <w:r>
        <w:t>I</w:t>
      </w:r>
      <w:r w:rsidRPr="002B7B05">
        <w:t>ntegrated safety analyses</w:t>
      </w:r>
    </w:p>
    <w:p w14:paraId="4CB3D3F0" w14:textId="77777777" w:rsidR="00834C3C" w:rsidRDefault="00834C3C" w:rsidP="00834C3C">
      <w:pPr>
        <w:rPr>
          <w:lang w:eastAsia="ja-JP"/>
        </w:rPr>
      </w:pPr>
      <w:r>
        <w:rPr>
          <w:lang w:eastAsia="ja-JP"/>
        </w:rPr>
        <w:t xml:space="preserve">For ethical and safety reasons, a thorough QTc study cannot be performed. In Studies 04 and 07, a pooled analysis of 119 patients showed a treatment effect on </w:t>
      </w:r>
      <w:r w:rsidR="009F4A9B" w:rsidRPr="00A06953">
        <w:t>QT interval corrected for heart rate using Fridericia correction</w:t>
      </w:r>
      <w:r w:rsidR="009F4A9B">
        <w:rPr>
          <w:lang w:eastAsia="ja-JP"/>
        </w:rPr>
        <w:t xml:space="preserve"> (</w:t>
      </w:r>
      <w:r>
        <w:rPr>
          <w:lang w:eastAsia="ja-JP"/>
        </w:rPr>
        <w:t>QTcF</w:t>
      </w:r>
      <w:r w:rsidR="009F4A9B">
        <w:rPr>
          <w:lang w:eastAsia="ja-JP"/>
        </w:rPr>
        <w:t>)</w:t>
      </w:r>
      <w:r>
        <w:rPr>
          <w:lang w:eastAsia="ja-JP"/>
        </w:rPr>
        <w:t xml:space="preserve"> of &lt;</w:t>
      </w:r>
      <w:r w:rsidR="0072671F">
        <w:rPr>
          <w:lang w:eastAsia="ja-JP"/>
        </w:rPr>
        <w:t xml:space="preserve"> </w:t>
      </w:r>
      <w:r>
        <w:rPr>
          <w:lang w:eastAsia="ja-JP"/>
        </w:rPr>
        <w:t xml:space="preserve">10 ms at all time points. No safety issues related to </w:t>
      </w:r>
      <w:r w:rsidRPr="003050A7">
        <w:rPr>
          <w:lang w:eastAsia="ja-JP"/>
        </w:rPr>
        <w:t>olaparib</w:t>
      </w:r>
      <w:r>
        <w:rPr>
          <w:lang w:eastAsia="ja-JP"/>
        </w:rPr>
        <w:t xml:space="preserve"> were identified for cardiovascular AEs by SOC or PT.</w:t>
      </w:r>
    </w:p>
    <w:p w14:paraId="29D66DEA" w14:textId="77777777" w:rsidR="00834C3C" w:rsidRPr="00C2074B" w:rsidRDefault="00834C3C" w:rsidP="00834C3C">
      <w:pPr>
        <w:pStyle w:val="Heading6"/>
      </w:pPr>
      <w:r w:rsidRPr="00C2074B">
        <w:t>Pivotal and/or main efficacy studies</w:t>
      </w:r>
    </w:p>
    <w:p w14:paraId="224367AD" w14:textId="77777777" w:rsidR="00834C3C" w:rsidRPr="00BC4658" w:rsidRDefault="001F00F8" w:rsidP="00834C3C">
      <w:pPr>
        <w:pStyle w:val="ListBullet"/>
        <w:numPr>
          <w:ilvl w:val="0"/>
          <w:numId w:val="0"/>
        </w:numPr>
      </w:pPr>
      <w:r w:rsidRPr="00F30AD1">
        <w:rPr>
          <w:i/>
        </w:rPr>
        <w:t>Study 19</w:t>
      </w:r>
      <w:r w:rsidR="00834C3C" w:rsidRPr="00BC4658">
        <w:t>: Cardiac disorder AEs (most commonly palpitations and tachycardia) were reported in 5.9% and 3.9% of the olaparib and</w:t>
      </w:r>
      <w:r w:rsidR="009F4A9B">
        <w:t xml:space="preserve"> placebo groups, respectively.</w:t>
      </w:r>
    </w:p>
    <w:p w14:paraId="0EED1E22" w14:textId="43CDDF95" w:rsidR="00CA1EAE" w:rsidRDefault="00834C3C" w:rsidP="00834C3C">
      <w:pPr>
        <w:pStyle w:val="ListBullet"/>
        <w:numPr>
          <w:ilvl w:val="0"/>
          <w:numId w:val="0"/>
        </w:numPr>
      </w:pPr>
      <w:r w:rsidRPr="00F30AD1">
        <w:rPr>
          <w:i/>
        </w:rPr>
        <w:t>Study 02</w:t>
      </w:r>
      <w:r w:rsidRPr="00BC4658">
        <w:t>: Cardiac disorder AEs (most commonly palpitations) were reported in 5.1% and 4.0% of the olaparib and placeb</w:t>
      </w:r>
      <w:r w:rsidR="009F4A9B">
        <w:t xml:space="preserve">o groups, respectively. </w:t>
      </w:r>
      <w:r w:rsidRPr="00BC4658">
        <w:t>There was a single SAE of pericarditis in the olaparib group. No clinically significant ECG changes were reported during the study</w:t>
      </w:r>
      <w:r w:rsidR="00CA1EAE">
        <w:t>.</w:t>
      </w:r>
    </w:p>
    <w:p w14:paraId="39A9C05D" w14:textId="77777777" w:rsidR="00834C3C" w:rsidRPr="00545B14" w:rsidRDefault="00834C3C" w:rsidP="00834C3C">
      <w:pPr>
        <w:pStyle w:val="Heading5"/>
      </w:pPr>
      <w:bookmarkStart w:id="208" w:name="_Toc272414676"/>
      <w:bookmarkStart w:id="209" w:name="_Toc290888540"/>
      <w:bookmarkStart w:id="210" w:name="_Toc416353755"/>
      <w:bookmarkStart w:id="211" w:name="_Toc421005298"/>
      <w:bookmarkStart w:id="212" w:name="_Toc432079175"/>
      <w:bookmarkStart w:id="213" w:name="_Toc432080748"/>
      <w:bookmarkStart w:id="214" w:name="_Toc505155598"/>
      <w:r w:rsidRPr="00545B14">
        <w:t>Vital signs</w:t>
      </w:r>
      <w:bookmarkEnd w:id="208"/>
      <w:bookmarkEnd w:id="209"/>
      <w:bookmarkEnd w:id="210"/>
      <w:bookmarkEnd w:id="211"/>
      <w:r>
        <w:t xml:space="preserve"> and clinical examination findings</w:t>
      </w:r>
      <w:bookmarkEnd w:id="212"/>
      <w:bookmarkEnd w:id="213"/>
      <w:bookmarkEnd w:id="214"/>
    </w:p>
    <w:p w14:paraId="40458A99" w14:textId="77777777" w:rsidR="00834C3C" w:rsidRPr="002B7B05" w:rsidRDefault="00834C3C" w:rsidP="00834C3C">
      <w:pPr>
        <w:pStyle w:val="Heading6"/>
      </w:pPr>
      <w:r>
        <w:t>I</w:t>
      </w:r>
      <w:r w:rsidRPr="002B7B05">
        <w:t>ntegrated safety analyses</w:t>
      </w:r>
    </w:p>
    <w:p w14:paraId="46E2EF1E" w14:textId="77777777" w:rsidR="00CA1EAE" w:rsidRDefault="00834C3C" w:rsidP="00834C3C">
      <w:pPr>
        <w:rPr>
          <w:lang w:eastAsia="ja-JP"/>
        </w:rPr>
      </w:pPr>
      <w:r>
        <w:rPr>
          <w:lang w:eastAsia="ja-JP"/>
        </w:rPr>
        <w:t>No pooled analyses were performed</w:t>
      </w:r>
      <w:r w:rsidR="00CA1EAE">
        <w:rPr>
          <w:lang w:eastAsia="ja-JP"/>
        </w:rPr>
        <w:t>.</w:t>
      </w:r>
    </w:p>
    <w:p w14:paraId="0AFC1C15" w14:textId="77777777" w:rsidR="00834C3C" w:rsidRPr="00C2074B" w:rsidRDefault="00834C3C" w:rsidP="00834C3C">
      <w:pPr>
        <w:pStyle w:val="Heading6"/>
      </w:pPr>
      <w:r w:rsidRPr="00C2074B">
        <w:t>Pivotal and/or main efficacy studies</w:t>
      </w:r>
    </w:p>
    <w:p w14:paraId="04CDFE5D" w14:textId="77777777" w:rsidR="00834C3C" w:rsidRPr="00BC4658" w:rsidRDefault="009F4A9B" w:rsidP="00834C3C">
      <w:pPr>
        <w:pStyle w:val="ListBullet"/>
        <w:numPr>
          <w:ilvl w:val="0"/>
          <w:numId w:val="0"/>
        </w:numPr>
      </w:pPr>
      <w:r w:rsidRPr="00F30AD1">
        <w:rPr>
          <w:i/>
        </w:rPr>
        <w:t>Studies</w:t>
      </w:r>
      <w:r w:rsidR="00834C3C" w:rsidRPr="00F30AD1">
        <w:rPr>
          <w:i/>
        </w:rPr>
        <w:t>-19</w:t>
      </w:r>
      <w:r w:rsidRPr="00F30AD1">
        <w:rPr>
          <w:i/>
        </w:rPr>
        <w:t xml:space="preserve"> and 02</w:t>
      </w:r>
      <w:r w:rsidR="00834C3C" w:rsidRPr="00BC4658">
        <w:t xml:space="preserve">: No clinically important changes in vital signs were identified. Mean </w:t>
      </w:r>
      <w:r w:rsidR="00AE4357">
        <w:t>blood pressure</w:t>
      </w:r>
      <w:r w:rsidR="00834C3C" w:rsidRPr="00BC4658">
        <w:t>, heart rate and weight did not change significantly in the olaparib group during the study. Significant changes in ind</w:t>
      </w:r>
      <w:r w:rsidR="00AE4357">
        <w:t>ividuals were reported as AEs.</w:t>
      </w:r>
    </w:p>
    <w:p w14:paraId="6DA3FA1E" w14:textId="77777777" w:rsidR="00834C3C" w:rsidRDefault="00834C3C" w:rsidP="00834C3C">
      <w:pPr>
        <w:pStyle w:val="Heading5"/>
      </w:pPr>
      <w:bookmarkStart w:id="215" w:name="_Toc432079176"/>
      <w:bookmarkStart w:id="216" w:name="_Toc432080749"/>
      <w:bookmarkStart w:id="217" w:name="_Toc505155599"/>
      <w:r>
        <w:t>Immunogenicity and immunological events</w:t>
      </w:r>
      <w:bookmarkEnd w:id="215"/>
      <w:bookmarkEnd w:id="216"/>
      <w:bookmarkEnd w:id="217"/>
    </w:p>
    <w:p w14:paraId="46BF43EA" w14:textId="77777777" w:rsidR="00834C3C" w:rsidRPr="002B7B05" w:rsidRDefault="00834C3C" w:rsidP="00834C3C">
      <w:pPr>
        <w:pStyle w:val="Heading6"/>
      </w:pPr>
      <w:r>
        <w:t>I</w:t>
      </w:r>
      <w:r w:rsidRPr="002B7B05">
        <w:t>ntegrated safety analyses</w:t>
      </w:r>
    </w:p>
    <w:p w14:paraId="329D3AF4" w14:textId="77777777" w:rsidR="00CA1EAE" w:rsidRDefault="00834C3C" w:rsidP="00834C3C">
      <w:pPr>
        <w:rPr>
          <w:lang w:eastAsia="ja-JP"/>
        </w:rPr>
      </w:pPr>
      <w:r>
        <w:rPr>
          <w:lang w:eastAsia="ja-JP"/>
        </w:rPr>
        <w:t>No pooled analyses were performed</w:t>
      </w:r>
      <w:r w:rsidR="00CA1EAE">
        <w:rPr>
          <w:lang w:eastAsia="ja-JP"/>
        </w:rPr>
        <w:t>.</w:t>
      </w:r>
    </w:p>
    <w:p w14:paraId="54EB7F67" w14:textId="77777777" w:rsidR="00834C3C" w:rsidRPr="00C2074B" w:rsidRDefault="00834C3C" w:rsidP="00834C3C">
      <w:pPr>
        <w:pStyle w:val="Heading6"/>
      </w:pPr>
      <w:r w:rsidRPr="00C2074B">
        <w:t>Pivotal and/or main efficacy studies</w:t>
      </w:r>
    </w:p>
    <w:p w14:paraId="6983674F" w14:textId="77777777" w:rsidR="00834C3C" w:rsidRPr="00BC4658" w:rsidRDefault="001F00F8" w:rsidP="00834C3C">
      <w:pPr>
        <w:pStyle w:val="ListBullet"/>
        <w:numPr>
          <w:ilvl w:val="0"/>
          <w:numId w:val="0"/>
        </w:numPr>
      </w:pPr>
      <w:r w:rsidRPr="00F30AD1">
        <w:rPr>
          <w:i/>
        </w:rPr>
        <w:t>Study 19</w:t>
      </w:r>
      <w:r w:rsidR="00834C3C" w:rsidRPr="00BC4658">
        <w:t>: There were few AEs related to immunological events, and no meaningful differences between the treatment groups.</w:t>
      </w:r>
    </w:p>
    <w:p w14:paraId="711F3A2E" w14:textId="4CA3581C" w:rsidR="00834C3C" w:rsidRPr="00BC4658" w:rsidRDefault="00834C3C" w:rsidP="00834C3C">
      <w:pPr>
        <w:pStyle w:val="ListBullet"/>
        <w:numPr>
          <w:ilvl w:val="0"/>
          <w:numId w:val="0"/>
        </w:numPr>
      </w:pPr>
      <w:r w:rsidRPr="00F30AD1">
        <w:rPr>
          <w:i/>
        </w:rPr>
        <w:t>Study 02</w:t>
      </w:r>
      <w:r w:rsidRPr="00BC4658">
        <w:t>: There were few AEs related to immunological events, and no meaningful differences between the treatment groups. Immunological disorders were reported in 3.1% and 3.0% of the olaparib and placebo groups, respectively.</w:t>
      </w:r>
    </w:p>
    <w:p w14:paraId="5607F9E9" w14:textId="77777777" w:rsidR="00834C3C" w:rsidRPr="00E7113A" w:rsidRDefault="00834C3C" w:rsidP="00834C3C">
      <w:pPr>
        <w:pStyle w:val="Heading5"/>
      </w:pPr>
      <w:bookmarkStart w:id="218" w:name="_Toc432079177"/>
      <w:bookmarkStart w:id="219" w:name="_Toc432080750"/>
      <w:bookmarkStart w:id="220" w:name="_Toc505155600"/>
      <w:r w:rsidRPr="00E7113A">
        <w:t>Serious skin reactions</w:t>
      </w:r>
      <w:bookmarkEnd w:id="218"/>
      <w:bookmarkEnd w:id="219"/>
      <w:bookmarkEnd w:id="220"/>
    </w:p>
    <w:p w14:paraId="0B0B3B96" w14:textId="77777777" w:rsidR="00834C3C" w:rsidRPr="0044289B" w:rsidRDefault="00834C3C" w:rsidP="00834C3C">
      <w:pPr>
        <w:pStyle w:val="Heading6"/>
      </w:pPr>
      <w:r w:rsidRPr="0044289B">
        <w:t>Integrated safety analyses</w:t>
      </w:r>
    </w:p>
    <w:p w14:paraId="48F99819" w14:textId="77777777" w:rsidR="00CA1EAE" w:rsidRDefault="00834C3C" w:rsidP="00834C3C">
      <w:pPr>
        <w:rPr>
          <w:lang w:eastAsia="ja-JP"/>
        </w:rPr>
      </w:pPr>
      <w:r>
        <w:rPr>
          <w:lang w:eastAsia="ja-JP"/>
        </w:rPr>
        <w:t>No pooled analyses were performed</w:t>
      </w:r>
      <w:r w:rsidR="00CA1EAE">
        <w:rPr>
          <w:lang w:eastAsia="ja-JP"/>
        </w:rPr>
        <w:t>.</w:t>
      </w:r>
    </w:p>
    <w:p w14:paraId="2A4CD02C" w14:textId="77777777" w:rsidR="00834C3C" w:rsidRPr="0044289B" w:rsidRDefault="00834C3C" w:rsidP="00834C3C">
      <w:pPr>
        <w:pStyle w:val="Heading6"/>
      </w:pPr>
      <w:r w:rsidRPr="0044289B">
        <w:t>Pivotal and/or main efficacy studies</w:t>
      </w:r>
    </w:p>
    <w:p w14:paraId="5FDB00B3" w14:textId="77777777" w:rsidR="00834C3C" w:rsidRPr="00BC4658" w:rsidRDefault="001F00F8" w:rsidP="00834C3C">
      <w:pPr>
        <w:pStyle w:val="ListBullet"/>
        <w:numPr>
          <w:ilvl w:val="0"/>
          <w:numId w:val="0"/>
        </w:numPr>
      </w:pPr>
      <w:r w:rsidRPr="00F30AD1">
        <w:rPr>
          <w:i/>
        </w:rPr>
        <w:t>Study 19</w:t>
      </w:r>
      <w:r w:rsidR="00834C3C" w:rsidRPr="00BC4658">
        <w:t>: Skin AEs were reported in 29.4% and 27.3% of the olaparib and placebo groups, respectively. Most were mild to moderate in intensity and no SAEs were reported.</w:t>
      </w:r>
    </w:p>
    <w:p w14:paraId="6FB6AF43" w14:textId="3177F6F9" w:rsidR="00834C3C" w:rsidRPr="00BC4658" w:rsidRDefault="00834C3C" w:rsidP="00834C3C">
      <w:pPr>
        <w:pStyle w:val="ListBullet"/>
        <w:numPr>
          <w:ilvl w:val="0"/>
          <w:numId w:val="0"/>
        </w:numPr>
      </w:pPr>
      <w:r w:rsidRPr="00BC4658">
        <w:t>Study 02: Skin AEs were reported in 29.7% and 26.3% of the olaparib and placebo groups, respectively. No SAEs were reported.</w:t>
      </w:r>
      <w:bookmarkStart w:id="221" w:name="_Toc272414678"/>
      <w:bookmarkStart w:id="222" w:name="_Toc290888542"/>
      <w:bookmarkStart w:id="223" w:name="_Toc416353757"/>
      <w:bookmarkStart w:id="224" w:name="_Toc421005300"/>
      <w:bookmarkStart w:id="225" w:name="_Toc432079178"/>
      <w:bookmarkStart w:id="226" w:name="_Toc432080751"/>
    </w:p>
    <w:p w14:paraId="4E6E8E2E" w14:textId="77777777" w:rsidR="00834C3C" w:rsidRPr="00545B14" w:rsidRDefault="00834C3C" w:rsidP="00834C3C">
      <w:pPr>
        <w:pStyle w:val="Heading5"/>
      </w:pPr>
      <w:bookmarkStart w:id="227" w:name="_Toc505155601"/>
      <w:r>
        <w:lastRenderedPageBreak/>
        <w:t>Adverse events of special interest</w:t>
      </w:r>
      <w:bookmarkEnd w:id="221"/>
      <w:bookmarkEnd w:id="222"/>
      <w:bookmarkEnd w:id="223"/>
      <w:bookmarkEnd w:id="224"/>
      <w:bookmarkEnd w:id="225"/>
      <w:bookmarkEnd w:id="226"/>
      <w:bookmarkEnd w:id="227"/>
    </w:p>
    <w:p w14:paraId="025169D5" w14:textId="77777777" w:rsidR="00834C3C" w:rsidRPr="002B7B05" w:rsidRDefault="00834C3C" w:rsidP="00834C3C">
      <w:pPr>
        <w:pStyle w:val="Heading6"/>
      </w:pPr>
      <w:r>
        <w:t>I</w:t>
      </w:r>
      <w:r w:rsidRPr="002B7B05">
        <w:t>ntegrated safety analyses</w:t>
      </w:r>
    </w:p>
    <w:p w14:paraId="0855D22B" w14:textId="77777777" w:rsidR="00CA1EAE" w:rsidRDefault="00834C3C" w:rsidP="00834C3C">
      <w:pPr>
        <w:rPr>
          <w:lang w:eastAsia="ja-JP"/>
        </w:rPr>
      </w:pPr>
      <w:r>
        <w:rPr>
          <w:lang w:eastAsia="ja-JP"/>
        </w:rPr>
        <w:t>No pooled analyses were performed</w:t>
      </w:r>
      <w:r w:rsidR="00CA1EAE">
        <w:rPr>
          <w:lang w:eastAsia="ja-JP"/>
        </w:rPr>
        <w:t>.</w:t>
      </w:r>
    </w:p>
    <w:p w14:paraId="5F6C8188" w14:textId="77777777" w:rsidR="00834C3C" w:rsidRPr="00C2074B" w:rsidRDefault="00834C3C" w:rsidP="00834C3C">
      <w:pPr>
        <w:pStyle w:val="Heading6"/>
      </w:pPr>
      <w:r>
        <w:t>Main/p</w:t>
      </w:r>
      <w:r w:rsidRPr="00C2074B">
        <w:t>ivotal studies that assessed safety as the sole primary outcome</w:t>
      </w:r>
    </w:p>
    <w:p w14:paraId="60B21AEF" w14:textId="77777777" w:rsidR="00834C3C" w:rsidRPr="00BC4658" w:rsidRDefault="001F00F8" w:rsidP="00834C3C">
      <w:pPr>
        <w:pStyle w:val="ListBullet"/>
        <w:numPr>
          <w:ilvl w:val="0"/>
          <w:numId w:val="0"/>
        </w:numPr>
      </w:pPr>
      <w:r w:rsidRPr="00F30AD1">
        <w:rPr>
          <w:i/>
        </w:rPr>
        <w:t>Study 19</w:t>
      </w:r>
      <w:r w:rsidR="00834C3C" w:rsidRPr="00BC4658">
        <w:t>: There were no defined events of special interest.</w:t>
      </w:r>
    </w:p>
    <w:p w14:paraId="2BC019E4" w14:textId="399CBF5D" w:rsidR="00500337" w:rsidRPr="00500337" w:rsidRDefault="00834C3C" w:rsidP="009F4A9B">
      <w:pPr>
        <w:pStyle w:val="ListBullet"/>
        <w:numPr>
          <w:ilvl w:val="0"/>
          <w:numId w:val="0"/>
        </w:numPr>
      </w:pPr>
      <w:r w:rsidRPr="00F30AD1">
        <w:rPr>
          <w:i/>
        </w:rPr>
        <w:t>Study 02</w:t>
      </w:r>
      <w:r w:rsidRPr="00BC4658">
        <w:t>: There were four cases o</w:t>
      </w:r>
      <w:r w:rsidR="009F4A9B">
        <w:t xml:space="preserve">f myelodysplastic syndrome </w:t>
      </w:r>
      <w:r w:rsidR="00B41A49">
        <w:t xml:space="preserve">(MDS) </w:t>
      </w:r>
      <w:r w:rsidR="0001498A">
        <w:t>or</w:t>
      </w:r>
      <w:r w:rsidR="009F4A9B">
        <w:t xml:space="preserve"> acute myeloid leukaemia</w:t>
      </w:r>
      <w:r w:rsidR="00B41A49">
        <w:t xml:space="preserve"> (AML)</w:t>
      </w:r>
      <w:r w:rsidRPr="00BC4658">
        <w:t xml:space="preserve"> in each treatment group (olaparib 2.1% </w:t>
      </w:r>
      <w:r>
        <w:t>versus</w:t>
      </w:r>
      <w:r w:rsidRPr="00BC4658">
        <w:t xml:space="preserve"> 4.0% placebo). New primary, non-haematological malignancies were reported in one patient in each treatment group. Three cases of pneumonitis were reported, all in the olaparib group. No other events of special interest were defined in the study</w:t>
      </w:r>
      <w:r w:rsidR="009F4A9B">
        <w:t>.</w:t>
      </w:r>
    </w:p>
    <w:p w14:paraId="03AE1C38" w14:textId="77777777" w:rsidR="00605AD4" w:rsidRDefault="00605AD4" w:rsidP="00605AD4">
      <w:pPr>
        <w:pStyle w:val="Heading4"/>
      </w:pPr>
      <w:r w:rsidRPr="00605AD4">
        <w:t>Post</w:t>
      </w:r>
      <w:r w:rsidR="00834C3C">
        <w:t xml:space="preserve"> </w:t>
      </w:r>
      <w:r w:rsidRPr="00605AD4">
        <w:t>marketing data</w:t>
      </w:r>
    </w:p>
    <w:p w14:paraId="497D4265" w14:textId="77777777" w:rsidR="00500337" w:rsidRPr="00500337" w:rsidRDefault="00834C3C" w:rsidP="00500337">
      <w:pPr>
        <w:rPr>
          <w:lang w:eastAsia="ja-JP"/>
        </w:rPr>
      </w:pPr>
      <w:r>
        <w:rPr>
          <w:lang w:eastAsia="ja-JP"/>
        </w:rPr>
        <w:t>The tablet formulation of olaparib has not yet received marketing approval.</w:t>
      </w:r>
    </w:p>
    <w:p w14:paraId="6569036B" w14:textId="77777777" w:rsidR="00605AD4" w:rsidRPr="00605AD4" w:rsidRDefault="00605AD4" w:rsidP="00605AD4">
      <w:pPr>
        <w:pStyle w:val="Heading4"/>
      </w:pPr>
      <w:r w:rsidRPr="00605AD4">
        <w:t>Evaluator’s conclusions on safety</w:t>
      </w:r>
    </w:p>
    <w:p w14:paraId="08B4FAD6" w14:textId="45422461" w:rsidR="00CA1EAE" w:rsidRDefault="00834C3C" w:rsidP="00834C3C">
      <w:r w:rsidRPr="004E6701">
        <w:t xml:space="preserve">No new safety concerns have been identified for the new olaparib tablet formulation. Nausea, vomiting, fatigue, asthenia, anaemia, diarrhoea, dyspepsia, dysgeusia, dizziness and headache are common ADRs documented in the olaparib capsule PI. The safety profiles of the pooled tablet and capsule data sets were comparable. In the pivotal studies, the safety profile of the tablet formulation in Study 02 was comparable to that of the capsule formulation in </w:t>
      </w:r>
      <w:r w:rsidR="001F00F8">
        <w:t>Study 19</w:t>
      </w:r>
      <w:r w:rsidRPr="004E6701">
        <w:t>. In Study 02, the incidence of AEs was significantly higher in the olaparib group compared with the placebo group. However, most AEs were of mild to moderate severity, intermittent and manageable with dose interruptions or reductions. Of note, exposure was over three times higher in the olaparib group (19.4 months versus 5.6 months). The most common severe AE was anaemia, reported in 36.9% and 18.2% of the olaparib and placebo groups, respectively. Nearly all deaths were related to the underlying disease, and only one death (</w:t>
      </w:r>
      <w:r w:rsidR="00AE4357">
        <w:t>AML</w:t>
      </w:r>
      <w:r w:rsidRPr="004E6701">
        <w:t>) was attributed to olaparib during treatment. Study drug was discontinued due to AEs in 10.8% and 2.0% of the olaparib and placebo groups, respectively</w:t>
      </w:r>
      <w:r w:rsidR="00CA1EAE">
        <w:t>.</w:t>
      </w:r>
    </w:p>
    <w:p w14:paraId="2207AADA" w14:textId="77777777" w:rsidR="00605AD4" w:rsidRPr="00605AD4" w:rsidRDefault="00834C3C" w:rsidP="00605AD4">
      <w:r w:rsidRPr="004E6701">
        <w:t>No new AEs of regulatory interest or special interest were identified. Minor serum creatinine elevations without renal impairment were reported (a known ADR). Haematological toxicity was reported in line with the documented olaparib ADR profile. No hepatic events suggestive of drug induced liver injury were reporte</w:t>
      </w:r>
      <w:r w:rsidR="009F4A9B">
        <w:t xml:space="preserve">d with the tablet formulation. </w:t>
      </w:r>
      <w:r w:rsidRPr="004E6701">
        <w:t>The safety profile of the olaparib tablet formulation was comparable in all age groups. There was no evidence for racial differences although the m</w:t>
      </w:r>
      <w:r>
        <w:t>ajority of patients were White.</w:t>
      </w:r>
    </w:p>
    <w:p w14:paraId="1B322F23" w14:textId="734CE48B" w:rsidR="00605AD4" w:rsidRPr="00605AD4" w:rsidRDefault="00605AD4" w:rsidP="00605AD4">
      <w:pPr>
        <w:pStyle w:val="Heading3"/>
        <w:rPr>
          <w:rFonts w:eastAsia="Cambria"/>
        </w:rPr>
      </w:pPr>
      <w:bookmarkStart w:id="228" w:name="_Toc23326214"/>
      <w:r w:rsidRPr="00605AD4">
        <w:rPr>
          <w:rFonts w:eastAsia="Cambria"/>
        </w:rPr>
        <w:t xml:space="preserve">First </w:t>
      </w:r>
      <w:r w:rsidR="00963DD4" w:rsidRPr="00605AD4">
        <w:rPr>
          <w:rFonts w:eastAsia="Cambria"/>
        </w:rPr>
        <w:t>round benefit-risk assessment</w:t>
      </w:r>
      <w:bookmarkEnd w:id="228"/>
    </w:p>
    <w:p w14:paraId="6F46FF32" w14:textId="77777777" w:rsidR="00605AD4" w:rsidRDefault="00605AD4" w:rsidP="00605AD4">
      <w:pPr>
        <w:pStyle w:val="Heading4"/>
      </w:pPr>
      <w:r w:rsidRPr="00605AD4">
        <w:t>First round assessment of benefits</w:t>
      </w:r>
    </w:p>
    <w:p w14:paraId="11B904D2" w14:textId="6AE64410" w:rsidR="00834C3C" w:rsidRDefault="000A0DC3" w:rsidP="00834C3C">
      <w:r>
        <w:t>Table 8</w:t>
      </w:r>
      <w:r w:rsidR="00A46C84">
        <w:t xml:space="preserve"> summarises the assessment of benefits of Lynparza for the proposed indication at the first round evaluation</w:t>
      </w:r>
      <w:r w:rsidR="00834C3C">
        <w:t>.</w:t>
      </w:r>
    </w:p>
    <w:p w14:paraId="01FAB63F" w14:textId="77777777" w:rsidR="00834C3C" w:rsidRDefault="000A0DC3" w:rsidP="00834C3C">
      <w:pPr>
        <w:pStyle w:val="TableTitle"/>
      </w:pPr>
      <w:r>
        <w:lastRenderedPageBreak/>
        <w:t>Table 8</w:t>
      </w:r>
      <w:r w:rsidR="00834C3C">
        <w:t>: First round assess</w:t>
      </w:r>
      <w:r w:rsidR="00D7040B">
        <w:t>ment of benefits</w:t>
      </w:r>
    </w:p>
    <w:tbl>
      <w:tblPr>
        <w:tblStyle w:val="TableTGAblue"/>
        <w:tblW w:w="0" w:type="auto"/>
        <w:tblLook w:val="04A0" w:firstRow="1" w:lastRow="0" w:firstColumn="1" w:lastColumn="0" w:noHBand="0" w:noVBand="1"/>
      </w:tblPr>
      <w:tblGrid>
        <w:gridCol w:w="4415"/>
        <w:gridCol w:w="4197"/>
      </w:tblGrid>
      <w:tr w:rsidR="00834C3C" w:rsidRPr="00A07E7C" w14:paraId="68DD8E40" w14:textId="77777777" w:rsidTr="00834C3C">
        <w:trPr>
          <w:cnfStyle w:val="100000000000" w:firstRow="1" w:lastRow="0" w:firstColumn="0" w:lastColumn="0" w:oddVBand="0" w:evenVBand="0" w:oddHBand="0" w:evenHBand="0" w:firstRowFirstColumn="0" w:firstRowLastColumn="0" w:lastRowFirstColumn="0" w:lastRowLastColumn="0"/>
          <w:trHeight w:val="671"/>
        </w:trPr>
        <w:tc>
          <w:tcPr>
            <w:tcW w:w="4415" w:type="dxa"/>
          </w:tcPr>
          <w:p w14:paraId="0A2E4D15" w14:textId="77777777" w:rsidR="00834C3C" w:rsidRPr="00A07E7C" w:rsidRDefault="00834C3C" w:rsidP="009F4A9B">
            <w:pPr>
              <w:ind w:left="0" w:right="0"/>
              <w:rPr>
                <w:rFonts w:asciiTheme="minorHAnsi" w:hAnsiTheme="minorHAnsi" w:cs="Calibri"/>
                <w:sz w:val="20"/>
                <w:szCs w:val="20"/>
              </w:rPr>
            </w:pPr>
            <w:r w:rsidRPr="00A07E7C">
              <w:rPr>
                <w:rFonts w:asciiTheme="minorHAnsi" w:hAnsiTheme="minorHAnsi" w:cs="Calibri"/>
                <w:sz w:val="20"/>
                <w:szCs w:val="20"/>
              </w:rPr>
              <w:t>Benefits</w:t>
            </w:r>
          </w:p>
        </w:tc>
        <w:tc>
          <w:tcPr>
            <w:tcW w:w="4197" w:type="dxa"/>
          </w:tcPr>
          <w:p w14:paraId="2D4FC8F8" w14:textId="77777777" w:rsidR="00834C3C" w:rsidRPr="00A07E7C" w:rsidRDefault="00834C3C" w:rsidP="009F4A9B">
            <w:pPr>
              <w:ind w:left="0" w:right="0"/>
              <w:rPr>
                <w:rFonts w:asciiTheme="minorHAnsi" w:hAnsiTheme="minorHAnsi" w:cs="Calibri"/>
                <w:sz w:val="20"/>
                <w:szCs w:val="20"/>
              </w:rPr>
            </w:pPr>
            <w:r w:rsidRPr="00A07E7C">
              <w:rPr>
                <w:rFonts w:asciiTheme="minorHAnsi" w:hAnsiTheme="minorHAnsi" w:cs="Calibri"/>
                <w:sz w:val="20"/>
                <w:szCs w:val="20"/>
              </w:rPr>
              <w:t>Strengths and Uncertainties</w:t>
            </w:r>
          </w:p>
        </w:tc>
      </w:tr>
      <w:tr w:rsidR="00834C3C" w:rsidRPr="00317B0D" w14:paraId="1E25F21F" w14:textId="77777777" w:rsidTr="00834C3C">
        <w:trPr>
          <w:trHeight w:val="1745"/>
        </w:trPr>
        <w:tc>
          <w:tcPr>
            <w:tcW w:w="4415" w:type="dxa"/>
          </w:tcPr>
          <w:p w14:paraId="16A718BD" w14:textId="77777777" w:rsidR="00834C3C" w:rsidRPr="00317B0D" w:rsidRDefault="00834C3C" w:rsidP="009F4A9B">
            <w:pPr>
              <w:ind w:left="0" w:right="0"/>
              <w:rPr>
                <w:rFonts w:asciiTheme="minorHAnsi" w:hAnsiTheme="minorHAnsi" w:cs="Calibri"/>
                <w:sz w:val="20"/>
                <w:szCs w:val="20"/>
              </w:rPr>
            </w:pPr>
            <w:r w:rsidRPr="00317B0D">
              <w:rPr>
                <w:rFonts w:asciiTheme="minorHAnsi" w:hAnsiTheme="minorHAnsi" w:cs="Calibri"/>
                <w:sz w:val="20"/>
                <w:szCs w:val="20"/>
              </w:rPr>
              <w:t>In patients with advanced ovarian cancer, maintenance olaparib given as tablets reduced the risk of disease progression or death by 70% compared with placebo. PFS was 19.1 months in patients treated with olaparib tablets, compared with 5.5 months in patients given placebo.</w:t>
            </w:r>
          </w:p>
        </w:tc>
        <w:tc>
          <w:tcPr>
            <w:tcW w:w="4197" w:type="dxa"/>
          </w:tcPr>
          <w:p w14:paraId="236CC09C" w14:textId="77777777" w:rsidR="00834C3C" w:rsidRPr="00317B0D" w:rsidRDefault="00834C3C" w:rsidP="009F4A9B">
            <w:pPr>
              <w:tabs>
                <w:tab w:val="left" w:pos="0"/>
                <w:tab w:val="left" w:pos="720"/>
                <w:tab w:val="left" w:pos="2160"/>
                <w:tab w:val="left" w:pos="2880"/>
                <w:tab w:val="left" w:pos="3600"/>
                <w:tab w:val="left" w:pos="4320"/>
                <w:tab w:val="left" w:pos="5040"/>
                <w:tab w:val="left" w:pos="5760"/>
                <w:tab w:val="left" w:pos="6480"/>
                <w:tab w:val="left" w:pos="7200"/>
              </w:tabs>
              <w:ind w:left="0" w:right="0"/>
              <w:rPr>
                <w:rFonts w:asciiTheme="minorHAnsi" w:hAnsiTheme="minorHAnsi" w:cs="Calibri"/>
                <w:sz w:val="20"/>
                <w:szCs w:val="20"/>
              </w:rPr>
            </w:pPr>
            <w:r w:rsidRPr="00317B0D">
              <w:rPr>
                <w:rFonts w:asciiTheme="minorHAnsi" w:hAnsiTheme="minorHAnsi" w:cs="Calibri"/>
                <w:sz w:val="20"/>
                <w:szCs w:val="20"/>
              </w:rPr>
              <w:t>The hazard reduction was highly statistically significant (p</w:t>
            </w:r>
            <w:r w:rsidR="009F4A9B">
              <w:rPr>
                <w:rFonts w:asciiTheme="minorHAnsi" w:hAnsiTheme="minorHAnsi" w:cs="Calibri"/>
                <w:sz w:val="20"/>
                <w:szCs w:val="20"/>
              </w:rPr>
              <w:t xml:space="preserve"> </w:t>
            </w:r>
            <w:r w:rsidRPr="00317B0D">
              <w:rPr>
                <w:rFonts w:asciiTheme="minorHAnsi" w:hAnsiTheme="minorHAnsi" w:cs="Calibri"/>
                <w:sz w:val="20"/>
                <w:szCs w:val="20"/>
              </w:rPr>
              <w:t>&lt;</w:t>
            </w:r>
            <w:r w:rsidR="009F4A9B">
              <w:rPr>
                <w:rFonts w:asciiTheme="minorHAnsi" w:hAnsiTheme="minorHAnsi" w:cs="Calibri"/>
                <w:sz w:val="20"/>
                <w:szCs w:val="20"/>
              </w:rPr>
              <w:t xml:space="preserve"> </w:t>
            </w:r>
            <w:r w:rsidRPr="00317B0D">
              <w:rPr>
                <w:rFonts w:asciiTheme="minorHAnsi" w:hAnsiTheme="minorHAnsi" w:cs="Calibri"/>
                <w:sz w:val="20"/>
                <w:szCs w:val="20"/>
              </w:rPr>
              <w:t>0.0001) and clinically meaningful. Efficacy with the new tablet formulation was comparable to that of th</w:t>
            </w:r>
            <w:r w:rsidR="001F00F8">
              <w:rPr>
                <w:rFonts w:asciiTheme="minorHAnsi" w:hAnsiTheme="minorHAnsi" w:cs="Calibri"/>
                <w:sz w:val="20"/>
                <w:szCs w:val="20"/>
              </w:rPr>
              <w:t>e approved capsule formulation.</w:t>
            </w:r>
          </w:p>
        </w:tc>
      </w:tr>
      <w:tr w:rsidR="00834C3C" w:rsidRPr="00317B0D" w14:paraId="45376173" w14:textId="77777777" w:rsidTr="00834C3C">
        <w:trPr>
          <w:trHeight w:val="1699"/>
        </w:trPr>
        <w:tc>
          <w:tcPr>
            <w:tcW w:w="4415" w:type="dxa"/>
          </w:tcPr>
          <w:p w14:paraId="30C653BF" w14:textId="77777777" w:rsidR="00834C3C" w:rsidRPr="00317B0D" w:rsidRDefault="009F4A9B" w:rsidP="009F4A9B">
            <w:pPr>
              <w:ind w:left="0" w:right="0"/>
              <w:rPr>
                <w:rFonts w:asciiTheme="minorHAnsi" w:hAnsiTheme="minorHAnsi" w:cs="Calibri"/>
                <w:sz w:val="20"/>
                <w:szCs w:val="20"/>
              </w:rPr>
            </w:pPr>
            <w:r>
              <w:rPr>
                <w:rFonts w:asciiTheme="minorHAnsi" w:hAnsiTheme="minorHAnsi" w:cs="Calibri"/>
                <w:sz w:val="20"/>
                <w:szCs w:val="20"/>
              </w:rPr>
              <w:t xml:space="preserve">Platinum </w:t>
            </w:r>
            <w:r w:rsidR="00834C3C" w:rsidRPr="00317B0D">
              <w:rPr>
                <w:rFonts w:asciiTheme="minorHAnsi" w:hAnsiTheme="minorHAnsi" w:cs="Calibri"/>
                <w:sz w:val="20"/>
                <w:szCs w:val="20"/>
              </w:rPr>
              <w:t>sensitive patients responded to olaparib irrespective of BRCA status.</w:t>
            </w:r>
          </w:p>
        </w:tc>
        <w:tc>
          <w:tcPr>
            <w:tcW w:w="4197" w:type="dxa"/>
          </w:tcPr>
          <w:p w14:paraId="4387A0FA" w14:textId="77777777" w:rsidR="00834C3C" w:rsidRPr="00317B0D" w:rsidRDefault="00834C3C" w:rsidP="009F4A9B">
            <w:pPr>
              <w:tabs>
                <w:tab w:val="left" w:pos="0"/>
                <w:tab w:val="left" w:pos="720"/>
                <w:tab w:val="left" w:pos="2160"/>
                <w:tab w:val="left" w:pos="2880"/>
                <w:tab w:val="left" w:pos="3600"/>
                <w:tab w:val="left" w:pos="4320"/>
                <w:tab w:val="left" w:pos="5040"/>
                <w:tab w:val="left" w:pos="5760"/>
                <w:tab w:val="left" w:pos="6480"/>
                <w:tab w:val="left" w:pos="7200"/>
              </w:tabs>
              <w:ind w:left="0" w:right="0"/>
              <w:rPr>
                <w:rFonts w:asciiTheme="minorHAnsi" w:hAnsiTheme="minorHAnsi" w:cs="Calibri"/>
                <w:sz w:val="20"/>
                <w:szCs w:val="20"/>
              </w:rPr>
            </w:pPr>
            <w:r w:rsidRPr="00317B0D">
              <w:rPr>
                <w:rFonts w:asciiTheme="minorHAnsi" w:hAnsiTheme="minorHAnsi" w:cs="Calibri"/>
                <w:sz w:val="20"/>
                <w:szCs w:val="20"/>
              </w:rPr>
              <w:t>The benefits of olaparib were less marked in patients without BRCA mutations with a risk reduction of 46%. However, the benefit is highly statistically significant (p</w:t>
            </w:r>
            <w:r w:rsidR="009F4A9B">
              <w:rPr>
                <w:rFonts w:asciiTheme="minorHAnsi" w:hAnsiTheme="minorHAnsi" w:cs="Calibri"/>
                <w:sz w:val="20"/>
                <w:szCs w:val="20"/>
              </w:rPr>
              <w:t xml:space="preserve"> </w:t>
            </w:r>
            <w:r w:rsidRPr="00317B0D">
              <w:rPr>
                <w:rFonts w:asciiTheme="minorHAnsi" w:hAnsiTheme="minorHAnsi" w:cs="Calibri"/>
                <w:sz w:val="20"/>
                <w:szCs w:val="20"/>
              </w:rPr>
              <w:t>&lt;</w:t>
            </w:r>
            <w:r w:rsidR="009F4A9B">
              <w:rPr>
                <w:rFonts w:asciiTheme="minorHAnsi" w:hAnsiTheme="minorHAnsi" w:cs="Calibri"/>
                <w:sz w:val="20"/>
                <w:szCs w:val="20"/>
              </w:rPr>
              <w:t xml:space="preserve"> </w:t>
            </w:r>
            <w:r w:rsidRPr="00317B0D">
              <w:rPr>
                <w:rFonts w:asciiTheme="minorHAnsi" w:hAnsiTheme="minorHAnsi" w:cs="Calibri"/>
                <w:sz w:val="20"/>
                <w:szCs w:val="20"/>
              </w:rPr>
              <w:t>0.0075) and clinically meaningful in a patient population w</w:t>
            </w:r>
            <w:r w:rsidR="001F00F8">
              <w:rPr>
                <w:rFonts w:asciiTheme="minorHAnsi" w:hAnsiTheme="minorHAnsi" w:cs="Calibri"/>
                <w:sz w:val="20"/>
                <w:szCs w:val="20"/>
              </w:rPr>
              <w:t>ith few other treatment options.</w:t>
            </w:r>
          </w:p>
        </w:tc>
      </w:tr>
      <w:tr w:rsidR="00834C3C" w:rsidRPr="00317B0D" w14:paraId="2A0DDDE4" w14:textId="77777777" w:rsidTr="00834C3C">
        <w:trPr>
          <w:trHeight w:val="663"/>
        </w:trPr>
        <w:tc>
          <w:tcPr>
            <w:tcW w:w="4415" w:type="dxa"/>
          </w:tcPr>
          <w:p w14:paraId="78A24F51" w14:textId="77777777" w:rsidR="00834C3C" w:rsidRPr="00317B0D" w:rsidRDefault="00834C3C" w:rsidP="009F4A9B">
            <w:pPr>
              <w:ind w:left="0" w:right="0"/>
              <w:rPr>
                <w:rFonts w:asciiTheme="minorHAnsi" w:hAnsiTheme="minorHAnsi" w:cs="Calibri"/>
                <w:sz w:val="20"/>
                <w:szCs w:val="20"/>
              </w:rPr>
            </w:pPr>
            <w:r w:rsidRPr="00317B0D">
              <w:rPr>
                <w:rFonts w:asciiTheme="minorHAnsi" w:hAnsiTheme="minorHAnsi" w:cs="Calibri"/>
                <w:sz w:val="20"/>
                <w:szCs w:val="20"/>
              </w:rPr>
              <w:t xml:space="preserve">The tablet formulation offers simple </w:t>
            </w:r>
            <w:r w:rsidR="009F4A9B">
              <w:rPr>
                <w:rFonts w:asciiTheme="minorHAnsi" w:hAnsiTheme="minorHAnsi" w:cs="Calibri"/>
                <w:sz w:val="20"/>
                <w:szCs w:val="20"/>
              </w:rPr>
              <w:t>BID</w:t>
            </w:r>
            <w:r w:rsidRPr="00317B0D">
              <w:rPr>
                <w:rFonts w:asciiTheme="minorHAnsi" w:hAnsiTheme="minorHAnsi" w:cs="Calibri"/>
                <w:sz w:val="20"/>
                <w:szCs w:val="20"/>
              </w:rPr>
              <w:t xml:space="preserve"> oral treatment (two tablets </w:t>
            </w:r>
            <w:r w:rsidR="009F4A9B">
              <w:rPr>
                <w:rFonts w:asciiTheme="minorHAnsi" w:hAnsiTheme="minorHAnsi" w:cs="Calibri"/>
                <w:sz w:val="20"/>
                <w:szCs w:val="20"/>
              </w:rPr>
              <w:t>BID</w:t>
            </w:r>
            <w:r w:rsidR="001F00F8">
              <w:rPr>
                <w:rFonts w:asciiTheme="minorHAnsi" w:hAnsiTheme="minorHAnsi" w:cs="Calibri"/>
                <w:sz w:val="20"/>
                <w:szCs w:val="20"/>
              </w:rPr>
              <w:t>).</w:t>
            </w:r>
          </w:p>
        </w:tc>
        <w:tc>
          <w:tcPr>
            <w:tcW w:w="4197" w:type="dxa"/>
          </w:tcPr>
          <w:p w14:paraId="05C9CEC4" w14:textId="77777777" w:rsidR="00834C3C" w:rsidRPr="00317B0D" w:rsidRDefault="00834C3C" w:rsidP="009F4A9B">
            <w:pPr>
              <w:tabs>
                <w:tab w:val="left" w:pos="0"/>
                <w:tab w:val="left" w:pos="720"/>
                <w:tab w:val="left" w:pos="2160"/>
                <w:tab w:val="left" w:pos="2880"/>
                <w:tab w:val="left" w:pos="3600"/>
                <w:tab w:val="left" w:pos="4320"/>
                <w:tab w:val="left" w:pos="5040"/>
                <w:tab w:val="left" w:pos="5760"/>
                <w:tab w:val="left" w:pos="6480"/>
                <w:tab w:val="left" w:pos="7200"/>
              </w:tabs>
              <w:ind w:left="0" w:right="0"/>
              <w:rPr>
                <w:rFonts w:asciiTheme="minorHAnsi" w:hAnsiTheme="minorHAnsi" w:cs="Calibri"/>
                <w:sz w:val="20"/>
                <w:szCs w:val="20"/>
              </w:rPr>
            </w:pPr>
          </w:p>
        </w:tc>
      </w:tr>
    </w:tbl>
    <w:p w14:paraId="71063F81" w14:textId="77777777" w:rsidR="00605AD4" w:rsidRDefault="00605AD4" w:rsidP="00605AD4">
      <w:pPr>
        <w:pStyle w:val="Heading4"/>
      </w:pPr>
      <w:r w:rsidRPr="00605AD4">
        <w:t>First round assessment of risks</w:t>
      </w:r>
    </w:p>
    <w:p w14:paraId="17BF233D" w14:textId="2FA14272" w:rsidR="00834C3C" w:rsidRDefault="000A0DC3" w:rsidP="00834C3C">
      <w:r>
        <w:t>Table 9</w:t>
      </w:r>
      <w:r w:rsidR="00A46C84">
        <w:t xml:space="preserve"> summarises the assessment of risks of Lynparza for the proposed indication at the first round of evaluation</w:t>
      </w:r>
      <w:r w:rsidR="00834C3C">
        <w:t>.</w:t>
      </w:r>
    </w:p>
    <w:p w14:paraId="1AB799E1" w14:textId="77777777" w:rsidR="00834C3C" w:rsidRDefault="000A0DC3" w:rsidP="00834C3C">
      <w:pPr>
        <w:pStyle w:val="TableTitle"/>
      </w:pPr>
      <w:r>
        <w:t>Table 9</w:t>
      </w:r>
      <w:r w:rsidR="00834C3C">
        <w:t>: First round assessm</w:t>
      </w:r>
      <w:r w:rsidR="00D7040B">
        <w:t>ent of risks</w:t>
      </w:r>
    </w:p>
    <w:tbl>
      <w:tblPr>
        <w:tblStyle w:val="TableTGAblue"/>
        <w:tblW w:w="0" w:type="auto"/>
        <w:tblLook w:val="04A0" w:firstRow="1" w:lastRow="0" w:firstColumn="1" w:lastColumn="0" w:noHBand="0" w:noVBand="1"/>
      </w:tblPr>
      <w:tblGrid>
        <w:gridCol w:w="4359"/>
        <w:gridCol w:w="4361"/>
      </w:tblGrid>
      <w:tr w:rsidR="00834C3C" w:rsidRPr="00A07E7C" w14:paraId="66425B32" w14:textId="77777777" w:rsidTr="00834C3C">
        <w:trPr>
          <w:cnfStyle w:val="100000000000" w:firstRow="1" w:lastRow="0" w:firstColumn="0" w:lastColumn="0" w:oddVBand="0" w:evenVBand="0" w:oddHBand="0" w:evenHBand="0" w:firstRowFirstColumn="0" w:firstRowLastColumn="0" w:lastRowFirstColumn="0" w:lastRowLastColumn="0"/>
        </w:trPr>
        <w:tc>
          <w:tcPr>
            <w:tcW w:w="4395" w:type="dxa"/>
          </w:tcPr>
          <w:p w14:paraId="1097017E" w14:textId="77777777" w:rsidR="00834C3C" w:rsidRPr="00A07E7C" w:rsidRDefault="00834C3C" w:rsidP="009F4A9B">
            <w:pPr>
              <w:ind w:left="0" w:right="0"/>
              <w:rPr>
                <w:rFonts w:asciiTheme="minorHAnsi" w:hAnsiTheme="minorHAnsi" w:cs="Calibri"/>
                <w:sz w:val="20"/>
                <w:szCs w:val="20"/>
              </w:rPr>
            </w:pPr>
            <w:r w:rsidRPr="00A07E7C">
              <w:rPr>
                <w:rFonts w:asciiTheme="minorHAnsi" w:hAnsiTheme="minorHAnsi" w:cs="Calibri"/>
                <w:sz w:val="20"/>
                <w:szCs w:val="20"/>
              </w:rPr>
              <w:t>Risks</w:t>
            </w:r>
          </w:p>
        </w:tc>
        <w:tc>
          <w:tcPr>
            <w:tcW w:w="4394" w:type="dxa"/>
          </w:tcPr>
          <w:p w14:paraId="0C20ED75" w14:textId="77777777" w:rsidR="00834C3C" w:rsidRPr="00A07E7C" w:rsidRDefault="00834C3C" w:rsidP="009F4A9B">
            <w:pPr>
              <w:ind w:left="0" w:right="0"/>
              <w:rPr>
                <w:rFonts w:asciiTheme="minorHAnsi" w:hAnsiTheme="minorHAnsi" w:cs="Calibri"/>
                <w:sz w:val="20"/>
                <w:szCs w:val="20"/>
              </w:rPr>
            </w:pPr>
            <w:r w:rsidRPr="00A07E7C">
              <w:rPr>
                <w:rFonts w:asciiTheme="minorHAnsi" w:hAnsiTheme="minorHAnsi" w:cs="Calibri"/>
                <w:sz w:val="20"/>
                <w:szCs w:val="20"/>
              </w:rPr>
              <w:t>Strengths and Uncertainties</w:t>
            </w:r>
          </w:p>
        </w:tc>
      </w:tr>
      <w:tr w:rsidR="00834C3C" w:rsidRPr="00321EFD" w14:paraId="087BFD56" w14:textId="77777777" w:rsidTr="00834C3C">
        <w:tc>
          <w:tcPr>
            <w:tcW w:w="4395" w:type="dxa"/>
          </w:tcPr>
          <w:p w14:paraId="1AB18820" w14:textId="77777777" w:rsidR="00834C3C" w:rsidRPr="00321EFD" w:rsidRDefault="00834C3C" w:rsidP="009F4A9B">
            <w:pPr>
              <w:ind w:left="0" w:right="0"/>
              <w:rPr>
                <w:rFonts w:asciiTheme="minorHAnsi" w:hAnsiTheme="minorHAnsi" w:cs="Calibri"/>
                <w:sz w:val="20"/>
                <w:szCs w:val="20"/>
              </w:rPr>
            </w:pPr>
            <w:r w:rsidRPr="00321EFD">
              <w:rPr>
                <w:rFonts w:asciiTheme="minorHAnsi" w:hAnsiTheme="minorHAnsi" w:cs="Calibri"/>
                <w:sz w:val="20"/>
                <w:szCs w:val="20"/>
              </w:rPr>
              <w:t>AEs are reported commonly in patients treated with the olaparib tablet formulation.</w:t>
            </w:r>
          </w:p>
        </w:tc>
        <w:tc>
          <w:tcPr>
            <w:tcW w:w="4394" w:type="dxa"/>
          </w:tcPr>
          <w:p w14:paraId="27BFE9E0" w14:textId="77777777" w:rsidR="00834C3C" w:rsidRPr="00321EFD" w:rsidRDefault="00834C3C" w:rsidP="009F4A9B">
            <w:pPr>
              <w:ind w:left="0" w:right="0"/>
              <w:rPr>
                <w:rFonts w:asciiTheme="minorHAnsi" w:hAnsiTheme="minorHAnsi" w:cs="Calibri"/>
                <w:sz w:val="20"/>
                <w:szCs w:val="20"/>
                <w:u w:val="single"/>
              </w:rPr>
            </w:pPr>
            <w:r w:rsidRPr="00321EFD">
              <w:rPr>
                <w:rFonts w:asciiTheme="minorHAnsi" w:hAnsiTheme="minorHAnsi" w:cs="Calibri"/>
                <w:sz w:val="20"/>
                <w:szCs w:val="20"/>
              </w:rPr>
              <w:t>The risks of olaparib are well understood and documented in the approved PI for the capsule formulation. No new safety signals have been detected. Most AEs are mild to moderate, intermittent, and manageable with dosage interruption or reduction. Haematological toxicities are common, in particular anaemia. Severe AEs or SAEs can be expecte</w:t>
            </w:r>
            <w:r w:rsidR="00D7040B">
              <w:rPr>
                <w:rFonts w:asciiTheme="minorHAnsi" w:hAnsiTheme="minorHAnsi" w:cs="Calibri"/>
                <w:sz w:val="20"/>
                <w:szCs w:val="20"/>
              </w:rPr>
              <w:t xml:space="preserve">d infrequently, and deaths due </w:t>
            </w:r>
            <w:r w:rsidR="001F00F8">
              <w:rPr>
                <w:rFonts w:asciiTheme="minorHAnsi" w:hAnsiTheme="minorHAnsi" w:cs="Calibri"/>
                <w:sz w:val="20"/>
                <w:szCs w:val="20"/>
              </w:rPr>
              <w:t>to AEs are unlikely.</w:t>
            </w:r>
          </w:p>
        </w:tc>
      </w:tr>
      <w:tr w:rsidR="00834C3C" w:rsidRPr="00321EFD" w14:paraId="1F7A9194" w14:textId="77777777" w:rsidTr="00834C3C">
        <w:tc>
          <w:tcPr>
            <w:tcW w:w="4395" w:type="dxa"/>
          </w:tcPr>
          <w:p w14:paraId="17B2803F" w14:textId="77777777" w:rsidR="00834C3C" w:rsidRPr="00321EFD" w:rsidRDefault="00834C3C" w:rsidP="009F4A9B">
            <w:pPr>
              <w:ind w:left="0" w:right="0"/>
              <w:rPr>
                <w:rFonts w:asciiTheme="minorHAnsi" w:hAnsiTheme="minorHAnsi" w:cs="Calibri"/>
                <w:sz w:val="20"/>
                <w:szCs w:val="20"/>
              </w:rPr>
            </w:pPr>
            <w:r w:rsidRPr="00321EFD">
              <w:rPr>
                <w:rFonts w:asciiTheme="minorHAnsi" w:hAnsiTheme="minorHAnsi" w:cs="Calibri"/>
                <w:sz w:val="20"/>
                <w:szCs w:val="20"/>
              </w:rPr>
              <w:t>The efficacy of the tablet formulation has not been investigated in patients without BRCA mutations.</w:t>
            </w:r>
          </w:p>
        </w:tc>
        <w:tc>
          <w:tcPr>
            <w:tcW w:w="4394" w:type="dxa"/>
          </w:tcPr>
          <w:p w14:paraId="35EEA69C" w14:textId="77777777" w:rsidR="00834C3C" w:rsidRPr="00321EFD" w:rsidRDefault="00834C3C" w:rsidP="009F4A9B">
            <w:pPr>
              <w:ind w:left="0" w:right="0"/>
              <w:rPr>
                <w:rFonts w:asciiTheme="minorHAnsi" w:hAnsiTheme="minorHAnsi" w:cs="Calibri"/>
                <w:sz w:val="20"/>
                <w:szCs w:val="20"/>
              </w:rPr>
            </w:pPr>
            <w:r w:rsidRPr="00321EFD">
              <w:rPr>
                <w:rFonts w:asciiTheme="minorHAnsi" w:hAnsiTheme="minorHAnsi" w:cs="Calibri"/>
                <w:sz w:val="20"/>
                <w:szCs w:val="20"/>
              </w:rPr>
              <w:t>The capsule formulation has worthwhile efficacy in patients without BRCA mutations. It is unlikely that the tablet formulation will prove ineffective in this patient population.</w:t>
            </w:r>
          </w:p>
        </w:tc>
      </w:tr>
    </w:tbl>
    <w:p w14:paraId="3C2FAB9D" w14:textId="77777777" w:rsidR="00605AD4" w:rsidRPr="00605AD4" w:rsidRDefault="00605AD4" w:rsidP="00605AD4">
      <w:pPr>
        <w:pStyle w:val="Heading4"/>
      </w:pPr>
      <w:r w:rsidRPr="00605AD4">
        <w:t>First round assessment of benefit-risk balance</w:t>
      </w:r>
    </w:p>
    <w:p w14:paraId="0BD77F81" w14:textId="77777777" w:rsidR="006E0256" w:rsidRDefault="006E0256" w:rsidP="006E0256">
      <w:pPr>
        <w:rPr>
          <w:lang w:eastAsia="ja-JP"/>
        </w:rPr>
      </w:pPr>
      <w:r>
        <w:rPr>
          <w:lang w:eastAsia="ja-JP"/>
        </w:rPr>
        <w:t>The benefit-risk balance is positive for the proposed indication:</w:t>
      </w:r>
    </w:p>
    <w:p w14:paraId="654326B1" w14:textId="77777777" w:rsidR="006E0256" w:rsidRPr="00321EFD" w:rsidRDefault="006E0256" w:rsidP="006E0256">
      <w:pPr>
        <w:ind w:left="720"/>
        <w:rPr>
          <w:i/>
        </w:rPr>
      </w:pPr>
      <w:r w:rsidRPr="00321EFD">
        <w:rPr>
          <w:i/>
        </w:rPr>
        <w:t>Olaparib is indicated as monotherapy for the maintenance treatment of patients with platinum- 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5C30424B" w14:textId="77777777" w:rsidR="00CA1EAE" w:rsidRDefault="006E0256" w:rsidP="00605AD4">
      <w:pPr>
        <w:rPr>
          <w:lang w:eastAsia="ja-JP"/>
        </w:rPr>
      </w:pPr>
      <w:r>
        <w:rPr>
          <w:lang w:eastAsia="ja-JP"/>
        </w:rPr>
        <w:lastRenderedPageBreak/>
        <w:t>The tablet formulation has a comparable benefit-risk balance to that of the approved capsule formulation</w:t>
      </w:r>
      <w:r w:rsidR="00CA1EAE">
        <w:rPr>
          <w:lang w:eastAsia="ja-JP"/>
        </w:rPr>
        <w:t>.</w:t>
      </w:r>
    </w:p>
    <w:p w14:paraId="426C29F6" w14:textId="2099B86F" w:rsidR="00605AD4" w:rsidRPr="00605AD4" w:rsidRDefault="00605AD4" w:rsidP="00605AD4">
      <w:pPr>
        <w:pStyle w:val="Heading3"/>
        <w:rPr>
          <w:rFonts w:eastAsia="Cambria"/>
        </w:rPr>
      </w:pPr>
      <w:bookmarkStart w:id="229" w:name="_Toc23326215"/>
      <w:r w:rsidRPr="00605AD4">
        <w:rPr>
          <w:rFonts w:eastAsia="Cambria"/>
        </w:rPr>
        <w:t xml:space="preserve">First </w:t>
      </w:r>
      <w:r w:rsidR="00963DD4" w:rsidRPr="00605AD4">
        <w:rPr>
          <w:rFonts w:eastAsia="Cambria"/>
        </w:rPr>
        <w:t>round recommendation regarding authorisation</w:t>
      </w:r>
      <w:bookmarkEnd w:id="229"/>
    </w:p>
    <w:p w14:paraId="4A929FBA" w14:textId="77777777" w:rsidR="00CA1EAE" w:rsidRDefault="006E0256" w:rsidP="006E0256">
      <w:pPr>
        <w:rPr>
          <w:lang w:eastAsia="ja-JP"/>
        </w:rPr>
      </w:pPr>
      <w:r>
        <w:rPr>
          <w:lang w:eastAsia="ja-JP"/>
        </w:rPr>
        <w:t>Subject to satisfactory responses to the outstanding comments and questions, authorisation is recommended for olaparib tablets used for the following indication</w:t>
      </w:r>
      <w:r w:rsidR="00CA1EAE">
        <w:rPr>
          <w:lang w:eastAsia="ja-JP"/>
        </w:rPr>
        <w:t>:</w:t>
      </w:r>
    </w:p>
    <w:p w14:paraId="760688D8" w14:textId="77777777" w:rsidR="00605AD4" w:rsidRPr="006E0256" w:rsidRDefault="006E0256" w:rsidP="006E0256">
      <w:pPr>
        <w:ind w:left="720"/>
        <w:rPr>
          <w:i/>
        </w:rPr>
      </w:pPr>
      <w:r w:rsidRPr="008B327C">
        <w:rPr>
          <w:i/>
        </w:rPr>
        <w:t>Olaparib is indicated as monotherapy for the maintenance treat</w:t>
      </w:r>
      <w:r>
        <w:rPr>
          <w:i/>
        </w:rPr>
        <w:t>ment of patients with platinum-</w:t>
      </w:r>
      <w:r w:rsidRPr="008B327C">
        <w:rPr>
          <w:i/>
        </w:rPr>
        <w:t>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73BCC458" w14:textId="755C06A2" w:rsidR="00605AD4" w:rsidRPr="00834E4F" w:rsidRDefault="002F5122" w:rsidP="00605AD4">
      <w:pPr>
        <w:pStyle w:val="Heading3"/>
        <w:rPr>
          <w:rFonts w:eastAsia="Cambria"/>
        </w:rPr>
      </w:pPr>
      <w:bookmarkStart w:id="230" w:name="_Toc23326216"/>
      <w:r w:rsidRPr="00834E4F">
        <w:t xml:space="preserve">Clinical </w:t>
      </w:r>
      <w:r w:rsidR="00963DD4" w:rsidRPr="00834E4F">
        <w:t xml:space="preserve">questions and </w:t>
      </w:r>
      <w:r w:rsidR="00963DD4" w:rsidRPr="00834E4F">
        <w:rPr>
          <w:rFonts w:eastAsia="Cambria"/>
        </w:rPr>
        <w:t>second round evaluation</w:t>
      </w:r>
      <w:bookmarkEnd w:id="230"/>
    </w:p>
    <w:p w14:paraId="2BC56A2B" w14:textId="77777777" w:rsidR="006E0256" w:rsidRPr="00834E4F" w:rsidRDefault="006E0256" w:rsidP="00442B67">
      <w:pPr>
        <w:pStyle w:val="Heading4"/>
      </w:pPr>
      <w:r w:rsidRPr="00834E4F">
        <w:t>Question 1</w:t>
      </w:r>
    </w:p>
    <w:p w14:paraId="4F86B362" w14:textId="77777777" w:rsidR="006E0256" w:rsidRPr="00834E4F" w:rsidRDefault="006E0256" w:rsidP="009F4A9B">
      <w:pPr>
        <w:rPr>
          <w:b/>
          <w:i/>
        </w:rPr>
      </w:pPr>
      <w:r w:rsidRPr="00834E4F">
        <w:rPr>
          <w:b/>
          <w:i/>
        </w:rPr>
        <w:t>There does not appear to be a study specifically addressing the bioequivalence of the 100 and 150</w:t>
      </w:r>
      <w:r w:rsidR="00834E4F">
        <w:rPr>
          <w:b/>
          <w:i/>
        </w:rPr>
        <w:t xml:space="preserve"> </w:t>
      </w:r>
      <w:r w:rsidRPr="00834E4F">
        <w:rPr>
          <w:b/>
          <w:i/>
        </w:rPr>
        <w:t xml:space="preserve">mg tablets. Does the sponsor have a post-hoc analysis of the PK following either single or multiple </w:t>
      </w:r>
      <w:r w:rsidR="00D7040B" w:rsidRPr="00834E4F">
        <w:rPr>
          <w:b/>
          <w:i/>
        </w:rPr>
        <w:t>administrations</w:t>
      </w:r>
      <w:r w:rsidR="00442B67" w:rsidRPr="00834E4F">
        <w:rPr>
          <w:b/>
          <w:i/>
        </w:rPr>
        <w:t xml:space="preserve"> of these tablet forms?</w:t>
      </w:r>
    </w:p>
    <w:p w14:paraId="7D9CA68A" w14:textId="77777777" w:rsidR="006E0256" w:rsidRPr="00834E4F" w:rsidRDefault="006E0256" w:rsidP="009F4A9B">
      <w:pPr>
        <w:rPr>
          <w:b/>
          <w:i/>
        </w:rPr>
      </w:pPr>
      <w:r w:rsidRPr="00834E4F">
        <w:rPr>
          <w:b/>
          <w:i/>
        </w:rPr>
        <w:t>Apart from the population PK studies there is no consideration of the effect of age. Is there a report in which data were combined to examine any potential effect in more detail?</w:t>
      </w:r>
    </w:p>
    <w:p w14:paraId="7DAE0A91" w14:textId="77777777" w:rsidR="006E0256" w:rsidRPr="00834E4F" w:rsidRDefault="006E0256" w:rsidP="009F4A9B">
      <w:pPr>
        <w:rPr>
          <w:b/>
          <w:i/>
        </w:rPr>
      </w:pPr>
      <w:r w:rsidRPr="00834E4F">
        <w:rPr>
          <w:b/>
          <w:i/>
        </w:rPr>
        <w:t>Is data from the on-going studies in hepatic and r</w:t>
      </w:r>
      <w:r w:rsidR="00442B67" w:rsidRPr="00834E4F">
        <w:rPr>
          <w:b/>
          <w:i/>
        </w:rPr>
        <w:t>enal impairment now available?</w:t>
      </w:r>
    </w:p>
    <w:p w14:paraId="18D8686B" w14:textId="77777777" w:rsidR="006E0256" w:rsidRPr="00834E4F" w:rsidRDefault="006E0256" w:rsidP="00834E4F">
      <w:pPr>
        <w:pStyle w:val="Heading5"/>
        <w:rPr>
          <w:rFonts w:eastAsia="Cambria"/>
        </w:rPr>
      </w:pPr>
      <w:r w:rsidRPr="00834E4F">
        <w:rPr>
          <w:rFonts w:eastAsia="Cambria"/>
        </w:rPr>
        <w:t>Sponsor’s response</w:t>
      </w:r>
    </w:p>
    <w:p w14:paraId="668E842F" w14:textId="77777777" w:rsidR="00F30AD1" w:rsidRDefault="00DE4018" w:rsidP="006E0256">
      <w:r>
        <w:t>[I</w:t>
      </w:r>
      <w:r w:rsidR="004A1DF2">
        <w:t>nformation redacted]</w:t>
      </w:r>
    </w:p>
    <w:p w14:paraId="1B852992" w14:textId="46BD4861" w:rsidR="006E0256" w:rsidRPr="003B62D7" w:rsidRDefault="006E0256" w:rsidP="006E0256">
      <w:r w:rsidRPr="003B62D7">
        <w:t>The sponsor has u</w:t>
      </w:r>
      <w:r w:rsidR="00834E4F">
        <w:t>ndertaken a new analysis of non-</w:t>
      </w:r>
      <w:r w:rsidRPr="003B62D7">
        <w:t>compartmental kinetic data stratified by age for both single dose and steady state data. Stratification of C</w:t>
      </w:r>
      <w:r w:rsidRPr="00EF7CCE">
        <w:rPr>
          <w:vertAlign w:val="subscript"/>
        </w:rPr>
        <w:t>max</w:t>
      </w:r>
      <w:r w:rsidRPr="003B62D7">
        <w:t xml:space="preserve"> and AUC data by different age cohorts did not show any effect of age. This is concordant with the population PK analysis which also showed no effect of age on single or repeated dose PK. Age was not found to be a significant covariate in the </w:t>
      </w:r>
      <w:r w:rsidR="00842450">
        <w:t>E-R</w:t>
      </w:r>
      <w:r w:rsidRPr="003B62D7">
        <w:t xml:space="preserve"> models for the decline in </w:t>
      </w:r>
      <w:r w:rsidR="00A67620">
        <w:t>Hb</w:t>
      </w:r>
      <w:r w:rsidRPr="003B62D7">
        <w:t xml:space="preserve"> or increase in fatigue with increasing olaparib exposure.</w:t>
      </w:r>
    </w:p>
    <w:p w14:paraId="5E987D1C" w14:textId="77777777" w:rsidR="00CA1EAE" w:rsidRDefault="006E0256" w:rsidP="006E0256">
      <w:r w:rsidRPr="003B62D7">
        <w:t>The sponsor does not plan studies in severe renal or hepatic impai</w:t>
      </w:r>
      <w:r>
        <w:t xml:space="preserve">rment. Due to slow recruitment, </w:t>
      </w:r>
      <w:r w:rsidRPr="003B62D7">
        <w:t>a final report on moderate hepatic impairment is not available at this time</w:t>
      </w:r>
      <w:r w:rsidR="00CA1EAE">
        <w:t>.</w:t>
      </w:r>
    </w:p>
    <w:p w14:paraId="1B04886B" w14:textId="77777777" w:rsidR="006E0256" w:rsidRPr="00834E4F" w:rsidRDefault="00834E4F" w:rsidP="00834E4F">
      <w:pPr>
        <w:pStyle w:val="Heading5"/>
        <w:rPr>
          <w:rFonts w:eastAsia="Cambria"/>
        </w:rPr>
      </w:pPr>
      <w:r w:rsidRPr="00834E4F">
        <w:rPr>
          <w:rFonts w:eastAsia="Cambria"/>
        </w:rPr>
        <w:t>Evaluation of response</w:t>
      </w:r>
    </w:p>
    <w:p w14:paraId="17F24445" w14:textId="77777777" w:rsidR="00CA1EAE" w:rsidRDefault="006E0256" w:rsidP="006E0256">
      <w:pPr>
        <w:rPr>
          <w:lang w:eastAsia="ja-JP"/>
        </w:rPr>
      </w:pPr>
      <w:r>
        <w:rPr>
          <w:lang w:eastAsia="ja-JP"/>
        </w:rPr>
        <w:t>The sponsor’s response is satisfactory</w:t>
      </w:r>
      <w:r w:rsidR="00CA1EAE">
        <w:rPr>
          <w:lang w:eastAsia="ja-JP"/>
        </w:rPr>
        <w:t>.</w:t>
      </w:r>
    </w:p>
    <w:p w14:paraId="61F7FF01" w14:textId="1979C708" w:rsidR="005E0053" w:rsidRPr="00834E4F" w:rsidRDefault="005E0053" w:rsidP="005E0053">
      <w:pPr>
        <w:pStyle w:val="Heading4"/>
      </w:pPr>
      <w:r w:rsidRPr="00834E4F">
        <w:t>Question 2</w:t>
      </w:r>
    </w:p>
    <w:p w14:paraId="01FEB68A" w14:textId="77777777" w:rsidR="005E0053" w:rsidRPr="00834E4F" w:rsidRDefault="005E0053" w:rsidP="005E0053">
      <w:pPr>
        <w:rPr>
          <w:b/>
          <w:i/>
          <w:lang w:eastAsia="ja-JP"/>
        </w:rPr>
      </w:pPr>
      <w:r w:rsidRPr="00834E4F">
        <w:rPr>
          <w:b/>
          <w:i/>
          <w:lang w:eastAsia="ja-JP"/>
        </w:rPr>
        <w:t xml:space="preserve">In </w:t>
      </w:r>
      <w:r>
        <w:rPr>
          <w:b/>
          <w:i/>
          <w:lang w:eastAsia="ja-JP"/>
        </w:rPr>
        <w:t>Study 19</w:t>
      </w:r>
      <w:r w:rsidRPr="00834E4F">
        <w:rPr>
          <w:b/>
          <w:i/>
          <w:lang w:eastAsia="ja-JP"/>
        </w:rPr>
        <w:t xml:space="preserve">, 29.8% of patients recorded important protocol deviations relating to </w:t>
      </w:r>
      <w:r>
        <w:rPr>
          <w:b/>
          <w:i/>
          <w:lang w:eastAsia="ja-JP"/>
        </w:rPr>
        <w:t>Interactive Voice/Web Response System (</w:t>
      </w:r>
      <w:r w:rsidRPr="00834E4F">
        <w:rPr>
          <w:b/>
          <w:i/>
          <w:lang w:eastAsia="ja-JP"/>
        </w:rPr>
        <w:t>IVRS</w:t>
      </w:r>
      <w:r>
        <w:rPr>
          <w:b/>
          <w:i/>
          <w:lang w:eastAsia="ja-JP"/>
        </w:rPr>
        <w:t>)</w:t>
      </w:r>
      <w:r w:rsidRPr="00834E4F">
        <w:rPr>
          <w:b/>
          <w:i/>
          <w:lang w:eastAsia="ja-JP"/>
        </w:rPr>
        <w:t xml:space="preserve"> stratification errors with imbalance between the arms (olaparib 35.3%, placebo 24.0%). The </w:t>
      </w:r>
      <w:r>
        <w:rPr>
          <w:b/>
          <w:i/>
          <w:lang w:eastAsia="ja-JP"/>
        </w:rPr>
        <w:t>clinical study report</w:t>
      </w:r>
      <w:r w:rsidRPr="00834E4F">
        <w:rPr>
          <w:b/>
          <w:i/>
          <w:lang w:eastAsia="ja-JP"/>
        </w:rPr>
        <w:t xml:space="preserve"> states simply that the errors were corrected in the database by source data verification before the statistical analyses were performed. Please provide details of what stratification errors were made; how the errors were allowed to occur; and provide a more detailed description of the corrective actions taken.</w:t>
      </w:r>
    </w:p>
    <w:p w14:paraId="13E8979B" w14:textId="49E7D9F0" w:rsidR="007E3DA0" w:rsidRPr="00F30AD1" w:rsidRDefault="007E3DA0" w:rsidP="00F30AD1">
      <w:pPr>
        <w:pStyle w:val="Heading5"/>
      </w:pPr>
      <w:r w:rsidRPr="00834E4F">
        <w:rPr>
          <w:rFonts w:eastAsia="Cambria"/>
        </w:rPr>
        <w:t>Sponsor’s response</w:t>
      </w:r>
    </w:p>
    <w:p w14:paraId="0F1B8413" w14:textId="7AC0A9A3" w:rsidR="005E0053" w:rsidRDefault="005E0053" w:rsidP="006136D7">
      <w:pPr>
        <w:rPr>
          <w:lang w:eastAsia="ja-JP"/>
        </w:rPr>
      </w:pPr>
      <w:r>
        <w:rPr>
          <w:lang w:eastAsia="ja-JP"/>
        </w:rPr>
        <w:t>[Information redacted]</w:t>
      </w:r>
    </w:p>
    <w:p w14:paraId="16082AAB" w14:textId="77777777" w:rsidR="007E3DA0" w:rsidRPr="00834E4F" w:rsidRDefault="007E3DA0" w:rsidP="007E3DA0">
      <w:pPr>
        <w:pStyle w:val="Heading5"/>
        <w:rPr>
          <w:rFonts w:eastAsia="Cambria"/>
        </w:rPr>
      </w:pPr>
      <w:r>
        <w:rPr>
          <w:rFonts w:eastAsia="Cambria"/>
        </w:rPr>
        <w:lastRenderedPageBreak/>
        <w:t>Evaluation of response</w:t>
      </w:r>
    </w:p>
    <w:p w14:paraId="4C38C05C" w14:textId="2BA3ACBA" w:rsidR="007E3DA0" w:rsidRPr="00605AD4" w:rsidRDefault="007E3DA0" w:rsidP="006136D7">
      <w:pPr>
        <w:rPr>
          <w:lang w:eastAsia="ja-JP"/>
        </w:rPr>
      </w:pPr>
      <w:r>
        <w:rPr>
          <w:lang w:eastAsia="ja-JP"/>
        </w:rPr>
        <w:t>The sponsor’s response is satisfactory.</w:t>
      </w:r>
    </w:p>
    <w:p w14:paraId="74442EA8" w14:textId="044FA95B" w:rsidR="00605AD4" w:rsidRPr="00605AD4" w:rsidRDefault="00605AD4" w:rsidP="00546154">
      <w:pPr>
        <w:pStyle w:val="Heading3"/>
        <w:rPr>
          <w:rFonts w:eastAsia="Cambria"/>
        </w:rPr>
      </w:pPr>
      <w:bookmarkStart w:id="231" w:name="_Toc23326217"/>
      <w:r w:rsidRPr="00605AD4">
        <w:rPr>
          <w:rFonts w:eastAsia="Cambria"/>
        </w:rPr>
        <w:t xml:space="preserve">Second </w:t>
      </w:r>
      <w:r w:rsidR="00A46C84" w:rsidRPr="00605AD4">
        <w:rPr>
          <w:rFonts w:eastAsia="Cambria"/>
        </w:rPr>
        <w:t>round benefit-risk assessment</w:t>
      </w:r>
      <w:bookmarkEnd w:id="231"/>
    </w:p>
    <w:p w14:paraId="76BECAF4" w14:textId="1AE6C2DE" w:rsidR="006E0256" w:rsidRDefault="006E0256" w:rsidP="00842450">
      <w:pPr>
        <w:pStyle w:val="Heading4"/>
      </w:pPr>
      <w:bookmarkStart w:id="232" w:name="_Toc505155633"/>
      <w:r>
        <w:t xml:space="preserve">Second </w:t>
      </w:r>
      <w:r w:rsidR="00A46C84">
        <w:t>round assessment of benefits</w:t>
      </w:r>
      <w:bookmarkEnd w:id="232"/>
    </w:p>
    <w:p w14:paraId="107CF073" w14:textId="77777777" w:rsidR="006E0256" w:rsidRDefault="006E0256" w:rsidP="006E0256">
      <w:r>
        <w:t>No change to the first round assessment.</w:t>
      </w:r>
    </w:p>
    <w:p w14:paraId="24211E5B" w14:textId="2278C349" w:rsidR="006E0256" w:rsidRDefault="006E0256" w:rsidP="00842450">
      <w:pPr>
        <w:pStyle w:val="Heading4"/>
      </w:pPr>
      <w:bookmarkStart w:id="233" w:name="_Toc505155634"/>
      <w:r>
        <w:t xml:space="preserve">Second </w:t>
      </w:r>
      <w:r w:rsidR="00A46C84">
        <w:t>round assessment of risks</w:t>
      </w:r>
      <w:bookmarkEnd w:id="233"/>
    </w:p>
    <w:p w14:paraId="259653D7" w14:textId="77777777" w:rsidR="006E0256" w:rsidRDefault="006E0256" w:rsidP="006E0256">
      <w:r>
        <w:t>No change to the first round assessment.</w:t>
      </w:r>
    </w:p>
    <w:p w14:paraId="131B1D39" w14:textId="1A9E20F0" w:rsidR="006E0256" w:rsidRDefault="006E0256" w:rsidP="00842450">
      <w:pPr>
        <w:pStyle w:val="Heading4"/>
      </w:pPr>
      <w:bookmarkStart w:id="234" w:name="_Toc505155635"/>
      <w:r>
        <w:t xml:space="preserve">Second </w:t>
      </w:r>
      <w:r w:rsidR="00A46C84">
        <w:t>round assessment of benefit-risk assessment</w:t>
      </w:r>
      <w:bookmarkEnd w:id="234"/>
    </w:p>
    <w:p w14:paraId="123CDD71" w14:textId="77777777" w:rsidR="00605AD4" w:rsidRPr="00605AD4" w:rsidRDefault="006E0256" w:rsidP="00546154">
      <w:r>
        <w:t>No change to the first round ass</w:t>
      </w:r>
      <w:r w:rsidR="00842450">
        <w:t>essment.</w:t>
      </w:r>
    </w:p>
    <w:p w14:paraId="4407E156" w14:textId="77777777" w:rsidR="008E7846" w:rsidRPr="00E41208" w:rsidRDefault="008E7846" w:rsidP="00546154">
      <w:pPr>
        <w:pStyle w:val="Heading2"/>
      </w:pPr>
      <w:bookmarkStart w:id="235" w:name="_Toc23326218"/>
      <w:r w:rsidRPr="00E41208">
        <w:t>V</w:t>
      </w:r>
      <w:r w:rsidR="00500337">
        <w:t>I</w:t>
      </w:r>
      <w:r w:rsidRPr="00E41208">
        <w:t xml:space="preserve">. Pharmacovigilance </w:t>
      </w:r>
      <w:r>
        <w:t>f</w:t>
      </w:r>
      <w:r w:rsidRPr="00E41208">
        <w:t>indings</w:t>
      </w:r>
      <w:bookmarkEnd w:id="120"/>
      <w:bookmarkEnd w:id="121"/>
      <w:bookmarkEnd w:id="235"/>
    </w:p>
    <w:p w14:paraId="7D5C7D4D" w14:textId="6C7AFB90" w:rsidR="006E0256" w:rsidRDefault="009F26CF" w:rsidP="006E0256">
      <w:bookmarkStart w:id="236" w:name="_Toc247691526"/>
      <w:bookmarkStart w:id="237" w:name="_Toc314842509"/>
      <w:r>
        <w:t>A risk management plan (</w:t>
      </w:r>
      <w:r w:rsidR="006E0256">
        <w:t>RMP</w:t>
      </w:r>
      <w:r>
        <w:t>)</w:t>
      </w:r>
      <w:r w:rsidR="006E0256">
        <w:t xml:space="preserve"> evaluation report</w:t>
      </w:r>
      <w:r w:rsidR="006E0256" w:rsidRPr="0006199F">
        <w:t xml:space="preserve"> </w:t>
      </w:r>
      <w:r w:rsidR="006E0256">
        <w:t xml:space="preserve">was not produced since this was a </w:t>
      </w:r>
      <w:r w:rsidR="006E0256" w:rsidRPr="0006199F">
        <w:t xml:space="preserve">product with </w:t>
      </w:r>
      <w:r w:rsidR="006E0256">
        <w:t xml:space="preserve">an </w:t>
      </w:r>
      <w:r w:rsidR="00842450" w:rsidRPr="0006199F">
        <w:t>exis</w:t>
      </w:r>
      <w:r w:rsidR="00842450">
        <w:t>ting,</w:t>
      </w:r>
      <w:r w:rsidR="006E0256">
        <w:t xml:space="preserve"> previously evaluated RMP. W</w:t>
      </w:r>
      <w:r w:rsidR="006E0256" w:rsidRPr="008F33CA">
        <w:t xml:space="preserve">ording for an RMP condition of registration </w:t>
      </w:r>
      <w:r w:rsidR="006E0256">
        <w:t>was provided separately.</w:t>
      </w:r>
    </w:p>
    <w:p w14:paraId="603FE3BD" w14:textId="77777777" w:rsidR="008E7846" w:rsidRDefault="00386150" w:rsidP="008E7846">
      <w:pPr>
        <w:pStyle w:val="Heading3"/>
        <w:rPr>
          <w:lang w:eastAsia="en-AU"/>
        </w:rPr>
      </w:pPr>
      <w:bookmarkStart w:id="238" w:name="_Toc23326219"/>
      <w:r>
        <w:rPr>
          <w:lang w:eastAsia="en-AU"/>
        </w:rPr>
        <w:t>Risk m</w:t>
      </w:r>
      <w:r w:rsidR="008E7846">
        <w:rPr>
          <w:lang w:eastAsia="en-AU"/>
        </w:rPr>
        <w:t xml:space="preserve">anagement </w:t>
      </w:r>
      <w:r>
        <w:rPr>
          <w:lang w:eastAsia="en-AU"/>
        </w:rPr>
        <w:t>p</w:t>
      </w:r>
      <w:r w:rsidR="008E7846">
        <w:rPr>
          <w:lang w:eastAsia="en-AU"/>
        </w:rPr>
        <w:t>lan</w:t>
      </w:r>
      <w:bookmarkEnd w:id="236"/>
      <w:bookmarkEnd w:id="237"/>
      <w:bookmarkEnd w:id="238"/>
    </w:p>
    <w:p w14:paraId="0E10B1BD" w14:textId="77777777" w:rsidR="006E0256" w:rsidRPr="00BB4B51" w:rsidRDefault="006E0256" w:rsidP="006E0256">
      <w:pPr>
        <w:pStyle w:val="Heading4"/>
      </w:pPr>
      <w:bookmarkStart w:id="239" w:name="_Toc247691527"/>
      <w:bookmarkStart w:id="240" w:name="_Toc314842510"/>
      <w:r>
        <w:t>Proposed wording for conditions of registration</w:t>
      </w:r>
    </w:p>
    <w:p w14:paraId="317F5E9A" w14:textId="77777777" w:rsidR="00456765" w:rsidRPr="00D31393" w:rsidRDefault="006E0256" w:rsidP="006E0256">
      <w:pPr>
        <w:pStyle w:val="ListBullet"/>
        <w:numPr>
          <w:ilvl w:val="0"/>
          <w:numId w:val="0"/>
        </w:numPr>
      </w:pPr>
      <w:r w:rsidRPr="008C30C7">
        <w:t>The L</w:t>
      </w:r>
      <w:r>
        <w:t>ynparza</w:t>
      </w:r>
      <w:r w:rsidRPr="008C30C7">
        <w:t xml:space="preserve"> Core RMP (version 5.0, dated 12 July 2017, data lock point 15 December 2016), with Australian Specific Annex (version 5.0, dated 11 August 2017) that </w:t>
      </w:r>
      <w:r w:rsidR="00D7040B">
        <w:t>was</w:t>
      </w:r>
      <w:r w:rsidRPr="008C30C7">
        <w:t xml:space="preserve"> included with a concurren</w:t>
      </w:r>
      <w:r>
        <w:t>t submission</w:t>
      </w:r>
      <w:r w:rsidRPr="008C30C7">
        <w:t>, to be revised to the satisfaction of the TGA, must be implemented.</w:t>
      </w:r>
    </w:p>
    <w:p w14:paraId="7E5D0399" w14:textId="77777777" w:rsidR="008E7846" w:rsidRPr="00792A32" w:rsidRDefault="008E7846" w:rsidP="008E7846">
      <w:pPr>
        <w:pStyle w:val="Heading2"/>
      </w:pPr>
      <w:bookmarkStart w:id="241" w:name="_Toc23326220"/>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2"/>
      <w:bookmarkEnd w:id="239"/>
      <w:bookmarkEnd w:id="240"/>
      <w:bookmarkEnd w:id="241"/>
    </w:p>
    <w:p w14:paraId="515FF3A0" w14:textId="77777777" w:rsidR="008E7846" w:rsidRDefault="008E7846" w:rsidP="008E7846">
      <w:bookmarkStart w:id="242" w:name="_Toc247691528"/>
      <w:r>
        <w:t xml:space="preserve">The submission was summarised in the following </w:t>
      </w:r>
      <w:r w:rsidRPr="00EF5C48">
        <w:t xml:space="preserve">Delegate’s </w:t>
      </w:r>
      <w:r>
        <w:t>overview</w:t>
      </w:r>
      <w:r w:rsidRPr="00EF5C48">
        <w:t xml:space="preserve"> and recommendation</w:t>
      </w:r>
      <w:r w:rsidR="006E0256">
        <w:t>s.</w:t>
      </w:r>
    </w:p>
    <w:p w14:paraId="69122274" w14:textId="77777777" w:rsidR="00D975B3" w:rsidRDefault="00D975B3" w:rsidP="00D975B3">
      <w:pPr>
        <w:pStyle w:val="Heading3"/>
      </w:pPr>
      <w:bookmarkStart w:id="243" w:name="_Toc23326221"/>
      <w:r>
        <w:t>Background</w:t>
      </w:r>
      <w:bookmarkEnd w:id="243"/>
    </w:p>
    <w:p w14:paraId="77C0BA77" w14:textId="77777777" w:rsidR="00D865BD" w:rsidRDefault="00D865BD" w:rsidP="00D865BD">
      <w:pPr>
        <w:pStyle w:val="Heading4"/>
      </w:pPr>
      <w:bookmarkStart w:id="244" w:name="_Toc314842511"/>
      <w:r>
        <w:t>Condition</w:t>
      </w:r>
    </w:p>
    <w:p w14:paraId="37BE70E0" w14:textId="0E8874FB" w:rsidR="00D865BD" w:rsidRPr="00C105D7" w:rsidRDefault="00D865BD" w:rsidP="00D865BD">
      <w:pPr>
        <w:pStyle w:val="ListBullet"/>
        <w:numPr>
          <w:ilvl w:val="0"/>
          <w:numId w:val="0"/>
        </w:numPr>
      </w:pPr>
      <w:r>
        <w:t xml:space="preserve">The 5 </w:t>
      </w:r>
      <w:r w:rsidRPr="00C105D7">
        <w:t>year overall survival of ovarian cancer patients is about 50% across all stages and &lt;</w:t>
      </w:r>
      <w:r>
        <w:t> </w:t>
      </w:r>
      <w:r w:rsidRPr="00C105D7">
        <w:t>30% in patients with advanced or metastatic disease (</w:t>
      </w:r>
      <w:r w:rsidR="00617EB3">
        <w:t>S</w:t>
      </w:r>
      <w:r w:rsidR="00617EB3" w:rsidRPr="00C105D7">
        <w:t xml:space="preserve">tage </w:t>
      </w:r>
      <w:r w:rsidRPr="00C105D7">
        <w:t>III/IV)</w:t>
      </w:r>
      <w:r>
        <w:t xml:space="preserve">. </w:t>
      </w:r>
      <w:r w:rsidRPr="00C105D7">
        <w:t>Ovarian cancer is predominantly a d</w:t>
      </w:r>
      <w:r>
        <w:t xml:space="preserve">isease of postmenopausal women. </w:t>
      </w:r>
      <w:r w:rsidRPr="00C105D7">
        <w:t>The majority of women in variou</w:t>
      </w:r>
      <w:r>
        <w:t xml:space="preserve">s clinical trials have had high </w:t>
      </w:r>
      <w:r w:rsidRPr="00C105D7">
        <w:t>grade epithelial (usually serous) ovarian cancer</w:t>
      </w:r>
      <w:r>
        <w:t xml:space="preserve">. </w:t>
      </w:r>
      <w:r w:rsidRPr="00C105D7">
        <w:t>About 70% of women with ovarian cancer have advanced or metastatic disease (which includes local pelvic extension) at diagnosis.</w:t>
      </w:r>
    </w:p>
    <w:p w14:paraId="1FFD0EC7" w14:textId="771C6073" w:rsidR="00D865BD" w:rsidRPr="00C105D7" w:rsidRDefault="00D865BD" w:rsidP="00D865BD">
      <w:pPr>
        <w:pStyle w:val="ListBullet"/>
        <w:numPr>
          <w:ilvl w:val="0"/>
          <w:numId w:val="0"/>
        </w:numPr>
      </w:pPr>
      <w:r w:rsidRPr="00C105D7">
        <w:t>Most women have primary debulking surgery</w:t>
      </w:r>
      <w:r>
        <w:t xml:space="preserve">, followed by adjuvant platinum </w:t>
      </w:r>
      <w:r w:rsidRPr="00C105D7">
        <w:t>based chemotherapy</w:t>
      </w:r>
      <w:r>
        <w:t xml:space="preserve">. </w:t>
      </w:r>
      <w:r w:rsidRPr="00C105D7">
        <w:t>Respo</w:t>
      </w:r>
      <w:r>
        <w:t xml:space="preserve">nse rates are high in the first </w:t>
      </w:r>
      <w:r w:rsidRPr="00C105D7">
        <w:t xml:space="preserve">line setting (depending on the extent of </w:t>
      </w:r>
      <w:r w:rsidRPr="00C105D7">
        <w:lastRenderedPageBreak/>
        <w:t xml:space="preserve">post-surgical residual disease), but most women experience disease recurrence </w:t>
      </w:r>
      <w:r>
        <w:t>within 2</w:t>
      </w:r>
      <w:r w:rsidR="00617EB3">
        <w:t> </w:t>
      </w:r>
      <w:r>
        <w:t xml:space="preserve">years and die within 3 to </w:t>
      </w:r>
      <w:r w:rsidRPr="00C105D7">
        <w:t>4 years of diagnosis (</w:t>
      </w:r>
      <w:r>
        <w:t>that is</w:t>
      </w:r>
      <w:r w:rsidRPr="00C105D7">
        <w:t>, recurrent ovarian cancer is incurable, with currently available treatments)</w:t>
      </w:r>
      <w:r>
        <w:t xml:space="preserve">. </w:t>
      </w:r>
      <w:r w:rsidRPr="00C105D7">
        <w:t>Women with ovarian cancer typically experience multiple recurrences and receive multiple lines of chemotherapy over the course of their disease.</w:t>
      </w:r>
    </w:p>
    <w:p w14:paraId="4A2CB41F" w14:textId="77777777" w:rsidR="00D865BD" w:rsidRDefault="00D865BD" w:rsidP="00D865BD">
      <w:pPr>
        <w:pStyle w:val="ListBullet"/>
        <w:numPr>
          <w:ilvl w:val="0"/>
          <w:numId w:val="0"/>
        </w:numPr>
      </w:pPr>
      <w:r w:rsidRPr="00C105D7">
        <w:t>The choice of subsequent therapies is based on the interval between the last platinum regimen and recurrence (platinum free interval: PFI). If PFI</w:t>
      </w:r>
      <w:r>
        <w:t xml:space="preserve"> </w:t>
      </w:r>
      <w:r w:rsidRPr="00C105D7">
        <w:t>&gt;</w:t>
      </w:r>
      <w:r>
        <w:t xml:space="preserve"> </w:t>
      </w:r>
      <w:r w:rsidRPr="00C105D7">
        <w:t>6 months, the woman’s disease is call</w:t>
      </w:r>
      <w:r>
        <w:t xml:space="preserve">ed platinum </w:t>
      </w:r>
      <w:r w:rsidRPr="00C105D7">
        <w:t>sensitive an</w:t>
      </w:r>
      <w:r>
        <w:t xml:space="preserve">d she receives further platinum </w:t>
      </w:r>
      <w:r w:rsidRPr="00C105D7">
        <w:t>based therapy</w:t>
      </w:r>
      <w:r>
        <w:t>.</w:t>
      </w:r>
    </w:p>
    <w:p w14:paraId="3006DC35" w14:textId="77777777" w:rsidR="00D865BD" w:rsidRPr="00FE5662" w:rsidRDefault="00D865BD" w:rsidP="00D865BD">
      <w:pPr>
        <w:pStyle w:val="Heading5"/>
      </w:pPr>
      <w:r w:rsidRPr="00FE5662">
        <w:t>Germline and somatic BRCA mutations</w:t>
      </w:r>
    </w:p>
    <w:p w14:paraId="123ABA05" w14:textId="77777777" w:rsidR="00D865BD" w:rsidRDefault="00D865BD" w:rsidP="00D865BD">
      <w:pPr>
        <w:pStyle w:val="ListBullet"/>
        <w:numPr>
          <w:ilvl w:val="0"/>
          <w:numId w:val="0"/>
        </w:numPr>
      </w:pPr>
      <w:r w:rsidRPr="00C105D7">
        <w:t>About 15% of women with ovarian cancer have a germline BRCA mutation</w:t>
      </w:r>
      <w:r>
        <w:t xml:space="preserve">. </w:t>
      </w:r>
      <w:r w:rsidRPr="00C105D7">
        <w:t xml:space="preserve">Perhaps another 5% have a somatic </w:t>
      </w:r>
      <w:r>
        <w:t>BRCA</w:t>
      </w:r>
      <w:r w:rsidRPr="00C105D7">
        <w:t xml:space="preserve"> mutation</w:t>
      </w:r>
      <w:r>
        <w:t>.</w:t>
      </w:r>
    </w:p>
    <w:p w14:paraId="71FF0058" w14:textId="477351A3" w:rsidR="00D865BD" w:rsidRDefault="00D865BD" w:rsidP="00D865BD">
      <w:pPr>
        <w:pStyle w:val="ListBullet"/>
        <w:numPr>
          <w:ilvl w:val="0"/>
          <w:numId w:val="0"/>
        </w:numPr>
      </w:pPr>
      <w:r>
        <w:t xml:space="preserve">Platinum sensitive, high </w:t>
      </w:r>
      <w:r w:rsidRPr="00FE5662">
        <w:t>grade, recurrent ovarian cancers are more likely to be BRCA pos</w:t>
      </w:r>
      <w:r>
        <w:t>itive. For example, in Study 19</w:t>
      </w:r>
      <w:r w:rsidR="00617EB3">
        <w:t>,</w:t>
      </w:r>
      <w:r>
        <w:t xml:space="preserve"> 136 out of </w:t>
      </w:r>
      <w:r w:rsidRPr="00FE5662">
        <w:t>265 (51%) of women were BRCA positive, including 18 (7%) with a somatic (tumour) mutation without a reported germline mutation.</w:t>
      </w:r>
    </w:p>
    <w:p w14:paraId="5EBD2874" w14:textId="77777777" w:rsidR="00D865BD" w:rsidRPr="00FE5662" w:rsidRDefault="00D865BD" w:rsidP="00D865BD">
      <w:pPr>
        <w:pStyle w:val="Heading4"/>
      </w:pPr>
      <w:r w:rsidRPr="00FE5662">
        <w:t>Current treatment options</w:t>
      </w:r>
    </w:p>
    <w:p w14:paraId="19C5C6FB" w14:textId="77777777" w:rsidR="00D865BD" w:rsidRDefault="00D865BD" w:rsidP="00D865BD">
      <w:pPr>
        <w:pStyle w:val="ListBullet"/>
        <w:numPr>
          <w:ilvl w:val="0"/>
          <w:numId w:val="0"/>
        </w:numPr>
      </w:pPr>
      <w:r w:rsidRPr="00C105D7">
        <w:t>The proposed indication for olaparib is maintenance tr</w:t>
      </w:r>
      <w:r>
        <w:t xml:space="preserve">eatment for women with platinum </w:t>
      </w:r>
      <w:r w:rsidRPr="00C105D7">
        <w:t xml:space="preserve">sensitive recurrent epithelial ovarian, fallopian tube, or primary peritoneal cancer, who are in a complete </w:t>
      </w:r>
      <w:r>
        <w:t xml:space="preserve">or partial response to platinum </w:t>
      </w:r>
      <w:r w:rsidRPr="00C105D7">
        <w:t>based chemotherapy</w:t>
      </w:r>
      <w:r>
        <w:t>.</w:t>
      </w:r>
    </w:p>
    <w:p w14:paraId="536F40AE" w14:textId="77777777" w:rsidR="00D865BD" w:rsidRDefault="00D865BD" w:rsidP="00D865BD">
      <w:pPr>
        <w:pStyle w:val="ListBullet"/>
        <w:numPr>
          <w:ilvl w:val="0"/>
          <w:numId w:val="0"/>
        </w:numPr>
      </w:pPr>
      <w:r w:rsidRPr="00C105D7">
        <w:t>Bevacizumab is approved in a similar setting. However, the administration of bevacizumab differs from that of olaparib in that bevacizumab is administered in combination with chemotherapy, and is then continued as a single agent in patients who are in response (compl</w:t>
      </w:r>
      <w:r>
        <w:t xml:space="preserve">ete or partial) at the end of 6 to </w:t>
      </w:r>
      <w:r w:rsidRPr="00C105D7">
        <w:t>8 cycles of chemotherapy, as maintenance</w:t>
      </w:r>
      <w:r>
        <w:t>.</w:t>
      </w:r>
    </w:p>
    <w:p w14:paraId="6E114792" w14:textId="77777777" w:rsidR="00D865BD" w:rsidRPr="00C105D7" w:rsidRDefault="00D865BD" w:rsidP="00D865BD">
      <w:pPr>
        <w:pStyle w:val="ListBullet"/>
        <w:numPr>
          <w:ilvl w:val="0"/>
          <w:numId w:val="0"/>
        </w:numPr>
      </w:pPr>
      <w:r w:rsidRPr="00C105D7">
        <w:t>Other PARP inhibitors (niraparib, rucaparib) are approved in some other countr</w:t>
      </w:r>
      <w:r>
        <w:t xml:space="preserve">ies for use in ovarian cancer. </w:t>
      </w:r>
      <w:r w:rsidRPr="00C105D7">
        <w:t>They do not currently have marketing approval in Australia. PARP inhibitors in clinical development include veliparib and talazoparib.</w:t>
      </w:r>
    </w:p>
    <w:p w14:paraId="27F3AF9D" w14:textId="77777777" w:rsidR="00D865BD" w:rsidRDefault="00D865BD" w:rsidP="00D865BD">
      <w:pPr>
        <w:pStyle w:val="ListBullet"/>
        <w:numPr>
          <w:ilvl w:val="0"/>
          <w:numId w:val="0"/>
        </w:numPr>
      </w:pPr>
      <w:r w:rsidRPr="00C105D7">
        <w:t>Because recurrent ovarian cancer is an incurable disease, the aim of management is to balance multiple lines of treatment with acceptable toxicity and quality of life.</w:t>
      </w:r>
    </w:p>
    <w:p w14:paraId="4AA4F260" w14:textId="77777777" w:rsidR="008E7846" w:rsidRDefault="008E7846" w:rsidP="008E7846">
      <w:pPr>
        <w:pStyle w:val="Heading3"/>
      </w:pPr>
      <w:bookmarkStart w:id="245" w:name="_Toc23326222"/>
      <w:r>
        <w:t>Quality</w:t>
      </w:r>
      <w:bookmarkEnd w:id="242"/>
      <w:bookmarkEnd w:id="244"/>
      <w:bookmarkEnd w:id="245"/>
    </w:p>
    <w:p w14:paraId="34F32CA2" w14:textId="3E1C0F06" w:rsidR="006E0256" w:rsidRPr="00E93C8D" w:rsidRDefault="004A1DF2" w:rsidP="006E0256">
      <w:bookmarkStart w:id="246" w:name="_Toc314842512"/>
      <w:r w:rsidRPr="00E93C8D">
        <w:t xml:space="preserve">Minor </w:t>
      </w:r>
      <w:r>
        <w:t xml:space="preserve">quality </w:t>
      </w:r>
      <w:r w:rsidRPr="00E93C8D">
        <w:t>issues are being finalised separately but will not delay clinical consideration of the application.</w:t>
      </w:r>
      <w:r>
        <w:rPr>
          <w:rStyle w:val="FootnoteReference"/>
        </w:rPr>
        <w:footnoteReference w:id="12"/>
      </w:r>
    </w:p>
    <w:p w14:paraId="700421EF" w14:textId="77777777" w:rsidR="008E7846" w:rsidRDefault="008E7846" w:rsidP="008E7846">
      <w:pPr>
        <w:pStyle w:val="Heading3"/>
      </w:pPr>
      <w:bookmarkStart w:id="247" w:name="_Toc23326223"/>
      <w:r>
        <w:t>Nonclinical</w:t>
      </w:r>
      <w:bookmarkEnd w:id="246"/>
      <w:bookmarkEnd w:id="247"/>
    </w:p>
    <w:p w14:paraId="6996BAEB" w14:textId="77777777" w:rsidR="006E0256" w:rsidRDefault="006E0256" w:rsidP="006E0256">
      <w:pPr>
        <w:rPr>
          <w:lang w:eastAsia="en-AU"/>
        </w:rPr>
      </w:pPr>
      <w:bookmarkStart w:id="248" w:name="_Toc247691530"/>
      <w:bookmarkStart w:id="249" w:name="_Toc314842513"/>
      <w:r>
        <w:rPr>
          <w:lang w:eastAsia="en-AU"/>
        </w:rPr>
        <w:t>The nonclinical evaluator had no objections to registration of the tablets.</w:t>
      </w:r>
    </w:p>
    <w:p w14:paraId="568DB531" w14:textId="77777777" w:rsidR="008E7846" w:rsidRDefault="008E7846" w:rsidP="008E7846">
      <w:pPr>
        <w:pStyle w:val="Heading3"/>
      </w:pPr>
      <w:bookmarkStart w:id="250" w:name="_Toc23326224"/>
      <w:r>
        <w:t>Clinical</w:t>
      </w:r>
      <w:bookmarkEnd w:id="248"/>
      <w:bookmarkEnd w:id="249"/>
      <w:bookmarkEnd w:id="250"/>
    </w:p>
    <w:p w14:paraId="156D0141" w14:textId="77777777" w:rsidR="006E0256" w:rsidRPr="00477B1F" w:rsidRDefault="006E0256" w:rsidP="006E0256">
      <w:pPr>
        <w:pStyle w:val="Heading4"/>
        <w:rPr>
          <w:lang w:eastAsia="en-AU"/>
        </w:rPr>
      </w:pPr>
      <w:bookmarkStart w:id="251" w:name="_Toc314842514"/>
      <w:r>
        <w:rPr>
          <w:lang w:eastAsia="en-AU"/>
        </w:rPr>
        <w:t>Pharmacology</w:t>
      </w:r>
    </w:p>
    <w:p w14:paraId="11D5D609" w14:textId="77777777" w:rsidR="006E0256" w:rsidRDefault="006E0256" w:rsidP="006E0256">
      <w:pPr>
        <w:rPr>
          <w:lang w:eastAsia="en-AU"/>
        </w:rPr>
      </w:pPr>
      <w:r>
        <w:rPr>
          <w:lang w:eastAsia="en-AU"/>
        </w:rPr>
        <w:t>Key issues were:</w:t>
      </w:r>
    </w:p>
    <w:p w14:paraId="5380CC51" w14:textId="77777777" w:rsidR="006E0256" w:rsidRPr="00842450" w:rsidRDefault="006E0256" w:rsidP="00842450">
      <w:pPr>
        <w:pStyle w:val="ListBullet"/>
      </w:pPr>
      <w:r w:rsidRPr="00842450">
        <w:t>Bioavailability of the tablet versus the capsule</w:t>
      </w:r>
      <w:r w:rsidR="005551C6">
        <w:t>.</w:t>
      </w:r>
    </w:p>
    <w:p w14:paraId="0F2B3059" w14:textId="77777777" w:rsidR="006E0256" w:rsidRPr="00842450" w:rsidRDefault="006E0256" w:rsidP="00842450">
      <w:pPr>
        <w:pStyle w:val="ListBullet"/>
      </w:pPr>
      <w:r w:rsidRPr="00842450">
        <w:lastRenderedPageBreak/>
        <w:t>Dose adjustment in women with renal or hepatic impairment</w:t>
      </w:r>
      <w:r w:rsidR="005551C6">
        <w:t>.</w:t>
      </w:r>
    </w:p>
    <w:p w14:paraId="06EA6F8C" w14:textId="77777777" w:rsidR="006E0256" w:rsidRPr="00842450" w:rsidRDefault="006E0256" w:rsidP="00842450">
      <w:pPr>
        <w:pStyle w:val="ListBullet"/>
      </w:pPr>
      <w:r w:rsidRPr="00842450">
        <w:t xml:space="preserve">Dose adjustment due to </w:t>
      </w:r>
      <w:r w:rsidR="000A0DC3">
        <w:t>DDI</w:t>
      </w:r>
      <w:r w:rsidR="005551C6">
        <w:t>.</w:t>
      </w:r>
    </w:p>
    <w:p w14:paraId="6AC5FD96" w14:textId="5C438F15" w:rsidR="006E0256" w:rsidRDefault="006E0256" w:rsidP="00842450">
      <w:pPr>
        <w:rPr>
          <w:lang w:eastAsia="en-AU"/>
        </w:rPr>
      </w:pPr>
      <w:r>
        <w:rPr>
          <w:lang w:eastAsia="en-AU"/>
        </w:rPr>
        <w:t xml:space="preserve">A tablet formulation was developed for the Phase III </w:t>
      </w:r>
      <w:r w:rsidR="00205AC8">
        <w:rPr>
          <w:lang w:eastAsia="en-AU"/>
        </w:rPr>
        <w:t>SOLO-2</w:t>
      </w:r>
      <w:r>
        <w:rPr>
          <w:lang w:eastAsia="en-AU"/>
        </w:rPr>
        <w:t xml:space="preserve"> </w:t>
      </w:r>
      <w:r w:rsidR="00617EB3">
        <w:rPr>
          <w:lang w:eastAsia="en-AU"/>
        </w:rPr>
        <w:t>trial</w:t>
      </w:r>
      <w:r>
        <w:rPr>
          <w:lang w:eastAsia="en-AU"/>
        </w:rPr>
        <w:t xml:space="preserve">. It is not unusual for </w:t>
      </w:r>
      <w:r w:rsidR="00842450">
        <w:rPr>
          <w:lang w:eastAsia="en-AU"/>
        </w:rPr>
        <w:t>capsules to be used in Phase I/II</w:t>
      </w:r>
      <w:r>
        <w:rPr>
          <w:lang w:eastAsia="en-AU"/>
        </w:rPr>
        <w:t xml:space="preserve"> studies and tablets used in Phase III studies.</w:t>
      </w:r>
    </w:p>
    <w:p w14:paraId="489E5861" w14:textId="77777777" w:rsidR="006E0256" w:rsidRDefault="001F00F8" w:rsidP="00842450">
      <w:pPr>
        <w:rPr>
          <w:lang w:eastAsia="en-AU"/>
        </w:rPr>
      </w:pPr>
      <w:r>
        <w:rPr>
          <w:lang w:eastAsia="en-AU"/>
        </w:rPr>
        <w:t xml:space="preserve">Study </w:t>
      </w:r>
      <w:r w:rsidR="006E0256">
        <w:rPr>
          <w:lang w:eastAsia="en-AU"/>
        </w:rPr>
        <w:t>24 was an adaptive Phase I study in patients with advanced solid tumours.</w:t>
      </w:r>
      <w:r w:rsidR="006E0256">
        <w:rPr>
          <w:rStyle w:val="FootnoteReference"/>
          <w:lang w:eastAsia="en-AU"/>
        </w:rPr>
        <w:footnoteReference w:id="13"/>
      </w:r>
      <w:r w:rsidR="006E0256">
        <w:rPr>
          <w:lang w:eastAsia="en-AU"/>
        </w:rPr>
        <w:t xml:space="preserve"> The mean steady state C</w:t>
      </w:r>
      <w:r w:rsidR="006E0256" w:rsidRPr="00695CB5">
        <w:rPr>
          <w:vertAlign w:val="subscript"/>
          <w:lang w:eastAsia="en-AU"/>
        </w:rPr>
        <w:t>max</w:t>
      </w:r>
      <w:r w:rsidR="006E0256">
        <w:rPr>
          <w:lang w:eastAsia="en-AU"/>
        </w:rPr>
        <w:t>, C</w:t>
      </w:r>
      <w:r w:rsidR="006E0256" w:rsidRPr="00695CB5">
        <w:rPr>
          <w:vertAlign w:val="subscript"/>
          <w:lang w:eastAsia="en-AU"/>
        </w:rPr>
        <w:t>min</w:t>
      </w:r>
      <w:r w:rsidR="006E0256">
        <w:rPr>
          <w:lang w:eastAsia="en-AU"/>
        </w:rPr>
        <w:t xml:space="preserve">, and AUC were 1.3 to 1.7 times higher with the 300 mg tablet </w:t>
      </w:r>
      <w:r w:rsidR="00C920E8">
        <w:rPr>
          <w:lang w:eastAsia="en-AU"/>
        </w:rPr>
        <w:t>BID</w:t>
      </w:r>
      <w:r w:rsidR="006E0256">
        <w:rPr>
          <w:lang w:eastAsia="en-AU"/>
        </w:rPr>
        <w:t xml:space="preserve"> than the 400 mg capsules </w:t>
      </w:r>
      <w:r w:rsidR="00C920E8">
        <w:rPr>
          <w:lang w:eastAsia="en-AU"/>
        </w:rPr>
        <w:t>BID</w:t>
      </w:r>
      <w:r w:rsidR="006E0256">
        <w:rPr>
          <w:lang w:eastAsia="en-AU"/>
        </w:rPr>
        <w:t>.</w:t>
      </w:r>
    </w:p>
    <w:p w14:paraId="7DB168DC" w14:textId="3A5E1C60" w:rsidR="006E0256" w:rsidRDefault="00695CB5" w:rsidP="00842450">
      <w:pPr>
        <w:rPr>
          <w:lang w:eastAsia="en-AU"/>
        </w:rPr>
      </w:pPr>
      <w:r>
        <w:rPr>
          <w:lang w:eastAsia="en-AU"/>
        </w:rPr>
        <w:t xml:space="preserve">An integrated population </w:t>
      </w:r>
      <w:r w:rsidR="006E0256">
        <w:rPr>
          <w:lang w:eastAsia="en-AU"/>
        </w:rPr>
        <w:t xml:space="preserve">PK analysis (including data from </w:t>
      </w:r>
      <w:r w:rsidR="00617EB3">
        <w:rPr>
          <w:lang w:eastAsia="en-AU"/>
        </w:rPr>
        <w:t xml:space="preserve">the </w:t>
      </w:r>
      <w:r w:rsidR="00205AC8">
        <w:rPr>
          <w:lang w:eastAsia="en-AU"/>
        </w:rPr>
        <w:t>SOLO-2</w:t>
      </w:r>
      <w:r w:rsidR="00617EB3">
        <w:rPr>
          <w:lang w:eastAsia="en-AU"/>
        </w:rPr>
        <w:t xml:space="preserve"> trial</w:t>
      </w:r>
      <w:r w:rsidR="006E0256">
        <w:rPr>
          <w:lang w:eastAsia="en-AU"/>
        </w:rPr>
        <w:t>) also showed higher bioavailability of the tablet versus the capsule.</w:t>
      </w:r>
    </w:p>
    <w:p w14:paraId="1A10C825" w14:textId="6A3E70A7" w:rsidR="006E0256" w:rsidRDefault="00617EB3" w:rsidP="00842450">
      <w:pPr>
        <w:rPr>
          <w:lang w:eastAsia="en-AU"/>
        </w:rPr>
      </w:pPr>
      <w:r>
        <w:rPr>
          <w:lang w:eastAsia="en-AU"/>
        </w:rPr>
        <w:t xml:space="preserve">The </w:t>
      </w:r>
      <w:r w:rsidR="00205AC8">
        <w:rPr>
          <w:lang w:eastAsia="en-AU"/>
        </w:rPr>
        <w:t>SOLO-2</w:t>
      </w:r>
      <w:r w:rsidR="006E0256">
        <w:rPr>
          <w:lang w:eastAsia="en-AU"/>
        </w:rPr>
        <w:t xml:space="preserve"> </w:t>
      </w:r>
      <w:r>
        <w:rPr>
          <w:lang w:eastAsia="en-AU"/>
        </w:rPr>
        <w:t xml:space="preserve">trial </w:t>
      </w:r>
      <w:r w:rsidR="006E0256">
        <w:rPr>
          <w:lang w:eastAsia="en-AU"/>
        </w:rPr>
        <w:t xml:space="preserve">showed that benefit-risk balance of the olaparib tablets (300 mg </w:t>
      </w:r>
      <w:r w:rsidR="00C920E8">
        <w:rPr>
          <w:lang w:eastAsia="en-AU"/>
        </w:rPr>
        <w:t>BID</w:t>
      </w:r>
      <w:r w:rsidR="006E0256">
        <w:rPr>
          <w:lang w:eastAsia="en-AU"/>
        </w:rPr>
        <w:t xml:space="preserve">) was positive; similar to the results from </w:t>
      </w:r>
      <w:r w:rsidR="001F00F8">
        <w:rPr>
          <w:lang w:eastAsia="en-AU"/>
        </w:rPr>
        <w:t>Study 19</w:t>
      </w:r>
      <w:r w:rsidR="006E0256">
        <w:rPr>
          <w:lang w:eastAsia="en-AU"/>
        </w:rPr>
        <w:t xml:space="preserve">, which used the capsules (400 mg </w:t>
      </w:r>
      <w:r w:rsidR="00C920E8">
        <w:rPr>
          <w:lang w:eastAsia="en-AU"/>
        </w:rPr>
        <w:t>BID</w:t>
      </w:r>
      <w:r w:rsidR="006E0256">
        <w:rPr>
          <w:lang w:eastAsia="en-AU"/>
        </w:rPr>
        <w:t xml:space="preserve">); although there were more treatment discontinuations due to AEs in </w:t>
      </w:r>
      <w:r>
        <w:rPr>
          <w:lang w:eastAsia="en-AU"/>
        </w:rPr>
        <w:t xml:space="preserve">the </w:t>
      </w:r>
      <w:r w:rsidR="00205AC8">
        <w:rPr>
          <w:lang w:eastAsia="en-AU"/>
        </w:rPr>
        <w:t>SOLO-2</w:t>
      </w:r>
      <w:r>
        <w:rPr>
          <w:lang w:eastAsia="en-AU"/>
        </w:rPr>
        <w:t xml:space="preserve"> trial</w:t>
      </w:r>
      <w:r w:rsidR="006E0256">
        <w:rPr>
          <w:lang w:eastAsia="en-AU"/>
        </w:rPr>
        <w:t xml:space="preserve"> versus </w:t>
      </w:r>
      <w:r w:rsidR="001F00F8">
        <w:rPr>
          <w:lang w:eastAsia="en-AU"/>
        </w:rPr>
        <w:t>Study</w:t>
      </w:r>
      <w:r>
        <w:rPr>
          <w:lang w:eastAsia="en-AU"/>
        </w:rPr>
        <w:t> </w:t>
      </w:r>
      <w:r w:rsidR="001F00F8">
        <w:rPr>
          <w:lang w:eastAsia="en-AU"/>
        </w:rPr>
        <w:t>19</w:t>
      </w:r>
      <w:r w:rsidR="006E0256">
        <w:rPr>
          <w:lang w:eastAsia="en-AU"/>
        </w:rPr>
        <w:t xml:space="preserve"> (11% versus 4%)</w:t>
      </w:r>
      <w:r w:rsidR="0003324E">
        <w:rPr>
          <w:lang w:eastAsia="en-AU"/>
        </w:rPr>
        <w:t>, perhaps reflecting the higher bioavailability.</w:t>
      </w:r>
      <w:r w:rsidR="006E0256">
        <w:rPr>
          <w:lang w:eastAsia="en-AU"/>
        </w:rPr>
        <w:t>.</w:t>
      </w:r>
    </w:p>
    <w:p w14:paraId="10DAEF9D" w14:textId="77777777" w:rsidR="006E0256" w:rsidRDefault="006E0256" w:rsidP="00842450">
      <w:pPr>
        <w:rPr>
          <w:lang w:eastAsia="en-AU"/>
        </w:rPr>
      </w:pPr>
      <w:r>
        <w:rPr>
          <w:lang w:eastAsia="en-AU"/>
        </w:rPr>
        <w:t>A dedicated hepatic impairment study showed that no dose adjustment is needed in patients with mild hepatic impairment (Child-Pugh A).</w:t>
      </w:r>
    </w:p>
    <w:p w14:paraId="3A27080B" w14:textId="77777777" w:rsidR="006E0256" w:rsidRDefault="006E0256" w:rsidP="00842450">
      <w:pPr>
        <w:rPr>
          <w:lang w:eastAsia="en-AU"/>
        </w:rPr>
      </w:pPr>
      <w:r>
        <w:rPr>
          <w:lang w:eastAsia="en-AU"/>
        </w:rPr>
        <w:t xml:space="preserve">A dedicated renal impairment study showed that no dose adjustment is needed in patients with mild renal impairment. The dose should be reduced to 200 mg </w:t>
      </w:r>
      <w:r w:rsidR="00C920E8">
        <w:rPr>
          <w:lang w:eastAsia="en-AU"/>
        </w:rPr>
        <w:t>BID</w:t>
      </w:r>
      <w:r>
        <w:rPr>
          <w:lang w:eastAsia="en-AU"/>
        </w:rPr>
        <w:t xml:space="preserve"> for moderate renal impairment.</w:t>
      </w:r>
    </w:p>
    <w:p w14:paraId="066C55B5" w14:textId="77777777" w:rsidR="006E0256" w:rsidRDefault="006E0256" w:rsidP="00842450">
      <w:pPr>
        <w:rPr>
          <w:lang w:eastAsia="en-AU"/>
        </w:rPr>
      </w:pPr>
      <w:r>
        <w:rPr>
          <w:lang w:eastAsia="en-AU"/>
        </w:rPr>
        <w:t xml:space="preserve">The dose should be reduced to 100 mg </w:t>
      </w:r>
      <w:r w:rsidR="00C920E8">
        <w:rPr>
          <w:lang w:eastAsia="en-AU"/>
        </w:rPr>
        <w:t>BID</w:t>
      </w:r>
      <w:r>
        <w:rPr>
          <w:lang w:eastAsia="en-AU"/>
        </w:rPr>
        <w:t xml:space="preserve"> if a strong C</w:t>
      </w:r>
      <w:r w:rsidR="00695CB5">
        <w:rPr>
          <w:lang w:eastAsia="en-AU"/>
        </w:rPr>
        <w:t>YP3A inhibitor must be co </w:t>
      </w:r>
      <w:r>
        <w:rPr>
          <w:lang w:eastAsia="en-AU"/>
        </w:rPr>
        <w:t xml:space="preserve">administered; 150 mg </w:t>
      </w:r>
      <w:r w:rsidR="00C920E8">
        <w:rPr>
          <w:lang w:eastAsia="en-AU"/>
        </w:rPr>
        <w:t>BID</w:t>
      </w:r>
      <w:r>
        <w:rPr>
          <w:lang w:eastAsia="en-AU"/>
        </w:rPr>
        <w:t>: moderate CYP3A inhibitor.</w:t>
      </w:r>
    </w:p>
    <w:p w14:paraId="0520ADB7" w14:textId="77777777" w:rsidR="006E0256" w:rsidRDefault="006E0256" w:rsidP="00842450">
      <w:pPr>
        <w:rPr>
          <w:lang w:eastAsia="en-AU"/>
        </w:rPr>
      </w:pPr>
      <w:r>
        <w:rPr>
          <w:lang w:eastAsia="en-AU"/>
        </w:rPr>
        <w:t>Strong or moderate CYP3A inducers should be avoided because they can cause decreased efficacy.</w:t>
      </w:r>
    </w:p>
    <w:p w14:paraId="51B4F85B" w14:textId="77777777" w:rsidR="006E0256" w:rsidRPr="00AD1CAD" w:rsidRDefault="006E0256" w:rsidP="006E0256">
      <w:pPr>
        <w:pStyle w:val="Heading4"/>
        <w:rPr>
          <w:lang w:eastAsia="en-AU"/>
        </w:rPr>
      </w:pPr>
      <w:r w:rsidRPr="00AD1CAD">
        <w:rPr>
          <w:lang w:eastAsia="en-AU"/>
        </w:rPr>
        <w:t>Efficacy</w:t>
      </w:r>
    </w:p>
    <w:p w14:paraId="26A8A1B6" w14:textId="77777777" w:rsidR="006E0256" w:rsidRPr="00F61F3A" w:rsidRDefault="001F00F8" w:rsidP="006E0256">
      <w:pPr>
        <w:pStyle w:val="Heading5"/>
        <w:rPr>
          <w:lang w:eastAsia="en-AU"/>
        </w:rPr>
      </w:pPr>
      <w:r>
        <w:rPr>
          <w:lang w:eastAsia="en-AU"/>
        </w:rPr>
        <w:t>Study 19</w:t>
      </w:r>
    </w:p>
    <w:p w14:paraId="2E50971D" w14:textId="77777777" w:rsidR="006E0256" w:rsidRPr="00392D0A" w:rsidRDefault="006E0256" w:rsidP="0075146F">
      <w:pPr>
        <w:pStyle w:val="Heading6"/>
        <w:rPr>
          <w:lang w:eastAsia="en-AU"/>
        </w:rPr>
      </w:pPr>
      <w:r w:rsidRPr="00392D0A">
        <w:rPr>
          <w:lang w:eastAsia="en-AU"/>
        </w:rPr>
        <w:t>Design</w:t>
      </w:r>
    </w:p>
    <w:p w14:paraId="64C1FEC3" w14:textId="77777777" w:rsidR="006E0256" w:rsidRPr="00A2255D" w:rsidRDefault="006E0256" w:rsidP="0075146F">
      <w:pPr>
        <w:pStyle w:val="ListBullet"/>
      </w:pPr>
      <w:r w:rsidRPr="00A2255D">
        <w:t>Randomised, double blind, multicentre: 86 sites, 16 count</w:t>
      </w:r>
      <w:r w:rsidR="0075146F">
        <w:t>ries (US, Canada, Australia, Western</w:t>
      </w:r>
      <w:r w:rsidRPr="00A2255D">
        <w:t xml:space="preserve"> Europe, Israel, Russia, </w:t>
      </w:r>
      <w:r w:rsidR="006666D8" w:rsidRPr="00A2255D">
        <w:t>and Ukraine</w:t>
      </w:r>
      <w:r w:rsidRPr="00A2255D">
        <w:t>)</w:t>
      </w:r>
      <w:r w:rsidR="0075146F">
        <w:t>.</w:t>
      </w:r>
    </w:p>
    <w:p w14:paraId="015766C5" w14:textId="77777777" w:rsidR="006E0256" w:rsidRPr="00A2255D" w:rsidRDefault="006E0256" w:rsidP="0075146F">
      <w:pPr>
        <w:pStyle w:val="ListBullet"/>
      </w:pPr>
      <w:r w:rsidRPr="00A2255D">
        <w:t>Recruitment: Aug</w:t>
      </w:r>
      <w:r w:rsidR="001F00F8">
        <w:t>ust</w:t>
      </w:r>
      <w:r w:rsidRPr="00A2255D">
        <w:t xml:space="preserve"> 2008 to Feb</w:t>
      </w:r>
      <w:r w:rsidR="001F00F8">
        <w:t>ruary</w:t>
      </w:r>
      <w:r w:rsidRPr="00A2255D">
        <w:t xml:space="preserve"> 2010</w:t>
      </w:r>
      <w:r w:rsidR="0075146F">
        <w:t>.</w:t>
      </w:r>
    </w:p>
    <w:p w14:paraId="110E4493" w14:textId="77777777" w:rsidR="006E0256" w:rsidRPr="00A2255D" w:rsidRDefault="0075146F" w:rsidP="0075146F">
      <w:pPr>
        <w:pStyle w:val="ListBullet"/>
      </w:pPr>
      <w:r>
        <w:t xml:space="preserve">Primary data cut </w:t>
      </w:r>
      <w:r w:rsidR="006E0256" w:rsidRPr="00A2255D">
        <w:t>off (for the primary endpoint of PFS): June 2010. RECIST data for PFS were not collected after this primary data cut-off.</w:t>
      </w:r>
    </w:p>
    <w:p w14:paraId="6B6966EF" w14:textId="77777777" w:rsidR="006E0256" w:rsidRDefault="000A0DC3" w:rsidP="006E0256">
      <w:pPr>
        <w:pStyle w:val="TableTitle"/>
      </w:pPr>
      <w:r>
        <w:lastRenderedPageBreak/>
        <w:t>Table 11</w:t>
      </w:r>
      <w:r w:rsidR="006E0256">
        <w:t xml:space="preserve">: </w:t>
      </w:r>
      <w:r w:rsidR="00695CB5">
        <w:t xml:space="preserve">Summary of </w:t>
      </w:r>
      <w:r w:rsidR="001F00F8">
        <w:t>Study 19</w:t>
      </w:r>
      <w:r w:rsidR="00695CB5">
        <w:t xml:space="preserve"> design</w:t>
      </w:r>
    </w:p>
    <w:p w14:paraId="459ED89F" w14:textId="77777777" w:rsidR="00344A87" w:rsidRDefault="00344A87" w:rsidP="00344A87">
      <w:r>
        <w:rPr>
          <w:noProof/>
          <w:lang w:eastAsia="en-AU"/>
        </w:rPr>
        <w:drawing>
          <wp:inline distT="0" distB="0" distL="0" distR="0" wp14:anchorId="094A6B7E" wp14:editId="070A7CDF">
            <wp:extent cx="5400040" cy="3885029"/>
            <wp:effectExtent l="0" t="0" r="0" b="1270"/>
            <wp:docPr id="4" name="Picture 4" descr="Summary of Study 19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885029"/>
                    </a:xfrm>
                    <a:prstGeom prst="rect">
                      <a:avLst/>
                    </a:prstGeom>
                  </pic:spPr>
                </pic:pic>
              </a:graphicData>
            </a:graphic>
          </wp:inline>
        </w:drawing>
      </w:r>
    </w:p>
    <w:p w14:paraId="79E91C4E" w14:textId="77777777" w:rsidR="00CA1EAE" w:rsidRPr="00695CB5" w:rsidRDefault="006E0256" w:rsidP="00695CB5">
      <w:r w:rsidRPr="00695CB5">
        <w:t>Tumour assessments</w:t>
      </w:r>
      <w:r w:rsidR="00CA1EAE" w:rsidRPr="00695CB5">
        <w:t>:</w:t>
      </w:r>
    </w:p>
    <w:p w14:paraId="7EEFE6A6" w14:textId="77777777" w:rsidR="00CA1EAE" w:rsidRPr="00695CB5" w:rsidRDefault="006E0256" w:rsidP="00695CB5">
      <w:pPr>
        <w:pStyle w:val="ListBullet"/>
      </w:pPr>
      <w:r w:rsidRPr="00695CB5">
        <w:t>E</w:t>
      </w:r>
      <w:r w:rsidR="00695CB5">
        <w:t>very 12 weeks until W</w:t>
      </w:r>
      <w:r w:rsidRPr="00695CB5">
        <w:t>eek 72, then every 24 weeks</w:t>
      </w:r>
      <w:r w:rsidR="00CA1EAE" w:rsidRPr="00695CB5">
        <w:t>.</w:t>
      </w:r>
    </w:p>
    <w:p w14:paraId="54707A7F" w14:textId="77777777" w:rsidR="006E0256" w:rsidRPr="00695CB5" w:rsidRDefault="006E0256" w:rsidP="00695CB5">
      <w:pPr>
        <w:pStyle w:val="ListBullet"/>
      </w:pPr>
      <w:r w:rsidRPr="00695CB5">
        <w:t>RECIST data were not collected after the primary data cut</w:t>
      </w:r>
      <w:r w:rsidR="00695CB5">
        <w:t xml:space="preserve"> </w:t>
      </w:r>
      <w:r w:rsidRPr="00695CB5">
        <w:t>off (June 30, 2010).</w:t>
      </w:r>
    </w:p>
    <w:p w14:paraId="7A182E47" w14:textId="77777777" w:rsidR="006E0256" w:rsidRPr="00695CB5" w:rsidRDefault="006E0256" w:rsidP="00695CB5">
      <w:r w:rsidRPr="00695CB5">
        <w:t>Randomisation was stratified by:</w:t>
      </w:r>
    </w:p>
    <w:p w14:paraId="0CB45953" w14:textId="77777777" w:rsidR="006E0256" w:rsidRPr="009A4739" w:rsidRDefault="00695CB5" w:rsidP="00695CB5">
      <w:pPr>
        <w:pStyle w:val="ListBullet"/>
      </w:pPr>
      <w:r>
        <w:t xml:space="preserve">Certain Jewish ancestry (mutated BRCA is more common); </w:t>
      </w:r>
      <w:r w:rsidR="006E0256" w:rsidRPr="009A4739">
        <w:t>about 15% of trial participants)</w:t>
      </w:r>
      <w:r>
        <w:t>.</w:t>
      </w:r>
    </w:p>
    <w:p w14:paraId="7DD37E9E" w14:textId="77777777" w:rsidR="006E0256" w:rsidRPr="009A4739" w:rsidRDefault="006E0256" w:rsidP="00695CB5">
      <w:pPr>
        <w:pStyle w:val="ListBullet"/>
      </w:pPr>
      <w:r w:rsidRPr="009A4739">
        <w:t xml:space="preserve">Time </w:t>
      </w:r>
      <w:r w:rsidRPr="00A07E7C">
        <w:t>to progression from com</w:t>
      </w:r>
      <w:r w:rsidR="00695CB5">
        <w:t>pletion of penultimate platinum based regimen (6 to 12 </w:t>
      </w:r>
      <w:r w:rsidRPr="00A07E7C">
        <w:t>months versus &gt;</w:t>
      </w:r>
      <w:r w:rsidR="00695CB5">
        <w:t xml:space="preserve"> </w:t>
      </w:r>
      <w:r w:rsidRPr="00A07E7C">
        <w:t>12</w:t>
      </w:r>
      <w:r w:rsidR="00695CB5">
        <w:t xml:space="preserve"> months).</w:t>
      </w:r>
    </w:p>
    <w:p w14:paraId="35AD7FD1" w14:textId="77777777" w:rsidR="006E0256" w:rsidRPr="009A4739" w:rsidRDefault="006E0256" w:rsidP="00695CB5">
      <w:pPr>
        <w:pStyle w:val="ListBullet"/>
      </w:pPr>
      <w:r>
        <w:t>R</w:t>
      </w:r>
      <w:r w:rsidR="00695CB5">
        <w:t>esponse to most recent platinum based regimen (complete response</w:t>
      </w:r>
      <w:r w:rsidRPr="009A4739">
        <w:t xml:space="preserve"> versus </w:t>
      </w:r>
      <w:r w:rsidR="00695CB5">
        <w:t>partial response</w:t>
      </w:r>
      <w:r w:rsidRPr="009A4739">
        <w:t>)</w:t>
      </w:r>
      <w:r w:rsidR="00695CB5">
        <w:t>.</w:t>
      </w:r>
    </w:p>
    <w:p w14:paraId="5C0D37AF" w14:textId="77777777" w:rsidR="006E0256" w:rsidRPr="009A4739" w:rsidRDefault="006E0256" w:rsidP="00695CB5">
      <w:r w:rsidRPr="009A4739">
        <w:t>Sample size (</w:t>
      </w:r>
      <w:r>
        <w:t>Phase II</w:t>
      </w:r>
      <w:r w:rsidRPr="009A4739">
        <w:t>)</w:t>
      </w:r>
    </w:p>
    <w:p w14:paraId="021E2EB6" w14:textId="77777777" w:rsidR="006E0256" w:rsidRPr="009A4739" w:rsidRDefault="00BD2434" w:rsidP="00695CB5">
      <w:pPr>
        <w:pStyle w:val="ListBullet"/>
      </w:pPr>
      <w:r>
        <w:t xml:space="preserve">The pre </w:t>
      </w:r>
      <w:r w:rsidR="006E0256" w:rsidRPr="009A4739">
        <w:t xml:space="preserve">specified primary analysis was when at least 137 </w:t>
      </w:r>
      <w:r>
        <w:t>PFS</w:t>
      </w:r>
      <w:r w:rsidR="006E0256" w:rsidRPr="009A4739">
        <w:t xml:space="preserve"> events had occurred.</w:t>
      </w:r>
    </w:p>
    <w:p w14:paraId="5AF2B270" w14:textId="77777777" w:rsidR="006E0256" w:rsidRPr="009A4739" w:rsidRDefault="00BD2434" w:rsidP="00695CB5">
      <w:pPr>
        <w:pStyle w:val="ListBullet"/>
      </w:pPr>
      <w:r w:rsidRPr="00BD2434">
        <w:t>Minimal clinically important differences</w:t>
      </w:r>
      <w:r w:rsidRPr="009A4739">
        <w:t xml:space="preserve"> </w:t>
      </w:r>
      <w:r>
        <w:t>(</w:t>
      </w:r>
      <w:r w:rsidR="006E0256" w:rsidRPr="009A4739">
        <w:t>MCID</w:t>
      </w:r>
      <w:r>
        <w:t>)</w:t>
      </w:r>
      <w:r w:rsidR="006E0256" w:rsidRPr="009A4739">
        <w:t>: HR</w:t>
      </w:r>
      <w:r w:rsidR="0075146F">
        <w:t xml:space="preserve"> </w:t>
      </w:r>
      <w:r w:rsidR="006E0256" w:rsidRPr="009A4739">
        <w:t>(PFS)</w:t>
      </w:r>
      <w:r>
        <w:t xml:space="preserve"> </w:t>
      </w:r>
      <w:r w:rsidR="006E0256" w:rsidRPr="009A4739">
        <w:t>=</w:t>
      </w:r>
      <w:r>
        <w:t xml:space="preserve"> </w:t>
      </w:r>
      <w:r w:rsidR="006E0256" w:rsidRPr="009A4739">
        <w:t>0·75 (eq</w:t>
      </w:r>
      <w:r>
        <w:t xml:space="preserve">uivalent to a 33% increase in </w:t>
      </w:r>
      <w:r w:rsidR="0075146F">
        <w:t>median</w:t>
      </w:r>
      <w:r>
        <w:t xml:space="preserve"> </w:t>
      </w:r>
      <w:r w:rsidR="003C2823">
        <w:t>(</w:t>
      </w:r>
      <w:r w:rsidR="006E0256" w:rsidRPr="009A4739">
        <w:t>PFS</w:t>
      </w:r>
      <w:r w:rsidR="003C2823">
        <w:t>)</w:t>
      </w:r>
      <w:r w:rsidR="006E0256" w:rsidRPr="009A4739">
        <w:t xml:space="preserve"> from 9 months to 12 months</w:t>
      </w:r>
      <w:r w:rsidR="0075146F">
        <w:t>)</w:t>
      </w:r>
      <w:r>
        <w:t>.</w:t>
      </w:r>
    </w:p>
    <w:p w14:paraId="2BB466FB" w14:textId="77777777" w:rsidR="00695CB5" w:rsidRDefault="00695CB5" w:rsidP="00695CB5">
      <w:pPr>
        <w:pStyle w:val="ListBullet"/>
      </w:pPr>
      <w:r>
        <w:t>T</w:t>
      </w:r>
      <w:r w:rsidR="006E0256" w:rsidRPr="009A4739">
        <w:t>ype I err</w:t>
      </w:r>
      <w:r w:rsidR="00BD2434">
        <w:t>or: 20% (one sided test); Phase II.</w:t>
      </w:r>
    </w:p>
    <w:p w14:paraId="42DF7211" w14:textId="77777777" w:rsidR="006E0256" w:rsidRPr="009A4739" w:rsidRDefault="00BD2434" w:rsidP="00695CB5">
      <w:pPr>
        <w:pStyle w:val="ListBullet"/>
      </w:pPr>
      <w:r>
        <w:t>P</w:t>
      </w:r>
      <w:r w:rsidR="006E0256">
        <w:t>ower: 80%</w:t>
      </w:r>
      <w:r w:rsidR="00695CB5">
        <w:t>; Phase II</w:t>
      </w:r>
      <w:r>
        <w:t>.</w:t>
      </w:r>
    </w:p>
    <w:p w14:paraId="1127C993" w14:textId="77777777" w:rsidR="006E0256" w:rsidRDefault="000A0DC3" w:rsidP="006E0256">
      <w:pPr>
        <w:pStyle w:val="TableTitle"/>
        <w:rPr>
          <w:lang w:eastAsia="en-AU"/>
        </w:rPr>
      </w:pPr>
      <w:r>
        <w:rPr>
          <w:lang w:eastAsia="en-AU"/>
        </w:rPr>
        <w:lastRenderedPageBreak/>
        <w:t>Table 12</w:t>
      </w:r>
      <w:r w:rsidR="006E0256">
        <w:rPr>
          <w:lang w:eastAsia="en-AU"/>
        </w:rPr>
        <w:t xml:space="preserve">: </w:t>
      </w:r>
      <w:r w:rsidR="006E0256" w:rsidRPr="00392D0A">
        <w:rPr>
          <w:lang w:eastAsia="en-AU"/>
        </w:rPr>
        <w:t>Baseline characteristics</w:t>
      </w:r>
      <w:r w:rsidR="00BD2434">
        <w:rPr>
          <w:lang w:eastAsia="en-AU"/>
        </w:rPr>
        <w:t xml:space="preserve"> of patients in </w:t>
      </w:r>
      <w:r w:rsidR="001F00F8">
        <w:rPr>
          <w:lang w:eastAsia="en-AU"/>
        </w:rPr>
        <w:t>Study 19</w:t>
      </w:r>
    </w:p>
    <w:p w14:paraId="3E6CC63F" w14:textId="77777777" w:rsidR="00344A87" w:rsidRPr="00392D0A" w:rsidRDefault="00344A87" w:rsidP="00344A87">
      <w:pPr>
        <w:rPr>
          <w:lang w:eastAsia="en-AU"/>
        </w:rPr>
      </w:pPr>
      <w:r>
        <w:rPr>
          <w:noProof/>
          <w:lang w:eastAsia="en-AU"/>
        </w:rPr>
        <w:drawing>
          <wp:inline distT="0" distB="0" distL="0" distR="0" wp14:anchorId="38651E0D" wp14:editId="1A3EA48D">
            <wp:extent cx="2948025" cy="3472256"/>
            <wp:effectExtent l="0" t="0" r="5080" b="0"/>
            <wp:docPr id="3" name="Picture 3" descr="Baseline characteristics of patients in Stud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49902" cy="3474466"/>
                    </a:xfrm>
                    <a:prstGeom prst="rect">
                      <a:avLst/>
                    </a:prstGeom>
                  </pic:spPr>
                </pic:pic>
              </a:graphicData>
            </a:graphic>
          </wp:inline>
        </w:drawing>
      </w:r>
    </w:p>
    <w:p w14:paraId="6DFE416A" w14:textId="77777777" w:rsidR="006E0256" w:rsidRPr="00BD2434" w:rsidRDefault="006E0256" w:rsidP="00BD2434">
      <w:pPr>
        <w:pStyle w:val="TableDescription"/>
      </w:pPr>
      <w:r w:rsidRPr="00BD2434">
        <w:t>Baseline</w:t>
      </w:r>
      <w:r w:rsidR="00BD2434">
        <w:t xml:space="preserve"> characteristics were also well balanced across the BRCA mutant</w:t>
      </w:r>
      <w:r w:rsidRPr="00BD2434">
        <w:t xml:space="preserve"> (n</w:t>
      </w:r>
      <w:r w:rsidR="00BD2434">
        <w:t xml:space="preserve"> </w:t>
      </w:r>
      <w:r w:rsidRPr="00BD2434">
        <w:t>=</w:t>
      </w:r>
      <w:r w:rsidR="00BD2434">
        <w:t xml:space="preserve"> </w:t>
      </w:r>
      <w:r w:rsidRPr="00BD2434">
        <w:t>136) and the BRCA</w:t>
      </w:r>
      <w:r w:rsidR="00BD2434">
        <w:t xml:space="preserve"> wildtype</w:t>
      </w:r>
      <w:r w:rsidRPr="00BD2434">
        <w:t xml:space="preserve"> (n</w:t>
      </w:r>
      <w:r w:rsidR="00BD2434">
        <w:t xml:space="preserve"> </w:t>
      </w:r>
      <w:r w:rsidRPr="00BD2434">
        <w:t>=</w:t>
      </w:r>
      <w:r w:rsidR="00BD2434">
        <w:t xml:space="preserve"> </w:t>
      </w:r>
      <w:r w:rsidRPr="00BD2434">
        <w:t>118) subgroups.</w:t>
      </w:r>
      <w:r w:rsidR="003C2823">
        <w:t xml:space="preserve"> </w:t>
      </w:r>
      <w:r w:rsidRPr="00BD2434">
        <w:t xml:space="preserve">Bevacizumab use was low and this was expected, given the dates of recruitment: </w:t>
      </w:r>
      <w:r w:rsidR="00BD2434">
        <w:t xml:space="preserve">2008 to </w:t>
      </w:r>
      <w:r w:rsidRPr="00BD2434">
        <w:t>2010.</w:t>
      </w:r>
    </w:p>
    <w:p w14:paraId="4E207A3D" w14:textId="77777777" w:rsidR="0075146F" w:rsidRDefault="0075146F" w:rsidP="0075146F">
      <w:pPr>
        <w:pStyle w:val="Heading6"/>
        <w:rPr>
          <w:lang w:eastAsia="en-AU"/>
        </w:rPr>
      </w:pPr>
      <w:r>
        <w:rPr>
          <w:lang w:eastAsia="en-AU"/>
        </w:rPr>
        <w:t>Results</w:t>
      </w:r>
    </w:p>
    <w:p w14:paraId="4EFE6461" w14:textId="77777777" w:rsidR="006E0256" w:rsidRDefault="006E0256" w:rsidP="0075146F">
      <w:pPr>
        <w:pStyle w:val="Heading7"/>
        <w:rPr>
          <w:lang w:eastAsia="en-AU"/>
        </w:rPr>
      </w:pPr>
      <w:r w:rsidRPr="00B30885">
        <w:rPr>
          <w:lang w:eastAsia="en-AU"/>
        </w:rPr>
        <w:t>Primary endpoint, PFS, investigator assessed</w:t>
      </w:r>
    </w:p>
    <w:p w14:paraId="105DBE80" w14:textId="77777777" w:rsidR="00CA1EAE" w:rsidRDefault="006E0256" w:rsidP="0075146F">
      <w:pPr>
        <w:pStyle w:val="ListBullet"/>
        <w:rPr>
          <w:lang w:eastAsia="en-AU"/>
        </w:rPr>
      </w:pPr>
      <w:r>
        <w:rPr>
          <w:lang w:eastAsia="en-AU"/>
        </w:rPr>
        <w:t>Data cut</w:t>
      </w:r>
      <w:r w:rsidR="0075146F">
        <w:rPr>
          <w:lang w:eastAsia="en-AU"/>
        </w:rPr>
        <w:t xml:space="preserve"> off </w:t>
      </w:r>
      <w:r>
        <w:rPr>
          <w:lang w:eastAsia="en-AU"/>
        </w:rPr>
        <w:t>point for the PFS analysis was June 2010 (154 events had occurred; 137</w:t>
      </w:r>
      <w:r w:rsidR="0075146F">
        <w:rPr>
          <w:lang w:eastAsia="en-AU"/>
        </w:rPr>
        <w:t xml:space="preserve"> were expected; see sample size </w:t>
      </w:r>
      <w:r w:rsidR="0075146F" w:rsidRPr="000A0DC3">
        <w:rPr>
          <w:lang w:eastAsia="en-AU"/>
        </w:rPr>
        <w:t xml:space="preserve">in </w:t>
      </w:r>
      <w:r w:rsidR="000A0DC3" w:rsidRPr="000A0DC3">
        <w:rPr>
          <w:lang w:eastAsia="en-AU"/>
        </w:rPr>
        <w:t>Table 13</w:t>
      </w:r>
      <w:r>
        <w:rPr>
          <w:lang w:eastAsia="en-AU"/>
        </w:rPr>
        <w:t>)</w:t>
      </w:r>
      <w:r w:rsidR="00CA1EAE">
        <w:rPr>
          <w:lang w:eastAsia="en-AU"/>
        </w:rPr>
        <w:t>.</w:t>
      </w:r>
    </w:p>
    <w:p w14:paraId="7761DF22" w14:textId="77777777" w:rsidR="006E0256" w:rsidRDefault="006E0256" w:rsidP="0075146F">
      <w:pPr>
        <w:pStyle w:val="ListBullet"/>
        <w:rPr>
          <w:lang w:eastAsia="en-AU"/>
        </w:rPr>
      </w:pPr>
      <w:r>
        <w:rPr>
          <w:lang w:eastAsia="en-AU"/>
        </w:rPr>
        <w:t>RECIST data were not collected after this date.</w:t>
      </w:r>
    </w:p>
    <w:p w14:paraId="00BA02C2" w14:textId="77777777" w:rsidR="006E0256" w:rsidRDefault="006E0256" w:rsidP="0075146F">
      <w:pPr>
        <w:pStyle w:val="ListBullet"/>
        <w:rPr>
          <w:lang w:eastAsia="en-AU"/>
        </w:rPr>
      </w:pPr>
      <w:r>
        <w:rPr>
          <w:lang w:eastAsia="en-AU"/>
        </w:rPr>
        <w:t>These PFS results were provided in the dossier for the regist</w:t>
      </w:r>
      <w:r w:rsidR="0075146F">
        <w:rPr>
          <w:lang w:eastAsia="en-AU"/>
        </w:rPr>
        <w:t>ration of the capsules for BRCA mutant women in December 2015/</w:t>
      </w:r>
      <w:r>
        <w:rPr>
          <w:lang w:eastAsia="en-AU"/>
        </w:rPr>
        <w:t>Janu</w:t>
      </w:r>
      <w:r w:rsidR="0075146F">
        <w:rPr>
          <w:lang w:eastAsia="en-AU"/>
        </w:rPr>
        <w:t>a</w:t>
      </w:r>
      <w:r>
        <w:rPr>
          <w:lang w:eastAsia="en-AU"/>
        </w:rPr>
        <w:t>ry 2016.</w:t>
      </w:r>
      <w:r>
        <w:rPr>
          <w:rStyle w:val="FootnoteReference"/>
          <w:lang w:eastAsia="en-AU"/>
        </w:rPr>
        <w:footnoteReference w:id="14"/>
      </w:r>
    </w:p>
    <w:p w14:paraId="7B087310" w14:textId="77777777" w:rsidR="006E0256" w:rsidRPr="0001790E" w:rsidRDefault="000A0DC3" w:rsidP="006E0256">
      <w:pPr>
        <w:pStyle w:val="TableTitle"/>
        <w:rPr>
          <w:lang w:eastAsia="en-AU"/>
        </w:rPr>
      </w:pPr>
      <w:r>
        <w:rPr>
          <w:lang w:eastAsia="en-AU"/>
        </w:rPr>
        <w:t>Table 13</w:t>
      </w:r>
      <w:r w:rsidR="006E0256">
        <w:rPr>
          <w:lang w:eastAsia="en-AU"/>
        </w:rPr>
        <w:t xml:space="preserve">: </w:t>
      </w:r>
      <w:r w:rsidR="0075146F">
        <w:rPr>
          <w:lang w:eastAsia="en-AU"/>
        </w:rPr>
        <w:t xml:space="preserve">Primary endpoint </w:t>
      </w:r>
      <w:r w:rsidR="001F00F8">
        <w:rPr>
          <w:lang w:eastAsia="en-AU"/>
        </w:rPr>
        <w:t>Study 19</w:t>
      </w:r>
      <w:r w:rsidR="00F9476E">
        <w:rPr>
          <w:lang w:eastAsia="en-AU"/>
        </w:rPr>
        <w:t xml:space="preserve"> (PFS)</w:t>
      </w:r>
      <w:r w:rsidR="0075146F">
        <w:rPr>
          <w:lang w:eastAsia="en-AU"/>
        </w:rPr>
        <w:t>, intention to treat</w:t>
      </w:r>
    </w:p>
    <w:tbl>
      <w:tblPr>
        <w:tblStyle w:val="TableTGAblue"/>
        <w:tblW w:w="0" w:type="auto"/>
        <w:tblLook w:val="04A0" w:firstRow="1" w:lastRow="0" w:firstColumn="1" w:lastColumn="0" w:noHBand="0" w:noVBand="1"/>
      </w:tblPr>
      <w:tblGrid>
        <w:gridCol w:w="1809"/>
        <w:gridCol w:w="2410"/>
        <w:gridCol w:w="2977"/>
      </w:tblGrid>
      <w:tr w:rsidR="006E0256" w:rsidRPr="0075146F" w14:paraId="4C323B55"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0E331B90" w14:textId="77777777" w:rsidR="006E0256" w:rsidRPr="0075146F" w:rsidRDefault="0075146F" w:rsidP="00284449">
            <w:r w:rsidRPr="0075146F">
              <w:t>Primary endpoint</w:t>
            </w:r>
            <w:r w:rsidR="000A0DC3">
              <w:t xml:space="preserve"> (PFS)</w:t>
            </w:r>
          </w:p>
        </w:tc>
        <w:tc>
          <w:tcPr>
            <w:tcW w:w="2410" w:type="dxa"/>
          </w:tcPr>
          <w:p w14:paraId="59B50DCC" w14:textId="77777777" w:rsidR="006E0256" w:rsidRPr="0075146F" w:rsidRDefault="006E0256" w:rsidP="00284449">
            <w:r w:rsidRPr="0075146F">
              <w:t>Olaparib</w:t>
            </w:r>
          </w:p>
          <w:p w14:paraId="11DF2494" w14:textId="77777777" w:rsidR="006E0256" w:rsidRPr="0075146F" w:rsidRDefault="006E0256" w:rsidP="00284449">
            <w:r w:rsidRPr="0075146F">
              <w:t>N</w:t>
            </w:r>
            <w:r w:rsidR="0075146F">
              <w:t xml:space="preserve"> </w:t>
            </w:r>
            <w:r w:rsidRPr="0075146F">
              <w:t>=</w:t>
            </w:r>
            <w:r w:rsidR="0075146F">
              <w:t xml:space="preserve"> </w:t>
            </w:r>
            <w:r w:rsidRPr="0075146F">
              <w:t>136</w:t>
            </w:r>
          </w:p>
        </w:tc>
        <w:tc>
          <w:tcPr>
            <w:tcW w:w="2977" w:type="dxa"/>
          </w:tcPr>
          <w:p w14:paraId="388AF099" w14:textId="77777777" w:rsidR="006E0256" w:rsidRPr="0075146F" w:rsidRDefault="006E0256" w:rsidP="00284449">
            <w:r w:rsidRPr="0075146F">
              <w:t>Placebo</w:t>
            </w:r>
          </w:p>
          <w:p w14:paraId="453CE537" w14:textId="77777777" w:rsidR="006E0256" w:rsidRPr="0075146F" w:rsidRDefault="006E0256" w:rsidP="00284449">
            <w:r w:rsidRPr="0075146F">
              <w:t>N</w:t>
            </w:r>
            <w:r w:rsidR="0075146F">
              <w:t xml:space="preserve"> </w:t>
            </w:r>
            <w:r w:rsidRPr="0075146F">
              <w:t>=</w:t>
            </w:r>
            <w:r w:rsidR="0075146F">
              <w:t xml:space="preserve"> </w:t>
            </w:r>
            <w:r w:rsidRPr="0075146F">
              <w:t>129</w:t>
            </w:r>
          </w:p>
        </w:tc>
      </w:tr>
      <w:tr w:rsidR="006E0256" w:rsidRPr="0075146F" w14:paraId="1AD6D1BA" w14:textId="77777777" w:rsidTr="006E0256">
        <w:tc>
          <w:tcPr>
            <w:tcW w:w="1809" w:type="dxa"/>
          </w:tcPr>
          <w:p w14:paraId="3E1B093D" w14:textId="404307CB" w:rsidR="006E0256" w:rsidRPr="0075146F" w:rsidRDefault="006E0256" w:rsidP="00284449">
            <w:r w:rsidRPr="0075146F">
              <w:t>Events (%)</w:t>
            </w:r>
          </w:p>
        </w:tc>
        <w:tc>
          <w:tcPr>
            <w:tcW w:w="2410" w:type="dxa"/>
          </w:tcPr>
          <w:p w14:paraId="2E3E4F70" w14:textId="77777777" w:rsidR="006E0256" w:rsidRPr="0075146F" w:rsidRDefault="006E0256" w:rsidP="00284449">
            <w:r w:rsidRPr="0075146F">
              <w:t>60</w:t>
            </w:r>
            <w:r w:rsidR="0075146F" w:rsidRPr="0075146F">
              <w:t xml:space="preserve"> </w:t>
            </w:r>
            <w:r w:rsidRPr="0075146F">
              <w:t>(44%)</w:t>
            </w:r>
          </w:p>
        </w:tc>
        <w:tc>
          <w:tcPr>
            <w:tcW w:w="2977" w:type="dxa"/>
          </w:tcPr>
          <w:p w14:paraId="277A5335" w14:textId="77777777" w:rsidR="006E0256" w:rsidRPr="0075146F" w:rsidRDefault="006E0256" w:rsidP="00284449">
            <w:r w:rsidRPr="0075146F">
              <w:t>94</w:t>
            </w:r>
            <w:r w:rsidR="0075146F" w:rsidRPr="0075146F">
              <w:t xml:space="preserve"> </w:t>
            </w:r>
            <w:r w:rsidRPr="0075146F">
              <w:t>(73%)</w:t>
            </w:r>
          </w:p>
        </w:tc>
      </w:tr>
      <w:tr w:rsidR="006E0256" w:rsidRPr="0075146F" w14:paraId="64CC2CE2" w14:textId="77777777" w:rsidTr="006E0256">
        <w:tc>
          <w:tcPr>
            <w:tcW w:w="1809" w:type="dxa"/>
          </w:tcPr>
          <w:p w14:paraId="3E388C43" w14:textId="77777777" w:rsidR="006E0256" w:rsidRPr="0075146F" w:rsidRDefault="0075146F" w:rsidP="00284449">
            <w:r w:rsidRPr="0075146F">
              <w:t xml:space="preserve">Median </w:t>
            </w:r>
            <w:r w:rsidR="006E0256" w:rsidRPr="0075146F">
              <w:t>(PFS)</w:t>
            </w:r>
          </w:p>
        </w:tc>
        <w:tc>
          <w:tcPr>
            <w:tcW w:w="2410" w:type="dxa"/>
          </w:tcPr>
          <w:p w14:paraId="1A69A8F4" w14:textId="77777777" w:rsidR="006E0256" w:rsidRPr="0075146F" w:rsidRDefault="006E0256" w:rsidP="00284449">
            <w:r w:rsidRPr="0075146F">
              <w:t>8.4 months</w:t>
            </w:r>
          </w:p>
        </w:tc>
        <w:tc>
          <w:tcPr>
            <w:tcW w:w="2977" w:type="dxa"/>
          </w:tcPr>
          <w:p w14:paraId="62835E79" w14:textId="77777777" w:rsidR="006E0256" w:rsidRPr="0075146F" w:rsidRDefault="006E0256" w:rsidP="00284449">
            <w:r w:rsidRPr="0075146F">
              <w:t>4.8 months</w:t>
            </w:r>
          </w:p>
        </w:tc>
      </w:tr>
      <w:tr w:rsidR="006E0256" w:rsidRPr="0075146F" w14:paraId="1BD3A299" w14:textId="77777777" w:rsidTr="006E0256">
        <w:tc>
          <w:tcPr>
            <w:tcW w:w="1809" w:type="dxa"/>
          </w:tcPr>
          <w:p w14:paraId="07E2CDA5" w14:textId="77777777" w:rsidR="006E0256" w:rsidRPr="0075146F" w:rsidRDefault="006E0256" w:rsidP="00284449">
            <w:r w:rsidRPr="0075146F">
              <w:t>HR</w:t>
            </w:r>
            <w:r w:rsidR="0075146F" w:rsidRPr="0075146F">
              <w:t xml:space="preserve"> </w:t>
            </w:r>
            <w:r w:rsidRPr="0075146F">
              <w:t>(PFS)</w:t>
            </w:r>
          </w:p>
        </w:tc>
        <w:tc>
          <w:tcPr>
            <w:tcW w:w="5387" w:type="dxa"/>
            <w:gridSpan w:val="2"/>
          </w:tcPr>
          <w:p w14:paraId="22F7E9DE" w14:textId="77777777" w:rsidR="006E0256" w:rsidRPr="0075146F" w:rsidRDefault="006E0256" w:rsidP="00284449">
            <w:r w:rsidRPr="0075146F">
              <w:t>0.35 (0.25, 0.49); p</w:t>
            </w:r>
            <w:r w:rsidR="0075146F">
              <w:t xml:space="preserve"> </w:t>
            </w:r>
            <w:r w:rsidRPr="0075146F">
              <w:t>&lt;</w:t>
            </w:r>
            <w:r w:rsidR="0075146F">
              <w:t xml:space="preserve"> </w:t>
            </w:r>
            <w:r w:rsidRPr="0075146F">
              <w:t>0.00001</w:t>
            </w:r>
          </w:p>
        </w:tc>
      </w:tr>
    </w:tbl>
    <w:p w14:paraId="21117CDC" w14:textId="77777777" w:rsidR="00CA1EAE" w:rsidRPr="0075146F" w:rsidRDefault="006E0256" w:rsidP="0075146F">
      <w:pPr>
        <w:pStyle w:val="TableDescription"/>
      </w:pPr>
      <w:r w:rsidRPr="0075146F">
        <w:t xml:space="preserve">The median improvement for the </w:t>
      </w:r>
      <w:r w:rsidR="0075146F">
        <w:t>intention to treat</w:t>
      </w:r>
      <w:r w:rsidRPr="0075146F">
        <w:t xml:space="preserve"> population for PF</w:t>
      </w:r>
      <w:r w:rsidR="0075146F">
        <w:t>S</w:t>
      </w:r>
      <w:r w:rsidRPr="0075146F">
        <w:t xml:space="preserve"> (3.6 months) is similar to that reported for bevacizumab in this setting (for example, from GOG-0213)</w:t>
      </w:r>
      <w:r w:rsidR="00CA1EAE" w:rsidRPr="0075146F">
        <w:t>.</w:t>
      </w:r>
    </w:p>
    <w:p w14:paraId="36EFBD05" w14:textId="77777777" w:rsidR="006E0256" w:rsidRDefault="000A0DC3" w:rsidP="006E0256">
      <w:pPr>
        <w:pStyle w:val="TableTitle"/>
        <w:rPr>
          <w:lang w:eastAsia="en-AU"/>
        </w:rPr>
      </w:pPr>
      <w:r>
        <w:rPr>
          <w:lang w:eastAsia="en-AU"/>
        </w:rPr>
        <w:lastRenderedPageBreak/>
        <w:t>Table 14</w:t>
      </w:r>
      <w:r w:rsidR="006E0256">
        <w:rPr>
          <w:lang w:eastAsia="en-AU"/>
        </w:rPr>
        <w:t xml:space="preserve">: </w:t>
      </w:r>
      <w:r w:rsidR="0075146F">
        <w:rPr>
          <w:lang w:eastAsia="en-AU"/>
        </w:rPr>
        <w:t xml:space="preserve">Primary endpoint </w:t>
      </w:r>
      <w:r w:rsidR="001F00F8">
        <w:rPr>
          <w:lang w:eastAsia="en-AU"/>
        </w:rPr>
        <w:t>Study 19</w:t>
      </w:r>
      <w:r w:rsidR="00F9476E">
        <w:rPr>
          <w:lang w:eastAsia="en-AU"/>
        </w:rPr>
        <w:t xml:space="preserve"> (PFS)</w:t>
      </w:r>
      <w:r w:rsidR="0075146F">
        <w:rPr>
          <w:lang w:eastAsia="en-AU"/>
        </w:rPr>
        <w:t xml:space="preserve">, </w:t>
      </w:r>
      <w:r w:rsidR="00F9476E">
        <w:rPr>
          <w:lang w:eastAsia="en-AU"/>
        </w:rPr>
        <w:t>BRCA mutant population</w:t>
      </w:r>
    </w:p>
    <w:tbl>
      <w:tblPr>
        <w:tblStyle w:val="TableTGAblue"/>
        <w:tblW w:w="0" w:type="auto"/>
        <w:tblLook w:val="04A0" w:firstRow="1" w:lastRow="0" w:firstColumn="1" w:lastColumn="0" w:noHBand="0" w:noVBand="1"/>
      </w:tblPr>
      <w:tblGrid>
        <w:gridCol w:w="1809"/>
        <w:gridCol w:w="2410"/>
        <w:gridCol w:w="2977"/>
      </w:tblGrid>
      <w:tr w:rsidR="006E0256" w:rsidRPr="0075146F" w14:paraId="6D511CCA"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26332C07" w14:textId="77777777" w:rsidR="006E0256" w:rsidRPr="0075146F" w:rsidRDefault="0075146F" w:rsidP="0075146F">
            <w:pPr>
              <w:ind w:left="0" w:right="0"/>
              <w:rPr>
                <w:sz w:val="20"/>
                <w:szCs w:val="20"/>
              </w:rPr>
            </w:pPr>
            <w:r w:rsidRPr="0075146F">
              <w:rPr>
                <w:sz w:val="20"/>
                <w:szCs w:val="20"/>
              </w:rPr>
              <w:t>Primary endpoint</w:t>
            </w:r>
            <w:r w:rsidR="000A0DC3">
              <w:rPr>
                <w:sz w:val="20"/>
                <w:szCs w:val="20"/>
              </w:rPr>
              <w:t xml:space="preserve"> (PFS)</w:t>
            </w:r>
          </w:p>
        </w:tc>
        <w:tc>
          <w:tcPr>
            <w:tcW w:w="2410" w:type="dxa"/>
          </w:tcPr>
          <w:p w14:paraId="142CDFC3" w14:textId="77777777" w:rsidR="006E0256" w:rsidRPr="0075146F" w:rsidRDefault="006E0256" w:rsidP="0075146F">
            <w:pPr>
              <w:ind w:left="0" w:right="0"/>
              <w:jc w:val="center"/>
              <w:rPr>
                <w:sz w:val="20"/>
                <w:szCs w:val="20"/>
              </w:rPr>
            </w:pPr>
            <w:r w:rsidRPr="0075146F">
              <w:rPr>
                <w:sz w:val="20"/>
                <w:szCs w:val="20"/>
              </w:rPr>
              <w:t>Olaparib</w:t>
            </w:r>
          </w:p>
          <w:p w14:paraId="1890FFCD" w14:textId="77777777" w:rsidR="006E0256" w:rsidRPr="0075146F" w:rsidRDefault="006E0256" w:rsidP="0075146F">
            <w:pPr>
              <w:ind w:left="0" w:right="0"/>
              <w:jc w:val="center"/>
              <w:rPr>
                <w:sz w:val="20"/>
                <w:szCs w:val="20"/>
              </w:rPr>
            </w:pPr>
            <w:r w:rsidRPr="0075146F">
              <w:rPr>
                <w:sz w:val="20"/>
                <w:szCs w:val="20"/>
              </w:rPr>
              <w:t>N</w:t>
            </w:r>
            <w:r w:rsidR="0075146F">
              <w:rPr>
                <w:sz w:val="20"/>
                <w:szCs w:val="20"/>
              </w:rPr>
              <w:t xml:space="preserve"> </w:t>
            </w:r>
            <w:r w:rsidRPr="0075146F">
              <w:rPr>
                <w:sz w:val="20"/>
                <w:szCs w:val="20"/>
              </w:rPr>
              <w:t>=</w:t>
            </w:r>
            <w:r w:rsidR="0075146F">
              <w:rPr>
                <w:sz w:val="20"/>
                <w:szCs w:val="20"/>
              </w:rPr>
              <w:t xml:space="preserve"> </w:t>
            </w:r>
            <w:r w:rsidRPr="0075146F">
              <w:rPr>
                <w:sz w:val="20"/>
                <w:szCs w:val="20"/>
              </w:rPr>
              <w:t>74</w:t>
            </w:r>
          </w:p>
        </w:tc>
        <w:tc>
          <w:tcPr>
            <w:tcW w:w="2977" w:type="dxa"/>
          </w:tcPr>
          <w:p w14:paraId="0DB22BA6" w14:textId="77777777" w:rsidR="006E0256" w:rsidRPr="0075146F" w:rsidRDefault="006E0256" w:rsidP="0075146F">
            <w:pPr>
              <w:ind w:left="0" w:right="0"/>
              <w:jc w:val="center"/>
              <w:rPr>
                <w:sz w:val="20"/>
                <w:szCs w:val="20"/>
              </w:rPr>
            </w:pPr>
            <w:r w:rsidRPr="0075146F">
              <w:rPr>
                <w:sz w:val="20"/>
                <w:szCs w:val="20"/>
              </w:rPr>
              <w:t>Placebo</w:t>
            </w:r>
          </w:p>
          <w:p w14:paraId="0741406C" w14:textId="77777777" w:rsidR="006E0256" w:rsidRPr="0075146F" w:rsidRDefault="006E0256" w:rsidP="0075146F">
            <w:pPr>
              <w:ind w:left="0" w:right="0"/>
              <w:jc w:val="center"/>
              <w:rPr>
                <w:sz w:val="20"/>
                <w:szCs w:val="20"/>
              </w:rPr>
            </w:pPr>
            <w:r w:rsidRPr="0075146F">
              <w:rPr>
                <w:sz w:val="20"/>
                <w:szCs w:val="20"/>
              </w:rPr>
              <w:t>N</w:t>
            </w:r>
            <w:r w:rsidR="0075146F">
              <w:rPr>
                <w:sz w:val="20"/>
                <w:szCs w:val="20"/>
              </w:rPr>
              <w:t xml:space="preserve"> </w:t>
            </w:r>
            <w:r w:rsidRPr="0075146F">
              <w:rPr>
                <w:sz w:val="20"/>
                <w:szCs w:val="20"/>
              </w:rPr>
              <w:t>=</w:t>
            </w:r>
            <w:r w:rsidR="0075146F">
              <w:rPr>
                <w:sz w:val="20"/>
                <w:szCs w:val="20"/>
              </w:rPr>
              <w:t xml:space="preserve"> </w:t>
            </w:r>
            <w:r w:rsidRPr="0075146F">
              <w:rPr>
                <w:sz w:val="20"/>
                <w:szCs w:val="20"/>
              </w:rPr>
              <w:t>62</w:t>
            </w:r>
          </w:p>
        </w:tc>
      </w:tr>
      <w:tr w:rsidR="006E0256" w:rsidRPr="0075146F" w14:paraId="28ECD32D" w14:textId="77777777" w:rsidTr="006E0256">
        <w:tc>
          <w:tcPr>
            <w:tcW w:w="1809" w:type="dxa"/>
          </w:tcPr>
          <w:p w14:paraId="5BCA5C01" w14:textId="720C5C4E" w:rsidR="006E0256" w:rsidRPr="0075146F" w:rsidRDefault="006E0256" w:rsidP="0075146F">
            <w:pPr>
              <w:ind w:left="0" w:right="0"/>
              <w:rPr>
                <w:sz w:val="20"/>
                <w:szCs w:val="20"/>
              </w:rPr>
            </w:pPr>
            <w:r w:rsidRPr="0075146F">
              <w:rPr>
                <w:sz w:val="20"/>
                <w:szCs w:val="20"/>
              </w:rPr>
              <w:t>Events (%)</w:t>
            </w:r>
          </w:p>
        </w:tc>
        <w:tc>
          <w:tcPr>
            <w:tcW w:w="2410" w:type="dxa"/>
          </w:tcPr>
          <w:p w14:paraId="7D387E7B" w14:textId="77777777" w:rsidR="006E0256" w:rsidRPr="0075146F" w:rsidRDefault="006E0256" w:rsidP="0075146F">
            <w:pPr>
              <w:ind w:left="0" w:right="0"/>
              <w:jc w:val="center"/>
              <w:rPr>
                <w:sz w:val="20"/>
                <w:szCs w:val="20"/>
              </w:rPr>
            </w:pPr>
            <w:r w:rsidRPr="0075146F">
              <w:rPr>
                <w:sz w:val="20"/>
                <w:szCs w:val="20"/>
              </w:rPr>
              <w:t>26</w:t>
            </w:r>
            <w:r w:rsidR="0075146F">
              <w:rPr>
                <w:sz w:val="20"/>
                <w:szCs w:val="20"/>
              </w:rPr>
              <w:t xml:space="preserve"> </w:t>
            </w:r>
            <w:r w:rsidRPr="0075146F">
              <w:rPr>
                <w:sz w:val="20"/>
                <w:szCs w:val="20"/>
              </w:rPr>
              <w:t>(35%)</w:t>
            </w:r>
          </w:p>
        </w:tc>
        <w:tc>
          <w:tcPr>
            <w:tcW w:w="2977" w:type="dxa"/>
          </w:tcPr>
          <w:p w14:paraId="7B593901" w14:textId="77777777" w:rsidR="006E0256" w:rsidRPr="0075146F" w:rsidRDefault="006E0256" w:rsidP="0075146F">
            <w:pPr>
              <w:ind w:left="0" w:right="0"/>
              <w:jc w:val="center"/>
              <w:rPr>
                <w:sz w:val="20"/>
                <w:szCs w:val="20"/>
              </w:rPr>
            </w:pPr>
            <w:r w:rsidRPr="0075146F">
              <w:rPr>
                <w:sz w:val="20"/>
                <w:szCs w:val="20"/>
              </w:rPr>
              <w:t>46</w:t>
            </w:r>
            <w:r w:rsidR="0075146F">
              <w:rPr>
                <w:sz w:val="20"/>
                <w:szCs w:val="20"/>
              </w:rPr>
              <w:t xml:space="preserve"> </w:t>
            </w:r>
            <w:r w:rsidRPr="0075146F">
              <w:rPr>
                <w:sz w:val="20"/>
                <w:szCs w:val="20"/>
              </w:rPr>
              <w:t>(74%)</w:t>
            </w:r>
          </w:p>
        </w:tc>
      </w:tr>
      <w:tr w:rsidR="006E0256" w:rsidRPr="0075146F" w14:paraId="4598FDF4" w14:textId="77777777" w:rsidTr="006E0256">
        <w:tc>
          <w:tcPr>
            <w:tcW w:w="1809" w:type="dxa"/>
          </w:tcPr>
          <w:p w14:paraId="206E29E9" w14:textId="77777777" w:rsidR="006E0256" w:rsidRPr="0075146F" w:rsidRDefault="0075146F" w:rsidP="0075146F">
            <w:pPr>
              <w:ind w:left="0" w:right="0"/>
              <w:rPr>
                <w:sz w:val="20"/>
                <w:szCs w:val="20"/>
              </w:rPr>
            </w:pPr>
            <w:r w:rsidRPr="0075146F">
              <w:rPr>
                <w:sz w:val="20"/>
                <w:szCs w:val="20"/>
              </w:rPr>
              <w:t xml:space="preserve">Median </w:t>
            </w:r>
            <w:r w:rsidR="006E0256" w:rsidRPr="0075146F">
              <w:rPr>
                <w:sz w:val="20"/>
                <w:szCs w:val="20"/>
              </w:rPr>
              <w:t>(PFS)</w:t>
            </w:r>
          </w:p>
        </w:tc>
        <w:tc>
          <w:tcPr>
            <w:tcW w:w="2410" w:type="dxa"/>
          </w:tcPr>
          <w:p w14:paraId="3D4A8AD7" w14:textId="77777777" w:rsidR="006E0256" w:rsidRPr="0075146F" w:rsidRDefault="006E0256" w:rsidP="0075146F">
            <w:pPr>
              <w:ind w:left="0" w:right="0"/>
              <w:jc w:val="center"/>
              <w:rPr>
                <w:sz w:val="20"/>
                <w:szCs w:val="20"/>
              </w:rPr>
            </w:pPr>
            <w:r w:rsidRPr="0075146F">
              <w:rPr>
                <w:sz w:val="20"/>
                <w:szCs w:val="20"/>
              </w:rPr>
              <w:t>11.4 months</w:t>
            </w:r>
          </w:p>
        </w:tc>
        <w:tc>
          <w:tcPr>
            <w:tcW w:w="2977" w:type="dxa"/>
          </w:tcPr>
          <w:p w14:paraId="6FBD209C" w14:textId="77777777" w:rsidR="006E0256" w:rsidRPr="0075146F" w:rsidRDefault="006E0256" w:rsidP="0075146F">
            <w:pPr>
              <w:ind w:left="0" w:right="0"/>
              <w:jc w:val="center"/>
              <w:rPr>
                <w:sz w:val="20"/>
                <w:szCs w:val="20"/>
              </w:rPr>
            </w:pPr>
            <w:r w:rsidRPr="0075146F">
              <w:rPr>
                <w:sz w:val="20"/>
                <w:szCs w:val="20"/>
              </w:rPr>
              <w:t>4.3 months</w:t>
            </w:r>
          </w:p>
        </w:tc>
      </w:tr>
      <w:tr w:rsidR="006E0256" w:rsidRPr="0075146F" w14:paraId="72D90811" w14:textId="77777777" w:rsidTr="006E0256">
        <w:tc>
          <w:tcPr>
            <w:tcW w:w="1809" w:type="dxa"/>
          </w:tcPr>
          <w:p w14:paraId="19534818" w14:textId="3AAAE5DC" w:rsidR="006E0256" w:rsidRPr="0075146F" w:rsidRDefault="006E0256" w:rsidP="0075146F">
            <w:pPr>
              <w:ind w:left="0" w:right="0"/>
              <w:rPr>
                <w:sz w:val="20"/>
                <w:szCs w:val="20"/>
              </w:rPr>
            </w:pPr>
            <w:r w:rsidRPr="0075146F">
              <w:rPr>
                <w:sz w:val="20"/>
                <w:szCs w:val="20"/>
              </w:rPr>
              <w:t>HR</w:t>
            </w:r>
            <w:r w:rsidR="00617EB3">
              <w:rPr>
                <w:sz w:val="20"/>
                <w:szCs w:val="20"/>
              </w:rPr>
              <w:t xml:space="preserve"> </w:t>
            </w:r>
            <w:r w:rsidRPr="0075146F">
              <w:rPr>
                <w:sz w:val="20"/>
                <w:szCs w:val="20"/>
              </w:rPr>
              <w:t>(PFS)</w:t>
            </w:r>
          </w:p>
        </w:tc>
        <w:tc>
          <w:tcPr>
            <w:tcW w:w="5387" w:type="dxa"/>
            <w:gridSpan w:val="2"/>
          </w:tcPr>
          <w:p w14:paraId="2B017B04" w14:textId="77777777" w:rsidR="006E0256" w:rsidRPr="0075146F" w:rsidRDefault="006E0256" w:rsidP="0075146F">
            <w:pPr>
              <w:ind w:left="0" w:right="0"/>
              <w:jc w:val="center"/>
              <w:rPr>
                <w:sz w:val="20"/>
                <w:szCs w:val="20"/>
              </w:rPr>
            </w:pPr>
            <w:r w:rsidRPr="0075146F">
              <w:rPr>
                <w:sz w:val="20"/>
                <w:szCs w:val="20"/>
              </w:rPr>
              <w:t>0.18 (0.10, 0.31); p</w:t>
            </w:r>
            <w:r w:rsidR="0075146F">
              <w:rPr>
                <w:sz w:val="20"/>
                <w:szCs w:val="20"/>
              </w:rPr>
              <w:t xml:space="preserve"> </w:t>
            </w:r>
            <w:r w:rsidRPr="0075146F">
              <w:rPr>
                <w:sz w:val="20"/>
                <w:szCs w:val="20"/>
              </w:rPr>
              <w:t>&lt;</w:t>
            </w:r>
            <w:r w:rsidR="0075146F">
              <w:rPr>
                <w:sz w:val="20"/>
                <w:szCs w:val="20"/>
              </w:rPr>
              <w:t xml:space="preserve"> </w:t>
            </w:r>
            <w:r w:rsidRPr="0075146F">
              <w:rPr>
                <w:sz w:val="20"/>
                <w:szCs w:val="20"/>
              </w:rPr>
              <w:t>0.00001</w:t>
            </w:r>
          </w:p>
        </w:tc>
      </w:tr>
    </w:tbl>
    <w:p w14:paraId="0B17562F" w14:textId="77777777" w:rsidR="006E0256" w:rsidRPr="0075146F" w:rsidRDefault="0075146F" w:rsidP="0075146F">
      <w:pPr>
        <w:pStyle w:val="TableDescription"/>
      </w:pPr>
      <w:r w:rsidRPr="0075146F">
        <w:t>Includes somatic BRCA mutations.</w:t>
      </w:r>
    </w:p>
    <w:p w14:paraId="19521308" w14:textId="77777777" w:rsidR="006E0256" w:rsidRDefault="000A0DC3" w:rsidP="006E0256">
      <w:pPr>
        <w:pStyle w:val="TableTitle"/>
        <w:rPr>
          <w:lang w:eastAsia="en-AU"/>
        </w:rPr>
      </w:pPr>
      <w:r>
        <w:rPr>
          <w:lang w:eastAsia="en-AU"/>
        </w:rPr>
        <w:t>Table 15</w:t>
      </w:r>
      <w:r w:rsidR="006E0256">
        <w:rPr>
          <w:lang w:eastAsia="en-AU"/>
        </w:rPr>
        <w:t xml:space="preserve">: </w:t>
      </w:r>
      <w:r w:rsidR="0075146F">
        <w:rPr>
          <w:lang w:eastAsia="en-AU"/>
        </w:rPr>
        <w:t xml:space="preserve">Primary endpoint </w:t>
      </w:r>
      <w:r w:rsidR="001F00F8">
        <w:rPr>
          <w:lang w:eastAsia="en-AU"/>
        </w:rPr>
        <w:t>Study 19</w:t>
      </w:r>
      <w:r w:rsidR="00F9476E">
        <w:rPr>
          <w:lang w:eastAsia="en-AU"/>
        </w:rPr>
        <w:t xml:space="preserve"> (PFS),</w:t>
      </w:r>
      <w:r w:rsidR="0075146F">
        <w:rPr>
          <w:lang w:eastAsia="en-AU"/>
        </w:rPr>
        <w:t xml:space="preserve"> </w:t>
      </w:r>
      <w:r w:rsidR="006E0256">
        <w:rPr>
          <w:lang w:eastAsia="en-AU"/>
        </w:rPr>
        <w:t>BRCA wild type</w:t>
      </w:r>
      <w:r w:rsidR="00F9476E">
        <w:rPr>
          <w:lang w:eastAsia="en-AU"/>
        </w:rPr>
        <w:t xml:space="preserve"> population</w:t>
      </w:r>
    </w:p>
    <w:tbl>
      <w:tblPr>
        <w:tblStyle w:val="TableTGAblue"/>
        <w:tblW w:w="0" w:type="auto"/>
        <w:tblLook w:val="04A0" w:firstRow="1" w:lastRow="0" w:firstColumn="1" w:lastColumn="0" w:noHBand="0" w:noVBand="1"/>
      </w:tblPr>
      <w:tblGrid>
        <w:gridCol w:w="1809"/>
        <w:gridCol w:w="2410"/>
        <w:gridCol w:w="2977"/>
      </w:tblGrid>
      <w:tr w:rsidR="006E0256" w:rsidRPr="00F9476E" w14:paraId="12E5C08F"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7CB0D818" w14:textId="77777777" w:rsidR="006E0256" w:rsidRPr="00F9476E" w:rsidRDefault="0075146F" w:rsidP="00F9476E">
            <w:pPr>
              <w:ind w:left="0" w:right="0"/>
              <w:rPr>
                <w:sz w:val="20"/>
                <w:szCs w:val="20"/>
              </w:rPr>
            </w:pPr>
            <w:r w:rsidRPr="00F9476E">
              <w:rPr>
                <w:sz w:val="20"/>
                <w:szCs w:val="20"/>
              </w:rPr>
              <w:t>Primary endpoint</w:t>
            </w:r>
            <w:r w:rsidR="000A0DC3">
              <w:rPr>
                <w:sz w:val="20"/>
                <w:szCs w:val="20"/>
              </w:rPr>
              <w:t xml:space="preserve"> (PFS)</w:t>
            </w:r>
          </w:p>
        </w:tc>
        <w:tc>
          <w:tcPr>
            <w:tcW w:w="2410" w:type="dxa"/>
          </w:tcPr>
          <w:p w14:paraId="275F07C8" w14:textId="77777777" w:rsidR="006E0256" w:rsidRPr="00F9476E" w:rsidRDefault="006E0256" w:rsidP="00F9476E">
            <w:pPr>
              <w:ind w:left="0" w:right="0"/>
              <w:jc w:val="center"/>
              <w:rPr>
                <w:sz w:val="20"/>
                <w:szCs w:val="20"/>
              </w:rPr>
            </w:pPr>
            <w:r w:rsidRPr="00F9476E">
              <w:rPr>
                <w:sz w:val="20"/>
                <w:szCs w:val="20"/>
              </w:rPr>
              <w:t>Olaparib</w:t>
            </w:r>
          </w:p>
          <w:p w14:paraId="03BA4F43" w14:textId="77777777" w:rsidR="006E0256" w:rsidRPr="00F9476E" w:rsidRDefault="006E0256" w:rsidP="00F9476E">
            <w:pPr>
              <w:ind w:left="0" w:right="0"/>
              <w:jc w:val="center"/>
              <w:rPr>
                <w:sz w:val="20"/>
                <w:szCs w:val="20"/>
              </w:rPr>
            </w:pPr>
            <w:r w:rsidRPr="00F9476E">
              <w:rPr>
                <w:sz w:val="20"/>
                <w:szCs w:val="20"/>
              </w:rPr>
              <w:t>N</w:t>
            </w:r>
            <w:r w:rsidR="00F9476E" w:rsidRPr="00F9476E">
              <w:rPr>
                <w:sz w:val="20"/>
                <w:szCs w:val="20"/>
              </w:rPr>
              <w:t xml:space="preserve"> </w:t>
            </w:r>
            <w:r w:rsidRPr="00F9476E">
              <w:rPr>
                <w:sz w:val="20"/>
                <w:szCs w:val="20"/>
              </w:rPr>
              <w:t>=</w:t>
            </w:r>
            <w:r w:rsidR="00F9476E" w:rsidRPr="00F9476E">
              <w:rPr>
                <w:sz w:val="20"/>
                <w:szCs w:val="20"/>
              </w:rPr>
              <w:t xml:space="preserve"> </w:t>
            </w:r>
            <w:r w:rsidRPr="00F9476E">
              <w:rPr>
                <w:sz w:val="20"/>
                <w:szCs w:val="20"/>
              </w:rPr>
              <w:t>57</w:t>
            </w:r>
          </w:p>
        </w:tc>
        <w:tc>
          <w:tcPr>
            <w:tcW w:w="2977" w:type="dxa"/>
          </w:tcPr>
          <w:p w14:paraId="1D7F7B62" w14:textId="77777777" w:rsidR="006E0256" w:rsidRPr="00F9476E" w:rsidRDefault="006E0256" w:rsidP="00F9476E">
            <w:pPr>
              <w:ind w:left="0" w:right="0"/>
              <w:jc w:val="center"/>
              <w:rPr>
                <w:sz w:val="20"/>
                <w:szCs w:val="20"/>
              </w:rPr>
            </w:pPr>
            <w:r w:rsidRPr="00F9476E">
              <w:rPr>
                <w:sz w:val="20"/>
                <w:szCs w:val="20"/>
              </w:rPr>
              <w:t>Placebo</w:t>
            </w:r>
          </w:p>
          <w:p w14:paraId="3EAD215D" w14:textId="77777777" w:rsidR="006E0256" w:rsidRPr="00F9476E" w:rsidRDefault="006E0256" w:rsidP="00F9476E">
            <w:pPr>
              <w:ind w:left="0" w:right="0"/>
              <w:jc w:val="center"/>
              <w:rPr>
                <w:sz w:val="20"/>
                <w:szCs w:val="20"/>
              </w:rPr>
            </w:pPr>
            <w:r w:rsidRPr="00F9476E">
              <w:rPr>
                <w:sz w:val="20"/>
                <w:szCs w:val="20"/>
              </w:rPr>
              <w:t>N</w:t>
            </w:r>
            <w:r w:rsidR="00F9476E" w:rsidRPr="00F9476E">
              <w:rPr>
                <w:sz w:val="20"/>
                <w:szCs w:val="20"/>
              </w:rPr>
              <w:t xml:space="preserve"> </w:t>
            </w:r>
            <w:r w:rsidRPr="00F9476E">
              <w:rPr>
                <w:sz w:val="20"/>
                <w:szCs w:val="20"/>
              </w:rPr>
              <w:t>=</w:t>
            </w:r>
            <w:r w:rsidR="00F9476E" w:rsidRPr="00F9476E">
              <w:rPr>
                <w:sz w:val="20"/>
                <w:szCs w:val="20"/>
              </w:rPr>
              <w:t xml:space="preserve"> </w:t>
            </w:r>
            <w:r w:rsidRPr="00F9476E">
              <w:rPr>
                <w:sz w:val="20"/>
                <w:szCs w:val="20"/>
              </w:rPr>
              <w:t>61</w:t>
            </w:r>
          </w:p>
        </w:tc>
      </w:tr>
      <w:tr w:rsidR="006E0256" w:rsidRPr="00F9476E" w14:paraId="0BF1B270" w14:textId="77777777" w:rsidTr="006E0256">
        <w:tc>
          <w:tcPr>
            <w:tcW w:w="1809" w:type="dxa"/>
          </w:tcPr>
          <w:p w14:paraId="1318E446" w14:textId="17CC45A2" w:rsidR="006E0256" w:rsidRPr="00F9476E" w:rsidRDefault="006E0256" w:rsidP="00F9476E">
            <w:pPr>
              <w:ind w:left="0" w:right="0"/>
              <w:rPr>
                <w:sz w:val="20"/>
                <w:szCs w:val="20"/>
              </w:rPr>
            </w:pPr>
            <w:r w:rsidRPr="00F9476E">
              <w:rPr>
                <w:sz w:val="20"/>
                <w:szCs w:val="20"/>
              </w:rPr>
              <w:t>Events</w:t>
            </w:r>
            <w:r w:rsidR="00F30AD1">
              <w:rPr>
                <w:sz w:val="20"/>
                <w:szCs w:val="20"/>
              </w:rPr>
              <w:t xml:space="preserve"> </w:t>
            </w:r>
            <w:r w:rsidRPr="00F9476E">
              <w:rPr>
                <w:sz w:val="20"/>
                <w:szCs w:val="20"/>
              </w:rPr>
              <w:t>(%)</w:t>
            </w:r>
          </w:p>
        </w:tc>
        <w:tc>
          <w:tcPr>
            <w:tcW w:w="2410" w:type="dxa"/>
          </w:tcPr>
          <w:p w14:paraId="3CFA1F5B" w14:textId="77777777" w:rsidR="006E0256" w:rsidRPr="00F9476E" w:rsidRDefault="006E0256" w:rsidP="00F9476E">
            <w:pPr>
              <w:ind w:left="0" w:right="0"/>
              <w:jc w:val="center"/>
              <w:rPr>
                <w:sz w:val="20"/>
                <w:szCs w:val="20"/>
              </w:rPr>
            </w:pPr>
            <w:r w:rsidRPr="00F9476E">
              <w:rPr>
                <w:sz w:val="20"/>
                <w:szCs w:val="20"/>
              </w:rPr>
              <w:t>32</w:t>
            </w:r>
            <w:r w:rsidR="00F9476E">
              <w:rPr>
                <w:sz w:val="20"/>
                <w:szCs w:val="20"/>
              </w:rPr>
              <w:t xml:space="preserve"> </w:t>
            </w:r>
            <w:r w:rsidRPr="00F9476E">
              <w:rPr>
                <w:sz w:val="20"/>
                <w:szCs w:val="20"/>
              </w:rPr>
              <w:t>(56%)</w:t>
            </w:r>
          </w:p>
        </w:tc>
        <w:tc>
          <w:tcPr>
            <w:tcW w:w="2977" w:type="dxa"/>
          </w:tcPr>
          <w:p w14:paraId="6291BC4D" w14:textId="77777777" w:rsidR="006E0256" w:rsidRPr="00F9476E" w:rsidRDefault="006E0256" w:rsidP="00F9476E">
            <w:pPr>
              <w:ind w:left="0" w:right="0"/>
              <w:jc w:val="center"/>
              <w:rPr>
                <w:sz w:val="20"/>
                <w:szCs w:val="20"/>
              </w:rPr>
            </w:pPr>
            <w:r w:rsidRPr="00F9476E">
              <w:rPr>
                <w:sz w:val="20"/>
                <w:szCs w:val="20"/>
              </w:rPr>
              <w:t>44</w:t>
            </w:r>
            <w:r w:rsidR="00F9476E">
              <w:rPr>
                <w:sz w:val="20"/>
                <w:szCs w:val="20"/>
              </w:rPr>
              <w:t xml:space="preserve"> </w:t>
            </w:r>
            <w:r w:rsidRPr="00F9476E">
              <w:rPr>
                <w:sz w:val="20"/>
                <w:szCs w:val="20"/>
              </w:rPr>
              <w:t>(72%)</w:t>
            </w:r>
          </w:p>
        </w:tc>
      </w:tr>
      <w:tr w:rsidR="006E0256" w:rsidRPr="00F9476E" w14:paraId="685EF97F" w14:textId="77777777" w:rsidTr="006E0256">
        <w:tc>
          <w:tcPr>
            <w:tcW w:w="1809" w:type="dxa"/>
          </w:tcPr>
          <w:p w14:paraId="52572BB5" w14:textId="77777777" w:rsidR="006E0256" w:rsidRPr="00F9476E" w:rsidRDefault="00F9476E" w:rsidP="00F9476E">
            <w:pPr>
              <w:ind w:left="0" w:right="0"/>
              <w:rPr>
                <w:sz w:val="20"/>
                <w:szCs w:val="20"/>
              </w:rPr>
            </w:pPr>
            <w:r w:rsidRPr="00F9476E">
              <w:rPr>
                <w:sz w:val="20"/>
                <w:szCs w:val="20"/>
              </w:rPr>
              <w:t xml:space="preserve">Median </w:t>
            </w:r>
            <w:r w:rsidR="006E0256" w:rsidRPr="00F9476E">
              <w:rPr>
                <w:sz w:val="20"/>
                <w:szCs w:val="20"/>
              </w:rPr>
              <w:t>(PFS)</w:t>
            </w:r>
          </w:p>
        </w:tc>
        <w:tc>
          <w:tcPr>
            <w:tcW w:w="2410" w:type="dxa"/>
          </w:tcPr>
          <w:p w14:paraId="7534A15B" w14:textId="77777777" w:rsidR="006E0256" w:rsidRPr="00F9476E" w:rsidRDefault="006E0256" w:rsidP="00F9476E">
            <w:pPr>
              <w:ind w:left="0" w:right="0"/>
              <w:jc w:val="center"/>
              <w:rPr>
                <w:sz w:val="20"/>
                <w:szCs w:val="20"/>
              </w:rPr>
            </w:pPr>
            <w:r w:rsidRPr="00F9476E">
              <w:rPr>
                <w:sz w:val="20"/>
                <w:szCs w:val="20"/>
              </w:rPr>
              <w:t>7.4 months</w:t>
            </w:r>
          </w:p>
        </w:tc>
        <w:tc>
          <w:tcPr>
            <w:tcW w:w="2977" w:type="dxa"/>
          </w:tcPr>
          <w:p w14:paraId="7F1F21C2" w14:textId="77777777" w:rsidR="006E0256" w:rsidRPr="00F9476E" w:rsidRDefault="006E0256" w:rsidP="00F9476E">
            <w:pPr>
              <w:ind w:left="0" w:right="0"/>
              <w:jc w:val="center"/>
              <w:rPr>
                <w:sz w:val="20"/>
                <w:szCs w:val="20"/>
              </w:rPr>
            </w:pPr>
            <w:r w:rsidRPr="00F9476E">
              <w:rPr>
                <w:sz w:val="20"/>
                <w:szCs w:val="20"/>
              </w:rPr>
              <w:t>5.5 months</w:t>
            </w:r>
          </w:p>
        </w:tc>
      </w:tr>
      <w:tr w:rsidR="006E0256" w:rsidRPr="00F9476E" w14:paraId="56BC27DF" w14:textId="77777777" w:rsidTr="006E0256">
        <w:tc>
          <w:tcPr>
            <w:tcW w:w="1809" w:type="dxa"/>
          </w:tcPr>
          <w:p w14:paraId="1E967E3E" w14:textId="77777777" w:rsidR="006E0256" w:rsidRPr="00F9476E" w:rsidRDefault="006E0256" w:rsidP="00F9476E">
            <w:pPr>
              <w:ind w:left="0" w:right="0"/>
              <w:rPr>
                <w:sz w:val="20"/>
                <w:szCs w:val="20"/>
              </w:rPr>
            </w:pPr>
            <w:r w:rsidRPr="00F9476E">
              <w:rPr>
                <w:sz w:val="20"/>
                <w:szCs w:val="20"/>
              </w:rPr>
              <w:t>HR</w:t>
            </w:r>
            <w:r w:rsidR="00F9476E" w:rsidRPr="00F9476E">
              <w:rPr>
                <w:sz w:val="20"/>
                <w:szCs w:val="20"/>
              </w:rPr>
              <w:t xml:space="preserve"> </w:t>
            </w:r>
            <w:r w:rsidRPr="00F9476E">
              <w:rPr>
                <w:sz w:val="20"/>
                <w:szCs w:val="20"/>
              </w:rPr>
              <w:t>(PFS)</w:t>
            </w:r>
          </w:p>
        </w:tc>
        <w:tc>
          <w:tcPr>
            <w:tcW w:w="5387" w:type="dxa"/>
            <w:gridSpan w:val="2"/>
          </w:tcPr>
          <w:p w14:paraId="0E75C2BB" w14:textId="77777777" w:rsidR="006E0256" w:rsidRPr="00F9476E" w:rsidRDefault="006E0256" w:rsidP="00F9476E">
            <w:pPr>
              <w:ind w:left="0" w:right="0"/>
              <w:jc w:val="center"/>
              <w:rPr>
                <w:sz w:val="20"/>
                <w:szCs w:val="20"/>
              </w:rPr>
            </w:pPr>
            <w:r w:rsidRPr="00F9476E">
              <w:rPr>
                <w:sz w:val="20"/>
                <w:szCs w:val="20"/>
              </w:rPr>
              <w:t>0.54 (0.34, 0.85); p</w:t>
            </w:r>
            <w:r w:rsidR="00F9476E">
              <w:rPr>
                <w:sz w:val="20"/>
                <w:szCs w:val="20"/>
              </w:rPr>
              <w:t xml:space="preserve"> </w:t>
            </w:r>
            <w:r w:rsidRPr="00F9476E">
              <w:rPr>
                <w:sz w:val="20"/>
                <w:szCs w:val="20"/>
              </w:rPr>
              <w:t>&lt;</w:t>
            </w:r>
            <w:r w:rsidR="00F9476E">
              <w:rPr>
                <w:sz w:val="20"/>
                <w:szCs w:val="20"/>
              </w:rPr>
              <w:t xml:space="preserve"> </w:t>
            </w:r>
            <w:r w:rsidRPr="00F9476E">
              <w:rPr>
                <w:sz w:val="20"/>
                <w:szCs w:val="20"/>
              </w:rPr>
              <w:t>0.007</w:t>
            </w:r>
          </w:p>
        </w:tc>
      </w:tr>
    </w:tbl>
    <w:p w14:paraId="0B5268BC" w14:textId="77777777" w:rsidR="006E0256" w:rsidRPr="00B30885" w:rsidRDefault="006E0256" w:rsidP="00F9476E">
      <w:pPr>
        <w:pStyle w:val="Heading7"/>
      </w:pPr>
      <w:r w:rsidRPr="00B30885">
        <w:t>Secondary endpoint, OS</w:t>
      </w:r>
    </w:p>
    <w:p w14:paraId="7388BC26" w14:textId="77777777" w:rsidR="006E0256" w:rsidRPr="00CE6EE7" w:rsidRDefault="006E0256" w:rsidP="00F9476E">
      <w:pPr>
        <w:pStyle w:val="ListBullet"/>
      </w:pPr>
      <w:r w:rsidRPr="00CE6EE7">
        <w:t xml:space="preserve">These are the new results for </w:t>
      </w:r>
      <w:r w:rsidR="001F00F8">
        <w:t>Study 19</w:t>
      </w:r>
      <w:r w:rsidRPr="00CE6EE7">
        <w:t>, submitted in this current dossier.</w:t>
      </w:r>
    </w:p>
    <w:p w14:paraId="5FA7056C" w14:textId="77777777" w:rsidR="006E0256" w:rsidRPr="00CE6EE7" w:rsidRDefault="006E0256" w:rsidP="00F9476E">
      <w:pPr>
        <w:pStyle w:val="ListBullet"/>
      </w:pPr>
      <w:r w:rsidRPr="00CE6EE7">
        <w:t>Data cut</w:t>
      </w:r>
      <w:r w:rsidR="00F9476E">
        <w:t xml:space="preserve"> off </w:t>
      </w:r>
      <w:r w:rsidRPr="00CE6EE7">
        <w:t>point: May 2016; 210 (79%), of the 265 trial participa</w:t>
      </w:r>
      <w:r w:rsidR="005551C6">
        <w:t xml:space="preserve">nts, had died </w:t>
      </w:r>
      <w:r w:rsidRPr="00CE6EE7">
        <w:t>(</w:t>
      </w:r>
      <w:r w:rsidR="00DE43A1">
        <w:t>follow up</w:t>
      </w:r>
      <w:r w:rsidRPr="00CE6EE7">
        <w:t>: 6 years)</w:t>
      </w:r>
      <w:r w:rsidR="00F9476E">
        <w:t>.</w:t>
      </w:r>
    </w:p>
    <w:p w14:paraId="2587F7BF" w14:textId="26E858FF" w:rsidR="00C40D2E" w:rsidRDefault="006E0256" w:rsidP="00C40D2E">
      <w:pPr>
        <w:pStyle w:val="ListBullet"/>
      </w:pPr>
      <w:r>
        <w:t>The published data</w:t>
      </w:r>
      <w:r w:rsidR="00617EB3">
        <w:t>;</w:t>
      </w:r>
      <w:r>
        <w:rPr>
          <w:rStyle w:val="FootnoteReference"/>
        </w:rPr>
        <w:footnoteReference w:id="15"/>
      </w:r>
      <w:r>
        <w:t xml:space="preserve"> </w:t>
      </w:r>
      <w:r w:rsidRPr="00CE6EE7">
        <w:t>are for data cut</w:t>
      </w:r>
      <w:r w:rsidR="00F9476E">
        <w:t xml:space="preserve"> off </w:t>
      </w:r>
      <w:r w:rsidRPr="00CE6EE7">
        <w:t>point: Sep</w:t>
      </w:r>
      <w:r w:rsidR="00617EB3">
        <w:t>tember</w:t>
      </w:r>
      <w:r w:rsidRPr="00CE6EE7">
        <w:t xml:space="preserve"> 2015; 203 (77%) of the 265 had died.</w:t>
      </w:r>
    </w:p>
    <w:p w14:paraId="6C38295C" w14:textId="77777777" w:rsidR="006E0256" w:rsidRPr="005551C6" w:rsidRDefault="000A0DC3" w:rsidP="005551C6">
      <w:pPr>
        <w:pStyle w:val="TableTitle"/>
      </w:pPr>
      <w:r>
        <w:t>Table 16</w:t>
      </w:r>
      <w:r w:rsidR="006E0256" w:rsidRPr="005551C6">
        <w:t xml:space="preserve">: </w:t>
      </w:r>
      <w:r w:rsidR="00F9476E" w:rsidRPr="005551C6">
        <w:t xml:space="preserve">Secondary endpoint </w:t>
      </w:r>
      <w:r w:rsidR="001F00F8">
        <w:t>Study 19</w:t>
      </w:r>
      <w:r w:rsidR="00F9476E" w:rsidRPr="005551C6">
        <w:t xml:space="preserve"> (OS), intention to treat population</w:t>
      </w:r>
    </w:p>
    <w:tbl>
      <w:tblPr>
        <w:tblStyle w:val="TableTGAblue"/>
        <w:tblW w:w="0" w:type="auto"/>
        <w:tblLook w:val="04A0" w:firstRow="1" w:lastRow="0" w:firstColumn="1" w:lastColumn="0" w:noHBand="0" w:noVBand="1"/>
      </w:tblPr>
      <w:tblGrid>
        <w:gridCol w:w="1809"/>
        <w:gridCol w:w="2410"/>
        <w:gridCol w:w="2977"/>
      </w:tblGrid>
      <w:tr w:rsidR="006E0256" w:rsidRPr="00F9476E" w14:paraId="11C142E3"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4197997F" w14:textId="77777777" w:rsidR="006E0256" w:rsidRPr="00F9476E" w:rsidRDefault="00F9476E" w:rsidP="00F9476E">
            <w:pPr>
              <w:ind w:left="0" w:right="0"/>
              <w:rPr>
                <w:sz w:val="20"/>
                <w:szCs w:val="20"/>
              </w:rPr>
            </w:pPr>
            <w:r>
              <w:rPr>
                <w:sz w:val="20"/>
                <w:szCs w:val="20"/>
              </w:rPr>
              <w:t>Secondary endpoint</w:t>
            </w:r>
            <w:r w:rsidR="005551C6">
              <w:rPr>
                <w:sz w:val="20"/>
                <w:szCs w:val="20"/>
              </w:rPr>
              <w:t xml:space="preserve"> (OS)</w:t>
            </w:r>
          </w:p>
        </w:tc>
        <w:tc>
          <w:tcPr>
            <w:tcW w:w="2410" w:type="dxa"/>
          </w:tcPr>
          <w:p w14:paraId="6FE86657" w14:textId="77777777" w:rsidR="006E0256" w:rsidRPr="00F9476E" w:rsidRDefault="006E0256" w:rsidP="00F9476E">
            <w:pPr>
              <w:ind w:left="0" w:right="0"/>
              <w:jc w:val="center"/>
              <w:rPr>
                <w:sz w:val="20"/>
                <w:szCs w:val="20"/>
              </w:rPr>
            </w:pPr>
            <w:r w:rsidRPr="00F9476E">
              <w:rPr>
                <w:sz w:val="20"/>
                <w:szCs w:val="20"/>
              </w:rPr>
              <w:t>Olaparib</w:t>
            </w:r>
          </w:p>
          <w:p w14:paraId="41AB0334" w14:textId="77777777" w:rsidR="006E0256" w:rsidRPr="00F9476E" w:rsidRDefault="006E0256" w:rsidP="00F9476E">
            <w:pPr>
              <w:ind w:left="0" w:right="0"/>
              <w:jc w:val="center"/>
              <w:rPr>
                <w:sz w:val="20"/>
                <w:szCs w:val="20"/>
              </w:rPr>
            </w:pPr>
            <w:r w:rsidRPr="00F9476E">
              <w:rPr>
                <w:sz w:val="20"/>
                <w:szCs w:val="20"/>
              </w:rPr>
              <w:t>N</w:t>
            </w:r>
            <w:r w:rsidR="00F9476E">
              <w:rPr>
                <w:sz w:val="20"/>
                <w:szCs w:val="20"/>
              </w:rPr>
              <w:t xml:space="preserve"> </w:t>
            </w:r>
            <w:r w:rsidRPr="00F9476E">
              <w:rPr>
                <w:sz w:val="20"/>
                <w:szCs w:val="20"/>
              </w:rPr>
              <w:t>=</w:t>
            </w:r>
            <w:r w:rsidR="00F9476E">
              <w:rPr>
                <w:sz w:val="20"/>
                <w:szCs w:val="20"/>
              </w:rPr>
              <w:t xml:space="preserve"> </w:t>
            </w:r>
            <w:r w:rsidRPr="00F9476E">
              <w:rPr>
                <w:sz w:val="20"/>
                <w:szCs w:val="20"/>
              </w:rPr>
              <w:t>136</w:t>
            </w:r>
          </w:p>
        </w:tc>
        <w:tc>
          <w:tcPr>
            <w:tcW w:w="2977" w:type="dxa"/>
          </w:tcPr>
          <w:p w14:paraId="58A6B56F" w14:textId="77777777" w:rsidR="006E0256" w:rsidRPr="00F9476E" w:rsidRDefault="006E0256" w:rsidP="00F9476E">
            <w:pPr>
              <w:ind w:left="0" w:right="0"/>
              <w:jc w:val="center"/>
              <w:rPr>
                <w:sz w:val="20"/>
                <w:szCs w:val="20"/>
              </w:rPr>
            </w:pPr>
            <w:r w:rsidRPr="00F9476E">
              <w:rPr>
                <w:sz w:val="20"/>
                <w:szCs w:val="20"/>
              </w:rPr>
              <w:t>Placebo</w:t>
            </w:r>
          </w:p>
          <w:p w14:paraId="0E8B5179" w14:textId="77777777" w:rsidR="006E0256" w:rsidRPr="00F9476E" w:rsidRDefault="006E0256" w:rsidP="00F9476E">
            <w:pPr>
              <w:ind w:left="0" w:right="0"/>
              <w:jc w:val="center"/>
              <w:rPr>
                <w:sz w:val="20"/>
                <w:szCs w:val="20"/>
              </w:rPr>
            </w:pPr>
            <w:r w:rsidRPr="00F9476E">
              <w:rPr>
                <w:sz w:val="20"/>
                <w:szCs w:val="20"/>
              </w:rPr>
              <w:t>N</w:t>
            </w:r>
            <w:r w:rsidR="00F9476E">
              <w:rPr>
                <w:sz w:val="20"/>
                <w:szCs w:val="20"/>
              </w:rPr>
              <w:t xml:space="preserve"> </w:t>
            </w:r>
            <w:r w:rsidRPr="00F9476E">
              <w:rPr>
                <w:sz w:val="20"/>
                <w:szCs w:val="20"/>
              </w:rPr>
              <w:t>=</w:t>
            </w:r>
            <w:r w:rsidR="00F9476E">
              <w:rPr>
                <w:sz w:val="20"/>
                <w:szCs w:val="20"/>
              </w:rPr>
              <w:t xml:space="preserve"> </w:t>
            </w:r>
            <w:r w:rsidRPr="00F9476E">
              <w:rPr>
                <w:sz w:val="20"/>
                <w:szCs w:val="20"/>
              </w:rPr>
              <w:t>129</w:t>
            </w:r>
          </w:p>
        </w:tc>
      </w:tr>
      <w:tr w:rsidR="006E0256" w:rsidRPr="00F9476E" w14:paraId="75FB4088" w14:textId="77777777" w:rsidTr="006E0256">
        <w:tc>
          <w:tcPr>
            <w:tcW w:w="1809" w:type="dxa"/>
          </w:tcPr>
          <w:p w14:paraId="3E2FAD38" w14:textId="4340B6E9" w:rsidR="006E0256" w:rsidRPr="00F9476E" w:rsidRDefault="006E0256" w:rsidP="00F9476E">
            <w:pPr>
              <w:ind w:left="0" w:right="0"/>
              <w:rPr>
                <w:sz w:val="20"/>
                <w:szCs w:val="20"/>
              </w:rPr>
            </w:pPr>
            <w:r w:rsidRPr="00F9476E">
              <w:rPr>
                <w:sz w:val="20"/>
                <w:szCs w:val="20"/>
              </w:rPr>
              <w:t>Deaths (%)</w:t>
            </w:r>
          </w:p>
        </w:tc>
        <w:tc>
          <w:tcPr>
            <w:tcW w:w="2410" w:type="dxa"/>
          </w:tcPr>
          <w:p w14:paraId="4615245F" w14:textId="77777777" w:rsidR="006E0256" w:rsidRPr="00F9476E" w:rsidRDefault="006E0256" w:rsidP="00F9476E">
            <w:pPr>
              <w:ind w:left="0" w:right="0"/>
              <w:jc w:val="center"/>
              <w:rPr>
                <w:sz w:val="20"/>
                <w:szCs w:val="20"/>
              </w:rPr>
            </w:pPr>
            <w:r w:rsidRPr="00F9476E">
              <w:rPr>
                <w:sz w:val="20"/>
                <w:szCs w:val="20"/>
              </w:rPr>
              <w:t>98 (72%)</w:t>
            </w:r>
          </w:p>
        </w:tc>
        <w:tc>
          <w:tcPr>
            <w:tcW w:w="2977" w:type="dxa"/>
          </w:tcPr>
          <w:p w14:paraId="342120FC" w14:textId="77777777" w:rsidR="006E0256" w:rsidRPr="00F9476E" w:rsidRDefault="006E0256" w:rsidP="00F9476E">
            <w:pPr>
              <w:ind w:left="0" w:right="0"/>
              <w:jc w:val="center"/>
              <w:rPr>
                <w:sz w:val="20"/>
                <w:szCs w:val="20"/>
              </w:rPr>
            </w:pPr>
            <w:r w:rsidRPr="00F9476E">
              <w:rPr>
                <w:sz w:val="20"/>
                <w:szCs w:val="20"/>
              </w:rPr>
              <w:t>112 (87%)</w:t>
            </w:r>
          </w:p>
        </w:tc>
      </w:tr>
      <w:tr w:rsidR="006E0256" w:rsidRPr="00F9476E" w14:paraId="44679705" w14:textId="77777777" w:rsidTr="006E0256">
        <w:tc>
          <w:tcPr>
            <w:tcW w:w="1809" w:type="dxa"/>
          </w:tcPr>
          <w:p w14:paraId="42E78B35" w14:textId="77777777" w:rsidR="006E0256" w:rsidRPr="00F9476E" w:rsidRDefault="00F9476E" w:rsidP="00F9476E">
            <w:pPr>
              <w:ind w:left="0" w:right="0"/>
              <w:rPr>
                <w:sz w:val="20"/>
                <w:szCs w:val="20"/>
              </w:rPr>
            </w:pPr>
            <w:r>
              <w:rPr>
                <w:sz w:val="20"/>
                <w:szCs w:val="20"/>
              </w:rPr>
              <w:t xml:space="preserve">Median </w:t>
            </w:r>
            <w:r w:rsidR="006E0256" w:rsidRPr="00F9476E">
              <w:rPr>
                <w:sz w:val="20"/>
                <w:szCs w:val="20"/>
              </w:rPr>
              <w:t>(OS)</w:t>
            </w:r>
          </w:p>
        </w:tc>
        <w:tc>
          <w:tcPr>
            <w:tcW w:w="2410" w:type="dxa"/>
          </w:tcPr>
          <w:p w14:paraId="47D43603" w14:textId="77777777" w:rsidR="006E0256" w:rsidRPr="00F9476E" w:rsidRDefault="006E0256" w:rsidP="00F9476E">
            <w:pPr>
              <w:ind w:left="0" w:right="0"/>
              <w:jc w:val="center"/>
              <w:rPr>
                <w:sz w:val="20"/>
                <w:szCs w:val="20"/>
              </w:rPr>
            </w:pPr>
            <w:r w:rsidRPr="00F9476E">
              <w:rPr>
                <w:sz w:val="20"/>
                <w:szCs w:val="20"/>
              </w:rPr>
              <w:t>29.8 months</w:t>
            </w:r>
          </w:p>
        </w:tc>
        <w:tc>
          <w:tcPr>
            <w:tcW w:w="2977" w:type="dxa"/>
          </w:tcPr>
          <w:p w14:paraId="3328EF0D" w14:textId="77777777" w:rsidR="006E0256" w:rsidRPr="00F9476E" w:rsidRDefault="006E0256" w:rsidP="00F9476E">
            <w:pPr>
              <w:ind w:left="0" w:right="0"/>
              <w:jc w:val="center"/>
              <w:rPr>
                <w:sz w:val="20"/>
                <w:szCs w:val="20"/>
              </w:rPr>
            </w:pPr>
            <w:r w:rsidRPr="00F9476E">
              <w:rPr>
                <w:sz w:val="20"/>
                <w:szCs w:val="20"/>
              </w:rPr>
              <w:t>27.8 months</w:t>
            </w:r>
          </w:p>
        </w:tc>
      </w:tr>
      <w:tr w:rsidR="006E0256" w:rsidRPr="00F9476E" w14:paraId="6C90224B" w14:textId="77777777" w:rsidTr="006E0256">
        <w:tc>
          <w:tcPr>
            <w:tcW w:w="1809" w:type="dxa"/>
          </w:tcPr>
          <w:p w14:paraId="551977BA" w14:textId="77777777" w:rsidR="006E0256" w:rsidRPr="00F9476E" w:rsidRDefault="006E0256" w:rsidP="00F9476E">
            <w:pPr>
              <w:ind w:left="0" w:right="0"/>
              <w:rPr>
                <w:sz w:val="20"/>
                <w:szCs w:val="20"/>
              </w:rPr>
            </w:pPr>
            <w:r w:rsidRPr="00F9476E">
              <w:rPr>
                <w:sz w:val="20"/>
                <w:szCs w:val="20"/>
              </w:rPr>
              <w:t>HR</w:t>
            </w:r>
            <w:r w:rsidR="00F9476E">
              <w:rPr>
                <w:sz w:val="20"/>
                <w:szCs w:val="20"/>
              </w:rPr>
              <w:t xml:space="preserve"> (OS</w:t>
            </w:r>
            <w:r w:rsidRPr="00F9476E">
              <w:rPr>
                <w:sz w:val="20"/>
                <w:szCs w:val="20"/>
              </w:rPr>
              <w:t>)</w:t>
            </w:r>
          </w:p>
        </w:tc>
        <w:tc>
          <w:tcPr>
            <w:tcW w:w="5387" w:type="dxa"/>
            <w:gridSpan w:val="2"/>
          </w:tcPr>
          <w:p w14:paraId="4D12FD66" w14:textId="77777777" w:rsidR="006E0256" w:rsidRPr="00F9476E" w:rsidRDefault="006E0256" w:rsidP="00F9476E">
            <w:pPr>
              <w:ind w:left="0" w:right="0"/>
              <w:jc w:val="center"/>
              <w:rPr>
                <w:sz w:val="20"/>
                <w:szCs w:val="20"/>
                <w:vertAlign w:val="superscript"/>
              </w:rPr>
            </w:pPr>
            <w:r w:rsidRPr="00F9476E">
              <w:rPr>
                <w:sz w:val="20"/>
                <w:szCs w:val="20"/>
              </w:rPr>
              <w:t>0.73 (0.55, 0.95); p</w:t>
            </w:r>
            <w:r w:rsidR="00F9476E">
              <w:rPr>
                <w:sz w:val="20"/>
                <w:szCs w:val="20"/>
              </w:rPr>
              <w:t xml:space="preserve"> </w:t>
            </w:r>
            <w:r w:rsidRPr="00F9476E">
              <w:rPr>
                <w:sz w:val="20"/>
                <w:szCs w:val="20"/>
              </w:rPr>
              <w:t>=</w:t>
            </w:r>
            <w:r w:rsidR="00F9476E">
              <w:rPr>
                <w:sz w:val="20"/>
                <w:szCs w:val="20"/>
              </w:rPr>
              <w:t xml:space="preserve"> </w:t>
            </w:r>
            <w:r w:rsidRPr="00F9476E">
              <w:rPr>
                <w:sz w:val="20"/>
                <w:szCs w:val="20"/>
              </w:rPr>
              <w:t>0.021</w:t>
            </w:r>
            <w:r w:rsidRPr="00F9476E">
              <w:rPr>
                <w:sz w:val="20"/>
                <w:szCs w:val="20"/>
                <w:vertAlign w:val="superscript"/>
              </w:rPr>
              <w:t>a</w:t>
            </w:r>
          </w:p>
        </w:tc>
      </w:tr>
    </w:tbl>
    <w:p w14:paraId="70809B31" w14:textId="77777777" w:rsidR="00C40D2E" w:rsidRPr="00C40D2E" w:rsidRDefault="00C40D2E" w:rsidP="00C40D2E">
      <w:pPr>
        <w:pStyle w:val="TableDescription"/>
      </w:pPr>
      <w:r w:rsidRPr="00C40D2E">
        <w:t>a) Not statistically significant: Phase II study; no pre-specified rules for dealing with statistical multiplicity for subgroups or secondary endpoints.</w:t>
      </w:r>
    </w:p>
    <w:p w14:paraId="10CEA210" w14:textId="77777777" w:rsidR="00F9476E" w:rsidRDefault="000A0DC3" w:rsidP="006E0256">
      <w:pPr>
        <w:pStyle w:val="TableTitle"/>
      </w:pPr>
      <w:r>
        <w:lastRenderedPageBreak/>
        <w:t>Table 17</w:t>
      </w:r>
      <w:r w:rsidR="006E0256">
        <w:t xml:space="preserve">: </w:t>
      </w:r>
      <w:r w:rsidR="00F9476E">
        <w:rPr>
          <w:lang w:eastAsia="en-AU"/>
        </w:rPr>
        <w:t xml:space="preserve">Secondary endpoint </w:t>
      </w:r>
      <w:r w:rsidR="001F00F8">
        <w:rPr>
          <w:lang w:eastAsia="en-AU"/>
        </w:rPr>
        <w:t>Study 19</w:t>
      </w:r>
      <w:r w:rsidR="00F9476E">
        <w:rPr>
          <w:lang w:eastAsia="en-AU"/>
        </w:rPr>
        <w:t xml:space="preserve"> (OS), </w:t>
      </w:r>
      <w:r w:rsidR="00F9476E">
        <w:t>BRCA mutant population</w:t>
      </w:r>
    </w:p>
    <w:tbl>
      <w:tblPr>
        <w:tblStyle w:val="TableTGAblue"/>
        <w:tblW w:w="0" w:type="auto"/>
        <w:tblLook w:val="04A0" w:firstRow="1" w:lastRow="0" w:firstColumn="1" w:lastColumn="0" w:noHBand="0" w:noVBand="1"/>
      </w:tblPr>
      <w:tblGrid>
        <w:gridCol w:w="1809"/>
        <w:gridCol w:w="2410"/>
        <w:gridCol w:w="2977"/>
      </w:tblGrid>
      <w:tr w:rsidR="006E0256" w:rsidRPr="00F9476E" w14:paraId="5443E00E"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622BEBA5" w14:textId="77777777" w:rsidR="006E0256" w:rsidRPr="00F9476E" w:rsidRDefault="00F9476E" w:rsidP="00F9476E">
            <w:pPr>
              <w:ind w:left="0" w:right="0"/>
              <w:rPr>
                <w:rFonts w:asciiTheme="minorHAnsi" w:hAnsiTheme="minorHAnsi"/>
                <w:sz w:val="20"/>
                <w:szCs w:val="20"/>
              </w:rPr>
            </w:pPr>
            <w:r w:rsidRPr="00F9476E">
              <w:rPr>
                <w:rFonts w:asciiTheme="minorHAnsi" w:hAnsiTheme="minorHAnsi"/>
                <w:sz w:val="20"/>
                <w:szCs w:val="20"/>
              </w:rPr>
              <w:t>Secondary endpoint</w:t>
            </w:r>
            <w:r w:rsidR="005551C6">
              <w:rPr>
                <w:rFonts w:asciiTheme="minorHAnsi" w:hAnsiTheme="minorHAnsi"/>
                <w:sz w:val="20"/>
                <w:szCs w:val="20"/>
              </w:rPr>
              <w:t xml:space="preserve"> (OS)</w:t>
            </w:r>
          </w:p>
        </w:tc>
        <w:tc>
          <w:tcPr>
            <w:tcW w:w="2410" w:type="dxa"/>
          </w:tcPr>
          <w:p w14:paraId="49FBFCBF"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Olaparib</w:t>
            </w:r>
          </w:p>
          <w:p w14:paraId="631C0320"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N</w:t>
            </w:r>
            <w:r w:rsidR="00F9476E" w:rsidRPr="00F9476E">
              <w:rPr>
                <w:rFonts w:asciiTheme="minorHAnsi" w:hAnsiTheme="minorHAnsi"/>
                <w:sz w:val="20"/>
                <w:szCs w:val="20"/>
              </w:rPr>
              <w:t xml:space="preserve"> </w:t>
            </w:r>
            <w:r w:rsidRPr="00F9476E">
              <w:rPr>
                <w:rFonts w:asciiTheme="minorHAnsi" w:hAnsiTheme="minorHAnsi"/>
                <w:sz w:val="20"/>
                <w:szCs w:val="20"/>
              </w:rPr>
              <w:t>=</w:t>
            </w:r>
            <w:r w:rsidR="00F9476E" w:rsidRPr="00F9476E">
              <w:rPr>
                <w:rFonts w:asciiTheme="minorHAnsi" w:hAnsiTheme="minorHAnsi"/>
                <w:sz w:val="20"/>
                <w:szCs w:val="20"/>
              </w:rPr>
              <w:t xml:space="preserve"> </w:t>
            </w:r>
            <w:r w:rsidRPr="00F9476E">
              <w:rPr>
                <w:rFonts w:asciiTheme="minorHAnsi" w:hAnsiTheme="minorHAnsi"/>
                <w:sz w:val="20"/>
                <w:szCs w:val="20"/>
              </w:rPr>
              <w:t>74</w:t>
            </w:r>
          </w:p>
        </w:tc>
        <w:tc>
          <w:tcPr>
            <w:tcW w:w="2977" w:type="dxa"/>
          </w:tcPr>
          <w:p w14:paraId="44B0D75D"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Placebo</w:t>
            </w:r>
          </w:p>
          <w:p w14:paraId="4F42E479"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N</w:t>
            </w:r>
            <w:r w:rsidR="00F9476E" w:rsidRPr="00F9476E">
              <w:rPr>
                <w:rFonts w:asciiTheme="minorHAnsi" w:hAnsiTheme="minorHAnsi"/>
                <w:sz w:val="20"/>
                <w:szCs w:val="20"/>
              </w:rPr>
              <w:t xml:space="preserve"> </w:t>
            </w:r>
            <w:r w:rsidRPr="00F9476E">
              <w:rPr>
                <w:rFonts w:asciiTheme="minorHAnsi" w:hAnsiTheme="minorHAnsi"/>
                <w:sz w:val="20"/>
                <w:szCs w:val="20"/>
              </w:rPr>
              <w:t>=</w:t>
            </w:r>
            <w:r w:rsidR="00F9476E" w:rsidRPr="00F9476E">
              <w:rPr>
                <w:rFonts w:asciiTheme="minorHAnsi" w:hAnsiTheme="minorHAnsi"/>
                <w:sz w:val="20"/>
                <w:szCs w:val="20"/>
              </w:rPr>
              <w:t xml:space="preserve"> </w:t>
            </w:r>
            <w:r w:rsidRPr="00F9476E">
              <w:rPr>
                <w:rFonts w:asciiTheme="minorHAnsi" w:hAnsiTheme="minorHAnsi"/>
                <w:sz w:val="20"/>
                <w:szCs w:val="20"/>
              </w:rPr>
              <w:t>62</w:t>
            </w:r>
          </w:p>
        </w:tc>
      </w:tr>
      <w:tr w:rsidR="006E0256" w:rsidRPr="00F9476E" w14:paraId="52229751" w14:textId="77777777" w:rsidTr="006E0256">
        <w:tc>
          <w:tcPr>
            <w:tcW w:w="1809" w:type="dxa"/>
          </w:tcPr>
          <w:p w14:paraId="4AF75AB8" w14:textId="71AB5701" w:rsidR="006E0256" w:rsidRPr="00F9476E" w:rsidRDefault="006E0256" w:rsidP="00F9476E">
            <w:pPr>
              <w:ind w:left="0" w:right="0"/>
              <w:rPr>
                <w:rFonts w:asciiTheme="minorHAnsi" w:hAnsiTheme="minorHAnsi"/>
                <w:sz w:val="20"/>
                <w:szCs w:val="20"/>
              </w:rPr>
            </w:pPr>
            <w:r w:rsidRPr="00F9476E">
              <w:rPr>
                <w:rFonts w:asciiTheme="minorHAnsi" w:hAnsiTheme="minorHAnsi"/>
                <w:sz w:val="20"/>
                <w:szCs w:val="20"/>
              </w:rPr>
              <w:t>Deaths (%)</w:t>
            </w:r>
          </w:p>
        </w:tc>
        <w:tc>
          <w:tcPr>
            <w:tcW w:w="2410" w:type="dxa"/>
          </w:tcPr>
          <w:p w14:paraId="0E601253"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49</w:t>
            </w:r>
            <w:r w:rsidR="00DB6FEA">
              <w:rPr>
                <w:rFonts w:asciiTheme="minorHAnsi" w:hAnsiTheme="minorHAnsi"/>
                <w:sz w:val="20"/>
                <w:szCs w:val="20"/>
              </w:rPr>
              <w:t xml:space="preserve"> </w:t>
            </w:r>
            <w:r w:rsidRPr="00F9476E">
              <w:rPr>
                <w:rFonts w:asciiTheme="minorHAnsi" w:hAnsiTheme="minorHAnsi"/>
                <w:sz w:val="20"/>
                <w:szCs w:val="20"/>
              </w:rPr>
              <w:t>(66%)</w:t>
            </w:r>
          </w:p>
        </w:tc>
        <w:tc>
          <w:tcPr>
            <w:tcW w:w="2977" w:type="dxa"/>
          </w:tcPr>
          <w:p w14:paraId="16ABA696"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50</w:t>
            </w:r>
            <w:r w:rsidR="00DB6FEA">
              <w:rPr>
                <w:rFonts w:asciiTheme="minorHAnsi" w:hAnsiTheme="minorHAnsi"/>
                <w:sz w:val="20"/>
                <w:szCs w:val="20"/>
              </w:rPr>
              <w:t xml:space="preserve"> </w:t>
            </w:r>
            <w:r w:rsidRPr="00F9476E">
              <w:rPr>
                <w:rFonts w:asciiTheme="minorHAnsi" w:hAnsiTheme="minorHAnsi"/>
                <w:sz w:val="20"/>
                <w:szCs w:val="20"/>
              </w:rPr>
              <w:t>(81%)</w:t>
            </w:r>
          </w:p>
        </w:tc>
      </w:tr>
      <w:tr w:rsidR="006E0256" w:rsidRPr="00F9476E" w14:paraId="3CAF5DDA" w14:textId="77777777" w:rsidTr="006E0256">
        <w:tc>
          <w:tcPr>
            <w:tcW w:w="1809" w:type="dxa"/>
          </w:tcPr>
          <w:p w14:paraId="1413DB91" w14:textId="77777777" w:rsidR="006E0256" w:rsidRPr="00F9476E" w:rsidRDefault="00F9476E" w:rsidP="00F9476E">
            <w:pPr>
              <w:ind w:left="0" w:right="0"/>
              <w:rPr>
                <w:rFonts w:asciiTheme="minorHAnsi" w:hAnsiTheme="minorHAnsi"/>
                <w:sz w:val="20"/>
                <w:szCs w:val="20"/>
              </w:rPr>
            </w:pPr>
            <w:r w:rsidRPr="00F9476E">
              <w:rPr>
                <w:rFonts w:asciiTheme="minorHAnsi" w:hAnsiTheme="minorHAnsi"/>
                <w:sz w:val="20"/>
                <w:szCs w:val="20"/>
              </w:rPr>
              <w:t xml:space="preserve">Median </w:t>
            </w:r>
            <w:r w:rsidR="006E0256" w:rsidRPr="00F9476E">
              <w:rPr>
                <w:rFonts w:asciiTheme="minorHAnsi" w:hAnsiTheme="minorHAnsi"/>
                <w:sz w:val="20"/>
                <w:szCs w:val="20"/>
              </w:rPr>
              <w:t>(OS)</w:t>
            </w:r>
          </w:p>
        </w:tc>
        <w:tc>
          <w:tcPr>
            <w:tcW w:w="2410" w:type="dxa"/>
          </w:tcPr>
          <w:p w14:paraId="58DAF4AF"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34.9 months</w:t>
            </w:r>
          </w:p>
        </w:tc>
        <w:tc>
          <w:tcPr>
            <w:tcW w:w="2977" w:type="dxa"/>
          </w:tcPr>
          <w:p w14:paraId="62E9C174" w14:textId="77777777" w:rsidR="006E0256" w:rsidRPr="00F9476E" w:rsidRDefault="006E0256" w:rsidP="00F9476E">
            <w:pPr>
              <w:ind w:left="0" w:right="0"/>
              <w:jc w:val="center"/>
              <w:rPr>
                <w:rFonts w:asciiTheme="minorHAnsi" w:hAnsiTheme="minorHAnsi"/>
                <w:sz w:val="20"/>
                <w:szCs w:val="20"/>
              </w:rPr>
            </w:pPr>
            <w:r w:rsidRPr="00F9476E">
              <w:rPr>
                <w:rFonts w:asciiTheme="minorHAnsi" w:hAnsiTheme="minorHAnsi"/>
                <w:sz w:val="20"/>
                <w:szCs w:val="20"/>
              </w:rPr>
              <w:t>30.2 months</w:t>
            </w:r>
          </w:p>
        </w:tc>
      </w:tr>
      <w:tr w:rsidR="006E0256" w:rsidRPr="00F9476E" w14:paraId="745F6DAE" w14:textId="77777777" w:rsidTr="006E0256">
        <w:tc>
          <w:tcPr>
            <w:tcW w:w="1809" w:type="dxa"/>
          </w:tcPr>
          <w:p w14:paraId="2EB03E73" w14:textId="77777777" w:rsidR="006E0256" w:rsidRPr="00F9476E" w:rsidRDefault="00F9476E" w:rsidP="00F9476E">
            <w:pPr>
              <w:ind w:left="0" w:right="0"/>
              <w:rPr>
                <w:rFonts w:asciiTheme="minorHAnsi" w:hAnsiTheme="minorHAnsi"/>
                <w:sz w:val="20"/>
                <w:szCs w:val="20"/>
              </w:rPr>
            </w:pPr>
            <w:r w:rsidRPr="00F9476E">
              <w:rPr>
                <w:rFonts w:asciiTheme="minorHAnsi" w:hAnsiTheme="minorHAnsi"/>
                <w:sz w:val="20"/>
                <w:szCs w:val="20"/>
              </w:rPr>
              <w:t>HR (OS</w:t>
            </w:r>
            <w:r w:rsidR="006E0256" w:rsidRPr="00F9476E">
              <w:rPr>
                <w:rFonts w:asciiTheme="minorHAnsi" w:hAnsiTheme="minorHAnsi"/>
                <w:sz w:val="20"/>
                <w:szCs w:val="20"/>
              </w:rPr>
              <w:t>)</w:t>
            </w:r>
          </w:p>
        </w:tc>
        <w:tc>
          <w:tcPr>
            <w:tcW w:w="5387" w:type="dxa"/>
            <w:gridSpan w:val="2"/>
          </w:tcPr>
          <w:p w14:paraId="3A589BD8" w14:textId="77777777" w:rsidR="006E0256" w:rsidRPr="00F9476E" w:rsidRDefault="006E0256" w:rsidP="00F9476E">
            <w:pPr>
              <w:ind w:left="0" w:right="0"/>
              <w:jc w:val="center"/>
              <w:rPr>
                <w:rFonts w:asciiTheme="minorHAnsi" w:hAnsiTheme="minorHAnsi"/>
                <w:sz w:val="20"/>
                <w:szCs w:val="20"/>
                <w:vertAlign w:val="superscript"/>
              </w:rPr>
            </w:pPr>
            <w:r w:rsidRPr="00F9476E">
              <w:rPr>
                <w:rFonts w:asciiTheme="minorHAnsi" w:hAnsiTheme="minorHAnsi"/>
                <w:sz w:val="20"/>
                <w:szCs w:val="20"/>
              </w:rPr>
              <w:t>0.62 (0.42, 0.93); p</w:t>
            </w:r>
            <w:r w:rsidR="00DB6FEA">
              <w:rPr>
                <w:rFonts w:asciiTheme="minorHAnsi" w:hAnsiTheme="minorHAnsi"/>
                <w:sz w:val="20"/>
                <w:szCs w:val="20"/>
              </w:rPr>
              <w:t xml:space="preserve"> </w:t>
            </w:r>
            <w:r w:rsidRPr="00F9476E">
              <w:rPr>
                <w:rFonts w:asciiTheme="minorHAnsi" w:hAnsiTheme="minorHAnsi"/>
                <w:sz w:val="20"/>
                <w:szCs w:val="20"/>
              </w:rPr>
              <w:t>=</w:t>
            </w:r>
            <w:r w:rsidR="00DB6FEA">
              <w:rPr>
                <w:rFonts w:asciiTheme="minorHAnsi" w:hAnsiTheme="minorHAnsi"/>
                <w:sz w:val="20"/>
                <w:szCs w:val="20"/>
              </w:rPr>
              <w:t xml:space="preserve"> </w:t>
            </w:r>
            <w:r w:rsidRPr="00F9476E">
              <w:rPr>
                <w:rFonts w:asciiTheme="minorHAnsi" w:hAnsiTheme="minorHAnsi"/>
                <w:sz w:val="20"/>
                <w:szCs w:val="20"/>
              </w:rPr>
              <w:t>0.021</w:t>
            </w:r>
            <w:r w:rsidRPr="00F9476E">
              <w:rPr>
                <w:rFonts w:asciiTheme="minorHAnsi" w:hAnsiTheme="minorHAnsi"/>
                <w:sz w:val="20"/>
                <w:szCs w:val="20"/>
                <w:vertAlign w:val="superscript"/>
              </w:rPr>
              <w:t>a</w:t>
            </w:r>
          </w:p>
        </w:tc>
      </w:tr>
    </w:tbl>
    <w:p w14:paraId="0BFF9F9B" w14:textId="77777777" w:rsidR="00F9476E" w:rsidRDefault="00F9476E" w:rsidP="00F9476E">
      <w:pPr>
        <w:pStyle w:val="TableDescription"/>
      </w:pPr>
      <w:r>
        <w:t>a) Not statistically significant: Phase II study; no pre-specified rules for dealing with statistical multiplicity for subgroups or secondary endpoints.</w:t>
      </w:r>
    </w:p>
    <w:p w14:paraId="689AA64B" w14:textId="77777777" w:rsidR="006E0256" w:rsidRDefault="000A0DC3" w:rsidP="006E0256">
      <w:pPr>
        <w:pStyle w:val="TableTitle"/>
      </w:pPr>
      <w:r>
        <w:t>Table 18</w:t>
      </w:r>
      <w:r w:rsidR="006E0256">
        <w:t xml:space="preserve">: </w:t>
      </w:r>
      <w:r w:rsidR="009D4329">
        <w:rPr>
          <w:lang w:eastAsia="en-AU"/>
        </w:rPr>
        <w:t xml:space="preserve">Secondary endpoint </w:t>
      </w:r>
      <w:r w:rsidR="001F00F8">
        <w:rPr>
          <w:lang w:eastAsia="en-AU"/>
        </w:rPr>
        <w:t>Study 19</w:t>
      </w:r>
      <w:r w:rsidR="009D4329">
        <w:rPr>
          <w:lang w:eastAsia="en-AU"/>
        </w:rPr>
        <w:t xml:space="preserve"> (OS), </w:t>
      </w:r>
      <w:r w:rsidR="006E0256">
        <w:t>BRCA wild type</w:t>
      </w:r>
      <w:r w:rsidR="009D4329">
        <w:t xml:space="preserve"> population</w:t>
      </w:r>
    </w:p>
    <w:tbl>
      <w:tblPr>
        <w:tblStyle w:val="TableTGAblue"/>
        <w:tblW w:w="0" w:type="auto"/>
        <w:tblLook w:val="04A0" w:firstRow="1" w:lastRow="0" w:firstColumn="1" w:lastColumn="0" w:noHBand="0" w:noVBand="1"/>
      </w:tblPr>
      <w:tblGrid>
        <w:gridCol w:w="1809"/>
        <w:gridCol w:w="2410"/>
        <w:gridCol w:w="2977"/>
      </w:tblGrid>
      <w:tr w:rsidR="006E0256" w:rsidRPr="007962C1" w14:paraId="47A58666" w14:textId="77777777" w:rsidTr="006E0256">
        <w:trPr>
          <w:cnfStyle w:val="100000000000" w:firstRow="1" w:lastRow="0" w:firstColumn="0" w:lastColumn="0" w:oddVBand="0" w:evenVBand="0" w:oddHBand="0" w:evenHBand="0" w:firstRowFirstColumn="0" w:firstRowLastColumn="0" w:lastRowFirstColumn="0" w:lastRowLastColumn="0"/>
        </w:trPr>
        <w:tc>
          <w:tcPr>
            <w:tcW w:w="1809" w:type="dxa"/>
          </w:tcPr>
          <w:p w14:paraId="0FEA72CD" w14:textId="77777777" w:rsidR="006E0256" w:rsidRPr="007962C1" w:rsidRDefault="007962C1" w:rsidP="006E0256">
            <w:pPr>
              <w:rPr>
                <w:rFonts w:asciiTheme="minorHAnsi" w:hAnsiTheme="minorHAnsi"/>
                <w:sz w:val="20"/>
                <w:szCs w:val="20"/>
              </w:rPr>
            </w:pPr>
            <w:r>
              <w:rPr>
                <w:rFonts w:asciiTheme="minorHAnsi" w:hAnsiTheme="minorHAnsi"/>
                <w:sz w:val="20"/>
                <w:szCs w:val="20"/>
              </w:rPr>
              <w:t>Secondary endpoint</w:t>
            </w:r>
            <w:r w:rsidR="005551C6">
              <w:rPr>
                <w:rFonts w:asciiTheme="minorHAnsi" w:hAnsiTheme="minorHAnsi"/>
                <w:sz w:val="20"/>
                <w:szCs w:val="20"/>
              </w:rPr>
              <w:t xml:space="preserve"> (OS)</w:t>
            </w:r>
          </w:p>
        </w:tc>
        <w:tc>
          <w:tcPr>
            <w:tcW w:w="2410" w:type="dxa"/>
          </w:tcPr>
          <w:p w14:paraId="3042D700"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Olaparib</w:t>
            </w:r>
          </w:p>
          <w:p w14:paraId="0F3EDB24"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N</w:t>
            </w:r>
            <w:r w:rsidR="00DB6FEA" w:rsidRPr="007962C1">
              <w:rPr>
                <w:rFonts w:asciiTheme="minorHAnsi" w:hAnsiTheme="minorHAnsi"/>
                <w:sz w:val="20"/>
                <w:szCs w:val="20"/>
              </w:rPr>
              <w:t xml:space="preserve"> </w:t>
            </w:r>
            <w:r w:rsidRPr="007962C1">
              <w:rPr>
                <w:rFonts w:asciiTheme="minorHAnsi" w:hAnsiTheme="minorHAnsi"/>
                <w:sz w:val="20"/>
                <w:szCs w:val="20"/>
              </w:rPr>
              <w:t>=</w:t>
            </w:r>
            <w:r w:rsidR="00DB6FEA" w:rsidRPr="007962C1">
              <w:rPr>
                <w:rFonts w:asciiTheme="minorHAnsi" w:hAnsiTheme="minorHAnsi"/>
                <w:sz w:val="20"/>
                <w:szCs w:val="20"/>
              </w:rPr>
              <w:t xml:space="preserve"> </w:t>
            </w:r>
            <w:r w:rsidRPr="007962C1">
              <w:rPr>
                <w:rFonts w:asciiTheme="minorHAnsi" w:hAnsiTheme="minorHAnsi"/>
                <w:sz w:val="20"/>
                <w:szCs w:val="20"/>
              </w:rPr>
              <w:t>57</w:t>
            </w:r>
          </w:p>
        </w:tc>
        <w:tc>
          <w:tcPr>
            <w:tcW w:w="2977" w:type="dxa"/>
          </w:tcPr>
          <w:p w14:paraId="7969BA22"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Placebo</w:t>
            </w:r>
          </w:p>
          <w:p w14:paraId="6816A42F"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N</w:t>
            </w:r>
            <w:r w:rsidR="00DB6FEA" w:rsidRPr="007962C1">
              <w:rPr>
                <w:rFonts w:asciiTheme="minorHAnsi" w:hAnsiTheme="minorHAnsi"/>
                <w:sz w:val="20"/>
                <w:szCs w:val="20"/>
              </w:rPr>
              <w:t xml:space="preserve"> </w:t>
            </w:r>
            <w:r w:rsidRPr="007962C1">
              <w:rPr>
                <w:rFonts w:asciiTheme="minorHAnsi" w:hAnsiTheme="minorHAnsi"/>
                <w:sz w:val="20"/>
                <w:szCs w:val="20"/>
              </w:rPr>
              <w:t>=</w:t>
            </w:r>
            <w:r w:rsidR="00DB6FEA" w:rsidRPr="007962C1">
              <w:rPr>
                <w:rFonts w:asciiTheme="minorHAnsi" w:hAnsiTheme="minorHAnsi"/>
                <w:sz w:val="20"/>
                <w:szCs w:val="20"/>
              </w:rPr>
              <w:t xml:space="preserve"> </w:t>
            </w:r>
            <w:r w:rsidRPr="007962C1">
              <w:rPr>
                <w:rFonts w:asciiTheme="minorHAnsi" w:hAnsiTheme="minorHAnsi"/>
                <w:sz w:val="20"/>
                <w:szCs w:val="20"/>
              </w:rPr>
              <w:t>61</w:t>
            </w:r>
          </w:p>
        </w:tc>
      </w:tr>
      <w:tr w:rsidR="006E0256" w:rsidRPr="007962C1" w14:paraId="5D699A28" w14:textId="77777777" w:rsidTr="006E0256">
        <w:tc>
          <w:tcPr>
            <w:tcW w:w="1809" w:type="dxa"/>
          </w:tcPr>
          <w:p w14:paraId="3421E367" w14:textId="0389F1CC" w:rsidR="006E0256" w:rsidRPr="007962C1" w:rsidRDefault="006E0256" w:rsidP="006E0256">
            <w:pPr>
              <w:rPr>
                <w:rFonts w:asciiTheme="minorHAnsi" w:hAnsiTheme="minorHAnsi"/>
                <w:sz w:val="20"/>
                <w:szCs w:val="20"/>
              </w:rPr>
            </w:pPr>
            <w:r w:rsidRPr="007962C1">
              <w:rPr>
                <w:rFonts w:asciiTheme="minorHAnsi" w:hAnsiTheme="minorHAnsi"/>
                <w:sz w:val="20"/>
                <w:szCs w:val="20"/>
              </w:rPr>
              <w:t>Deaths (%)</w:t>
            </w:r>
          </w:p>
        </w:tc>
        <w:tc>
          <w:tcPr>
            <w:tcW w:w="2410" w:type="dxa"/>
          </w:tcPr>
          <w:p w14:paraId="131DB2EC"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45</w:t>
            </w:r>
            <w:r w:rsidR="009D4329" w:rsidRPr="007962C1">
              <w:rPr>
                <w:rFonts w:asciiTheme="minorHAnsi" w:hAnsiTheme="minorHAnsi"/>
                <w:sz w:val="20"/>
                <w:szCs w:val="20"/>
              </w:rPr>
              <w:t xml:space="preserve"> </w:t>
            </w:r>
            <w:r w:rsidRPr="007962C1">
              <w:rPr>
                <w:rFonts w:asciiTheme="minorHAnsi" w:hAnsiTheme="minorHAnsi"/>
                <w:sz w:val="20"/>
                <w:szCs w:val="20"/>
              </w:rPr>
              <w:t>(79%)</w:t>
            </w:r>
          </w:p>
        </w:tc>
        <w:tc>
          <w:tcPr>
            <w:tcW w:w="2977" w:type="dxa"/>
          </w:tcPr>
          <w:p w14:paraId="7565CCAA"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57</w:t>
            </w:r>
            <w:r w:rsidR="009D4329" w:rsidRPr="007962C1">
              <w:rPr>
                <w:rFonts w:asciiTheme="minorHAnsi" w:hAnsiTheme="minorHAnsi"/>
                <w:sz w:val="20"/>
                <w:szCs w:val="20"/>
              </w:rPr>
              <w:t xml:space="preserve"> </w:t>
            </w:r>
            <w:r w:rsidRPr="007962C1">
              <w:rPr>
                <w:rFonts w:asciiTheme="minorHAnsi" w:hAnsiTheme="minorHAnsi"/>
                <w:sz w:val="20"/>
                <w:szCs w:val="20"/>
              </w:rPr>
              <w:t>(93%)</w:t>
            </w:r>
          </w:p>
        </w:tc>
      </w:tr>
      <w:tr w:rsidR="006E0256" w:rsidRPr="007962C1" w14:paraId="1F19237A" w14:textId="77777777" w:rsidTr="006E0256">
        <w:tc>
          <w:tcPr>
            <w:tcW w:w="1809" w:type="dxa"/>
          </w:tcPr>
          <w:p w14:paraId="374BC8DF" w14:textId="77777777" w:rsidR="006E0256" w:rsidRPr="007962C1" w:rsidRDefault="00DB6FEA" w:rsidP="006E0256">
            <w:pPr>
              <w:rPr>
                <w:rFonts w:asciiTheme="minorHAnsi" w:hAnsiTheme="minorHAnsi"/>
                <w:sz w:val="20"/>
                <w:szCs w:val="20"/>
              </w:rPr>
            </w:pPr>
            <w:r w:rsidRPr="007962C1">
              <w:rPr>
                <w:rFonts w:asciiTheme="minorHAnsi" w:hAnsiTheme="minorHAnsi"/>
                <w:sz w:val="20"/>
                <w:szCs w:val="20"/>
              </w:rPr>
              <w:t xml:space="preserve">Median </w:t>
            </w:r>
            <w:r w:rsidR="006E0256" w:rsidRPr="007962C1">
              <w:rPr>
                <w:rFonts w:asciiTheme="minorHAnsi" w:hAnsiTheme="minorHAnsi"/>
                <w:sz w:val="20"/>
                <w:szCs w:val="20"/>
              </w:rPr>
              <w:t>(OS)</w:t>
            </w:r>
          </w:p>
        </w:tc>
        <w:tc>
          <w:tcPr>
            <w:tcW w:w="2410" w:type="dxa"/>
          </w:tcPr>
          <w:p w14:paraId="7165F2C4"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24.5 months</w:t>
            </w:r>
          </w:p>
        </w:tc>
        <w:tc>
          <w:tcPr>
            <w:tcW w:w="2977" w:type="dxa"/>
          </w:tcPr>
          <w:p w14:paraId="6F1F4EA6" w14:textId="77777777" w:rsidR="006E0256" w:rsidRPr="007962C1" w:rsidRDefault="006E0256" w:rsidP="006E0256">
            <w:pPr>
              <w:jc w:val="center"/>
              <w:rPr>
                <w:rFonts w:asciiTheme="minorHAnsi" w:hAnsiTheme="minorHAnsi"/>
                <w:sz w:val="20"/>
                <w:szCs w:val="20"/>
                <w:vertAlign w:val="superscript"/>
              </w:rPr>
            </w:pPr>
            <w:r w:rsidRPr="007962C1">
              <w:rPr>
                <w:rFonts w:asciiTheme="minorHAnsi" w:hAnsiTheme="minorHAnsi"/>
                <w:sz w:val="20"/>
                <w:szCs w:val="20"/>
              </w:rPr>
              <w:t>26.6 months</w:t>
            </w:r>
            <w:r w:rsidR="006666D8">
              <w:rPr>
                <w:rFonts w:asciiTheme="minorHAnsi" w:hAnsiTheme="minorHAnsi"/>
                <w:sz w:val="20"/>
                <w:szCs w:val="20"/>
              </w:rPr>
              <w:t xml:space="preserve"> </w:t>
            </w:r>
            <w:r w:rsidR="00F9476E" w:rsidRPr="007962C1">
              <w:rPr>
                <w:rFonts w:asciiTheme="minorHAnsi" w:hAnsiTheme="minorHAnsi"/>
                <w:sz w:val="20"/>
                <w:szCs w:val="20"/>
                <w:vertAlign w:val="superscript"/>
              </w:rPr>
              <w:t>a</w:t>
            </w:r>
          </w:p>
        </w:tc>
      </w:tr>
      <w:tr w:rsidR="006E0256" w:rsidRPr="007962C1" w14:paraId="51F5B287" w14:textId="77777777" w:rsidTr="006E0256">
        <w:tc>
          <w:tcPr>
            <w:tcW w:w="1809" w:type="dxa"/>
          </w:tcPr>
          <w:p w14:paraId="2272CBD3" w14:textId="77777777" w:rsidR="006E0256" w:rsidRPr="007962C1" w:rsidRDefault="00DB6FEA" w:rsidP="006E0256">
            <w:pPr>
              <w:rPr>
                <w:rFonts w:asciiTheme="minorHAnsi" w:hAnsiTheme="minorHAnsi"/>
                <w:sz w:val="20"/>
                <w:szCs w:val="20"/>
              </w:rPr>
            </w:pPr>
            <w:r w:rsidRPr="007962C1">
              <w:rPr>
                <w:rFonts w:asciiTheme="minorHAnsi" w:hAnsiTheme="minorHAnsi"/>
                <w:sz w:val="20"/>
                <w:szCs w:val="20"/>
              </w:rPr>
              <w:t>HR (OS</w:t>
            </w:r>
            <w:r w:rsidR="006E0256" w:rsidRPr="007962C1">
              <w:rPr>
                <w:rFonts w:asciiTheme="minorHAnsi" w:hAnsiTheme="minorHAnsi"/>
                <w:sz w:val="20"/>
                <w:szCs w:val="20"/>
              </w:rPr>
              <w:t>)</w:t>
            </w:r>
          </w:p>
        </w:tc>
        <w:tc>
          <w:tcPr>
            <w:tcW w:w="5387" w:type="dxa"/>
            <w:gridSpan w:val="2"/>
          </w:tcPr>
          <w:p w14:paraId="29022297" w14:textId="77777777" w:rsidR="006E0256" w:rsidRPr="007962C1" w:rsidRDefault="006E0256" w:rsidP="006E0256">
            <w:pPr>
              <w:jc w:val="center"/>
              <w:rPr>
                <w:rFonts w:asciiTheme="minorHAnsi" w:hAnsiTheme="minorHAnsi"/>
                <w:sz w:val="20"/>
                <w:szCs w:val="20"/>
              </w:rPr>
            </w:pPr>
            <w:r w:rsidRPr="007962C1">
              <w:rPr>
                <w:rFonts w:asciiTheme="minorHAnsi" w:hAnsiTheme="minorHAnsi"/>
                <w:sz w:val="20"/>
                <w:szCs w:val="20"/>
              </w:rPr>
              <w:t>0.84 (0.57, 1.25); p</w:t>
            </w:r>
            <w:r w:rsidR="00DB6FEA" w:rsidRPr="007962C1">
              <w:rPr>
                <w:rFonts w:asciiTheme="minorHAnsi" w:hAnsiTheme="minorHAnsi"/>
                <w:sz w:val="20"/>
                <w:szCs w:val="20"/>
              </w:rPr>
              <w:t xml:space="preserve"> </w:t>
            </w:r>
            <w:r w:rsidRPr="007962C1">
              <w:rPr>
                <w:rFonts w:asciiTheme="minorHAnsi" w:hAnsiTheme="minorHAnsi"/>
                <w:sz w:val="20"/>
                <w:szCs w:val="20"/>
              </w:rPr>
              <w:t>=</w:t>
            </w:r>
            <w:r w:rsidR="00DB6FEA" w:rsidRPr="007962C1">
              <w:rPr>
                <w:rFonts w:asciiTheme="minorHAnsi" w:hAnsiTheme="minorHAnsi"/>
                <w:sz w:val="20"/>
                <w:szCs w:val="20"/>
              </w:rPr>
              <w:t xml:space="preserve"> </w:t>
            </w:r>
            <w:r w:rsidRPr="007962C1">
              <w:rPr>
                <w:rFonts w:asciiTheme="minorHAnsi" w:hAnsiTheme="minorHAnsi"/>
                <w:sz w:val="20"/>
                <w:szCs w:val="20"/>
              </w:rPr>
              <w:t>0.397</w:t>
            </w:r>
          </w:p>
        </w:tc>
      </w:tr>
    </w:tbl>
    <w:p w14:paraId="59CEBD4F" w14:textId="77777777" w:rsidR="006E0256" w:rsidRPr="009D4329" w:rsidRDefault="00F9476E" w:rsidP="009D4329">
      <w:pPr>
        <w:pStyle w:val="TableDescription"/>
      </w:pPr>
      <w:r w:rsidRPr="009D4329">
        <w:t>a</w:t>
      </w:r>
      <w:r w:rsidR="006E0256" w:rsidRPr="009D4329">
        <w:t>) Not an error, the curves</w:t>
      </w:r>
      <w:r w:rsidRPr="009D4329">
        <w:t xml:space="preserve"> were close together near the median</w:t>
      </w:r>
      <w:r w:rsidR="006E0256" w:rsidRPr="009D4329">
        <w:t>.</w:t>
      </w:r>
    </w:p>
    <w:p w14:paraId="6B41587D" w14:textId="77777777" w:rsidR="006E0256" w:rsidRPr="00392D0A" w:rsidRDefault="006E0256" w:rsidP="009D4329">
      <w:pPr>
        <w:pStyle w:val="Heading7"/>
      </w:pPr>
      <w:r>
        <w:t>Subsequent treatments</w:t>
      </w:r>
    </w:p>
    <w:p w14:paraId="44EC969E" w14:textId="77777777" w:rsidR="006E0256" w:rsidRDefault="009D4329" w:rsidP="009D4329">
      <w:r>
        <w:t xml:space="preserve">Formal cross </w:t>
      </w:r>
      <w:r w:rsidR="006E0256">
        <w:t>over was not part of the study design. After discontinuation of the study treatment, the woman’s clinician was responsible for selecting further treatment.</w:t>
      </w:r>
    </w:p>
    <w:p w14:paraId="435AF1C2" w14:textId="77777777" w:rsidR="006E0256" w:rsidRDefault="006E0256" w:rsidP="009D4329">
      <w:r>
        <w:t>Subsequent cancer treatments had been received by 89 (65%) of 136 patients from the olaparib group (45</w:t>
      </w:r>
      <w:r w:rsidR="00564D85">
        <w:t xml:space="preserve"> </w:t>
      </w:r>
      <w:r w:rsidR="003C2823">
        <w:t>(</w:t>
      </w:r>
      <w:r w:rsidR="00564D85">
        <w:t>61%</w:t>
      </w:r>
      <w:r w:rsidR="003C2823">
        <w:t>)</w:t>
      </w:r>
      <w:r w:rsidR="00564D85">
        <w:t xml:space="preserve"> of 74 patients with BRCA mutations</w:t>
      </w:r>
      <w:r w:rsidR="00C40D2E">
        <w:t>) and 111 (86%) of 129 </w:t>
      </w:r>
      <w:r>
        <w:t>patients from the placebo group (55</w:t>
      </w:r>
      <w:r w:rsidR="00EE2122">
        <w:t xml:space="preserve"> (</w:t>
      </w:r>
      <w:r w:rsidR="009D4329">
        <w:t>89%</w:t>
      </w:r>
      <w:r w:rsidR="003C2823">
        <w:t>)</w:t>
      </w:r>
      <w:r w:rsidR="009D4329">
        <w:t xml:space="preserve"> of 62 patients with BRCA mutations</w:t>
      </w:r>
      <w:r>
        <w:t>). From the placebo group, 17 (13%) of 129 patients had received post-discontinuation PARP inhibitor treatment, of whom 1</w:t>
      </w:r>
      <w:r w:rsidR="009D4329">
        <w:t>4 (23%) of 62 patients had BRCA m</w:t>
      </w:r>
      <w:r w:rsidR="006923CF">
        <w:t>utant</w:t>
      </w:r>
      <w:r>
        <w:t>. No patients from the olaparib group had received subsequent PARP inhibitor treatment.</w:t>
      </w:r>
    </w:p>
    <w:p w14:paraId="12F96876" w14:textId="77777777" w:rsidR="006E0256" w:rsidRPr="00392D0A" w:rsidRDefault="006E0256" w:rsidP="009D4329">
      <w:pPr>
        <w:pStyle w:val="Heading7"/>
      </w:pPr>
      <w:r>
        <w:t>Exploratory endpoints: time to subsequent treatments</w:t>
      </w:r>
    </w:p>
    <w:p w14:paraId="05292733" w14:textId="77777777" w:rsidR="006E0256" w:rsidRDefault="006E0256" w:rsidP="006923CF">
      <w:pPr>
        <w:rPr>
          <w:b/>
        </w:rPr>
      </w:pPr>
      <w:r>
        <w:t>Analyses on the exploratory endpoints of time to first subsequent therapy (or death) and similarly for second subsequent therapy were done. For all study participants, first</w:t>
      </w:r>
      <w:r w:rsidR="006923CF">
        <w:t xml:space="preserve"> subsequent therapy: HR = 0.39, median</w:t>
      </w:r>
      <w:r>
        <w:t xml:space="preserve"> (15.6 versus 6.2 months); second</w:t>
      </w:r>
      <w:r w:rsidR="006923CF">
        <w:t xml:space="preserve"> subsequent therapy: HR = 0.41, median</w:t>
      </w:r>
      <w:r>
        <w:t xml:space="preserve"> (22.0 versus 15.3 months). I</w:t>
      </w:r>
      <w:r w:rsidR="006923CF">
        <w:t>mprovements were larger in BRCA mutant group than the BRCA wildtype</w:t>
      </w:r>
      <w:r>
        <w:t xml:space="preserve"> group, but were seen for both groups (not definitive, subgroup comparisons for exploratory endpoints).</w:t>
      </w:r>
    </w:p>
    <w:p w14:paraId="16D18913" w14:textId="77777777" w:rsidR="006E0256" w:rsidRPr="00392D0A" w:rsidRDefault="006E0256" w:rsidP="006923CF">
      <w:r w:rsidRPr="00392D0A">
        <w:t>Improvement in time to second</w:t>
      </w:r>
      <w:r>
        <w:t xml:space="preserve"> </w:t>
      </w:r>
      <w:r w:rsidRPr="00392D0A">
        <w:t xml:space="preserve">subsequent therapy or </w:t>
      </w:r>
      <w:r>
        <w:t>death can show continued benefi</w:t>
      </w:r>
      <w:r w:rsidRPr="00392D0A">
        <w:t>t,</w:t>
      </w:r>
      <w:r>
        <w:t xml:space="preserve"> </w:t>
      </w:r>
      <w:r w:rsidRPr="00392D0A">
        <w:t>beyond the next line of treatment, and this intermediate</w:t>
      </w:r>
      <w:r>
        <w:t xml:space="preserve"> </w:t>
      </w:r>
      <w:r w:rsidRPr="00392D0A">
        <w:t>endpoint c</w:t>
      </w:r>
      <w:r>
        <w:t>an therefore support other effi</w:t>
      </w:r>
      <w:r w:rsidRPr="00392D0A">
        <w:t>cacy endpoints</w:t>
      </w:r>
      <w:r>
        <w:t xml:space="preserve"> </w:t>
      </w:r>
      <w:r w:rsidRPr="00392D0A">
        <w:t>w</w:t>
      </w:r>
      <w:r>
        <w:t>hen assessing the lon</w:t>
      </w:r>
      <w:r w:rsidR="00246295">
        <w:t xml:space="preserve">g </w:t>
      </w:r>
      <w:r>
        <w:t>term eff</w:t>
      </w:r>
      <w:r w:rsidRPr="00392D0A">
        <w:t>ect of investigationa</w:t>
      </w:r>
      <w:r>
        <w:t xml:space="preserve">l </w:t>
      </w:r>
      <w:r w:rsidRPr="00392D0A">
        <w:t>treatments</w:t>
      </w:r>
      <w:r>
        <w:t>; and perhaps can address the concern that PARP inhibitors could affect the efficacy of subsequent treatments.</w:t>
      </w:r>
    </w:p>
    <w:p w14:paraId="7F84648E" w14:textId="274B69DD" w:rsidR="006E0256" w:rsidRPr="00392D0A" w:rsidRDefault="006E0256" w:rsidP="006E0256">
      <w:pPr>
        <w:pStyle w:val="Heading5"/>
      </w:pPr>
      <w:r w:rsidRPr="00392D0A">
        <w:lastRenderedPageBreak/>
        <w:t>SOLO-2</w:t>
      </w:r>
      <w:r w:rsidR="00617EB3">
        <w:t xml:space="preserve"> trial</w:t>
      </w:r>
    </w:p>
    <w:p w14:paraId="1512A6CE" w14:textId="77777777" w:rsidR="006E0256" w:rsidRPr="00F67921" w:rsidRDefault="006E0256" w:rsidP="00246295">
      <w:pPr>
        <w:pStyle w:val="Heading6"/>
      </w:pPr>
      <w:r>
        <w:t>Design</w:t>
      </w:r>
    </w:p>
    <w:p w14:paraId="0795F333" w14:textId="74C870BD" w:rsidR="006E0256" w:rsidRDefault="006E0256" w:rsidP="00246295">
      <w:pPr>
        <w:pStyle w:val="ListBullet"/>
      </w:pPr>
      <w:r>
        <w:t>Phase III</w:t>
      </w:r>
      <w:r w:rsidR="00246295">
        <w:t xml:space="preserve">, double </w:t>
      </w:r>
      <w:r w:rsidRPr="00D31661">
        <w:t>blind, place</w:t>
      </w:r>
      <w:r w:rsidR="00246295">
        <w:t xml:space="preserve">bo </w:t>
      </w:r>
      <w:r>
        <w:t>controlled, multicentre (123</w:t>
      </w:r>
      <w:r w:rsidRPr="00D31661">
        <w:t xml:space="preserve"> sites), multinational (</w:t>
      </w:r>
      <w:r>
        <w:t>16</w:t>
      </w:r>
      <w:r w:rsidR="00246295">
        <w:t> </w:t>
      </w:r>
      <w:r w:rsidRPr="00D31661">
        <w:t>countries</w:t>
      </w:r>
      <w:r>
        <w:t>: Aus</w:t>
      </w:r>
      <w:r w:rsidR="00246295">
        <w:t>tralia</w:t>
      </w:r>
      <w:r>
        <w:t xml:space="preserve">, EU, US, UK, Canada, Poland, Russia, Brazil, South Korea, </w:t>
      </w:r>
      <w:r w:rsidR="006666D8">
        <w:t>and Japan</w:t>
      </w:r>
      <w:r w:rsidR="00246295">
        <w:t>).</w:t>
      </w:r>
    </w:p>
    <w:p w14:paraId="1E9F8E26" w14:textId="77777777" w:rsidR="006E0256" w:rsidRDefault="006E0256" w:rsidP="00246295">
      <w:pPr>
        <w:pStyle w:val="ListBullet"/>
      </w:pPr>
      <w:r>
        <w:t>Recruitment:</w:t>
      </w:r>
      <w:r w:rsidRPr="00D31661">
        <w:t xml:space="preserve"> </w:t>
      </w:r>
      <w:r w:rsidR="00246295">
        <w:t>Aug 2013 to</w:t>
      </w:r>
      <w:r>
        <w:t xml:space="preserve"> Nov 2014</w:t>
      </w:r>
      <w:r w:rsidR="00246295">
        <w:t>.</w:t>
      </w:r>
    </w:p>
    <w:p w14:paraId="6A1CF822" w14:textId="77777777" w:rsidR="006E0256" w:rsidRDefault="00246295" w:rsidP="00246295">
      <w:pPr>
        <w:pStyle w:val="ListBullet"/>
      </w:pPr>
      <w:r>
        <w:t xml:space="preserve">Data cut </w:t>
      </w:r>
      <w:r w:rsidR="006E0256">
        <w:t>off for this analysis: Sep 2016</w:t>
      </w:r>
      <w:r>
        <w:t>.</w:t>
      </w:r>
    </w:p>
    <w:p w14:paraId="74681042" w14:textId="77777777" w:rsidR="006E0256" w:rsidRDefault="00246295" w:rsidP="00246295">
      <w:pPr>
        <w:pStyle w:val="ListBullet"/>
      </w:pPr>
      <w:r>
        <w:t xml:space="preserve">187 PFS </w:t>
      </w:r>
      <w:r w:rsidR="006E0256">
        <w:t>events in 295 patients</w:t>
      </w:r>
      <w:r>
        <w:t>.</w:t>
      </w:r>
    </w:p>
    <w:p w14:paraId="5744A0FF" w14:textId="4FEC9569" w:rsidR="006E0256" w:rsidRDefault="000A0DC3" w:rsidP="006E0256">
      <w:pPr>
        <w:pStyle w:val="TableTitle"/>
      </w:pPr>
      <w:r>
        <w:t>Table 19</w:t>
      </w:r>
      <w:r w:rsidR="006E0256">
        <w:t xml:space="preserve">: </w:t>
      </w:r>
      <w:r w:rsidR="00EF65B6">
        <w:rPr>
          <w:lang w:eastAsia="en-AU"/>
        </w:rPr>
        <w:t>Summary of</w:t>
      </w:r>
      <w:r w:rsidR="007962C1">
        <w:rPr>
          <w:lang w:eastAsia="en-AU"/>
        </w:rPr>
        <w:t xml:space="preserve"> </w:t>
      </w:r>
      <w:r w:rsidR="006E0256">
        <w:t>SOLO-2</w:t>
      </w:r>
      <w:r w:rsidR="00617EB3">
        <w:t xml:space="preserve"> trial</w:t>
      </w:r>
      <w:r w:rsidR="007962C1">
        <w:t xml:space="preserve"> </w:t>
      </w:r>
      <w:r w:rsidR="00617EB3">
        <w:t>s</w:t>
      </w:r>
      <w:r w:rsidR="007962C1">
        <w:t>tudy</w:t>
      </w:r>
      <w:r w:rsidR="00EF65B6">
        <w:t xml:space="preserve"> design</w:t>
      </w:r>
    </w:p>
    <w:p w14:paraId="7EE13B90" w14:textId="77777777" w:rsidR="00EF65B6" w:rsidRDefault="00EF65B6" w:rsidP="00EF65B6">
      <w:r>
        <w:rPr>
          <w:noProof/>
          <w:lang w:eastAsia="en-AU"/>
        </w:rPr>
        <w:drawing>
          <wp:inline distT="0" distB="0" distL="0" distR="0" wp14:anchorId="703B882A" wp14:editId="36E3B662">
            <wp:extent cx="5400040" cy="3144254"/>
            <wp:effectExtent l="0" t="0" r="0" b="0"/>
            <wp:docPr id="7" name="Picture 7" descr="Summary of SOLO-2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144254"/>
                    </a:xfrm>
                    <a:prstGeom prst="rect">
                      <a:avLst/>
                    </a:prstGeom>
                  </pic:spPr>
                </pic:pic>
              </a:graphicData>
            </a:graphic>
          </wp:inline>
        </w:drawing>
      </w:r>
    </w:p>
    <w:p w14:paraId="21B6F6DB" w14:textId="77777777" w:rsidR="006E0256" w:rsidRPr="00C40D2E" w:rsidRDefault="006E0256" w:rsidP="00C40D2E">
      <w:pPr>
        <w:pStyle w:val="TableDescription"/>
      </w:pPr>
      <w:r w:rsidRPr="00C40D2E">
        <w:t xml:space="preserve">Patients were assessed using </w:t>
      </w:r>
      <w:r w:rsidR="001C6AFA" w:rsidRPr="001C6AFA">
        <w:t>computed tomography</w:t>
      </w:r>
      <w:r w:rsidR="001C6AFA">
        <w:t xml:space="preserve"> (</w:t>
      </w:r>
      <w:r w:rsidRPr="00C40D2E">
        <w:t>CT</w:t>
      </w:r>
      <w:r w:rsidR="001C6AFA">
        <w:t>)</w:t>
      </w:r>
      <w:r w:rsidRPr="00C40D2E">
        <w:t xml:space="preserve"> or </w:t>
      </w:r>
      <w:r w:rsidR="001C6AFA">
        <w:t>m</w:t>
      </w:r>
      <w:r w:rsidR="001C6AFA" w:rsidRPr="001C6AFA">
        <w:t>agnetic resonance imaging</w:t>
      </w:r>
      <w:r w:rsidR="001C6AFA">
        <w:t xml:space="preserve"> (</w:t>
      </w:r>
      <w:r w:rsidR="007962C1" w:rsidRPr="00C40D2E">
        <w:t>MRI</w:t>
      </w:r>
      <w:r w:rsidR="001C6AFA">
        <w:t>)</w:t>
      </w:r>
      <w:r w:rsidR="007962C1" w:rsidRPr="00C40D2E">
        <w:t xml:space="preserve"> scans every 12 weeks until W</w:t>
      </w:r>
      <w:r w:rsidRPr="00C40D2E">
        <w:t xml:space="preserve">eek 72, and then every 24 weeks thereafter until objective disease progression. The scans were also sent to a clinical research organisation for blinded independent central review. After disease progression, patients were followed every 12 weeks for second progression. Crossover to olaparib was not permitted within the design of the study but patients were able </w:t>
      </w:r>
      <w:r w:rsidR="007962C1" w:rsidRPr="00C40D2E">
        <w:t>to access PARP inhibitors</w:t>
      </w:r>
      <w:r w:rsidRPr="00C40D2E">
        <w:t xml:space="preserve"> outside of the study. That is, when the woman finished the study treatment, further treatment was selected by their doctor.</w:t>
      </w:r>
    </w:p>
    <w:p w14:paraId="0328E6A3" w14:textId="4A5118CF" w:rsidR="006E0256" w:rsidRDefault="000A0DC3" w:rsidP="006E0256">
      <w:pPr>
        <w:pStyle w:val="TableTitle"/>
        <w:rPr>
          <w:lang w:eastAsia="en-AU"/>
        </w:rPr>
      </w:pPr>
      <w:r>
        <w:rPr>
          <w:lang w:eastAsia="en-AU"/>
        </w:rPr>
        <w:lastRenderedPageBreak/>
        <w:t>Table 20</w:t>
      </w:r>
      <w:r w:rsidR="006E0256">
        <w:rPr>
          <w:lang w:eastAsia="en-AU"/>
        </w:rPr>
        <w:t>: Baseline characteristics, SOLO-2</w:t>
      </w:r>
      <w:r w:rsidR="007962C1">
        <w:rPr>
          <w:lang w:eastAsia="en-AU"/>
        </w:rPr>
        <w:t xml:space="preserve"> </w:t>
      </w:r>
      <w:r w:rsidR="00617EB3">
        <w:rPr>
          <w:lang w:eastAsia="en-AU"/>
        </w:rPr>
        <w:t>trial</w:t>
      </w:r>
    </w:p>
    <w:p w14:paraId="53249BBC" w14:textId="77777777" w:rsidR="00EF65B6" w:rsidRDefault="00EF65B6" w:rsidP="00EF65B6">
      <w:pPr>
        <w:rPr>
          <w:lang w:eastAsia="en-AU"/>
        </w:rPr>
      </w:pPr>
      <w:r>
        <w:rPr>
          <w:noProof/>
          <w:lang w:eastAsia="en-AU"/>
        </w:rPr>
        <w:drawing>
          <wp:inline distT="0" distB="0" distL="0" distR="0" wp14:anchorId="58D8A2A5" wp14:editId="09E47401">
            <wp:extent cx="3650284" cy="4284794"/>
            <wp:effectExtent l="0" t="0" r="7620" b="1905"/>
            <wp:docPr id="8" name="Picture 8" descr="Baseline characteristics, SOLO-2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5594" cy="4291027"/>
                    </a:xfrm>
                    <a:prstGeom prst="rect">
                      <a:avLst/>
                    </a:prstGeom>
                  </pic:spPr>
                </pic:pic>
              </a:graphicData>
            </a:graphic>
          </wp:inline>
        </w:drawing>
      </w:r>
    </w:p>
    <w:p w14:paraId="3E774EB2" w14:textId="77777777" w:rsidR="006E0256" w:rsidRDefault="006E0256" w:rsidP="006E0256">
      <w:pPr>
        <w:pStyle w:val="TableDescription"/>
        <w:rPr>
          <w:lang w:eastAsia="en-AU"/>
        </w:rPr>
      </w:pPr>
      <w:r>
        <w:rPr>
          <w:lang w:eastAsia="en-AU"/>
        </w:rPr>
        <w:t xml:space="preserve">a) </w:t>
      </w:r>
      <w:r w:rsidRPr="00D10FE3">
        <w:rPr>
          <w:lang w:eastAsia="en-AU"/>
        </w:rPr>
        <w:t xml:space="preserve">Women with somatic BRCA mutations were eligible to enrol in the study, but none were </w:t>
      </w:r>
      <w:r>
        <w:rPr>
          <w:lang w:eastAsia="en-AU"/>
        </w:rPr>
        <w:t>identified during the recruitment process.</w:t>
      </w:r>
    </w:p>
    <w:p w14:paraId="0212D384" w14:textId="77777777" w:rsidR="00B41A49" w:rsidRDefault="00B41A49" w:rsidP="00B41A49">
      <w:pPr>
        <w:pStyle w:val="Heading6"/>
        <w:rPr>
          <w:lang w:eastAsia="en-AU"/>
        </w:rPr>
      </w:pPr>
      <w:r>
        <w:rPr>
          <w:lang w:eastAsia="en-AU"/>
        </w:rPr>
        <w:t>Results</w:t>
      </w:r>
    </w:p>
    <w:p w14:paraId="2749220E" w14:textId="77777777" w:rsidR="006E0256" w:rsidRDefault="006E0256" w:rsidP="00B41A49">
      <w:pPr>
        <w:pStyle w:val="Heading7"/>
        <w:rPr>
          <w:rStyle w:val="Heading7Char"/>
        </w:rPr>
      </w:pPr>
      <w:r w:rsidRPr="00B41A49">
        <w:rPr>
          <w:rStyle w:val="Heading7Char"/>
        </w:rPr>
        <w:t>Primary endpoint, PFS, investigator assessed</w:t>
      </w:r>
      <w:r>
        <w:rPr>
          <w:rStyle w:val="FootnoteReference"/>
          <w:lang w:eastAsia="en-AU"/>
        </w:rPr>
        <w:footnoteReference w:id="16"/>
      </w:r>
    </w:p>
    <w:p w14:paraId="3BAC4848" w14:textId="77777777" w:rsidR="00B41A49" w:rsidRPr="00B41A49" w:rsidRDefault="000A0DC3" w:rsidP="00B41A49">
      <w:r w:rsidRPr="000A0DC3">
        <w:t>See Table 21</w:t>
      </w:r>
      <w:r w:rsidR="00B41A49" w:rsidRPr="000A0DC3">
        <w:t>.</w:t>
      </w:r>
    </w:p>
    <w:p w14:paraId="5B5DD0CA" w14:textId="66D0A7D2" w:rsidR="006E0256" w:rsidRDefault="000A0DC3" w:rsidP="006E0256">
      <w:pPr>
        <w:pStyle w:val="TableTitle"/>
        <w:rPr>
          <w:lang w:eastAsia="en-AU"/>
        </w:rPr>
      </w:pPr>
      <w:r>
        <w:rPr>
          <w:lang w:eastAsia="en-AU"/>
        </w:rPr>
        <w:t>Table 21</w:t>
      </w:r>
      <w:r w:rsidR="006E0256">
        <w:rPr>
          <w:lang w:eastAsia="en-AU"/>
        </w:rPr>
        <w:t>: Primary endpoint results</w:t>
      </w:r>
      <w:r w:rsidR="00B41A49">
        <w:rPr>
          <w:lang w:eastAsia="en-AU"/>
        </w:rPr>
        <w:t xml:space="preserve"> (PFS), </w:t>
      </w:r>
      <w:r w:rsidR="00205AC8">
        <w:rPr>
          <w:lang w:eastAsia="en-AU"/>
        </w:rPr>
        <w:t>SOLO-2</w:t>
      </w:r>
      <w:r w:rsidR="00B41A49">
        <w:rPr>
          <w:lang w:eastAsia="en-AU"/>
        </w:rPr>
        <w:t xml:space="preserve"> </w:t>
      </w:r>
      <w:r w:rsidR="00617EB3">
        <w:rPr>
          <w:lang w:eastAsia="en-AU"/>
        </w:rPr>
        <w:t>trial</w:t>
      </w:r>
    </w:p>
    <w:tbl>
      <w:tblPr>
        <w:tblStyle w:val="TableTGAblue"/>
        <w:tblW w:w="0" w:type="auto"/>
        <w:tblLook w:val="04A0" w:firstRow="1" w:lastRow="0" w:firstColumn="1" w:lastColumn="0" w:noHBand="0" w:noVBand="1"/>
      </w:tblPr>
      <w:tblGrid>
        <w:gridCol w:w="2235"/>
        <w:gridCol w:w="2268"/>
        <w:gridCol w:w="2835"/>
      </w:tblGrid>
      <w:tr w:rsidR="006E0256" w:rsidRPr="00B41A49" w14:paraId="42662E09" w14:textId="77777777" w:rsidTr="006E0256">
        <w:trPr>
          <w:cnfStyle w:val="100000000000" w:firstRow="1" w:lastRow="0" w:firstColumn="0" w:lastColumn="0" w:oddVBand="0" w:evenVBand="0" w:oddHBand="0" w:evenHBand="0" w:firstRowFirstColumn="0" w:firstRowLastColumn="0" w:lastRowFirstColumn="0" w:lastRowLastColumn="0"/>
        </w:trPr>
        <w:tc>
          <w:tcPr>
            <w:tcW w:w="2235" w:type="dxa"/>
          </w:tcPr>
          <w:p w14:paraId="391FBF08" w14:textId="77777777" w:rsidR="006E0256" w:rsidRPr="00B41A49" w:rsidRDefault="00B41A49" w:rsidP="006E0256">
            <w:pPr>
              <w:rPr>
                <w:sz w:val="20"/>
                <w:szCs w:val="20"/>
              </w:rPr>
            </w:pPr>
            <w:r>
              <w:rPr>
                <w:sz w:val="20"/>
                <w:szCs w:val="20"/>
              </w:rPr>
              <w:t>Primary endpoint (PFS)</w:t>
            </w:r>
          </w:p>
        </w:tc>
        <w:tc>
          <w:tcPr>
            <w:tcW w:w="2268" w:type="dxa"/>
          </w:tcPr>
          <w:p w14:paraId="11F07418" w14:textId="77777777" w:rsidR="006E0256" w:rsidRPr="00B41A49" w:rsidRDefault="006E0256" w:rsidP="006E0256">
            <w:pPr>
              <w:jc w:val="center"/>
              <w:rPr>
                <w:sz w:val="20"/>
                <w:szCs w:val="20"/>
              </w:rPr>
            </w:pPr>
            <w:r w:rsidRPr="00B41A49">
              <w:rPr>
                <w:sz w:val="20"/>
                <w:szCs w:val="20"/>
              </w:rPr>
              <w:t>Olaparib</w:t>
            </w:r>
          </w:p>
          <w:p w14:paraId="50A27C8F" w14:textId="77777777" w:rsidR="006E0256" w:rsidRPr="00B41A49" w:rsidRDefault="006E0256" w:rsidP="006E0256">
            <w:pPr>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196</w:t>
            </w:r>
          </w:p>
        </w:tc>
        <w:tc>
          <w:tcPr>
            <w:tcW w:w="2835" w:type="dxa"/>
          </w:tcPr>
          <w:p w14:paraId="04914A80" w14:textId="77777777" w:rsidR="006E0256" w:rsidRPr="00B41A49" w:rsidRDefault="006E0256" w:rsidP="006E0256">
            <w:pPr>
              <w:jc w:val="center"/>
              <w:rPr>
                <w:sz w:val="20"/>
                <w:szCs w:val="20"/>
              </w:rPr>
            </w:pPr>
            <w:r w:rsidRPr="00B41A49">
              <w:rPr>
                <w:sz w:val="20"/>
                <w:szCs w:val="20"/>
              </w:rPr>
              <w:t>Placebo</w:t>
            </w:r>
          </w:p>
          <w:p w14:paraId="54E3CE17" w14:textId="77777777" w:rsidR="006E0256" w:rsidRPr="00B41A49" w:rsidRDefault="006E0256" w:rsidP="006E0256">
            <w:pPr>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99</w:t>
            </w:r>
          </w:p>
        </w:tc>
      </w:tr>
      <w:tr w:rsidR="006E0256" w:rsidRPr="00B41A49" w14:paraId="13FD43F9" w14:textId="77777777" w:rsidTr="006E0256">
        <w:tc>
          <w:tcPr>
            <w:tcW w:w="2235" w:type="dxa"/>
          </w:tcPr>
          <w:p w14:paraId="6500D567" w14:textId="77777777" w:rsidR="006E0256" w:rsidRPr="00B41A49" w:rsidRDefault="006E0256" w:rsidP="006E0256">
            <w:pPr>
              <w:rPr>
                <w:sz w:val="20"/>
                <w:szCs w:val="20"/>
              </w:rPr>
            </w:pPr>
            <w:r w:rsidRPr="00B41A49">
              <w:rPr>
                <w:sz w:val="20"/>
                <w:szCs w:val="20"/>
              </w:rPr>
              <w:t>Events #</w:t>
            </w:r>
            <w:r w:rsidR="00B41A49">
              <w:rPr>
                <w:sz w:val="20"/>
                <w:szCs w:val="20"/>
              </w:rPr>
              <w:t xml:space="preserve"> </w:t>
            </w:r>
            <w:r w:rsidRPr="00B41A49">
              <w:rPr>
                <w:sz w:val="20"/>
                <w:szCs w:val="20"/>
              </w:rPr>
              <w:t>(%)</w:t>
            </w:r>
          </w:p>
        </w:tc>
        <w:tc>
          <w:tcPr>
            <w:tcW w:w="2268" w:type="dxa"/>
          </w:tcPr>
          <w:p w14:paraId="6C07AADB" w14:textId="77777777" w:rsidR="006E0256" w:rsidRPr="00B41A49" w:rsidRDefault="006E0256" w:rsidP="006E0256">
            <w:pPr>
              <w:jc w:val="center"/>
              <w:rPr>
                <w:sz w:val="20"/>
                <w:szCs w:val="20"/>
              </w:rPr>
            </w:pPr>
            <w:r w:rsidRPr="00B41A49">
              <w:rPr>
                <w:sz w:val="20"/>
                <w:szCs w:val="20"/>
              </w:rPr>
              <w:t>107</w:t>
            </w:r>
            <w:r w:rsidR="00B41A49">
              <w:rPr>
                <w:sz w:val="20"/>
                <w:szCs w:val="20"/>
              </w:rPr>
              <w:t xml:space="preserve"> </w:t>
            </w:r>
            <w:r w:rsidRPr="00B41A49">
              <w:rPr>
                <w:sz w:val="20"/>
                <w:szCs w:val="20"/>
              </w:rPr>
              <w:t>(55%)</w:t>
            </w:r>
          </w:p>
        </w:tc>
        <w:tc>
          <w:tcPr>
            <w:tcW w:w="2835" w:type="dxa"/>
          </w:tcPr>
          <w:p w14:paraId="7D32769C" w14:textId="77777777" w:rsidR="006E0256" w:rsidRPr="00B41A49" w:rsidRDefault="006E0256" w:rsidP="006E0256">
            <w:pPr>
              <w:jc w:val="center"/>
              <w:rPr>
                <w:sz w:val="20"/>
                <w:szCs w:val="20"/>
              </w:rPr>
            </w:pPr>
            <w:r w:rsidRPr="00B41A49">
              <w:rPr>
                <w:sz w:val="20"/>
                <w:szCs w:val="20"/>
              </w:rPr>
              <w:t>80</w:t>
            </w:r>
            <w:r w:rsidR="00B41A49">
              <w:rPr>
                <w:sz w:val="20"/>
                <w:szCs w:val="20"/>
              </w:rPr>
              <w:t xml:space="preserve"> </w:t>
            </w:r>
            <w:r w:rsidRPr="00B41A49">
              <w:rPr>
                <w:sz w:val="20"/>
                <w:szCs w:val="20"/>
              </w:rPr>
              <w:t>(81%)</w:t>
            </w:r>
          </w:p>
        </w:tc>
      </w:tr>
      <w:tr w:rsidR="006E0256" w:rsidRPr="00B41A49" w14:paraId="686C089B" w14:textId="77777777" w:rsidTr="006E0256">
        <w:tc>
          <w:tcPr>
            <w:tcW w:w="2235" w:type="dxa"/>
          </w:tcPr>
          <w:p w14:paraId="76256053" w14:textId="77777777" w:rsidR="006E0256" w:rsidRPr="00B41A49" w:rsidRDefault="00B41A49" w:rsidP="006E0256">
            <w:pPr>
              <w:rPr>
                <w:sz w:val="20"/>
                <w:szCs w:val="20"/>
              </w:rPr>
            </w:pPr>
            <w:r>
              <w:rPr>
                <w:sz w:val="20"/>
                <w:szCs w:val="20"/>
              </w:rPr>
              <w:t xml:space="preserve">Median </w:t>
            </w:r>
            <w:r w:rsidR="006E0256" w:rsidRPr="00B41A49">
              <w:rPr>
                <w:sz w:val="20"/>
                <w:szCs w:val="20"/>
              </w:rPr>
              <w:t>(PFS)</w:t>
            </w:r>
          </w:p>
        </w:tc>
        <w:tc>
          <w:tcPr>
            <w:tcW w:w="2268" w:type="dxa"/>
          </w:tcPr>
          <w:p w14:paraId="12ED4B30" w14:textId="77777777" w:rsidR="006E0256" w:rsidRPr="00B41A49" w:rsidRDefault="006E0256" w:rsidP="006E0256">
            <w:pPr>
              <w:jc w:val="center"/>
              <w:rPr>
                <w:sz w:val="20"/>
                <w:szCs w:val="20"/>
              </w:rPr>
            </w:pPr>
            <w:r w:rsidRPr="00B41A49">
              <w:rPr>
                <w:sz w:val="20"/>
                <w:szCs w:val="20"/>
              </w:rPr>
              <w:t>19.1 months</w:t>
            </w:r>
          </w:p>
        </w:tc>
        <w:tc>
          <w:tcPr>
            <w:tcW w:w="2835" w:type="dxa"/>
          </w:tcPr>
          <w:p w14:paraId="346A2DCE" w14:textId="77777777" w:rsidR="006E0256" w:rsidRPr="00B41A49" w:rsidRDefault="006E0256" w:rsidP="006E0256">
            <w:pPr>
              <w:jc w:val="center"/>
              <w:rPr>
                <w:sz w:val="20"/>
                <w:szCs w:val="20"/>
              </w:rPr>
            </w:pPr>
            <w:r w:rsidRPr="00B41A49">
              <w:rPr>
                <w:sz w:val="20"/>
                <w:szCs w:val="20"/>
              </w:rPr>
              <w:t>5.5 months</w:t>
            </w:r>
          </w:p>
        </w:tc>
      </w:tr>
      <w:tr w:rsidR="006E0256" w:rsidRPr="00B41A49" w14:paraId="6C9DD371" w14:textId="77777777" w:rsidTr="006E0256">
        <w:tc>
          <w:tcPr>
            <w:tcW w:w="2235" w:type="dxa"/>
          </w:tcPr>
          <w:p w14:paraId="13931B2C" w14:textId="77777777" w:rsidR="006E0256" w:rsidRPr="00B41A49" w:rsidRDefault="006E0256" w:rsidP="006E0256">
            <w:pPr>
              <w:rPr>
                <w:sz w:val="20"/>
                <w:szCs w:val="20"/>
              </w:rPr>
            </w:pPr>
            <w:r w:rsidRPr="00B41A49">
              <w:rPr>
                <w:sz w:val="20"/>
                <w:szCs w:val="20"/>
              </w:rPr>
              <w:t>HR</w:t>
            </w:r>
            <w:r w:rsidR="00B41A49">
              <w:rPr>
                <w:sz w:val="20"/>
                <w:szCs w:val="20"/>
              </w:rPr>
              <w:t xml:space="preserve"> </w:t>
            </w:r>
            <w:r w:rsidRPr="00B41A49">
              <w:rPr>
                <w:sz w:val="20"/>
                <w:szCs w:val="20"/>
              </w:rPr>
              <w:t>(PFS)</w:t>
            </w:r>
          </w:p>
        </w:tc>
        <w:tc>
          <w:tcPr>
            <w:tcW w:w="5103" w:type="dxa"/>
            <w:gridSpan w:val="2"/>
          </w:tcPr>
          <w:p w14:paraId="0D8619F0" w14:textId="77777777" w:rsidR="006E0256" w:rsidRPr="00B41A49" w:rsidRDefault="006E0256" w:rsidP="006E0256">
            <w:pPr>
              <w:jc w:val="center"/>
              <w:rPr>
                <w:sz w:val="20"/>
                <w:szCs w:val="20"/>
              </w:rPr>
            </w:pPr>
            <w:r w:rsidRPr="00B41A49">
              <w:rPr>
                <w:sz w:val="20"/>
                <w:szCs w:val="20"/>
              </w:rPr>
              <w:t>0.30 (0.22, 0.41); p</w:t>
            </w:r>
            <w:r w:rsidR="00B41A49">
              <w:rPr>
                <w:sz w:val="20"/>
                <w:szCs w:val="20"/>
              </w:rPr>
              <w:t xml:space="preserve"> </w:t>
            </w:r>
            <w:r w:rsidRPr="00B41A49">
              <w:rPr>
                <w:sz w:val="20"/>
                <w:szCs w:val="20"/>
              </w:rPr>
              <w:t>&lt;</w:t>
            </w:r>
            <w:r w:rsidR="00B41A49">
              <w:rPr>
                <w:sz w:val="20"/>
                <w:szCs w:val="20"/>
              </w:rPr>
              <w:t xml:space="preserve"> </w:t>
            </w:r>
            <w:r w:rsidRPr="00B41A49">
              <w:rPr>
                <w:sz w:val="20"/>
                <w:szCs w:val="20"/>
              </w:rPr>
              <w:t>0.00001</w:t>
            </w:r>
          </w:p>
        </w:tc>
      </w:tr>
    </w:tbl>
    <w:p w14:paraId="7DC58C49" w14:textId="77777777" w:rsidR="006E0256" w:rsidRDefault="006E0256" w:rsidP="006E0256">
      <w:pPr>
        <w:pStyle w:val="TableDescription"/>
      </w:pPr>
      <w:r w:rsidRPr="003C009A">
        <w:t>Sensitivity/supportive analysis using BICR-assessed PFS: HR</w:t>
      </w:r>
      <w:r w:rsidR="00B41A49">
        <w:t xml:space="preserve"> </w:t>
      </w:r>
      <w:r w:rsidRPr="003C009A">
        <w:t>=</w:t>
      </w:r>
      <w:r w:rsidR="00B41A49">
        <w:t xml:space="preserve"> </w:t>
      </w:r>
      <w:r w:rsidRPr="003C009A">
        <w:t>0.25 (0.18, 0.35)</w:t>
      </w:r>
      <w:r w:rsidR="00B41A49">
        <w:t>.</w:t>
      </w:r>
    </w:p>
    <w:p w14:paraId="1EA3BEA3" w14:textId="77777777" w:rsidR="00B41A49" w:rsidRDefault="00B41A49" w:rsidP="00B41A49">
      <w:pPr>
        <w:pStyle w:val="Heading7"/>
      </w:pPr>
      <w:r>
        <w:t>Secondary and exploratory endpoints</w:t>
      </w:r>
    </w:p>
    <w:p w14:paraId="0AD53F45" w14:textId="77777777" w:rsidR="00B41A49" w:rsidRPr="00B41A49" w:rsidRDefault="00B41A49" w:rsidP="00B41A49">
      <w:r w:rsidRPr="000A0DC3">
        <w:t xml:space="preserve">See Tables </w:t>
      </w:r>
      <w:r w:rsidR="000A0DC3" w:rsidRPr="000A0DC3">
        <w:t>22 to 24</w:t>
      </w:r>
      <w:r w:rsidR="000A0DC3">
        <w:t>.</w:t>
      </w:r>
    </w:p>
    <w:p w14:paraId="31E8FB8E" w14:textId="77777777" w:rsidR="006E0256" w:rsidRPr="003C009A" w:rsidRDefault="000A0DC3" w:rsidP="006E0256">
      <w:pPr>
        <w:pStyle w:val="TableTitle"/>
      </w:pPr>
      <w:r>
        <w:lastRenderedPageBreak/>
        <w:t>Table 22</w:t>
      </w:r>
      <w:r w:rsidR="006E0256" w:rsidRPr="003C009A">
        <w:t>: Secondary and exploratory endpoints</w:t>
      </w:r>
      <w:r w:rsidR="00B41A49">
        <w:t xml:space="preserve">; </w:t>
      </w:r>
      <w:r w:rsidR="006E0256">
        <w:t>PFS2</w:t>
      </w:r>
    </w:p>
    <w:tbl>
      <w:tblPr>
        <w:tblStyle w:val="TableTGAblue"/>
        <w:tblW w:w="0" w:type="auto"/>
        <w:tblLook w:val="04A0" w:firstRow="1" w:lastRow="0" w:firstColumn="1" w:lastColumn="0" w:noHBand="0" w:noVBand="1"/>
      </w:tblPr>
      <w:tblGrid>
        <w:gridCol w:w="2235"/>
        <w:gridCol w:w="2268"/>
        <w:gridCol w:w="2835"/>
      </w:tblGrid>
      <w:tr w:rsidR="006E0256" w:rsidRPr="00B41A49" w14:paraId="503BD18A" w14:textId="77777777" w:rsidTr="006E0256">
        <w:trPr>
          <w:cnfStyle w:val="100000000000" w:firstRow="1" w:lastRow="0" w:firstColumn="0" w:lastColumn="0" w:oddVBand="0" w:evenVBand="0" w:oddHBand="0" w:evenHBand="0" w:firstRowFirstColumn="0" w:firstRowLastColumn="0" w:lastRowFirstColumn="0" w:lastRowLastColumn="0"/>
        </w:trPr>
        <w:tc>
          <w:tcPr>
            <w:tcW w:w="2235" w:type="dxa"/>
          </w:tcPr>
          <w:p w14:paraId="520746FC" w14:textId="77777777" w:rsidR="006E0256" w:rsidRPr="00B41A49" w:rsidRDefault="00B41A49" w:rsidP="00B41A49">
            <w:pPr>
              <w:ind w:left="0" w:right="0"/>
              <w:rPr>
                <w:sz w:val="20"/>
                <w:szCs w:val="20"/>
              </w:rPr>
            </w:pPr>
            <w:r w:rsidRPr="00B41A49">
              <w:rPr>
                <w:sz w:val="20"/>
                <w:szCs w:val="20"/>
              </w:rPr>
              <w:t>Secondary endpoint (PFS2)</w:t>
            </w:r>
          </w:p>
        </w:tc>
        <w:tc>
          <w:tcPr>
            <w:tcW w:w="2268" w:type="dxa"/>
          </w:tcPr>
          <w:p w14:paraId="7C3B0790" w14:textId="77777777" w:rsidR="006E0256" w:rsidRPr="00B41A49" w:rsidRDefault="006E0256" w:rsidP="00B41A49">
            <w:pPr>
              <w:ind w:left="0" w:right="0"/>
              <w:jc w:val="center"/>
              <w:rPr>
                <w:sz w:val="20"/>
                <w:szCs w:val="20"/>
              </w:rPr>
            </w:pPr>
            <w:r w:rsidRPr="00B41A49">
              <w:rPr>
                <w:sz w:val="20"/>
                <w:szCs w:val="20"/>
              </w:rPr>
              <w:t>Olaparib</w:t>
            </w:r>
          </w:p>
          <w:p w14:paraId="7F9E0D3B"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196</w:t>
            </w:r>
          </w:p>
        </w:tc>
        <w:tc>
          <w:tcPr>
            <w:tcW w:w="2835" w:type="dxa"/>
          </w:tcPr>
          <w:p w14:paraId="6D6E7C41" w14:textId="77777777" w:rsidR="006E0256" w:rsidRPr="00B41A49" w:rsidRDefault="006E0256" w:rsidP="00B41A49">
            <w:pPr>
              <w:ind w:left="0" w:right="0"/>
              <w:jc w:val="center"/>
              <w:rPr>
                <w:sz w:val="20"/>
                <w:szCs w:val="20"/>
              </w:rPr>
            </w:pPr>
            <w:r w:rsidRPr="00B41A49">
              <w:rPr>
                <w:sz w:val="20"/>
                <w:szCs w:val="20"/>
              </w:rPr>
              <w:t>Placebo</w:t>
            </w:r>
          </w:p>
          <w:p w14:paraId="42A1B223"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99</w:t>
            </w:r>
          </w:p>
        </w:tc>
      </w:tr>
      <w:tr w:rsidR="006E0256" w:rsidRPr="00B41A49" w14:paraId="42CD886D" w14:textId="77777777" w:rsidTr="006E0256">
        <w:tc>
          <w:tcPr>
            <w:tcW w:w="2235" w:type="dxa"/>
          </w:tcPr>
          <w:p w14:paraId="21E27965" w14:textId="77777777" w:rsidR="006E0256" w:rsidRPr="00B41A49" w:rsidRDefault="00B41A49" w:rsidP="00B41A49">
            <w:pPr>
              <w:ind w:left="0" w:right="0"/>
              <w:rPr>
                <w:sz w:val="20"/>
                <w:szCs w:val="20"/>
              </w:rPr>
            </w:pPr>
            <w:r>
              <w:rPr>
                <w:sz w:val="20"/>
                <w:szCs w:val="20"/>
              </w:rPr>
              <w:t>Events #</w:t>
            </w:r>
            <w:r w:rsidR="006E0256" w:rsidRPr="00B41A49">
              <w:rPr>
                <w:sz w:val="20"/>
                <w:szCs w:val="20"/>
              </w:rPr>
              <w:t xml:space="preserve"> (%)</w:t>
            </w:r>
          </w:p>
        </w:tc>
        <w:tc>
          <w:tcPr>
            <w:tcW w:w="2268" w:type="dxa"/>
          </w:tcPr>
          <w:p w14:paraId="0857DE81" w14:textId="77777777" w:rsidR="006E0256" w:rsidRPr="00B41A49" w:rsidRDefault="006E0256" w:rsidP="00B41A49">
            <w:pPr>
              <w:ind w:left="0" w:right="0"/>
              <w:jc w:val="center"/>
              <w:rPr>
                <w:sz w:val="20"/>
                <w:szCs w:val="20"/>
              </w:rPr>
            </w:pPr>
            <w:r w:rsidRPr="00B41A49">
              <w:rPr>
                <w:sz w:val="20"/>
                <w:szCs w:val="20"/>
              </w:rPr>
              <w:t>70</w:t>
            </w:r>
            <w:r w:rsidR="00B41A49">
              <w:rPr>
                <w:sz w:val="20"/>
                <w:szCs w:val="20"/>
              </w:rPr>
              <w:t xml:space="preserve"> </w:t>
            </w:r>
            <w:r w:rsidRPr="00B41A49">
              <w:rPr>
                <w:sz w:val="20"/>
                <w:szCs w:val="20"/>
              </w:rPr>
              <w:t>(36%)</w:t>
            </w:r>
          </w:p>
        </w:tc>
        <w:tc>
          <w:tcPr>
            <w:tcW w:w="2835" w:type="dxa"/>
          </w:tcPr>
          <w:p w14:paraId="2DFFA0EE" w14:textId="77777777" w:rsidR="006E0256" w:rsidRPr="00B41A49" w:rsidRDefault="006E0256" w:rsidP="00B41A49">
            <w:pPr>
              <w:ind w:left="0" w:right="0"/>
              <w:jc w:val="center"/>
              <w:rPr>
                <w:sz w:val="20"/>
                <w:szCs w:val="20"/>
              </w:rPr>
            </w:pPr>
            <w:r w:rsidRPr="00B41A49">
              <w:rPr>
                <w:sz w:val="20"/>
                <w:szCs w:val="20"/>
              </w:rPr>
              <w:t>80</w:t>
            </w:r>
            <w:r w:rsidR="00B41A49">
              <w:rPr>
                <w:sz w:val="20"/>
                <w:szCs w:val="20"/>
              </w:rPr>
              <w:t xml:space="preserve"> </w:t>
            </w:r>
            <w:r w:rsidRPr="00B41A49">
              <w:rPr>
                <w:sz w:val="20"/>
                <w:szCs w:val="20"/>
              </w:rPr>
              <w:t>(81%)</w:t>
            </w:r>
          </w:p>
        </w:tc>
      </w:tr>
      <w:tr w:rsidR="006E0256" w:rsidRPr="00B41A49" w14:paraId="2DB9774C" w14:textId="77777777" w:rsidTr="006E0256">
        <w:tc>
          <w:tcPr>
            <w:tcW w:w="2235" w:type="dxa"/>
          </w:tcPr>
          <w:p w14:paraId="61F79FC1" w14:textId="77777777" w:rsidR="006E0256" w:rsidRPr="00B41A49" w:rsidRDefault="00B41A49" w:rsidP="00B41A49">
            <w:pPr>
              <w:ind w:left="0" w:right="0"/>
              <w:rPr>
                <w:sz w:val="20"/>
                <w:szCs w:val="20"/>
              </w:rPr>
            </w:pPr>
            <w:r>
              <w:rPr>
                <w:sz w:val="20"/>
                <w:szCs w:val="20"/>
              </w:rPr>
              <w:t xml:space="preserve">Median </w:t>
            </w:r>
            <w:r w:rsidR="006E0256" w:rsidRPr="00B41A49">
              <w:rPr>
                <w:sz w:val="20"/>
                <w:szCs w:val="20"/>
              </w:rPr>
              <w:t>(PFS</w:t>
            </w:r>
            <w:r w:rsidR="007962C1" w:rsidRPr="00B41A49">
              <w:rPr>
                <w:sz w:val="20"/>
                <w:szCs w:val="20"/>
              </w:rPr>
              <w:t>2</w:t>
            </w:r>
            <w:r w:rsidR="006E0256" w:rsidRPr="00B41A49">
              <w:rPr>
                <w:sz w:val="20"/>
                <w:szCs w:val="20"/>
              </w:rPr>
              <w:t>)</w:t>
            </w:r>
          </w:p>
        </w:tc>
        <w:tc>
          <w:tcPr>
            <w:tcW w:w="2268" w:type="dxa"/>
          </w:tcPr>
          <w:p w14:paraId="73B88700" w14:textId="77777777" w:rsidR="006E0256" w:rsidRPr="00B41A49" w:rsidRDefault="006E0256" w:rsidP="00B41A49">
            <w:pPr>
              <w:ind w:left="0" w:right="0"/>
              <w:jc w:val="center"/>
              <w:rPr>
                <w:sz w:val="20"/>
                <w:szCs w:val="20"/>
              </w:rPr>
            </w:pPr>
            <w:r w:rsidRPr="00B41A49">
              <w:rPr>
                <w:sz w:val="20"/>
                <w:szCs w:val="20"/>
              </w:rPr>
              <w:t>NR</w:t>
            </w:r>
          </w:p>
        </w:tc>
        <w:tc>
          <w:tcPr>
            <w:tcW w:w="2835" w:type="dxa"/>
          </w:tcPr>
          <w:p w14:paraId="09200DAE" w14:textId="77777777" w:rsidR="006E0256" w:rsidRPr="00B41A49" w:rsidRDefault="006E0256" w:rsidP="00B41A49">
            <w:pPr>
              <w:ind w:left="0" w:right="0"/>
              <w:jc w:val="center"/>
              <w:rPr>
                <w:sz w:val="20"/>
                <w:szCs w:val="20"/>
              </w:rPr>
            </w:pPr>
            <w:r w:rsidRPr="00B41A49">
              <w:rPr>
                <w:sz w:val="20"/>
                <w:szCs w:val="20"/>
              </w:rPr>
              <w:t>18.4 months</w:t>
            </w:r>
          </w:p>
        </w:tc>
      </w:tr>
      <w:tr w:rsidR="006E0256" w:rsidRPr="00B41A49" w14:paraId="333B2354" w14:textId="77777777" w:rsidTr="006E0256">
        <w:tc>
          <w:tcPr>
            <w:tcW w:w="2235" w:type="dxa"/>
          </w:tcPr>
          <w:p w14:paraId="3F226318" w14:textId="77777777" w:rsidR="006E0256" w:rsidRPr="00B41A49" w:rsidRDefault="006E0256" w:rsidP="00B41A49">
            <w:pPr>
              <w:ind w:left="0" w:right="0"/>
              <w:rPr>
                <w:sz w:val="20"/>
                <w:szCs w:val="20"/>
              </w:rPr>
            </w:pPr>
            <w:r w:rsidRPr="00B41A49">
              <w:rPr>
                <w:sz w:val="20"/>
                <w:szCs w:val="20"/>
              </w:rPr>
              <w:t>HR</w:t>
            </w:r>
            <w:r w:rsidR="00B41A49">
              <w:rPr>
                <w:sz w:val="20"/>
                <w:szCs w:val="20"/>
              </w:rPr>
              <w:t xml:space="preserve"> </w:t>
            </w:r>
            <w:r w:rsidRPr="00B41A49">
              <w:rPr>
                <w:sz w:val="20"/>
                <w:szCs w:val="20"/>
              </w:rPr>
              <w:t>(PFS</w:t>
            </w:r>
            <w:r w:rsidR="007962C1" w:rsidRPr="00B41A49">
              <w:rPr>
                <w:sz w:val="20"/>
                <w:szCs w:val="20"/>
              </w:rPr>
              <w:t>2</w:t>
            </w:r>
            <w:r w:rsidRPr="00B41A49">
              <w:rPr>
                <w:sz w:val="20"/>
                <w:szCs w:val="20"/>
              </w:rPr>
              <w:t>)</w:t>
            </w:r>
          </w:p>
        </w:tc>
        <w:tc>
          <w:tcPr>
            <w:tcW w:w="5103" w:type="dxa"/>
            <w:gridSpan w:val="2"/>
          </w:tcPr>
          <w:p w14:paraId="25406A4F" w14:textId="77777777" w:rsidR="006E0256" w:rsidRPr="00B41A49" w:rsidRDefault="006E0256" w:rsidP="00B41A49">
            <w:pPr>
              <w:ind w:left="0" w:right="0"/>
              <w:jc w:val="center"/>
              <w:rPr>
                <w:sz w:val="20"/>
                <w:szCs w:val="20"/>
              </w:rPr>
            </w:pPr>
            <w:r w:rsidRPr="00B41A49">
              <w:rPr>
                <w:sz w:val="20"/>
                <w:szCs w:val="20"/>
              </w:rPr>
              <w:t>0.50 (0.34, 0.72); p</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0.0004</w:t>
            </w:r>
          </w:p>
        </w:tc>
      </w:tr>
    </w:tbl>
    <w:p w14:paraId="7EC7240E" w14:textId="77777777" w:rsidR="006E0256" w:rsidRPr="003C009A" w:rsidRDefault="006E0256" w:rsidP="006E0256">
      <w:pPr>
        <w:pStyle w:val="TableTitle"/>
      </w:pPr>
      <w:r w:rsidRPr="003C009A">
        <w:t>Table 2</w:t>
      </w:r>
      <w:r w:rsidR="000A0DC3">
        <w:t>3</w:t>
      </w:r>
      <w:r w:rsidRPr="003C009A">
        <w:t>: Secondary and exploratory endpoints</w:t>
      </w:r>
      <w:r w:rsidR="00B41A49">
        <w:t xml:space="preserve">; </w:t>
      </w:r>
      <w:r>
        <w:t>OS</w:t>
      </w:r>
    </w:p>
    <w:tbl>
      <w:tblPr>
        <w:tblStyle w:val="TableTGAblue"/>
        <w:tblW w:w="0" w:type="auto"/>
        <w:tblLook w:val="04A0" w:firstRow="1" w:lastRow="0" w:firstColumn="1" w:lastColumn="0" w:noHBand="0" w:noVBand="1"/>
      </w:tblPr>
      <w:tblGrid>
        <w:gridCol w:w="2235"/>
        <w:gridCol w:w="2268"/>
        <w:gridCol w:w="2835"/>
      </w:tblGrid>
      <w:tr w:rsidR="006E0256" w:rsidRPr="00B41A49" w14:paraId="39377813" w14:textId="77777777" w:rsidTr="006E0256">
        <w:trPr>
          <w:cnfStyle w:val="100000000000" w:firstRow="1" w:lastRow="0" w:firstColumn="0" w:lastColumn="0" w:oddVBand="0" w:evenVBand="0" w:oddHBand="0" w:evenHBand="0" w:firstRowFirstColumn="0" w:firstRowLastColumn="0" w:lastRowFirstColumn="0" w:lastRowLastColumn="0"/>
        </w:trPr>
        <w:tc>
          <w:tcPr>
            <w:tcW w:w="2235" w:type="dxa"/>
          </w:tcPr>
          <w:p w14:paraId="38BF256C" w14:textId="77777777" w:rsidR="006E0256" w:rsidRPr="00B41A49" w:rsidRDefault="00B41A49" w:rsidP="00B41A49">
            <w:pPr>
              <w:ind w:left="0" w:right="0"/>
              <w:rPr>
                <w:sz w:val="20"/>
                <w:szCs w:val="20"/>
              </w:rPr>
            </w:pPr>
            <w:r w:rsidRPr="00B41A49">
              <w:rPr>
                <w:sz w:val="20"/>
                <w:szCs w:val="20"/>
              </w:rPr>
              <w:t>Secondary endpoint (OS)</w:t>
            </w:r>
          </w:p>
        </w:tc>
        <w:tc>
          <w:tcPr>
            <w:tcW w:w="2268" w:type="dxa"/>
          </w:tcPr>
          <w:p w14:paraId="180B6F49" w14:textId="77777777" w:rsidR="006E0256" w:rsidRPr="00B41A49" w:rsidRDefault="006E0256" w:rsidP="00B41A49">
            <w:pPr>
              <w:ind w:left="0" w:right="0"/>
              <w:jc w:val="center"/>
              <w:rPr>
                <w:sz w:val="20"/>
                <w:szCs w:val="20"/>
              </w:rPr>
            </w:pPr>
            <w:r w:rsidRPr="00B41A49">
              <w:rPr>
                <w:sz w:val="20"/>
                <w:szCs w:val="20"/>
              </w:rPr>
              <w:t>Olaparib</w:t>
            </w:r>
          </w:p>
          <w:p w14:paraId="09B90F33"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196</w:t>
            </w:r>
          </w:p>
        </w:tc>
        <w:tc>
          <w:tcPr>
            <w:tcW w:w="2835" w:type="dxa"/>
          </w:tcPr>
          <w:p w14:paraId="1B88DC8A" w14:textId="77777777" w:rsidR="006E0256" w:rsidRPr="00B41A49" w:rsidRDefault="006E0256" w:rsidP="00B41A49">
            <w:pPr>
              <w:ind w:left="0" w:right="0"/>
              <w:jc w:val="center"/>
              <w:rPr>
                <w:sz w:val="20"/>
                <w:szCs w:val="20"/>
              </w:rPr>
            </w:pPr>
            <w:r w:rsidRPr="00B41A49">
              <w:rPr>
                <w:sz w:val="20"/>
                <w:szCs w:val="20"/>
              </w:rPr>
              <w:t>Placebo</w:t>
            </w:r>
          </w:p>
          <w:p w14:paraId="6C8158C5"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99</w:t>
            </w:r>
          </w:p>
        </w:tc>
      </w:tr>
      <w:tr w:rsidR="006E0256" w:rsidRPr="00B41A49" w14:paraId="48E89FB0" w14:textId="77777777" w:rsidTr="006E0256">
        <w:tc>
          <w:tcPr>
            <w:tcW w:w="2235" w:type="dxa"/>
          </w:tcPr>
          <w:p w14:paraId="20064A25" w14:textId="77777777" w:rsidR="006E0256" w:rsidRPr="00B41A49" w:rsidRDefault="00B41A49" w:rsidP="00B41A49">
            <w:pPr>
              <w:ind w:left="0" w:right="0"/>
              <w:rPr>
                <w:sz w:val="20"/>
                <w:szCs w:val="20"/>
              </w:rPr>
            </w:pPr>
            <w:r w:rsidRPr="00B41A49">
              <w:rPr>
                <w:sz w:val="20"/>
                <w:szCs w:val="20"/>
              </w:rPr>
              <w:t>Deaths #</w:t>
            </w:r>
            <w:r w:rsidR="006E0256" w:rsidRPr="00B41A49">
              <w:rPr>
                <w:sz w:val="20"/>
                <w:szCs w:val="20"/>
              </w:rPr>
              <w:t xml:space="preserve"> (%)</w:t>
            </w:r>
          </w:p>
        </w:tc>
        <w:tc>
          <w:tcPr>
            <w:tcW w:w="2268" w:type="dxa"/>
          </w:tcPr>
          <w:p w14:paraId="2C572DBB" w14:textId="77777777" w:rsidR="006E0256" w:rsidRPr="00B41A49" w:rsidRDefault="006E0256" w:rsidP="00B41A49">
            <w:pPr>
              <w:ind w:left="0" w:right="0"/>
              <w:jc w:val="center"/>
              <w:rPr>
                <w:sz w:val="20"/>
                <w:szCs w:val="20"/>
              </w:rPr>
            </w:pPr>
            <w:r w:rsidRPr="00B41A49">
              <w:rPr>
                <w:sz w:val="20"/>
                <w:szCs w:val="20"/>
              </w:rPr>
              <w:t>45</w:t>
            </w:r>
            <w:r w:rsidR="00B41A49" w:rsidRPr="00B41A49">
              <w:rPr>
                <w:sz w:val="20"/>
                <w:szCs w:val="20"/>
              </w:rPr>
              <w:t xml:space="preserve"> </w:t>
            </w:r>
            <w:r w:rsidRPr="00B41A49">
              <w:rPr>
                <w:sz w:val="20"/>
                <w:szCs w:val="20"/>
              </w:rPr>
              <w:t>(23%)</w:t>
            </w:r>
          </w:p>
        </w:tc>
        <w:tc>
          <w:tcPr>
            <w:tcW w:w="2835" w:type="dxa"/>
          </w:tcPr>
          <w:p w14:paraId="278232EE" w14:textId="77777777" w:rsidR="006E0256" w:rsidRPr="00B41A49" w:rsidRDefault="006E0256" w:rsidP="00B41A49">
            <w:pPr>
              <w:ind w:left="0" w:right="0"/>
              <w:jc w:val="center"/>
              <w:rPr>
                <w:sz w:val="20"/>
                <w:szCs w:val="20"/>
              </w:rPr>
            </w:pPr>
            <w:r w:rsidRPr="00B41A49">
              <w:rPr>
                <w:sz w:val="20"/>
                <w:szCs w:val="20"/>
              </w:rPr>
              <w:t>27</w:t>
            </w:r>
            <w:r w:rsidR="00B41A49" w:rsidRPr="00B41A49">
              <w:rPr>
                <w:sz w:val="20"/>
                <w:szCs w:val="20"/>
              </w:rPr>
              <w:t xml:space="preserve"> </w:t>
            </w:r>
            <w:r w:rsidRPr="00B41A49">
              <w:rPr>
                <w:sz w:val="20"/>
                <w:szCs w:val="20"/>
              </w:rPr>
              <w:t>(27%)</w:t>
            </w:r>
          </w:p>
        </w:tc>
      </w:tr>
      <w:tr w:rsidR="006E0256" w:rsidRPr="00B41A49" w14:paraId="6007899B" w14:textId="77777777" w:rsidTr="006E0256">
        <w:tc>
          <w:tcPr>
            <w:tcW w:w="2235" w:type="dxa"/>
          </w:tcPr>
          <w:p w14:paraId="1F430ADE" w14:textId="77777777" w:rsidR="006E0256" w:rsidRPr="00B41A49" w:rsidRDefault="00B41A49" w:rsidP="00B41A49">
            <w:pPr>
              <w:ind w:left="0" w:right="0"/>
              <w:rPr>
                <w:sz w:val="20"/>
                <w:szCs w:val="20"/>
              </w:rPr>
            </w:pPr>
            <w:r w:rsidRPr="00B41A49">
              <w:rPr>
                <w:sz w:val="20"/>
                <w:szCs w:val="20"/>
              </w:rPr>
              <w:t xml:space="preserve">Median </w:t>
            </w:r>
            <w:r w:rsidR="007962C1" w:rsidRPr="00B41A49">
              <w:rPr>
                <w:sz w:val="20"/>
                <w:szCs w:val="20"/>
              </w:rPr>
              <w:t>(OS</w:t>
            </w:r>
            <w:r w:rsidR="006E0256" w:rsidRPr="00B41A49">
              <w:rPr>
                <w:sz w:val="20"/>
                <w:szCs w:val="20"/>
              </w:rPr>
              <w:t>)</w:t>
            </w:r>
          </w:p>
        </w:tc>
        <w:tc>
          <w:tcPr>
            <w:tcW w:w="2268" w:type="dxa"/>
          </w:tcPr>
          <w:p w14:paraId="6A0497A6" w14:textId="77777777" w:rsidR="006E0256" w:rsidRPr="00B41A49" w:rsidRDefault="006E0256" w:rsidP="00B41A49">
            <w:pPr>
              <w:ind w:left="0" w:right="0"/>
              <w:jc w:val="center"/>
              <w:rPr>
                <w:sz w:val="20"/>
                <w:szCs w:val="20"/>
              </w:rPr>
            </w:pPr>
            <w:r w:rsidRPr="00B41A49">
              <w:rPr>
                <w:sz w:val="20"/>
                <w:szCs w:val="20"/>
              </w:rPr>
              <w:t>NR</w:t>
            </w:r>
          </w:p>
        </w:tc>
        <w:tc>
          <w:tcPr>
            <w:tcW w:w="2835" w:type="dxa"/>
          </w:tcPr>
          <w:p w14:paraId="4D3AB390" w14:textId="77777777" w:rsidR="006E0256" w:rsidRPr="00B41A49" w:rsidRDefault="006E0256" w:rsidP="00B41A49">
            <w:pPr>
              <w:ind w:left="0" w:right="0"/>
              <w:jc w:val="center"/>
              <w:rPr>
                <w:sz w:val="20"/>
                <w:szCs w:val="20"/>
              </w:rPr>
            </w:pPr>
            <w:r w:rsidRPr="00B41A49">
              <w:rPr>
                <w:sz w:val="20"/>
                <w:szCs w:val="20"/>
              </w:rPr>
              <w:t>NR</w:t>
            </w:r>
          </w:p>
        </w:tc>
      </w:tr>
      <w:tr w:rsidR="006E0256" w:rsidRPr="00B41A49" w14:paraId="715F84B7" w14:textId="77777777" w:rsidTr="006E0256">
        <w:tc>
          <w:tcPr>
            <w:tcW w:w="2235" w:type="dxa"/>
          </w:tcPr>
          <w:p w14:paraId="1C36E789" w14:textId="77777777" w:rsidR="006E0256" w:rsidRPr="00B41A49" w:rsidRDefault="007962C1" w:rsidP="00B41A49">
            <w:pPr>
              <w:ind w:left="0" w:right="0"/>
              <w:rPr>
                <w:sz w:val="20"/>
                <w:szCs w:val="20"/>
              </w:rPr>
            </w:pPr>
            <w:r w:rsidRPr="00B41A49">
              <w:rPr>
                <w:sz w:val="20"/>
                <w:szCs w:val="20"/>
              </w:rPr>
              <w:t>HR(OS</w:t>
            </w:r>
            <w:r w:rsidR="006E0256" w:rsidRPr="00B41A49">
              <w:rPr>
                <w:sz w:val="20"/>
                <w:szCs w:val="20"/>
              </w:rPr>
              <w:t>)</w:t>
            </w:r>
          </w:p>
        </w:tc>
        <w:tc>
          <w:tcPr>
            <w:tcW w:w="5103" w:type="dxa"/>
            <w:gridSpan w:val="2"/>
          </w:tcPr>
          <w:p w14:paraId="015D3FA6" w14:textId="77777777" w:rsidR="006E0256" w:rsidRPr="00B41A49" w:rsidRDefault="006E0256" w:rsidP="00B41A49">
            <w:pPr>
              <w:ind w:left="0" w:right="0"/>
              <w:jc w:val="center"/>
              <w:rPr>
                <w:sz w:val="20"/>
                <w:szCs w:val="20"/>
              </w:rPr>
            </w:pPr>
            <w:r w:rsidRPr="00B41A49">
              <w:rPr>
                <w:sz w:val="20"/>
                <w:szCs w:val="20"/>
              </w:rPr>
              <w:t>0.80 (0.50, 1.29); p</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0.86</w:t>
            </w:r>
          </w:p>
        </w:tc>
      </w:tr>
    </w:tbl>
    <w:p w14:paraId="78735046" w14:textId="77777777" w:rsidR="006E0256" w:rsidRPr="00D843CF" w:rsidRDefault="006E0256" w:rsidP="006E0256">
      <w:pPr>
        <w:pStyle w:val="TableDescription"/>
      </w:pPr>
      <w:r w:rsidRPr="00D843CF">
        <w:t>Further</w:t>
      </w:r>
      <w:r>
        <w:t xml:space="preserve"> analyses on OS ar</w:t>
      </w:r>
      <w:r w:rsidR="00DE43A1">
        <w:t>e planned, with longer follow up</w:t>
      </w:r>
      <w:r>
        <w:t>.</w:t>
      </w:r>
    </w:p>
    <w:p w14:paraId="7ADB731B" w14:textId="77777777" w:rsidR="006E0256" w:rsidRPr="00905824" w:rsidRDefault="000A0DC3" w:rsidP="006E0256">
      <w:pPr>
        <w:pStyle w:val="TableTitle"/>
      </w:pPr>
      <w:r>
        <w:t>Table 24</w:t>
      </w:r>
      <w:r w:rsidR="006E0256" w:rsidRPr="00905824">
        <w:t>: Second</w:t>
      </w:r>
      <w:r w:rsidR="00B41A49">
        <w:t xml:space="preserve">ary and exploratory endpoints; </w:t>
      </w:r>
      <w:r w:rsidR="006E0256" w:rsidRPr="00905824">
        <w:t>ORR, DoR</w:t>
      </w:r>
    </w:p>
    <w:tbl>
      <w:tblPr>
        <w:tblStyle w:val="TableTGAblue"/>
        <w:tblW w:w="0" w:type="auto"/>
        <w:tblLook w:val="04A0" w:firstRow="1" w:lastRow="0" w:firstColumn="1" w:lastColumn="0" w:noHBand="0" w:noVBand="1"/>
      </w:tblPr>
      <w:tblGrid>
        <w:gridCol w:w="2235"/>
        <w:gridCol w:w="2268"/>
        <w:gridCol w:w="2835"/>
      </w:tblGrid>
      <w:tr w:rsidR="006E0256" w:rsidRPr="00B41A49" w14:paraId="57D9C088" w14:textId="77777777" w:rsidTr="006E0256">
        <w:trPr>
          <w:cnfStyle w:val="100000000000" w:firstRow="1" w:lastRow="0" w:firstColumn="0" w:lastColumn="0" w:oddVBand="0" w:evenVBand="0" w:oddHBand="0" w:evenHBand="0" w:firstRowFirstColumn="0" w:firstRowLastColumn="0" w:lastRowFirstColumn="0" w:lastRowLastColumn="0"/>
        </w:trPr>
        <w:tc>
          <w:tcPr>
            <w:tcW w:w="2235" w:type="dxa"/>
          </w:tcPr>
          <w:p w14:paraId="4FDBBF61" w14:textId="77777777" w:rsidR="006E0256" w:rsidRPr="00B41A49" w:rsidRDefault="00B41A49" w:rsidP="00B41A49">
            <w:pPr>
              <w:ind w:left="0" w:right="0"/>
              <w:rPr>
                <w:sz w:val="20"/>
                <w:szCs w:val="20"/>
              </w:rPr>
            </w:pPr>
            <w:r>
              <w:rPr>
                <w:sz w:val="20"/>
                <w:szCs w:val="20"/>
              </w:rPr>
              <w:t>Secondary endpoint (ORR and DoR)</w:t>
            </w:r>
          </w:p>
        </w:tc>
        <w:tc>
          <w:tcPr>
            <w:tcW w:w="2268" w:type="dxa"/>
          </w:tcPr>
          <w:p w14:paraId="3C49CDB8" w14:textId="77777777" w:rsidR="006E0256" w:rsidRPr="00B41A49" w:rsidRDefault="006E0256" w:rsidP="00B41A49">
            <w:pPr>
              <w:ind w:left="0" w:right="0"/>
              <w:jc w:val="center"/>
              <w:rPr>
                <w:sz w:val="20"/>
                <w:szCs w:val="20"/>
              </w:rPr>
            </w:pPr>
            <w:r w:rsidRPr="00B41A49">
              <w:rPr>
                <w:sz w:val="20"/>
                <w:szCs w:val="20"/>
              </w:rPr>
              <w:t>Olaparib</w:t>
            </w:r>
          </w:p>
          <w:p w14:paraId="7665F1BE"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196</w:t>
            </w:r>
          </w:p>
        </w:tc>
        <w:tc>
          <w:tcPr>
            <w:tcW w:w="2835" w:type="dxa"/>
          </w:tcPr>
          <w:p w14:paraId="3FF8076D" w14:textId="77777777" w:rsidR="006E0256" w:rsidRPr="00B41A49" w:rsidRDefault="006E0256" w:rsidP="00B41A49">
            <w:pPr>
              <w:ind w:left="0" w:right="0"/>
              <w:jc w:val="center"/>
              <w:rPr>
                <w:sz w:val="20"/>
                <w:szCs w:val="20"/>
              </w:rPr>
            </w:pPr>
            <w:r w:rsidRPr="00B41A49">
              <w:rPr>
                <w:sz w:val="20"/>
                <w:szCs w:val="20"/>
              </w:rPr>
              <w:t>Placebo</w:t>
            </w:r>
          </w:p>
          <w:p w14:paraId="2941AEC0" w14:textId="77777777" w:rsidR="006E0256" w:rsidRPr="00B41A49" w:rsidRDefault="006E0256" w:rsidP="00B41A49">
            <w:pPr>
              <w:ind w:left="0" w:right="0"/>
              <w:jc w:val="center"/>
              <w:rPr>
                <w:sz w:val="20"/>
                <w:szCs w:val="20"/>
              </w:rPr>
            </w:pPr>
            <w:r w:rsidRPr="00B41A49">
              <w:rPr>
                <w:sz w:val="20"/>
                <w:szCs w:val="20"/>
              </w:rPr>
              <w:t>N</w:t>
            </w:r>
            <w:r w:rsidR="007962C1" w:rsidRPr="00B41A49">
              <w:rPr>
                <w:sz w:val="20"/>
                <w:szCs w:val="20"/>
              </w:rPr>
              <w:t xml:space="preserve"> </w:t>
            </w:r>
            <w:r w:rsidRPr="00B41A49">
              <w:rPr>
                <w:sz w:val="20"/>
                <w:szCs w:val="20"/>
              </w:rPr>
              <w:t>=</w:t>
            </w:r>
            <w:r w:rsidR="007962C1" w:rsidRPr="00B41A49">
              <w:rPr>
                <w:sz w:val="20"/>
                <w:szCs w:val="20"/>
              </w:rPr>
              <w:t xml:space="preserve"> </w:t>
            </w:r>
            <w:r w:rsidRPr="00B41A49">
              <w:rPr>
                <w:sz w:val="20"/>
                <w:szCs w:val="20"/>
              </w:rPr>
              <w:t>99</w:t>
            </w:r>
          </w:p>
        </w:tc>
      </w:tr>
      <w:tr w:rsidR="006E0256" w:rsidRPr="00B41A49" w14:paraId="5DEF0949" w14:textId="77777777" w:rsidTr="006E0256">
        <w:tc>
          <w:tcPr>
            <w:tcW w:w="2235" w:type="dxa"/>
          </w:tcPr>
          <w:p w14:paraId="57BC17DE" w14:textId="3E1E61E4" w:rsidR="006E0256" w:rsidRPr="00B41A49" w:rsidRDefault="00B41A49" w:rsidP="00B41A49">
            <w:pPr>
              <w:ind w:left="0" w:right="0"/>
              <w:rPr>
                <w:sz w:val="20"/>
                <w:szCs w:val="20"/>
              </w:rPr>
            </w:pPr>
            <w:r w:rsidRPr="00B41A49">
              <w:rPr>
                <w:sz w:val="20"/>
                <w:szCs w:val="20"/>
              </w:rPr>
              <w:t>C</w:t>
            </w:r>
            <w:r>
              <w:rPr>
                <w:sz w:val="20"/>
                <w:szCs w:val="20"/>
              </w:rPr>
              <w:t>omplete +</w:t>
            </w:r>
            <w:r w:rsidRPr="00B41A49">
              <w:rPr>
                <w:sz w:val="20"/>
                <w:szCs w:val="20"/>
              </w:rPr>
              <w:t xml:space="preserve"> partial response</w:t>
            </w:r>
            <w:r w:rsidR="00617EB3">
              <w:rPr>
                <w:sz w:val="20"/>
                <w:szCs w:val="20"/>
              </w:rPr>
              <w:t xml:space="preserve"> </w:t>
            </w:r>
            <w:r w:rsidR="006E0256" w:rsidRPr="00B41A49">
              <w:rPr>
                <w:sz w:val="20"/>
                <w:szCs w:val="20"/>
              </w:rPr>
              <w:t>(%)</w:t>
            </w:r>
          </w:p>
        </w:tc>
        <w:tc>
          <w:tcPr>
            <w:tcW w:w="2268" w:type="dxa"/>
          </w:tcPr>
          <w:p w14:paraId="65EC8027" w14:textId="77777777" w:rsidR="006E0256" w:rsidRPr="00B41A49" w:rsidRDefault="006E0256" w:rsidP="00B41A49">
            <w:pPr>
              <w:ind w:left="0" w:right="0"/>
              <w:jc w:val="center"/>
              <w:rPr>
                <w:sz w:val="20"/>
                <w:szCs w:val="20"/>
              </w:rPr>
            </w:pPr>
            <w:r w:rsidRPr="00B41A49">
              <w:rPr>
                <w:sz w:val="20"/>
                <w:szCs w:val="20"/>
              </w:rPr>
              <w:t>17</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21</w:t>
            </w:r>
            <w:r w:rsidR="00B41A49">
              <w:rPr>
                <w:sz w:val="20"/>
                <w:szCs w:val="20"/>
              </w:rPr>
              <w:t xml:space="preserve"> </w:t>
            </w:r>
            <w:r w:rsidRPr="00B41A49">
              <w:rPr>
                <w:sz w:val="20"/>
                <w:szCs w:val="20"/>
              </w:rPr>
              <w:t>(19%)</w:t>
            </w:r>
          </w:p>
        </w:tc>
        <w:tc>
          <w:tcPr>
            <w:tcW w:w="2835" w:type="dxa"/>
          </w:tcPr>
          <w:p w14:paraId="3CFD5693" w14:textId="77777777" w:rsidR="006E0256" w:rsidRPr="00B41A49" w:rsidRDefault="006E0256" w:rsidP="00B41A49">
            <w:pPr>
              <w:ind w:left="0" w:right="0"/>
              <w:jc w:val="center"/>
              <w:rPr>
                <w:sz w:val="20"/>
                <w:szCs w:val="20"/>
              </w:rPr>
            </w:pPr>
            <w:r w:rsidRPr="00B41A49">
              <w:rPr>
                <w:sz w:val="20"/>
                <w:szCs w:val="20"/>
              </w:rPr>
              <w:t>5</w:t>
            </w:r>
            <w:r w:rsidR="00B41A49">
              <w:rPr>
                <w:sz w:val="20"/>
                <w:szCs w:val="20"/>
              </w:rPr>
              <w:t xml:space="preserve"> </w:t>
            </w:r>
            <w:r w:rsidRPr="00B41A49">
              <w:rPr>
                <w:sz w:val="20"/>
                <w:szCs w:val="20"/>
              </w:rPr>
              <w:t>+</w:t>
            </w:r>
            <w:r w:rsidR="00B41A49">
              <w:rPr>
                <w:sz w:val="20"/>
                <w:szCs w:val="20"/>
              </w:rPr>
              <w:t xml:space="preserve"> 4 </w:t>
            </w:r>
            <w:r w:rsidRPr="00B41A49">
              <w:rPr>
                <w:sz w:val="20"/>
                <w:szCs w:val="20"/>
              </w:rPr>
              <w:t>(9%)</w:t>
            </w:r>
          </w:p>
        </w:tc>
      </w:tr>
      <w:tr w:rsidR="006E0256" w:rsidRPr="00B41A49" w14:paraId="46C84346" w14:textId="77777777" w:rsidTr="006E0256">
        <w:tc>
          <w:tcPr>
            <w:tcW w:w="2235" w:type="dxa"/>
          </w:tcPr>
          <w:p w14:paraId="36442517" w14:textId="77777777" w:rsidR="006E0256" w:rsidRPr="00B41A49" w:rsidRDefault="00B41A49" w:rsidP="00B41A49">
            <w:pPr>
              <w:ind w:left="0" w:right="0"/>
              <w:rPr>
                <w:sz w:val="20"/>
                <w:szCs w:val="20"/>
              </w:rPr>
            </w:pPr>
            <w:r>
              <w:rPr>
                <w:sz w:val="20"/>
                <w:szCs w:val="20"/>
              </w:rPr>
              <w:t xml:space="preserve">Median </w:t>
            </w:r>
            <w:r w:rsidR="006E0256" w:rsidRPr="00B41A49">
              <w:rPr>
                <w:sz w:val="20"/>
                <w:szCs w:val="20"/>
              </w:rPr>
              <w:t>(DoR)</w:t>
            </w:r>
          </w:p>
        </w:tc>
        <w:tc>
          <w:tcPr>
            <w:tcW w:w="2268" w:type="dxa"/>
          </w:tcPr>
          <w:p w14:paraId="6F4FA896" w14:textId="77777777" w:rsidR="006E0256" w:rsidRPr="00B41A49" w:rsidRDefault="006E0256" w:rsidP="00B41A49">
            <w:pPr>
              <w:ind w:left="0" w:right="0"/>
              <w:jc w:val="center"/>
              <w:rPr>
                <w:sz w:val="20"/>
                <w:szCs w:val="20"/>
              </w:rPr>
            </w:pPr>
            <w:r w:rsidRPr="00B41A49">
              <w:rPr>
                <w:sz w:val="20"/>
                <w:szCs w:val="20"/>
              </w:rPr>
              <w:t>13.6</w:t>
            </w:r>
          </w:p>
        </w:tc>
        <w:tc>
          <w:tcPr>
            <w:tcW w:w="2835" w:type="dxa"/>
          </w:tcPr>
          <w:p w14:paraId="5E037C66" w14:textId="77777777" w:rsidR="006E0256" w:rsidRPr="00B41A49" w:rsidRDefault="006E0256" w:rsidP="00B41A49">
            <w:pPr>
              <w:ind w:left="0" w:right="0"/>
              <w:jc w:val="center"/>
              <w:rPr>
                <w:sz w:val="20"/>
                <w:szCs w:val="20"/>
              </w:rPr>
            </w:pPr>
            <w:r w:rsidRPr="00B41A49">
              <w:rPr>
                <w:sz w:val="20"/>
                <w:szCs w:val="20"/>
              </w:rPr>
              <w:t>5.6</w:t>
            </w:r>
          </w:p>
        </w:tc>
      </w:tr>
    </w:tbl>
    <w:p w14:paraId="0BC9B5B1" w14:textId="77777777" w:rsidR="006E0256" w:rsidRPr="003C009A" w:rsidRDefault="00B41A49" w:rsidP="00B41A49">
      <w:pPr>
        <w:pStyle w:val="Heading7"/>
      </w:pPr>
      <w:r>
        <w:t>Quality of life (</w:t>
      </w:r>
      <w:r w:rsidR="006E0256" w:rsidRPr="003C009A">
        <w:t>QoL</w:t>
      </w:r>
      <w:r>
        <w:t>)</w:t>
      </w:r>
    </w:p>
    <w:p w14:paraId="544BF1EF" w14:textId="77777777" w:rsidR="00CA1EAE" w:rsidRDefault="00B41A49" w:rsidP="00B41A49">
      <w:r>
        <w:t xml:space="preserve">Patient reported health </w:t>
      </w:r>
      <w:r w:rsidR="006E0256" w:rsidRPr="003C009A">
        <w:t>related QoL was assessed with the Trial Outcome Index (TOI) derived from the Functional Assessment of Cancer Therapy-Ovarian Cancer (FACT-O). The mixed model for repeated measures showed no material difference in quality of life for patients receiving olaparib compared with those receiving placebo. However, this analysis was exploratory</w:t>
      </w:r>
      <w:r w:rsidR="00CA1EAE">
        <w:t>.</w:t>
      </w:r>
    </w:p>
    <w:p w14:paraId="008D453B" w14:textId="77777777" w:rsidR="006E0256" w:rsidRPr="003C009A" w:rsidRDefault="006E0256" w:rsidP="00B41A49">
      <w:pPr>
        <w:pStyle w:val="Heading7"/>
      </w:pPr>
      <w:r w:rsidRPr="003C009A">
        <w:t>Subgroup analyses</w:t>
      </w:r>
    </w:p>
    <w:p w14:paraId="46A58F06" w14:textId="0715BC4C" w:rsidR="006E0256" w:rsidRPr="003C009A" w:rsidRDefault="006E0256" w:rsidP="00B41A49">
      <w:r>
        <w:t>All the subgroup analyses (for example,</w:t>
      </w:r>
      <w:r w:rsidRPr="003C009A">
        <w:t xml:space="preserve"> resp</w:t>
      </w:r>
      <w:r w:rsidR="00B41A49">
        <w:t xml:space="preserve">onse to last platinum; platinum </w:t>
      </w:r>
      <w:r w:rsidRPr="003C009A">
        <w:t xml:space="preserve">free interval; age; prior lines of platinum, prior </w:t>
      </w:r>
      <w:r w:rsidR="00B41A49" w:rsidRPr="00B41A49">
        <w:t>bevacizumab</w:t>
      </w:r>
      <w:r w:rsidRPr="003C009A">
        <w:t>, BRCA</w:t>
      </w:r>
      <w:r w:rsidR="00BB31C4">
        <w:t xml:space="preserve"> </w:t>
      </w:r>
      <w:r w:rsidRPr="003C009A">
        <w:t>1</w:t>
      </w:r>
      <w:r w:rsidR="00BB31C4">
        <w:t xml:space="preserve"> or </w:t>
      </w:r>
      <w:r w:rsidRPr="003C009A">
        <w:t>2, Asian, ECOG</w:t>
      </w:r>
      <w:r w:rsidR="00BB31C4">
        <w:t xml:space="preserve"> performance score</w:t>
      </w:r>
      <w:r w:rsidRPr="003C009A">
        <w:t>) gave HRs</w:t>
      </w:r>
      <w:r w:rsidR="00B41A49">
        <w:t xml:space="preserve"> </w:t>
      </w:r>
      <w:r w:rsidRPr="003C009A">
        <w:t>&lt;</w:t>
      </w:r>
      <w:r w:rsidR="00B41A49">
        <w:t xml:space="preserve"> </w:t>
      </w:r>
      <w:r w:rsidRPr="003C009A">
        <w:t>0.5.</w:t>
      </w:r>
    </w:p>
    <w:p w14:paraId="586CA18F" w14:textId="77777777" w:rsidR="006E0256" w:rsidRPr="00450156" w:rsidRDefault="006E0256" w:rsidP="006E0256">
      <w:pPr>
        <w:pStyle w:val="Heading4"/>
        <w:rPr>
          <w:lang w:eastAsia="en-AU"/>
        </w:rPr>
      </w:pPr>
      <w:r w:rsidRPr="00450156">
        <w:rPr>
          <w:lang w:eastAsia="en-AU"/>
        </w:rPr>
        <w:t>Safety</w:t>
      </w:r>
    </w:p>
    <w:p w14:paraId="5A7EE215" w14:textId="77777777" w:rsidR="00CA1EAE" w:rsidRDefault="006E0256" w:rsidP="006E0256">
      <w:pPr>
        <w:rPr>
          <w:lang w:eastAsia="en-AU"/>
        </w:rPr>
      </w:pPr>
      <w:r>
        <w:rPr>
          <w:lang w:eastAsia="en-AU"/>
        </w:rPr>
        <w:t xml:space="preserve">The main safety data were from </w:t>
      </w:r>
      <w:r w:rsidR="00205AC8">
        <w:rPr>
          <w:lang w:eastAsia="en-AU"/>
        </w:rPr>
        <w:t>SOLO-2</w:t>
      </w:r>
      <w:r>
        <w:rPr>
          <w:lang w:eastAsia="en-AU"/>
        </w:rPr>
        <w:t xml:space="preserve">, with updated data from </w:t>
      </w:r>
      <w:r w:rsidR="001F00F8">
        <w:rPr>
          <w:lang w:eastAsia="en-AU"/>
        </w:rPr>
        <w:t>Study 19</w:t>
      </w:r>
      <w:r w:rsidR="00CA1EAE">
        <w:rPr>
          <w:lang w:eastAsia="en-AU"/>
        </w:rPr>
        <w:t>.</w:t>
      </w:r>
    </w:p>
    <w:p w14:paraId="50B4387D" w14:textId="5F8F569C" w:rsidR="006E0256" w:rsidRDefault="006E0256" w:rsidP="006E0256">
      <w:pPr>
        <w:rPr>
          <w:lang w:eastAsia="en-AU"/>
        </w:rPr>
      </w:pPr>
      <w:r>
        <w:rPr>
          <w:lang w:eastAsia="en-AU"/>
        </w:rPr>
        <w:t xml:space="preserve">Olaparib formulations and doses differed between </w:t>
      </w:r>
      <w:r w:rsidR="001F00F8">
        <w:rPr>
          <w:lang w:eastAsia="en-AU"/>
        </w:rPr>
        <w:t>Study 19</w:t>
      </w:r>
      <w:r>
        <w:rPr>
          <w:lang w:eastAsia="en-AU"/>
        </w:rPr>
        <w:t xml:space="preserve"> (eight 50 mg capsules = 400 mg </w:t>
      </w:r>
      <w:r w:rsidR="00C920E8">
        <w:rPr>
          <w:lang w:eastAsia="en-AU"/>
        </w:rPr>
        <w:t>BID</w:t>
      </w:r>
      <w:r>
        <w:rPr>
          <w:lang w:eastAsia="en-AU"/>
        </w:rPr>
        <w:t xml:space="preserve">) and </w:t>
      </w:r>
      <w:r w:rsidR="00205AC8">
        <w:rPr>
          <w:lang w:eastAsia="en-AU"/>
        </w:rPr>
        <w:t>SOLO-2</w:t>
      </w:r>
      <w:r>
        <w:rPr>
          <w:lang w:eastAsia="en-AU"/>
        </w:rPr>
        <w:t xml:space="preserve"> (two 150 mg tablets</w:t>
      </w:r>
      <w:r w:rsidR="00B41A49">
        <w:rPr>
          <w:lang w:eastAsia="en-AU"/>
        </w:rPr>
        <w:t xml:space="preserve"> </w:t>
      </w:r>
      <w:r>
        <w:rPr>
          <w:lang w:eastAsia="en-AU"/>
        </w:rPr>
        <w:t>=</w:t>
      </w:r>
      <w:r w:rsidR="00B41A49">
        <w:rPr>
          <w:lang w:eastAsia="en-AU"/>
        </w:rPr>
        <w:t xml:space="preserve"> </w:t>
      </w:r>
      <w:r>
        <w:rPr>
          <w:lang w:eastAsia="en-AU"/>
        </w:rPr>
        <w:t xml:space="preserve">300 mg </w:t>
      </w:r>
      <w:r w:rsidR="00C920E8">
        <w:rPr>
          <w:lang w:eastAsia="en-AU"/>
        </w:rPr>
        <w:t>BID</w:t>
      </w:r>
      <w:r>
        <w:rPr>
          <w:lang w:eastAsia="en-AU"/>
        </w:rPr>
        <w:t xml:space="preserve">). </w:t>
      </w:r>
      <w:r w:rsidR="0003324E">
        <w:rPr>
          <w:lang w:eastAsia="en-AU"/>
        </w:rPr>
        <w:t>[</w:t>
      </w:r>
      <w:r w:rsidR="00DE4018">
        <w:rPr>
          <w:lang w:eastAsia="en-AU"/>
        </w:rPr>
        <w:t>Information</w:t>
      </w:r>
      <w:r w:rsidR="0003324E">
        <w:rPr>
          <w:lang w:eastAsia="en-AU"/>
        </w:rPr>
        <w:t xml:space="preserve"> redacted]</w:t>
      </w:r>
      <w:r w:rsidR="00843E41">
        <w:rPr>
          <w:lang w:eastAsia="en-AU"/>
        </w:rPr>
        <w:t>.</w:t>
      </w:r>
    </w:p>
    <w:p w14:paraId="2CE7ECBA" w14:textId="780EC414" w:rsidR="006E0256" w:rsidRDefault="000A0DC3" w:rsidP="006E0256">
      <w:pPr>
        <w:pStyle w:val="TableTitle"/>
        <w:rPr>
          <w:lang w:eastAsia="en-AU"/>
        </w:rPr>
      </w:pPr>
      <w:r>
        <w:rPr>
          <w:lang w:eastAsia="en-AU"/>
        </w:rPr>
        <w:lastRenderedPageBreak/>
        <w:t>Table 25</w:t>
      </w:r>
      <w:r w:rsidR="006E0256">
        <w:rPr>
          <w:lang w:eastAsia="en-AU"/>
        </w:rPr>
        <w:t xml:space="preserve">: </w:t>
      </w:r>
      <w:r w:rsidR="00205AC8">
        <w:rPr>
          <w:lang w:eastAsia="en-AU"/>
        </w:rPr>
        <w:t>SOLO-2</w:t>
      </w:r>
      <w:r w:rsidR="006E0256">
        <w:rPr>
          <w:lang w:eastAsia="en-AU"/>
        </w:rPr>
        <w:t xml:space="preserve"> </w:t>
      </w:r>
      <w:r w:rsidR="00BB31C4">
        <w:rPr>
          <w:lang w:eastAsia="en-AU"/>
        </w:rPr>
        <w:t xml:space="preserve">trial </w:t>
      </w:r>
      <w:r w:rsidR="006E0256">
        <w:rPr>
          <w:lang w:eastAsia="en-AU"/>
        </w:rPr>
        <w:t>safety overview</w:t>
      </w:r>
    </w:p>
    <w:tbl>
      <w:tblPr>
        <w:tblStyle w:val="TableTGAblue"/>
        <w:tblW w:w="0" w:type="auto"/>
        <w:tblLook w:val="04A0" w:firstRow="1" w:lastRow="0" w:firstColumn="1" w:lastColumn="0" w:noHBand="0" w:noVBand="1"/>
      </w:tblPr>
      <w:tblGrid>
        <w:gridCol w:w="3227"/>
        <w:gridCol w:w="1559"/>
        <w:gridCol w:w="2552"/>
      </w:tblGrid>
      <w:tr w:rsidR="006E0256" w:rsidRPr="00B41A49" w14:paraId="63EBF26A" w14:textId="77777777" w:rsidTr="006E0256">
        <w:trPr>
          <w:cnfStyle w:val="100000000000" w:firstRow="1" w:lastRow="0" w:firstColumn="0" w:lastColumn="0" w:oddVBand="0" w:evenVBand="0" w:oddHBand="0" w:evenHBand="0" w:firstRowFirstColumn="0" w:firstRowLastColumn="0" w:lastRowFirstColumn="0" w:lastRowLastColumn="0"/>
        </w:trPr>
        <w:tc>
          <w:tcPr>
            <w:tcW w:w="3227" w:type="dxa"/>
          </w:tcPr>
          <w:p w14:paraId="587162D3" w14:textId="77777777" w:rsidR="006E0256" w:rsidRPr="00B41A49" w:rsidRDefault="00B41A49" w:rsidP="00B41A49">
            <w:pPr>
              <w:ind w:left="0" w:right="0"/>
              <w:rPr>
                <w:sz w:val="20"/>
                <w:szCs w:val="20"/>
              </w:rPr>
            </w:pPr>
            <w:r w:rsidRPr="00B41A49">
              <w:rPr>
                <w:sz w:val="20"/>
                <w:szCs w:val="20"/>
              </w:rPr>
              <w:t>AEs</w:t>
            </w:r>
          </w:p>
        </w:tc>
        <w:tc>
          <w:tcPr>
            <w:tcW w:w="1559" w:type="dxa"/>
          </w:tcPr>
          <w:p w14:paraId="10E92EE4" w14:textId="77777777" w:rsidR="006E0256" w:rsidRPr="00B41A49" w:rsidRDefault="006E0256" w:rsidP="00B41A49">
            <w:pPr>
              <w:ind w:left="0" w:right="0"/>
              <w:jc w:val="center"/>
              <w:rPr>
                <w:sz w:val="20"/>
                <w:szCs w:val="20"/>
              </w:rPr>
            </w:pPr>
            <w:r w:rsidRPr="00B41A49">
              <w:rPr>
                <w:sz w:val="20"/>
                <w:szCs w:val="20"/>
              </w:rPr>
              <w:t>Olaparib</w:t>
            </w:r>
          </w:p>
          <w:p w14:paraId="5CB8AC6E"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195</w:t>
            </w:r>
          </w:p>
        </w:tc>
        <w:tc>
          <w:tcPr>
            <w:tcW w:w="2552" w:type="dxa"/>
          </w:tcPr>
          <w:p w14:paraId="33BBDC5E" w14:textId="77777777" w:rsidR="006E0256" w:rsidRPr="00B41A49" w:rsidRDefault="006E0256" w:rsidP="00B41A49">
            <w:pPr>
              <w:ind w:left="0" w:right="0"/>
              <w:jc w:val="center"/>
              <w:rPr>
                <w:sz w:val="20"/>
                <w:szCs w:val="20"/>
              </w:rPr>
            </w:pPr>
            <w:r w:rsidRPr="00B41A49">
              <w:rPr>
                <w:sz w:val="20"/>
                <w:szCs w:val="20"/>
              </w:rPr>
              <w:t>Placebo</w:t>
            </w:r>
          </w:p>
          <w:p w14:paraId="4901C4E9"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99</w:t>
            </w:r>
          </w:p>
        </w:tc>
      </w:tr>
      <w:tr w:rsidR="006E0256" w:rsidRPr="00B41A49" w14:paraId="798FEB1E" w14:textId="77777777" w:rsidTr="006E0256">
        <w:tc>
          <w:tcPr>
            <w:tcW w:w="3227" w:type="dxa"/>
          </w:tcPr>
          <w:p w14:paraId="6DBFA931" w14:textId="77777777" w:rsidR="006E0256" w:rsidRPr="00B41A49" w:rsidRDefault="00B41A49" w:rsidP="00B41A49">
            <w:pPr>
              <w:ind w:left="0" w:right="0"/>
              <w:rPr>
                <w:sz w:val="20"/>
                <w:szCs w:val="20"/>
              </w:rPr>
            </w:pPr>
            <w:r>
              <w:rPr>
                <w:sz w:val="20"/>
                <w:szCs w:val="20"/>
              </w:rPr>
              <w:t xml:space="preserve">Grade 1 to </w:t>
            </w:r>
            <w:r w:rsidR="006E0256" w:rsidRPr="00B41A49">
              <w:rPr>
                <w:sz w:val="20"/>
                <w:szCs w:val="20"/>
              </w:rPr>
              <w:t>4 AEs</w:t>
            </w:r>
          </w:p>
        </w:tc>
        <w:tc>
          <w:tcPr>
            <w:tcW w:w="1559" w:type="dxa"/>
          </w:tcPr>
          <w:p w14:paraId="6CCAB116" w14:textId="77777777" w:rsidR="006E0256" w:rsidRPr="00B41A49" w:rsidRDefault="006E0256" w:rsidP="00B41A49">
            <w:pPr>
              <w:ind w:left="0" w:right="0"/>
              <w:jc w:val="center"/>
              <w:rPr>
                <w:sz w:val="20"/>
                <w:szCs w:val="20"/>
              </w:rPr>
            </w:pPr>
            <w:r w:rsidRPr="00B41A49">
              <w:rPr>
                <w:sz w:val="20"/>
                <w:szCs w:val="20"/>
              </w:rPr>
              <w:t>192</w:t>
            </w:r>
            <w:r w:rsidR="00B41A49">
              <w:rPr>
                <w:sz w:val="20"/>
                <w:szCs w:val="20"/>
              </w:rPr>
              <w:t xml:space="preserve"> </w:t>
            </w:r>
            <w:r w:rsidRPr="00B41A49">
              <w:rPr>
                <w:sz w:val="20"/>
                <w:szCs w:val="20"/>
              </w:rPr>
              <w:t>(99%)</w:t>
            </w:r>
          </w:p>
        </w:tc>
        <w:tc>
          <w:tcPr>
            <w:tcW w:w="2552" w:type="dxa"/>
          </w:tcPr>
          <w:p w14:paraId="36F89599" w14:textId="77777777" w:rsidR="006E0256" w:rsidRPr="00B41A49" w:rsidRDefault="006E0256" w:rsidP="00B41A49">
            <w:pPr>
              <w:ind w:left="0" w:right="0"/>
              <w:jc w:val="center"/>
              <w:rPr>
                <w:sz w:val="20"/>
                <w:szCs w:val="20"/>
              </w:rPr>
            </w:pPr>
            <w:r w:rsidRPr="00B41A49">
              <w:rPr>
                <w:sz w:val="20"/>
                <w:szCs w:val="20"/>
              </w:rPr>
              <w:t>94</w:t>
            </w:r>
            <w:r w:rsidR="00B41A49">
              <w:rPr>
                <w:sz w:val="20"/>
                <w:szCs w:val="20"/>
              </w:rPr>
              <w:t xml:space="preserve"> </w:t>
            </w:r>
            <w:r w:rsidRPr="00B41A49">
              <w:rPr>
                <w:sz w:val="20"/>
                <w:szCs w:val="20"/>
              </w:rPr>
              <w:t>(95%)</w:t>
            </w:r>
          </w:p>
        </w:tc>
      </w:tr>
      <w:tr w:rsidR="006E0256" w:rsidRPr="00B41A49" w14:paraId="73FF9FEF" w14:textId="77777777" w:rsidTr="006E0256">
        <w:tc>
          <w:tcPr>
            <w:tcW w:w="3227" w:type="dxa"/>
          </w:tcPr>
          <w:p w14:paraId="213BC441" w14:textId="77777777" w:rsidR="006E0256" w:rsidRPr="00B41A49" w:rsidRDefault="00B41A49" w:rsidP="00B41A49">
            <w:pPr>
              <w:ind w:left="0" w:right="0"/>
              <w:rPr>
                <w:sz w:val="20"/>
                <w:szCs w:val="20"/>
              </w:rPr>
            </w:pPr>
            <w:r>
              <w:rPr>
                <w:sz w:val="20"/>
                <w:szCs w:val="20"/>
              </w:rPr>
              <w:t xml:space="preserve">Grade 3 to </w:t>
            </w:r>
            <w:r w:rsidR="006E0256" w:rsidRPr="00B41A49">
              <w:rPr>
                <w:sz w:val="20"/>
                <w:szCs w:val="20"/>
              </w:rPr>
              <w:t>4 AEs</w:t>
            </w:r>
          </w:p>
        </w:tc>
        <w:tc>
          <w:tcPr>
            <w:tcW w:w="1559" w:type="dxa"/>
          </w:tcPr>
          <w:p w14:paraId="0CE4A9E3" w14:textId="77777777" w:rsidR="006E0256" w:rsidRPr="00B41A49" w:rsidRDefault="006E0256" w:rsidP="00B41A49">
            <w:pPr>
              <w:ind w:left="0" w:right="0"/>
              <w:jc w:val="center"/>
              <w:rPr>
                <w:sz w:val="20"/>
                <w:szCs w:val="20"/>
              </w:rPr>
            </w:pPr>
            <w:r w:rsidRPr="00B41A49">
              <w:rPr>
                <w:sz w:val="20"/>
                <w:szCs w:val="20"/>
              </w:rPr>
              <w:t>72</w:t>
            </w:r>
            <w:r w:rsidR="00B41A49">
              <w:rPr>
                <w:sz w:val="20"/>
                <w:szCs w:val="20"/>
              </w:rPr>
              <w:t xml:space="preserve"> </w:t>
            </w:r>
            <w:r w:rsidRPr="00B41A49">
              <w:rPr>
                <w:sz w:val="20"/>
                <w:szCs w:val="20"/>
              </w:rPr>
              <w:t>(37%)</w:t>
            </w:r>
          </w:p>
        </w:tc>
        <w:tc>
          <w:tcPr>
            <w:tcW w:w="2552" w:type="dxa"/>
          </w:tcPr>
          <w:p w14:paraId="3B562CC0" w14:textId="77777777" w:rsidR="006E0256" w:rsidRPr="00B41A49" w:rsidRDefault="006E0256" w:rsidP="00B41A49">
            <w:pPr>
              <w:ind w:left="0" w:right="0"/>
              <w:jc w:val="center"/>
              <w:rPr>
                <w:sz w:val="20"/>
                <w:szCs w:val="20"/>
              </w:rPr>
            </w:pPr>
            <w:r w:rsidRPr="00B41A49">
              <w:rPr>
                <w:sz w:val="20"/>
                <w:szCs w:val="20"/>
              </w:rPr>
              <w:t>18</w:t>
            </w:r>
            <w:r w:rsidR="00B41A49">
              <w:rPr>
                <w:sz w:val="20"/>
                <w:szCs w:val="20"/>
              </w:rPr>
              <w:t xml:space="preserve"> </w:t>
            </w:r>
            <w:r w:rsidRPr="00B41A49">
              <w:rPr>
                <w:sz w:val="20"/>
                <w:szCs w:val="20"/>
              </w:rPr>
              <w:t>(18%)</w:t>
            </w:r>
          </w:p>
        </w:tc>
      </w:tr>
      <w:tr w:rsidR="006E0256" w:rsidRPr="00B41A49" w14:paraId="126CE161" w14:textId="77777777" w:rsidTr="006E0256">
        <w:tc>
          <w:tcPr>
            <w:tcW w:w="3227" w:type="dxa"/>
          </w:tcPr>
          <w:p w14:paraId="30A77A07" w14:textId="77777777" w:rsidR="006E0256" w:rsidRPr="00B41A49" w:rsidRDefault="006E0256" w:rsidP="00B41A49">
            <w:pPr>
              <w:ind w:left="0" w:right="0"/>
              <w:rPr>
                <w:sz w:val="20"/>
                <w:szCs w:val="20"/>
              </w:rPr>
            </w:pPr>
            <w:r w:rsidRPr="00B41A49">
              <w:rPr>
                <w:sz w:val="20"/>
                <w:szCs w:val="20"/>
              </w:rPr>
              <w:t>Serious AEs</w:t>
            </w:r>
          </w:p>
        </w:tc>
        <w:tc>
          <w:tcPr>
            <w:tcW w:w="1559" w:type="dxa"/>
          </w:tcPr>
          <w:p w14:paraId="24012F18" w14:textId="77777777" w:rsidR="006E0256" w:rsidRPr="00B41A49" w:rsidRDefault="006E0256" w:rsidP="00B41A49">
            <w:pPr>
              <w:ind w:left="0" w:right="0"/>
              <w:jc w:val="center"/>
              <w:rPr>
                <w:sz w:val="20"/>
                <w:szCs w:val="20"/>
              </w:rPr>
            </w:pPr>
            <w:r w:rsidRPr="00B41A49">
              <w:rPr>
                <w:sz w:val="20"/>
                <w:szCs w:val="20"/>
              </w:rPr>
              <w:t>35</w:t>
            </w:r>
            <w:r w:rsidR="00B41A49">
              <w:rPr>
                <w:sz w:val="20"/>
                <w:szCs w:val="20"/>
              </w:rPr>
              <w:t xml:space="preserve"> </w:t>
            </w:r>
            <w:r w:rsidRPr="00B41A49">
              <w:rPr>
                <w:sz w:val="20"/>
                <w:szCs w:val="20"/>
              </w:rPr>
              <w:t>(18%)</w:t>
            </w:r>
          </w:p>
        </w:tc>
        <w:tc>
          <w:tcPr>
            <w:tcW w:w="2552" w:type="dxa"/>
          </w:tcPr>
          <w:p w14:paraId="5C78694F" w14:textId="77777777" w:rsidR="006E0256" w:rsidRPr="00B41A49" w:rsidRDefault="006E0256" w:rsidP="00B41A49">
            <w:pPr>
              <w:ind w:left="0" w:right="0"/>
              <w:jc w:val="center"/>
              <w:rPr>
                <w:sz w:val="20"/>
                <w:szCs w:val="20"/>
              </w:rPr>
            </w:pPr>
            <w:r w:rsidRPr="00B41A49">
              <w:rPr>
                <w:sz w:val="20"/>
                <w:szCs w:val="20"/>
              </w:rPr>
              <w:t>8</w:t>
            </w:r>
            <w:r w:rsidR="00B41A49">
              <w:rPr>
                <w:sz w:val="20"/>
                <w:szCs w:val="20"/>
              </w:rPr>
              <w:t xml:space="preserve"> </w:t>
            </w:r>
            <w:r w:rsidRPr="00B41A49">
              <w:rPr>
                <w:sz w:val="20"/>
                <w:szCs w:val="20"/>
              </w:rPr>
              <w:t>(8%)</w:t>
            </w:r>
          </w:p>
        </w:tc>
      </w:tr>
      <w:tr w:rsidR="006E0256" w:rsidRPr="00B41A49" w14:paraId="72A0F688" w14:textId="77777777" w:rsidTr="006E0256">
        <w:tc>
          <w:tcPr>
            <w:tcW w:w="3227" w:type="dxa"/>
          </w:tcPr>
          <w:p w14:paraId="760F0C5E" w14:textId="77777777" w:rsidR="006E0256" w:rsidRPr="00B41A49" w:rsidRDefault="006E0256" w:rsidP="00B41A49">
            <w:pPr>
              <w:ind w:left="0" w:right="0"/>
              <w:rPr>
                <w:sz w:val="20"/>
                <w:szCs w:val="20"/>
              </w:rPr>
            </w:pPr>
            <w:r w:rsidRPr="00B41A49">
              <w:rPr>
                <w:sz w:val="20"/>
                <w:szCs w:val="20"/>
              </w:rPr>
              <w:t>AEs leading to death within 30 days</w:t>
            </w:r>
          </w:p>
        </w:tc>
        <w:tc>
          <w:tcPr>
            <w:tcW w:w="1559" w:type="dxa"/>
          </w:tcPr>
          <w:p w14:paraId="3A5A72F3" w14:textId="77777777" w:rsidR="006E0256" w:rsidRPr="00B41A49" w:rsidRDefault="006E0256" w:rsidP="00B41A49">
            <w:pPr>
              <w:ind w:left="0" w:right="0"/>
              <w:jc w:val="center"/>
              <w:rPr>
                <w:sz w:val="20"/>
                <w:szCs w:val="20"/>
              </w:rPr>
            </w:pPr>
            <w:r w:rsidRPr="00B41A49">
              <w:rPr>
                <w:sz w:val="20"/>
                <w:szCs w:val="20"/>
              </w:rPr>
              <w:t>0</w:t>
            </w:r>
          </w:p>
        </w:tc>
        <w:tc>
          <w:tcPr>
            <w:tcW w:w="2552" w:type="dxa"/>
          </w:tcPr>
          <w:p w14:paraId="3AF8B768" w14:textId="77777777" w:rsidR="006E0256" w:rsidRPr="00B41A49" w:rsidRDefault="006E0256" w:rsidP="00B41A49">
            <w:pPr>
              <w:ind w:left="0" w:right="0"/>
              <w:jc w:val="center"/>
              <w:rPr>
                <w:sz w:val="20"/>
                <w:szCs w:val="20"/>
              </w:rPr>
            </w:pPr>
            <w:r w:rsidRPr="00B41A49">
              <w:rPr>
                <w:sz w:val="20"/>
                <w:szCs w:val="20"/>
              </w:rPr>
              <w:t>0</w:t>
            </w:r>
          </w:p>
        </w:tc>
      </w:tr>
    </w:tbl>
    <w:p w14:paraId="241EB2DF" w14:textId="5D296207" w:rsidR="006E0256" w:rsidRDefault="000A0DC3" w:rsidP="006E0256">
      <w:pPr>
        <w:pStyle w:val="TableTitle"/>
        <w:rPr>
          <w:lang w:eastAsia="en-AU"/>
        </w:rPr>
      </w:pPr>
      <w:r>
        <w:rPr>
          <w:lang w:eastAsia="en-AU"/>
        </w:rPr>
        <w:t>Table 26</w:t>
      </w:r>
      <w:r w:rsidR="00B41A49">
        <w:rPr>
          <w:lang w:eastAsia="en-AU"/>
        </w:rPr>
        <w:t xml:space="preserve">: </w:t>
      </w:r>
      <w:r w:rsidR="00205AC8">
        <w:rPr>
          <w:lang w:eastAsia="en-AU"/>
        </w:rPr>
        <w:t>SOLO-2</w:t>
      </w:r>
      <w:r w:rsidR="004D18B7">
        <w:rPr>
          <w:lang w:eastAsia="en-AU"/>
        </w:rPr>
        <w:t xml:space="preserve"> trial,</w:t>
      </w:r>
      <w:r w:rsidR="00B41A49">
        <w:rPr>
          <w:lang w:eastAsia="en-AU"/>
        </w:rPr>
        <w:t xml:space="preserve"> </w:t>
      </w:r>
      <w:r w:rsidR="006E0256">
        <w:rPr>
          <w:lang w:eastAsia="en-AU"/>
        </w:rPr>
        <w:t>dose discontinuations and modifications</w:t>
      </w:r>
    </w:p>
    <w:tbl>
      <w:tblPr>
        <w:tblStyle w:val="TableTGAblue"/>
        <w:tblW w:w="0" w:type="auto"/>
        <w:tblLook w:val="04A0" w:firstRow="1" w:lastRow="0" w:firstColumn="1" w:lastColumn="0" w:noHBand="0" w:noVBand="1"/>
      </w:tblPr>
      <w:tblGrid>
        <w:gridCol w:w="3227"/>
        <w:gridCol w:w="1559"/>
        <w:gridCol w:w="2552"/>
      </w:tblGrid>
      <w:tr w:rsidR="006E0256" w:rsidRPr="00B41A49" w14:paraId="172D2735" w14:textId="77777777" w:rsidTr="006E0256">
        <w:trPr>
          <w:cnfStyle w:val="100000000000" w:firstRow="1" w:lastRow="0" w:firstColumn="0" w:lastColumn="0" w:oddVBand="0" w:evenVBand="0" w:oddHBand="0" w:evenHBand="0" w:firstRowFirstColumn="0" w:firstRowLastColumn="0" w:lastRowFirstColumn="0" w:lastRowLastColumn="0"/>
        </w:trPr>
        <w:tc>
          <w:tcPr>
            <w:tcW w:w="3227" w:type="dxa"/>
          </w:tcPr>
          <w:p w14:paraId="48C0EB67" w14:textId="77777777" w:rsidR="006E0256" w:rsidRPr="00B41A49" w:rsidRDefault="00B41A49" w:rsidP="00B41A49">
            <w:pPr>
              <w:ind w:left="0" w:right="0"/>
              <w:rPr>
                <w:sz w:val="20"/>
                <w:szCs w:val="20"/>
              </w:rPr>
            </w:pPr>
            <w:r w:rsidRPr="00B41A49">
              <w:rPr>
                <w:sz w:val="20"/>
                <w:szCs w:val="20"/>
              </w:rPr>
              <w:t>Dose discontinuations and modifications</w:t>
            </w:r>
          </w:p>
        </w:tc>
        <w:tc>
          <w:tcPr>
            <w:tcW w:w="1559" w:type="dxa"/>
          </w:tcPr>
          <w:p w14:paraId="2C13B8D1" w14:textId="77777777" w:rsidR="006E0256" w:rsidRPr="00B41A49" w:rsidRDefault="006E0256" w:rsidP="00B41A49">
            <w:pPr>
              <w:ind w:left="0" w:right="0"/>
              <w:jc w:val="center"/>
              <w:rPr>
                <w:sz w:val="20"/>
                <w:szCs w:val="20"/>
              </w:rPr>
            </w:pPr>
            <w:r w:rsidRPr="00B41A49">
              <w:rPr>
                <w:sz w:val="20"/>
                <w:szCs w:val="20"/>
              </w:rPr>
              <w:t>Olaparib</w:t>
            </w:r>
          </w:p>
          <w:p w14:paraId="0BA60112"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195</w:t>
            </w:r>
          </w:p>
        </w:tc>
        <w:tc>
          <w:tcPr>
            <w:tcW w:w="2552" w:type="dxa"/>
          </w:tcPr>
          <w:p w14:paraId="7A83CC87" w14:textId="77777777" w:rsidR="006E0256" w:rsidRPr="00B41A49" w:rsidRDefault="006E0256" w:rsidP="00B41A49">
            <w:pPr>
              <w:ind w:left="0" w:right="0"/>
              <w:jc w:val="center"/>
              <w:rPr>
                <w:sz w:val="20"/>
                <w:szCs w:val="20"/>
              </w:rPr>
            </w:pPr>
            <w:r w:rsidRPr="00B41A49">
              <w:rPr>
                <w:sz w:val="20"/>
                <w:szCs w:val="20"/>
              </w:rPr>
              <w:t>Placebo</w:t>
            </w:r>
          </w:p>
          <w:p w14:paraId="2D4A51B4"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99</w:t>
            </w:r>
          </w:p>
        </w:tc>
      </w:tr>
      <w:tr w:rsidR="006E0256" w:rsidRPr="00B41A49" w14:paraId="48247E9F" w14:textId="77777777" w:rsidTr="006E0256">
        <w:tc>
          <w:tcPr>
            <w:tcW w:w="3227" w:type="dxa"/>
          </w:tcPr>
          <w:p w14:paraId="3A45D44D" w14:textId="77777777" w:rsidR="006E0256" w:rsidRPr="00B41A49" w:rsidRDefault="006E0256" w:rsidP="00B41A49">
            <w:pPr>
              <w:ind w:left="0" w:right="0"/>
              <w:rPr>
                <w:sz w:val="20"/>
                <w:szCs w:val="20"/>
              </w:rPr>
            </w:pPr>
            <w:r w:rsidRPr="00B41A49">
              <w:rPr>
                <w:sz w:val="20"/>
                <w:szCs w:val="20"/>
              </w:rPr>
              <w:t>AEs leading to discontinuation</w:t>
            </w:r>
          </w:p>
        </w:tc>
        <w:tc>
          <w:tcPr>
            <w:tcW w:w="1559" w:type="dxa"/>
          </w:tcPr>
          <w:p w14:paraId="23EE62B8" w14:textId="77777777" w:rsidR="006E0256" w:rsidRPr="00B41A49" w:rsidRDefault="006E0256" w:rsidP="00B41A49">
            <w:pPr>
              <w:ind w:left="0" w:right="0"/>
              <w:jc w:val="center"/>
              <w:rPr>
                <w:sz w:val="20"/>
                <w:szCs w:val="20"/>
              </w:rPr>
            </w:pPr>
            <w:r w:rsidRPr="00B41A49">
              <w:rPr>
                <w:sz w:val="20"/>
                <w:szCs w:val="20"/>
              </w:rPr>
              <w:t>21</w:t>
            </w:r>
            <w:r w:rsidR="00B41A49">
              <w:rPr>
                <w:sz w:val="20"/>
                <w:szCs w:val="20"/>
              </w:rPr>
              <w:t xml:space="preserve"> </w:t>
            </w:r>
            <w:r w:rsidRPr="00B41A49">
              <w:rPr>
                <w:sz w:val="20"/>
                <w:szCs w:val="20"/>
              </w:rPr>
              <w:t>(11%)</w:t>
            </w:r>
          </w:p>
        </w:tc>
        <w:tc>
          <w:tcPr>
            <w:tcW w:w="2552" w:type="dxa"/>
          </w:tcPr>
          <w:p w14:paraId="0B4DF108" w14:textId="77777777" w:rsidR="006E0256" w:rsidRPr="00B41A49" w:rsidRDefault="006E0256" w:rsidP="00B41A49">
            <w:pPr>
              <w:ind w:left="0" w:right="0"/>
              <w:jc w:val="center"/>
              <w:rPr>
                <w:sz w:val="20"/>
                <w:szCs w:val="20"/>
              </w:rPr>
            </w:pPr>
            <w:r w:rsidRPr="00B41A49">
              <w:rPr>
                <w:sz w:val="20"/>
                <w:szCs w:val="20"/>
              </w:rPr>
              <w:t>2</w:t>
            </w:r>
            <w:r w:rsidR="00B41A49">
              <w:rPr>
                <w:sz w:val="20"/>
                <w:szCs w:val="20"/>
              </w:rPr>
              <w:t xml:space="preserve"> </w:t>
            </w:r>
            <w:r w:rsidRPr="00B41A49">
              <w:rPr>
                <w:sz w:val="20"/>
                <w:szCs w:val="20"/>
              </w:rPr>
              <w:t xml:space="preserve">(2%) </w:t>
            </w:r>
          </w:p>
        </w:tc>
      </w:tr>
      <w:tr w:rsidR="006E0256" w:rsidRPr="00B41A49" w14:paraId="6001210E" w14:textId="77777777" w:rsidTr="006E0256">
        <w:tc>
          <w:tcPr>
            <w:tcW w:w="3227" w:type="dxa"/>
          </w:tcPr>
          <w:p w14:paraId="3B1A74E0" w14:textId="77777777" w:rsidR="006E0256" w:rsidRPr="00B41A49" w:rsidRDefault="006E0256" w:rsidP="00B41A49">
            <w:pPr>
              <w:ind w:left="0" w:right="0"/>
              <w:rPr>
                <w:sz w:val="20"/>
                <w:szCs w:val="20"/>
              </w:rPr>
            </w:pPr>
            <w:r w:rsidRPr="00B41A49">
              <w:rPr>
                <w:sz w:val="20"/>
                <w:szCs w:val="20"/>
              </w:rPr>
              <w:t>AEs leading to dose interruption</w:t>
            </w:r>
          </w:p>
        </w:tc>
        <w:tc>
          <w:tcPr>
            <w:tcW w:w="1559" w:type="dxa"/>
          </w:tcPr>
          <w:p w14:paraId="01028A6C" w14:textId="77777777" w:rsidR="006E0256" w:rsidRPr="00B41A49" w:rsidRDefault="006E0256" w:rsidP="00B41A49">
            <w:pPr>
              <w:ind w:left="0" w:right="0"/>
              <w:jc w:val="center"/>
              <w:rPr>
                <w:sz w:val="20"/>
                <w:szCs w:val="20"/>
              </w:rPr>
            </w:pPr>
            <w:r w:rsidRPr="00B41A49">
              <w:rPr>
                <w:sz w:val="20"/>
                <w:szCs w:val="20"/>
              </w:rPr>
              <w:t>84</w:t>
            </w:r>
            <w:r w:rsidR="00B41A49">
              <w:rPr>
                <w:sz w:val="20"/>
                <w:szCs w:val="20"/>
              </w:rPr>
              <w:t xml:space="preserve"> </w:t>
            </w:r>
            <w:r w:rsidRPr="00B41A49">
              <w:rPr>
                <w:sz w:val="20"/>
                <w:szCs w:val="20"/>
              </w:rPr>
              <w:t>(44%)</w:t>
            </w:r>
          </w:p>
        </w:tc>
        <w:tc>
          <w:tcPr>
            <w:tcW w:w="2552" w:type="dxa"/>
          </w:tcPr>
          <w:p w14:paraId="59850AEE" w14:textId="77777777" w:rsidR="006E0256" w:rsidRPr="00B41A49" w:rsidRDefault="006E0256" w:rsidP="00B41A49">
            <w:pPr>
              <w:ind w:left="0" w:right="0"/>
              <w:jc w:val="center"/>
              <w:rPr>
                <w:sz w:val="20"/>
                <w:szCs w:val="20"/>
              </w:rPr>
            </w:pPr>
            <w:r w:rsidRPr="00B41A49">
              <w:rPr>
                <w:sz w:val="20"/>
                <w:szCs w:val="20"/>
              </w:rPr>
              <w:t>17</w:t>
            </w:r>
            <w:r w:rsidR="00B41A49">
              <w:rPr>
                <w:sz w:val="20"/>
                <w:szCs w:val="20"/>
              </w:rPr>
              <w:t xml:space="preserve"> </w:t>
            </w:r>
            <w:r w:rsidRPr="00B41A49">
              <w:rPr>
                <w:sz w:val="20"/>
                <w:szCs w:val="20"/>
              </w:rPr>
              <w:t>(17%)</w:t>
            </w:r>
          </w:p>
        </w:tc>
      </w:tr>
      <w:tr w:rsidR="006E0256" w:rsidRPr="00B41A49" w14:paraId="486E99D4" w14:textId="77777777" w:rsidTr="006E0256">
        <w:tc>
          <w:tcPr>
            <w:tcW w:w="3227" w:type="dxa"/>
          </w:tcPr>
          <w:p w14:paraId="265DFE2A" w14:textId="77777777" w:rsidR="006E0256" w:rsidRPr="00B41A49" w:rsidRDefault="006E0256" w:rsidP="00B41A49">
            <w:pPr>
              <w:ind w:left="0" w:right="0"/>
              <w:rPr>
                <w:sz w:val="20"/>
                <w:szCs w:val="20"/>
              </w:rPr>
            </w:pPr>
            <w:r w:rsidRPr="00B41A49">
              <w:rPr>
                <w:sz w:val="20"/>
                <w:szCs w:val="20"/>
              </w:rPr>
              <w:t>AEs leading to dose reduction</w:t>
            </w:r>
          </w:p>
        </w:tc>
        <w:tc>
          <w:tcPr>
            <w:tcW w:w="1559" w:type="dxa"/>
          </w:tcPr>
          <w:p w14:paraId="7EEC5032" w14:textId="77777777" w:rsidR="006E0256" w:rsidRPr="00B41A49" w:rsidRDefault="006E0256" w:rsidP="00B41A49">
            <w:pPr>
              <w:ind w:left="0" w:right="0"/>
              <w:jc w:val="center"/>
              <w:rPr>
                <w:sz w:val="20"/>
                <w:szCs w:val="20"/>
              </w:rPr>
            </w:pPr>
            <w:r w:rsidRPr="00B41A49">
              <w:rPr>
                <w:sz w:val="20"/>
                <w:szCs w:val="20"/>
              </w:rPr>
              <w:t>53</w:t>
            </w:r>
            <w:r w:rsidR="00B41A49">
              <w:rPr>
                <w:sz w:val="20"/>
                <w:szCs w:val="20"/>
              </w:rPr>
              <w:t xml:space="preserve"> </w:t>
            </w:r>
            <w:r w:rsidRPr="00B41A49">
              <w:rPr>
                <w:sz w:val="20"/>
                <w:szCs w:val="20"/>
              </w:rPr>
              <w:t>(27%)</w:t>
            </w:r>
          </w:p>
        </w:tc>
        <w:tc>
          <w:tcPr>
            <w:tcW w:w="2552" w:type="dxa"/>
          </w:tcPr>
          <w:p w14:paraId="4ACD7E2E" w14:textId="77777777" w:rsidR="006E0256" w:rsidRPr="00B41A49" w:rsidRDefault="006E0256" w:rsidP="00B41A49">
            <w:pPr>
              <w:ind w:left="0" w:right="0"/>
              <w:jc w:val="center"/>
              <w:rPr>
                <w:sz w:val="20"/>
                <w:szCs w:val="20"/>
              </w:rPr>
            </w:pPr>
            <w:r w:rsidRPr="00B41A49">
              <w:rPr>
                <w:sz w:val="20"/>
                <w:szCs w:val="20"/>
              </w:rPr>
              <w:t>3</w:t>
            </w:r>
            <w:r w:rsidR="00B41A49">
              <w:rPr>
                <w:sz w:val="20"/>
                <w:szCs w:val="20"/>
              </w:rPr>
              <w:t xml:space="preserve"> </w:t>
            </w:r>
            <w:r w:rsidRPr="00B41A49">
              <w:rPr>
                <w:sz w:val="20"/>
                <w:szCs w:val="20"/>
              </w:rPr>
              <w:t>(3%)</w:t>
            </w:r>
          </w:p>
        </w:tc>
      </w:tr>
    </w:tbl>
    <w:p w14:paraId="5610422A" w14:textId="7DBD611F" w:rsidR="006E0256" w:rsidRDefault="006E0256" w:rsidP="00B41A49">
      <w:pPr>
        <w:rPr>
          <w:lang w:eastAsia="en-AU"/>
        </w:rPr>
      </w:pPr>
      <w:r>
        <w:rPr>
          <w:lang w:eastAsia="en-AU"/>
        </w:rPr>
        <w:t xml:space="preserve">The most common specific events leading to discontinuation of olaparib in </w:t>
      </w:r>
      <w:r w:rsidR="004D18B7">
        <w:rPr>
          <w:lang w:eastAsia="en-AU"/>
        </w:rPr>
        <w:t xml:space="preserve">the </w:t>
      </w:r>
      <w:r w:rsidR="00205AC8">
        <w:rPr>
          <w:lang w:eastAsia="en-AU"/>
        </w:rPr>
        <w:t>SOLO-2</w:t>
      </w:r>
      <w:r>
        <w:rPr>
          <w:lang w:eastAsia="en-AU"/>
        </w:rPr>
        <w:t xml:space="preserve"> </w:t>
      </w:r>
      <w:r w:rsidR="00BB31C4">
        <w:rPr>
          <w:lang w:eastAsia="en-AU"/>
        </w:rPr>
        <w:t xml:space="preserve">trial </w:t>
      </w:r>
      <w:r>
        <w:rPr>
          <w:lang w:eastAsia="en-AU"/>
        </w:rPr>
        <w:t>were:</w:t>
      </w:r>
    </w:p>
    <w:p w14:paraId="48C73187" w14:textId="77777777" w:rsidR="006E0256" w:rsidRDefault="006E0256" w:rsidP="00B41A49">
      <w:pPr>
        <w:pStyle w:val="ListBullet"/>
        <w:rPr>
          <w:lang w:eastAsia="en-AU"/>
        </w:rPr>
      </w:pPr>
      <w:r>
        <w:rPr>
          <w:lang w:eastAsia="en-AU"/>
        </w:rPr>
        <w:t>Anaemia (n</w:t>
      </w:r>
      <w:r w:rsidR="00B41A49">
        <w:rPr>
          <w:lang w:eastAsia="en-AU"/>
        </w:rPr>
        <w:t xml:space="preserve"> </w:t>
      </w:r>
      <w:r>
        <w:rPr>
          <w:lang w:eastAsia="en-AU"/>
        </w:rPr>
        <w:t>=</w:t>
      </w:r>
      <w:r w:rsidR="00B41A49">
        <w:rPr>
          <w:lang w:eastAsia="en-AU"/>
        </w:rPr>
        <w:t xml:space="preserve"> </w:t>
      </w:r>
      <w:r>
        <w:rPr>
          <w:lang w:eastAsia="en-AU"/>
        </w:rPr>
        <w:t>6)</w:t>
      </w:r>
    </w:p>
    <w:p w14:paraId="1CC3F3F1" w14:textId="104C330B" w:rsidR="006E0256" w:rsidRDefault="006E0256" w:rsidP="00B41A49">
      <w:pPr>
        <w:pStyle w:val="ListBullet"/>
        <w:rPr>
          <w:lang w:eastAsia="en-AU"/>
        </w:rPr>
      </w:pPr>
      <w:r>
        <w:rPr>
          <w:lang w:eastAsia="en-AU"/>
        </w:rPr>
        <w:t>Neutrop</w:t>
      </w:r>
      <w:r w:rsidR="004D18B7">
        <w:rPr>
          <w:lang w:eastAsia="en-AU"/>
        </w:rPr>
        <w:t>a</w:t>
      </w:r>
      <w:r>
        <w:rPr>
          <w:lang w:eastAsia="en-AU"/>
        </w:rPr>
        <w:t>enia (n</w:t>
      </w:r>
      <w:r w:rsidR="00B41A49">
        <w:rPr>
          <w:lang w:eastAsia="en-AU"/>
        </w:rPr>
        <w:t xml:space="preserve"> </w:t>
      </w:r>
      <w:r>
        <w:rPr>
          <w:lang w:eastAsia="en-AU"/>
        </w:rPr>
        <w:t>=</w:t>
      </w:r>
      <w:r w:rsidR="00B41A49">
        <w:rPr>
          <w:lang w:eastAsia="en-AU"/>
        </w:rPr>
        <w:t xml:space="preserve"> </w:t>
      </w:r>
      <w:r>
        <w:rPr>
          <w:lang w:eastAsia="en-AU"/>
        </w:rPr>
        <w:t>3)</w:t>
      </w:r>
    </w:p>
    <w:p w14:paraId="24722D9C" w14:textId="4E64E905" w:rsidR="006E0256" w:rsidRDefault="006E0256" w:rsidP="00B41A49">
      <w:pPr>
        <w:pStyle w:val="ListBullet"/>
        <w:rPr>
          <w:lang w:eastAsia="en-AU"/>
        </w:rPr>
      </w:pPr>
      <w:r>
        <w:rPr>
          <w:lang w:eastAsia="en-AU"/>
        </w:rPr>
        <w:t>Thrombocytop</w:t>
      </w:r>
      <w:r w:rsidR="004D18B7">
        <w:rPr>
          <w:lang w:eastAsia="en-AU"/>
        </w:rPr>
        <w:t>a</w:t>
      </w:r>
      <w:r>
        <w:rPr>
          <w:lang w:eastAsia="en-AU"/>
        </w:rPr>
        <w:t>enia (n</w:t>
      </w:r>
      <w:r w:rsidR="00B41A49">
        <w:rPr>
          <w:lang w:eastAsia="en-AU"/>
        </w:rPr>
        <w:t xml:space="preserve"> </w:t>
      </w:r>
      <w:r>
        <w:rPr>
          <w:lang w:eastAsia="en-AU"/>
        </w:rPr>
        <w:t>=</w:t>
      </w:r>
      <w:r w:rsidR="00B41A49">
        <w:rPr>
          <w:lang w:eastAsia="en-AU"/>
        </w:rPr>
        <w:t xml:space="preserve"> </w:t>
      </w:r>
      <w:r>
        <w:rPr>
          <w:lang w:eastAsia="en-AU"/>
        </w:rPr>
        <w:t>2)</w:t>
      </w:r>
    </w:p>
    <w:p w14:paraId="4B4C70F8" w14:textId="77777777" w:rsidR="006E0256" w:rsidRDefault="006E0256" w:rsidP="00B41A49">
      <w:pPr>
        <w:pStyle w:val="ListBullet"/>
        <w:rPr>
          <w:lang w:eastAsia="en-AU"/>
        </w:rPr>
      </w:pPr>
      <w:r>
        <w:rPr>
          <w:lang w:eastAsia="en-AU"/>
        </w:rPr>
        <w:t>MDS/AML (n</w:t>
      </w:r>
      <w:r w:rsidR="00B41A49">
        <w:rPr>
          <w:lang w:eastAsia="en-AU"/>
        </w:rPr>
        <w:t xml:space="preserve"> </w:t>
      </w:r>
      <w:r>
        <w:rPr>
          <w:lang w:eastAsia="en-AU"/>
        </w:rPr>
        <w:t>=</w:t>
      </w:r>
      <w:r w:rsidR="00B41A49">
        <w:rPr>
          <w:lang w:eastAsia="en-AU"/>
        </w:rPr>
        <w:t xml:space="preserve"> </w:t>
      </w:r>
      <w:r>
        <w:rPr>
          <w:lang w:eastAsia="en-AU"/>
        </w:rPr>
        <w:t>2)</w:t>
      </w:r>
    </w:p>
    <w:p w14:paraId="4E96B5E1" w14:textId="2EA9A9BB" w:rsidR="006E0256" w:rsidRDefault="006E0256" w:rsidP="00B41A49">
      <w:pPr>
        <w:rPr>
          <w:lang w:eastAsia="en-AU"/>
        </w:rPr>
      </w:pPr>
      <w:r>
        <w:rPr>
          <w:lang w:eastAsia="en-AU"/>
        </w:rPr>
        <w:t>Placebo</w:t>
      </w:r>
      <w:r w:rsidR="004D18B7">
        <w:rPr>
          <w:lang w:eastAsia="en-AU"/>
        </w:rPr>
        <w:t>:</w:t>
      </w:r>
    </w:p>
    <w:p w14:paraId="06CC6623" w14:textId="3DE12574" w:rsidR="006E0256" w:rsidRDefault="006E0256" w:rsidP="00B41A49">
      <w:pPr>
        <w:pStyle w:val="ListBullet"/>
        <w:rPr>
          <w:lang w:eastAsia="en-AU"/>
        </w:rPr>
      </w:pPr>
      <w:r>
        <w:rPr>
          <w:lang w:eastAsia="en-AU"/>
        </w:rPr>
        <w:t>Thrombocytop</w:t>
      </w:r>
      <w:r w:rsidR="004D18B7">
        <w:rPr>
          <w:lang w:eastAsia="en-AU"/>
        </w:rPr>
        <w:t>a</w:t>
      </w:r>
      <w:r>
        <w:rPr>
          <w:lang w:eastAsia="en-AU"/>
        </w:rPr>
        <w:t>enia (n</w:t>
      </w:r>
      <w:r w:rsidR="00B41A49">
        <w:rPr>
          <w:lang w:eastAsia="en-AU"/>
        </w:rPr>
        <w:t xml:space="preserve"> </w:t>
      </w:r>
      <w:r>
        <w:rPr>
          <w:lang w:eastAsia="en-AU"/>
        </w:rPr>
        <w:t>=</w:t>
      </w:r>
      <w:r w:rsidR="00B41A49">
        <w:rPr>
          <w:lang w:eastAsia="en-AU"/>
        </w:rPr>
        <w:t xml:space="preserve"> </w:t>
      </w:r>
      <w:r>
        <w:rPr>
          <w:lang w:eastAsia="en-AU"/>
        </w:rPr>
        <w:t>1)</w:t>
      </w:r>
    </w:p>
    <w:p w14:paraId="6A7707AE" w14:textId="77777777" w:rsidR="006E0256" w:rsidRDefault="006E0256" w:rsidP="00B41A49">
      <w:pPr>
        <w:pStyle w:val="ListBullet"/>
        <w:rPr>
          <w:lang w:eastAsia="en-AU"/>
        </w:rPr>
      </w:pPr>
      <w:r>
        <w:rPr>
          <w:lang w:eastAsia="en-AU"/>
        </w:rPr>
        <w:t>Breast cancer (n</w:t>
      </w:r>
      <w:r w:rsidR="00B41A49">
        <w:rPr>
          <w:lang w:eastAsia="en-AU"/>
        </w:rPr>
        <w:t xml:space="preserve"> </w:t>
      </w:r>
      <w:r>
        <w:rPr>
          <w:lang w:eastAsia="en-AU"/>
        </w:rPr>
        <w:t>=</w:t>
      </w:r>
      <w:r w:rsidR="00B41A49">
        <w:rPr>
          <w:lang w:eastAsia="en-AU"/>
        </w:rPr>
        <w:t xml:space="preserve"> </w:t>
      </w:r>
      <w:r>
        <w:rPr>
          <w:lang w:eastAsia="en-AU"/>
        </w:rPr>
        <w:t>1)</w:t>
      </w:r>
    </w:p>
    <w:p w14:paraId="736E9C8A" w14:textId="479BDBE3" w:rsidR="006E0256" w:rsidRPr="00B41A49" w:rsidRDefault="000A0DC3" w:rsidP="00B41A49">
      <w:pPr>
        <w:pStyle w:val="TableTitle"/>
      </w:pPr>
      <w:r>
        <w:t>Table 27</w:t>
      </w:r>
      <w:r w:rsidR="00B41A49" w:rsidRPr="00B41A49">
        <w:t xml:space="preserve">: </w:t>
      </w:r>
      <w:r w:rsidR="00205AC8">
        <w:t>SOLO-2</w:t>
      </w:r>
      <w:r w:rsidR="004D18B7">
        <w:t xml:space="preserve"> trial,</w:t>
      </w:r>
      <w:r w:rsidR="00B41A49">
        <w:t xml:space="preserve"> </w:t>
      </w:r>
      <w:r w:rsidR="006E0256" w:rsidRPr="00B41A49">
        <w:t>specific AEs leading to dose reduction or interruption</w:t>
      </w:r>
    </w:p>
    <w:tbl>
      <w:tblPr>
        <w:tblStyle w:val="TableTGAblue"/>
        <w:tblW w:w="0" w:type="auto"/>
        <w:tblLook w:val="04A0" w:firstRow="1" w:lastRow="0" w:firstColumn="1" w:lastColumn="0" w:noHBand="0" w:noVBand="1"/>
      </w:tblPr>
      <w:tblGrid>
        <w:gridCol w:w="3227"/>
        <w:gridCol w:w="1559"/>
        <w:gridCol w:w="2552"/>
      </w:tblGrid>
      <w:tr w:rsidR="006E0256" w:rsidRPr="00B41A49" w14:paraId="1C4F044F" w14:textId="77777777" w:rsidTr="006E0256">
        <w:trPr>
          <w:cnfStyle w:val="100000000000" w:firstRow="1" w:lastRow="0" w:firstColumn="0" w:lastColumn="0" w:oddVBand="0" w:evenVBand="0" w:oddHBand="0" w:evenHBand="0" w:firstRowFirstColumn="0" w:firstRowLastColumn="0" w:lastRowFirstColumn="0" w:lastRowLastColumn="0"/>
        </w:trPr>
        <w:tc>
          <w:tcPr>
            <w:tcW w:w="3227" w:type="dxa"/>
          </w:tcPr>
          <w:p w14:paraId="75783D69" w14:textId="77777777" w:rsidR="006E0256" w:rsidRPr="00B41A49" w:rsidRDefault="00B41A49" w:rsidP="00B41A49">
            <w:pPr>
              <w:ind w:left="0" w:right="0"/>
              <w:rPr>
                <w:sz w:val="20"/>
                <w:szCs w:val="20"/>
              </w:rPr>
            </w:pPr>
            <w:r w:rsidRPr="00B41A49">
              <w:rPr>
                <w:sz w:val="20"/>
                <w:szCs w:val="20"/>
              </w:rPr>
              <w:t>Specific AEs</w:t>
            </w:r>
          </w:p>
        </w:tc>
        <w:tc>
          <w:tcPr>
            <w:tcW w:w="1559" w:type="dxa"/>
          </w:tcPr>
          <w:p w14:paraId="20D8D8E9" w14:textId="77777777" w:rsidR="006E0256" w:rsidRPr="00B41A49" w:rsidRDefault="006E0256" w:rsidP="00B41A49">
            <w:pPr>
              <w:ind w:left="0" w:right="0"/>
              <w:jc w:val="center"/>
              <w:rPr>
                <w:sz w:val="20"/>
                <w:szCs w:val="20"/>
              </w:rPr>
            </w:pPr>
            <w:r w:rsidRPr="00B41A49">
              <w:rPr>
                <w:sz w:val="20"/>
                <w:szCs w:val="20"/>
              </w:rPr>
              <w:t>Olaparib</w:t>
            </w:r>
          </w:p>
          <w:p w14:paraId="3A062E8C"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195</w:t>
            </w:r>
          </w:p>
        </w:tc>
        <w:tc>
          <w:tcPr>
            <w:tcW w:w="2552" w:type="dxa"/>
          </w:tcPr>
          <w:p w14:paraId="1A348AC7" w14:textId="77777777" w:rsidR="006E0256" w:rsidRPr="00B41A49" w:rsidRDefault="006E0256" w:rsidP="00B41A49">
            <w:pPr>
              <w:ind w:left="0" w:right="0"/>
              <w:jc w:val="center"/>
              <w:rPr>
                <w:sz w:val="20"/>
                <w:szCs w:val="20"/>
              </w:rPr>
            </w:pPr>
            <w:r w:rsidRPr="00B41A49">
              <w:rPr>
                <w:sz w:val="20"/>
                <w:szCs w:val="20"/>
              </w:rPr>
              <w:t>Placebo</w:t>
            </w:r>
          </w:p>
          <w:p w14:paraId="6CBCA691"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99</w:t>
            </w:r>
          </w:p>
        </w:tc>
      </w:tr>
      <w:tr w:rsidR="006E0256" w:rsidRPr="00B41A49" w14:paraId="2052644A" w14:textId="77777777" w:rsidTr="006E0256">
        <w:tc>
          <w:tcPr>
            <w:tcW w:w="3227" w:type="dxa"/>
          </w:tcPr>
          <w:p w14:paraId="1E651974" w14:textId="77777777" w:rsidR="006E0256" w:rsidRPr="00B41A49" w:rsidRDefault="00B41A49" w:rsidP="00B41A49">
            <w:pPr>
              <w:ind w:left="0" w:right="0"/>
              <w:rPr>
                <w:sz w:val="20"/>
                <w:szCs w:val="20"/>
              </w:rPr>
            </w:pPr>
            <w:r>
              <w:rPr>
                <w:sz w:val="20"/>
                <w:szCs w:val="20"/>
              </w:rPr>
              <w:t>A</w:t>
            </w:r>
            <w:r w:rsidR="006E0256" w:rsidRPr="00B41A49">
              <w:rPr>
                <w:sz w:val="20"/>
                <w:szCs w:val="20"/>
              </w:rPr>
              <w:t>naemia</w:t>
            </w:r>
          </w:p>
        </w:tc>
        <w:tc>
          <w:tcPr>
            <w:tcW w:w="1559" w:type="dxa"/>
          </w:tcPr>
          <w:p w14:paraId="278E26F2" w14:textId="77777777" w:rsidR="006E0256" w:rsidRPr="00B41A49" w:rsidRDefault="006E0256" w:rsidP="00B41A49">
            <w:pPr>
              <w:ind w:left="0" w:right="0"/>
              <w:jc w:val="center"/>
              <w:rPr>
                <w:sz w:val="20"/>
                <w:szCs w:val="20"/>
              </w:rPr>
            </w:pPr>
            <w:r w:rsidRPr="00B41A49">
              <w:rPr>
                <w:sz w:val="20"/>
                <w:szCs w:val="20"/>
              </w:rPr>
              <w:t>42</w:t>
            </w:r>
            <w:r w:rsidR="00B41A49">
              <w:rPr>
                <w:sz w:val="20"/>
                <w:szCs w:val="20"/>
              </w:rPr>
              <w:t xml:space="preserve"> </w:t>
            </w:r>
            <w:r w:rsidRPr="00B41A49">
              <w:rPr>
                <w:sz w:val="20"/>
                <w:szCs w:val="20"/>
              </w:rPr>
              <w:t>(22%)</w:t>
            </w:r>
          </w:p>
        </w:tc>
        <w:tc>
          <w:tcPr>
            <w:tcW w:w="2552" w:type="dxa"/>
          </w:tcPr>
          <w:p w14:paraId="1378E769" w14:textId="77777777" w:rsidR="006E0256" w:rsidRPr="00B41A49" w:rsidRDefault="006E0256" w:rsidP="00B41A49">
            <w:pPr>
              <w:ind w:left="0" w:right="0"/>
              <w:jc w:val="center"/>
              <w:rPr>
                <w:sz w:val="20"/>
                <w:szCs w:val="20"/>
              </w:rPr>
            </w:pPr>
            <w:r w:rsidRPr="00B41A49">
              <w:rPr>
                <w:sz w:val="20"/>
                <w:szCs w:val="20"/>
              </w:rPr>
              <w:t>0</w:t>
            </w:r>
          </w:p>
        </w:tc>
      </w:tr>
      <w:tr w:rsidR="006E0256" w:rsidRPr="00B41A49" w14:paraId="0872CA1C" w14:textId="77777777" w:rsidTr="006E0256">
        <w:tc>
          <w:tcPr>
            <w:tcW w:w="3227" w:type="dxa"/>
          </w:tcPr>
          <w:p w14:paraId="13DE26C1" w14:textId="1D3907DF" w:rsidR="006E0256" w:rsidRPr="00B41A49" w:rsidRDefault="00B41A49" w:rsidP="00B41A49">
            <w:pPr>
              <w:ind w:left="0" w:right="0"/>
              <w:rPr>
                <w:sz w:val="20"/>
                <w:szCs w:val="20"/>
              </w:rPr>
            </w:pPr>
            <w:r>
              <w:rPr>
                <w:sz w:val="20"/>
                <w:szCs w:val="20"/>
              </w:rPr>
              <w:t>N</w:t>
            </w:r>
            <w:r w:rsidR="006E0256" w:rsidRPr="00B41A49">
              <w:rPr>
                <w:sz w:val="20"/>
                <w:szCs w:val="20"/>
              </w:rPr>
              <w:t>eutrop</w:t>
            </w:r>
            <w:r w:rsidR="004D18B7">
              <w:rPr>
                <w:sz w:val="20"/>
                <w:szCs w:val="20"/>
              </w:rPr>
              <w:t>a</w:t>
            </w:r>
            <w:r w:rsidR="006E0256" w:rsidRPr="00B41A49">
              <w:rPr>
                <w:sz w:val="20"/>
                <w:szCs w:val="20"/>
              </w:rPr>
              <w:t>enia</w:t>
            </w:r>
          </w:p>
        </w:tc>
        <w:tc>
          <w:tcPr>
            <w:tcW w:w="1559" w:type="dxa"/>
          </w:tcPr>
          <w:p w14:paraId="4C81729C" w14:textId="77777777" w:rsidR="006E0256" w:rsidRPr="00B41A49" w:rsidRDefault="006E0256" w:rsidP="00B41A49">
            <w:pPr>
              <w:ind w:left="0" w:right="0"/>
              <w:jc w:val="center"/>
              <w:rPr>
                <w:sz w:val="20"/>
                <w:szCs w:val="20"/>
              </w:rPr>
            </w:pPr>
            <w:r w:rsidRPr="00B41A49">
              <w:rPr>
                <w:sz w:val="20"/>
                <w:szCs w:val="20"/>
              </w:rPr>
              <w:t>17</w:t>
            </w:r>
            <w:r w:rsidR="00B41A49">
              <w:rPr>
                <w:sz w:val="20"/>
                <w:szCs w:val="20"/>
              </w:rPr>
              <w:t xml:space="preserve"> </w:t>
            </w:r>
            <w:r w:rsidRPr="00B41A49">
              <w:rPr>
                <w:sz w:val="20"/>
                <w:szCs w:val="20"/>
              </w:rPr>
              <w:t>(9%)</w:t>
            </w:r>
          </w:p>
        </w:tc>
        <w:tc>
          <w:tcPr>
            <w:tcW w:w="2552" w:type="dxa"/>
          </w:tcPr>
          <w:p w14:paraId="1D16A2DD" w14:textId="77777777" w:rsidR="006E0256" w:rsidRPr="00B41A49" w:rsidRDefault="006E0256" w:rsidP="00B41A49">
            <w:pPr>
              <w:ind w:left="0" w:right="0"/>
              <w:jc w:val="center"/>
              <w:rPr>
                <w:sz w:val="20"/>
                <w:szCs w:val="20"/>
              </w:rPr>
            </w:pPr>
            <w:r w:rsidRPr="00B41A49">
              <w:rPr>
                <w:sz w:val="20"/>
                <w:szCs w:val="20"/>
              </w:rPr>
              <w:t>3</w:t>
            </w:r>
            <w:r w:rsidR="00B41A49">
              <w:rPr>
                <w:sz w:val="20"/>
                <w:szCs w:val="20"/>
              </w:rPr>
              <w:t xml:space="preserve"> </w:t>
            </w:r>
            <w:r w:rsidRPr="00B41A49">
              <w:rPr>
                <w:sz w:val="20"/>
                <w:szCs w:val="20"/>
              </w:rPr>
              <w:t>(3%)</w:t>
            </w:r>
          </w:p>
        </w:tc>
      </w:tr>
      <w:tr w:rsidR="006E0256" w:rsidRPr="00B41A49" w14:paraId="4762B657" w14:textId="77777777" w:rsidTr="006E0256">
        <w:tc>
          <w:tcPr>
            <w:tcW w:w="3227" w:type="dxa"/>
          </w:tcPr>
          <w:p w14:paraId="36C05523" w14:textId="77777777" w:rsidR="006E0256" w:rsidRPr="00B41A49" w:rsidRDefault="00B41A49" w:rsidP="00B41A49">
            <w:pPr>
              <w:ind w:left="0" w:right="0"/>
              <w:rPr>
                <w:sz w:val="20"/>
                <w:szCs w:val="20"/>
              </w:rPr>
            </w:pPr>
            <w:r>
              <w:rPr>
                <w:sz w:val="20"/>
                <w:szCs w:val="20"/>
              </w:rPr>
              <w:t>F</w:t>
            </w:r>
            <w:r w:rsidR="006E0256" w:rsidRPr="00B41A49">
              <w:rPr>
                <w:sz w:val="20"/>
                <w:szCs w:val="20"/>
              </w:rPr>
              <w:t>atigue</w:t>
            </w:r>
          </w:p>
        </w:tc>
        <w:tc>
          <w:tcPr>
            <w:tcW w:w="1559" w:type="dxa"/>
          </w:tcPr>
          <w:p w14:paraId="0B8EE5B4" w14:textId="77777777" w:rsidR="006E0256" w:rsidRPr="00B41A49" w:rsidRDefault="006E0256" w:rsidP="00B41A49">
            <w:pPr>
              <w:ind w:left="0" w:right="0"/>
              <w:jc w:val="center"/>
              <w:rPr>
                <w:sz w:val="20"/>
                <w:szCs w:val="20"/>
              </w:rPr>
            </w:pPr>
            <w:r w:rsidRPr="00B41A49">
              <w:rPr>
                <w:sz w:val="20"/>
                <w:szCs w:val="20"/>
              </w:rPr>
              <w:t>16</w:t>
            </w:r>
            <w:r w:rsidR="00B41A49">
              <w:rPr>
                <w:sz w:val="20"/>
                <w:szCs w:val="20"/>
              </w:rPr>
              <w:t xml:space="preserve"> </w:t>
            </w:r>
            <w:r w:rsidRPr="00B41A49">
              <w:rPr>
                <w:sz w:val="20"/>
                <w:szCs w:val="20"/>
              </w:rPr>
              <w:t>(8%)</w:t>
            </w:r>
          </w:p>
        </w:tc>
        <w:tc>
          <w:tcPr>
            <w:tcW w:w="2552" w:type="dxa"/>
          </w:tcPr>
          <w:p w14:paraId="040ED088" w14:textId="77777777" w:rsidR="006E0256" w:rsidRPr="00B41A49" w:rsidRDefault="006E0256" w:rsidP="00B41A49">
            <w:pPr>
              <w:ind w:left="0" w:right="0"/>
              <w:jc w:val="center"/>
              <w:rPr>
                <w:sz w:val="20"/>
                <w:szCs w:val="20"/>
              </w:rPr>
            </w:pPr>
            <w:r w:rsidRPr="00B41A49">
              <w:rPr>
                <w:sz w:val="20"/>
                <w:szCs w:val="20"/>
              </w:rPr>
              <w:t>1</w:t>
            </w:r>
            <w:r w:rsidR="00B41A49">
              <w:rPr>
                <w:sz w:val="20"/>
                <w:szCs w:val="20"/>
              </w:rPr>
              <w:t xml:space="preserve"> </w:t>
            </w:r>
            <w:r w:rsidRPr="00B41A49">
              <w:rPr>
                <w:sz w:val="20"/>
                <w:szCs w:val="20"/>
              </w:rPr>
              <w:t>(1%)</w:t>
            </w:r>
          </w:p>
        </w:tc>
      </w:tr>
      <w:tr w:rsidR="006E0256" w:rsidRPr="00B41A49" w14:paraId="5DD7DE2F" w14:textId="77777777" w:rsidTr="006E0256">
        <w:tc>
          <w:tcPr>
            <w:tcW w:w="3227" w:type="dxa"/>
          </w:tcPr>
          <w:p w14:paraId="30FA05A4" w14:textId="77777777" w:rsidR="006E0256" w:rsidRPr="00B41A49" w:rsidRDefault="00B41A49" w:rsidP="00B41A49">
            <w:pPr>
              <w:ind w:left="0" w:right="0"/>
              <w:rPr>
                <w:sz w:val="20"/>
                <w:szCs w:val="20"/>
              </w:rPr>
            </w:pPr>
            <w:r>
              <w:rPr>
                <w:sz w:val="20"/>
                <w:szCs w:val="20"/>
              </w:rPr>
              <w:t>V</w:t>
            </w:r>
            <w:r w:rsidR="006E0256" w:rsidRPr="00B41A49">
              <w:rPr>
                <w:sz w:val="20"/>
                <w:szCs w:val="20"/>
              </w:rPr>
              <w:t>omiting</w:t>
            </w:r>
          </w:p>
        </w:tc>
        <w:tc>
          <w:tcPr>
            <w:tcW w:w="1559" w:type="dxa"/>
          </w:tcPr>
          <w:p w14:paraId="02B73CD9" w14:textId="77777777" w:rsidR="006E0256" w:rsidRPr="00B41A49" w:rsidRDefault="006E0256" w:rsidP="00B41A49">
            <w:pPr>
              <w:ind w:left="0" w:right="0"/>
              <w:jc w:val="center"/>
              <w:rPr>
                <w:sz w:val="20"/>
                <w:szCs w:val="20"/>
              </w:rPr>
            </w:pPr>
            <w:r w:rsidRPr="00B41A49">
              <w:rPr>
                <w:sz w:val="20"/>
                <w:szCs w:val="20"/>
              </w:rPr>
              <w:t>14</w:t>
            </w:r>
            <w:r w:rsidR="00B41A49">
              <w:rPr>
                <w:sz w:val="20"/>
                <w:szCs w:val="20"/>
              </w:rPr>
              <w:t xml:space="preserve"> </w:t>
            </w:r>
            <w:r w:rsidRPr="00B41A49">
              <w:rPr>
                <w:sz w:val="20"/>
                <w:szCs w:val="20"/>
              </w:rPr>
              <w:t>(7%)</w:t>
            </w:r>
          </w:p>
        </w:tc>
        <w:tc>
          <w:tcPr>
            <w:tcW w:w="2552" w:type="dxa"/>
          </w:tcPr>
          <w:p w14:paraId="4AA60342" w14:textId="77777777" w:rsidR="006E0256" w:rsidRPr="00B41A49" w:rsidRDefault="006E0256" w:rsidP="00B41A49">
            <w:pPr>
              <w:ind w:left="0" w:right="0"/>
              <w:jc w:val="center"/>
              <w:rPr>
                <w:sz w:val="20"/>
                <w:szCs w:val="20"/>
              </w:rPr>
            </w:pPr>
            <w:r w:rsidRPr="00B41A49">
              <w:rPr>
                <w:sz w:val="20"/>
                <w:szCs w:val="20"/>
              </w:rPr>
              <w:t>1</w:t>
            </w:r>
            <w:r w:rsidR="00B41A49">
              <w:rPr>
                <w:sz w:val="20"/>
                <w:szCs w:val="20"/>
              </w:rPr>
              <w:t xml:space="preserve"> </w:t>
            </w:r>
            <w:r w:rsidRPr="00B41A49">
              <w:rPr>
                <w:sz w:val="20"/>
                <w:szCs w:val="20"/>
              </w:rPr>
              <w:t>(1%)</w:t>
            </w:r>
          </w:p>
        </w:tc>
      </w:tr>
      <w:tr w:rsidR="006E0256" w:rsidRPr="00B41A49" w14:paraId="5FD67BB3" w14:textId="77777777" w:rsidTr="006E0256">
        <w:tc>
          <w:tcPr>
            <w:tcW w:w="3227" w:type="dxa"/>
          </w:tcPr>
          <w:p w14:paraId="3D738E6F" w14:textId="77777777" w:rsidR="006E0256" w:rsidRPr="00B41A49" w:rsidRDefault="00B41A49" w:rsidP="00B41A49">
            <w:pPr>
              <w:ind w:left="0" w:right="0"/>
              <w:rPr>
                <w:sz w:val="20"/>
                <w:szCs w:val="20"/>
              </w:rPr>
            </w:pPr>
            <w:r>
              <w:rPr>
                <w:sz w:val="20"/>
                <w:szCs w:val="20"/>
              </w:rPr>
              <w:t>N</w:t>
            </w:r>
            <w:r w:rsidR="006E0256" w:rsidRPr="00B41A49">
              <w:rPr>
                <w:sz w:val="20"/>
                <w:szCs w:val="20"/>
              </w:rPr>
              <w:t>ausea</w:t>
            </w:r>
          </w:p>
        </w:tc>
        <w:tc>
          <w:tcPr>
            <w:tcW w:w="1559" w:type="dxa"/>
          </w:tcPr>
          <w:p w14:paraId="152C1E9B" w14:textId="77777777" w:rsidR="006E0256" w:rsidRPr="00B41A49" w:rsidRDefault="006E0256" w:rsidP="00B41A49">
            <w:pPr>
              <w:ind w:left="0" w:right="0"/>
              <w:jc w:val="center"/>
              <w:rPr>
                <w:sz w:val="20"/>
                <w:szCs w:val="20"/>
              </w:rPr>
            </w:pPr>
            <w:r w:rsidRPr="00B41A49">
              <w:rPr>
                <w:sz w:val="20"/>
                <w:szCs w:val="20"/>
              </w:rPr>
              <w:t>12</w:t>
            </w:r>
            <w:r w:rsidR="00B41A49">
              <w:rPr>
                <w:sz w:val="20"/>
                <w:szCs w:val="20"/>
              </w:rPr>
              <w:t xml:space="preserve"> </w:t>
            </w:r>
            <w:r w:rsidRPr="00B41A49">
              <w:rPr>
                <w:sz w:val="20"/>
                <w:szCs w:val="20"/>
              </w:rPr>
              <w:t>(6%)</w:t>
            </w:r>
          </w:p>
        </w:tc>
        <w:tc>
          <w:tcPr>
            <w:tcW w:w="2552" w:type="dxa"/>
          </w:tcPr>
          <w:p w14:paraId="589ED176" w14:textId="77777777" w:rsidR="006E0256" w:rsidRPr="00B41A49" w:rsidRDefault="006E0256" w:rsidP="00B41A49">
            <w:pPr>
              <w:ind w:left="0" w:right="0"/>
              <w:jc w:val="center"/>
              <w:rPr>
                <w:sz w:val="20"/>
                <w:szCs w:val="20"/>
              </w:rPr>
            </w:pPr>
            <w:r w:rsidRPr="00B41A49">
              <w:rPr>
                <w:sz w:val="20"/>
                <w:szCs w:val="20"/>
              </w:rPr>
              <w:t>4</w:t>
            </w:r>
            <w:r w:rsidR="00B41A49">
              <w:rPr>
                <w:sz w:val="20"/>
                <w:szCs w:val="20"/>
              </w:rPr>
              <w:t xml:space="preserve"> </w:t>
            </w:r>
            <w:r w:rsidRPr="00B41A49">
              <w:rPr>
                <w:sz w:val="20"/>
                <w:szCs w:val="20"/>
              </w:rPr>
              <w:t>(4%)</w:t>
            </w:r>
          </w:p>
        </w:tc>
      </w:tr>
      <w:tr w:rsidR="006E0256" w:rsidRPr="00B41A49" w14:paraId="432987FD" w14:textId="77777777" w:rsidTr="006E0256">
        <w:tc>
          <w:tcPr>
            <w:tcW w:w="3227" w:type="dxa"/>
          </w:tcPr>
          <w:p w14:paraId="42546814" w14:textId="6A06AD73" w:rsidR="006E0256" w:rsidRPr="00B41A49" w:rsidRDefault="00B41A49" w:rsidP="00B41A49">
            <w:pPr>
              <w:ind w:left="0" w:right="0"/>
              <w:rPr>
                <w:sz w:val="20"/>
                <w:szCs w:val="20"/>
              </w:rPr>
            </w:pPr>
            <w:r>
              <w:rPr>
                <w:sz w:val="20"/>
                <w:szCs w:val="20"/>
              </w:rPr>
              <w:t>T</w:t>
            </w:r>
            <w:r w:rsidR="006E0256" w:rsidRPr="00B41A49">
              <w:rPr>
                <w:sz w:val="20"/>
                <w:szCs w:val="20"/>
              </w:rPr>
              <w:t>hrombocytop</w:t>
            </w:r>
            <w:r w:rsidR="004D18B7">
              <w:rPr>
                <w:sz w:val="20"/>
                <w:szCs w:val="20"/>
              </w:rPr>
              <w:t>a</w:t>
            </w:r>
            <w:r w:rsidR="006E0256" w:rsidRPr="00B41A49">
              <w:rPr>
                <w:sz w:val="20"/>
                <w:szCs w:val="20"/>
              </w:rPr>
              <w:t>enia</w:t>
            </w:r>
          </w:p>
        </w:tc>
        <w:tc>
          <w:tcPr>
            <w:tcW w:w="1559" w:type="dxa"/>
          </w:tcPr>
          <w:p w14:paraId="3B29B03E" w14:textId="77777777" w:rsidR="006E0256" w:rsidRPr="00B41A49" w:rsidRDefault="006E0256" w:rsidP="00B41A49">
            <w:pPr>
              <w:ind w:left="0" w:right="0"/>
              <w:jc w:val="center"/>
              <w:rPr>
                <w:sz w:val="20"/>
                <w:szCs w:val="20"/>
              </w:rPr>
            </w:pPr>
            <w:r w:rsidRPr="00B41A49">
              <w:rPr>
                <w:sz w:val="20"/>
                <w:szCs w:val="20"/>
              </w:rPr>
              <w:t>8</w:t>
            </w:r>
            <w:r w:rsidR="00B41A49">
              <w:rPr>
                <w:sz w:val="20"/>
                <w:szCs w:val="20"/>
              </w:rPr>
              <w:t xml:space="preserve"> </w:t>
            </w:r>
            <w:r w:rsidRPr="00B41A49">
              <w:rPr>
                <w:sz w:val="20"/>
                <w:szCs w:val="20"/>
              </w:rPr>
              <w:t>(4%)</w:t>
            </w:r>
          </w:p>
        </w:tc>
        <w:tc>
          <w:tcPr>
            <w:tcW w:w="2552" w:type="dxa"/>
          </w:tcPr>
          <w:p w14:paraId="495B005B" w14:textId="77777777" w:rsidR="006E0256" w:rsidRPr="00B41A49" w:rsidRDefault="006E0256" w:rsidP="00B41A49">
            <w:pPr>
              <w:ind w:left="0" w:right="0"/>
              <w:jc w:val="center"/>
              <w:rPr>
                <w:sz w:val="20"/>
                <w:szCs w:val="20"/>
              </w:rPr>
            </w:pPr>
            <w:r w:rsidRPr="00B41A49">
              <w:rPr>
                <w:sz w:val="20"/>
                <w:szCs w:val="20"/>
              </w:rPr>
              <w:t>0</w:t>
            </w:r>
          </w:p>
        </w:tc>
      </w:tr>
    </w:tbl>
    <w:p w14:paraId="2B52C216" w14:textId="77777777" w:rsidR="006E0256" w:rsidRDefault="000A0DC3" w:rsidP="006E0256">
      <w:pPr>
        <w:pStyle w:val="TableTitle"/>
        <w:rPr>
          <w:lang w:eastAsia="en-AU"/>
        </w:rPr>
      </w:pPr>
      <w:r>
        <w:rPr>
          <w:lang w:eastAsia="en-AU"/>
        </w:rPr>
        <w:lastRenderedPageBreak/>
        <w:t>Table 28</w:t>
      </w:r>
      <w:r w:rsidR="00B41A49">
        <w:rPr>
          <w:lang w:eastAsia="en-AU"/>
        </w:rPr>
        <w:t xml:space="preserve">: </w:t>
      </w:r>
      <w:r w:rsidR="001F00F8">
        <w:rPr>
          <w:lang w:eastAsia="en-AU"/>
        </w:rPr>
        <w:t>Study 19</w:t>
      </w:r>
      <w:r w:rsidR="00B41A49">
        <w:rPr>
          <w:lang w:eastAsia="en-AU"/>
        </w:rPr>
        <w:t xml:space="preserve">; </w:t>
      </w:r>
      <w:r w:rsidR="006E0256">
        <w:rPr>
          <w:lang w:eastAsia="en-AU"/>
        </w:rPr>
        <w:t>dose discontinuations and modifications</w:t>
      </w:r>
    </w:p>
    <w:tbl>
      <w:tblPr>
        <w:tblStyle w:val="TableTGAblue"/>
        <w:tblW w:w="0" w:type="auto"/>
        <w:tblLook w:val="04A0" w:firstRow="1" w:lastRow="0" w:firstColumn="1" w:lastColumn="0" w:noHBand="0" w:noVBand="1"/>
      </w:tblPr>
      <w:tblGrid>
        <w:gridCol w:w="3227"/>
        <w:gridCol w:w="1559"/>
        <w:gridCol w:w="2552"/>
      </w:tblGrid>
      <w:tr w:rsidR="006E0256" w:rsidRPr="00B41A49" w14:paraId="57F25EE4" w14:textId="77777777" w:rsidTr="006E0256">
        <w:trPr>
          <w:cnfStyle w:val="100000000000" w:firstRow="1" w:lastRow="0" w:firstColumn="0" w:lastColumn="0" w:oddVBand="0" w:evenVBand="0" w:oddHBand="0" w:evenHBand="0" w:firstRowFirstColumn="0" w:firstRowLastColumn="0" w:lastRowFirstColumn="0" w:lastRowLastColumn="0"/>
        </w:trPr>
        <w:tc>
          <w:tcPr>
            <w:tcW w:w="3227" w:type="dxa"/>
          </w:tcPr>
          <w:p w14:paraId="20ECA348" w14:textId="77777777" w:rsidR="006E0256" w:rsidRPr="00B41A49" w:rsidRDefault="00B41A49" w:rsidP="00B41A49">
            <w:pPr>
              <w:ind w:left="0" w:right="0"/>
              <w:rPr>
                <w:sz w:val="20"/>
                <w:szCs w:val="20"/>
              </w:rPr>
            </w:pPr>
            <w:r w:rsidRPr="00B41A49">
              <w:rPr>
                <w:sz w:val="20"/>
                <w:szCs w:val="20"/>
              </w:rPr>
              <w:t>Dose discontinuations and modifications</w:t>
            </w:r>
          </w:p>
        </w:tc>
        <w:tc>
          <w:tcPr>
            <w:tcW w:w="1559" w:type="dxa"/>
          </w:tcPr>
          <w:p w14:paraId="3140BA1A" w14:textId="77777777" w:rsidR="006E0256" w:rsidRPr="00B41A49" w:rsidRDefault="006E0256" w:rsidP="00B41A49">
            <w:pPr>
              <w:ind w:left="0" w:right="0"/>
              <w:jc w:val="center"/>
              <w:rPr>
                <w:sz w:val="20"/>
                <w:szCs w:val="20"/>
              </w:rPr>
            </w:pPr>
            <w:r w:rsidRPr="00B41A49">
              <w:rPr>
                <w:sz w:val="20"/>
                <w:szCs w:val="20"/>
              </w:rPr>
              <w:t>Olaparib</w:t>
            </w:r>
          </w:p>
          <w:p w14:paraId="1B305316"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136</w:t>
            </w:r>
          </w:p>
        </w:tc>
        <w:tc>
          <w:tcPr>
            <w:tcW w:w="2552" w:type="dxa"/>
          </w:tcPr>
          <w:p w14:paraId="27F02C17" w14:textId="77777777" w:rsidR="006E0256" w:rsidRPr="00B41A49" w:rsidRDefault="006E0256" w:rsidP="00B41A49">
            <w:pPr>
              <w:ind w:left="0" w:right="0"/>
              <w:jc w:val="center"/>
              <w:rPr>
                <w:sz w:val="20"/>
                <w:szCs w:val="20"/>
              </w:rPr>
            </w:pPr>
            <w:r w:rsidRPr="00B41A49">
              <w:rPr>
                <w:sz w:val="20"/>
                <w:szCs w:val="20"/>
              </w:rPr>
              <w:t>Placebo</w:t>
            </w:r>
          </w:p>
          <w:p w14:paraId="43D83191"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128</w:t>
            </w:r>
          </w:p>
        </w:tc>
      </w:tr>
      <w:tr w:rsidR="006E0256" w:rsidRPr="00B41A49" w14:paraId="5CF4958C" w14:textId="77777777" w:rsidTr="006E0256">
        <w:tc>
          <w:tcPr>
            <w:tcW w:w="3227" w:type="dxa"/>
          </w:tcPr>
          <w:p w14:paraId="082F3B28" w14:textId="77777777" w:rsidR="006E0256" w:rsidRPr="00B41A49" w:rsidRDefault="006E0256" w:rsidP="00B41A49">
            <w:pPr>
              <w:ind w:left="0" w:right="0"/>
              <w:rPr>
                <w:sz w:val="20"/>
                <w:szCs w:val="20"/>
              </w:rPr>
            </w:pPr>
            <w:r w:rsidRPr="00B41A49">
              <w:rPr>
                <w:sz w:val="20"/>
                <w:szCs w:val="20"/>
              </w:rPr>
              <w:t>AEs leading to discontinuation</w:t>
            </w:r>
          </w:p>
        </w:tc>
        <w:tc>
          <w:tcPr>
            <w:tcW w:w="1559" w:type="dxa"/>
          </w:tcPr>
          <w:p w14:paraId="16FD1758" w14:textId="77777777" w:rsidR="006E0256" w:rsidRPr="00B41A49" w:rsidRDefault="006E0256" w:rsidP="00B41A49">
            <w:pPr>
              <w:ind w:left="0" w:right="0"/>
              <w:jc w:val="center"/>
              <w:rPr>
                <w:sz w:val="20"/>
                <w:szCs w:val="20"/>
              </w:rPr>
            </w:pPr>
            <w:r w:rsidRPr="00B41A49">
              <w:rPr>
                <w:sz w:val="20"/>
                <w:szCs w:val="20"/>
              </w:rPr>
              <w:t>6</w:t>
            </w:r>
            <w:r w:rsidR="00B41A49">
              <w:rPr>
                <w:sz w:val="20"/>
                <w:szCs w:val="20"/>
              </w:rPr>
              <w:t xml:space="preserve"> </w:t>
            </w:r>
            <w:r w:rsidRPr="00B41A49">
              <w:rPr>
                <w:sz w:val="20"/>
                <w:szCs w:val="20"/>
              </w:rPr>
              <w:t>(4%)</w:t>
            </w:r>
          </w:p>
        </w:tc>
        <w:tc>
          <w:tcPr>
            <w:tcW w:w="2552" w:type="dxa"/>
          </w:tcPr>
          <w:p w14:paraId="06754C16" w14:textId="77777777" w:rsidR="006E0256" w:rsidRPr="00B41A49" w:rsidRDefault="006E0256" w:rsidP="00B41A49">
            <w:pPr>
              <w:ind w:left="0" w:right="0"/>
              <w:jc w:val="center"/>
              <w:rPr>
                <w:sz w:val="20"/>
                <w:szCs w:val="20"/>
              </w:rPr>
            </w:pPr>
            <w:r w:rsidRPr="00B41A49">
              <w:rPr>
                <w:sz w:val="20"/>
                <w:szCs w:val="20"/>
              </w:rPr>
              <w:t>2</w:t>
            </w:r>
            <w:r w:rsidR="00B41A49">
              <w:rPr>
                <w:sz w:val="20"/>
                <w:szCs w:val="20"/>
              </w:rPr>
              <w:t xml:space="preserve"> </w:t>
            </w:r>
            <w:r w:rsidR="001C6AFA">
              <w:rPr>
                <w:sz w:val="20"/>
                <w:szCs w:val="20"/>
              </w:rPr>
              <w:t>(2%)</w:t>
            </w:r>
          </w:p>
        </w:tc>
      </w:tr>
      <w:tr w:rsidR="006E0256" w:rsidRPr="00B41A49" w14:paraId="4DF20D84" w14:textId="77777777" w:rsidTr="006E0256">
        <w:tc>
          <w:tcPr>
            <w:tcW w:w="3227" w:type="dxa"/>
          </w:tcPr>
          <w:p w14:paraId="2E1A067C" w14:textId="77777777" w:rsidR="006E0256" w:rsidRPr="00B41A49" w:rsidRDefault="006E0256" w:rsidP="00B41A49">
            <w:pPr>
              <w:ind w:left="0" w:right="0"/>
              <w:rPr>
                <w:sz w:val="20"/>
                <w:szCs w:val="20"/>
              </w:rPr>
            </w:pPr>
            <w:r w:rsidRPr="00B41A49">
              <w:rPr>
                <w:sz w:val="20"/>
                <w:szCs w:val="20"/>
              </w:rPr>
              <w:t>AEs leading to dose interruption</w:t>
            </w:r>
          </w:p>
        </w:tc>
        <w:tc>
          <w:tcPr>
            <w:tcW w:w="1559" w:type="dxa"/>
          </w:tcPr>
          <w:p w14:paraId="377788BB" w14:textId="77777777" w:rsidR="006E0256" w:rsidRPr="00B41A49" w:rsidRDefault="006E0256" w:rsidP="00B41A49">
            <w:pPr>
              <w:ind w:left="0" w:right="0"/>
              <w:jc w:val="center"/>
              <w:rPr>
                <w:sz w:val="20"/>
                <w:szCs w:val="20"/>
              </w:rPr>
            </w:pPr>
            <w:r w:rsidRPr="00B41A49">
              <w:rPr>
                <w:sz w:val="20"/>
                <w:szCs w:val="20"/>
              </w:rPr>
              <w:t>41</w:t>
            </w:r>
            <w:r w:rsidR="00B41A49">
              <w:rPr>
                <w:sz w:val="20"/>
                <w:szCs w:val="20"/>
              </w:rPr>
              <w:t xml:space="preserve"> </w:t>
            </w:r>
            <w:r w:rsidRPr="00B41A49">
              <w:rPr>
                <w:sz w:val="20"/>
                <w:szCs w:val="20"/>
              </w:rPr>
              <w:t>(30%)</w:t>
            </w:r>
          </w:p>
        </w:tc>
        <w:tc>
          <w:tcPr>
            <w:tcW w:w="2552" w:type="dxa"/>
          </w:tcPr>
          <w:p w14:paraId="7FC544EC" w14:textId="77777777" w:rsidR="006E0256" w:rsidRPr="00B41A49" w:rsidRDefault="006E0256" w:rsidP="00B41A49">
            <w:pPr>
              <w:ind w:left="0" w:right="0"/>
              <w:jc w:val="center"/>
              <w:rPr>
                <w:sz w:val="20"/>
                <w:szCs w:val="20"/>
              </w:rPr>
            </w:pPr>
            <w:r w:rsidRPr="00B41A49">
              <w:rPr>
                <w:sz w:val="20"/>
                <w:szCs w:val="20"/>
              </w:rPr>
              <w:t>12</w:t>
            </w:r>
            <w:r w:rsidR="00B41A49">
              <w:rPr>
                <w:sz w:val="20"/>
                <w:szCs w:val="20"/>
              </w:rPr>
              <w:t xml:space="preserve"> </w:t>
            </w:r>
            <w:r w:rsidRPr="00B41A49">
              <w:rPr>
                <w:sz w:val="20"/>
                <w:szCs w:val="20"/>
              </w:rPr>
              <w:t>(9%)</w:t>
            </w:r>
          </w:p>
        </w:tc>
      </w:tr>
      <w:tr w:rsidR="006E0256" w:rsidRPr="00B41A49" w14:paraId="571AE0DD" w14:textId="77777777" w:rsidTr="006E0256">
        <w:tc>
          <w:tcPr>
            <w:tcW w:w="3227" w:type="dxa"/>
          </w:tcPr>
          <w:p w14:paraId="59FD5D7D" w14:textId="77777777" w:rsidR="006E0256" w:rsidRPr="00B41A49" w:rsidRDefault="006E0256" w:rsidP="00B41A49">
            <w:pPr>
              <w:ind w:left="0" w:right="0"/>
              <w:rPr>
                <w:sz w:val="20"/>
                <w:szCs w:val="20"/>
              </w:rPr>
            </w:pPr>
            <w:r w:rsidRPr="00B41A49">
              <w:rPr>
                <w:sz w:val="20"/>
                <w:szCs w:val="20"/>
              </w:rPr>
              <w:t>AEs leading to dose reduction</w:t>
            </w:r>
          </w:p>
        </w:tc>
        <w:tc>
          <w:tcPr>
            <w:tcW w:w="1559" w:type="dxa"/>
          </w:tcPr>
          <w:p w14:paraId="67F86AC3" w14:textId="77777777" w:rsidR="006E0256" w:rsidRPr="00B41A49" w:rsidRDefault="006E0256" w:rsidP="00B41A49">
            <w:pPr>
              <w:ind w:left="0" w:right="0"/>
              <w:jc w:val="center"/>
              <w:rPr>
                <w:sz w:val="20"/>
                <w:szCs w:val="20"/>
              </w:rPr>
            </w:pPr>
            <w:r w:rsidRPr="00B41A49">
              <w:rPr>
                <w:sz w:val="20"/>
                <w:szCs w:val="20"/>
              </w:rPr>
              <w:t>31</w:t>
            </w:r>
            <w:r w:rsidR="00B41A49">
              <w:rPr>
                <w:sz w:val="20"/>
                <w:szCs w:val="20"/>
              </w:rPr>
              <w:t xml:space="preserve"> </w:t>
            </w:r>
            <w:r w:rsidRPr="00B41A49">
              <w:rPr>
                <w:sz w:val="20"/>
                <w:szCs w:val="20"/>
              </w:rPr>
              <w:t>(23%)</w:t>
            </w:r>
          </w:p>
        </w:tc>
        <w:tc>
          <w:tcPr>
            <w:tcW w:w="2552" w:type="dxa"/>
          </w:tcPr>
          <w:p w14:paraId="40249953" w14:textId="77777777" w:rsidR="006E0256" w:rsidRPr="00B41A49" w:rsidRDefault="006E0256" w:rsidP="00B41A49">
            <w:pPr>
              <w:ind w:left="0" w:right="0"/>
              <w:jc w:val="center"/>
              <w:rPr>
                <w:sz w:val="20"/>
                <w:szCs w:val="20"/>
              </w:rPr>
            </w:pPr>
            <w:r w:rsidRPr="00B41A49">
              <w:rPr>
                <w:sz w:val="20"/>
                <w:szCs w:val="20"/>
              </w:rPr>
              <w:t>6</w:t>
            </w:r>
            <w:r w:rsidR="00B41A49">
              <w:rPr>
                <w:sz w:val="20"/>
                <w:szCs w:val="20"/>
              </w:rPr>
              <w:t xml:space="preserve"> </w:t>
            </w:r>
            <w:r w:rsidRPr="00B41A49">
              <w:rPr>
                <w:sz w:val="20"/>
                <w:szCs w:val="20"/>
              </w:rPr>
              <w:t>(5%)</w:t>
            </w:r>
          </w:p>
        </w:tc>
      </w:tr>
    </w:tbl>
    <w:p w14:paraId="3D3164B6" w14:textId="77777777" w:rsidR="006E0256" w:rsidRDefault="000A0DC3" w:rsidP="006E0256">
      <w:pPr>
        <w:pStyle w:val="TableTitle"/>
        <w:rPr>
          <w:lang w:eastAsia="en-AU"/>
        </w:rPr>
      </w:pPr>
      <w:r>
        <w:rPr>
          <w:lang w:eastAsia="en-AU"/>
        </w:rPr>
        <w:t>Table 29</w:t>
      </w:r>
      <w:r w:rsidR="00B41A49">
        <w:rPr>
          <w:lang w:eastAsia="en-AU"/>
        </w:rPr>
        <w:t xml:space="preserve">: </w:t>
      </w:r>
      <w:r w:rsidR="001F00F8">
        <w:rPr>
          <w:lang w:eastAsia="en-AU"/>
        </w:rPr>
        <w:t>Study 19</w:t>
      </w:r>
      <w:r w:rsidR="00B41A49">
        <w:rPr>
          <w:lang w:eastAsia="en-AU"/>
        </w:rPr>
        <w:t xml:space="preserve">; </w:t>
      </w:r>
      <w:r w:rsidR="006E0256">
        <w:rPr>
          <w:lang w:eastAsia="en-AU"/>
        </w:rPr>
        <w:t>specific AEs leading to dose reduction or interruption</w:t>
      </w:r>
    </w:p>
    <w:tbl>
      <w:tblPr>
        <w:tblStyle w:val="TableTGAblue"/>
        <w:tblW w:w="0" w:type="auto"/>
        <w:tblLook w:val="04A0" w:firstRow="1" w:lastRow="0" w:firstColumn="1" w:lastColumn="0" w:noHBand="0" w:noVBand="1"/>
      </w:tblPr>
      <w:tblGrid>
        <w:gridCol w:w="3227"/>
        <w:gridCol w:w="1559"/>
        <w:gridCol w:w="2552"/>
      </w:tblGrid>
      <w:tr w:rsidR="006E0256" w:rsidRPr="00B41A49" w14:paraId="4B7CBD52" w14:textId="77777777" w:rsidTr="006E0256">
        <w:trPr>
          <w:cnfStyle w:val="100000000000" w:firstRow="1" w:lastRow="0" w:firstColumn="0" w:lastColumn="0" w:oddVBand="0" w:evenVBand="0" w:oddHBand="0" w:evenHBand="0" w:firstRowFirstColumn="0" w:firstRowLastColumn="0" w:lastRowFirstColumn="0" w:lastRowLastColumn="0"/>
        </w:trPr>
        <w:tc>
          <w:tcPr>
            <w:tcW w:w="3227" w:type="dxa"/>
          </w:tcPr>
          <w:p w14:paraId="2AF17F92" w14:textId="77777777" w:rsidR="006E0256" w:rsidRPr="00B41A49" w:rsidRDefault="00B41A49" w:rsidP="00B41A49">
            <w:pPr>
              <w:ind w:left="0" w:right="0"/>
              <w:rPr>
                <w:sz w:val="20"/>
                <w:szCs w:val="20"/>
              </w:rPr>
            </w:pPr>
            <w:r w:rsidRPr="00B41A49">
              <w:rPr>
                <w:sz w:val="20"/>
                <w:szCs w:val="20"/>
              </w:rPr>
              <w:t>Specific AEs</w:t>
            </w:r>
          </w:p>
        </w:tc>
        <w:tc>
          <w:tcPr>
            <w:tcW w:w="1559" w:type="dxa"/>
          </w:tcPr>
          <w:p w14:paraId="0DB7DBA2" w14:textId="77777777" w:rsidR="006E0256" w:rsidRPr="00B41A49" w:rsidRDefault="006E0256" w:rsidP="00B41A49">
            <w:pPr>
              <w:ind w:left="0" w:right="0"/>
              <w:jc w:val="center"/>
              <w:rPr>
                <w:sz w:val="20"/>
                <w:szCs w:val="20"/>
              </w:rPr>
            </w:pPr>
            <w:r w:rsidRPr="00B41A49">
              <w:rPr>
                <w:sz w:val="20"/>
                <w:szCs w:val="20"/>
              </w:rPr>
              <w:t>Olaparib</w:t>
            </w:r>
          </w:p>
          <w:p w14:paraId="6171964A"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136</w:t>
            </w:r>
          </w:p>
        </w:tc>
        <w:tc>
          <w:tcPr>
            <w:tcW w:w="2552" w:type="dxa"/>
          </w:tcPr>
          <w:p w14:paraId="5D9F76D0" w14:textId="77777777" w:rsidR="006E0256" w:rsidRPr="00B41A49" w:rsidRDefault="006E0256" w:rsidP="00B41A49">
            <w:pPr>
              <w:ind w:left="0" w:right="0"/>
              <w:jc w:val="center"/>
              <w:rPr>
                <w:sz w:val="20"/>
                <w:szCs w:val="20"/>
              </w:rPr>
            </w:pPr>
            <w:r w:rsidRPr="00B41A49">
              <w:rPr>
                <w:sz w:val="20"/>
                <w:szCs w:val="20"/>
              </w:rPr>
              <w:t>Placebo</w:t>
            </w:r>
          </w:p>
          <w:p w14:paraId="499DF2E9" w14:textId="77777777" w:rsidR="006E0256" w:rsidRPr="00B41A49" w:rsidRDefault="006E0256" w:rsidP="00B41A49">
            <w:pPr>
              <w:ind w:left="0" w:right="0"/>
              <w:jc w:val="center"/>
              <w:rPr>
                <w:sz w:val="20"/>
                <w:szCs w:val="20"/>
              </w:rPr>
            </w:pPr>
            <w:r w:rsidRPr="00B41A49">
              <w:rPr>
                <w:sz w:val="20"/>
                <w:szCs w:val="20"/>
              </w:rPr>
              <w:t>N</w:t>
            </w:r>
            <w:r w:rsidR="00B41A49">
              <w:rPr>
                <w:sz w:val="20"/>
                <w:szCs w:val="20"/>
              </w:rPr>
              <w:t xml:space="preserve"> </w:t>
            </w:r>
            <w:r w:rsidRPr="00B41A49">
              <w:rPr>
                <w:sz w:val="20"/>
                <w:szCs w:val="20"/>
              </w:rPr>
              <w:t>=</w:t>
            </w:r>
            <w:r w:rsidR="00B41A49">
              <w:rPr>
                <w:sz w:val="20"/>
                <w:szCs w:val="20"/>
              </w:rPr>
              <w:t xml:space="preserve"> </w:t>
            </w:r>
            <w:r w:rsidRPr="00B41A49">
              <w:rPr>
                <w:sz w:val="20"/>
                <w:szCs w:val="20"/>
              </w:rPr>
              <w:t>128</w:t>
            </w:r>
          </w:p>
        </w:tc>
      </w:tr>
      <w:tr w:rsidR="006E0256" w:rsidRPr="00B41A49" w14:paraId="393938FE" w14:textId="77777777" w:rsidTr="006E0256">
        <w:tc>
          <w:tcPr>
            <w:tcW w:w="3227" w:type="dxa"/>
          </w:tcPr>
          <w:p w14:paraId="0B77C31E" w14:textId="77777777" w:rsidR="006E0256" w:rsidRPr="00B41A49" w:rsidRDefault="00B41A49" w:rsidP="00B41A49">
            <w:pPr>
              <w:ind w:left="0" w:right="0"/>
              <w:rPr>
                <w:sz w:val="20"/>
                <w:szCs w:val="20"/>
              </w:rPr>
            </w:pPr>
            <w:r>
              <w:rPr>
                <w:sz w:val="20"/>
                <w:szCs w:val="20"/>
              </w:rPr>
              <w:t>N</w:t>
            </w:r>
            <w:r w:rsidR="006E0256" w:rsidRPr="00B41A49">
              <w:rPr>
                <w:sz w:val="20"/>
                <w:szCs w:val="20"/>
              </w:rPr>
              <w:t>ausea</w:t>
            </w:r>
          </w:p>
        </w:tc>
        <w:tc>
          <w:tcPr>
            <w:tcW w:w="1559" w:type="dxa"/>
          </w:tcPr>
          <w:p w14:paraId="0C84FE97" w14:textId="77777777" w:rsidR="006E0256" w:rsidRPr="00B41A49" w:rsidRDefault="006E0256" w:rsidP="00B41A49">
            <w:pPr>
              <w:ind w:left="0" w:right="0"/>
              <w:jc w:val="center"/>
              <w:rPr>
                <w:sz w:val="20"/>
                <w:szCs w:val="20"/>
              </w:rPr>
            </w:pPr>
            <w:r w:rsidRPr="00B41A49">
              <w:rPr>
                <w:sz w:val="20"/>
                <w:szCs w:val="20"/>
              </w:rPr>
              <w:t>14</w:t>
            </w:r>
            <w:r w:rsidR="00B41A49">
              <w:rPr>
                <w:sz w:val="20"/>
                <w:szCs w:val="20"/>
              </w:rPr>
              <w:t xml:space="preserve"> </w:t>
            </w:r>
            <w:r w:rsidRPr="00B41A49">
              <w:rPr>
                <w:sz w:val="20"/>
                <w:szCs w:val="20"/>
              </w:rPr>
              <w:t>(10%)</w:t>
            </w:r>
          </w:p>
        </w:tc>
        <w:tc>
          <w:tcPr>
            <w:tcW w:w="2552" w:type="dxa"/>
          </w:tcPr>
          <w:p w14:paraId="65278C2B" w14:textId="77777777" w:rsidR="006E0256" w:rsidRPr="00B41A49" w:rsidRDefault="006E0256" w:rsidP="00B41A49">
            <w:pPr>
              <w:ind w:left="0" w:right="0"/>
              <w:jc w:val="center"/>
              <w:rPr>
                <w:sz w:val="20"/>
                <w:szCs w:val="20"/>
              </w:rPr>
            </w:pPr>
            <w:r w:rsidRPr="00B41A49">
              <w:rPr>
                <w:sz w:val="20"/>
                <w:szCs w:val="20"/>
              </w:rPr>
              <w:t>1</w:t>
            </w:r>
            <w:r w:rsidR="00B41A49">
              <w:rPr>
                <w:sz w:val="20"/>
                <w:szCs w:val="20"/>
              </w:rPr>
              <w:t xml:space="preserve"> </w:t>
            </w:r>
            <w:r w:rsidRPr="00B41A49">
              <w:rPr>
                <w:sz w:val="20"/>
                <w:szCs w:val="20"/>
              </w:rPr>
              <w:t>(1%)</w:t>
            </w:r>
          </w:p>
        </w:tc>
      </w:tr>
      <w:tr w:rsidR="006E0256" w:rsidRPr="00B41A49" w14:paraId="1FA2DC62" w14:textId="77777777" w:rsidTr="006E0256">
        <w:tc>
          <w:tcPr>
            <w:tcW w:w="3227" w:type="dxa"/>
          </w:tcPr>
          <w:p w14:paraId="634C4D46" w14:textId="77777777" w:rsidR="006E0256" w:rsidRPr="00B41A49" w:rsidRDefault="00B41A49" w:rsidP="00B41A49">
            <w:pPr>
              <w:ind w:left="0" w:right="0"/>
              <w:rPr>
                <w:sz w:val="20"/>
                <w:szCs w:val="20"/>
              </w:rPr>
            </w:pPr>
            <w:r>
              <w:rPr>
                <w:sz w:val="20"/>
                <w:szCs w:val="20"/>
              </w:rPr>
              <w:t>V</w:t>
            </w:r>
            <w:r w:rsidR="006E0256" w:rsidRPr="00B41A49">
              <w:rPr>
                <w:sz w:val="20"/>
                <w:szCs w:val="20"/>
              </w:rPr>
              <w:t>omiting</w:t>
            </w:r>
          </w:p>
        </w:tc>
        <w:tc>
          <w:tcPr>
            <w:tcW w:w="1559" w:type="dxa"/>
          </w:tcPr>
          <w:p w14:paraId="013D70F1" w14:textId="77777777" w:rsidR="006E0256" w:rsidRPr="00B41A49" w:rsidRDefault="006E0256" w:rsidP="00B41A49">
            <w:pPr>
              <w:ind w:left="0" w:right="0"/>
              <w:jc w:val="center"/>
              <w:rPr>
                <w:sz w:val="20"/>
                <w:szCs w:val="20"/>
              </w:rPr>
            </w:pPr>
            <w:r w:rsidRPr="00B41A49">
              <w:rPr>
                <w:sz w:val="20"/>
                <w:szCs w:val="20"/>
              </w:rPr>
              <w:t>14</w:t>
            </w:r>
            <w:r w:rsidR="00B41A49">
              <w:rPr>
                <w:sz w:val="20"/>
                <w:szCs w:val="20"/>
              </w:rPr>
              <w:t xml:space="preserve"> </w:t>
            </w:r>
            <w:r w:rsidRPr="00B41A49">
              <w:rPr>
                <w:sz w:val="20"/>
                <w:szCs w:val="20"/>
              </w:rPr>
              <w:t>(10%)</w:t>
            </w:r>
          </w:p>
        </w:tc>
        <w:tc>
          <w:tcPr>
            <w:tcW w:w="2552" w:type="dxa"/>
          </w:tcPr>
          <w:p w14:paraId="2D22805B" w14:textId="77777777" w:rsidR="006E0256" w:rsidRPr="00B41A49" w:rsidRDefault="006E0256" w:rsidP="00B41A49">
            <w:pPr>
              <w:ind w:left="0" w:right="0"/>
              <w:jc w:val="center"/>
              <w:rPr>
                <w:sz w:val="20"/>
                <w:szCs w:val="20"/>
              </w:rPr>
            </w:pPr>
            <w:r w:rsidRPr="00B41A49">
              <w:rPr>
                <w:sz w:val="20"/>
                <w:szCs w:val="20"/>
              </w:rPr>
              <w:t>3</w:t>
            </w:r>
            <w:r w:rsidR="00B41A49">
              <w:rPr>
                <w:sz w:val="20"/>
                <w:szCs w:val="20"/>
              </w:rPr>
              <w:t xml:space="preserve"> </w:t>
            </w:r>
            <w:r w:rsidRPr="00B41A49">
              <w:rPr>
                <w:sz w:val="20"/>
                <w:szCs w:val="20"/>
              </w:rPr>
              <w:t>(2%)</w:t>
            </w:r>
          </w:p>
        </w:tc>
      </w:tr>
      <w:tr w:rsidR="006E0256" w:rsidRPr="00B41A49" w14:paraId="257BB964" w14:textId="77777777" w:rsidTr="006E0256">
        <w:tc>
          <w:tcPr>
            <w:tcW w:w="3227" w:type="dxa"/>
          </w:tcPr>
          <w:p w14:paraId="45ED58DB" w14:textId="77777777" w:rsidR="006E0256" w:rsidRPr="00B41A49" w:rsidRDefault="00B41A49" w:rsidP="00B41A49">
            <w:pPr>
              <w:ind w:left="0" w:right="0"/>
              <w:rPr>
                <w:sz w:val="20"/>
                <w:szCs w:val="20"/>
              </w:rPr>
            </w:pPr>
            <w:r>
              <w:rPr>
                <w:sz w:val="20"/>
                <w:szCs w:val="20"/>
              </w:rPr>
              <w:t>F</w:t>
            </w:r>
            <w:r w:rsidR="006E0256" w:rsidRPr="00B41A49">
              <w:rPr>
                <w:sz w:val="20"/>
                <w:szCs w:val="20"/>
              </w:rPr>
              <w:t>atigue</w:t>
            </w:r>
          </w:p>
        </w:tc>
        <w:tc>
          <w:tcPr>
            <w:tcW w:w="1559" w:type="dxa"/>
          </w:tcPr>
          <w:p w14:paraId="3D76A310" w14:textId="77777777" w:rsidR="006E0256" w:rsidRPr="00B41A49" w:rsidRDefault="006E0256" w:rsidP="00B41A49">
            <w:pPr>
              <w:ind w:left="0" w:right="0"/>
              <w:jc w:val="center"/>
              <w:rPr>
                <w:sz w:val="20"/>
                <w:szCs w:val="20"/>
              </w:rPr>
            </w:pPr>
            <w:r w:rsidRPr="00B41A49">
              <w:rPr>
                <w:sz w:val="20"/>
                <w:szCs w:val="20"/>
              </w:rPr>
              <w:t>12</w:t>
            </w:r>
            <w:r w:rsidR="00B41A49">
              <w:rPr>
                <w:sz w:val="20"/>
                <w:szCs w:val="20"/>
              </w:rPr>
              <w:t xml:space="preserve"> </w:t>
            </w:r>
            <w:r w:rsidRPr="00B41A49">
              <w:rPr>
                <w:sz w:val="20"/>
                <w:szCs w:val="20"/>
              </w:rPr>
              <w:t>(9%)</w:t>
            </w:r>
          </w:p>
        </w:tc>
        <w:tc>
          <w:tcPr>
            <w:tcW w:w="2552" w:type="dxa"/>
          </w:tcPr>
          <w:p w14:paraId="0B5A6259" w14:textId="77777777" w:rsidR="006E0256" w:rsidRPr="00B41A49" w:rsidRDefault="006E0256" w:rsidP="00B41A49">
            <w:pPr>
              <w:ind w:left="0" w:right="0"/>
              <w:jc w:val="center"/>
              <w:rPr>
                <w:sz w:val="20"/>
                <w:szCs w:val="20"/>
              </w:rPr>
            </w:pPr>
            <w:r w:rsidRPr="00B41A49">
              <w:rPr>
                <w:sz w:val="20"/>
                <w:szCs w:val="20"/>
              </w:rPr>
              <w:t>3</w:t>
            </w:r>
            <w:r w:rsidR="00B41A49">
              <w:rPr>
                <w:sz w:val="20"/>
                <w:szCs w:val="20"/>
              </w:rPr>
              <w:t xml:space="preserve"> </w:t>
            </w:r>
            <w:r w:rsidRPr="00B41A49">
              <w:rPr>
                <w:sz w:val="20"/>
                <w:szCs w:val="20"/>
              </w:rPr>
              <w:t>(2%)</w:t>
            </w:r>
          </w:p>
        </w:tc>
      </w:tr>
      <w:tr w:rsidR="006E0256" w:rsidRPr="00B41A49" w14:paraId="377F9DF7" w14:textId="77777777" w:rsidTr="006E0256">
        <w:tc>
          <w:tcPr>
            <w:tcW w:w="3227" w:type="dxa"/>
          </w:tcPr>
          <w:p w14:paraId="1683E8A1" w14:textId="77777777" w:rsidR="006E0256" w:rsidRPr="00B41A49" w:rsidRDefault="00B41A49" w:rsidP="00B41A49">
            <w:pPr>
              <w:ind w:left="0" w:right="0"/>
              <w:rPr>
                <w:sz w:val="20"/>
                <w:szCs w:val="20"/>
              </w:rPr>
            </w:pPr>
            <w:r>
              <w:rPr>
                <w:sz w:val="20"/>
                <w:szCs w:val="20"/>
              </w:rPr>
              <w:t>A</w:t>
            </w:r>
            <w:r w:rsidR="006E0256" w:rsidRPr="00B41A49">
              <w:rPr>
                <w:sz w:val="20"/>
                <w:szCs w:val="20"/>
              </w:rPr>
              <w:t>naemia</w:t>
            </w:r>
          </w:p>
        </w:tc>
        <w:tc>
          <w:tcPr>
            <w:tcW w:w="1559" w:type="dxa"/>
          </w:tcPr>
          <w:p w14:paraId="5D801DE9" w14:textId="77777777" w:rsidR="006E0256" w:rsidRPr="00B41A49" w:rsidRDefault="006E0256" w:rsidP="00B41A49">
            <w:pPr>
              <w:ind w:left="0" w:right="0"/>
              <w:jc w:val="center"/>
              <w:rPr>
                <w:sz w:val="20"/>
                <w:szCs w:val="20"/>
              </w:rPr>
            </w:pPr>
            <w:r w:rsidRPr="00B41A49">
              <w:rPr>
                <w:sz w:val="20"/>
                <w:szCs w:val="20"/>
              </w:rPr>
              <w:t>11</w:t>
            </w:r>
            <w:r w:rsidR="00B41A49">
              <w:rPr>
                <w:sz w:val="20"/>
                <w:szCs w:val="20"/>
              </w:rPr>
              <w:t xml:space="preserve"> </w:t>
            </w:r>
            <w:r w:rsidRPr="00B41A49">
              <w:rPr>
                <w:sz w:val="20"/>
                <w:szCs w:val="20"/>
              </w:rPr>
              <w:t>(8%)</w:t>
            </w:r>
          </w:p>
        </w:tc>
        <w:tc>
          <w:tcPr>
            <w:tcW w:w="2552" w:type="dxa"/>
          </w:tcPr>
          <w:p w14:paraId="1708610B" w14:textId="77777777" w:rsidR="006E0256" w:rsidRPr="00B41A49" w:rsidRDefault="006E0256" w:rsidP="00B41A49">
            <w:pPr>
              <w:ind w:left="0" w:right="0"/>
              <w:jc w:val="center"/>
              <w:rPr>
                <w:sz w:val="20"/>
                <w:szCs w:val="20"/>
              </w:rPr>
            </w:pPr>
            <w:r w:rsidRPr="00B41A49">
              <w:rPr>
                <w:sz w:val="20"/>
                <w:szCs w:val="20"/>
              </w:rPr>
              <w:t>1</w:t>
            </w:r>
            <w:r w:rsidR="00B41A49">
              <w:rPr>
                <w:sz w:val="20"/>
                <w:szCs w:val="20"/>
              </w:rPr>
              <w:t xml:space="preserve"> </w:t>
            </w:r>
            <w:r w:rsidRPr="00B41A49">
              <w:rPr>
                <w:sz w:val="20"/>
                <w:szCs w:val="20"/>
              </w:rPr>
              <w:t>(1%)</w:t>
            </w:r>
          </w:p>
        </w:tc>
      </w:tr>
    </w:tbl>
    <w:p w14:paraId="35DBE4B2" w14:textId="40EC0C37" w:rsidR="006E0256" w:rsidRDefault="006E0256" w:rsidP="006E0256">
      <w:pPr>
        <w:rPr>
          <w:lang w:eastAsia="en-AU"/>
        </w:rPr>
      </w:pPr>
      <w:r>
        <w:rPr>
          <w:lang w:eastAsia="en-AU"/>
        </w:rPr>
        <w:t xml:space="preserve">Comparing </w:t>
      </w:r>
      <w:r w:rsidR="004D18B7">
        <w:rPr>
          <w:lang w:eastAsia="en-AU"/>
        </w:rPr>
        <w:t xml:space="preserve">the </w:t>
      </w:r>
      <w:r w:rsidR="00205AC8">
        <w:rPr>
          <w:lang w:eastAsia="en-AU"/>
        </w:rPr>
        <w:t>SOLO-2</w:t>
      </w:r>
      <w:r w:rsidR="004D18B7">
        <w:rPr>
          <w:lang w:eastAsia="en-AU"/>
        </w:rPr>
        <w:t xml:space="preserve"> trial</w:t>
      </w:r>
      <w:r>
        <w:rPr>
          <w:lang w:eastAsia="en-AU"/>
        </w:rPr>
        <w:t xml:space="preserve"> with </w:t>
      </w:r>
      <w:r w:rsidR="001F00F8">
        <w:rPr>
          <w:lang w:eastAsia="en-AU"/>
        </w:rPr>
        <w:t>Study 19</w:t>
      </w:r>
      <w:r>
        <w:rPr>
          <w:lang w:eastAsia="en-AU"/>
        </w:rPr>
        <w:t xml:space="preserve">, there were more discontinuations on olaparib in </w:t>
      </w:r>
      <w:r w:rsidR="004D18B7">
        <w:rPr>
          <w:lang w:eastAsia="en-AU"/>
        </w:rPr>
        <w:t xml:space="preserve">the </w:t>
      </w:r>
      <w:r w:rsidR="00205AC8">
        <w:rPr>
          <w:lang w:eastAsia="en-AU"/>
        </w:rPr>
        <w:t>SOLO</w:t>
      </w:r>
      <w:r w:rsidR="00205AC8">
        <w:rPr>
          <w:lang w:eastAsia="en-AU"/>
        </w:rPr>
        <w:noBreakHyphen/>
        <w:t>2</w:t>
      </w:r>
      <w:r w:rsidR="004D18B7">
        <w:rPr>
          <w:lang w:eastAsia="en-AU"/>
        </w:rPr>
        <w:t xml:space="preserve"> trial</w:t>
      </w:r>
      <w:r>
        <w:rPr>
          <w:lang w:eastAsia="en-AU"/>
        </w:rPr>
        <w:t xml:space="preserve"> (11% versus 4%) and more interruptions (44% versus 30%).  </w:t>
      </w:r>
      <w:r w:rsidR="0003324E">
        <w:rPr>
          <w:lang w:eastAsia="en-AU"/>
        </w:rPr>
        <w:t xml:space="preserve">This could be because of the greater bioavailability of the tablet versus the capsule. </w:t>
      </w:r>
      <w:r>
        <w:rPr>
          <w:lang w:eastAsia="en-AU"/>
        </w:rPr>
        <w:t>Medical oncologists would be experienced with managing the AEs leading to discontinuations or interruptions (for example</w:t>
      </w:r>
      <w:r w:rsidR="00B41A49">
        <w:rPr>
          <w:lang w:eastAsia="en-AU"/>
        </w:rPr>
        <w:t>,</w:t>
      </w:r>
      <w:r>
        <w:rPr>
          <w:lang w:eastAsia="en-AU"/>
        </w:rPr>
        <w:t xml:space="preserve"> anaemia, thrombocytop</w:t>
      </w:r>
      <w:r w:rsidR="004D18B7">
        <w:rPr>
          <w:lang w:eastAsia="en-AU"/>
        </w:rPr>
        <w:t>a</w:t>
      </w:r>
      <w:r>
        <w:rPr>
          <w:lang w:eastAsia="en-AU"/>
        </w:rPr>
        <w:t>enia, nausea, vomiting).</w:t>
      </w:r>
    </w:p>
    <w:p w14:paraId="4FE163F2" w14:textId="77777777" w:rsidR="006E0256" w:rsidRDefault="00173E80" w:rsidP="006E0256">
      <w:pPr>
        <w:pStyle w:val="Heading5"/>
        <w:rPr>
          <w:lang w:eastAsia="en-AU"/>
        </w:rPr>
      </w:pPr>
      <w:r>
        <w:rPr>
          <w:lang w:eastAsia="en-AU"/>
        </w:rPr>
        <w:t>MDS</w:t>
      </w:r>
      <w:r w:rsidR="006E0256">
        <w:rPr>
          <w:lang w:eastAsia="en-AU"/>
        </w:rPr>
        <w:t>/</w:t>
      </w:r>
      <w:r>
        <w:rPr>
          <w:lang w:eastAsia="en-AU"/>
        </w:rPr>
        <w:t>AML</w:t>
      </w:r>
    </w:p>
    <w:p w14:paraId="14C4083E" w14:textId="5367C3FC" w:rsidR="006E0256" w:rsidRDefault="00F539E2" w:rsidP="006E0256">
      <w:pPr>
        <w:rPr>
          <w:lang w:eastAsia="en-AU"/>
        </w:rPr>
      </w:pPr>
      <w:r>
        <w:t>MDS/AML was reported with PARP inhibitors. This may be related to the genetic limitation of DNA repair and prior exposure to cytotoxic chemotherapy</w:t>
      </w:r>
      <w:r w:rsidR="00843E41">
        <w:rPr>
          <w:lang w:eastAsia="en-AU"/>
        </w:rPr>
        <w:t xml:space="preserve">. </w:t>
      </w:r>
      <w:r w:rsidR="006E0256" w:rsidRPr="00F539E2">
        <w:rPr>
          <w:lang w:eastAsia="en-AU"/>
        </w:rPr>
        <w:t xml:space="preserve">There were 3 cases in the olaparib group </w:t>
      </w:r>
      <w:r w:rsidR="001F00F8" w:rsidRPr="00F539E2">
        <w:rPr>
          <w:lang w:eastAsia="en-AU"/>
        </w:rPr>
        <w:t>Study 19</w:t>
      </w:r>
      <w:r w:rsidR="006E0256" w:rsidRPr="00F539E2">
        <w:rPr>
          <w:lang w:eastAsia="en-AU"/>
        </w:rPr>
        <w:t xml:space="preserve"> (and 1 case in the placebo group); and 4 cases in the olaparib group in </w:t>
      </w:r>
      <w:r w:rsidR="004D18B7">
        <w:rPr>
          <w:lang w:eastAsia="en-AU"/>
        </w:rPr>
        <w:t xml:space="preserve">the </w:t>
      </w:r>
      <w:r w:rsidR="00205AC8" w:rsidRPr="00F539E2">
        <w:rPr>
          <w:lang w:eastAsia="en-AU"/>
        </w:rPr>
        <w:t>SOLO-2</w:t>
      </w:r>
      <w:r w:rsidR="004D18B7">
        <w:rPr>
          <w:lang w:eastAsia="en-AU"/>
        </w:rPr>
        <w:t xml:space="preserve"> trial</w:t>
      </w:r>
      <w:r w:rsidR="006E0256" w:rsidRPr="00F539E2">
        <w:rPr>
          <w:lang w:eastAsia="en-AU"/>
        </w:rPr>
        <w:t xml:space="preserve"> (and 4 cases in </w:t>
      </w:r>
      <w:r w:rsidR="006E0256">
        <w:rPr>
          <w:lang w:eastAsia="en-AU"/>
        </w:rPr>
        <w:t>the placebo group). 21 cases have been reported from 1</w:t>
      </w:r>
      <w:r w:rsidR="004D18B7">
        <w:rPr>
          <w:lang w:eastAsia="en-AU"/>
        </w:rPr>
        <w:t>,</w:t>
      </w:r>
      <w:r w:rsidR="006E0256">
        <w:rPr>
          <w:lang w:eastAsia="en-AU"/>
        </w:rPr>
        <w:t>680 patients involved in clinical trials for olaparib across various indications. This gives an incidence of about 1.5%. More cases</w:t>
      </w:r>
      <w:r w:rsidR="00545EA3">
        <w:rPr>
          <w:lang w:eastAsia="en-AU"/>
        </w:rPr>
        <w:t xml:space="preserve"> have been identified from post </w:t>
      </w:r>
      <w:r w:rsidR="006E0256">
        <w:rPr>
          <w:lang w:eastAsia="en-AU"/>
        </w:rPr>
        <w:t>marketing reports; incidence seems similar: 1</w:t>
      </w:r>
      <w:r w:rsidR="00173E80">
        <w:rPr>
          <w:lang w:eastAsia="en-AU"/>
        </w:rPr>
        <w:t xml:space="preserve"> to </w:t>
      </w:r>
      <w:r w:rsidR="006E0256">
        <w:rPr>
          <w:lang w:eastAsia="en-AU"/>
        </w:rPr>
        <w:t>2%.</w:t>
      </w:r>
    </w:p>
    <w:p w14:paraId="3F7CF762" w14:textId="77777777" w:rsidR="006E0256" w:rsidRDefault="006E0256" w:rsidP="006E0256">
      <w:pPr>
        <w:rPr>
          <w:lang w:eastAsia="en-AU"/>
        </w:rPr>
      </w:pPr>
      <w:r>
        <w:rPr>
          <w:lang w:eastAsia="en-AU"/>
        </w:rPr>
        <w:t>The development of therapy-related AML has a long latency (reported to be approximately 5 years in a Danish national population-based study of 3,055 unselected patients with AML).</w:t>
      </w:r>
      <w:r>
        <w:rPr>
          <w:rStyle w:val="FootnoteReference"/>
          <w:lang w:eastAsia="en-AU"/>
        </w:rPr>
        <w:footnoteReference w:id="17"/>
      </w:r>
      <w:r>
        <w:rPr>
          <w:lang w:eastAsia="en-AU"/>
        </w:rPr>
        <w:t xml:space="preserve"> This, along with conf</w:t>
      </w:r>
      <w:r w:rsidR="00173E80">
        <w:rPr>
          <w:lang w:eastAsia="en-AU"/>
        </w:rPr>
        <w:t xml:space="preserve">ounding factors (as above, post </w:t>
      </w:r>
      <w:r>
        <w:rPr>
          <w:lang w:eastAsia="en-AU"/>
        </w:rPr>
        <w:t>chemotherapy patients and patients with BRCA may have a higher baseline risk) makes it difficult to provide a precise estimate of the increased risk (above the baseline risk).</w:t>
      </w:r>
    </w:p>
    <w:p w14:paraId="382B41AB" w14:textId="77777777" w:rsidR="006E0256" w:rsidRDefault="006E0256" w:rsidP="006E0256">
      <w:pPr>
        <w:pStyle w:val="Heading5"/>
        <w:rPr>
          <w:lang w:eastAsia="en-AU"/>
        </w:rPr>
      </w:pPr>
      <w:r>
        <w:rPr>
          <w:lang w:eastAsia="en-AU"/>
        </w:rPr>
        <w:t>Pneumonitis</w:t>
      </w:r>
    </w:p>
    <w:p w14:paraId="6E831981" w14:textId="402CC7F9" w:rsidR="00456765" w:rsidRPr="00456765" w:rsidRDefault="006E0256" w:rsidP="00456765">
      <w:pPr>
        <w:rPr>
          <w:lang w:eastAsia="en-AU"/>
        </w:rPr>
      </w:pPr>
      <w:r>
        <w:rPr>
          <w:lang w:eastAsia="en-AU"/>
        </w:rPr>
        <w:t xml:space="preserve">The safety database included 10 cases of pneumonitis with the capsule (including the one in </w:t>
      </w:r>
      <w:r w:rsidR="001F00F8">
        <w:rPr>
          <w:lang w:eastAsia="en-AU"/>
        </w:rPr>
        <w:t>Study 19</w:t>
      </w:r>
      <w:r>
        <w:rPr>
          <w:lang w:eastAsia="en-AU"/>
        </w:rPr>
        <w:t xml:space="preserve">); and 6 cases with the tablet (including 3 in </w:t>
      </w:r>
      <w:r w:rsidR="004D18B7">
        <w:rPr>
          <w:lang w:eastAsia="en-AU"/>
        </w:rPr>
        <w:t xml:space="preserve">the </w:t>
      </w:r>
      <w:r w:rsidR="00205AC8">
        <w:rPr>
          <w:lang w:eastAsia="en-AU"/>
        </w:rPr>
        <w:t>SOLO-2</w:t>
      </w:r>
      <w:r w:rsidR="004D18B7">
        <w:rPr>
          <w:lang w:eastAsia="en-AU"/>
        </w:rPr>
        <w:t xml:space="preserve"> trial</w:t>
      </w:r>
      <w:r>
        <w:rPr>
          <w:lang w:eastAsia="en-AU"/>
        </w:rPr>
        <w:t>). Deaths have occurred following pneumonitis; although none with the tablet formulation. The risk may be higher in patients who have had radiation to the chest.</w:t>
      </w:r>
    </w:p>
    <w:p w14:paraId="367668A5" w14:textId="77777777" w:rsidR="008E7846" w:rsidRDefault="00386150" w:rsidP="007B6132">
      <w:pPr>
        <w:pStyle w:val="Heading3"/>
        <w:rPr>
          <w:lang w:eastAsia="en-AU"/>
        </w:rPr>
      </w:pPr>
      <w:bookmarkStart w:id="252" w:name="_Toc23326225"/>
      <w:r>
        <w:rPr>
          <w:lang w:eastAsia="en-AU"/>
        </w:rPr>
        <w:lastRenderedPageBreak/>
        <w:t>Risk m</w:t>
      </w:r>
      <w:r w:rsidR="008E7846">
        <w:rPr>
          <w:lang w:eastAsia="en-AU"/>
        </w:rPr>
        <w:t xml:space="preserve">anagement </w:t>
      </w:r>
      <w:r>
        <w:rPr>
          <w:lang w:eastAsia="en-AU"/>
        </w:rPr>
        <w:t>p</w:t>
      </w:r>
      <w:r w:rsidR="008E7846">
        <w:rPr>
          <w:lang w:eastAsia="en-AU"/>
        </w:rPr>
        <w:t>lan</w:t>
      </w:r>
      <w:bookmarkEnd w:id="251"/>
      <w:bookmarkEnd w:id="252"/>
    </w:p>
    <w:p w14:paraId="7799424D" w14:textId="278C620F" w:rsidR="001F2D1F" w:rsidRDefault="004D18B7" w:rsidP="001F2D1F">
      <w:r>
        <w:t>The s</w:t>
      </w:r>
      <w:r w:rsidR="001F2D1F">
        <w:t xml:space="preserve">ummary of safety concerns are </w:t>
      </w:r>
      <w:r>
        <w:t>shown in</w:t>
      </w:r>
      <w:r w:rsidR="008303DC" w:rsidRPr="000A0DC3">
        <w:t xml:space="preserve"> Table </w:t>
      </w:r>
      <w:r w:rsidR="000A0DC3" w:rsidRPr="000A0DC3">
        <w:t>30</w:t>
      </w:r>
      <w:r w:rsidR="001F2D1F" w:rsidRPr="000A0DC3">
        <w:t>.</w:t>
      </w:r>
    </w:p>
    <w:p w14:paraId="4D91854C" w14:textId="48820FD1" w:rsidR="001F2D1F" w:rsidRDefault="000A0DC3" w:rsidP="001F2D1F">
      <w:pPr>
        <w:pStyle w:val="TableTitle"/>
        <w:rPr>
          <w:lang w:eastAsia="en-AU"/>
        </w:rPr>
      </w:pPr>
      <w:r>
        <w:rPr>
          <w:lang w:eastAsia="en-AU"/>
        </w:rPr>
        <w:t>Table 30</w:t>
      </w:r>
      <w:r w:rsidR="001F2D1F">
        <w:rPr>
          <w:lang w:eastAsia="en-AU"/>
        </w:rPr>
        <w:t xml:space="preserve">: Summary of safety concerns from </w:t>
      </w:r>
      <w:r w:rsidR="004D18B7">
        <w:rPr>
          <w:lang w:eastAsia="en-AU"/>
        </w:rPr>
        <w:t xml:space="preserve">the </w:t>
      </w:r>
      <w:r w:rsidR="001F2D1F">
        <w:rPr>
          <w:lang w:eastAsia="en-AU"/>
        </w:rPr>
        <w:t>RMP</w:t>
      </w:r>
    </w:p>
    <w:tbl>
      <w:tblPr>
        <w:tblStyle w:val="TableTGAblue"/>
        <w:tblW w:w="0" w:type="auto"/>
        <w:tblLook w:val="04A0" w:firstRow="1" w:lastRow="0" w:firstColumn="1" w:lastColumn="0" w:noHBand="0" w:noVBand="1"/>
      </w:tblPr>
      <w:tblGrid>
        <w:gridCol w:w="2093"/>
        <w:gridCol w:w="6627"/>
      </w:tblGrid>
      <w:tr w:rsidR="001F2D1F" w:rsidRPr="00545EA3" w14:paraId="2063814F" w14:textId="77777777" w:rsidTr="005A0576">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62B3A23A" w14:textId="77777777" w:rsidR="001F2D1F" w:rsidRPr="00545EA3" w:rsidRDefault="001F2D1F" w:rsidP="00EE2122">
            <w:pPr>
              <w:pStyle w:val="TableTitle"/>
              <w:rPr>
                <w:b/>
                <w:sz w:val="20"/>
                <w:szCs w:val="20"/>
              </w:rPr>
            </w:pPr>
            <w:r w:rsidRPr="00545EA3">
              <w:rPr>
                <w:b/>
                <w:sz w:val="20"/>
                <w:szCs w:val="20"/>
              </w:rPr>
              <w:t>Summary of safety concerns</w:t>
            </w:r>
          </w:p>
        </w:tc>
      </w:tr>
      <w:tr w:rsidR="001F2D1F" w:rsidRPr="00545EA3" w14:paraId="073B0857" w14:textId="77777777" w:rsidTr="005A0576">
        <w:tc>
          <w:tcPr>
            <w:tcW w:w="2093" w:type="dxa"/>
          </w:tcPr>
          <w:p w14:paraId="24647F4E" w14:textId="77777777" w:rsidR="001F2D1F" w:rsidRPr="00545EA3" w:rsidRDefault="001F2D1F" w:rsidP="00EE2122">
            <w:pPr>
              <w:keepNext/>
              <w:spacing w:before="0" w:after="0" w:line="240" w:lineRule="auto"/>
              <w:ind w:left="0" w:right="0"/>
              <w:rPr>
                <w:rFonts w:asciiTheme="minorHAnsi" w:hAnsiTheme="minorHAnsi"/>
                <w:sz w:val="20"/>
                <w:szCs w:val="20"/>
              </w:rPr>
            </w:pPr>
            <w:r w:rsidRPr="00545EA3">
              <w:rPr>
                <w:rFonts w:asciiTheme="minorHAnsi" w:hAnsiTheme="minorHAnsi"/>
                <w:sz w:val="20"/>
                <w:szCs w:val="20"/>
              </w:rPr>
              <w:t>Important identified risks</w:t>
            </w:r>
          </w:p>
        </w:tc>
        <w:tc>
          <w:tcPr>
            <w:tcW w:w="6627" w:type="dxa"/>
          </w:tcPr>
          <w:p w14:paraId="3E749161" w14:textId="77777777" w:rsidR="001F2D1F" w:rsidRPr="00545EA3" w:rsidRDefault="001F2D1F" w:rsidP="00EE2122">
            <w:pPr>
              <w:pStyle w:val="ListBullet"/>
              <w:keepNext/>
              <w:rPr>
                <w:sz w:val="20"/>
                <w:szCs w:val="20"/>
              </w:rPr>
            </w:pPr>
            <w:r w:rsidRPr="00545EA3">
              <w:rPr>
                <w:sz w:val="20"/>
                <w:szCs w:val="20"/>
              </w:rPr>
              <w:t>Anaemia</w:t>
            </w:r>
          </w:p>
          <w:p w14:paraId="18F9F901" w14:textId="77777777" w:rsidR="001F2D1F" w:rsidRPr="00545EA3" w:rsidRDefault="001F2D1F" w:rsidP="00EE2122">
            <w:pPr>
              <w:pStyle w:val="ListBullet"/>
              <w:keepNext/>
              <w:rPr>
                <w:sz w:val="20"/>
                <w:szCs w:val="20"/>
              </w:rPr>
            </w:pPr>
            <w:r w:rsidRPr="00545EA3">
              <w:rPr>
                <w:sz w:val="20"/>
                <w:szCs w:val="20"/>
              </w:rPr>
              <w:t>Thrombocytopenia</w:t>
            </w:r>
          </w:p>
          <w:p w14:paraId="48D248C5" w14:textId="77777777" w:rsidR="001F2D1F" w:rsidRPr="00545EA3" w:rsidRDefault="001F2D1F" w:rsidP="00EE2122">
            <w:pPr>
              <w:pStyle w:val="ListBullet"/>
              <w:keepNext/>
              <w:rPr>
                <w:sz w:val="20"/>
                <w:szCs w:val="20"/>
              </w:rPr>
            </w:pPr>
            <w:r w:rsidRPr="00545EA3">
              <w:rPr>
                <w:sz w:val="20"/>
                <w:szCs w:val="20"/>
              </w:rPr>
              <w:t>Neutropenia</w:t>
            </w:r>
          </w:p>
          <w:p w14:paraId="463E8A41" w14:textId="77777777" w:rsidR="001F2D1F" w:rsidRPr="00545EA3" w:rsidRDefault="001F2D1F" w:rsidP="00EE2122">
            <w:pPr>
              <w:pStyle w:val="ListBullet"/>
              <w:keepNext/>
              <w:rPr>
                <w:sz w:val="20"/>
                <w:szCs w:val="20"/>
              </w:rPr>
            </w:pPr>
            <w:r w:rsidRPr="00545EA3">
              <w:rPr>
                <w:sz w:val="20"/>
                <w:szCs w:val="20"/>
              </w:rPr>
              <w:t>Raised creatinine levels</w:t>
            </w:r>
          </w:p>
          <w:p w14:paraId="684AAD89" w14:textId="77777777" w:rsidR="001F2D1F" w:rsidRPr="00545EA3" w:rsidRDefault="001F2D1F" w:rsidP="00EE2122">
            <w:pPr>
              <w:pStyle w:val="ListBullet"/>
              <w:keepNext/>
              <w:rPr>
                <w:sz w:val="20"/>
                <w:szCs w:val="20"/>
              </w:rPr>
            </w:pPr>
            <w:r w:rsidRPr="00545EA3">
              <w:rPr>
                <w:sz w:val="20"/>
                <w:szCs w:val="20"/>
              </w:rPr>
              <w:t>Nausea/vomiting</w:t>
            </w:r>
          </w:p>
          <w:p w14:paraId="13F05D61" w14:textId="77777777" w:rsidR="001F2D1F" w:rsidRPr="00545EA3" w:rsidRDefault="000A0DC3" w:rsidP="00EE2122">
            <w:pPr>
              <w:pStyle w:val="ListBullet"/>
              <w:keepNext/>
              <w:rPr>
                <w:sz w:val="20"/>
                <w:szCs w:val="20"/>
              </w:rPr>
            </w:pPr>
            <w:r>
              <w:rPr>
                <w:sz w:val="20"/>
                <w:szCs w:val="20"/>
              </w:rPr>
              <w:t>DDI</w:t>
            </w:r>
            <w:r w:rsidR="001F2D1F" w:rsidRPr="00545EA3">
              <w:rPr>
                <w:sz w:val="20"/>
                <w:szCs w:val="20"/>
              </w:rPr>
              <w:t xml:space="preserve"> with CYP3A strong/moderate inducers and strong/moderate inhibitors</w:t>
            </w:r>
          </w:p>
        </w:tc>
      </w:tr>
      <w:tr w:rsidR="001F2D1F" w:rsidRPr="00545EA3" w14:paraId="39EA1E76" w14:textId="77777777" w:rsidTr="005A0576">
        <w:tc>
          <w:tcPr>
            <w:tcW w:w="2093" w:type="dxa"/>
          </w:tcPr>
          <w:p w14:paraId="7EBBAA9F" w14:textId="77777777" w:rsidR="001F2D1F" w:rsidRPr="00545EA3" w:rsidRDefault="001F2D1F" w:rsidP="00EE2122">
            <w:pPr>
              <w:keepNext/>
              <w:spacing w:before="0" w:after="0" w:line="240" w:lineRule="auto"/>
              <w:ind w:left="0" w:right="0"/>
              <w:rPr>
                <w:rFonts w:asciiTheme="minorHAnsi" w:hAnsiTheme="minorHAnsi"/>
                <w:sz w:val="20"/>
                <w:szCs w:val="20"/>
              </w:rPr>
            </w:pPr>
            <w:r w:rsidRPr="00545EA3">
              <w:rPr>
                <w:rFonts w:asciiTheme="minorHAnsi" w:hAnsiTheme="minorHAnsi"/>
                <w:sz w:val="20"/>
                <w:szCs w:val="20"/>
              </w:rPr>
              <w:t>Important potential risks</w:t>
            </w:r>
          </w:p>
        </w:tc>
        <w:tc>
          <w:tcPr>
            <w:tcW w:w="6627" w:type="dxa"/>
          </w:tcPr>
          <w:p w14:paraId="008D9EBC" w14:textId="77777777" w:rsidR="001F2D1F" w:rsidRPr="00545EA3" w:rsidRDefault="001F2D1F" w:rsidP="00EE2122">
            <w:pPr>
              <w:pStyle w:val="ListBullet"/>
              <w:keepNext/>
              <w:rPr>
                <w:sz w:val="20"/>
                <w:szCs w:val="20"/>
              </w:rPr>
            </w:pPr>
            <w:r w:rsidRPr="00545EA3">
              <w:rPr>
                <w:sz w:val="20"/>
                <w:szCs w:val="20"/>
              </w:rPr>
              <w:t>MDS/AML</w:t>
            </w:r>
          </w:p>
          <w:p w14:paraId="540F4745" w14:textId="77777777" w:rsidR="001F2D1F" w:rsidRPr="00545EA3" w:rsidRDefault="001F2D1F" w:rsidP="00EE2122">
            <w:pPr>
              <w:pStyle w:val="ListBullet"/>
              <w:keepNext/>
              <w:rPr>
                <w:sz w:val="20"/>
                <w:szCs w:val="20"/>
              </w:rPr>
            </w:pPr>
            <w:r w:rsidRPr="00545EA3">
              <w:rPr>
                <w:sz w:val="20"/>
                <w:szCs w:val="20"/>
              </w:rPr>
              <w:t>Pneumonitis</w:t>
            </w:r>
          </w:p>
          <w:p w14:paraId="692E0C04" w14:textId="77777777" w:rsidR="001F2D1F" w:rsidRPr="00545EA3" w:rsidRDefault="001F2D1F" w:rsidP="00EE2122">
            <w:pPr>
              <w:pStyle w:val="ListBullet"/>
              <w:keepNext/>
              <w:rPr>
                <w:sz w:val="20"/>
                <w:szCs w:val="20"/>
              </w:rPr>
            </w:pPr>
            <w:r w:rsidRPr="00545EA3">
              <w:rPr>
                <w:sz w:val="20"/>
                <w:szCs w:val="20"/>
              </w:rPr>
              <w:t>New primary malignancies</w:t>
            </w:r>
          </w:p>
          <w:p w14:paraId="268FD49D" w14:textId="77777777" w:rsidR="001F2D1F" w:rsidRPr="00545EA3" w:rsidRDefault="008303DC" w:rsidP="00EE2122">
            <w:pPr>
              <w:pStyle w:val="ListBullet"/>
              <w:keepNext/>
              <w:rPr>
                <w:sz w:val="20"/>
                <w:szCs w:val="20"/>
              </w:rPr>
            </w:pPr>
            <w:r>
              <w:rPr>
                <w:sz w:val="20"/>
                <w:szCs w:val="20"/>
              </w:rPr>
              <w:t xml:space="preserve">Potential for off </w:t>
            </w:r>
            <w:r w:rsidR="001F2D1F" w:rsidRPr="00545EA3">
              <w:rPr>
                <w:sz w:val="20"/>
                <w:szCs w:val="20"/>
              </w:rPr>
              <w:t>label use</w:t>
            </w:r>
          </w:p>
          <w:p w14:paraId="76DC58BC" w14:textId="77777777" w:rsidR="001F2D1F" w:rsidRPr="00545EA3" w:rsidRDefault="001F2D1F" w:rsidP="00EE2122">
            <w:pPr>
              <w:pStyle w:val="ListBullet"/>
              <w:keepNext/>
              <w:rPr>
                <w:sz w:val="20"/>
                <w:szCs w:val="20"/>
              </w:rPr>
            </w:pPr>
            <w:r w:rsidRPr="00545EA3">
              <w:rPr>
                <w:sz w:val="20"/>
                <w:szCs w:val="20"/>
              </w:rPr>
              <w:t>Potential for medication errors</w:t>
            </w:r>
          </w:p>
          <w:p w14:paraId="7E450BFF" w14:textId="77777777" w:rsidR="001F2D1F" w:rsidRPr="00545EA3" w:rsidRDefault="008303DC" w:rsidP="00EE2122">
            <w:pPr>
              <w:pStyle w:val="ListBullet"/>
              <w:keepNext/>
              <w:rPr>
                <w:sz w:val="20"/>
                <w:szCs w:val="20"/>
              </w:rPr>
            </w:pPr>
            <w:r>
              <w:rPr>
                <w:sz w:val="20"/>
                <w:szCs w:val="20"/>
              </w:rPr>
              <w:t>Effects on embryof</w:t>
            </w:r>
            <w:r w:rsidR="001F2D1F" w:rsidRPr="00545EA3">
              <w:rPr>
                <w:sz w:val="20"/>
                <w:szCs w:val="20"/>
              </w:rPr>
              <w:t>etal survival and development</w:t>
            </w:r>
          </w:p>
        </w:tc>
      </w:tr>
      <w:tr w:rsidR="001F2D1F" w:rsidRPr="00545EA3" w14:paraId="56F7CBE8" w14:textId="77777777" w:rsidTr="005A0576">
        <w:tc>
          <w:tcPr>
            <w:tcW w:w="2093" w:type="dxa"/>
          </w:tcPr>
          <w:p w14:paraId="659F7333" w14:textId="77777777" w:rsidR="001F2D1F" w:rsidRPr="00545EA3" w:rsidRDefault="001F2D1F" w:rsidP="00EE2122">
            <w:pPr>
              <w:keepNext/>
              <w:spacing w:before="0" w:after="0" w:line="240" w:lineRule="auto"/>
              <w:ind w:left="0" w:right="0"/>
              <w:rPr>
                <w:rFonts w:asciiTheme="minorHAnsi" w:hAnsiTheme="minorHAnsi"/>
                <w:sz w:val="20"/>
                <w:szCs w:val="20"/>
              </w:rPr>
            </w:pPr>
            <w:r w:rsidRPr="00545EA3">
              <w:rPr>
                <w:rFonts w:asciiTheme="minorHAnsi" w:hAnsiTheme="minorHAnsi"/>
                <w:sz w:val="20"/>
                <w:szCs w:val="20"/>
              </w:rPr>
              <w:t>Missing information</w:t>
            </w:r>
          </w:p>
        </w:tc>
        <w:tc>
          <w:tcPr>
            <w:tcW w:w="6627" w:type="dxa"/>
          </w:tcPr>
          <w:p w14:paraId="31135FAB" w14:textId="77777777" w:rsidR="001F2D1F" w:rsidRPr="00545EA3" w:rsidRDefault="001F2D1F" w:rsidP="00EE2122">
            <w:pPr>
              <w:pStyle w:val="ListBullet"/>
              <w:keepNext/>
              <w:rPr>
                <w:sz w:val="20"/>
                <w:szCs w:val="20"/>
              </w:rPr>
            </w:pPr>
            <w:r w:rsidRPr="00545EA3">
              <w:rPr>
                <w:sz w:val="20"/>
                <w:szCs w:val="20"/>
              </w:rPr>
              <w:t xml:space="preserve">Interaction with substrates of CYP </w:t>
            </w:r>
            <w:r w:rsidR="008303DC" w:rsidRPr="00545EA3">
              <w:rPr>
                <w:sz w:val="20"/>
                <w:szCs w:val="20"/>
              </w:rPr>
              <w:t>enzymes</w:t>
            </w:r>
            <w:r w:rsidRPr="00545EA3">
              <w:rPr>
                <w:sz w:val="20"/>
                <w:szCs w:val="20"/>
              </w:rPr>
              <w:t xml:space="preserve"> and transporter proteins</w:t>
            </w:r>
          </w:p>
          <w:p w14:paraId="4F49EB6D" w14:textId="77777777" w:rsidR="001F2D1F" w:rsidRPr="00545EA3" w:rsidRDefault="001F2D1F" w:rsidP="00EE2122">
            <w:pPr>
              <w:pStyle w:val="ListBullet"/>
              <w:keepNext/>
              <w:rPr>
                <w:sz w:val="20"/>
                <w:szCs w:val="20"/>
              </w:rPr>
            </w:pPr>
            <w:r w:rsidRPr="00545EA3">
              <w:rPr>
                <w:sz w:val="20"/>
                <w:szCs w:val="20"/>
              </w:rPr>
              <w:t>Exposure in patients with moderate/severe hepatic impairment</w:t>
            </w:r>
          </w:p>
          <w:p w14:paraId="61D9994D" w14:textId="77777777" w:rsidR="001F2D1F" w:rsidRPr="00545EA3" w:rsidRDefault="001F2D1F" w:rsidP="00EE2122">
            <w:pPr>
              <w:pStyle w:val="ListBullet"/>
              <w:keepNext/>
              <w:rPr>
                <w:sz w:val="20"/>
                <w:szCs w:val="20"/>
              </w:rPr>
            </w:pPr>
            <w:r w:rsidRPr="00545EA3">
              <w:rPr>
                <w:sz w:val="20"/>
                <w:szCs w:val="20"/>
              </w:rPr>
              <w:t>Exposure in patients with severe renal impairment and end-stage renal disease</w:t>
            </w:r>
          </w:p>
          <w:p w14:paraId="73DAFD9B" w14:textId="77777777" w:rsidR="001F2D1F" w:rsidRPr="00545EA3" w:rsidRDefault="001F2D1F" w:rsidP="00EE2122">
            <w:pPr>
              <w:pStyle w:val="ListBullet"/>
              <w:keepNext/>
              <w:rPr>
                <w:sz w:val="20"/>
                <w:szCs w:val="20"/>
              </w:rPr>
            </w:pPr>
            <w:r w:rsidRPr="00545EA3">
              <w:rPr>
                <w:sz w:val="20"/>
                <w:szCs w:val="20"/>
              </w:rPr>
              <w:t>Exposure in elderly (&gt;</w:t>
            </w:r>
            <w:r w:rsidR="008303DC">
              <w:rPr>
                <w:sz w:val="20"/>
                <w:szCs w:val="20"/>
              </w:rPr>
              <w:t xml:space="preserve"> </w:t>
            </w:r>
            <w:r w:rsidRPr="00545EA3">
              <w:rPr>
                <w:sz w:val="20"/>
                <w:szCs w:val="20"/>
              </w:rPr>
              <w:t>75 years)</w:t>
            </w:r>
          </w:p>
          <w:p w14:paraId="33400CF5" w14:textId="77777777" w:rsidR="001F2D1F" w:rsidRPr="00545EA3" w:rsidRDefault="001F2D1F" w:rsidP="00EE2122">
            <w:pPr>
              <w:pStyle w:val="ListBullet"/>
              <w:keepNext/>
              <w:rPr>
                <w:sz w:val="20"/>
                <w:szCs w:val="20"/>
              </w:rPr>
            </w:pPr>
            <w:r w:rsidRPr="00545EA3">
              <w:rPr>
                <w:sz w:val="20"/>
                <w:szCs w:val="20"/>
              </w:rPr>
              <w:t>Exposure in ethnically diverse groups</w:t>
            </w:r>
          </w:p>
          <w:p w14:paraId="3B3DF157" w14:textId="77777777" w:rsidR="001F2D1F" w:rsidRPr="00545EA3" w:rsidRDefault="001F2D1F" w:rsidP="00EE2122">
            <w:pPr>
              <w:pStyle w:val="ListBullet"/>
              <w:keepNext/>
              <w:rPr>
                <w:sz w:val="20"/>
                <w:szCs w:val="20"/>
              </w:rPr>
            </w:pPr>
            <w:r w:rsidRPr="00545EA3">
              <w:rPr>
                <w:sz w:val="20"/>
                <w:szCs w:val="20"/>
              </w:rPr>
              <w:t>Long-term exposure to/potential toxicity to olaparib</w:t>
            </w:r>
          </w:p>
          <w:p w14:paraId="52606461" w14:textId="77777777" w:rsidR="001F2D1F" w:rsidRPr="00545EA3" w:rsidRDefault="001F2D1F" w:rsidP="00EE2122">
            <w:pPr>
              <w:pStyle w:val="ListBullet"/>
              <w:keepNext/>
              <w:rPr>
                <w:sz w:val="20"/>
                <w:szCs w:val="20"/>
              </w:rPr>
            </w:pPr>
            <w:r w:rsidRPr="00545EA3">
              <w:rPr>
                <w:sz w:val="20"/>
                <w:szCs w:val="20"/>
              </w:rPr>
              <w:t>Use in patients with ECOG performance status &gt;</w:t>
            </w:r>
            <w:r w:rsidR="008303DC">
              <w:rPr>
                <w:sz w:val="20"/>
                <w:szCs w:val="20"/>
              </w:rPr>
              <w:t xml:space="preserve"> </w:t>
            </w:r>
            <w:r w:rsidRPr="00545EA3">
              <w:rPr>
                <w:sz w:val="20"/>
                <w:szCs w:val="20"/>
              </w:rPr>
              <w:t>2</w:t>
            </w:r>
          </w:p>
        </w:tc>
      </w:tr>
    </w:tbl>
    <w:p w14:paraId="7B5667FB" w14:textId="77777777" w:rsidR="001F2D1F" w:rsidRDefault="001F2D1F" w:rsidP="001F2D1F">
      <w:pPr>
        <w:pStyle w:val="Heading4"/>
        <w:rPr>
          <w:lang w:eastAsia="en-AU"/>
        </w:rPr>
      </w:pPr>
      <w:r>
        <w:rPr>
          <w:lang w:eastAsia="en-AU"/>
        </w:rPr>
        <w:t>Safety concerns stemming from the introduction of the tablet formulation</w:t>
      </w:r>
    </w:p>
    <w:p w14:paraId="3CE00D2F" w14:textId="77777777" w:rsidR="00CA1EAE" w:rsidRDefault="001F2D1F" w:rsidP="008303DC">
      <w:r w:rsidRPr="0008378C">
        <w:t>The tablet formulation permits a significantly decreased pill burden to patients (two tablets twice daily as opposed to eight capsules twice daily for the recommended starting doses), but due to the difference in bioavailability, the two formulations are not interchangeable, and therefore the introduction of the new formulation poses a risk of medication error to patients currently receiving the capsule formulation</w:t>
      </w:r>
      <w:r w:rsidR="00CA1EAE">
        <w:t>.</w:t>
      </w:r>
    </w:p>
    <w:p w14:paraId="7A66876E" w14:textId="77777777" w:rsidR="001F2D1F" w:rsidRDefault="001F2D1F" w:rsidP="008303DC">
      <w:pPr>
        <w:rPr>
          <w:lang w:eastAsia="en-AU"/>
        </w:rPr>
      </w:pPr>
      <w:r>
        <w:rPr>
          <w:lang w:eastAsia="en-AU"/>
        </w:rPr>
        <w:t>The sponsor has provided the following information:</w:t>
      </w:r>
    </w:p>
    <w:p w14:paraId="4A66927A" w14:textId="77777777" w:rsidR="001F2D1F" w:rsidRDefault="001F2D1F" w:rsidP="008303DC">
      <w:pPr>
        <w:pStyle w:val="ListBullet"/>
        <w:rPr>
          <w:lang w:eastAsia="en-AU"/>
        </w:rPr>
      </w:pPr>
      <w:r>
        <w:rPr>
          <w:lang w:eastAsia="en-AU"/>
        </w:rPr>
        <w:t>Differences in packaging, strength, appearance and dose of the tablet and capsule presentations are expected to mitigate potential for most prescribing and dispensing errors. These differences will serve variously as check points for prescribers, pharmacists and patients to avoid instances of unintended errors in prescription, dispensing, or patient misunderstanding of the dosing instructions. There will also be different PIs.</w:t>
      </w:r>
    </w:p>
    <w:p w14:paraId="5C0E348D" w14:textId="77777777" w:rsidR="001F2D1F" w:rsidRDefault="001F2D1F" w:rsidP="008303DC">
      <w:pPr>
        <w:pStyle w:val="ListBullet"/>
        <w:rPr>
          <w:lang w:eastAsia="en-AU"/>
        </w:rPr>
      </w:pPr>
      <w:r>
        <w:rPr>
          <w:lang w:eastAsia="en-AU"/>
        </w:rPr>
        <w:lastRenderedPageBreak/>
        <w:t>Prescribers and pharmacists will be advised, by the sponsor, in writing, that a tablet formulation of olaparib will be available. The differences in dose and strength of Lynparza tablets and capsules require that Lynparza tablets be listed on the Pharmaceutical Benefits Scheme (PBS) under different PBS item codes to those of Lynparza capsules. Also, Lynparza is listed on the PBS as an Authority Required restricted benefit. This differentiated and restricted PBS listing arrangement will serve to avoid both prescribing and dispensing errors.</w:t>
      </w:r>
    </w:p>
    <w:p w14:paraId="2802E415" w14:textId="77777777" w:rsidR="001F2D1F" w:rsidRPr="0088310B" w:rsidRDefault="001F2D1F" w:rsidP="001F2D1F">
      <w:pPr>
        <w:pStyle w:val="Heading4"/>
        <w:rPr>
          <w:lang w:eastAsia="en-AU"/>
        </w:rPr>
      </w:pPr>
      <w:bookmarkStart w:id="253" w:name="_Toc2595172"/>
      <w:r w:rsidRPr="0088310B">
        <w:rPr>
          <w:lang w:eastAsia="en-AU"/>
        </w:rPr>
        <w:t>Post-marketing</w:t>
      </w:r>
      <w:r>
        <w:rPr>
          <w:lang w:eastAsia="en-AU"/>
        </w:rPr>
        <w:t xml:space="preserve"> studies</w:t>
      </w:r>
      <w:bookmarkEnd w:id="253"/>
    </w:p>
    <w:p w14:paraId="11F4D1D3" w14:textId="77777777" w:rsidR="001F2D1F" w:rsidRDefault="001F2D1F" w:rsidP="001F2D1F">
      <w:pPr>
        <w:rPr>
          <w:lang w:eastAsia="en-AU"/>
        </w:rPr>
      </w:pPr>
      <w:r>
        <w:rPr>
          <w:lang w:eastAsia="en-AU"/>
        </w:rPr>
        <w:t>Post-marketing commitments (n</w:t>
      </w:r>
      <w:r w:rsidR="00DE43A1">
        <w:rPr>
          <w:lang w:eastAsia="en-AU"/>
        </w:rPr>
        <w:t xml:space="preserve"> </w:t>
      </w:r>
      <w:r>
        <w:rPr>
          <w:lang w:eastAsia="en-AU"/>
        </w:rPr>
        <w:t>=</w:t>
      </w:r>
      <w:r w:rsidR="00DE43A1">
        <w:rPr>
          <w:lang w:eastAsia="en-AU"/>
        </w:rPr>
        <w:t xml:space="preserve"> </w:t>
      </w:r>
      <w:r>
        <w:rPr>
          <w:lang w:eastAsia="en-AU"/>
        </w:rPr>
        <w:t>3) in US:</w:t>
      </w:r>
    </w:p>
    <w:p w14:paraId="7822371C" w14:textId="5A346E1B" w:rsidR="001F2D1F" w:rsidRDefault="001F2D1F" w:rsidP="00DE43A1">
      <w:pPr>
        <w:pStyle w:val="ListBullet"/>
        <w:rPr>
          <w:lang w:eastAsia="en-AU"/>
        </w:rPr>
      </w:pPr>
      <w:r>
        <w:rPr>
          <w:lang w:eastAsia="en-AU"/>
        </w:rPr>
        <w:t>S</w:t>
      </w:r>
      <w:r w:rsidR="00DE43A1">
        <w:rPr>
          <w:lang w:eastAsia="en-AU"/>
        </w:rPr>
        <w:t>OLO</w:t>
      </w:r>
      <w:r w:rsidR="004D18B7">
        <w:rPr>
          <w:lang w:eastAsia="en-AU"/>
        </w:rPr>
        <w:t>-</w:t>
      </w:r>
      <w:r w:rsidR="00DE43A1">
        <w:rPr>
          <w:lang w:eastAsia="en-AU"/>
        </w:rPr>
        <w:t>3</w:t>
      </w:r>
      <w:r w:rsidR="004D18B7">
        <w:rPr>
          <w:lang w:eastAsia="en-AU"/>
        </w:rPr>
        <w:t xml:space="preserve"> trial</w:t>
      </w:r>
      <w:r w:rsidR="00DE43A1">
        <w:rPr>
          <w:lang w:eastAsia="en-AU"/>
        </w:rPr>
        <w:t xml:space="preserve">: olaparib versus physician </w:t>
      </w:r>
      <w:r>
        <w:rPr>
          <w:lang w:eastAsia="en-AU"/>
        </w:rPr>
        <w:t>cho</w:t>
      </w:r>
      <w:r w:rsidR="00DE43A1">
        <w:rPr>
          <w:lang w:eastAsia="en-AU"/>
        </w:rPr>
        <w:t>ice of single agent chemo for third line</w:t>
      </w:r>
      <w:r>
        <w:rPr>
          <w:lang w:eastAsia="en-AU"/>
        </w:rPr>
        <w:t xml:space="preserve"> treatment of women with p</w:t>
      </w:r>
      <w:r w:rsidR="00DE43A1">
        <w:rPr>
          <w:lang w:eastAsia="en-AU"/>
        </w:rPr>
        <w:t xml:space="preserve">latinum-sensitive relapsed </w:t>
      </w:r>
      <w:r w:rsidR="00DE43A1">
        <w:t>g</w:t>
      </w:r>
      <w:r w:rsidR="00DE43A1" w:rsidRPr="00A06953">
        <w:t>ermline BRCA mutat</w:t>
      </w:r>
      <w:r w:rsidR="00DE43A1">
        <w:t>ed</w:t>
      </w:r>
      <w:r>
        <w:rPr>
          <w:lang w:eastAsia="en-AU"/>
        </w:rPr>
        <w:t xml:space="preserve"> ovarian cancer</w:t>
      </w:r>
      <w:r w:rsidR="001C6AFA">
        <w:rPr>
          <w:lang w:eastAsia="en-AU"/>
        </w:rPr>
        <w:t>.</w:t>
      </w:r>
    </w:p>
    <w:p w14:paraId="53A9147F" w14:textId="73BB2FA4" w:rsidR="001F2D1F" w:rsidRDefault="00DE43A1" w:rsidP="00DE43A1">
      <w:pPr>
        <w:pStyle w:val="ListBullet"/>
        <w:rPr>
          <w:lang w:eastAsia="en-AU"/>
        </w:rPr>
      </w:pPr>
      <w:r>
        <w:rPr>
          <w:lang w:eastAsia="en-AU"/>
        </w:rPr>
        <w:t xml:space="preserve">Final OS report for </w:t>
      </w:r>
      <w:r w:rsidR="00205AC8">
        <w:rPr>
          <w:lang w:eastAsia="en-AU"/>
        </w:rPr>
        <w:t>SOLO-2</w:t>
      </w:r>
      <w:r>
        <w:rPr>
          <w:lang w:eastAsia="en-AU"/>
        </w:rPr>
        <w:t xml:space="preserve"> due </w:t>
      </w:r>
      <w:r w:rsidR="004D18B7">
        <w:rPr>
          <w:lang w:eastAsia="en-AU"/>
        </w:rPr>
        <w:t>in the second quarter</w:t>
      </w:r>
      <w:r>
        <w:rPr>
          <w:lang w:eastAsia="en-AU"/>
        </w:rPr>
        <w:t xml:space="preserve"> of</w:t>
      </w:r>
      <w:r w:rsidR="001F2D1F">
        <w:rPr>
          <w:lang w:eastAsia="en-AU"/>
        </w:rPr>
        <w:t xml:space="preserve"> 2020</w:t>
      </w:r>
      <w:r w:rsidR="001C6AFA">
        <w:rPr>
          <w:lang w:eastAsia="en-AU"/>
        </w:rPr>
        <w:t>.</w:t>
      </w:r>
    </w:p>
    <w:p w14:paraId="18843890" w14:textId="77777777" w:rsidR="001F2D1F" w:rsidRDefault="001F2D1F" w:rsidP="00DE43A1">
      <w:pPr>
        <w:pStyle w:val="ListBullet"/>
        <w:rPr>
          <w:lang w:eastAsia="en-AU"/>
        </w:rPr>
      </w:pPr>
      <w:r>
        <w:rPr>
          <w:lang w:eastAsia="en-AU"/>
        </w:rPr>
        <w:t>OPINION trial: maintenance olaparib treatment in women with g</w:t>
      </w:r>
      <w:r w:rsidR="00F960D8">
        <w:rPr>
          <w:lang w:eastAsia="en-AU"/>
        </w:rPr>
        <w:t xml:space="preserve">ermline </w:t>
      </w:r>
      <w:r w:rsidR="00DE43A1">
        <w:rPr>
          <w:lang w:eastAsia="en-AU"/>
        </w:rPr>
        <w:t>BRCA wild</w:t>
      </w:r>
      <w:r>
        <w:rPr>
          <w:lang w:eastAsia="en-AU"/>
        </w:rPr>
        <w:t>type relapsed ovarian cancer.</w:t>
      </w:r>
    </w:p>
    <w:p w14:paraId="237A996C" w14:textId="4687407C" w:rsidR="008E7846" w:rsidRDefault="001F2D1F" w:rsidP="008E7846">
      <w:pPr>
        <w:rPr>
          <w:lang w:eastAsia="en-AU"/>
        </w:rPr>
      </w:pPr>
      <w:r>
        <w:rPr>
          <w:lang w:eastAsia="en-AU"/>
        </w:rPr>
        <w:t>The OPINIO</w:t>
      </w:r>
      <w:r w:rsidR="00E43D9C">
        <w:rPr>
          <w:lang w:eastAsia="en-AU"/>
        </w:rPr>
        <w:t xml:space="preserve">N </w:t>
      </w:r>
      <w:r w:rsidR="004D18B7">
        <w:rPr>
          <w:lang w:eastAsia="en-AU"/>
        </w:rPr>
        <w:t xml:space="preserve">trial </w:t>
      </w:r>
      <w:r w:rsidR="00DE43A1">
        <w:rPr>
          <w:lang w:eastAsia="en-AU"/>
        </w:rPr>
        <w:t xml:space="preserve">is a Phase IIIb, single arm, open </w:t>
      </w:r>
      <w:r>
        <w:rPr>
          <w:lang w:eastAsia="en-AU"/>
        </w:rPr>
        <w:t>label, multicentre study to assess th</w:t>
      </w:r>
      <w:r w:rsidR="00DE43A1">
        <w:rPr>
          <w:lang w:eastAsia="en-AU"/>
        </w:rPr>
        <w:t xml:space="preserve">e efficacy and safety of single </w:t>
      </w:r>
      <w:r>
        <w:rPr>
          <w:lang w:eastAsia="en-AU"/>
        </w:rPr>
        <w:t>agent olaparib as a maintenance treatmen</w:t>
      </w:r>
      <w:r w:rsidR="00DE43A1">
        <w:rPr>
          <w:lang w:eastAsia="en-AU"/>
        </w:rPr>
        <w:t xml:space="preserve">t in patients with </w:t>
      </w:r>
      <w:r w:rsidR="001C6AFA">
        <w:rPr>
          <w:lang w:eastAsia="en-AU"/>
        </w:rPr>
        <w:t>r</w:t>
      </w:r>
      <w:r w:rsidR="00DE43A1">
        <w:rPr>
          <w:lang w:eastAsia="en-AU"/>
        </w:rPr>
        <w:t xml:space="preserve">elapsed high </w:t>
      </w:r>
      <w:r>
        <w:rPr>
          <w:lang w:eastAsia="en-AU"/>
        </w:rPr>
        <w:t>grade serous ovarian cancer or high-grade endometrioid cancer (including patients with primary peritoneal and/or fallopian tube cancer) who do not have known deleterious or suspected deleterious germline BRCA mutations (non-</w:t>
      </w:r>
      <w:r w:rsidR="00DE43A1">
        <w:rPr>
          <w:lang w:eastAsia="en-AU"/>
        </w:rPr>
        <w:t>germline BRCA mutant</w:t>
      </w:r>
      <w:r>
        <w:rPr>
          <w:lang w:eastAsia="en-AU"/>
        </w:rPr>
        <w:t>) and who h</w:t>
      </w:r>
      <w:r w:rsidR="00DE43A1">
        <w:rPr>
          <w:lang w:eastAsia="en-AU"/>
        </w:rPr>
        <w:t xml:space="preserve">ad responded following platinum </w:t>
      </w:r>
      <w:r>
        <w:rPr>
          <w:lang w:eastAsia="en-AU"/>
        </w:rPr>
        <w:t xml:space="preserve">based chemotherapy. The primary endpoint is PFS based on investigator recorded assessments according to modified RECIST v1.1. Secondary endpoints include assessment of PFS according to tumour </w:t>
      </w:r>
      <w:r w:rsidR="00DE43A1">
        <w:rPr>
          <w:lang w:eastAsia="en-AU"/>
        </w:rPr>
        <w:t>h</w:t>
      </w:r>
      <w:r w:rsidR="00DE43A1" w:rsidRPr="00DE43A1">
        <w:rPr>
          <w:lang w:eastAsia="en-AU"/>
        </w:rPr>
        <w:t>omologous recombination deficiency</w:t>
      </w:r>
      <w:r w:rsidR="00DE43A1">
        <w:rPr>
          <w:lang w:eastAsia="en-AU"/>
        </w:rPr>
        <w:t xml:space="preserve"> (</w:t>
      </w:r>
      <w:r>
        <w:rPr>
          <w:lang w:eastAsia="en-AU"/>
        </w:rPr>
        <w:t>HRD</w:t>
      </w:r>
      <w:r w:rsidR="00DE43A1">
        <w:rPr>
          <w:lang w:eastAsia="en-AU"/>
        </w:rPr>
        <w:t>)</w:t>
      </w:r>
      <w:r>
        <w:rPr>
          <w:lang w:eastAsia="en-AU"/>
        </w:rPr>
        <w:t xml:space="preserve"> status as determined by the MyriadMyChoice HRD test, assessment of time to fir</w:t>
      </w:r>
      <w:r w:rsidR="00DE43A1">
        <w:rPr>
          <w:lang w:eastAsia="en-AU"/>
        </w:rPr>
        <w:t>st subsequent therapy or death</w:t>
      </w:r>
      <w:r>
        <w:rPr>
          <w:lang w:eastAsia="en-AU"/>
        </w:rPr>
        <w:t>, time to treatmen</w:t>
      </w:r>
      <w:r w:rsidR="00DE43A1">
        <w:rPr>
          <w:lang w:eastAsia="en-AU"/>
        </w:rPr>
        <w:t>t discontinuation or death</w:t>
      </w:r>
      <w:r>
        <w:rPr>
          <w:lang w:eastAsia="en-AU"/>
        </w:rPr>
        <w:t>, the ch</w:t>
      </w:r>
      <w:r w:rsidR="00DE43A1">
        <w:rPr>
          <w:lang w:eastAsia="en-AU"/>
        </w:rPr>
        <w:t>emotherapy-free interval</w:t>
      </w:r>
      <w:r>
        <w:rPr>
          <w:lang w:eastAsia="en-AU"/>
        </w:rPr>
        <w:t xml:space="preserve"> and </w:t>
      </w:r>
      <w:r w:rsidR="00A67620">
        <w:rPr>
          <w:lang w:eastAsia="en-AU"/>
        </w:rPr>
        <w:t xml:space="preserve">health-related </w:t>
      </w:r>
      <w:r>
        <w:rPr>
          <w:lang w:eastAsia="en-AU"/>
        </w:rPr>
        <w:t>QoL.</w:t>
      </w:r>
    </w:p>
    <w:p w14:paraId="315C850C" w14:textId="77777777" w:rsidR="008E7846" w:rsidRDefault="00AA0ED0" w:rsidP="008E7846">
      <w:pPr>
        <w:pStyle w:val="Heading3"/>
      </w:pPr>
      <w:bookmarkStart w:id="254" w:name="_Toc247691531"/>
      <w:bookmarkStart w:id="255" w:name="_Toc314842515"/>
      <w:bookmarkStart w:id="256" w:name="_Toc196046505"/>
      <w:bookmarkStart w:id="257" w:name="_Toc196046949"/>
      <w:bookmarkStart w:id="258" w:name="_Toc23326226"/>
      <w:r>
        <w:t>Risk-benefit a</w:t>
      </w:r>
      <w:r w:rsidR="008E7846">
        <w:t>nalysis</w:t>
      </w:r>
      <w:bookmarkEnd w:id="254"/>
      <w:bookmarkEnd w:id="255"/>
      <w:bookmarkEnd w:id="258"/>
    </w:p>
    <w:p w14:paraId="4568FBC5" w14:textId="77777777" w:rsidR="00D23139" w:rsidRDefault="00EE2122" w:rsidP="00D23139">
      <w:pPr>
        <w:pStyle w:val="Heading4"/>
      </w:pPr>
      <w:r>
        <w:t>Delegate’s considerations</w:t>
      </w:r>
    </w:p>
    <w:p w14:paraId="678F894F" w14:textId="77777777" w:rsidR="001F2D1F" w:rsidRDefault="001F2D1F" w:rsidP="001F2D1F">
      <w:pPr>
        <w:pStyle w:val="Heading5"/>
      </w:pPr>
      <w:r>
        <w:t>Summary</w:t>
      </w:r>
    </w:p>
    <w:p w14:paraId="08938640" w14:textId="77777777" w:rsidR="001F2D1F" w:rsidRPr="0080523B" w:rsidRDefault="001F2D1F" w:rsidP="00DE43A1">
      <w:pPr>
        <w:pStyle w:val="Heading6"/>
      </w:pPr>
      <w:r>
        <w:t>T</w:t>
      </w:r>
      <w:r w:rsidRPr="0080523B">
        <w:t>ablet formulation</w:t>
      </w:r>
    </w:p>
    <w:p w14:paraId="1E9203F8" w14:textId="562E1143" w:rsidR="001F2D1F" w:rsidRPr="0080523B" w:rsidRDefault="004D18B7" w:rsidP="00DE43A1">
      <w:r>
        <w:t xml:space="preserve">The </w:t>
      </w:r>
      <w:r w:rsidR="00205AC8">
        <w:t>SOLO-2</w:t>
      </w:r>
      <w:r>
        <w:t xml:space="preserve"> trial</w:t>
      </w:r>
      <w:r w:rsidR="001F2D1F" w:rsidRPr="0080523B">
        <w:t xml:space="preserve"> (</w:t>
      </w:r>
      <w:r>
        <w:t xml:space="preserve">a </w:t>
      </w:r>
      <w:r w:rsidR="001F2D1F">
        <w:t>Phase III</w:t>
      </w:r>
      <w:r>
        <w:t xml:space="preserve"> study</w:t>
      </w:r>
      <w:r w:rsidR="001F2D1F" w:rsidRPr="0080523B">
        <w:t xml:space="preserve">) has established the safety and efficacy of the tablet formulation. It is not unusual for capsules to be used in </w:t>
      </w:r>
      <w:r w:rsidR="001F2D1F">
        <w:t>Phase I</w:t>
      </w:r>
      <w:r w:rsidR="00DE43A1">
        <w:t>/II</w:t>
      </w:r>
      <w:r w:rsidR="001F2D1F" w:rsidRPr="0080523B">
        <w:t xml:space="preserve"> studies and for a final tablet formulation to be tested in </w:t>
      </w:r>
      <w:r w:rsidR="001F2D1F">
        <w:t>Phase III</w:t>
      </w:r>
      <w:r w:rsidR="001F2D1F" w:rsidRPr="0080523B">
        <w:t>. The sponsor has proposed a series of risk mitigation measures during the transition from capsules to tablets.</w:t>
      </w:r>
    </w:p>
    <w:p w14:paraId="62AEF5D7" w14:textId="77777777" w:rsidR="001F2D1F" w:rsidRPr="0080523B" w:rsidRDefault="001F2D1F" w:rsidP="00DE43A1">
      <w:pPr>
        <w:pStyle w:val="Heading6"/>
      </w:pPr>
      <w:r>
        <w:t>E</w:t>
      </w:r>
      <w:r w:rsidRPr="0080523B">
        <w:t>xtension of indications</w:t>
      </w:r>
    </w:p>
    <w:p w14:paraId="6D1A3483" w14:textId="77777777" w:rsidR="001F2D1F" w:rsidRPr="0080523B" w:rsidRDefault="001F2D1F" w:rsidP="00DE43A1">
      <w:r w:rsidRPr="0080523B">
        <w:t>The initial approval of olaparib for ovarian cancer (in the EU and Australia) was based on a retrosp</w:t>
      </w:r>
      <w:r w:rsidR="00DE43A1">
        <w:t>ectively defined subgroup (BRCA mutant</w:t>
      </w:r>
      <w:r w:rsidRPr="0080523B">
        <w:t xml:space="preserve">) from the </w:t>
      </w:r>
      <w:r>
        <w:t>Phase II</w:t>
      </w:r>
      <w:r w:rsidR="00DE43A1">
        <w:t xml:space="preserve"> all </w:t>
      </w:r>
      <w:r w:rsidRPr="0080523B">
        <w:t>comers trial (</w:t>
      </w:r>
      <w:r w:rsidR="001F00F8">
        <w:t>Study 19</w:t>
      </w:r>
      <w:r w:rsidR="00DE43A1">
        <w:t xml:space="preserve">). The pre </w:t>
      </w:r>
      <w:r w:rsidRPr="0080523B">
        <w:t>specified primary endpoint was PFS. At that time, data on OS were not mature.</w:t>
      </w:r>
    </w:p>
    <w:p w14:paraId="215D65A6" w14:textId="77777777" w:rsidR="001F2D1F" w:rsidRPr="0080523B" w:rsidRDefault="001F2D1F" w:rsidP="00DE43A1">
      <w:r w:rsidRPr="0080523B">
        <w:t>This current submission includes d</w:t>
      </w:r>
      <w:r w:rsidR="00DE43A1">
        <w:t>ata on OS, with about 6 years follow up</w:t>
      </w:r>
      <w:r w:rsidRPr="0080523B">
        <w:t>. The mature OS results provide reassurance that there was no detrimental effect of maintenance olaparib on OS and that there probabl</w:t>
      </w:r>
      <w:r>
        <w:t>y was probably a benefit on OS</w:t>
      </w:r>
      <w:r w:rsidRPr="0080523B">
        <w:t>.</w:t>
      </w:r>
    </w:p>
    <w:p w14:paraId="1711660D" w14:textId="77777777" w:rsidR="001F2D1F" w:rsidRDefault="001F2D1F" w:rsidP="00DE43A1">
      <w:r w:rsidRPr="0080523B">
        <w:t>The key question for this submission is whether the indication should be extended to women withou</w:t>
      </w:r>
      <w:r>
        <w:t>t a BRCA mutation; that is</w:t>
      </w:r>
      <w:r w:rsidR="00DE43A1">
        <w:t xml:space="preserve"> BRCA wildtype</w:t>
      </w:r>
      <w:r w:rsidRPr="0080523B">
        <w:t xml:space="preserve">. A subgroup analysis from </w:t>
      </w:r>
      <w:r w:rsidR="00EE2122">
        <w:lastRenderedPageBreak/>
        <w:t>Study </w:t>
      </w:r>
      <w:r w:rsidR="001F00F8">
        <w:t>19</w:t>
      </w:r>
      <w:r w:rsidRPr="0080523B">
        <w:t xml:space="preserve">, suggests that some </w:t>
      </w:r>
      <w:r w:rsidR="00DE43A1">
        <w:t>BRCA wildtype</w:t>
      </w:r>
      <w:r w:rsidRPr="0080523B">
        <w:t xml:space="preserve"> women may benefit; although it is not currently possible to identify which ones;</w:t>
      </w:r>
      <w:r>
        <w:t xml:space="preserve"> for example</w:t>
      </w:r>
      <w:r w:rsidRPr="0080523B">
        <w:t xml:space="preserve"> women with other </w:t>
      </w:r>
      <w:r w:rsidR="00DE43A1">
        <w:t>HRD</w:t>
      </w:r>
      <w:r w:rsidRPr="0080523B">
        <w:t>.</w:t>
      </w:r>
    </w:p>
    <w:p w14:paraId="1184C4E9" w14:textId="77777777" w:rsidR="001F2D1F" w:rsidRDefault="001F2D1F" w:rsidP="001F2D1F">
      <w:pPr>
        <w:pStyle w:val="Heading5"/>
      </w:pPr>
      <w:r>
        <w:t>Benefit-risk summary</w:t>
      </w:r>
    </w:p>
    <w:p w14:paraId="2D82DD5C" w14:textId="77777777" w:rsidR="001F2D1F" w:rsidRPr="00FE5662" w:rsidRDefault="001F2D1F" w:rsidP="001F2D1F">
      <w:pPr>
        <w:pStyle w:val="Heading6"/>
        <w:rPr>
          <w:sz w:val="21"/>
        </w:rPr>
      </w:pPr>
      <w:r w:rsidRPr="00C105D7">
        <w:t>Benefits and associated uncertainties</w:t>
      </w:r>
    </w:p>
    <w:p w14:paraId="1072ED8A" w14:textId="77777777" w:rsidR="001F2D1F" w:rsidRPr="00FE5662" w:rsidRDefault="001F00F8" w:rsidP="001F2D1F">
      <w:pPr>
        <w:pStyle w:val="Heading7"/>
        <w:rPr>
          <w:b/>
        </w:rPr>
      </w:pPr>
      <w:r>
        <w:rPr>
          <w:b/>
        </w:rPr>
        <w:t>Study 19</w:t>
      </w:r>
    </w:p>
    <w:p w14:paraId="240F75D1" w14:textId="77777777" w:rsidR="001F2D1F" w:rsidRPr="00FE5662" w:rsidRDefault="001F2D1F" w:rsidP="001F2D1F">
      <w:r w:rsidRPr="00FE5662">
        <w:t xml:space="preserve">The </w:t>
      </w:r>
      <w:r>
        <w:t>Phase II</w:t>
      </w:r>
      <w:r w:rsidRPr="00FE5662">
        <w:t xml:space="preserve"> trial, </w:t>
      </w:r>
      <w:r w:rsidR="001F00F8">
        <w:t>Study 19</w:t>
      </w:r>
      <w:r w:rsidRPr="00FE5662">
        <w:t xml:space="preserve"> (olaparib n</w:t>
      </w:r>
      <w:r w:rsidR="000A126F">
        <w:t xml:space="preserve"> </w:t>
      </w:r>
      <w:r w:rsidRPr="00FE5662">
        <w:t>=</w:t>
      </w:r>
      <w:r w:rsidR="000A126F">
        <w:t xml:space="preserve"> </w:t>
      </w:r>
      <w:r w:rsidRPr="00FE5662">
        <w:t>136; placebo n</w:t>
      </w:r>
      <w:r w:rsidR="000A126F">
        <w:t xml:space="preserve"> </w:t>
      </w:r>
      <w:r w:rsidRPr="00FE5662">
        <w:t>=</w:t>
      </w:r>
      <w:r w:rsidR="000A126F">
        <w:t xml:space="preserve"> </w:t>
      </w:r>
      <w:r w:rsidRPr="00FE5662">
        <w:t xml:space="preserve">129) reported a benefit on the </w:t>
      </w:r>
      <w:r w:rsidR="000A126F">
        <w:t>intention to treat</w:t>
      </w:r>
      <w:r w:rsidRPr="00FE5662">
        <w:t xml:space="preserve"> analysis for the primary endpoint of PFS (investigator assessed) for all-comers (</w:t>
      </w:r>
      <w:r>
        <w:t>that is</w:t>
      </w:r>
      <w:r w:rsidR="000A126F">
        <w:t xml:space="preserve">, BRCA </w:t>
      </w:r>
      <w:r w:rsidRPr="00FE5662">
        <w:t>agnostic). Larger benefits were repor</w:t>
      </w:r>
      <w:r w:rsidR="000A126F">
        <w:t xml:space="preserve">ted for the BRCA </w:t>
      </w:r>
      <w:r w:rsidRPr="00FE5662">
        <w:t>mutation (germline and somatic) group. There also appeared to be a b</w:t>
      </w:r>
      <w:r w:rsidR="00A55817">
        <w:t xml:space="preserve">enefit (albeit smaller) in the </w:t>
      </w:r>
      <w:r w:rsidR="000A126F">
        <w:t>BRCA wildtype</w:t>
      </w:r>
      <w:r w:rsidR="000A126F" w:rsidRPr="00FE5662">
        <w:t xml:space="preserve"> </w:t>
      </w:r>
      <w:r w:rsidRPr="00FE5662">
        <w:t>group.</w:t>
      </w:r>
    </w:p>
    <w:p w14:paraId="00278CA0" w14:textId="77777777" w:rsidR="001F2D1F" w:rsidRPr="00C105D7" w:rsidRDefault="001F2D1F" w:rsidP="000A126F">
      <w:pPr>
        <w:pStyle w:val="ListBullet"/>
      </w:pPr>
      <w:r w:rsidRPr="00C105D7">
        <w:t>All-comers (</w:t>
      </w:r>
      <w:r>
        <w:t>that is</w:t>
      </w:r>
      <w:r w:rsidRPr="00C105D7">
        <w:t xml:space="preserve">, </w:t>
      </w:r>
      <w:r w:rsidR="000A126F">
        <w:t>intention to treat</w:t>
      </w:r>
      <w:r w:rsidRPr="00C105D7">
        <w:t>, BRCA agnostic): HR</w:t>
      </w:r>
      <w:r w:rsidR="000A126F">
        <w:t xml:space="preserve"> </w:t>
      </w:r>
      <w:r w:rsidRPr="00C105D7">
        <w:t>(PFS)</w:t>
      </w:r>
      <w:r w:rsidR="000A126F">
        <w:t xml:space="preserve"> </w:t>
      </w:r>
      <w:r w:rsidRPr="00C105D7">
        <w:t>=</w:t>
      </w:r>
      <w:r w:rsidR="000A126F">
        <w:t xml:space="preserve"> </w:t>
      </w:r>
      <w:r w:rsidRPr="00C105D7">
        <w:t xml:space="preserve">0.35 (0.25, 0.49); gain in </w:t>
      </w:r>
      <w:r w:rsidR="000A126F">
        <w:t xml:space="preserve">median </w:t>
      </w:r>
      <w:r w:rsidRPr="00C105D7">
        <w:t>(PFS)</w:t>
      </w:r>
      <w:r w:rsidR="000A126F">
        <w:t> </w:t>
      </w:r>
      <w:r w:rsidRPr="00C105D7">
        <w:t>=</w:t>
      </w:r>
      <w:r w:rsidR="000A126F">
        <w:t xml:space="preserve"> </w:t>
      </w:r>
      <w:r w:rsidRPr="00C105D7">
        <w:t>3.6 months</w:t>
      </w:r>
      <w:r w:rsidR="000A126F">
        <w:t>.</w:t>
      </w:r>
    </w:p>
    <w:p w14:paraId="084A845C" w14:textId="77777777" w:rsidR="001F2D1F" w:rsidRPr="00C105D7" w:rsidRDefault="001F2D1F" w:rsidP="000A126F">
      <w:pPr>
        <w:pStyle w:val="ListBullet"/>
      </w:pPr>
      <w:r w:rsidRPr="00C105D7">
        <w:t>BRCA mutation: HR</w:t>
      </w:r>
      <w:r w:rsidR="000A126F">
        <w:t xml:space="preserve"> </w:t>
      </w:r>
      <w:r w:rsidRPr="00C105D7">
        <w:t>(PFS)</w:t>
      </w:r>
      <w:r w:rsidR="000A126F">
        <w:t xml:space="preserve"> = 0.18 (0.10, 0.31); gain in median </w:t>
      </w:r>
      <w:r w:rsidRPr="00C105D7">
        <w:t>(PFS)</w:t>
      </w:r>
      <w:r w:rsidR="000A126F">
        <w:t xml:space="preserve"> </w:t>
      </w:r>
      <w:r w:rsidRPr="00C105D7">
        <w:t>=</w:t>
      </w:r>
      <w:r w:rsidR="000A126F">
        <w:t xml:space="preserve"> </w:t>
      </w:r>
      <w:r w:rsidRPr="00C105D7">
        <w:t>7.1 months</w:t>
      </w:r>
      <w:r w:rsidR="000A126F">
        <w:t>.</w:t>
      </w:r>
    </w:p>
    <w:p w14:paraId="2DC473AC" w14:textId="77777777" w:rsidR="001F2D1F" w:rsidRPr="00C105D7" w:rsidRDefault="000A126F" w:rsidP="000A126F">
      <w:pPr>
        <w:pStyle w:val="ListBullet"/>
      </w:pPr>
      <w:r>
        <w:t>BRCA wildtype</w:t>
      </w:r>
      <w:r w:rsidR="001F2D1F" w:rsidRPr="00C105D7">
        <w:t>: HR</w:t>
      </w:r>
      <w:r>
        <w:t xml:space="preserve"> </w:t>
      </w:r>
      <w:r w:rsidR="001F2D1F" w:rsidRPr="00C105D7">
        <w:t>(PF</w:t>
      </w:r>
      <w:r>
        <w:t xml:space="preserve">S) = 0.54 (0.34, 0.85); gain in median </w:t>
      </w:r>
      <w:r w:rsidR="001F2D1F" w:rsidRPr="00C105D7">
        <w:t>(PFS)</w:t>
      </w:r>
      <w:r>
        <w:t xml:space="preserve"> </w:t>
      </w:r>
      <w:r w:rsidR="001F2D1F" w:rsidRPr="00C105D7">
        <w:t>=</w:t>
      </w:r>
      <w:r>
        <w:t xml:space="preserve"> </w:t>
      </w:r>
      <w:r w:rsidR="001F2D1F" w:rsidRPr="00C105D7">
        <w:t>1.9 months</w:t>
      </w:r>
      <w:r>
        <w:t>.</w:t>
      </w:r>
    </w:p>
    <w:p w14:paraId="649662D1" w14:textId="77777777" w:rsidR="00CA1EAE" w:rsidRDefault="001F2D1F" w:rsidP="000A126F">
      <w:r w:rsidRPr="00FE5662">
        <w:t>The results for the secon</w:t>
      </w:r>
      <w:r w:rsidR="00DE43A1">
        <w:t>dary endpoint of OS (~</w:t>
      </w:r>
      <w:r w:rsidR="000A126F">
        <w:t xml:space="preserve"> </w:t>
      </w:r>
      <w:r w:rsidR="00DE43A1">
        <w:t>6 years follow up</w:t>
      </w:r>
      <w:r w:rsidRPr="00FE5662">
        <w:t xml:space="preserve">) provided reassurance that there was no detrimental effect of olaparib on OS and that there probably was probably a benefit on OS. (Interpretation of OS for recurrent ovarian cancer is problematic because of possible confounding </w:t>
      </w:r>
      <w:r w:rsidR="000A126F">
        <w:t xml:space="preserve">due to differential use of post </w:t>
      </w:r>
      <w:r w:rsidRPr="00FE5662">
        <w:t>discontin</w:t>
      </w:r>
      <w:r w:rsidR="000A126F">
        <w:t xml:space="preserve">uation treatments and long post </w:t>
      </w:r>
      <w:r w:rsidRPr="00FE5662">
        <w:t>progression survival)</w:t>
      </w:r>
      <w:r w:rsidR="00CA1EAE">
        <w:t>.</w:t>
      </w:r>
    </w:p>
    <w:p w14:paraId="7859D89B" w14:textId="77777777" w:rsidR="001F2D1F" w:rsidRPr="00FE5662" w:rsidRDefault="001F2D1F" w:rsidP="000A126F">
      <w:pPr>
        <w:pStyle w:val="ListBullet"/>
      </w:pPr>
      <w:r w:rsidRPr="00FE5662">
        <w:t>All-comers (</w:t>
      </w:r>
      <w:r>
        <w:t>that is</w:t>
      </w:r>
      <w:r w:rsidRPr="00FE5662">
        <w:t xml:space="preserve">, </w:t>
      </w:r>
      <w:r w:rsidR="000A126F">
        <w:t>intention to treat</w:t>
      </w:r>
      <w:r w:rsidRPr="00FE5662">
        <w:t>, BRCA agnostic): HR</w:t>
      </w:r>
      <w:r w:rsidR="000A126F">
        <w:t xml:space="preserve"> </w:t>
      </w:r>
      <w:r w:rsidRPr="00FE5662">
        <w:t>(OS)</w:t>
      </w:r>
      <w:r w:rsidR="000A126F">
        <w:t xml:space="preserve"> </w:t>
      </w:r>
      <w:r w:rsidRPr="00FE5662">
        <w:t>=</w:t>
      </w:r>
      <w:r w:rsidR="000A126F">
        <w:t xml:space="preserve"> 0.73.</w:t>
      </w:r>
    </w:p>
    <w:p w14:paraId="29D7B163" w14:textId="77777777" w:rsidR="001F2D1F" w:rsidRPr="00FE5662" w:rsidRDefault="000A126F" w:rsidP="000A126F">
      <w:pPr>
        <w:pStyle w:val="ListBullet"/>
      </w:pPr>
      <w:r>
        <w:t>BRCA mutation: HR (OS) = 0.62.</w:t>
      </w:r>
    </w:p>
    <w:p w14:paraId="52BCFF33" w14:textId="77777777" w:rsidR="00CA1EAE" w:rsidRDefault="001F2D1F" w:rsidP="000A126F">
      <w:pPr>
        <w:pStyle w:val="ListBullet"/>
      </w:pPr>
      <w:r w:rsidRPr="00FE5662">
        <w:t>BRCA wild-type: HR</w:t>
      </w:r>
      <w:r w:rsidR="000A126F">
        <w:t xml:space="preserve"> </w:t>
      </w:r>
      <w:r w:rsidRPr="00FE5662">
        <w:t>(OS)</w:t>
      </w:r>
      <w:r w:rsidR="000A126F">
        <w:t xml:space="preserve"> </w:t>
      </w:r>
      <w:r w:rsidRPr="00FE5662">
        <w:t>=</w:t>
      </w:r>
      <w:r w:rsidR="000A126F">
        <w:t xml:space="preserve"> </w:t>
      </w:r>
      <w:r w:rsidRPr="00FE5662">
        <w:t>0.84</w:t>
      </w:r>
      <w:r w:rsidR="00CA1EAE">
        <w:t>.</w:t>
      </w:r>
    </w:p>
    <w:p w14:paraId="3797385F" w14:textId="77777777" w:rsidR="001F2D1F" w:rsidRPr="00FE5662" w:rsidRDefault="001F2D1F" w:rsidP="001F2D1F">
      <w:r w:rsidRPr="00FE5662">
        <w:t>These results should be interpreted cautiously because they are for secondary endpoints, an</w:t>
      </w:r>
      <w:r>
        <w:t>d for subgroups, (from a Phase II</w:t>
      </w:r>
      <w:r w:rsidRPr="00FE5662">
        <w:t xml:space="preserve"> study); CIs and p-values are given, but not provided in this summary because they are subject to statistical multiplicity.</w:t>
      </w:r>
    </w:p>
    <w:p w14:paraId="3F5A5D1E" w14:textId="7E8CABF8" w:rsidR="001F2D1F" w:rsidRPr="00FE5662" w:rsidRDefault="001F2D1F" w:rsidP="001F2D1F">
      <w:r w:rsidRPr="00FE5662">
        <w:t xml:space="preserve">Results for other endpoints from </w:t>
      </w:r>
      <w:r w:rsidR="001F00F8">
        <w:t>Study 19</w:t>
      </w:r>
      <w:r w:rsidRPr="00FE5662">
        <w:t xml:space="preserve">, such as </w:t>
      </w:r>
      <w:r w:rsidR="00A46C84">
        <w:t>‘</w:t>
      </w:r>
      <w:r w:rsidRPr="00FE5662">
        <w:t>time to first subsequent treatment</w:t>
      </w:r>
      <w:r w:rsidR="00A46C84">
        <w:t>’</w:t>
      </w:r>
      <w:r w:rsidRPr="00FE5662">
        <w:t>, were consistent with those for the primary endpoint of PFS.</w:t>
      </w:r>
    </w:p>
    <w:p w14:paraId="08B3221E" w14:textId="663CF3EB" w:rsidR="001F2D1F" w:rsidRPr="00FE5662" w:rsidRDefault="00205AC8" w:rsidP="001F2D1F">
      <w:pPr>
        <w:pStyle w:val="Heading7"/>
        <w:rPr>
          <w:b/>
        </w:rPr>
      </w:pPr>
      <w:r>
        <w:rPr>
          <w:b/>
        </w:rPr>
        <w:t>SOLO-2</w:t>
      </w:r>
      <w:r w:rsidR="004D18B7">
        <w:rPr>
          <w:b/>
        </w:rPr>
        <w:t xml:space="preserve"> trial</w:t>
      </w:r>
    </w:p>
    <w:p w14:paraId="5B3080AF" w14:textId="77777777" w:rsidR="001F2D1F" w:rsidRDefault="001F2D1F" w:rsidP="000A126F">
      <w:r>
        <w:t>The Phase III</w:t>
      </w:r>
      <w:r w:rsidRPr="00FE5662">
        <w:t xml:space="preserve"> trial, </w:t>
      </w:r>
      <w:r w:rsidR="00205AC8">
        <w:t>SOLO-2</w:t>
      </w:r>
      <w:r w:rsidRPr="00FE5662">
        <w:t xml:space="preserve"> (olaparib n</w:t>
      </w:r>
      <w:r w:rsidR="000A126F">
        <w:t xml:space="preserve"> </w:t>
      </w:r>
      <w:r w:rsidRPr="00FE5662">
        <w:t>=</w:t>
      </w:r>
      <w:r w:rsidR="000A126F">
        <w:t xml:space="preserve"> </w:t>
      </w:r>
      <w:r w:rsidRPr="00FE5662">
        <w:t>196; placebo n</w:t>
      </w:r>
      <w:r w:rsidR="000A126F">
        <w:t xml:space="preserve"> </w:t>
      </w:r>
      <w:r w:rsidRPr="00FE5662">
        <w:t>=</w:t>
      </w:r>
      <w:r w:rsidR="000A126F">
        <w:t xml:space="preserve"> </w:t>
      </w:r>
      <w:r w:rsidRPr="00FE5662">
        <w:t>99</w:t>
      </w:r>
      <w:r w:rsidR="000A126F">
        <w:t xml:space="preserve">), which only enrolled germline BRCA </w:t>
      </w:r>
      <w:r w:rsidRPr="00FE5662">
        <w:t>mutation patients, confirmed the benefit on PFS (the pre-specifie</w:t>
      </w:r>
      <w:r w:rsidR="000A126F">
        <w:t>d primary endpoint) in the BRCA mutation</w:t>
      </w:r>
      <w:r w:rsidRPr="00FE5662">
        <w:t xml:space="preserve"> group: HR</w:t>
      </w:r>
      <w:r w:rsidR="000A126F">
        <w:t xml:space="preserve"> </w:t>
      </w:r>
      <w:r w:rsidRPr="00FE5662">
        <w:t>(PFS)</w:t>
      </w:r>
      <w:r w:rsidR="000A126F">
        <w:t xml:space="preserve"> </w:t>
      </w:r>
      <w:r w:rsidRPr="00FE5662">
        <w:t>=</w:t>
      </w:r>
      <w:r w:rsidR="000A126F">
        <w:t xml:space="preserve"> 0.30 (0.22, 0.41); gain in median </w:t>
      </w:r>
      <w:r w:rsidRPr="00FE5662">
        <w:t>(PFS)</w:t>
      </w:r>
      <w:r w:rsidR="000A126F">
        <w:t> </w:t>
      </w:r>
      <w:r w:rsidRPr="00FE5662">
        <w:t>=</w:t>
      </w:r>
      <w:r w:rsidR="000A126F">
        <w:t xml:space="preserve"> </w:t>
      </w:r>
      <w:r w:rsidRPr="00FE5662">
        <w:t>13.6 months. There was also a benefit on the secondary endpoint of time to second progression: HR</w:t>
      </w:r>
      <w:r w:rsidR="000A126F">
        <w:t xml:space="preserve"> </w:t>
      </w:r>
      <w:r w:rsidRPr="00FE5662">
        <w:t>(PFS2)</w:t>
      </w:r>
      <w:r w:rsidR="000A126F">
        <w:t xml:space="preserve"> </w:t>
      </w:r>
      <w:r w:rsidRPr="00FE5662">
        <w:t>=</w:t>
      </w:r>
      <w:r w:rsidR="000A126F">
        <w:t xml:space="preserve"> </w:t>
      </w:r>
      <w:r w:rsidRPr="00FE5662">
        <w:t>0.50. Data OS ar</w:t>
      </w:r>
      <w:r w:rsidR="000A126F">
        <w:t xml:space="preserve">e currently immature (about one </w:t>
      </w:r>
      <w:r w:rsidRPr="00FE5662">
        <w:t>quarter of the women h</w:t>
      </w:r>
      <w:r w:rsidR="00DE43A1">
        <w:t xml:space="preserve">ave died, with </w:t>
      </w:r>
      <w:r w:rsidR="000A126F">
        <w:t xml:space="preserve">nearly 2 </w:t>
      </w:r>
      <w:r w:rsidR="00DE43A1">
        <w:t>years follow up</w:t>
      </w:r>
      <w:r w:rsidRPr="00FE5662">
        <w:t>): HR</w:t>
      </w:r>
      <w:r w:rsidR="000A126F">
        <w:t xml:space="preserve"> </w:t>
      </w:r>
      <w:r w:rsidRPr="00FE5662">
        <w:t>(OS)</w:t>
      </w:r>
      <w:r w:rsidR="000A126F">
        <w:t xml:space="preserve"> </w:t>
      </w:r>
      <w:r w:rsidRPr="00FE5662">
        <w:t>=</w:t>
      </w:r>
      <w:r w:rsidR="000A126F">
        <w:t xml:space="preserve"> </w:t>
      </w:r>
      <w:r w:rsidRPr="00FE5662">
        <w:t>0.80 (0.50, 1.29)</w:t>
      </w:r>
      <w:r>
        <w:t>.</w:t>
      </w:r>
    </w:p>
    <w:p w14:paraId="6EC5A4B8" w14:textId="77777777" w:rsidR="001F2D1F" w:rsidRPr="001E5111" w:rsidRDefault="001F2D1F" w:rsidP="001F2D1F">
      <w:pPr>
        <w:pStyle w:val="Heading6"/>
      </w:pPr>
      <w:r w:rsidRPr="001E5111">
        <w:t>Harms and associated uncertainties</w:t>
      </w:r>
    </w:p>
    <w:p w14:paraId="2F4D1D4F" w14:textId="77777777" w:rsidR="001F2D1F" w:rsidRPr="00C105D7" w:rsidRDefault="001F2D1F" w:rsidP="000A126F">
      <w:r w:rsidRPr="00C105D7">
        <w:t>The most common AEs leading to discontinuation of olaparib treatment were anaemia, thrombocytopenia, neutropenia, nausea/vomiting, and fatigue.</w:t>
      </w:r>
    </w:p>
    <w:p w14:paraId="3C6A19EB" w14:textId="50D2C188" w:rsidR="00CA1EAE" w:rsidRDefault="001F2D1F" w:rsidP="000A126F">
      <w:r w:rsidRPr="00C105D7">
        <w:t xml:space="preserve">Comparing </w:t>
      </w:r>
      <w:r w:rsidR="004D18B7">
        <w:t xml:space="preserve">the </w:t>
      </w:r>
      <w:r w:rsidR="00205AC8">
        <w:t>SOLO-2</w:t>
      </w:r>
      <w:r w:rsidRPr="00C105D7">
        <w:t xml:space="preserve"> </w:t>
      </w:r>
      <w:r w:rsidR="004D18B7">
        <w:t xml:space="preserve">trial </w:t>
      </w:r>
      <w:r w:rsidRPr="00C105D7">
        <w:t xml:space="preserve">(tablets) with </w:t>
      </w:r>
      <w:r w:rsidR="001F00F8">
        <w:t>Study 19</w:t>
      </w:r>
      <w:r w:rsidRPr="00C105D7">
        <w:t xml:space="preserve"> (capsules), there were more discontinuations on olaparib in </w:t>
      </w:r>
      <w:r w:rsidR="00843E41">
        <w:t>S</w:t>
      </w:r>
      <w:r w:rsidR="00205AC8">
        <w:t>OLO-2</w:t>
      </w:r>
      <w:r w:rsidRPr="00C105D7">
        <w:t xml:space="preserve"> (11% versus 4%) and more interruptions (44% versus 30%).</w:t>
      </w:r>
      <w:r w:rsidR="0003324E" w:rsidRPr="0003324E">
        <w:t xml:space="preserve"> </w:t>
      </w:r>
      <w:r w:rsidR="0003324E">
        <w:t>This could be because of the greater bioavailability of the tablet versus the capsule.</w:t>
      </w:r>
    </w:p>
    <w:p w14:paraId="4D712B61" w14:textId="77777777" w:rsidR="00CA1EAE" w:rsidRDefault="001F2D1F" w:rsidP="000A126F">
      <w:r w:rsidRPr="00C105D7">
        <w:t>A known complication of PARP inhibitors (perhaps exacerbated by genetic limitations of DNA repair and prior exposure to cytotoxic chemotherapy) is MDS/AML.</w:t>
      </w:r>
      <w:r w:rsidR="005C4859">
        <w:t xml:space="preserve"> Incidence for patients on PARP inhibitors is about 1 to </w:t>
      </w:r>
      <w:r w:rsidRPr="00C105D7">
        <w:t>2%. The excess risk over the background risk is difficult to determine</w:t>
      </w:r>
      <w:r w:rsidR="005C4859">
        <w:t xml:space="preserve"> because development of therapy </w:t>
      </w:r>
      <w:r w:rsidRPr="00C105D7">
        <w:t xml:space="preserve">related MDS/AML has a median </w:t>
      </w:r>
      <w:r w:rsidRPr="00C105D7">
        <w:lastRenderedPageBreak/>
        <w:t>lat</w:t>
      </w:r>
      <w:r w:rsidR="005C4859">
        <w:t xml:space="preserve">ency of about 5 years; and post </w:t>
      </w:r>
      <w:r w:rsidRPr="00C105D7">
        <w:t>chemotherapy a</w:t>
      </w:r>
      <w:r w:rsidR="005C4859">
        <w:t xml:space="preserve">nd BRCA </w:t>
      </w:r>
      <w:r w:rsidRPr="00C105D7">
        <w:t>mutation patients have a higher background risk</w:t>
      </w:r>
      <w:r w:rsidR="00CA1EAE">
        <w:t>.</w:t>
      </w:r>
    </w:p>
    <w:p w14:paraId="099A0E5F" w14:textId="77777777" w:rsidR="001F2D1F" w:rsidRDefault="001F2D1F" w:rsidP="000A126F">
      <w:r w:rsidRPr="00C105D7">
        <w:t>More recent data on pneumonitis are reassuring, but it should remain as a precaution/warning in the PI.</w:t>
      </w:r>
    </w:p>
    <w:p w14:paraId="7625F5BA" w14:textId="77777777" w:rsidR="001F2D1F" w:rsidRDefault="001F2D1F" w:rsidP="001F2D1F">
      <w:pPr>
        <w:pStyle w:val="Heading6"/>
      </w:pPr>
      <w:r w:rsidRPr="00C105D7">
        <w:t>Risk management</w:t>
      </w:r>
    </w:p>
    <w:p w14:paraId="2950C8A6" w14:textId="77777777" w:rsidR="001F2D1F" w:rsidRPr="00C105D7" w:rsidRDefault="001F2D1F" w:rsidP="005C4859">
      <w:pPr>
        <w:pStyle w:val="ListBullet"/>
      </w:pPr>
      <w:r w:rsidRPr="00C105D7">
        <w:t>Olaparib is intended to be prescribed by oncologists.</w:t>
      </w:r>
    </w:p>
    <w:p w14:paraId="1B2E4752" w14:textId="77777777" w:rsidR="00CA1EAE" w:rsidRDefault="001F2D1F" w:rsidP="005C4859">
      <w:pPr>
        <w:pStyle w:val="ListBullet"/>
      </w:pPr>
      <w:r w:rsidRPr="00C105D7">
        <w:t>Oncologists will be familiar with the identification and management of the toxicities associated with olaparib: anaemia, thrombocytopenia, fatigue, nausea, and vomiting</w:t>
      </w:r>
      <w:r w:rsidR="00CA1EAE">
        <w:t>.</w:t>
      </w:r>
    </w:p>
    <w:p w14:paraId="5972E569" w14:textId="77777777" w:rsidR="001F2D1F" w:rsidRPr="00C105D7" w:rsidRDefault="001F2D1F" w:rsidP="005C4859">
      <w:pPr>
        <w:pStyle w:val="ListBullet"/>
      </w:pPr>
      <w:r w:rsidRPr="00C105D7">
        <w:t>MDS/AML and pneumonitis are uncommon, but serious, AEs that prescribers should be aware of.</w:t>
      </w:r>
    </w:p>
    <w:p w14:paraId="27D7D812" w14:textId="77777777" w:rsidR="001F2D1F" w:rsidRPr="00C105D7" w:rsidRDefault="001F2D1F" w:rsidP="005C4859">
      <w:pPr>
        <w:pStyle w:val="ListBullet"/>
      </w:pPr>
      <w:r w:rsidRPr="00C105D7">
        <w:t>Measures are needed (</w:t>
      </w:r>
      <w:r>
        <w:t>for example</w:t>
      </w:r>
      <w:r w:rsidRPr="00C105D7">
        <w:t xml:space="preserve">, prominent labelling, </w:t>
      </w:r>
      <w:r w:rsidR="00902612">
        <w:t>Dear Health Care Professional Letters</w:t>
      </w:r>
      <w:r w:rsidR="00A55817">
        <w:t>)</w:t>
      </w:r>
      <w:r w:rsidRPr="00C105D7">
        <w:t xml:space="preserve"> to ensure no confusion between the (non-interchangeable) tablet and capsule that might lead to dosing errors; during the period when the capsules remain on the market.</w:t>
      </w:r>
    </w:p>
    <w:p w14:paraId="1E88E5BC" w14:textId="77777777" w:rsidR="001F2D1F" w:rsidRPr="00632D96" w:rsidRDefault="001F2D1F" w:rsidP="001F2D1F">
      <w:pPr>
        <w:pStyle w:val="Heading7"/>
        <w:rPr>
          <w:b/>
        </w:rPr>
      </w:pPr>
      <w:r w:rsidRPr="00632D96">
        <w:rPr>
          <w:b/>
        </w:rPr>
        <w:t>Post market studies</w:t>
      </w:r>
    </w:p>
    <w:p w14:paraId="04E223CF" w14:textId="4A67FC63" w:rsidR="001F2D1F" w:rsidRPr="00C105D7" w:rsidRDefault="001F2D1F" w:rsidP="00902612">
      <w:pPr>
        <w:pStyle w:val="ListBullet"/>
      </w:pPr>
      <w:r w:rsidRPr="00C105D7">
        <w:t>S</w:t>
      </w:r>
      <w:r w:rsidR="00902612">
        <w:t>OLO3</w:t>
      </w:r>
      <w:r w:rsidR="007A0BF1">
        <w:t xml:space="preserve"> trial</w:t>
      </w:r>
      <w:r w:rsidR="00902612">
        <w:t xml:space="preserve">: olaparib versus physician </w:t>
      </w:r>
      <w:r w:rsidRPr="00C105D7">
        <w:t>cho</w:t>
      </w:r>
      <w:r w:rsidR="00902612">
        <w:t>ice of single agent chemo for third line</w:t>
      </w:r>
      <w:r w:rsidRPr="00C105D7">
        <w:t xml:space="preserve"> t</w:t>
      </w:r>
      <w:r w:rsidR="00902612">
        <w:t xml:space="preserve">reatment of women with platinum </w:t>
      </w:r>
      <w:r w:rsidRPr="00C105D7">
        <w:t xml:space="preserve">sensitive relapsed </w:t>
      </w:r>
      <w:r w:rsidR="00902612">
        <w:t>g</w:t>
      </w:r>
      <w:r w:rsidR="00902612" w:rsidRPr="00A06953">
        <w:t>e</w:t>
      </w:r>
      <w:r w:rsidR="00902612">
        <w:t>rmline BRCA mutated</w:t>
      </w:r>
      <w:r w:rsidRPr="00C105D7">
        <w:t xml:space="preserve"> ovarian cancer</w:t>
      </w:r>
      <w:r w:rsidR="00902612">
        <w:t>.</w:t>
      </w:r>
    </w:p>
    <w:p w14:paraId="72846CC0" w14:textId="67DF7D00" w:rsidR="001F2D1F" w:rsidRPr="00C105D7" w:rsidRDefault="00902612" w:rsidP="00902612">
      <w:pPr>
        <w:pStyle w:val="ListBullet"/>
      </w:pPr>
      <w:r>
        <w:t xml:space="preserve">Final OS report for </w:t>
      </w:r>
      <w:r w:rsidR="007A0BF1">
        <w:t xml:space="preserve">the </w:t>
      </w:r>
      <w:r w:rsidR="00205AC8">
        <w:t>SOLO-2</w:t>
      </w:r>
      <w:r w:rsidR="007A0BF1">
        <w:t xml:space="preserve"> trial,</w:t>
      </w:r>
      <w:r>
        <w:t xml:space="preserve"> due </w:t>
      </w:r>
      <w:r w:rsidR="007A0BF1">
        <w:t xml:space="preserve">second quarter of </w:t>
      </w:r>
      <w:r w:rsidR="001F2D1F" w:rsidRPr="00C105D7">
        <w:t>2020</w:t>
      </w:r>
      <w:r>
        <w:t>.</w:t>
      </w:r>
    </w:p>
    <w:p w14:paraId="5D4CF690" w14:textId="77777777" w:rsidR="001F2D1F" w:rsidRPr="00FE5662" w:rsidRDefault="001F2D1F" w:rsidP="00902612">
      <w:pPr>
        <w:pStyle w:val="ListBullet"/>
      </w:pPr>
      <w:r w:rsidRPr="00C105D7">
        <w:t>OPINION trial: maintenance olaparib treatment i</w:t>
      </w:r>
      <w:r w:rsidR="00902612">
        <w:t>n women with germline BRCA wild</w:t>
      </w:r>
      <w:r w:rsidRPr="00C105D7">
        <w:t>type relapsed ovarian canc</w:t>
      </w:r>
      <w:r w:rsidR="00902612">
        <w:t>er (to identify which BRCA wild</w:t>
      </w:r>
      <w:r w:rsidRPr="00C105D7">
        <w:t>type women benefit from olaparib).</w:t>
      </w:r>
    </w:p>
    <w:p w14:paraId="6C9BD30B" w14:textId="77777777" w:rsidR="001F2D1F" w:rsidRDefault="001F2D1F" w:rsidP="001F2D1F">
      <w:pPr>
        <w:pStyle w:val="Heading6"/>
      </w:pPr>
      <w:r w:rsidRPr="00C105D7">
        <w:t>Benefit-risk balance</w:t>
      </w:r>
    </w:p>
    <w:p w14:paraId="30FC39F1" w14:textId="77777777" w:rsidR="001F2D1F" w:rsidRPr="00632D96" w:rsidRDefault="001F2D1F" w:rsidP="001F2D1F">
      <w:pPr>
        <w:pStyle w:val="ListBullet"/>
        <w:numPr>
          <w:ilvl w:val="0"/>
          <w:numId w:val="0"/>
        </w:numPr>
      </w:pPr>
      <w:r w:rsidRPr="00632D96">
        <w:t>Rec</w:t>
      </w:r>
      <w:r w:rsidR="00902612">
        <w:t xml:space="preserve">urrent ovarian cancer is a life </w:t>
      </w:r>
      <w:r w:rsidRPr="00632D96">
        <w:t>threatening condition; and, for many women, it is incurable.</w:t>
      </w:r>
    </w:p>
    <w:p w14:paraId="5747B096" w14:textId="5E66458B" w:rsidR="001F2D1F" w:rsidRPr="00632D96" w:rsidRDefault="001F2D1F" w:rsidP="001F2D1F">
      <w:pPr>
        <w:pStyle w:val="ListBullet"/>
        <w:numPr>
          <w:ilvl w:val="0"/>
          <w:numId w:val="0"/>
        </w:numPr>
      </w:pPr>
      <w:r w:rsidRPr="00632D96">
        <w:t xml:space="preserve">In this setting, the reported benefit on PFS (the pre-specified primary endpoint for the two </w:t>
      </w:r>
      <w:r w:rsidR="00902612">
        <w:t>randomised controlled trials</w:t>
      </w:r>
      <w:r w:rsidRPr="00632D96">
        <w:t xml:space="preserve">: </w:t>
      </w:r>
      <w:r w:rsidR="001F00F8">
        <w:t>Study 19</w:t>
      </w:r>
      <w:r w:rsidRPr="00632D96">
        <w:t xml:space="preserve">, </w:t>
      </w:r>
      <w:r w:rsidR="00205AC8">
        <w:t>SOLO-2</w:t>
      </w:r>
      <w:r w:rsidR="007A0BF1">
        <w:t xml:space="preserve"> trial</w:t>
      </w:r>
      <w:r w:rsidRPr="00632D96">
        <w:t>) is clinically meaningful: the delay in progression means that exposure to subsequent cytotoxic chemotherapy and its associated toxicities is delayed.</w:t>
      </w:r>
    </w:p>
    <w:p w14:paraId="744E42C1" w14:textId="77777777" w:rsidR="001F2D1F" w:rsidRPr="00632D96" w:rsidRDefault="001F2D1F" w:rsidP="001F2D1F">
      <w:pPr>
        <w:pStyle w:val="ListBullet"/>
        <w:numPr>
          <w:ilvl w:val="0"/>
          <w:numId w:val="0"/>
        </w:numPr>
      </w:pPr>
      <w:r w:rsidRPr="00632D96">
        <w:t>It can be difficult to establish benefit on OS for ovaria</w:t>
      </w:r>
      <w:r w:rsidR="00902612">
        <w:t xml:space="preserve">n cancer: multiple line of post study (post </w:t>
      </w:r>
      <w:r w:rsidRPr="00632D96">
        <w:t>discon</w:t>
      </w:r>
      <w:r w:rsidR="00902612">
        <w:t xml:space="preserve">tinuation) treatment; long post </w:t>
      </w:r>
      <w:r w:rsidRPr="00632D96">
        <w:t>recurrence/progression survival.</w:t>
      </w:r>
    </w:p>
    <w:p w14:paraId="7963E543" w14:textId="77777777" w:rsidR="001F2D1F" w:rsidRPr="00902612" w:rsidRDefault="001F2D1F" w:rsidP="00902612">
      <w:pPr>
        <w:pStyle w:val="Heading7"/>
      </w:pPr>
      <w:r w:rsidRPr="00902612">
        <w:t>Extension of indications to all-co</w:t>
      </w:r>
      <w:r w:rsidR="00902612">
        <w:t>mers (agnostic to BRCA status)</w:t>
      </w:r>
    </w:p>
    <w:p w14:paraId="085F44FD" w14:textId="77777777" w:rsidR="001F2D1F" w:rsidRPr="00632D96" w:rsidRDefault="001F2D1F" w:rsidP="001F2D1F">
      <w:r w:rsidRPr="00632D96">
        <w:t xml:space="preserve">In this application, the new data from </w:t>
      </w:r>
      <w:r w:rsidR="001F00F8">
        <w:t>Study 19</w:t>
      </w:r>
      <w:r w:rsidRPr="00632D96">
        <w:t xml:space="preserve"> is that, for all-comers (regardless of BRCA</w:t>
      </w:r>
      <w:r w:rsidR="00902612">
        <w:t xml:space="preserve"> mutation</w:t>
      </w:r>
      <w:r w:rsidRPr="00632D96">
        <w:t xml:space="preserve"> status), HR</w:t>
      </w:r>
      <w:r w:rsidR="00902612">
        <w:t xml:space="preserve"> </w:t>
      </w:r>
      <w:r w:rsidRPr="00632D96">
        <w:t>(OS)</w:t>
      </w:r>
      <w:r w:rsidR="00902612">
        <w:t xml:space="preserve"> </w:t>
      </w:r>
      <w:r w:rsidRPr="00632D96">
        <w:t>=</w:t>
      </w:r>
      <w:r w:rsidR="00902612">
        <w:t xml:space="preserve"> </w:t>
      </w:r>
      <w:r w:rsidRPr="00632D96">
        <w:t>0.73 (0.55, 0.95); p</w:t>
      </w:r>
      <w:r w:rsidR="00902612">
        <w:t xml:space="preserve"> </w:t>
      </w:r>
      <w:r w:rsidRPr="00632D96">
        <w:t>=</w:t>
      </w:r>
      <w:r w:rsidR="00902612">
        <w:t xml:space="preserve"> </w:t>
      </w:r>
      <w:r w:rsidRPr="00632D96">
        <w:t>0.021 (however, this result should not be regarded as statistically significant because there was no formal pre-specified adjustment for mul</w:t>
      </w:r>
      <w:r w:rsidR="00902612">
        <w:t xml:space="preserve">tiplicity). Along with the well </w:t>
      </w:r>
      <w:r w:rsidRPr="00632D96">
        <w:t xml:space="preserve">characterised toxicity profile </w:t>
      </w:r>
      <w:r w:rsidR="00902612">
        <w:t xml:space="preserve">of olaparib, and the previously </w:t>
      </w:r>
      <w:r w:rsidRPr="00632D96">
        <w:t>reported res</w:t>
      </w:r>
      <w:r w:rsidR="00902612">
        <w:t xml:space="preserve">ults from </w:t>
      </w:r>
      <w:r w:rsidR="001F00F8">
        <w:t>Study 19</w:t>
      </w:r>
      <w:r w:rsidR="00902612">
        <w:t xml:space="preserve"> for PFS (pre </w:t>
      </w:r>
      <w:r w:rsidRPr="00632D96">
        <w:t>specified primary endpoint) these results provide the evidential basis for extending the indication to be agnostic for BRCA status.</w:t>
      </w:r>
    </w:p>
    <w:p w14:paraId="49E644F3" w14:textId="2A163D03" w:rsidR="001F2D1F" w:rsidRPr="00632D96" w:rsidRDefault="001F00F8" w:rsidP="001F2D1F">
      <w:r>
        <w:t>Study 19</w:t>
      </w:r>
      <w:r w:rsidR="00902612">
        <w:t xml:space="preserve"> (subgroup analysis of BRCA mutated women) and </w:t>
      </w:r>
      <w:r w:rsidR="007A0BF1">
        <w:t xml:space="preserve">the </w:t>
      </w:r>
      <w:r w:rsidR="00205AC8">
        <w:t>SOLO-2</w:t>
      </w:r>
      <w:r w:rsidR="007A0BF1">
        <w:t xml:space="preserve"> trial</w:t>
      </w:r>
      <w:r w:rsidR="00902612">
        <w:t xml:space="preserve"> (only BRCA mutated</w:t>
      </w:r>
      <w:r w:rsidR="001F2D1F" w:rsidRPr="00632D96">
        <w:t xml:space="preserve"> women eligible) showed that (as expected from the mechanism of action)</w:t>
      </w:r>
      <w:r w:rsidR="00902612">
        <w:t xml:space="preserve"> the benefit is greater in BRCA mutated</w:t>
      </w:r>
      <w:r w:rsidR="001F2D1F" w:rsidRPr="00632D96">
        <w:t xml:space="preserve"> women: </w:t>
      </w:r>
      <w:r>
        <w:t>Study 19</w:t>
      </w:r>
      <w:r w:rsidR="001F2D1F" w:rsidRPr="00632D96">
        <w:t xml:space="preserve"> subgroup analysis HR</w:t>
      </w:r>
      <w:r w:rsidR="00902612">
        <w:t xml:space="preserve"> </w:t>
      </w:r>
      <w:r w:rsidR="001F2D1F" w:rsidRPr="00632D96">
        <w:t>(PFS)</w:t>
      </w:r>
      <w:r w:rsidR="00902612">
        <w:t xml:space="preserve"> </w:t>
      </w:r>
      <w:r w:rsidR="001F2D1F" w:rsidRPr="00632D96">
        <w:t>=</w:t>
      </w:r>
      <w:r w:rsidR="00902612">
        <w:t xml:space="preserve"> </w:t>
      </w:r>
      <w:r w:rsidR="001F2D1F" w:rsidRPr="00632D96">
        <w:t xml:space="preserve">0.18 (0.10, 0.31), improvement in </w:t>
      </w:r>
      <w:r w:rsidR="00902612">
        <w:t xml:space="preserve">median </w:t>
      </w:r>
      <w:r w:rsidR="001F2D1F" w:rsidRPr="00632D96">
        <w:t>(PFS)</w:t>
      </w:r>
      <w:r w:rsidR="00902612">
        <w:t xml:space="preserve"> </w:t>
      </w:r>
      <w:r w:rsidR="001F2D1F" w:rsidRPr="00632D96">
        <w:t>=</w:t>
      </w:r>
      <w:r w:rsidR="00902612">
        <w:t xml:space="preserve"> </w:t>
      </w:r>
      <w:r w:rsidR="001F2D1F" w:rsidRPr="00632D96">
        <w:t xml:space="preserve">7 months; </w:t>
      </w:r>
      <w:r w:rsidR="00205AC8">
        <w:t>SOLO-2</w:t>
      </w:r>
      <w:r w:rsidR="001F2D1F" w:rsidRPr="00632D96">
        <w:t xml:space="preserve"> </w:t>
      </w:r>
      <w:r w:rsidR="007A0BF1">
        <w:t xml:space="preserve">trial </w:t>
      </w:r>
      <w:r w:rsidR="00902612">
        <w:t>intention to treat</w:t>
      </w:r>
      <w:r w:rsidR="001F2D1F" w:rsidRPr="00632D96">
        <w:t xml:space="preserve"> analysis: HR</w:t>
      </w:r>
      <w:r w:rsidR="00902612">
        <w:t xml:space="preserve"> </w:t>
      </w:r>
      <w:r w:rsidR="001F2D1F" w:rsidRPr="00632D96">
        <w:t>(PFS)</w:t>
      </w:r>
      <w:r w:rsidR="007A0BF1">
        <w:t> </w:t>
      </w:r>
      <w:r w:rsidR="001F2D1F" w:rsidRPr="00632D96">
        <w:t>=</w:t>
      </w:r>
      <w:r w:rsidR="007A0BF1">
        <w:t> </w:t>
      </w:r>
      <w:r w:rsidR="001F2D1F" w:rsidRPr="00632D96">
        <w:t xml:space="preserve">0.30 (0.22, 0.41), improvement in </w:t>
      </w:r>
      <w:r w:rsidR="00902612">
        <w:t xml:space="preserve">median </w:t>
      </w:r>
      <w:r w:rsidR="001F2D1F" w:rsidRPr="00632D96">
        <w:t>(PFS)</w:t>
      </w:r>
      <w:r w:rsidR="00902612">
        <w:t xml:space="preserve"> </w:t>
      </w:r>
      <w:r w:rsidR="001F2D1F" w:rsidRPr="00632D96">
        <w:t>=</w:t>
      </w:r>
      <w:r w:rsidR="00902612">
        <w:t xml:space="preserve"> </w:t>
      </w:r>
      <w:r w:rsidR="001F2D1F" w:rsidRPr="00632D96">
        <w:t>14 months.</w:t>
      </w:r>
    </w:p>
    <w:p w14:paraId="21EFEA1B" w14:textId="77777777" w:rsidR="001F2D1F" w:rsidRPr="00632D96" w:rsidRDefault="001F2D1F" w:rsidP="001F2D1F">
      <w:r w:rsidRPr="00632D96">
        <w:t xml:space="preserve">Based on a subgroup analysis from </w:t>
      </w:r>
      <w:r w:rsidR="001F00F8">
        <w:t>Study 19</w:t>
      </w:r>
      <w:r w:rsidRPr="00632D96">
        <w:t xml:space="preserve">, it </w:t>
      </w:r>
      <w:r w:rsidR="00902612">
        <w:t>seems that some women with BRCA wild</w:t>
      </w:r>
      <w:r w:rsidRPr="00632D96">
        <w:t>type ovarian cancer do benefit from olaparib (HR</w:t>
      </w:r>
      <w:r w:rsidR="00902612">
        <w:t xml:space="preserve"> </w:t>
      </w:r>
      <w:r w:rsidR="003C2823">
        <w:t>(</w:t>
      </w:r>
      <w:r w:rsidRPr="00632D96">
        <w:t>PFS</w:t>
      </w:r>
      <w:r w:rsidR="003C2823">
        <w:t>)</w:t>
      </w:r>
      <w:r w:rsidR="00902612">
        <w:t xml:space="preserve"> </w:t>
      </w:r>
      <w:r w:rsidRPr="00632D96">
        <w:t>=</w:t>
      </w:r>
      <w:r w:rsidR="00902612">
        <w:t xml:space="preserve"> </w:t>
      </w:r>
      <w:r w:rsidRPr="00632D96">
        <w:t xml:space="preserve">0.54, improvement in </w:t>
      </w:r>
      <w:r w:rsidR="00EE2122">
        <w:lastRenderedPageBreak/>
        <w:t>median</w:t>
      </w:r>
      <w:r w:rsidR="003C2823">
        <w:t xml:space="preserve"> (</w:t>
      </w:r>
      <w:r w:rsidRPr="00632D96">
        <w:t>PFS</w:t>
      </w:r>
      <w:r w:rsidR="003C2823">
        <w:t>)</w:t>
      </w:r>
      <w:r w:rsidR="00902612">
        <w:t xml:space="preserve"> </w:t>
      </w:r>
      <w:r w:rsidRPr="00632D96">
        <w:t>=</w:t>
      </w:r>
      <w:r w:rsidR="00902612">
        <w:t xml:space="preserve"> </w:t>
      </w:r>
      <w:r w:rsidRPr="00632D96">
        <w:t xml:space="preserve">2 months). These are possibly patients with other </w:t>
      </w:r>
      <w:r w:rsidR="00902612">
        <w:t>HRD</w:t>
      </w:r>
      <w:r w:rsidRPr="00632D96">
        <w:t>. There is currently no way to identify BRC</w:t>
      </w:r>
      <w:r w:rsidR="00902612">
        <w:t>A wildtype</w:t>
      </w:r>
      <w:r w:rsidRPr="00632D96">
        <w:t xml:space="preserve"> women who might benefit from olaparib. For example, there are no commercially available t</w:t>
      </w:r>
      <w:r>
        <w:t xml:space="preserve">ests to identify HRD patients. </w:t>
      </w:r>
      <w:r w:rsidR="00902612">
        <w:t>About 12% (7 out of 57) of BRCA wildtype</w:t>
      </w:r>
      <w:r w:rsidRPr="00632D96">
        <w:t xml:space="preserve"> women in </w:t>
      </w:r>
      <w:r w:rsidR="001F00F8">
        <w:t>Study 19</w:t>
      </w:r>
      <w:r w:rsidRPr="00632D96">
        <w:t xml:space="preserve"> took olaparib for &gt;</w:t>
      </w:r>
      <w:r w:rsidR="00EE2122">
        <w:t xml:space="preserve"> </w:t>
      </w:r>
      <w:r w:rsidRPr="00632D96">
        <w:t>5</w:t>
      </w:r>
      <w:r w:rsidR="00A55817">
        <w:t xml:space="preserve"> </w:t>
      </w:r>
      <w:r w:rsidR="00902612">
        <w:t xml:space="preserve">years, with no relapse (BRCA mutated: 11 out of </w:t>
      </w:r>
      <w:r w:rsidR="00EE2122">
        <w:t>74</w:t>
      </w:r>
      <w:r w:rsidR="003C2823">
        <w:t xml:space="preserve"> (</w:t>
      </w:r>
      <w:r w:rsidRPr="00632D96">
        <w:t>15%</w:t>
      </w:r>
      <w:r w:rsidR="003C2823">
        <w:t>)</w:t>
      </w:r>
      <w:r w:rsidRPr="00632D96">
        <w:t>; placeb</w:t>
      </w:r>
      <w:r w:rsidR="00902612">
        <w:t xml:space="preserve">o: 1 out of </w:t>
      </w:r>
      <w:r w:rsidRPr="00632D96">
        <w:t xml:space="preserve">128 </w:t>
      </w:r>
      <w:r w:rsidR="003C2823">
        <w:t>(</w:t>
      </w:r>
      <w:r w:rsidRPr="00632D96">
        <w:t>1%</w:t>
      </w:r>
      <w:r w:rsidR="003C2823">
        <w:t>)</w:t>
      </w:r>
      <w:r w:rsidRPr="00632D96">
        <w:t>). These BRCA</w:t>
      </w:r>
      <w:r w:rsidR="00902612">
        <w:t xml:space="preserve"> wildtype</w:t>
      </w:r>
      <w:r w:rsidRPr="00632D96">
        <w:t xml:space="preserve"> women would be restricted from receiving olaparib if the in</w:t>
      </w:r>
      <w:r w:rsidR="00902612">
        <w:t>dication was restricted to BRCA mutated</w:t>
      </w:r>
      <w:r w:rsidRPr="00632D96">
        <w:t>, only. Also, it is not standard regulatory practice to separate out a subgroup from an overall positive trial, unless there was a clear detrimental effect in that subgroup; or there is a clear reason based on the mechanism of action.</w:t>
      </w:r>
    </w:p>
    <w:p w14:paraId="0BF4E0C2" w14:textId="77777777" w:rsidR="001F2D1F" w:rsidRPr="00902612" w:rsidRDefault="001F2D1F" w:rsidP="00902612">
      <w:pPr>
        <w:pStyle w:val="Heading7"/>
      </w:pPr>
      <w:r w:rsidRPr="00902612">
        <w:t>Tablet</w:t>
      </w:r>
    </w:p>
    <w:p w14:paraId="4C5F28E0" w14:textId="79E2FC05" w:rsidR="00456765" w:rsidRPr="001F2D1F" w:rsidRDefault="007A0BF1" w:rsidP="00456765">
      <w:pPr>
        <w:rPr>
          <w:rFonts w:asciiTheme="minorHAnsi" w:hAnsiTheme="minorHAnsi"/>
        </w:rPr>
      </w:pPr>
      <w:r>
        <w:rPr>
          <w:rFonts w:asciiTheme="minorHAnsi" w:hAnsiTheme="minorHAnsi"/>
        </w:rPr>
        <w:t xml:space="preserve">The </w:t>
      </w:r>
      <w:r w:rsidR="00205AC8">
        <w:rPr>
          <w:rFonts w:asciiTheme="minorHAnsi" w:hAnsiTheme="minorHAnsi"/>
        </w:rPr>
        <w:t>SOLO-2</w:t>
      </w:r>
      <w:r>
        <w:rPr>
          <w:rFonts w:asciiTheme="minorHAnsi" w:hAnsiTheme="minorHAnsi"/>
        </w:rPr>
        <w:t xml:space="preserve"> trial</w:t>
      </w:r>
      <w:r w:rsidR="001F2D1F" w:rsidRPr="00C105D7">
        <w:rPr>
          <w:rFonts w:asciiTheme="minorHAnsi" w:hAnsiTheme="minorHAnsi"/>
        </w:rPr>
        <w:t xml:space="preserve"> showed that benefit-risk balance of the olaparib tablets (300 mg </w:t>
      </w:r>
      <w:r w:rsidR="00C920E8">
        <w:rPr>
          <w:rFonts w:asciiTheme="minorHAnsi" w:hAnsiTheme="minorHAnsi"/>
        </w:rPr>
        <w:t>BID</w:t>
      </w:r>
      <w:r w:rsidR="001F2D1F" w:rsidRPr="00C105D7">
        <w:rPr>
          <w:rFonts w:asciiTheme="minorHAnsi" w:hAnsiTheme="minorHAnsi"/>
        </w:rPr>
        <w:t xml:space="preserve">) was positive; similar to the results from </w:t>
      </w:r>
      <w:r w:rsidR="001F00F8">
        <w:rPr>
          <w:rFonts w:asciiTheme="minorHAnsi" w:hAnsiTheme="minorHAnsi"/>
        </w:rPr>
        <w:t>Study 19</w:t>
      </w:r>
      <w:r w:rsidR="001F2D1F" w:rsidRPr="00C105D7">
        <w:rPr>
          <w:rFonts w:asciiTheme="minorHAnsi" w:hAnsiTheme="minorHAnsi"/>
        </w:rPr>
        <w:t xml:space="preserve">, which used the capsules (400 mg </w:t>
      </w:r>
      <w:r w:rsidR="00C920E8">
        <w:rPr>
          <w:rFonts w:asciiTheme="minorHAnsi" w:hAnsiTheme="minorHAnsi"/>
        </w:rPr>
        <w:t>BID</w:t>
      </w:r>
      <w:r w:rsidR="001F2D1F" w:rsidRPr="00C105D7">
        <w:rPr>
          <w:rFonts w:asciiTheme="minorHAnsi" w:hAnsiTheme="minorHAnsi"/>
        </w:rPr>
        <w:t xml:space="preserve">); although there were more treatment discontinuations due to AEs in </w:t>
      </w:r>
      <w:r w:rsidR="00843E41">
        <w:rPr>
          <w:rFonts w:asciiTheme="minorHAnsi" w:hAnsiTheme="minorHAnsi"/>
        </w:rPr>
        <w:t xml:space="preserve">the </w:t>
      </w:r>
      <w:r w:rsidR="00205AC8">
        <w:rPr>
          <w:rFonts w:asciiTheme="minorHAnsi" w:hAnsiTheme="minorHAnsi"/>
        </w:rPr>
        <w:t>SOLO-2</w:t>
      </w:r>
      <w:r>
        <w:rPr>
          <w:rFonts w:asciiTheme="minorHAnsi" w:hAnsiTheme="minorHAnsi"/>
        </w:rPr>
        <w:t xml:space="preserve"> trial</w:t>
      </w:r>
      <w:r w:rsidR="001F2D1F" w:rsidRPr="00C105D7">
        <w:rPr>
          <w:rFonts w:asciiTheme="minorHAnsi" w:hAnsiTheme="minorHAnsi"/>
        </w:rPr>
        <w:t>, perhaps reflecting the higher bioavailability</w:t>
      </w:r>
      <w:r w:rsidR="001F2D1F">
        <w:rPr>
          <w:rFonts w:asciiTheme="minorHAnsi" w:hAnsiTheme="minorHAnsi"/>
        </w:rPr>
        <w:t>.</w:t>
      </w:r>
    </w:p>
    <w:p w14:paraId="79AFEE44" w14:textId="77777777" w:rsidR="001F2D1F" w:rsidRPr="00902612" w:rsidRDefault="001F2D1F" w:rsidP="00902612">
      <w:pPr>
        <w:pStyle w:val="Heading4"/>
      </w:pPr>
      <w:r w:rsidRPr="00902612">
        <w:t>Request for independent expert clinical advice</w:t>
      </w:r>
    </w:p>
    <w:p w14:paraId="6D549F2F" w14:textId="77777777" w:rsidR="00EE2122" w:rsidRDefault="001F2D1F" w:rsidP="001F2D1F">
      <w:pPr>
        <w:rPr>
          <w:szCs w:val="18"/>
        </w:rPr>
      </w:pPr>
      <w:r>
        <w:rPr>
          <w:szCs w:val="18"/>
        </w:rPr>
        <w:t>The Delegate required independent expert advi</w:t>
      </w:r>
      <w:r w:rsidR="00EE2122">
        <w:rPr>
          <w:szCs w:val="18"/>
        </w:rPr>
        <w:t>ce on the following question:</w:t>
      </w:r>
    </w:p>
    <w:p w14:paraId="626BD146" w14:textId="77777777" w:rsidR="001F2D1F" w:rsidRDefault="001F2D1F" w:rsidP="00EE2122">
      <w:pPr>
        <w:ind w:left="720"/>
        <w:rPr>
          <w:szCs w:val="18"/>
        </w:rPr>
      </w:pPr>
      <w:r>
        <w:rPr>
          <w:szCs w:val="18"/>
        </w:rPr>
        <w:t xml:space="preserve">Is the evidence from </w:t>
      </w:r>
      <w:r w:rsidR="001F00F8">
        <w:rPr>
          <w:szCs w:val="18"/>
        </w:rPr>
        <w:t>Study 19</w:t>
      </w:r>
      <w:r>
        <w:rPr>
          <w:szCs w:val="18"/>
        </w:rPr>
        <w:t xml:space="preserve"> sufficient to extend the indication to women without a BRCA mutation (that is, </w:t>
      </w:r>
      <w:r w:rsidRPr="00F75D7D">
        <w:t>BRCA</w:t>
      </w:r>
      <w:r w:rsidR="00902612">
        <w:t xml:space="preserve"> wildtype</w:t>
      </w:r>
      <w:r>
        <w:rPr>
          <w:szCs w:val="18"/>
        </w:rPr>
        <w:t>)?</w:t>
      </w:r>
    </w:p>
    <w:p w14:paraId="5D48465E" w14:textId="77777777" w:rsidR="001F2D1F" w:rsidRDefault="001F2D1F" w:rsidP="001F2D1F">
      <w:r>
        <w:t>Three independent Australian medical oncologists were consulted.</w:t>
      </w:r>
      <w:r>
        <w:rPr>
          <w:rStyle w:val="FootnoteReference"/>
        </w:rPr>
        <w:footnoteReference w:id="18"/>
      </w:r>
      <w:r>
        <w:t xml:space="preserve"> All three advised that the indication should be extended to </w:t>
      </w:r>
      <w:r w:rsidRPr="00F75D7D">
        <w:t>BRCA</w:t>
      </w:r>
      <w:r w:rsidR="00902612">
        <w:t xml:space="preserve"> wildtype</w:t>
      </w:r>
      <w:r>
        <w:t>, thereby aligning with the FDA and EMA.</w:t>
      </w:r>
    </w:p>
    <w:p w14:paraId="38C0591E" w14:textId="77777777" w:rsidR="001F2D1F" w:rsidRDefault="001F2D1F" w:rsidP="001F2D1F">
      <w:pPr>
        <w:pStyle w:val="Heading4"/>
      </w:pPr>
      <w:r w:rsidRPr="00D23139">
        <w:t>Proposed action</w:t>
      </w:r>
    </w:p>
    <w:p w14:paraId="4627ACFD" w14:textId="77777777" w:rsidR="00456765" w:rsidRPr="00456765" w:rsidRDefault="001F2D1F" w:rsidP="00456765">
      <w:r>
        <w:rPr>
          <w:szCs w:val="18"/>
        </w:rPr>
        <w:t xml:space="preserve">Based on the independent expert advice, the Delegate </w:t>
      </w:r>
      <w:r w:rsidRPr="002A4BE0">
        <w:rPr>
          <w:szCs w:val="18"/>
        </w:rPr>
        <w:t>was of a mind</w:t>
      </w:r>
      <w:r>
        <w:rPr>
          <w:szCs w:val="18"/>
        </w:rPr>
        <w:t xml:space="preserve"> to approve the application to extend the indications for Lynparza to women without a BRCA mutation.</w:t>
      </w:r>
    </w:p>
    <w:p w14:paraId="7B243E9F" w14:textId="4032ACD2" w:rsidR="00D23139" w:rsidRDefault="00456765" w:rsidP="00D23139">
      <w:pPr>
        <w:pStyle w:val="Heading4"/>
      </w:pPr>
      <w:r>
        <w:t xml:space="preserve">Response from </w:t>
      </w:r>
      <w:r w:rsidR="007A0BF1">
        <w:t>sponsor</w:t>
      </w:r>
    </w:p>
    <w:p w14:paraId="38835C5D" w14:textId="77777777" w:rsidR="001F2D1F" w:rsidRDefault="001F2D1F" w:rsidP="001F2D1F">
      <w:r>
        <w:t xml:space="preserve">The sponsor </w:t>
      </w:r>
      <w:r w:rsidRPr="00F75D7D">
        <w:t xml:space="preserve">welcomes the opportunity to provide comments in response to the Delegate’s request for advice and the evaluation of the application proposing to register </w:t>
      </w:r>
      <w:r>
        <w:t>Lynparza</w:t>
      </w:r>
      <w:r w:rsidRPr="00F75D7D">
        <w:t xml:space="preserve"> (olaparib) table</w:t>
      </w:r>
      <w:r>
        <w:t>ts for the proposed indication:</w:t>
      </w:r>
    </w:p>
    <w:p w14:paraId="227B2657" w14:textId="77777777" w:rsidR="001F2D1F" w:rsidRPr="00F75D7D" w:rsidRDefault="001F2D1F" w:rsidP="001F2D1F">
      <w:pPr>
        <w:ind w:left="720"/>
        <w:rPr>
          <w:i/>
        </w:rPr>
      </w:pPr>
      <w:r>
        <w:rPr>
          <w:i/>
        </w:rPr>
        <w:t>Lynparza</w:t>
      </w:r>
      <w:r w:rsidRPr="00F75D7D">
        <w:rPr>
          <w:i/>
        </w:rPr>
        <w:t xml:space="preserve"> is indicated as monotherapy for the maintenance treatment of adult patients with platinum-sensitive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697AA72D" w14:textId="77777777" w:rsidR="001F2D1F" w:rsidRDefault="001F2D1F" w:rsidP="001F2D1F">
      <w:r>
        <w:t xml:space="preserve">The sponsor </w:t>
      </w:r>
      <w:r w:rsidRPr="00F75D7D">
        <w:t>acknowledges the comments of the clinical evaluator recommending authorisation of the propose</w:t>
      </w:r>
      <w:r>
        <w:t>d indication.</w:t>
      </w:r>
    </w:p>
    <w:p w14:paraId="216C65CE" w14:textId="2DA7314C" w:rsidR="001F2D1F" w:rsidRDefault="001F2D1F" w:rsidP="001F2D1F">
      <w:r>
        <w:t xml:space="preserve">The sponsor </w:t>
      </w:r>
      <w:r w:rsidRPr="00F75D7D">
        <w:t xml:space="preserve">seeks approval of olaparib for the maintenance treatment for ovarian cancer patients with platinum sensitive disease irrespective of BRCA mutation status on the basis of the </w:t>
      </w:r>
      <w:r w:rsidR="00423FB9">
        <w:t>intention to treat</w:t>
      </w:r>
      <w:r w:rsidRPr="00F75D7D">
        <w:t xml:space="preserve"> analyses of 2 independent, large randomised controlled trials in this setting, namely</w:t>
      </w:r>
      <w:r w:rsidR="007A0BF1">
        <w:t xml:space="preserve"> the</w:t>
      </w:r>
      <w:r w:rsidRPr="00F75D7D">
        <w:t xml:space="preserve"> </w:t>
      </w:r>
      <w:r w:rsidR="00205AC8">
        <w:t>SOLO-2</w:t>
      </w:r>
      <w:r w:rsidR="007A0BF1">
        <w:t xml:space="preserve"> trial</w:t>
      </w:r>
      <w:r w:rsidRPr="00F75D7D">
        <w:t xml:space="preserve"> (n</w:t>
      </w:r>
      <w:r>
        <w:t xml:space="preserve"> </w:t>
      </w:r>
      <w:r w:rsidRPr="00F75D7D">
        <w:t>=</w:t>
      </w:r>
      <w:r>
        <w:t xml:space="preserve"> </w:t>
      </w:r>
      <w:r w:rsidRPr="00F75D7D">
        <w:t xml:space="preserve">295) and </w:t>
      </w:r>
      <w:r w:rsidR="001F00F8">
        <w:t>Study 19</w:t>
      </w:r>
      <w:r w:rsidRPr="00F75D7D">
        <w:t xml:space="preserve"> (n</w:t>
      </w:r>
      <w:r>
        <w:t xml:space="preserve"> </w:t>
      </w:r>
      <w:r w:rsidRPr="00F75D7D">
        <w:t>=</w:t>
      </w:r>
      <w:r>
        <w:t xml:space="preserve"> </w:t>
      </w:r>
      <w:r w:rsidRPr="00F75D7D">
        <w:t xml:space="preserve">265). Both studies met their primary endpoints with highly significant and clinically meaningful effects on PFS (HRs of 0.30 and 0.35, respectively) with supportive secondary and exploratory endpoints. Both studies also show a trend towards benefit in OS. In </w:t>
      </w:r>
      <w:r w:rsidR="001F00F8">
        <w:t>Study 19</w:t>
      </w:r>
      <w:r w:rsidRPr="00F75D7D">
        <w:t xml:space="preserve"> a clinically relevant benefit was observed across all subgroups irrespective of BRCA mutation status, including </w:t>
      </w:r>
      <w:r w:rsidRPr="00F75D7D">
        <w:lastRenderedPageBreak/>
        <w:t>the BRCA wild type/var</w:t>
      </w:r>
      <w:r w:rsidR="00423FB9">
        <w:t xml:space="preserve">iant of uncertain significance </w:t>
      </w:r>
      <w:r w:rsidRPr="00F75D7D">
        <w:t xml:space="preserve">subgroup. Additionally, the consistency of effect for the PARP inhibitor class across multiple clinical trials as shown by the efficacy results for olaparib in </w:t>
      </w:r>
      <w:r w:rsidR="001F00F8">
        <w:t>Study 19</w:t>
      </w:r>
      <w:r w:rsidRPr="00F75D7D">
        <w:t xml:space="preserve"> and </w:t>
      </w:r>
      <w:r w:rsidR="007A0BF1">
        <w:t xml:space="preserve">the </w:t>
      </w:r>
      <w:r w:rsidR="00205AC8">
        <w:t>SOLO-2</w:t>
      </w:r>
      <w:r w:rsidR="007A0BF1">
        <w:t xml:space="preserve"> trial</w:t>
      </w:r>
      <w:r w:rsidRPr="00F75D7D">
        <w:t xml:space="preserve">, niraparib in </w:t>
      </w:r>
      <w:r w:rsidR="007A0BF1">
        <w:t xml:space="preserve">the </w:t>
      </w:r>
      <w:r w:rsidRPr="00F75D7D">
        <w:t xml:space="preserve">NOVA </w:t>
      </w:r>
      <w:r w:rsidR="007A0BF1">
        <w:t xml:space="preserve">trial </w:t>
      </w:r>
      <w:r w:rsidRPr="00F75D7D">
        <w:t xml:space="preserve">and rucaparib in </w:t>
      </w:r>
      <w:r w:rsidR="007A0BF1">
        <w:t xml:space="preserve">the </w:t>
      </w:r>
      <w:r w:rsidRPr="00F75D7D">
        <w:t>ARIEL3</w:t>
      </w:r>
      <w:r w:rsidR="007A0BF1">
        <w:t xml:space="preserve"> trial</w:t>
      </w:r>
      <w:r w:rsidRPr="00F75D7D">
        <w:t xml:space="preserve"> increases our understanding of the identification of patients with sensitivity to this therapeutic target and provides context and confidence in the clinical benefit of olaparib</w:t>
      </w:r>
      <w:r>
        <w:t>.</w:t>
      </w:r>
    </w:p>
    <w:p w14:paraId="568A5E5C" w14:textId="77777777" w:rsidR="001F2D1F" w:rsidRDefault="001F2D1F" w:rsidP="001F2D1F">
      <w:r w:rsidRPr="00F75D7D">
        <w:t>In a setting of relapsed incurable disease with limited treatment options and where patients will ultimately succumb to their disease, olaparib has a distinct safety profile with demonstrated efficacy and duration of benefit as seen with the follow up of &gt;</w:t>
      </w:r>
      <w:r w:rsidR="00423FB9">
        <w:t xml:space="preserve"> </w:t>
      </w:r>
      <w:r w:rsidRPr="00F75D7D">
        <w:t xml:space="preserve">6 years in </w:t>
      </w:r>
      <w:r w:rsidR="001F00F8">
        <w:t>Study 19</w:t>
      </w:r>
      <w:r w:rsidRPr="00F75D7D">
        <w:t xml:space="preserve"> in patients with and without a deleterious BRCA mutation. </w:t>
      </w:r>
      <w:r>
        <w:t>The sponsor</w:t>
      </w:r>
      <w:r w:rsidRPr="00F75D7D">
        <w:t xml:space="preserve">, therefore, believes patients with </w:t>
      </w:r>
      <w:r w:rsidR="00A55817">
        <w:t>platinum sensitive relapsed</w:t>
      </w:r>
      <w:r w:rsidRPr="00F75D7D">
        <w:t xml:space="preserve"> ovarian cancer, irrespective of BRCA status, should </w:t>
      </w:r>
      <w:r>
        <w:t>be provided access to olaparib.</w:t>
      </w:r>
    </w:p>
    <w:p w14:paraId="1552D70D" w14:textId="77777777" w:rsidR="001F2D1F" w:rsidRDefault="001F2D1F" w:rsidP="001F2D1F">
      <w:r>
        <w:t>The sponsor</w:t>
      </w:r>
      <w:r w:rsidRPr="00F75D7D">
        <w:t xml:space="preserve"> considers the proposed indicati</w:t>
      </w:r>
      <w:r>
        <w:t>on in the overall population (that is</w:t>
      </w:r>
      <w:r w:rsidRPr="00F75D7D">
        <w:t xml:space="preserve"> including women without a BRCA mutation) is supported by the body of evidence as d</w:t>
      </w:r>
      <w:r>
        <w:t>escribed below.</w:t>
      </w:r>
    </w:p>
    <w:p w14:paraId="2610C938" w14:textId="77777777" w:rsidR="001F2D1F" w:rsidRPr="00423FB9" w:rsidRDefault="001F2D1F" w:rsidP="00423FB9">
      <w:pPr>
        <w:pStyle w:val="Heading5"/>
      </w:pPr>
      <w:r w:rsidRPr="00423FB9">
        <w:t xml:space="preserve">Established biological rationale that identifies </w:t>
      </w:r>
      <w:r w:rsidR="00A55817">
        <w:t>patient populations beyond mutated BRCA</w:t>
      </w:r>
      <w:r w:rsidRPr="00423FB9">
        <w:t xml:space="preserve"> sensitive to PARP inhibition</w:t>
      </w:r>
    </w:p>
    <w:p w14:paraId="6D04255C" w14:textId="77777777" w:rsidR="001F2D1F" w:rsidRDefault="001F2D1F" w:rsidP="001F2D1F">
      <w:r w:rsidRPr="00F75D7D">
        <w:t xml:space="preserve">Olaparib, as a </w:t>
      </w:r>
      <w:r w:rsidR="00423FB9">
        <w:t>PARP inhibitor</w:t>
      </w:r>
      <w:r w:rsidRPr="00F75D7D">
        <w:t xml:space="preserve">, has a distinct mechanism of action compared with other biomarker driven oncology drugs. The </w:t>
      </w:r>
      <w:r w:rsidR="00423FB9" w:rsidRPr="00F75D7D">
        <w:t>mechanism of action</w:t>
      </w:r>
      <w:r w:rsidRPr="00F75D7D">
        <w:t xml:space="preserve"> of olaparib is based on the concept of synthetic lethality, where an underlying</w:t>
      </w:r>
      <w:r>
        <w:t xml:space="preserve"> </w:t>
      </w:r>
      <w:r w:rsidR="00423FB9">
        <w:t>HRD</w:t>
      </w:r>
      <w:r w:rsidRPr="00A10256">
        <w:t xml:space="preserve"> in tumour cells makes cells highly susceptible to PARP inhibition. When cells with HRD are treated with a PARP inhibitor there is massive and unsustainable DNA damage, resulting in cell death. This </w:t>
      </w:r>
      <w:r w:rsidR="00423FB9" w:rsidRPr="00F75D7D">
        <w:t>mechanism of action</w:t>
      </w:r>
      <w:r w:rsidRPr="00A10256">
        <w:t xml:space="preserve"> is quite distinct from the more common situation where drugs are designed to target very specific driver mutations (oncogenes) or products thereof (such as tyrosine kinase inhibitors that directly inhibit mutated, constitutively activated tyrosine kinases). In such instances, physicians can select for responding patients by directly screening for the genetic aberration synonymous with the </w:t>
      </w:r>
      <w:r w:rsidR="00423FB9" w:rsidRPr="00F75D7D">
        <w:t>mechanism of action</w:t>
      </w:r>
      <w:r w:rsidR="00423FB9">
        <w:t>. By contrast, the anti</w:t>
      </w:r>
      <w:r w:rsidR="00423FB9">
        <w:noBreakHyphen/>
      </w:r>
      <w:r w:rsidRPr="00A10256">
        <w:t xml:space="preserve">tumour effects of olaparib and other PARP inhibitors are not dependent on a direct interaction with a mutated gene/protein, but rather on an underlying defect in a cancer cell’s </w:t>
      </w:r>
      <w:r w:rsidR="00423FB9">
        <w:t>DNA damage repair</w:t>
      </w:r>
      <w:r>
        <w:t xml:space="preserve"> mechanisms.</w:t>
      </w:r>
    </w:p>
    <w:p w14:paraId="531A2738" w14:textId="2D8198EA" w:rsidR="001F2D1F" w:rsidRDefault="001F2D1F" w:rsidP="001F2D1F">
      <w:r w:rsidRPr="00A10256">
        <w:t>Sensitivity to platinum agents correlates significantly w</w:t>
      </w:r>
      <w:r>
        <w:t>ith sensitivity to olaparib.</w:t>
      </w:r>
      <w:r w:rsidRPr="00A10256">
        <w:t xml:space="preserve"> The most profound deficit in the </w:t>
      </w:r>
      <w:r w:rsidR="000A0DC3">
        <w:t>h</w:t>
      </w:r>
      <w:r w:rsidR="000A0DC3" w:rsidRPr="00A06953">
        <w:t>omologous recombination repair</w:t>
      </w:r>
      <w:r w:rsidR="000A0DC3">
        <w:t xml:space="preserve"> (</w:t>
      </w:r>
      <w:r w:rsidR="00A55817">
        <w:t>HRR</w:t>
      </w:r>
      <w:r w:rsidR="000A0DC3">
        <w:t>)</w:t>
      </w:r>
      <w:r w:rsidRPr="00A10256">
        <w:t xml:space="preserve"> pathway is seen in tumours with BRCA mutations. However, in the absence of BRCA mutations, the HRR pathway may be compromised by other mechanisms, examples of</w:t>
      </w:r>
      <w:r w:rsidR="00423FB9">
        <w:t xml:space="preserve"> which include loss of function</w:t>
      </w:r>
      <w:r w:rsidRPr="00A10256">
        <w:t xml:space="preserve"> mutation in other HRR genes, including </w:t>
      </w:r>
      <w:r w:rsidR="00423FB9" w:rsidRPr="00423FB9">
        <w:t xml:space="preserve">BRCA1 </w:t>
      </w:r>
      <w:r w:rsidR="007A0BF1">
        <w:t>i</w:t>
      </w:r>
      <w:r w:rsidR="00423FB9" w:rsidRPr="00423FB9">
        <w:t xml:space="preserve">nteracting </w:t>
      </w:r>
      <w:r w:rsidR="007A0BF1">
        <w:t>p</w:t>
      </w:r>
      <w:r w:rsidR="00423FB9" w:rsidRPr="00423FB9">
        <w:t>rotein C-</w:t>
      </w:r>
      <w:r w:rsidR="007A0BF1">
        <w:t>t</w:t>
      </w:r>
      <w:r w:rsidR="00423FB9" w:rsidRPr="00423FB9">
        <w:t xml:space="preserve">erminal </w:t>
      </w:r>
      <w:r w:rsidR="007A0BF1">
        <w:t>h</w:t>
      </w:r>
      <w:r w:rsidR="007A0BF1" w:rsidRPr="00423FB9">
        <w:t xml:space="preserve">elicase </w:t>
      </w:r>
      <w:r w:rsidR="00423FB9" w:rsidRPr="00423FB9">
        <w:t>1</w:t>
      </w:r>
      <w:r w:rsidR="00423FB9">
        <w:t>(</w:t>
      </w:r>
      <w:r w:rsidRPr="00A10256">
        <w:t>BRIP1</w:t>
      </w:r>
      <w:r w:rsidR="00423FB9">
        <w:t>)</w:t>
      </w:r>
      <w:r w:rsidRPr="00A10256">
        <w:t xml:space="preserve"> and </w:t>
      </w:r>
      <w:r w:rsidR="00423FB9">
        <w:t>Rad51 paralog B (</w:t>
      </w:r>
      <w:r w:rsidRPr="00A10256">
        <w:t>RAD51B</w:t>
      </w:r>
      <w:r w:rsidR="00423FB9">
        <w:t>)</w:t>
      </w:r>
      <w:r w:rsidRPr="00A10256">
        <w:t>, and epigenetic inactivation of BRCA1. The relationship between sensitivity to olaparib and DNA repair deficiency is therefore likely to be more akin to a continuo</w:t>
      </w:r>
      <w:r>
        <w:t>us rather discrete variable; for example</w:t>
      </w:r>
      <w:r w:rsidRPr="00A10256">
        <w:t xml:space="preserve"> patients with a BRCA mutation are highly sensitive to PARP inhibition but the lack of a BRCA mutation does not preclude sensitivity to olaparib.</w:t>
      </w:r>
    </w:p>
    <w:p w14:paraId="2D5F5F4B" w14:textId="24BD55A0" w:rsidR="001F2D1F" w:rsidRDefault="001F2D1F" w:rsidP="001F2D1F">
      <w:r w:rsidRPr="00A10256">
        <w:t xml:space="preserve">The </w:t>
      </w:r>
      <w:r w:rsidR="00423FB9">
        <w:t>platinum sensitive relapsed</w:t>
      </w:r>
      <w:r w:rsidRPr="00A10256">
        <w:t xml:space="preserve"> ovarian cancer landscape has evolved significantly in the past few years. While multiple randomised controlled trials have demonstrated th</w:t>
      </w:r>
      <w:r w:rsidR="003376F7">
        <w:t>at platinum sensitive BRCA mutation</w:t>
      </w:r>
      <w:r w:rsidRPr="00A10256">
        <w:t xml:space="preserve"> patients have profound response to maintenance treatment with PARP inhibitors, consistent with the </w:t>
      </w:r>
      <w:r w:rsidR="003376F7">
        <w:t>mechanism of action</w:t>
      </w:r>
      <w:r w:rsidRPr="00A10256">
        <w:t xml:space="preserve"> of PARP inhibition, clinically relevant benefit has also been seen in patients whose tumours do not harbour BRCA mutations (</w:t>
      </w:r>
      <w:r w:rsidR="001F00F8">
        <w:t>Study 19</w:t>
      </w:r>
      <w:r w:rsidR="00EE2122">
        <w:t xml:space="preserve"> (</w:t>
      </w:r>
      <w:r w:rsidRPr="00A10256">
        <w:t>olaparib</w:t>
      </w:r>
      <w:r w:rsidR="003C2823">
        <w:t>)</w:t>
      </w:r>
      <w:r w:rsidRPr="00A10256">
        <w:t>, NOVA</w:t>
      </w:r>
      <w:r w:rsidR="00EE2122">
        <w:t xml:space="preserve"> </w:t>
      </w:r>
      <w:r w:rsidR="007A0BF1">
        <w:t xml:space="preserve">trial </w:t>
      </w:r>
      <w:r w:rsidR="00EE2122">
        <w:t>(</w:t>
      </w:r>
      <w:r w:rsidRPr="00A10256">
        <w:t>niraparib</w:t>
      </w:r>
      <w:r w:rsidR="003C2823">
        <w:t>)</w:t>
      </w:r>
      <w:r w:rsidRPr="00A10256">
        <w:t>, and ARIEL3</w:t>
      </w:r>
      <w:r w:rsidR="007A0BF1">
        <w:t xml:space="preserve"> trial</w:t>
      </w:r>
      <w:r w:rsidR="0020202A">
        <w:t xml:space="preserve"> </w:t>
      </w:r>
      <w:r w:rsidR="00EE2122">
        <w:t>(</w:t>
      </w:r>
      <w:r w:rsidRPr="00A10256">
        <w:t>rucaparib</w:t>
      </w:r>
      <w:r w:rsidR="003C2823">
        <w:t>)</w:t>
      </w:r>
      <w:r w:rsidRPr="00A10256">
        <w:t xml:space="preserve">). While not fully elucidated it is likely that these responders have defects in other components of HRR pathways. HRR is a complex system involving many overlapping and complementary pathways and currently available diagnostic technology to identify patients with defects in this system lags behind the clinical benefit being demonstrated in these patients by PARP inhibitors as a class. Instead, these data from clinical trials with </w:t>
      </w:r>
      <w:r w:rsidRPr="00A10256">
        <w:lastRenderedPageBreak/>
        <w:t>PARP inhibitors support the hypothesis that platinum sensitivity itself is a clinic</w:t>
      </w:r>
      <w:r>
        <w:t>al selection biomarker for HRD.</w:t>
      </w:r>
    </w:p>
    <w:p w14:paraId="3ED792D1" w14:textId="77777777" w:rsidR="001F2D1F" w:rsidRDefault="001F2D1F" w:rsidP="001F2D1F">
      <w:r w:rsidRPr="00A10256">
        <w:t>Clinical selection based on platinum sensitivity outperforms current diagnostics. Currently there is no comprehensive method for identi</w:t>
      </w:r>
      <w:r>
        <w:t xml:space="preserve">fying patients with HRD. While the sponsor </w:t>
      </w:r>
      <w:r w:rsidRPr="00A10256">
        <w:t xml:space="preserve">has active clinical studies exploring a range of HRD based patient selection hypotheses, there are no beyond BRCA diagnostics in routine clinical use or that have received regulatory approval. The clinical evidence of olaparib benefit in patients with non BRCA mutated </w:t>
      </w:r>
      <w:r w:rsidR="003376F7">
        <w:t>platinum sensitive relapsed</w:t>
      </w:r>
      <w:r w:rsidRPr="00A10256">
        <w:t xml:space="preserve"> ovarian cancer together with mechanistic linkage indicate that platinum sensitivity and response to platinum containing therapy are appropriate clinical selection factors to identify patients likely to benefit from olaparib treatment.</w:t>
      </w:r>
    </w:p>
    <w:p w14:paraId="6F283C35" w14:textId="77777777" w:rsidR="001F2D1F" w:rsidRDefault="001F2D1F" w:rsidP="001F2D1F">
      <w:pPr>
        <w:pStyle w:val="Heading5"/>
      </w:pPr>
      <w:r w:rsidRPr="00A10256">
        <w:t>Robustness of Study D0810C0</w:t>
      </w:r>
      <w:r>
        <w:t>0019 (</w:t>
      </w:r>
      <w:r w:rsidR="001F00F8">
        <w:t>Study 19</w:t>
      </w:r>
      <w:r>
        <w:t>) design and data</w:t>
      </w:r>
    </w:p>
    <w:p w14:paraId="759AA6C0" w14:textId="77777777" w:rsidR="001F2D1F" w:rsidRDefault="001F00F8" w:rsidP="001F2D1F">
      <w:r>
        <w:t>Study 19</w:t>
      </w:r>
      <w:r w:rsidR="001F2D1F" w:rsidRPr="00A10256">
        <w:t>, a pivotal study in this application, was a large (n</w:t>
      </w:r>
      <w:r w:rsidR="003376F7">
        <w:t xml:space="preserve"> </w:t>
      </w:r>
      <w:r w:rsidR="001F2D1F" w:rsidRPr="00A10256">
        <w:t>=</w:t>
      </w:r>
      <w:r w:rsidR="003376F7">
        <w:t xml:space="preserve"> </w:t>
      </w:r>
      <w:r w:rsidR="001F2D1F" w:rsidRPr="00A10256">
        <w:t>265), randomised, double blind, placebo controlled, multicentre study of olaparib maintenance treatment for patients with platinum sensitive relapsed serous ovarian cancer. Patients were randomised 1:1 to receive either olaparib (136 patients) or placebo (129 pa</w:t>
      </w:r>
      <w:r w:rsidR="003376F7">
        <w:t xml:space="preserve">tients). The full analysis set </w:t>
      </w:r>
      <w:r w:rsidR="001F2D1F" w:rsidRPr="00A10256">
        <w:t>included all randomised patients, irrespective of BRCA mutation status, representing the in</w:t>
      </w:r>
      <w:r w:rsidR="003376F7">
        <w:t>tent to treat</w:t>
      </w:r>
      <w:r w:rsidR="001F2D1F">
        <w:t xml:space="preserve"> population.</w:t>
      </w:r>
    </w:p>
    <w:p w14:paraId="48FC0A5C" w14:textId="78CD684A" w:rsidR="001F2D1F" w:rsidRDefault="001F2D1F" w:rsidP="001F2D1F">
      <w:r w:rsidRPr="00A10256">
        <w:t xml:space="preserve">In </w:t>
      </w:r>
      <w:r w:rsidR="001F00F8">
        <w:t>Study 19</w:t>
      </w:r>
      <w:r w:rsidR="003376F7">
        <w:t xml:space="preserve">, 51% of patients (136 out of </w:t>
      </w:r>
      <w:r w:rsidRPr="00A10256">
        <w:t>265) were identified to be BRCA mutated in either the germline and/or the tumour. The rest of the patients were classified as BRCA</w:t>
      </w:r>
      <w:r w:rsidR="003376F7">
        <w:t xml:space="preserve"> </w:t>
      </w:r>
      <w:r w:rsidRPr="00A10256">
        <w:t>w</w:t>
      </w:r>
      <w:r w:rsidR="003376F7">
        <w:t>ild</w:t>
      </w:r>
      <w:r w:rsidRPr="00A10256">
        <w:t>t</w:t>
      </w:r>
      <w:r w:rsidR="003376F7">
        <w:t>ype</w:t>
      </w:r>
      <w:r w:rsidRPr="00A10256">
        <w:t>/unknown (n</w:t>
      </w:r>
      <w:r w:rsidR="003376F7">
        <w:t xml:space="preserve"> </w:t>
      </w:r>
      <w:r w:rsidRPr="00A10256">
        <w:t>=</w:t>
      </w:r>
      <w:r w:rsidR="003376F7">
        <w:t xml:space="preserve"> </w:t>
      </w:r>
      <w:r w:rsidRPr="00A10256">
        <w:t>118, which included patients with a variant of uncertain significance), or BRCA missing (n</w:t>
      </w:r>
      <w:r w:rsidR="003376F7">
        <w:t xml:space="preserve"> </w:t>
      </w:r>
      <w:r w:rsidRPr="00A10256">
        <w:t>=</w:t>
      </w:r>
      <w:r w:rsidR="003376F7">
        <w:t xml:space="preserve"> </w:t>
      </w:r>
      <w:r w:rsidRPr="00A10256">
        <w:t>11, for whom there were insufficient data to allow classification of mutation status). At study entry</w:t>
      </w:r>
      <w:r w:rsidR="009467A3">
        <w:t>,</w:t>
      </w:r>
      <w:r w:rsidRPr="00A10256">
        <w:t xml:space="preserve"> g</w:t>
      </w:r>
      <w:r w:rsidR="00F960D8">
        <w:t xml:space="preserve">ermline </w:t>
      </w:r>
      <w:r w:rsidR="003376F7">
        <w:t>BRCA status was known for 98 </w:t>
      </w:r>
      <w:r w:rsidRPr="00A10256">
        <w:t>patients (60 patients were reported as having g</w:t>
      </w:r>
      <w:r w:rsidR="00F960D8">
        <w:t xml:space="preserve">ermline </w:t>
      </w:r>
      <w:r w:rsidRPr="00A10256">
        <w:t>BRCA</w:t>
      </w:r>
      <w:r w:rsidR="003376F7">
        <w:t xml:space="preserve"> mutation</w:t>
      </w:r>
      <w:r>
        <w:t xml:space="preserve"> and 38 patients were BRCA</w:t>
      </w:r>
      <w:r w:rsidR="003376F7">
        <w:t xml:space="preserve"> wildtype</w:t>
      </w:r>
      <w:r>
        <w:t>).</w:t>
      </w:r>
    </w:p>
    <w:p w14:paraId="082659F2" w14:textId="77777777" w:rsidR="001F2D1F" w:rsidRDefault="001F2D1F" w:rsidP="001F2D1F">
      <w:r w:rsidRPr="00A10256">
        <w:t xml:space="preserve">The proportion of patients identified as harbouring a BRCA mutation in </w:t>
      </w:r>
      <w:r w:rsidR="001F00F8">
        <w:t>Study 19</w:t>
      </w:r>
      <w:r w:rsidRPr="00A10256">
        <w:t xml:space="preserve"> is larger than might have been predicted based on figures for newly diagnosed ovarian cancer patients. However, the clinical selectio</w:t>
      </w:r>
      <w:r w:rsidR="003376F7">
        <w:t xml:space="preserve">n of platinum </w:t>
      </w:r>
      <w:r w:rsidRPr="00A10256">
        <w:t>sensitive patients who are also in response to platinum containing chemotherapy is considered to have enriched</w:t>
      </w:r>
      <w:r w:rsidR="003376F7">
        <w:t xml:space="preserve"> for HRD tumours, of which BRCA mutated</w:t>
      </w:r>
      <w:r w:rsidRPr="00A10256">
        <w:t xml:space="preserve"> tumours are the most common in an o</w:t>
      </w:r>
      <w:r>
        <w:t>varian cancer population. To the sponsor</w:t>
      </w:r>
      <w:r w:rsidRPr="00A10256">
        <w:t xml:space="preserve">’s knowledge, </w:t>
      </w:r>
      <w:r w:rsidR="001F00F8">
        <w:t>Study 19</w:t>
      </w:r>
      <w:r w:rsidRPr="00A10256">
        <w:t xml:space="preserve"> is the first and only large </w:t>
      </w:r>
      <w:r w:rsidR="003376F7">
        <w:t>randomised control trial</w:t>
      </w:r>
      <w:r w:rsidRPr="00A10256">
        <w:t xml:space="preserve"> of a PARP inhibitor in the </w:t>
      </w:r>
      <w:r w:rsidR="003376F7">
        <w:t>platinum sensitive relapsed</w:t>
      </w:r>
      <w:r w:rsidRPr="00A10256">
        <w:t xml:space="preserve"> setting unselected for BRCA mutation and the patient population is considered representative of the intended population.</w:t>
      </w:r>
    </w:p>
    <w:p w14:paraId="42554951" w14:textId="2008B346" w:rsidR="001F2D1F" w:rsidRDefault="001F00F8" w:rsidP="001F2D1F">
      <w:r>
        <w:t>Study 19</w:t>
      </w:r>
      <w:r w:rsidR="001F2D1F" w:rsidRPr="00A10256">
        <w:t xml:space="preserve"> met its primary endpoint of significantly prolonging investigator assessed </w:t>
      </w:r>
      <w:r w:rsidR="003376F7">
        <w:t>PFS</w:t>
      </w:r>
      <w:r w:rsidR="001F2D1F" w:rsidRPr="00A10256">
        <w:t xml:space="preserve"> (58% maturity) in the </w:t>
      </w:r>
      <w:r w:rsidR="003376F7">
        <w:t>full analysis set</w:t>
      </w:r>
      <w:r w:rsidR="001F2D1F" w:rsidRPr="00A10256">
        <w:t xml:space="preserve"> for patients treated with maintenance olaparib versus placebo (PFS </w:t>
      </w:r>
      <w:r w:rsidR="003376F7">
        <w:t>HR</w:t>
      </w:r>
      <w:r w:rsidR="001F2D1F" w:rsidRPr="00A10256">
        <w:t xml:space="preserve"> 0.35; </w:t>
      </w:r>
      <w:r w:rsidR="003C2823">
        <w:t>(</w:t>
      </w:r>
      <w:r w:rsidR="001F2D1F" w:rsidRPr="00A10256">
        <w:t>95% CI</w:t>
      </w:r>
      <w:r w:rsidR="003376F7">
        <w:t xml:space="preserve"> </w:t>
      </w:r>
      <w:r w:rsidR="001F2D1F" w:rsidRPr="00A10256">
        <w:t>0.25 to 0.49</w:t>
      </w:r>
      <w:r w:rsidR="003C2823">
        <w:t>)</w:t>
      </w:r>
      <w:r w:rsidR="001F2D1F" w:rsidRPr="00A10256">
        <w:t>; p</w:t>
      </w:r>
      <w:r w:rsidR="003376F7">
        <w:t xml:space="preserve"> </w:t>
      </w:r>
      <w:r w:rsidR="001F2D1F" w:rsidRPr="00A10256">
        <w:t>&lt;</w:t>
      </w:r>
      <w:r w:rsidR="003376F7">
        <w:t xml:space="preserve"> </w:t>
      </w:r>
      <w:r w:rsidR="001F2D1F" w:rsidRPr="00A10256">
        <w:t xml:space="preserve">0.00001; median 8.4 </w:t>
      </w:r>
      <w:r w:rsidR="001F2D1F">
        <w:t>versus</w:t>
      </w:r>
      <w:r w:rsidR="001F2D1F" w:rsidRPr="00A10256">
        <w:t xml:space="preserve"> 4.8</w:t>
      </w:r>
      <w:r w:rsidR="009467A3">
        <w:t> </w:t>
      </w:r>
      <w:r w:rsidR="001F2D1F" w:rsidRPr="00A10256">
        <w:t>months). The Kaplan Meier plot for PFS showed early and consistent separation in favour of olaparib treated patients. The primary analysis of PFS by investigator assessment was confirmed by all sensitivity analyses, including blinded independent central review. While the greatest benefit of effect with ol</w:t>
      </w:r>
      <w:r w:rsidR="003376F7">
        <w:t xml:space="preserve">aparib was observed in the BRCA mutant subgroup (PFS HR 0.18; </w:t>
      </w:r>
      <w:r w:rsidR="003C2823">
        <w:t>(</w:t>
      </w:r>
      <w:r w:rsidR="003376F7">
        <w:t xml:space="preserve">95% CI </w:t>
      </w:r>
      <w:r w:rsidR="001F2D1F" w:rsidRPr="00A10256">
        <w:t>0.10 to 0.31</w:t>
      </w:r>
      <w:r w:rsidR="003C2823">
        <w:t>)</w:t>
      </w:r>
      <w:r w:rsidR="001F2D1F" w:rsidRPr="00A10256">
        <w:t>), the clinically relevant treatmen</w:t>
      </w:r>
      <w:r w:rsidR="003376F7">
        <w:t xml:space="preserve">t benefit observed in the BRCA wildtype subgroup (PFS HR 0.54; </w:t>
      </w:r>
      <w:r w:rsidR="003C2823">
        <w:t>(</w:t>
      </w:r>
      <w:r w:rsidR="003376F7">
        <w:t xml:space="preserve">95% CI </w:t>
      </w:r>
      <w:r w:rsidR="001F2D1F" w:rsidRPr="00A10256">
        <w:t>0.34 to 0.85</w:t>
      </w:r>
      <w:r w:rsidR="003C2823">
        <w:t>)</w:t>
      </w:r>
      <w:r w:rsidR="001F2D1F" w:rsidRPr="00A10256">
        <w:t>) indicates the overall treatment effect is n</w:t>
      </w:r>
      <w:r w:rsidR="001F2D1F">
        <w:t>ot driven by a single subgroup.</w:t>
      </w:r>
    </w:p>
    <w:p w14:paraId="5CEA8F4D" w14:textId="77777777" w:rsidR="001F2D1F" w:rsidRDefault="001F2D1F" w:rsidP="001F2D1F">
      <w:r w:rsidRPr="00A10256">
        <w:t>The data from all the secondary endpoints are highly consistent with the primary PFS analysis and demonstrate a large, meaningful benefit for olaparib using efficacy endpoints that have been recommended by the ovarian clinical community and provide a high degree of confidence in the overall effi</w:t>
      </w:r>
      <w:r w:rsidR="005F6FFC">
        <w:t xml:space="preserve">cacy observed </w:t>
      </w:r>
      <w:r w:rsidR="005F6FFC" w:rsidRPr="000A0DC3">
        <w:t xml:space="preserve">(see Table </w:t>
      </w:r>
      <w:r w:rsidR="000A0DC3" w:rsidRPr="000A0DC3">
        <w:t>31</w:t>
      </w:r>
      <w:r w:rsidR="005F6FFC">
        <w:t>).</w:t>
      </w:r>
    </w:p>
    <w:p w14:paraId="2D8865E0" w14:textId="419A47BD" w:rsidR="005A0576" w:rsidRDefault="000A0DC3" w:rsidP="005A0576">
      <w:pPr>
        <w:pStyle w:val="TableTitle"/>
      </w:pPr>
      <w:r>
        <w:lastRenderedPageBreak/>
        <w:t>Table 31</w:t>
      </w:r>
      <w:r w:rsidR="005A0576">
        <w:t>:</w:t>
      </w:r>
      <w:r w:rsidR="005A0576" w:rsidRPr="005A0576">
        <w:t xml:space="preserve"> PFS, OS, TFST and TSST data in subgroups across Study 19 and </w:t>
      </w:r>
      <w:r w:rsidR="009467A3">
        <w:t xml:space="preserve">the </w:t>
      </w:r>
      <w:r w:rsidR="00205AC8">
        <w:t>SOLO-2</w:t>
      </w:r>
      <w:r w:rsidR="009467A3">
        <w:t xml:space="preserve"> trial</w:t>
      </w:r>
    </w:p>
    <w:p w14:paraId="64B9013D" w14:textId="77777777" w:rsidR="005F6FFC" w:rsidRDefault="005A0576" w:rsidP="001F2D1F">
      <w:r>
        <w:rPr>
          <w:noProof/>
          <w:lang w:eastAsia="en-AU"/>
        </w:rPr>
        <w:drawing>
          <wp:inline distT="0" distB="0" distL="0" distR="0" wp14:anchorId="1C42F899" wp14:editId="5047BBD4">
            <wp:extent cx="5400040" cy="3994068"/>
            <wp:effectExtent l="0" t="0" r="0" b="6985"/>
            <wp:docPr id="5" name="Picture 5" descr="PFS, OS, TFST and TSST data in subgroups across Study 19 and S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994068"/>
                    </a:xfrm>
                    <a:prstGeom prst="rect">
                      <a:avLst/>
                    </a:prstGeom>
                  </pic:spPr>
                </pic:pic>
              </a:graphicData>
            </a:graphic>
          </wp:inline>
        </w:drawing>
      </w:r>
    </w:p>
    <w:p w14:paraId="28716A36" w14:textId="77777777" w:rsidR="001F2D1F" w:rsidRDefault="001F2D1F" w:rsidP="001F2D1F">
      <w:r w:rsidRPr="00A10256">
        <w:t xml:space="preserve">The final </w:t>
      </w:r>
      <w:r>
        <w:t>OS</w:t>
      </w:r>
      <w:r w:rsidRPr="00A10256">
        <w:t xml:space="preserve"> analysis with a median duration of follow up for OS of 6.5 years represents the most comprehens</w:t>
      </w:r>
      <w:r w:rsidR="003376F7">
        <w:t xml:space="preserve">ive dataset with longest follow </w:t>
      </w:r>
      <w:r w:rsidRPr="00A10256">
        <w:t>up for patients treated with a PARP inhibitor. The final analysis showed a favourable prolongation of OS for olaparib treated patients compared to placebo treated patients. The reduced risk of death in olaparib treated patients is reflected by an HR of 0.73 (95% CI 0.55 to 0.95, nominal</w:t>
      </w:r>
      <w:r>
        <w:t xml:space="preserve"> </w:t>
      </w:r>
      <w:r w:rsidRPr="00767594">
        <w:t>p</w:t>
      </w:r>
      <w:r w:rsidR="003376F7">
        <w:t xml:space="preserve"> </w:t>
      </w:r>
      <w:r w:rsidRPr="00767594">
        <w:t>=</w:t>
      </w:r>
      <w:r w:rsidR="003376F7">
        <w:t xml:space="preserve"> </w:t>
      </w:r>
      <w:r w:rsidRPr="00767594">
        <w:t xml:space="preserve">0.02138; statistical significance not reached). The separation in the Kaplan Meier curves in favour of the olaparib arm became most apparent for patients still at risk at 36 months, with flattening of the olaparib curve following this time point. The proportion of patients still alive at 60 months was 29% on olaparib </w:t>
      </w:r>
      <w:r>
        <w:t>versus</w:t>
      </w:r>
      <w:r w:rsidRPr="00767594">
        <w:t xml:space="preserve"> 20% on placebo and at 72 months was 26% on olaparib and 12% on placebo. No new </w:t>
      </w:r>
      <w:r w:rsidR="003376F7">
        <w:t xml:space="preserve">safety signals or long </w:t>
      </w:r>
      <w:r w:rsidRPr="00767594">
        <w:t>term toxicity was observe</w:t>
      </w:r>
      <w:r>
        <w:t>d with the long term follow up.</w:t>
      </w:r>
    </w:p>
    <w:p w14:paraId="2204666C" w14:textId="7F1CC0CE" w:rsidR="001F2D1F" w:rsidRDefault="001F2D1F" w:rsidP="001F2D1F">
      <w:r w:rsidRPr="00767594">
        <w:t xml:space="preserve">An unprecedented duration of clinical benefit is observed in </w:t>
      </w:r>
      <w:r w:rsidR="001F00F8">
        <w:t>Study 19</w:t>
      </w:r>
      <w:r w:rsidRPr="00767594">
        <w:t>, with more than 10% of patients continuing to receive durable benefit from olaparib maintenance treatment for at least 6 years (15 patients</w:t>
      </w:r>
      <w:r w:rsidR="00EE2122">
        <w:t xml:space="preserve"> (</w:t>
      </w:r>
      <w:r w:rsidRPr="00767594">
        <w:t>11%</w:t>
      </w:r>
      <w:r w:rsidR="003C2823">
        <w:t>)</w:t>
      </w:r>
      <w:r w:rsidRPr="00767594">
        <w:t xml:space="preserve"> on olaparib </w:t>
      </w:r>
      <w:r>
        <w:t>versus</w:t>
      </w:r>
      <w:r w:rsidRPr="00767594">
        <w:t xml:space="preserve"> 1 patient</w:t>
      </w:r>
      <w:r w:rsidR="00EE2122">
        <w:t xml:space="preserve"> (</w:t>
      </w:r>
      <w:r w:rsidRPr="00767594">
        <w:t>1</w:t>
      </w:r>
      <w:r w:rsidR="009467A3">
        <w:t> </w:t>
      </w:r>
      <w:r w:rsidRPr="00767594">
        <w:t>%</w:t>
      </w:r>
      <w:r w:rsidR="003C2823">
        <w:t>)</w:t>
      </w:r>
      <w:r w:rsidRPr="00767594">
        <w:t xml:space="preserve"> on placebo). Moreover, the long</w:t>
      </w:r>
      <w:r>
        <w:t>-</w:t>
      </w:r>
      <w:r w:rsidRPr="00767594">
        <w:t>term benefit from ol</w:t>
      </w:r>
      <w:r w:rsidR="003376F7">
        <w:t>aparib was not confined to BRCA mutated</w:t>
      </w:r>
      <w:r w:rsidRPr="00767594">
        <w:t xml:space="preserve"> patients. Of the 15 patients who received olaparib maintenance treatment for ≥</w:t>
      </w:r>
      <w:r w:rsidR="003376F7">
        <w:t> </w:t>
      </w:r>
      <w:r w:rsidRPr="00767594">
        <w:t>6</w:t>
      </w:r>
      <w:r w:rsidR="009467A3">
        <w:t> </w:t>
      </w:r>
      <w:r w:rsidRPr="00767594">
        <w:t xml:space="preserve">years, 9 are now known to have a BRCA mutation in their tumour or blood sample with 1 of the remaining 6 patients not evaluable </w:t>
      </w:r>
      <w:r w:rsidR="003376F7">
        <w:t xml:space="preserve">for tumour BRCA status. Hence 5 out of </w:t>
      </w:r>
      <w:r w:rsidRPr="00767594">
        <w:t>15</w:t>
      </w:r>
      <w:r w:rsidR="009467A3">
        <w:t> </w:t>
      </w:r>
      <w:r w:rsidRPr="00767594">
        <w:t>patients treated with olaparib for more than 6 years had no detectable BRCA mutation. Tumours tested negative for additional candidate bio</w:t>
      </w:r>
      <w:r w:rsidR="003376F7">
        <w:t>markers (HRR wildtype or BRCA wildtype</w:t>
      </w:r>
      <w:r w:rsidRPr="00767594">
        <w:t>/HRD negative) were found amongst the patients who remaine</w:t>
      </w:r>
      <w:r>
        <w:t>d on olaparib for over 6 years.</w:t>
      </w:r>
    </w:p>
    <w:p w14:paraId="1DD9F7AE" w14:textId="77777777" w:rsidR="001F2D1F" w:rsidRDefault="001F2D1F" w:rsidP="001F2D1F">
      <w:r w:rsidRPr="00767594">
        <w:t>This shows unprecedented benefit in a disease setting where the median PFS with platinum based doublet chemotherapy at first or sec</w:t>
      </w:r>
      <w:r w:rsidR="003376F7">
        <w:t>ond relapse is approximately 12 </w:t>
      </w:r>
      <w:r w:rsidRPr="00767594">
        <w:t>months from the start of chemotherapy and median sur</w:t>
      </w:r>
      <w:r>
        <w:t>vival is approximately 3 years.</w:t>
      </w:r>
    </w:p>
    <w:p w14:paraId="4DFF9BC3" w14:textId="77777777" w:rsidR="001F2D1F" w:rsidRDefault="001F2D1F" w:rsidP="001F2D1F">
      <w:r w:rsidRPr="00767594">
        <w:lastRenderedPageBreak/>
        <w:t>With the prolonged duration of follo</w:t>
      </w:r>
      <w:r w:rsidR="003376F7">
        <w:t xml:space="preserve">w </w:t>
      </w:r>
      <w:r w:rsidRPr="00767594">
        <w:t xml:space="preserve">up that exceeds that of any other PARP </w:t>
      </w:r>
      <w:r w:rsidR="000A0DC3" w:rsidRPr="00767594">
        <w:t>inhibitor;</w:t>
      </w:r>
      <w:r w:rsidRPr="00767594">
        <w:t xml:space="preserve"> olaparib has a well characterised and distinct safety profile. In </w:t>
      </w:r>
      <w:r w:rsidR="001F00F8">
        <w:t>Study 19</w:t>
      </w:r>
      <w:r w:rsidRPr="00767594">
        <w:t>, almost a quarter of patients stayed on olaparib treatment for over 2 years, with &gt;</w:t>
      </w:r>
      <w:r w:rsidR="003376F7">
        <w:t xml:space="preserve"> </w:t>
      </w:r>
      <w:r w:rsidRPr="00767594">
        <w:t>10% of patients staying on for over 6 years, supporting the st</w:t>
      </w:r>
      <w:r>
        <w:t>atement that olaparib is a well-</w:t>
      </w:r>
      <w:r w:rsidRPr="00767594">
        <w:t>tolerated drug that is appropriate for prolonged administration.</w:t>
      </w:r>
    </w:p>
    <w:p w14:paraId="6207619A" w14:textId="77777777" w:rsidR="001F2D1F" w:rsidRDefault="001F2D1F" w:rsidP="001F2D1F">
      <w:pPr>
        <w:pStyle w:val="Heading5"/>
      </w:pPr>
      <w:r>
        <w:t>Limited treatment options</w:t>
      </w:r>
    </w:p>
    <w:p w14:paraId="50384203" w14:textId="77777777" w:rsidR="001F2D1F" w:rsidRDefault="001F2D1F" w:rsidP="001F2D1F">
      <w:r w:rsidRPr="005B0412">
        <w:t xml:space="preserve">Current standard of care for patients with </w:t>
      </w:r>
      <w:r w:rsidR="003376F7">
        <w:t xml:space="preserve">platinum sensitive relapsed ovarian cancer is platinum </w:t>
      </w:r>
      <w:r w:rsidRPr="005B0412">
        <w:t xml:space="preserve">based chemotherapy given for 6 cycles, followed by a period of observation when patients are monitored for the inevitable disease recurrence. In </w:t>
      </w:r>
      <w:r w:rsidR="003376F7">
        <w:t>platinum sensitive relapsed</w:t>
      </w:r>
      <w:r w:rsidRPr="005B0412">
        <w:t xml:space="preserve"> ovarian cancer, the pattern of recurrence and response followed by further recurrence means that patients can receive multiple lines of chemotherapy during the course of their disease. Given the toxicities of platinum chemotherapy, the number of treatment cycles </w:t>
      </w:r>
      <w:r>
        <w:t>is</w:t>
      </w:r>
      <w:r w:rsidRPr="005B0412">
        <w:t xml:space="preserve"> generally limited. As the number of relapses increases, the duration of any response diminishes leading to a shorter time before further chemotherapy is required, a shorter time to recover from chemotherapy associated toxicities and an increased likelihood of chemotherapy related cumulative toxicity. Following multiple relapses, patients will ultimately succumb to their disease. Treatment with olaparib extends the duration of time before a patient must undergo another course of chemotherapy treatment. For patients with terminal cancer, this extended period without cytotoxic chemotherapy and frequent, time</w:t>
      </w:r>
      <w:r w:rsidR="003376F7">
        <w:t xml:space="preserve"> </w:t>
      </w:r>
      <w:r w:rsidRPr="005B0412">
        <w:t>consuming visits to the chemotherapy clinic gives th</w:t>
      </w:r>
      <w:r>
        <w:t>em an improved quality of life.</w:t>
      </w:r>
    </w:p>
    <w:p w14:paraId="19494A9A" w14:textId="77777777" w:rsidR="001F2D1F" w:rsidRDefault="001F2D1F" w:rsidP="001F2D1F">
      <w:r w:rsidRPr="005B0412">
        <w:t>Treatment options for relapsed ovarian cancer in the Australia</w:t>
      </w:r>
      <w:r>
        <w:t xml:space="preserve"> include bevacizumab (Avastin</w:t>
      </w:r>
      <w:r w:rsidRPr="005B0412">
        <w:t>), either in combination with carboplatin and gemcitabine for the treatment of patients with first recurrence of platinu</w:t>
      </w:r>
      <w:r w:rsidR="003376F7">
        <w:t xml:space="preserve">m </w:t>
      </w:r>
      <w:r w:rsidRPr="005B0412">
        <w:t>sensitive epithelial ovarian, fallopian tube or primary peritoneal cancer who have not received prior therapy with bevacizumab or other VEGF-targeted angiogenesis inhibitors for 6 to 8 cycles and is then continued as a single agent in patients who are in response. This requi</w:t>
      </w:r>
      <w:r w:rsidR="003376F7">
        <w:t>res patients to present every 3 </w:t>
      </w:r>
      <w:r w:rsidRPr="005B0412">
        <w:t>weeks for an intravenous infusion, with the associated inconvenience to patients and burden on the health system. The pivotal study showed a 4 month improvement in median PFS (HR 0.48</w:t>
      </w:r>
      <w:r w:rsidR="00EE2122">
        <w:t xml:space="preserve"> (</w:t>
      </w:r>
      <w:r w:rsidRPr="005B0412">
        <w:t>95% CI 0.38 to 0.61</w:t>
      </w:r>
      <w:r w:rsidR="003C2823">
        <w:t>)</w:t>
      </w:r>
      <w:r w:rsidRPr="005B0412">
        <w:t>) and was supported by a non-statistically significant favourable trend in OS (HR 0.95</w:t>
      </w:r>
      <w:r w:rsidR="00EE2122">
        <w:t xml:space="preserve"> (</w:t>
      </w:r>
      <w:r w:rsidRPr="005B0412">
        <w:t>95% CI 0.77 to 1.18</w:t>
      </w:r>
      <w:r w:rsidR="003C2823">
        <w:t>)</w:t>
      </w:r>
      <w:r w:rsidRPr="005B0412">
        <w:t xml:space="preserve">) in </w:t>
      </w:r>
      <w:r w:rsidR="003376F7">
        <w:t>platinum sensitive relapsed</w:t>
      </w:r>
      <w:r w:rsidRPr="005B0412">
        <w:t xml:space="preserve"> ovarian cancer when bevacizumab was added to chemotherapy followed by maintenance bevacizumab, compared to standard of care platinum based chemotherapy. Bevacizumab treatment is associated with some significant toxicity, including but not limited to gastrointestinal perforation and fistulae, arterial and venous thromboembolic events, haemorrhage, proteinuria, hypertension, and posterior reversible </w:t>
      </w:r>
      <w:r>
        <w:t>encephalopathy syndrome.</w:t>
      </w:r>
    </w:p>
    <w:p w14:paraId="2BBFC3CC" w14:textId="503CA443" w:rsidR="001F2D1F" w:rsidRDefault="001F2D1F" w:rsidP="001F2D1F">
      <w:r w:rsidRPr="005B0412">
        <w:t>Olaparib (capsule formulation) is currently the only approved personalised treatment option in the maintena</w:t>
      </w:r>
      <w:r w:rsidR="003376F7">
        <w:t>nce setting for women with BRCA mutated</w:t>
      </w:r>
      <w:r w:rsidRPr="005B0412">
        <w:t xml:space="preserve"> </w:t>
      </w:r>
      <w:r w:rsidR="003376F7">
        <w:t xml:space="preserve">platinum sensitive relapsed high </w:t>
      </w:r>
      <w:r w:rsidRPr="005B0412">
        <w:t>grade serous epithelial ovarian, fallopian tube or primary peritoneal cancer who are in response (complete o</w:t>
      </w:r>
      <w:r w:rsidR="003376F7">
        <w:t xml:space="preserve">r partial response) to platinum </w:t>
      </w:r>
      <w:r w:rsidRPr="005B0412">
        <w:t xml:space="preserve">based chemotherapy available in Australia. The safety profile for olaparib (capsule formulation) is consistent with that observed in </w:t>
      </w:r>
      <w:r w:rsidR="009467A3">
        <w:t xml:space="preserve">the </w:t>
      </w:r>
      <w:r w:rsidR="00205AC8">
        <w:t>SOLO-2</w:t>
      </w:r>
      <w:r>
        <w:t xml:space="preserve"> </w:t>
      </w:r>
      <w:r w:rsidR="009467A3">
        <w:t xml:space="preserve">trial </w:t>
      </w:r>
      <w:r>
        <w:t>with the tablet formulation.</w:t>
      </w:r>
    </w:p>
    <w:p w14:paraId="76C73861" w14:textId="77777777" w:rsidR="001F2D1F" w:rsidRDefault="001F2D1F" w:rsidP="001F2D1F">
      <w:r w:rsidRPr="005B0412">
        <w:t xml:space="preserve">Olaparib (tablet formulation) as a maintenance treatment for women with </w:t>
      </w:r>
      <w:r w:rsidR="003376F7">
        <w:t>platinum sensitive relapsed</w:t>
      </w:r>
      <w:r w:rsidRPr="005B0412">
        <w:t xml:space="preserve"> ovarian cancer provides patients who may have received multiple lines of chemotherapy the opportunity to receive olaparib earlier in the course of their disease, before platinum resistance develops which may limit the effectiveness of PARP inhibition. The tablet formulation of olaparib provides a more convenient, simpler, efficacious, tolerable dosing for patients compared with other currently available treatments for </w:t>
      </w:r>
      <w:r w:rsidR="003376F7">
        <w:t>platinum sensitive relapsed</w:t>
      </w:r>
      <w:r w:rsidRPr="005B0412">
        <w:t xml:space="preserve"> ovarian cancer and meaningfully delays the requirement for further such therapies.</w:t>
      </w:r>
    </w:p>
    <w:p w14:paraId="53CAE82F" w14:textId="77777777" w:rsidR="001F2D1F" w:rsidRDefault="001F2D1F" w:rsidP="001F2D1F">
      <w:pPr>
        <w:pStyle w:val="Heading5"/>
      </w:pPr>
      <w:r w:rsidRPr="005B0412">
        <w:lastRenderedPageBreak/>
        <w:t>Bene</w:t>
      </w:r>
      <w:r>
        <w:t>fit-risk assessment of olaparib</w:t>
      </w:r>
    </w:p>
    <w:p w14:paraId="2A3A3229" w14:textId="77777777" w:rsidR="001F2D1F" w:rsidRDefault="001F2D1F" w:rsidP="001F2D1F">
      <w:r w:rsidRPr="005B0412">
        <w:t xml:space="preserve">Data from </w:t>
      </w:r>
      <w:r w:rsidR="001F00F8">
        <w:t>Study 19</w:t>
      </w:r>
      <w:r w:rsidRPr="005B0412">
        <w:t xml:space="preserve"> demonstrate</w:t>
      </w:r>
      <w:r w:rsidR="003376F7">
        <w:t>s</w:t>
      </w:r>
      <w:r w:rsidRPr="005B0412">
        <w:t xml:space="preserve"> that olaparib has a positive benefit risk profile with a clinically meaningful and statistically significant improvement in PFS in </w:t>
      </w:r>
      <w:r w:rsidR="003376F7">
        <w:t>platinum sensitive relapsed</w:t>
      </w:r>
      <w:r w:rsidRPr="005B0412">
        <w:t xml:space="preserve"> ovarian cancer patients. This is supported by evidence from a range of relevant clinical endpoints, including clear evidence of no detriment and a trend towards benefit for OS. Safety data confirm that olaparib is suitable for long term use in the maintenance setting, with long term follow up of patients receiving the capsule formulation in the maintenance treatment setting demonstrating that up to 24% of </w:t>
      </w:r>
      <w:r w:rsidR="003376F7">
        <w:t>platinum sensitive relapsed</w:t>
      </w:r>
      <w:r w:rsidRPr="005B0412">
        <w:t xml:space="preserve"> ovarian cancer patients remain on olaparib and thereby avoid further therapy for ≥</w:t>
      </w:r>
      <w:r w:rsidR="003376F7">
        <w:t> </w:t>
      </w:r>
      <w:r w:rsidRPr="005B0412">
        <w:t>2 ye</w:t>
      </w:r>
      <w:r>
        <w:t>ars and up to 11% for ≥</w:t>
      </w:r>
      <w:r w:rsidR="003376F7">
        <w:t> </w:t>
      </w:r>
      <w:r>
        <w:t>6 years.</w:t>
      </w:r>
    </w:p>
    <w:p w14:paraId="15A315A1" w14:textId="77777777" w:rsidR="001F2D1F" w:rsidRDefault="001F2D1F" w:rsidP="0071213D">
      <w:r w:rsidRPr="005B0412">
        <w:t xml:space="preserve">Interpretation of overall benefit risk should take into account the biology, science, and existing clinical data available across the field. In the case of olaparib, the target enzyme PARP is present in all tumour cells, not just those of patients with BRCA mutations, and the sensitivity to PARP inhibition has been clearly demonstrated in both biomarker positive and negative subgroups for patients with </w:t>
      </w:r>
      <w:r w:rsidR="003376F7">
        <w:t>platinum sensitive relapsed</w:t>
      </w:r>
      <w:r w:rsidRPr="005B0412">
        <w:t xml:space="preserve"> ovarian cancer. In this regard, the totality of the evidence for olaparib in </w:t>
      </w:r>
      <w:r w:rsidR="003376F7">
        <w:t>platinum sensitive relapsed</w:t>
      </w:r>
      <w:r w:rsidRPr="005B0412">
        <w:t xml:space="preserve"> ovarian cancer, including olaparib’s </w:t>
      </w:r>
      <w:r w:rsidR="003376F7">
        <w:t>mechanism of action</w:t>
      </w:r>
      <w:r w:rsidRPr="005B0412">
        <w:t>, safety profile and data supporting its benefit from primary and supportive secondary endpoints, form the basis for its approval as a maintenance treatment in an unselected</w:t>
      </w:r>
      <w:r>
        <w:t xml:space="preserve"> </w:t>
      </w:r>
      <w:r w:rsidR="003376F7">
        <w:t>platinum sensitive relapsed</w:t>
      </w:r>
      <w:r>
        <w:t xml:space="preserve"> ovarian cancer population.</w:t>
      </w:r>
    </w:p>
    <w:p w14:paraId="2C8186F3" w14:textId="77777777" w:rsidR="001F2D1F" w:rsidRDefault="001F2D1F" w:rsidP="0071213D">
      <w:r w:rsidRPr="0071213D">
        <w:t>The presence of a BRCA mutation appears to represent the strongest known molecular determinant of the magnitude of benefit of olaparib compared to placebo, however, BRCA mutation is a functional marker but not the sole determinant o</w:t>
      </w:r>
      <w:r w:rsidR="003376F7" w:rsidRPr="0071213D">
        <w:t>f the HRD phenotype. While BRCA mutated</w:t>
      </w:r>
      <w:r w:rsidRPr="0071213D">
        <w:t xml:space="preserve"> patients experienced the greatest magnitude of benefit in </w:t>
      </w:r>
      <w:r w:rsidR="001F00F8">
        <w:t>Study 19</w:t>
      </w:r>
      <w:r w:rsidRPr="0071213D">
        <w:t xml:space="preserve">, </w:t>
      </w:r>
      <w:r w:rsidR="003376F7" w:rsidRPr="0071213D">
        <w:t>the data demonstrate that BRCA wildtype</w:t>
      </w:r>
      <w:r w:rsidRPr="0071213D">
        <w:t xml:space="preserve"> patients also derived benefit.</w:t>
      </w:r>
      <w:r w:rsidR="003376F7" w:rsidRPr="0071213D">
        <w:t xml:space="preserve"> Although, the benefit in BRCA wildtype</w:t>
      </w:r>
      <w:r w:rsidRPr="0071213D">
        <w:t xml:space="preserve"> patients is of a lesser magnitude, it remains clinically meaningful as evidenced by 50% reduction in the risk of progression at any point in time for olaparib versus placebo. Based on the totality of data, the sponsor believes the level of benefit observed across biomarker defined subgroups in </w:t>
      </w:r>
      <w:r w:rsidR="001F00F8">
        <w:t>Study 19</w:t>
      </w:r>
      <w:r w:rsidRPr="0071213D">
        <w:t xml:space="preserve"> supports the extension of the proposed indication to include all patients who are in response to a platinum based chemotherapy. Additionally, the different level of benefit observed between the subgroups is presented in the proposed </w:t>
      </w:r>
      <w:r w:rsidR="0020141A" w:rsidRPr="0071213D">
        <w:t>PI</w:t>
      </w:r>
      <w:r w:rsidRPr="0071213D">
        <w:t xml:space="preserve"> thus allowing physicians to make the decision regarding which patients to treat as opposed to limiting olaparib availability to one subgroup.</w:t>
      </w:r>
    </w:p>
    <w:p w14:paraId="0022DA5E" w14:textId="77777777" w:rsidR="001F2D1F" w:rsidRPr="001F2D1F" w:rsidRDefault="001F2D1F" w:rsidP="0071213D">
      <w:r>
        <w:t>The sponsor</w:t>
      </w:r>
      <w:r w:rsidRPr="005B0412">
        <w:t xml:space="preserve"> considers that the clinical selection markers of platinum sensitivity and response to platinum chemotherapy are the most appropriate tools to identify all patients with high grade recurrent ovarian cancer who are sensitive to olaparib, thus supporting the proposed indication. The availability of olaparib as a maintenance treatment in the </w:t>
      </w:r>
      <w:r w:rsidR="0071213D">
        <w:t>platinum sensitive relapsed</w:t>
      </w:r>
      <w:r w:rsidRPr="005B0412">
        <w:t xml:space="preserve"> ovarian cancer setting would provide physicians another treatment option for all patients who are in response to a platinum based chemotherapy, thereby allowing physicians an additional treatment option in </w:t>
      </w:r>
      <w:r w:rsidR="0071213D">
        <w:t>platinum sensitive relapsed</w:t>
      </w:r>
      <w:r w:rsidRPr="005B0412">
        <w:t xml:space="preserve"> ovarian cancer whereby they are able to optimise treatment for each patient based on clinical judgement and experience managing cancer patients.</w:t>
      </w:r>
    </w:p>
    <w:p w14:paraId="54200391" w14:textId="77777777" w:rsidR="008E7846" w:rsidRDefault="008E7846" w:rsidP="008E7846">
      <w:pPr>
        <w:pStyle w:val="Heading4"/>
      </w:pPr>
      <w:r>
        <w:lastRenderedPageBreak/>
        <w:t>Advisory Committee Considerations</w:t>
      </w:r>
      <w:r w:rsidR="00456765">
        <w:rPr>
          <w:rStyle w:val="FootnoteReference"/>
        </w:rPr>
        <w:footnoteReference w:id="19"/>
      </w:r>
    </w:p>
    <w:p w14:paraId="6B35AD16" w14:textId="77777777" w:rsidR="00456765" w:rsidRPr="00A322B3" w:rsidRDefault="00456765" w:rsidP="008E7846">
      <w:r>
        <w:rPr>
          <w:bCs/>
        </w:rPr>
        <w:t>The Delegate did not refer this application to the Advisory Committee on Medicines (ACM) for advice.</w:t>
      </w:r>
    </w:p>
    <w:p w14:paraId="053E244D" w14:textId="77777777" w:rsidR="008E7846" w:rsidRPr="002E238E" w:rsidRDefault="008E7846" w:rsidP="008E7846">
      <w:pPr>
        <w:pStyle w:val="Heading3"/>
      </w:pPr>
      <w:bookmarkStart w:id="259" w:name="_Toc247691532"/>
      <w:bookmarkStart w:id="260" w:name="_Toc314842516"/>
      <w:bookmarkStart w:id="261" w:name="_Toc23326227"/>
      <w:bookmarkEnd w:id="123"/>
      <w:bookmarkEnd w:id="256"/>
      <w:bookmarkEnd w:id="257"/>
      <w:r>
        <w:t>Outcome</w:t>
      </w:r>
      <w:bookmarkEnd w:id="259"/>
      <w:bookmarkEnd w:id="260"/>
      <w:bookmarkEnd w:id="261"/>
    </w:p>
    <w:p w14:paraId="3C034277" w14:textId="1B08AE02" w:rsidR="00D23139" w:rsidRPr="00D23139" w:rsidRDefault="00D23139" w:rsidP="00D23139">
      <w:bookmarkStart w:id="262" w:name="_Toc247691533"/>
      <w:bookmarkStart w:id="263" w:name="_Toc314842517"/>
      <w:r w:rsidRPr="00D23139">
        <w:t xml:space="preserve">Based on a review of quality, safety and efficacy, </w:t>
      </w:r>
      <w:r w:rsidR="009467A3">
        <w:t xml:space="preserve">the </w:t>
      </w:r>
      <w:r w:rsidRPr="00D23139">
        <w:t xml:space="preserve">TGA approved the </w:t>
      </w:r>
      <w:r w:rsidR="001F2D1F">
        <w:t>extension of indication</w:t>
      </w:r>
      <w:r w:rsidR="009467A3">
        <w:t>s</w:t>
      </w:r>
      <w:r w:rsidRPr="00D23139">
        <w:t xml:space="preserve"> of </w:t>
      </w:r>
      <w:r w:rsidR="001F6833">
        <w:t xml:space="preserve">new dosage form </w:t>
      </w:r>
      <w:r w:rsidR="001F2D1F">
        <w:t xml:space="preserve">Lynparza </w:t>
      </w:r>
      <w:r w:rsidR="00767026">
        <w:t xml:space="preserve">tablets </w:t>
      </w:r>
      <w:r w:rsidR="001F2D1F">
        <w:t>cont</w:t>
      </w:r>
      <w:r w:rsidR="00BD5C68">
        <w:t xml:space="preserve">aining olaparib (100 mg and </w:t>
      </w:r>
      <w:r w:rsidR="00EE2122">
        <w:t>150 mg) to:</w:t>
      </w:r>
    </w:p>
    <w:p w14:paraId="64199450" w14:textId="77777777" w:rsidR="001F2D1F" w:rsidRPr="004159A4" w:rsidRDefault="001F2D1F" w:rsidP="001F2D1F">
      <w:pPr>
        <w:ind w:left="720"/>
        <w:rPr>
          <w:i/>
        </w:rPr>
      </w:pPr>
      <w:r w:rsidRPr="004159A4">
        <w:rPr>
          <w:i/>
        </w:rPr>
        <w:t>Olaparib is indicated as monotherapy for the maintenance treatment of adult patients with platinum-sensitive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445BAD09" w14:textId="77777777" w:rsidR="00D23139" w:rsidRPr="00D23139" w:rsidRDefault="00D23139" w:rsidP="00D23139">
      <w:pPr>
        <w:pStyle w:val="Heading4"/>
      </w:pPr>
      <w:r w:rsidRPr="00D23139">
        <w:t>Specific conditions of registration applying to these goods</w:t>
      </w:r>
    </w:p>
    <w:p w14:paraId="0C0A024C" w14:textId="77777777" w:rsidR="001F2D1F" w:rsidRPr="00FA5271" w:rsidRDefault="001F2D1F" w:rsidP="00843E41">
      <w:pPr>
        <w:pStyle w:val="Numberbullet0"/>
      </w:pPr>
      <w:r w:rsidRPr="00FA5271">
        <w:t>Submit the results of the following post-marketing studies, when they become available.</w:t>
      </w:r>
    </w:p>
    <w:p w14:paraId="7706D0C8" w14:textId="77777777" w:rsidR="001F2D1F" w:rsidRPr="005A0576" w:rsidRDefault="001F2D1F" w:rsidP="00843E41">
      <w:pPr>
        <w:pStyle w:val="Numberbullet2"/>
      </w:pPr>
      <w:r w:rsidRPr="005A0576">
        <w:t>S</w:t>
      </w:r>
      <w:r w:rsidR="0071213D">
        <w:t xml:space="preserve">OLO3: olaparib versus physician </w:t>
      </w:r>
      <w:r w:rsidRPr="005A0576">
        <w:t>cho</w:t>
      </w:r>
      <w:r w:rsidR="0071213D">
        <w:t>ice of single agent chemo for third line</w:t>
      </w:r>
      <w:r w:rsidRPr="005A0576">
        <w:t xml:space="preserve"> t</w:t>
      </w:r>
      <w:r w:rsidR="0071213D">
        <w:t xml:space="preserve">reatment of women with platinum </w:t>
      </w:r>
      <w:r w:rsidRPr="005A0576">
        <w:t xml:space="preserve">sensitive relapsed </w:t>
      </w:r>
      <w:r w:rsidR="0071213D">
        <w:t>g</w:t>
      </w:r>
      <w:r w:rsidR="0071213D" w:rsidRPr="00A06953">
        <w:t>e</w:t>
      </w:r>
      <w:r w:rsidR="0071213D">
        <w:t>rmline BRCA mutated</w:t>
      </w:r>
      <w:r w:rsidRPr="005A0576">
        <w:t xml:space="preserve"> ovarian cancer;</w:t>
      </w:r>
    </w:p>
    <w:p w14:paraId="5B848B2E" w14:textId="77777777" w:rsidR="001F2D1F" w:rsidRPr="005A0576" w:rsidRDefault="001F2D1F" w:rsidP="00843E41">
      <w:pPr>
        <w:pStyle w:val="Numberbullet2"/>
      </w:pPr>
      <w:r w:rsidRPr="005A0576">
        <w:t xml:space="preserve">Final OS report for </w:t>
      </w:r>
      <w:r w:rsidR="00205AC8">
        <w:t>SOLO-2</w:t>
      </w:r>
      <w:r w:rsidRPr="005A0576">
        <w:t>; and</w:t>
      </w:r>
    </w:p>
    <w:p w14:paraId="06DC4DBD" w14:textId="1DF81422" w:rsidR="001F2D1F" w:rsidRDefault="001F2D1F" w:rsidP="00843E41">
      <w:pPr>
        <w:pStyle w:val="Numberbullet2"/>
      </w:pPr>
      <w:r w:rsidRPr="005A0576">
        <w:t>OPINION trial: maintenance olaparib treatment in women with g</w:t>
      </w:r>
      <w:r w:rsidR="00F960D8">
        <w:t xml:space="preserve">ermline </w:t>
      </w:r>
      <w:r w:rsidRPr="005A0576">
        <w:t>BRCA</w:t>
      </w:r>
      <w:r w:rsidR="0071213D">
        <w:t xml:space="preserve"> wildtype</w:t>
      </w:r>
      <w:r w:rsidRPr="005A0576">
        <w:t xml:space="preserve"> relapsed ovarian cancer.</w:t>
      </w:r>
    </w:p>
    <w:p w14:paraId="5129118D" w14:textId="063EB6CB" w:rsidR="007E3DA0" w:rsidRPr="005A0576" w:rsidRDefault="007E3DA0" w:rsidP="00843E41">
      <w:pPr>
        <w:pStyle w:val="Numberbullet0"/>
      </w:pPr>
      <w:r>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w:t>
      </w:r>
    </w:p>
    <w:p w14:paraId="4C9EFFF6" w14:textId="77777777" w:rsidR="008E7846" w:rsidRDefault="00A80B5B" w:rsidP="00D23139">
      <w:pPr>
        <w:pStyle w:val="Heading2"/>
      </w:pPr>
      <w:bookmarkStart w:id="264" w:name="_Toc23326228"/>
      <w:r>
        <w:t xml:space="preserve">Attachment 1. </w:t>
      </w:r>
      <w:r w:rsidR="008E7846">
        <w:t xml:space="preserve">Product </w:t>
      </w:r>
      <w:r w:rsidR="00AA0ED0">
        <w:t>I</w:t>
      </w:r>
      <w:r w:rsidR="008E7846">
        <w:t>nformation</w:t>
      </w:r>
      <w:bookmarkEnd w:id="262"/>
      <w:bookmarkEnd w:id="263"/>
      <w:bookmarkEnd w:id="264"/>
    </w:p>
    <w:p w14:paraId="282B4327" w14:textId="7EB0D03C" w:rsidR="00291957" w:rsidRPr="00843E41" w:rsidRDefault="006136D7" w:rsidP="00843E41">
      <w:pPr>
        <w:rPr>
          <w:color w:val="000000"/>
          <w:lang w:eastAsia="en-AU"/>
        </w:rPr>
      </w:pPr>
      <w:r w:rsidRPr="002B3624">
        <w:t xml:space="preserve">The </w:t>
      </w:r>
      <w:r>
        <w:t>PI</w:t>
      </w:r>
      <w:r w:rsidRPr="002B3624">
        <w:t xml:space="preserve"> for </w:t>
      </w:r>
      <w:r w:rsidR="001F2D1F">
        <w:t>Lynparza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5" w:history="1">
        <w:r w:rsidR="007C6B9B" w:rsidRPr="007C6B9B">
          <w:rPr>
            <w:rStyle w:val="Hyperlink"/>
          </w:rPr>
          <w:t>https://www.tga.gov.au/product-information-pi</w:t>
        </w:r>
      </w:hyperlink>
      <w:r w:rsidR="001F2D1F">
        <w:t>&gt;.</w:t>
      </w:r>
    </w:p>
    <w:p w14:paraId="1EBC0184" w14:textId="77777777" w:rsidR="00444C36" w:rsidRDefault="00444C36" w:rsidP="00EE2122">
      <w:pPr>
        <w:autoSpaceDE w:val="0"/>
        <w:autoSpaceDN w:val="0"/>
        <w:adjustRightInd w:val="0"/>
        <w:spacing w:after="0"/>
        <w:rPr>
          <w:lang w:eastAsia="ja-JP"/>
        </w:rPr>
      </w:pPr>
    </w:p>
    <w:p w14:paraId="2D92F055" w14:textId="77777777"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1B9A45E" w14:textId="77777777" w:rsidTr="00A05FA4">
        <w:trPr>
          <w:trHeight w:hRule="exact" w:val="704"/>
        </w:trPr>
        <w:tc>
          <w:tcPr>
            <w:tcW w:w="9175" w:type="dxa"/>
          </w:tcPr>
          <w:p w14:paraId="791ABC60" w14:textId="77777777" w:rsidR="001C32CD" w:rsidRPr="00487162" w:rsidRDefault="001C32CD" w:rsidP="00A05FA4">
            <w:pPr>
              <w:pStyle w:val="TGASignoff"/>
            </w:pPr>
            <w:r w:rsidRPr="00487162">
              <w:lastRenderedPageBreak/>
              <w:t>Therapeutic Goods Administration</w:t>
            </w:r>
          </w:p>
        </w:tc>
      </w:tr>
      <w:tr w:rsidR="001C32CD" w:rsidRPr="004C239D" w14:paraId="6704FC42" w14:textId="77777777" w:rsidTr="00A05FA4">
        <w:trPr>
          <w:trHeight w:val="1221"/>
        </w:trPr>
        <w:tc>
          <w:tcPr>
            <w:tcW w:w="9175" w:type="dxa"/>
            <w:tcMar>
              <w:top w:w="28" w:type="dxa"/>
            </w:tcMar>
          </w:tcPr>
          <w:p w14:paraId="19E3566F" w14:textId="77777777" w:rsidR="001C32CD" w:rsidRPr="00487162" w:rsidRDefault="001C32CD" w:rsidP="00A05FA4">
            <w:pPr>
              <w:pStyle w:val="Address"/>
            </w:pPr>
            <w:r w:rsidRPr="00487162">
              <w:t>PO Box 100 Woden ACT 2606 Australia</w:t>
            </w:r>
          </w:p>
          <w:p w14:paraId="4177A136" w14:textId="77777777"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14:paraId="257079FF" w14:textId="77777777" w:rsidR="001C32CD" w:rsidRPr="004C239D" w:rsidRDefault="003B568B"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14:paraId="454E5AE6"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5DBE4" w14:textId="77777777" w:rsidR="003B568B" w:rsidRDefault="003B568B" w:rsidP="00C40A36">
      <w:pPr>
        <w:spacing w:after="0"/>
      </w:pPr>
      <w:r>
        <w:separator/>
      </w:r>
    </w:p>
  </w:endnote>
  <w:endnote w:type="continuationSeparator" w:id="0">
    <w:p w14:paraId="7D48B783" w14:textId="77777777" w:rsidR="003B568B" w:rsidRDefault="003B568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83" w:usb1="08070000" w:usb2="00000010" w:usb3="00000000" w:csb0="00020009" w:csb1="00000000"/>
  </w:font>
  <w:font w:name="Wingdings 3">
    <w:panose1 w:val="05040102010807070707"/>
    <w:charset w:val="02"/>
    <w:family w:val="roman"/>
    <w:pitch w:val="variable"/>
    <w:sig w:usb0="00000000" w:usb1="10000000" w:usb2="00000000" w:usb3="00000000" w:csb0="80000000" w:csb1="00000000"/>
  </w:font>
  <w:font w:name="Arial,Italic">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6AFD" w14:textId="77777777" w:rsidR="003B568B" w:rsidRDefault="003B5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B568B" w:rsidRPr="00487162" w14:paraId="3B757A89" w14:textId="77777777" w:rsidTr="00DB750B">
      <w:trPr>
        <w:trHeight w:val="269"/>
      </w:trPr>
      <w:tc>
        <w:tcPr>
          <w:tcW w:w="7371" w:type="dxa"/>
          <w:tcMar>
            <w:top w:w="142" w:type="dxa"/>
            <w:bottom w:w="0" w:type="dxa"/>
          </w:tcMar>
        </w:tcPr>
        <w:p w14:paraId="3AD0F2C1" w14:textId="77777777" w:rsidR="003B568B" w:rsidRDefault="003B568B" w:rsidP="003C771E">
          <w:pPr>
            <w:pStyle w:val="Footer"/>
          </w:pPr>
          <w:r w:rsidRPr="00487162">
            <w:t>AusPA</w:t>
          </w:r>
          <w:r>
            <w:t>R - Lynparza - o</w:t>
          </w:r>
          <w:r w:rsidRPr="003C771E">
            <w:t xml:space="preserve">laparib </w:t>
          </w:r>
          <w:r>
            <w:t>–</w:t>
          </w:r>
          <w:r w:rsidRPr="003C771E">
            <w:t xml:space="preserve"> AstraZeneca</w:t>
          </w:r>
          <w:r>
            <w:t xml:space="preserve"> Pty. Ltd.</w:t>
          </w:r>
          <w:r w:rsidRPr="003C771E">
            <w:t xml:space="preserve"> - PM-2017-01451-1-4</w:t>
          </w:r>
        </w:p>
        <w:p w14:paraId="7CFDA875" w14:textId="0DE66F77" w:rsidR="003B568B" w:rsidRPr="00487162" w:rsidRDefault="003B568B" w:rsidP="00963DD4">
          <w:pPr>
            <w:pStyle w:val="Footer"/>
          </w:pPr>
          <w:r>
            <w:t>FINAL 16 October 2019</w:t>
          </w:r>
        </w:p>
      </w:tc>
      <w:tc>
        <w:tcPr>
          <w:tcW w:w="1490" w:type="dxa"/>
          <w:tcMar>
            <w:top w:w="142" w:type="dxa"/>
            <w:bottom w:w="0" w:type="dxa"/>
          </w:tcMar>
        </w:tcPr>
        <w:p w14:paraId="2A34823F" w14:textId="2A88C505" w:rsidR="003B568B" w:rsidRPr="00487162" w:rsidRDefault="003B568B" w:rsidP="00DB750B">
          <w:pPr>
            <w:pStyle w:val="Footer"/>
            <w:jc w:val="right"/>
          </w:pPr>
          <w:r w:rsidRPr="00487162">
            <w:t xml:space="preserve">Page </w:t>
          </w:r>
          <w:r>
            <w:fldChar w:fldCharType="begin"/>
          </w:r>
          <w:r>
            <w:instrText xml:space="preserve"> PAGE  \* Arabic </w:instrText>
          </w:r>
          <w:r>
            <w:fldChar w:fldCharType="separate"/>
          </w:r>
          <w:r w:rsidR="00B03309">
            <w:rPr>
              <w:noProof/>
            </w:rPr>
            <w:t>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B03309">
            <w:rPr>
              <w:noProof/>
            </w:rPr>
            <w:t>61</w:t>
          </w:r>
          <w:r>
            <w:rPr>
              <w:noProof/>
            </w:rPr>
            <w:fldChar w:fldCharType="end"/>
          </w:r>
        </w:p>
      </w:tc>
    </w:tr>
  </w:tbl>
  <w:p w14:paraId="24EAB6D5" w14:textId="77777777" w:rsidR="003B568B" w:rsidRDefault="003B568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85473" w14:textId="77777777" w:rsidR="003B568B" w:rsidRDefault="003B56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B568B" w:rsidRPr="00487162" w14:paraId="6EE8B3CB" w14:textId="77777777" w:rsidTr="00E45619">
      <w:trPr>
        <w:trHeight w:val="269"/>
      </w:trPr>
      <w:tc>
        <w:tcPr>
          <w:tcW w:w="4519" w:type="dxa"/>
          <w:tcBorders>
            <w:top w:val="single" w:sz="4" w:space="0" w:color="auto"/>
          </w:tcBorders>
          <w:tcMar>
            <w:top w:w="142" w:type="dxa"/>
            <w:bottom w:w="0" w:type="dxa"/>
          </w:tcMar>
        </w:tcPr>
        <w:p w14:paraId="451C28AB" w14:textId="77777777" w:rsidR="003B568B" w:rsidRPr="00487162" w:rsidRDefault="003B568B" w:rsidP="00FE1DEE">
          <w:pPr>
            <w:pStyle w:val="Footer"/>
          </w:pPr>
          <w:r w:rsidRPr="00487162">
            <w:t>Document title, Part #, Section # - Section title</w:t>
          </w:r>
        </w:p>
        <w:p w14:paraId="6451149E" w14:textId="77777777" w:rsidR="003B568B" w:rsidRPr="00487162" w:rsidRDefault="003B568B" w:rsidP="00FE1DEE">
          <w:pPr>
            <w:pStyle w:val="Footer"/>
          </w:pPr>
          <w:r w:rsidRPr="00487162">
            <w:t>V1.0 October 2010</w:t>
          </w:r>
        </w:p>
      </w:tc>
      <w:tc>
        <w:tcPr>
          <w:tcW w:w="4342" w:type="dxa"/>
          <w:tcBorders>
            <w:top w:val="single" w:sz="4" w:space="0" w:color="auto"/>
          </w:tcBorders>
          <w:tcMar>
            <w:top w:w="142" w:type="dxa"/>
            <w:bottom w:w="0" w:type="dxa"/>
          </w:tcMar>
        </w:tcPr>
        <w:p w14:paraId="1590CBD7" w14:textId="77777777" w:rsidR="003B568B" w:rsidRPr="00487162" w:rsidRDefault="003B568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704677E4" w14:textId="77777777" w:rsidR="003B568B" w:rsidRDefault="003B56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3651" w14:textId="77777777" w:rsidR="003B568B" w:rsidRPr="001C32CD" w:rsidRDefault="003B568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B568B" w14:paraId="55F77314" w14:textId="77777777" w:rsidTr="0010601F">
      <w:trPr>
        <w:trHeight w:val="108"/>
      </w:trPr>
      <w:tc>
        <w:tcPr>
          <w:tcW w:w="8875" w:type="dxa"/>
          <w:gridSpan w:val="2"/>
          <w:tcBorders>
            <w:bottom w:val="single" w:sz="4" w:space="0" w:color="auto"/>
          </w:tcBorders>
          <w:tcMar>
            <w:right w:w="284" w:type="dxa"/>
          </w:tcMar>
        </w:tcPr>
        <w:p w14:paraId="033E85EC" w14:textId="77777777" w:rsidR="003B568B" w:rsidRDefault="003B568B" w:rsidP="006E08B3">
          <w:pPr>
            <w:pStyle w:val="Heading3"/>
          </w:pPr>
          <w:r>
            <w:t>Copyright</w:t>
          </w:r>
        </w:p>
        <w:p w14:paraId="10A46429" w14:textId="77777777" w:rsidR="003B568B" w:rsidRDefault="003B568B" w:rsidP="006E08B3">
          <w:r>
            <w:rPr>
              <w:rFonts w:cs="Arial"/>
            </w:rPr>
            <w:t>©</w:t>
          </w:r>
          <w:r>
            <w:t xml:space="preserve"> Commonwealth of Australia (add year)</w:t>
          </w:r>
        </w:p>
        <w:p w14:paraId="0DA33FEF" w14:textId="77777777" w:rsidR="003B568B" w:rsidRDefault="003B568B" w:rsidP="006E08B3"/>
        <w:p w14:paraId="4AD85F6F" w14:textId="77777777" w:rsidR="003B568B" w:rsidRDefault="003B568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9D1F439" w14:textId="77777777" w:rsidR="003B568B" w:rsidRDefault="003B568B" w:rsidP="006E08B3"/>
        <w:p w14:paraId="369312D0" w14:textId="77777777" w:rsidR="003B568B" w:rsidRDefault="003B568B" w:rsidP="006E08B3">
          <w:pPr>
            <w:pStyle w:val="Heading3"/>
          </w:pPr>
          <w:r>
            <w:t>Confidentiality</w:t>
          </w:r>
        </w:p>
        <w:p w14:paraId="434582D0" w14:textId="77777777" w:rsidR="003B568B" w:rsidRDefault="003B568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CB849D1" w14:textId="77777777" w:rsidR="003B568B" w:rsidRDefault="003B568B" w:rsidP="006E08B3"/>
        <w:p w14:paraId="24F4B21E" w14:textId="77777777" w:rsidR="003B568B" w:rsidRDefault="003B568B" w:rsidP="006E08B3">
          <w:r>
            <w:t>For submission made by individuals, all personal details, other than your name, will be removed from your submission before it is published on the TGA’s Internet site.</w:t>
          </w:r>
        </w:p>
        <w:p w14:paraId="5A61DE8C" w14:textId="77777777" w:rsidR="003B568B" w:rsidRDefault="003B568B" w:rsidP="006E08B3"/>
        <w:p w14:paraId="77A37CCB" w14:textId="77777777" w:rsidR="003B568B" w:rsidRDefault="003B568B" w:rsidP="006E08B3">
          <w:r>
            <w:t>In addition, a list of parties making submissions will be published. If you do not wish to be identified with your submission you must specifically request this in the space provided in the submission coversheet.</w:t>
          </w:r>
        </w:p>
      </w:tc>
    </w:tr>
    <w:tr w:rsidR="003B568B" w14:paraId="7841F281" w14:textId="77777777" w:rsidTr="0010601F">
      <w:trPr>
        <w:trHeight w:val="417"/>
      </w:trPr>
      <w:tc>
        <w:tcPr>
          <w:tcW w:w="4519" w:type="dxa"/>
          <w:tcBorders>
            <w:top w:val="single" w:sz="4" w:space="0" w:color="auto"/>
          </w:tcBorders>
          <w:tcMar>
            <w:top w:w="142" w:type="dxa"/>
            <w:bottom w:w="0" w:type="dxa"/>
          </w:tcMar>
        </w:tcPr>
        <w:p w14:paraId="11069F82" w14:textId="77777777" w:rsidR="003B568B" w:rsidRDefault="003B568B" w:rsidP="006E08B3">
          <w:r>
            <w:t>Document title, Part #, Section # - Section title</w:t>
          </w:r>
        </w:p>
        <w:p w14:paraId="4621FE84" w14:textId="77777777" w:rsidR="003B568B" w:rsidRDefault="003B568B" w:rsidP="006E08B3">
          <w:r>
            <w:t>V1.0 October 2010</w:t>
          </w:r>
        </w:p>
      </w:tc>
      <w:tc>
        <w:tcPr>
          <w:tcW w:w="4356" w:type="dxa"/>
          <w:tcBorders>
            <w:top w:val="single" w:sz="4" w:space="0" w:color="auto"/>
          </w:tcBorders>
          <w:tcMar>
            <w:top w:w="142" w:type="dxa"/>
            <w:bottom w:w="0" w:type="dxa"/>
          </w:tcMar>
        </w:tcPr>
        <w:p w14:paraId="212DE1F3" w14:textId="77777777" w:rsidR="003B568B" w:rsidRDefault="003B568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150126CB" w14:textId="77777777" w:rsidR="003B568B" w:rsidRDefault="003B56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9A4DE" w14:textId="77777777" w:rsidR="003B568B" w:rsidRDefault="003B568B" w:rsidP="00C40A36">
      <w:pPr>
        <w:spacing w:after="0"/>
      </w:pPr>
      <w:r>
        <w:separator/>
      </w:r>
    </w:p>
  </w:footnote>
  <w:footnote w:type="continuationSeparator" w:id="0">
    <w:p w14:paraId="26D9AE7A" w14:textId="77777777" w:rsidR="003B568B" w:rsidRDefault="003B568B" w:rsidP="00C40A36">
      <w:pPr>
        <w:spacing w:after="0"/>
      </w:pPr>
      <w:r>
        <w:continuationSeparator/>
      </w:r>
    </w:p>
  </w:footnote>
  <w:footnote w:id="1">
    <w:p w14:paraId="323E7DDF" w14:textId="77777777" w:rsidR="003B568B" w:rsidRPr="00953FE0" w:rsidRDefault="003B568B" w:rsidP="0065051F">
      <w:pPr>
        <w:pStyle w:val="FootnoteText"/>
        <w:rPr>
          <w:lang w:val="en-US"/>
        </w:rPr>
      </w:pPr>
      <w:r>
        <w:rPr>
          <w:rStyle w:val="FootnoteReference"/>
        </w:rPr>
        <w:footnoteRef/>
      </w:r>
      <w:r>
        <w:t xml:space="preserve"> </w:t>
      </w:r>
      <w:r>
        <w:rPr>
          <w:lang w:val="en-US"/>
        </w:rPr>
        <w:t>All issues were subsequently resolved.</w:t>
      </w:r>
    </w:p>
  </w:footnote>
  <w:footnote w:id="2">
    <w:p w14:paraId="226F9C8B" w14:textId="77777777" w:rsidR="003B568B" w:rsidRPr="00F740E7" w:rsidRDefault="003B568B" w:rsidP="001F2D1F">
      <w:pPr>
        <w:pStyle w:val="FootnoteText"/>
        <w:rPr>
          <w:lang w:val="en-US"/>
        </w:rPr>
      </w:pPr>
      <w:r>
        <w:rPr>
          <w:rStyle w:val="FootnoteReference"/>
        </w:rPr>
        <w:footnoteRef/>
      </w:r>
      <w:r>
        <w:t xml:space="preserve"> Based on steady state total C</w:t>
      </w:r>
      <w:r>
        <w:rPr>
          <w:vertAlign w:val="subscript"/>
        </w:rPr>
        <w:t>max</w:t>
      </w:r>
      <w:r>
        <w:t xml:space="preserve"> 21 µM (9.1 µg/mL) </w:t>
      </w:r>
      <w:r>
        <w:rPr>
          <w:lang w:val="en-US"/>
        </w:rPr>
        <w:t>and 18% free fraction.</w:t>
      </w:r>
    </w:p>
  </w:footnote>
  <w:footnote w:id="3">
    <w:p w14:paraId="2ED553BE" w14:textId="77777777" w:rsidR="003B568B" w:rsidRPr="00632D96" w:rsidRDefault="003B568B" w:rsidP="006348FE">
      <w:pPr>
        <w:pStyle w:val="FootnoteText"/>
        <w:rPr>
          <w:lang w:val="en-US"/>
        </w:rPr>
      </w:pPr>
      <w:r>
        <w:rPr>
          <w:rStyle w:val="FootnoteReference"/>
        </w:rPr>
        <w:footnoteRef/>
      </w:r>
      <w:r>
        <w:t xml:space="preserve"> Statistics from </w:t>
      </w:r>
      <w:r>
        <w:rPr>
          <w:lang w:eastAsia="ja-JP"/>
        </w:rPr>
        <w:t>Cancer Australia, Australian Government.</w:t>
      </w:r>
    </w:p>
  </w:footnote>
  <w:footnote w:id="4">
    <w:p w14:paraId="48FA724B" w14:textId="77777777" w:rsidR="003B568B" w:rsidRDefault="003B568B" w:rsidP="005B0B10">
      <w:pPr>
        <w:pStyle w:val="FootnoteText"/>
      </w:pPr>
      <w:r>
        <w:rPr>
          <w:rStyle w:val="FootnoteReference"/>
        </w:rPr>
        <w:footnoteRef/>
      </w:r>
      <w:r>
        <w:t xml:space="preserve"> </w:t>
      </w:r>
      <w:r>
        <w:rPr>
          <w:i/>
        </w:rPr>
        <w:t xml:space="preserve">BRCA </w:t>
      </w:r>
      <w:r>
        <w:t xml:space="preserve">mutations have been classified </w:t>
      </w:r>
      <w:r>
        <w:rPr>
          <w:lang w:eastAsia="ja-JP"/>
        </w:rPr>
        <w:t>in accordance with the American College of Medical Genetics and Genomics.</w:t>
      </w:r>
    </w:p>
  </w:footnote>
  <w:footnote w:id="5">
    <w:p w14:paraId="4AFF9205" w14:textId="77777777" w:rsidR="003B568B" w:rsidRDefault="003B568B">
      <w:pPr>
        <w:pStyle w:val="FootnoteText"/>
      </w:pPr>
      <w:r>
        <w:rPr>
          <w:rStyle w:val="FootnoteReference"/>
        </w:rPr>
        <w:footnoteRef/>
      </w:r>
      <w:r>
        <w:t xml:space="preserve"> Aebi, S. and Castiglione, M. on behalf of the EMSO Working Group (2008), </w:t>
      </w:r>
      <w:r>
        <w:rPr>
          <w:lang w:eastAsia="ja-JP"/>
        </w:rPr>
        <w:t xml:space="preserve">Epithelial ovarian carcinoma: ESMO clinical recommendations for diagnosis, treatment and follow-up, </w:t>
      </w:r>
      <w:r w:rsidRPr="00A775D3">
        <w:rPr>
          <w:i/>
          <w:lang w:eastAsia="ja-JP"/>
        </w:rPr>
        <w:t>Ann Oncol</w:t>
      </w:r>
      <w:r>
        <w:rPr>
          <w:lang w:eastAsia="ja-JP"/>
        </w:rPr>
        <w:t xml:space="preserve">, 2008; 19: </w:t>
      </w:r>
      <w:r w:rsidRPr="00A775D3">
        <w:rPr>
          <w:lang w:eastAsia="ja-JP"/>
        </w:rPr>
        <w:t>ii14-16</w:t>
      </w:r>
      <w:r>
        <w:rPr>
          <w:lang w:eastAsia="ja-JP"/>
        </w:rPr>
        <w:t>.</w:t>
      </w:r>
    </w:p>
  </w:footnote>
  <w:footnote w:id="6">
    <w:p w14:paraId="49919D70" w14:textId="77777777" w:rsidR="003B568B" w:rsidRDefault="003B568B">
      <w:pPr>
        <w:pStyle w:val="FootnoteText"/>
      </w:pPr>
      <w:r>
        <w:rPr>
          <w:rStyle w:val="FootnoteReference"/>
        </w:rPr>
        <w:footnoteRef/>
      </w:r>
      <w:r>
        <w:t xml:space="preserve"> Ozols, R.F. et al. (2003), </w:t>
      </w:r>
      <w:r>
        <w:rPr>
          <w:lang w:eastAsia="ja-JP"/>
        </w:rPr>
        <w:t xml:space="preserve">Phase III trial of carboplatin and paclitaxel compared with cisplatin and paclitaxel in patients with optimally resected Stage III ovarian cancer: a Gynecologic Oncology Group study. </w:t>
      </w:r>
      <w:r w:rsidRPr="00F532A6">
        <w:rPr>
          <w:i/>
          <w:lang w:eastAsia="ja-JP"/>
        </w:rPr>
        <w:t>J Clin Oncol</w:t>
      </w:r>
      <w:r>
        <w:rPr>
          <w:lang w:eastAsia="ja-JP"/>
        </w:rPr>
        <w:t>, 2003; 21:3194-3200.</w:t>
      </w:r>
    </w:p>
  </w:footnote>
  <w:footnote w:id="7">
    <w:p w14:paraId="7251A06F" w14:textId="77777777" w:rsidR="003B568B" w:rsidRDefault="003B568B">
      <w:pPr>
        <w:pStyle w:val="FootnoteText"/>
      </w:pPr>
      <w:r>
        <w:rPr>
          <w:rStyle w:val="FootnoteReference"/>
        </w:rPr>
        <w:footnoteRef/>
      </w:r>
      <w:r>
        <w:t xml:space="preserve"> </w:t>
      </w:r>
      <w:r w:rsidRPr="002405C2">
        <w:t xml:space="preserve">European Medicines Agency </w:t>
      </w:r>
      <w:r>
        <w:t>(</w:t>
      </w:r>
      <w:r w:rsidRPr="003D440C">
        <w:t>EMA</w:t>
      </w:r>
      <w:r>
        <w:t>),</w:t>
      </w:r>
      <w:r w:rsidRPr="00913364">
        <w:rPr>
          <w:lang w:eastAsia="ja-JP"/>
        </w:rPr>
        <w:t xml:space="preserve"> </w:t>
      </w:r>
      <w:r w:rsidRPr="00521AC6">
        <w:rPr>
          <w:lang w:eastAsia="ja-JP"/>
        </w:rPr>
        <w:t>Committee for Medicinal Products for Human Use (CHMP</w:t>
      </w:r>
      <w:r>
        <w:rPr>
          <w:lang w:eastAsia="ja-JP"/>
        </w:rPr>
        <w:t xml:space="preserve">), 11 January 2013, </w:t>
      </w:r>
      <w:r>
        <w:t>Guidelines</w:t>
      </w:r>
      <w:r w:rsidRPr="00B73E06">
        <w:t xml:space="preserve"> on evaluation of anticancer medicinal products in man</w:t>
      </w:r>
      <w:r w:rsidRPr="00913364">
        <w:rPr>
          <w:lang w:eastAsia="ja-JP"/>
        </w:rPr>
        <w:t xml:space="preserve">, </w:t>
      </w:r>
      <w:r>
        <w:t>EMA/CHMP/205/95/Rev.4.</w:t>
      </w:r>
    </w:p>
  </w:footnote>
  <w:footnote w:id="8">
    <w:p w14:paraId="4084BEDB" w14:textId="77777777" w:rsidR="003B568B" w:rsidRDefault="003B568B">
      <w:pPr>
        <w:pStyle w:val="FootnoteText"/>
      </w:pPr>
      <w:r>
        <w:rPr>
          <w:rStyle w:val="FootnoteReference"/>
        </w:rPr>
        <w:footnoteRef/>
      </w:r>
      <w:r>
        <w:t xml:space="preserve"> </w:t>
      </w:r>
      <w:r w:rsidRPr="002405C2">
        <w:t xml:space="preserve">European Medicines Agency </w:t>
      </w:r>
      <w:r>
        <w:t>(</w:t>
      </w:r>
      <w:r w:rsidRPr="003D440C">
        <w:t>EMA</w:t>
      </w:r>
      <w:r>
        <w:t>),</w:t>
      </w:r>
      <w:r w:rsidRPr="00913364">
        <w:rPr>
          <w:lang w:eastAsia="ja-JP"/>
        </w:rPr>
        <w:t xml:space="preserve"> </w:t>
      </w:r>
      <w:r w:rsidRPr="00521AC6">
        <w:rPr>
          <w:lang w:eastAsia="ja-JP"/>
        </w:rPr>
        <w:t>Committee for Medicinal Products for Human Use (CHMP</w:t>
      </w:r>
      <w:r>
        <w:rPr>
          <w:lang w:eastAsia="ja-JP"/>
        </w:rPr>
        <w:t xml:space="preserve">), 11 January 2013, </w:t>
      </w:r>
      <w:r w:rsidRPr="00521AC6">
        <w:t>Appendix 1 to the guideline on the evaluation of anticancer medicinal products in man - methodological consideration for using progression-free survival (PFS) or disease-free survival (DFS) in confirmatory trials</w:t>
      </w:r>
      <w:r>
        <w:rPr>
          <w:lang w:eastAsia="ja-JP"/>
        </w:rPr>
        <w:t xml:space="preserve">, </w:t>
      </w:r>
      <w:r w:rsidRPr="00521AC6">
        <w:t>CHMP/27994/2008 Rev. 1</w:t>
      </w:r>
      <w:r>
        <w:t>.</w:t>
      </w:r>
    </w:p>
  </w:footnote>
  <w:footnote w:id="9">
    <w:p w14:paraId="3F9AAD34" w14:textId="77777777" w:rsidR="003B568B" w:rsidRDefault="003B568B">
      <w:pPr>
        <w:pStyle w:val="FootnoteText"/>
      </w:pPr>
      <w:r>
        <w:rPr>
          <w:rStyle w:val="FootnoteReference"/>
        </w:rPr>
        <w:footnoteRef/>
      </w:r>
      <w:r>
        <w:t xml:space="preserve"> Food and Drug Administration (FDA) Center for Drug Evaluation and Research and Center for Biologics Evaluation and Research, May 2007, Guidance for Industry on </w:t>
      </w:r>
      <w:r w:rsidRPr="004B16BD">
        <w:t>Clinical Trial Endpoints for the Approval of Cancer Drugs and Biologics</w:t>
      </w:r>
      <w:r>
        <w:t>.</w:t>
      </w:r>
    </w:p>
  </w:footnote>
  <w:footnote w:id="10">
    <w:p w14:paraId="2BF36EF8" w14:textId="77777777" w:rsidR="003B568B" w:rsidRDefault="003B568B" w:rsidP="00E00D98">
      <w:pPr>
        <w:pStyle w:val="FootnoteText"/>
      </w:pPr>
      <w:r>
        <w:rPr>
          <w:rStyle w:val="FootnoteReference"/>
        </w:rPr>
        <w:footnoteRef/>
      </w:r>
      <w:r>
        <w:t xml:space="preserve"> </w:t>
      </w:r>
      <w:r w:rsidRPr="002405C2">
        <w:t xml:space="preserve">European Medicines Agency </w:t>
      </w:r>
      <w:r>
        <w:t>(</w:t>
      </w:r>
      <w:r w:rsidRPr="003D440C">
        <w:t>EMA</w:t>
      </w:r>
      <w:r>
        <w:t>),</w:t>
      </w:r>
      <w:r w:rsidRPr="00913364">
        <w:rPr>
          <w:lang w:eastAsia="ja-JP"/>
        </w:rPr>
        <w:t xml:space="preserve"> </w:t>
      </w:r>
      <w:r w:rsidRPr="00521AC6">
        <w:rPr>
          <w:lang w:eastAsia="ja-JP"/>
        </w:rPr>
        <w:t>Committee for Medicinal Products for Human Use (CHMP</w:t>
      </w:r>
      <w:r>
        <w:rPr>
          <w:lang w:eastAsia="ja-JP"/>
        </w:rPr>
        <w:t xml:space="preserve">), 21 June 2007, </w:t>
      </w:r>
      <w:r>
        <w:t>Guideline on reporting the results of population pharmacokinetic analyses</w:t>
      </w:r>
      <w:r w:rsidRPr="00913364">
        <w:rPr>
          <w:lang w:eastAsia="ja-JP"/>
        </w:rPr>
        <w:t xml:space="preserve">, </w:t>
      </w:r>
      <w:r>
        <w:t>CHMP/EWP/185990/06.</w:t>
      </w:r>
    </w:p>
  </w:footnote>
  <w:footnote w:id="11">
    <w:p w14:paraId="34F4FA15" w14:textId="77777777" w:rsidR="003B568B" w:rsidRDefault="003B568B">
      <w:pPr>
        <w:pStyle w:val="FootnoteText"/>
      </w:pPr>
      <w:r>
        <w:rPr>
          <w:rStyle w:val="FootnoteReference"/>
        </w:rPr>
        <w:footnoteRef/>
      </w:r>
      <w:r>
        <w:t xml:space="preserve"> Hy’s law: ALT &gt; 3 times ULN and total bilirubin &gt; 2 times ULN</w:t>
      </w:r>
    </w:p>
  </w:footnote>
  <w:footnote w:id="12">
    <w:p w14:paraId="12FFED49" w14:textId="47D344F3" w:rsidR="003B568B" w:rsidRDefault="003B568B">
      <w:pPr>
        <w:pStyle w:val="FootnoteText"/>
      </w:pPr>
      <w:r>
        <w:rPr>
          <w:rStyle w:val="FootnoteReference"/>
        </w:rPr>
        <w:footnoteRef/>
      </w:r>
      <w:r>
        <w:t xml:space="preserve"> These issues were subsequently resolved.</w:t>
      </w:r>
    </w:p>
  </w:footnote>
  <w:footnote w:id="13">
    <w:p w14:paraId="352AD73D" w14:textId="77777777" w:rsidR="003B568B" w:rsidRPr="00106580" w:rsidRDefault="003B568B" w:rsidP="006E0256">
      <w:pPr>
        <w:pStyle w:val="FootnoteText"/>
        <w:rPr>
          <w:lang w:val="en-US"/>
        </w:rPr>
      </w:pPr>
      <w:r>
        <w:rPr>
          <w:rStyle w:val="FootnoteReference"/>
        </w:rPr>
        <w:footnoteRef/>
      </w:r>
      <w:r>
        <w:t xml:space="preserve"> </w:t>
      </w:r>
      <w:r w:rsidRPr="00106580">
        <w:t>Mateo</w:t>
      </w:r>
      <w:r>
        <w:t>,</w:t>
      </w:r>
      <w:r w:rsidRPr="00106580">
        <w:t xml:space="preserve"> J</w:t>
      </w:r>
      <w:r>
        <w:t>.</w:t>
      </w:r>
      <w:r w:rsidRPr="00106580">
        <w:t xml:space="preserve"> et al.</w:t>
      </w:r>
      <w:r>
        <w:t xml:space="preserve"> (2016),</w:t>
      </w:r>
      <w:r w:rsidRPr="00106580">
        <w:t xml:space="preserve"> An adaptive study to determine the optimal dose of the tablet formulation of the PARP inhibitor olaparib</w:t>
      </w:r>
      <w:r w:rsidRPr="00695CB5">
        <w:rPr>
          <w:i/>
        </w:rPr>
        <w:t>. Target Oncol</w:t>
      </w:r>
      <w:r>
        <w:rPr>
          <w:i/>
        </w:rPr>
        <w:t>,</w:t>
      </w:r>
      <w:r w:rsidRPr="00106580">
        <w:t xml:space="preserve"> 2016; 11: 401–</w:t>
      </w:r>
      <w:r>
        <w:t>4</w:t>
      </w:r>
      <w:r w:rsidRPr="00106580">
        <w:t>15</w:t>
      </w:r>
      <w:r>
        <w:t>.</w:t>
      </w:r>
    </w:p>
  </w:footnote>
  <w:footnote w:id="14">
    <w:p w14:paraId="4790104F" w14:textId="77777777" w:rsidR="003B568B" w:rsidRPr="00A07E7C" w:rsidRDefault="003B568B" w:rsidP="006E0256">
      <w:pPr>
        <w:pStyle w:val="FootnoteText"/>
        <w:rPr>
          <w:lang w:val="en-US"/>
        </w:rPr>
      </w:pPr>
      <w:r>
        <w:rPr>
          <w:rStyle w:val="FootnoteReference"/>
        </w:rPr>
        <w:footnoteRef/>
      </w:r>
      <w:r>
        <w:t xml:space="preserve"> </w:t>
      </w:r>
      <w:r>
        <w:rPr>
          <w:lang w:eastAsia="en-AU"/>
        </w:rPr>
        <w:t xml:space="preserve">Ledermann, J.A. et al. (2014), </w:t>
      </w:r>
      <w:r w:rsidRPr="001F5DE1">
        <w:rPr>
          <w:lang w:eastAsia="en-AU"/>
        </w:rPr>
        <w:t xml:space="preserve">Olaparib maintenance therapy in patients with platinum-sensitive relapsed serous ovarian cancer: a preplanned retrospective analysis of outcomes by BRCA status in a randomised </w:t>
      </w:r>
      <w:r>
        <w:rPr>
          <w:lang w:eastAsia="en-AU"/>
        </w:rPr>
        <w:t xml:space="preserve">Phase II trial, </w:t>
      </w:r>
      <w:r w:rsidRPr="0075146F">
        <w:rPr>
          <w:i/>
          <w:lang w:eastAsia="en-AU"/>
        </w:rPr>
        <w:t>Lancet Oncol</w:t>
      </w:r>
      <w:r>
        <w:rPr>
          <w:lang w:eastAsia="en-AU"/>
        </w:rPr>
        <w:t>,</w:t>
      </w:r>
      <w:r w:rsidRPr="00B30885">
        <w:rPr>
          <w:lang w:eastAsia="en-AU"/>
        </w:rPr>
        <w:t xml:space="preserve"> 2014; 15: 852–</w:t>
      </w:r>
      <w:r>
        <w:rPr>
          <w:lang w:eastAsia="en-AU"/>
        </w:rPr>
        <w:t>8</w:t>
      </w:r>
      <w:r w:rsidRPr="00B30885">
        <w:rPr>
          <w:lang w:eastAsia="en-AU"/>
        </w:rPr>
        <w:t>61</w:t>
      </w:r>
      <w:r>
        <w:rPr>
          <w:lang w:eastAsia="en-AU"/>
        </w:rPr>
        <w:t>.</w:t>
      </w:r>
    </w:p>
  </w:footnote>
  <w:footnote w:id="15">
    <w:p w14:paraId="7CCE75AC" w14:textId="77777777" w:rsidR="003B568B" w:rsidRPr="005D0DFC" w:rsidRDefault="003B568B" w:rsidP="006E0256">
      <w:pPr>
        <w:pStyle w:val="FootnoteText"/>
        <w:rPr>
          <w:lang w:val="en-US"/>
        </w:rPr>
      </w:pPr>
      <w:r>
        <w:rPr>
          <w:rStyle w:val="FootnoteReference"/>
        </w:rPr>
        <w:footnoteRef/>
      </w:r>
      <w:r>
        <w:t xml:space="preserve"> Ledermann, </w:t>
      </w:r>
      <w:r w:rsidRPr="005D0DFC">
        <w:t>J</w:t>
      </w:r>
      <w:r>
        <w:t>.</w:t>
      </w:r>
      <w:r w:rsidRPr="005D0DFC">
        <w:t>A</w:t>
      </w:r>
      <w:r>
        <w:t>.</w:t>
      </w:r>
      <w:r w:rsidRPr="005D0DFC">
        <w:t xml:space="preserve"> et al. </w:t>
      </w:r>
      <w:r>
        <w:t xml:space="preserve">(2016), </w:t>
      </w:r>
      <w:r w:rsidRPr="005D0DFC">
        <w:t>Overall survival in patients with platinum-sensitive recurrent serous ovarian cancer receiving olaparib maintenance monotherapy: an updated analysis from a randomised, placebo-controlle</w:t>
      </w:r>
      <w:r>
        <w:t xml:space="preserve">d, double-blind, Phase II trial, </w:t>
      </w:r>
      <w:r w:rsidRPr="00DB6FEA">
        <w:rPr>
          <w:i/>
        </w:rPr>
        <w:t>Lancet Oncol</w:t>
      </w:r>
      <w:r>
        <w:t xml:space="preserve">, </w:t>
      </w:r>
      <w:r w:rsidRPr="005D0DFC">
        <w:t>2016; 17: 1579–</w:t>
      </w:r>
      <w:r>
        <w:t>15</w:t>
      </w:r>
      <w:r w:rsidRPr="005D0DFC">
        <w:t>89</w:t>
      </w:r>
      <w:r>
        <w:t>.</w:t>
      </w:r>
    </w:p>
  </w:footnote>
  <w:footnote w:id="16">
    <w:p w14:paraId="1785328F" w14:textId="77777777" w:rsidR="003B568B" w:rsidRPr="00A07E7C" w:rsidRDefault="003B568B" w:rsidP="006E0256">
      <w:pPr>
        <w:pStyle w:val="FootnoteText"/>
        <w:rPr>
          <w:lang w:val="en-US"/>
        </w:rPr>
      </w:pPr>
      <w:r>
        <w:rPr>
          <w:rStyle w:val="FootnoteReference"/>
        </w:rPr>
        <w:footnoteRef/>
      </w:r>
      <w:r>
        <w:t xml:space="preserve"> </w:t>
      </w:r>
      <w:r>
        <w:rPr>
          <w:lang w:eastAsia="en-AU"/>
        </w:rPr>
        <w:t xml:space="preserve">Pujade-Lauraine, E. et al. (2017), </w:t>
      </w:r>
      <w:r w:rsidRPr="00A07E7C">
        <w:rPr>
          <w:lang w:eastAsia="en-AU"/>
        </w:rPr>
        <w:t>Olaparib tablets as maintenance therapy in patients with platinum-sensitive, relapsed ovarian cancer and a BRCA1/2 mutation (</w:t>
      </w:r>
      <w:r>
        <w:rPr>
          <w:lang w:eastAsia="en-AU"/>
        </w:rPr>
        <w:t>SOLO-2</w:t>
      </w:r>
      <w:r w:rsidRPr="00A07E7C">
        <w:rPr>
          <w:lang w:eastAsia="en-AU"/>
        </w:rPr>
        <w:t>/ENGOT-Ov21): a double-blind, randomised, pl</w:t>
      </w:r>
      <w:r>
        <w:rPr>
          <w:lang w:eastAsia="en-AU"/>
        </w:rPr>
        <w:t xml:space="preserve">acebo-controlled, Phase 3 trial, </w:t>
      </w:r>
      <w:r w:rsidRPr="00B41A49">
        <w:rPr>
          <w:i/>
          <w:lang w:eastAsia="en-AU"/>
        </w:rPr>
        <w:t>Lancet Oncol</w:t>
      </w:r>
      <w:r>
        <w:rPr>
          <w:lang w:eastAsia="en-AU"/>
        </w:rPr>
        <w:t>, 2017; 18</w:t>
      </w:r>
      <w:r w:rsidRPr="00B30885">
        <w:rPr>
          <w:lang w:eastAsia="en-AU"/>
        </w:rPr>
        <w:t xml:space="preserve">: </w:t>
      </w:r>
      <w:r>
        <w:rPr>
          <w:lang w:eastAsia="en-AU"/>
        </w:rPr>
        <w:t>1274-1284</w:t>
      </w:r>
    </w:p>
  </w:footnote>
  <w:footnote w:id="17">
    <w:p w14:paraId="6BF16127" w14:textId="77777777" w:rsidR="003B568B" w:rsidRPr="00877DB3" w:rsidRDefault="003B568B" w:rsidP="006E0256">
      <w:pPr>
        <w:pStyle w:val="FootnoteText"/>
        <w:rPr>
          <w:lang w:val="en-US"/>
        </w:rPr>
      </w:pPr>
      <w:r>
        <w:rPr>
          <w:rStyle w:val="FootnoteReference"/>
        </w:rPr>
        <w:footnoteRef/>
      </w:r>
      <w:r>
        <w:t xml:space="preserve"> </w:t>
      </w:r>
      <w:r w:rsidRPr="00877DB3">
        <w:t>Granfeldt Østgård</w:t>
      </w:r>
      <w:r>
        <w:t>, L.S.</w:t>
      </w:r>
      <w:r w:rsidRPr="00877DB3">
        <w:t xml:space="preserve"> et </w:t>
      </w:r>
      <w:r>
        <w:t>a</w:t>
      </w:r>
      <w:r w:rsidRPr="00877DB3">
        <w:t>l.</w:t>
      </w:r>
      <w:r>
        <w:t xml:space="preserve"> (2015),</w:t>
      </w:r>
      <w:r w:rsidRPr="00877DB3">
        <w:t xml:space="preserve"> Epidemiology and Clinical Significance of Secondary and Therapy-Related Acute Myeloid Leukemia: A Nationa</w:t>
      </w:r>
      <w:r>
        <w:t>l Population-Based Cohort Study</w:t>
      </w:r>
      <w:r w:rsidRPr="00173E80">
        <w:rPr>
          <w:i/>
        </w:rPr>
        <w:t>, J Clin Oncol</w:t>
      </w:r>
      <w:r>
        <w:t xml:space="preserve">, </w:t>
      </w:r>
      <w:r w:rsidRPr="00877DB3">
        <w:t>2015</w:t>
      </w:r>
      <w:r>
        <w:t>; 33</w:t>
      </w:r>
      <w:r w:rsidRPr="00877DB3">
        <w:t>:3641-</w:t>
      </w:r>
      <w:r>
        <w:t>364</w:t>
      </w:r>
      <w:r w:rsidRPr="00877DB3">
        <w:t>9</w:t>
      </w:r>
      <w:r>
        <w:t>.</w:t>
      </w:r>
    </w:p>
  </w:footnote>
  <w:footnote w:id="18">
    <w:p w14:paraId="262900C4" w14:textId="77777777" w:rsidR="003B568B" w:rsidRPr="00B1501D" w:rsidRDefault="003B568B" w:rsidP="001F2D1F">
      <w:pPr>
        <w:pStyle w:val="FootnoteText"/>
        <w:rPr>
          <w:lang w:val="en-US"/>
        </w:rPr>
      </w:pPr>
      <w:r>
        <w:rPr>
          <w:rStyle w:val="FootnoteReference"/>
        </w:rPr>
        <w:footnoteRef/>
      </w:r>
      <w:r>
        <w:t xml:space="preserve"> </w:t>
      </w:r>
      <w:r w:rsidRPr="00B1501D">
        <w:t>TGA does not routinely release the names of its independent specialist medical advisors</w:t>
      </w:r>
      <w:r>
        <w:t>.</w:t>
      </w:r>
    </w:p>
  </w:footnote>
  <w:footnote w:id="19">
    <w:p w14:paraId="0E0F32C0" w14:textId="77777777" w:rsidR="003B568B" w:rsidRDefault="003B568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81AB787" w14:textId="77777777" w:rsidR="003B568B" w:rsidRPr="00456765" w:rsidRDefault="003B568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EFA57" w14:textId="77777777" w:rsidR="003B568B" w:rsidRDefault="003B5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CF312" w14:textId="77777777" w:rsidR="003B568B" w:rsidRDefault="003B568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87A9" w14:textId="77777777" w:rsidR="003B568B" w:rsidRDefault="003B568B">
    <w:pPr>
      <w:rPr>
        <w:noProof/>
        <w:lang w:eastAsia="en-AU"/>
      </w:rPr>
    </w:pPr>
    <w:r w:rsidRPr="00347824">
      <w:rPr>
        <w:noProof/>
        <w:lang w:eastAsia="en-AU"/>
      </w:rPr>
      <w:drawing>
        <wp:anchor distT="0" distB="0" distL="114300" distR="114300" simplePos="0" relativeHeight="251659264" behindDoc="1" locked="0" layoutInCell="1" allowOverlap="1" wp14:anchorId="412CA720" wp14:editId="69145F39">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27A165D" w14:textId="77777777" w:rsidR="003B568B" w:rsidRDefault="003B568B" w:rsidP="00593AD1">
    <w:pPr>
      <w:pStyle w:val="HeaderNoLine"/>
    </w:pPr>
    <w:r>
      <w:rPr>
        <w:noProof/>
        <w:lang w:eastAsia="en-AU"/>
      </w:rPr>
      <w:drawing>
        <wp:inline distT="0" distB="0" distL="0" distR="0" wp14:anchorId="4D95FD6D" wp14:editId="0E2811C5">
          <wp:extent cx="5400675" cy="7639050"/>
          <wp:effectExtent l="0" t="0" r="9525"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18E6" w14:textId="77777777" w:rsidR="003B568B" w:rsidRDefault="003B56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004A" w14:textId="77777777" w:rsidR="003B568B" w:rsidRDefault="003B568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058A" w14:textId="77777777" w:rsidR="003B568B" w:rsidRDefault="003B568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6165" w14:textId="77777777" w:rsidR="003B568B" w:rsidRDefault="003B56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22C88" w14:textId="77777777" w:rsidR="003B568B" w:rsidRDefault="003B568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132F" w14:textId="77777777" w:rsidR="003B568B" w:rsidRDefault="003B568B" w:rsidP="006E08B3">
    <w:r>
      <w:t>Therapeutic Goods Administration</w:t>
    </w:r>
  </w:p>
  <w:p w14:paraId="3F2DDECC" w14:textId="77777777" w:rsidR="003B568B" w:rsidRDefault="003B568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F46D8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AC963AE"/>
    <w:multiLevelType w:val="hybridMultilevel"/>
    <w:tmpl w:val="94504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A17CBF"/>
    <w:multiLevelType w:val="hybridMultilevel"/>
    <w:tmpl w:val="A0567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8F13E9"/>
    <w:multiLevelType w:val="multilevel"/>
    <w:tmpl w:val="9A62065E"/>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BC76527"/>
    <w:multiLevelType w:val="hybridMultilevel"/>
    <w:tmpl w:val="9DDA3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5D70D8"/>
    <w:multiLevelType w:val="hybridMultilevel"/>
    <w:tmpl w:val="E2268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97192A"/>
    <w:multiLevelType w:val="hybridMultilevel"/>
    <w:tmpl w:val="D2C2FF62"/>
    <w:lvl w:ilvl="0" w:tplc="DA908A4A">
      <w:start w:val="18"/>
      <w:numFmt w:val="bullet"/>
      <w:lvlText w:val="&gt;"/>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282704"/>
    <w:multiLevelType w:val="hybridMultilevel"/>
    <w:tmpl w:val="E6C0D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2A1F18"/>
    <w:multiLevelType w:val="hybridMultilevel"/>
    <w:tmpl w:val="21368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6B6210"/>
    <w:multiLevelType w:val="hybridMultilevel"/>
    <w:tmpl w:val="AAA4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3E6EF2"/>
    <w:multiLevelType w:val="hybridMultilevel"/>
    <w:tmpl w:val="1C34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6"/>
  </w:num>
  <w:num w:numId="29">
    <w:abstractNumId w:val="15"/>
  </w:num>
  <w:num w:numId="30">
    <w:abstractNumId w:val="8"/>
  </w:num>
  <w:num w:numId="31">
    <w:abstractNumId w:val="14"/>
  </w:num>
  <w:num w:numId="32">
    <w:abstractNumId w:val="4"/>
  </w:num>
  <w:num w:numId="33">
    <w:abstractNumId w:val="9"/>
  </w:num>
  <w:num w:numId="34">
    <w:abstractNumId w:val="6"/>
  </w:num>
  <w:num w:numId="35">
    <w:abstractNumId w:val="13"/>
  </w:num>
  <w:num w:numId="36">
    <w:abstractNumId w:val="1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89C"/>
    <w:rsid w:val="00002031"/>
    <w:rsid w:val="00004734"/>
    <w:rsid w:val="00006B22"/>
    <w:rsid w:val="0001276A"/>
    <w:rsid w:val="0001498A"/>
    <w:rsid w:val="000246AE"/>
    <w:rsid w:val="00025C67"/>
    <w:rsid w:val="0003324E"/>
    <w:rsid w:val="00034FE8"/>
    <w:rsid w:val="00040C02"/>
    <w:rsid w:val="00044772"/>
    <w:rsid w:val="0004541C"/>
    <w:rsid w:val="0005559E"/>
    <w:rsid w:val="000604D6"/>
    <w:rsid w:val="00070083"/>
    <w:rsid w:val="000734D8"/>
    <w:rsid w:val="00076AC1"/>
    <w:rsid w:val="00077775"/>
    <w:rsid w:val="00090471"/>
    <w:rsid w:val="00091645"/>
    <w:rsid w:val="00096AA7"/>
    <w:rsid w:val="000A0DC3"/>
    <w:rsid w:val="000A126F"/>
    <w:rsid w:val="000A3AED"/>
    <w:rsid w:val="000B3532"/>
    <w:rsid w:val="000B3A75"/>
    <w:rsid w:val="000C00C2"/>
    <w:rsid w:val="000C690F"/>
    <w:rsid w:val="000D1295"/>
    <w:rsid w:val="000D391B"/>
    <w:rsid w:val="000D3D6D"/>
    <w:rsid w:val="000D4FC7"/>
    <w:rsid w:val="000D5982"/>
    <w:rsid w:val="000E6196"/>
    <w:rsid w:val="000E7A27"/>
    <w:rsid w:val="000F4869"/>
    <w:rsid w:val="000F5B42"/>
    <w:rsid w:val="000F6E6F"/>
    <w:rsid w:val="001027F0"/>
    <w:rsid w:val="0010601F"/>
    <w:rsid w:val="0010788A"/>
    <w:rsid w:val="00107A31"/>
    <w:rsid w:val="00110EA5"/>
    <w:rsid w:val="00112F56"/>
    <w:rsid w:val="00113533"/>
    <w:rsid w:val="00124ACD"/>
    <w:rsid w:val="00125318"/>
    <w:rsid w:val="00127887"/>
    <w:rsid w:val="001305A2"/>
    <w:rsid w:val="00133238"/>
    <w:rsid w:val="00133A1B"/>
    <w:rsid w:val="0014197B"/>
    <w:rsid w:val="001447CD"/>
    <w:rsid w:val="001458F5"/>
    <w:rsid w:val="00150618"/>
    <w:rsid w:val="001516B1"/>
    <w:rsid w:val="00154EBB"/>
    <w:rsid w:val="00156316"/>
    <w:rsid w:val="00156D57"/>
    <w:rsid w:val="00161181"/>
    <w:rsid w:val="001628C3"/>
    <w:rsid w:val="00162D14"/>
    <w:rsid w:val="00163780"/>
    <w:rsid w:val="00165389"/>
    <w:rsid w:val="00173E80"/>
    <w:rsid w:val="00175A2C"/>
    <w:rsid w:val="0017693F"/>
    <w:rsid w:val="0018110E"/>
    <w:rsid w:val="00181684"/>
    <w:rsid w:val="001843C6"/>
    <w:rsid w:val="0018494F"/>
    <w:rsid w:val="001850E0"/>
    <w:rsid w:val="001A03AF"/>
    <w:rsid w:val="001A2158"/>
    <w:rsid w:val="001A2270"/>
    <w:rsid w:val="001A3F56"/>
    <w:rsid w:val="001A525F"/>
    <w:rsid w:val="001A5EE1"/>
    <w:rsid w:val="001B09F9"/>
    <w:rsid w:val="001B5C90"/>
    <w:rsid w:val="001B6448"/>
    <w:rsid w:val="001C32CD"/>
    <w:rsid w:val="001C425A"/>
    <w:rsid w:val="001C6AFA"/>
    <w:rsid w:val="001D2984"/>
    <w:rsid w:val="001E07CF"/>
    <w:rsid w:val="001E1FDB"/>
    <w:rsid w:val="001E3539"/>
    <w:rsid w:val="001E59F1"/>
    <w:rsid w:val="001F00F8"/>
    <w:rsid w:val="001F113E"/>
    <w:rsid w:val="001F2220"/>
    <w:rsid w:val="001F2CEE"/>
    <w:rsid w:val="001F2D1F"/>
    <w:rsid w:val="001F49EB"/>
    <w:rsid w:val="001F528E"/>
    <w:rsid w:val="001F6833"/>
    <w:rsid w:val="001F6CBA"/>
    <w:rsid w:val="0020141A"/>
    <w:rsid w:val="00201D4E"/>
    <w:rsid w:val="0020202A"/>
    <w:rsid w:val="00202D15"/>
    <w:rsid w:val="00205AC8"/>
    <w:rsid w:val="002076C9"/>
    <w:rsid w:val="00207E7B"/>
    <w:rsid w:val="00220B8A"/>
    <w:rsid w:val="0022380A"/>
    <w:rsid w:val="002257F3"/>
    <w:rsid w:val="0022750D"/>
    <w:rsid w:val="00233456"/>
    <w:rsid w:val="002339A5"/>
    <w:rsid w:val="00236100"/>
    <w:rsid w:val="00246295"/>
    <w:rsid w:val="00257848"/>
    <w:rsid w:val="0027084A"/>
    <w:rsid w:val="00274450"/>
    <w:rsid w:val="00277093"/>
    <w:rsid w:val="00280265"/>
    <w:rsid w:val="00284449"/>
    <w:rsid w:val="00286434"/>
    <w:rsid w:val="00286C59"/>
    <w:rsid w:val="00291957"/>
    <w:rsid w:val="002942D1"/>
    <w:rsid w:val="0029501A"/>
    <w:rsid w:val="00295293"/>
    <w:rsid w:val="002A3721"/>
    <w:rsid w:val="002B1638"/>
    <w:rsid w:val="002B3624"/>
    <w:rsid w:val="002D0952"/>
    <w:rsid w:val="002D1E88"/>
    <w:rsid w:val="002D3FD5"/>
    <w:rsid w:val="002E3C8E"/>
    <w:rsid w:val="002E40B3"/>
    <w:rsid w:val="002E4C9A"/>
    <w:rsid w:val="002F11F8"/>
    <w:rsid w:val="002F3F56"/>
    <w:rsid w:val="002F44B5"/>
    <w:rsid w:val="002F5122"/>
    <w:rsid w:val="003048B3"/>
    <w:rsid w:val="0030617F"/>
    <w:rsid w:val="00311AC0"/>
    <w:rsid w:val="003176FC"/>
    <w:rsid w:val="0032251A"/>
    <w:rsid w:val="0032583B"/>
    <w:rsid w:val="00327883"/>
    <w:rsid w:val="00332A3C"/>
    <w:rsid w:val="00335504"/>
    <w:rsid w:val="003376F7"/>
    <w:rsid w:val="00340C18"/>
    <w:rsid w:val="003442FD"/>
    <w:rsid w:val="00344A87"/>
    <w:rsid w:val="00347824"/>
    <w:rsid w:val="00350567"/>
    <w:rsid w:val="003521E8"/>
    <w:rsid w:val="00365232"/>
    <w:rsid w:val="003654AB"/>
    <w:rsid w:val="00370CE3"/>
    <w:rsid w:val="003728F3"/>
    <w:rsid w:val="003735BC"/>
    <w:rsid w:val="003739DC"/>
    <w:rsid w:val="0037496E"/>
    <w:rsid w:val="003764AE"/>
    <w:rsid w:val="00383221"/>
    <w:rsid w:val="00386150"/>
    <w:rsid w:val="003874CE"/>
    <w:rsid w:val="00390900"/>
    <w:rsid w:val="00391A17"/>
    <w:rsid w:val="003979EE"/>
    <w:rsid w:val="003A7F6C"/>
    <w:rsid w:val="003B4D60"/>
    <w:rsid w:val="003B568B"/>
    <w:rsid w:val="003B7E39"/>
    <w:rsid w:val="003C2823"/>
    <w:rsid w:val="003C58DC"/>
    <w:rsid w:val="003C771E"/>
    <w:rsid w:val="003D0A41"/>
    <w:rsid w:val="003D1E62"/>
    <w:rsid w:val="003D64E3"/>
    <w:rsid w:val="003E0B99"/>
    <w:rsid w:val="003E2486"/>
    <w:rsid w:val="003E3208"/>
    <w:rsid w:val="003F0B04"/>
    <w:rsid w:val="0040134E"/>
    <w:rsid w:val="00401965"/>
    <w:rsid w:val="00423FB9"/>
    <w:rsid w:val="004334C7"/>
    <w:rsid w:val="00440A2D"/>
    <w:rsid w:val="00441C3F"/>
    <w:rsid w:val="00442B67"/>
    <w:rsid w:val="00444C36"/>
    <w:rsid w:val="00445430"/>
    <w:rsid w:val="00447269"/>
    <w:rsid w:val="0045186A"/>
    <w:rsid w:val="004564A7"/>
    <w:rsid w:val="00456765"/>
    <w:rsid w:val="004617BF"/>
    <w:rsid w:val="00463658"/>
    <w:rsid w:val="004637A0"/>
    <w:rsid w:val="004722CC"/>
    <w:rsid w:val="0048338C"/>
    <w:rsid w:val="004936E4"/>
    <w:rsid w:val="00494E60"/>
    <w:rsid w:val="00495D95"/>
    <w:rsid w:val="00497487"/>
    <w:rsid w:val="004A12A3"/>
    <w:rsid w:val="004A1B72"/>
    <w:rsid w:val="004A1DF2"/>
    <w:rsid w:val="004A6189"/>
    <w:rsid w:val="004A6CF6"/>
    <w:rsid w:val="004A7390"/>
    <w:rsid w:val="004B16BD"/>
    <w:rsid w:val="004B7B76"/>
    <w:rsid w:val="004C239D"/>
    <w:rsid w:val="004C2DCA"/>
    <w:rsid w:val="004C61D2"/>
    <w:rsid w:val="004D18B7"/>
    <w:rsid w:val="004F04C3"/>
    <w:rsid w:val="004F0C4A"/>
    <w:rsid w:val="004F0F38"/>
    <w:rsid w:val="004F343E"/>
    <w:rsid w:val="004F47D6"/>
    <w:rsid w:val="00500337"/>
    <w:rsid w:val="00501921"/>
    <w:rsid w:val="0050612D"/>
    <w:rsid w:val="00521AC6"/>
    <w:rsid w:val="00525132"/>
    <w:rsid w:val="00530354"/>
    <w:rsid w:val="00531D68"/>
    <w:rsid w:val="00532FC3"/>
    <w:rsid w:val="0053625B"/>
    <w:rsid w:val="005434C6"/>
    <w:rsid w:val="00543B39"/>
    <w:rsid w:val="005446B6"/>
    <w:rsid w:val="00545EA3"/>
    <w:rsid w:val="00546154"/>
    <w:rsid w:val="00550096"/>
    <w:rsid w:val="005551C6"/>
    <w:rsid w:val="00555280"/>
    <w:rsid w:val="00557FF9"/>
    <w:rsid w:val="00562327"/>
    <w:rsid w:val="00564D85"/>
    <w:rsid w:val="005711D5"/>
    <w:rsid w:val="00576378"/>
    <w:rsid w:val="00577130"/>
    <w:rsid w:val="00577945"/>
    <w:rsid w:val="00577E38"/>
    <w:rsid w:val="00582057"/>
    <w:rsid w:val="00585322"/>
    <w:rsid w:val="005857C6"/>
    <w:rsid w:val="00592F6E"/>
    <w:rsid w:val="00593AD1"/>
    <w:rsid w:val="00595EDD"/>
    <w:rsid w:val="005A0576"/>
    <w:rsid w:val="005A68B6"/>
    <w:rsid w:val="005B0B10"/>
    <w:rsid w:val="005C4859"/>
    <w:rsid w:val="005C5570"/>
    <w:rsid w:val="005C79A4"/>
    <w:rsid w:val="005D3753"/>
    <w:rsid w:val="005D5442"/>
    <w:rsid w:val="005E0053"/>
    <w:rsid w:val="005E14B9"/>
    <w:rsid w:val="005F388E"/>
    <w:rsid w:val="005F6FFC"/>
    <w:rsid w:val="00600C79"/>
    <w:rsid w:val="00603F32"/>
    <w:rsid w:val="00605AD4"/>
    <w:rsid w:val="006136D7"/>
    <w:rsid w:val="00613B68"/>
    <w:rsid w:val="00617EB3"/>
    <w:rsid w:val="0062544D"/>
    <w:rsid w:val="00625A6E"/>
    <w:rsid w:val="00632398"/>
    <w:rsid w:val="006348FE"/>
    <w:rsid w:val="00640FC3"/>
    <w:rsid w:val="00642020"/>
    <w:rsid w:val="006428A7"/>
    <w:rsid w:val="0064340F"/>
    <w:rsid w:val="00650498"/>
    <w:rsid w:val="0065051F"/>
    <w:rsid w:val="0065213D"/>
    <w:rsid w:val="00652481"/>
    <w:rsid w:val="0065337B"/>
    <w:rsid w:val="0065419D"/>
    <w:rsid w:val="006603BC"/>
    <w:rsid w:val="006604D8"/>
    <w:rsid w:val="00664A5B"/>
    <w:rsid w:val="006666D8"/>
    <w:rsid w:val="0066735C"/>
    <w:rsid w:val="00667C3B"/>
    <w:rsid w:val="0067104F"/>
    <w:rsid w:val="006763D2"/>
    <w:rsid w:val="00680C08"/>
    <w:rsid w:val="006916A0"/>
    <w:rsid w:val="006923CF"/>
    <w:rsid w:val="006931B1"/>
    <w:rsid w:val="00695CB5"/>
    <w:rsid w:val="006A15C0"/>
    <w:rsid w:val="006A2E98"/>
    <w:rsid w:val="006A58A8"/>
    <w:rsid w:val="006B59CC"/>
    <w:rsid w:val="006C3E2A"/>
    <w:rsid w:val="006C642F"/>
    <w:rsid w:val="006D03E5"/>
    <w:rsid w:val="006D5D3E"/>
    <w:rsid w:val="006E0256"/>
    <w:rsid w:val="006E08B3"/>
    <w:rsid w:val="006F17AC"/>
    <w:rsid w:val="006F25B8"/>
    <w:rsid w:val="006F3818"/>
    <w:rsid w:val="006F498C"/>
    <w:rsid w:val="006F572E"/>
    <w:rsid w:val="007046D6"/>
    <w:rsid w:val="00705DB0"/>
    <w:rsid w:val="0071213D"/>
    <w:rsid w:val="00722B57"/>
    <w:rsid w:val="00723F27"/>
    <w:rsid w:val="00724EA8"/>
    <w:rsid w:val="0072671F"/>
    <w:rsid w:val="00730F8A"/>
    <w:rsid w:val="00735A8C"/>
    <w:rsid w:val="0074253D"/>
    <w:rsid w:val="0074429B"/>
    <w:rsid w:val="0075146F"/>
    <w:rsid w:val="00756F9C"/>
    <w:rsid w:val="007615BC"/>
    <w:rsid w:val="00762F05"/>
    <w:rsid w:val="007652FF"/>
    <w:rsid w:val="00766E7F"/>
    <w:rsid w:val="00767026"/>
    <w:rsid w:val="00770CAC"/>
    <w:rsid w:val="00770EF1"/>
    <w:rsid w:val="00773EF7"/>
    <w:rsid w:val="00774E1D"/>
    <w:rsid w:val="007765D8"/>
    <w:rsid w:val="0077675A"/>
    <w:rsid w:val="00780355"/>
    <w:rsid w:val="007819FD"/>
    <w:rsid w:val="00785717"/>
    <w:rsid w:val="00785721"/>
    <w:rsid w:val="00793A59"/>
    <w:rsid w:val="007962C1"/>
    <w:rsid w:val="007A0BF1"/>
    <w:rsid w:val="007A46F5"/>
    <w:rsid w:val="007A6505"/>
    <w:rsid w:val="007B4536"/>
    <w:rsid w:val="007B5DAD"/>
    <w:rsid w:val="007B6132"/>
    <w:rsid w:val="007B6E9F"/>
    <w:rsid w:val="007C1216"/>
    <w:rsid w:val="007C1AF7"/>
    <w:rsid w:val="007C6B9B"/>
    <w:rsid w:val="007D2D19"/>
    <w:rsid w:val="007E2ED1"/>
    <w:rsid w:val="007E3DA0"/>
    <w:rsid w:val="007E3E1E"/>
    <w:rsid w:val="008017C8"/>
    <w:rsid w:val="00805D27"/>
    <w:rsid w:val="00806DCB"/>
    <w:rsid w:val="0081374F"/>
    <w:rsid w:val="00821776"/>
    <w:rsid w:val="008303DC"/>
    <w:rsid w:val="008321F5"/>
    <w:rsid w:val="00832369"/>
    <w:rsid w:val="00834660"/>
    <w:rsid w:val="00834C3C"/>
    <w:rsid w:val="00834E4F"/>
    <w:rsid w:val="00836BC2"/>
    <w:rsid w:val="00842450"/>
    <w:rsid w:val="00843E41"/>
    <w:rsid w:val="0085156D"/>
    <w:rsid w:val="0085174F"/>
    <w:rsid w:val="00852B28"/>
    <w:rsid w:val="0085641B"/>
    <w:rsid w:val="00857136"/>
    <w:rsid w:val="008752F6"/>
    <w:rsid w:val="00875A6B"/>
    <w:rsid w:val="00884807"/>
    <w:rsid w:val="00885B11"/>
    <w:rsid w:val="00886D15"/>
    <w:rsid w:val="00887DD8"/>
    <w:rsid w:val="00891BA9"/>
    <w:rsid w:val="00896018"/>
    <w:rsid w:val="008960DD"/>
    <w:rsid w:val="0089635C"/>
    <w:rsid w:val="008A2B9D"/>
    <w:rsid w:val="008A3D9F"/>
    <w:rsid w:val="008A489C"/>
    <w:rsid w:val="008A5E0B"/>
    <w:rsid w:val="008A6D59"/>
    <w:rsid w:val="008B4B03"/>
    <w:rsid w:val="008B596F"/>
    <w:rsid w:val="008C159F"/>
    <w:rsid w:val="008C1623"/>
    <w:rsid w:val="008C1850"/>
    <w:rsid w:val="008C51A9"/>
    <w:rsid w:val="008E38E9"/>
    <w:rsid w:val="008E7846"/>
    <w:rsid w:val="008F02E5"/>
    <w:rsid w:val="008F1CCC"/>
    <w:rsid w:val="008F2967"/>
    <w:rsid w:val="008F6943"/>
    <w:rsid w:val="008F6DAA"/>
    <w:rsid w:val="00902612"/>
    <w:rsid w:val="00902A21"/>
    <w:rsid w:val="0091523F"/>
    <w:rsid w:val="00920330"/>
    <w:rsid w:val="009219D7"/>
    <w:rsid w:val="00922D53"/>
    <w:rsid w:val="00923B70"/>
    <w:rsid w:val="00924482"/>
    <w:rsid w:val="00930237"/>
    <w:rsid w:val="00937C17"/>
    <w:rsid w:val="00940A89"/>
    <w:rsid w:val="00941F77"/>
    <w:rsid w:val="009467A3"/>
    <w:rsid w:val="00946EA5"/>
    <w:rsid w:val="00950B2F"/>
    <w:rsid w:val="009515E9"/>
    <w:rsid w:val="00954DC4"/>
    <w:rsid w:val="00963BC0"/>
    <w:rsid w:val="00963C08"/>
    <w:rsid w:val="00963DD4"/>
    <w:rsid w:val="009752A5"/>
    <w:rsid w:val="00984222"/>
    <w:rsid w:val="00984369"/>
    <w:rsid w:val="0098585A"/>
    <w:rsid w:val="00990E2D"/>
    <w:rsid w:val="009973A2"/>
    <w:rsid w:val="009A011A"/>
    <w:rsid w:val="009A4CED"/>
    <w:rsid w:val="009A690D"/>
    <w:rsid w:val="009B0E67"/>
    <w:rsid w:val="009B10F5"/>
    <w:rsid w:val="009B1D12"/>
    <w:rsid w:val="009B416B"/>
    <w:rsid w:val="009B7EEF"/>
    <w:rsid w:val="009C028D"/>
    <w:rsid w:val="009C4BD5"/>
    <w:rsid w:val="009D0A56"/>
    <w:rsid w:val="009D42EF"/>
    <w:rsid w:val="009D4329"/>
    <w:rsid w:val="009D6F9D"/>
    <w:rsid w:val="009D7B77"/>
    <w:rsid w:val="009E0BB0"/>
    <w:rsid w:val="009E3FBB"/>
    <w:rsid w:val="009F06A5"/>
    <w:rsid w:val="009F26CF"/>
    <w:rsid w:val="009F4A9B"/>
    <w:rsid w:val="009F7353"/>
    <w:rsid w:val="00A00F8C"/>
    <w:rsid w:val="00A04F85"/>
    <w:rsid w:val="00A05FA4"/>
    <w:rsid w:val="00A102E4"/>
    <w:rsid w:val="00A12C42"/>
    <w:rsid w:val="00A144E4"/>
    <w:rsid w:val="00A14DF7"/>
    <w:rsid w:val="00A221EC"/>
    <w:rsid w:val="00A22D57"/>
    <w:rsid w:val="00A231F0"/>
    <w:rsid w:val="00A3246D"/>
    <w:rsid w:val="00A36FA7"/>
    <w:rsid w:val="00A37238"/>
    <w:rsid w:val="00A40CD7"/>
    <w:rsid w:val="00A44DDB"/>
    <w:rsid w:val="00A46C84"/>
    <w:rsid w:val="00A475B7"/>
    <w:rsid w:val="00A47AF7"/>
    <w:rsid w:val="00A47C3E"/>
    <w:rsid w:val="00A50226"/>
    <w:rsid w:val="00A55817"/>
    <w:rsid w:val="00A60BAD"/>
    <w:rsid w:val="00A65FBB"/>
    <w:rsid w:val="00A67620"/>
    <w:rsid w:val="00A775D3"/>
    <w:rsid w:val="00A778EF"/>
    <w:rsid w:val="00A77F87"/>
    <w:rsid w:val="00A80B5B"/>
    <w:rsid w:val="00A84E36"/>
    <w:rsid w:val="00A964D1"/>
    <w:rsid w:val="00AA0ED0"/>
    <w:rsid w:val="00AB70A3"/>
    <w:rsid w:val="00AC2B40"/>
    <w:rsid w:val="00AC2BB2"/>
    <w:rsid w:val="00AC2C3C"/>
    <w:rsid w:val="00AC512D"/>
    <w:rsid w:val="00AD0083"/>
    <w:rsid w:val="00AD08FD"/>
    <w:rsid w:val="00AD3935"/>
    <w:rsid w:val="00AD7B94"/>
    <w:rsid w:val="00AE4357"/>
    <w:rsid w:val="00AE65EB"/>
    <w:rsid w:val="00AE67A7"/>
    <w:rsid w:val="00AF1D94"/>
    <w:rsid w:val="00AF2296"/>
    <w:rsid w:val="00AF60C5"/>
    <w:rsid w:val="00B009C6"/>
    <w:rsid w:val="00B01548"/>
    <w:rsid w:val="00B03309"/>
    <w:rsid w:val="00B058F2"/>
    <w:rsid w:val="00B12E0A"/>
    <w:rsid w:val="00B13EBD"/>
    <w:rsid w:val="00B16732"/>
    <w:rsid w:val="00B21D29"/>
    <w:rsid w:val="00B25034"/>
    <w:rsid w:val="00B33588"/>
    <w:rsid w:val="00B33863"/>
    <w:rsid w:val="00B37D17"/>
    <w:rsid w:val="00B4175E"/>
    <w:rsid w:val="00B41A49"/>
    <w:rsid w:val="00B41C85"/>
    <w:rsid w:val="00B452CE"/>
    <w:rsid w:val="00B455F6"/>
    <w:rsid w:val="00B54C25"/>
    <w:rsid w:val="00B67519"/>
    <w:rsid w:val="00B72C7C"/>
    <w:rsid w:val="00B73E06"/>
    <w:rsid w:val="00B76B91"/>
    <w:rsid w:val="00B77EB1"/>
    <w:rsid w:val="00B811C6"/>
    <w:rsid w:val="00B84C2F"/>
    <w:rsid w:val="00B855B0"/>
    <w:rsid w:val="00B92E08"/>
    <w:rsid w:val="00B93487"/>
    <w:rsid w:val="00BA1F95"/>
    <w:rsid w:val="00BB31C4"/>
    <w:rsid w:val="00BC622A"/>
    <w:rsid w:val="00BD2434"/>
    <w:rsid w:val="00BD3317"/>
    <w:rsid w:val="00BD5C68"/>
    <w:rsid w:val="00BE0A78"/>
    <w:rsid w:val="00BE2B7C"/>
    <w:rsid w:val="00BE79F0"/>
    <w:rsid w:val="00BF046D"/>
    <w:rsid w:val="00BF1190"/>
    <w:rsid w:val="00BF2127"/>
    <w:rsid w:val="00BF3774"/>
    <w:rsid w:val="00BF5D04"/>
    <w:rsid w:val="00C009AA"/>
    <w:rsid w:val="00C1164D"/>
    <w:rsid w:val="00C1376E"/>
    <w:rsid w:val="00C16861"/>
    <w:rsid w:val="00C20C37"/>
    <w:rsid w:val="00C22408"/>
    <w:rsid w:val="00C22F8F"/>
    <w:rsid w:val="00C346AB"/>
    <w:rsid w:val="00C404A6"/>
    <w:rsid w:val="00C40A36"/>
    <w:rsid w:val="00C40D2E"/>
    <w:rsid w:val="00C44419"/>
    <w:rsid w:val="00C45E7B"/>
    <w:rsid w:val="00C471B1"/>
    <w:rsid w:val="00C500FE"/>
    <w:rsid w:val="00C52E24"/>
    <w:rsid w:val="00C55EF8"/>
    <w:rsid w:val="00C6316B"/>
    <w:rsid w:val="00C634A9"/>
    <w:rsid w:val="00C63B1A"/>
    <w:rsid w:val="00C64586"/>
    <w:rsid w:val="00C70D53"/>
    <w:rsid w:val="00C73D0B"/>
    <w:rsid w:val="00C772FF"/>
    <w:rsid w:val="00C80137"/>
    <w:rsid w:val="00C801AF"/>
    <w:rsid w:val="00C80256"/>
    <w:rsid w:val="00C920E8"/>
    <w:rsid w:val="00C94CD4"/>
    <w:rsid w:val="00C9747E"/>
    <w:rsid w:val="00CA1EAE"/>
    <w:rsid w:val="00CA4868"/>
    <w:rsid w:val="00CB6BC0"/>
    <w:rsid w:val="00CC0D6A"/>
    <w:rsid w:val="00CC1B7C"/>
    <w:rsid w:val="00CC727F"/>
    <w:rsid w:val="00CD4D1E"/>
    <w:rsid w:val="00CD70A6"/>
    <w:rsid w:val="00CE1215"/>
    <w:rsid w:val="00CE2E0A"/>
    <w:rsid w:val="00CF15C3"/>
    <w:rsid w:val="00CF2B6F"/>
    <w:rsid w:val="00CF2F3E"/>
    <w:rsid w:val="00CF58B6"/>
    <w:rsid w:val="00D0062D"/>
    <w:rsid w:val="00D017ED"/>
    <w:rsid w:val="00D040D3"/>
    <w:rsid w:val="00D04C65"/>
    <w:rsid w:val="00D153D8"/>
    <w:rsid w:val="00D201D2"/>
    <w:rsid w:val="00D224FE"/>
    <w:rsid w:val="00D23139"/>
    <w:rsid w:val="00D37C28"/>
    <w:rsid w:val="00D425BB"/>
    <w:rsid w:val="00D453FA"/>
    <w:rsid w:val="00D53BF6"/>
    <w:rsid w:val="00D6376C"/>
    <w:rsid w:val="00D63B6A"/>
    <w:rsid w:val="00D6493E"/>
    <w:rsid w:val="00D65DC7"/>
    <w:rsid w:val="00D7040B"/>
    <w:rsid w:val="00D7195D"/>
    <w:rsid w:val="00D7301E"/>
    <w:rsid w:val="00D744A2"/>
    <w:rsid w:val="00D8165A"/>
    <w:rsid w:val="00D83AE1"/>
    <w:rsid w:val="00D855D4"/>
    <w:rsid w:val="00D865BD"/>
    <w:rsid w:val="00D902C9"/>
    <w:rsid w:val="00D93466"/>
    <w:rsid w:val="00D975B3"/>
    <w:rsid w:val="00DA1124"/>
    <w:rsid w:val="00DA26BF"/>
    <w:rsid w:val="00DB06B8"/>
    <w:rsid w:val="00DB1320"/>
    <w:rsid w:val="00DB6124"/>
    <w:rsid w:val="00DB6644"/>
    <w:rsid w:val="00DB6FEA"/>
    <w:rsid w:val="00DB750B"/>
    <w:rsid w:val="00DB75B7"/>
    <w:rsid w:val="00DC0A2F"/>
    <w:rsid w:val="00DC6E02"/>
    <w:rsid w:val="00DD28CD"/>
    <w:rsid w:val="00DE02AE"/>
    <w:rsid w:val="00DE39D1"/>
    <w:rsid w:val="00DE4018"/>
    <w:rsid w:val="00DE43A1"/>
    <w:rsid w:val="00DF1D7F"/>
    <w:rsid w:val="00DF25C8"/>
    <w:rsid w:val="00DF4BE4"/>
    <w:rsid w:val="00E00D98"/>
    <w:rsid w:val="00E02382"/>
    <w:rsid w:val="00E02FB4"/>
    <w:rsid w:val="00E13FC7"/>
    <w:rsid w:val="00E20571"/>
    <w:rsid w:val="00E2243A"/>
    <w:rsid w:val="00E235F7"/>
    <w:rsid w:val="00E23659"/>
    <w:rsid w:val="00E239D4"/>
    <w:rsid w:val="00E26130"/>
    <w:rsid w:val="00E31654"/>
    <w:rsid w:val="00E40B22"/>
    <w:rsid w:val="00E43D9C"/>
    <w:rsid w:val="00E44ED1"/>
    <w:rsid w:val="00E45619"/>
    <w:rsid w:val="00E4588F"/>
    <w:rsid w:val="00E45CFE"/>
    <w:rsid w:val="00E46DA3"/>
    <w:rsid w:val="00E51BB1"/>
    <w:rsid w:val="00E55CB0"/>
    <w:rsid w:val="00E624A5"/>
    <w:rsid w:val="00E64BA4"/>
    <w:rsid w:val="00E701F1"/>
    <w:rsid w:val="00E71CC9"/>
    <w:rsid w:val="00E7344E"/>
    <w:rsid w:val="00E73670"/>
    <w:rsid w:val="00E7483A"/>
    <w:rsid w:val="00E82665"/>
    <w:rsid w:val="00E82A0A"/>
    <w:rsid w:val="00EB0798"/>
    <w:rsid w:val="00EB40AD"/>
    <w:rsid w:val="00EB586E"/>
    <w:rsid w:val="00EB5FC8"/>
    <w:rsid w:val="00EC0A46"/>
    <w:rsid w:val="00EC463D"/>
    <w:rsid w:val="00EC7A85"/>
    <w:rsid w:val="00ED2922"/>
    <w:rsid w:val="00ED3CAD"/>
    <w:rsid w:val="00ED5A41"/>
    <w:rsid w:val="00EE1DE8"/>
    <w:rsid w:val="00EE2122"/>
    <w:rsid w:val="00EE27C2"/>
    <w:rsid w:val="00EE59E5"/>
    <w:rsid w:val="00EE5E07"/>
    <w:rsid w:val="00EF4BAD"/>
    <w:rsid w:val="00EF59DC"/>
    <w:rsid w:val="00EF620F"/>
    <w:rsid w:val="00EF65B6"/>
    <w:rsid w:val="00F033EC"/>
    <w:rsid w:val="00F041C6"/>
    <w:rsid w:val="00F04F68"/>
    <w:rsid w:val="00F05084"/>
    <w:rsid w:val="00F06704"/>
    <w:rsid w:val="00F12670"/>
    <w:rsid w:val="00F14B27"/>
    <w:rsid w:val="00F17611"/>
    <w:rsid w:val="00F3003E"/>
    <w:rsid w:val="00F30AD1"/>
    <w:rsid w:val="00F3148D"/>
    <w:rsid w:val="00F325C5"/>
    <w:rsid w:val="00F32FE0"/>
    <w:rsid w:val="00F35298"/>
    <w:rsid w:val="00F436B4"/>
    <w:rsid w:val="00F439FC"/>
    <w:rsid w:val="00F47333"/>
    <w:rsid w:val="00F47E37"/>
    <w:rsid w:val="00F532A6"/>
    <w:rsid w:val="00F539E2"/>
    <w:rsid w:val="00F53C07"/>
    <w:rsid w:val="00F54B65"/>
    <w:rsid w:val="00F640B6"/>
    <w:rsid w:val="00F66B9E"/>
    <w:rsid w:val="00F66DF2"/>
    <w:rsid w:val="00F80E40"/>
    <w:rsid w:val="00F848D9"/>
    <w:rsid w:val="00F9476E"/>
    <w:rsid w:val="00F960D8"/>
    <w:rsid w:val="00F97F84"/>
    <w:rsid w:val="00FA0967"/>
    <w:rsid w:val="00FA4865"/>
    <w:rsid w:val="00FA5069"/>
    <w:rsid w:val="00FA5B82"/>
    <w:rsid w:val="00FA639E"/>
    <w:rsid w:val="00FB3E16"/>
    <w:rsid w:val="00FC1FCA"/>
    <w:rsid w:val="00FC25E4"/>
    <w:rsid w:val="00FC3515"/>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CD1828E"/>
  <w15:docId w15:val="{2484D718-625A-444B-8246-844F96910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834C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8444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rsid w:val="00447269"/>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47269"/>
    <w:rPr>
      <w:rFonts w:ascii="Cambria" w:eastAsia="Times New Roman" w:hAnsi="Cambria" w:cs="Times New Roman"/>
      <w:snapToGrid w:val="0"/>
      <w:kern w:val="16"/>
      <w:szCs w:val="24"/>
    </w:rPr>
  </w:style>
  <w:style w:type="paragraph" w:styleId="ListParagraph">
    <w:name w:val="List Paragraph"/>
    <w:basedOn w:val="Normal"/>
    <w:uiPriority w:val="34"/>
    <w:qFormat/>
    <w:rsid w:val="005B0B10"/>
    <w:pPr>
      <w:spacing w:before="0" w:after="0" w:line="240" w:lineRule="auto"/>
      <w:ind w:left="720"/>
      <w:contextualSpacing/>
    </w:pPr>
    <w:rPr>
      <w:rFonts w:ascii="Times New Roman" w:eastAsiaTheme="minorHAnsi" w:hAnsi="Times New Roman"/>
      <w:sz w:val="24"/>
      <w:szCs w:val="24"/>
    </w:rPr>
  </w:style>
  <w:style w:type="character" w:customStyle="1" w:styleId="TableTitleChar">
    <w:name w:val="Table Title Char"/>
    <w:basedOn w:val="DefaultParagraphFont"/>
    <w:link w:val="TableTitle"/>
    <w:rsid w:val="00B73E06"/>
    <w:rPr>
      <w:rFonts w:ascii="Cambria" w:eastAsia="Cambria" w:hAnsi="Cambria" w:cs="Times New Roman"/>
      <w:b/>
    </w:rPr>
  </w:style>
  <w:style w:type="character" w:customStyle="1" w:styleId="Heading8Char">
    <w:name w:val="Heading 8 Char"/>
    <w:basedOn w:val="DefaultParagraphFont"/>
    <w:link w:val="Heading8"/>
    <w:uiPriority w:val="9"/>
    <w:semiHidden/>
    <w:rsid w:val="00834C3C"/>
    <w:rPr>
      <w:rFonts w:asciiTheme="majorHAnsi" w:eastAsiaTheme="majorEastAsia" w:hAnsiTheme="majorHAnsi" w:cstheme="majorBidi"/>
      <w:color w:val="404040" w:themeColor="text1" w:themeTint="BF"/>
      <w:sz w:val="20"/>
      <w:szCs w:val="20"/>
    </w:rPr>
  </w:style>
  <w:style w:type="paragraph" w:customStyle="1" w:styleId="table">
    <w:name w:val="table"/>
    <w:basedOn w:val="Normal"/>
    <w:link w:val="tableChar"/>
    <w:qFormat/>
    <w:rsid w:val="0048338C"/>
    <w:pPr>
      <w:widowControl w:val="0"/>
      <w:adjustRightInd w:val="0"/>
      <w:snapToGrid w:val="0"/>
      <w:spacing w:before="0" w:after="0" w:line="240" w:lineRule="auto"/>
      <w:contextualSpacing/>
    </w:pPr>
    <w:rPr>
      <w:rFonts w:ascii="Times New Roman" w:eastAsia="MS Mincho" w:hAnsi="Times New Roman"/>
      <w:sz w:val="18"/>
      <w:szCs w:val="20"/>
      <w:lang w:eastAsia="ja-JP"/>
    </w:rPr>
  </w:style>
  <w:style w:type="character" w:customStyle="1" w:styleId="tableChar">
    <w:name w:val="table Char"/>
    <w:basedOn w:val="DefaultParagraphFont"/>
    <w:link w:val="table"/>
    <w:rsid w:val="006E0256"/>
    <w:rPr>
      <w:rFonts w:ascii="Times New Roman" w:eastAsia="MS Mincho" w:hAnsi="Times New Roman" w:cs="Times New Roman"/>
      <w:sz w:val="18"/>
      <w:szCs w:val="20"/>
      <w:lang w:eastAsia="ja-JP"/>
    </w:rPr>
  </w:style>
  <w:style w:type="character" w:customStyle="1" w:styleId="TabletextChar">
    <w:name w:val="Table text Char"/>
    <w:basedOn w:val="DefaultParagraphFont"/>
    <w:link w:val="Tabletext"/>
    <w:rsid w:val="001F2D1F"/>
    <w:rPr>
      <w:rFonts w:ascii="Cambria" w:eastAsia="Cambria" w:hAnsi="Cambria" w:cs="Times New Roman"/>
      <w:sz w:val="19"/>
    </w:rPr>
  </w:style>
  <w:style w:type="paragraph" w:customStyle="1" w:styleId="TableHeader">
    <w:name w:val="Table Header"/>
    <w:basedOn w:val="Normal"/>
    <w:rsid w:val="001F2D1F"/>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1F2D1F"/>
    <w:pPr>
      <w:spacing w:before="0" w:after="0" w:line="200" w:lineRule="atLeast"/>
      <w:jc w:val="center"/>
    </w:pPr>
    <w:rPr>
      <w:rFonts w:eastAsia="Times New Roman"/>
      <w:snapToGrid w:val="0"/>
      <w:kern w:val="16"/>
      <w:sz w:val="18"/>
      <w:szCs w:val="19"/>
    </w:rPr>
  </w:style>
  <w:style w:type="paragraph" w:customStyle="1" w:styleId="Default">
    <w:name w:val="Default"/>
    <w:rsid w:val="002D1E8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031328">
      <w:bodyDiv w:val="1"/>
      <w:marLeft w:val="0"/>
      <w:marRight w:val="0"/>
      <w:marTop w:val="0"/>
      <w:marBottom w:val="0"/>
      <w:divBdr>
        <w:top w:val="none" w:sz="0" w:space="0" w:color="auto"/>
        <w:left w:val="none" w:sz="0" w:space="0" w:color="auto"/>
        <w:bottom w:val="none" w:sz="0" w:space="0" w:color="auto"/>
        <w:right w:val="none" w:sz="0" w:space="0" w:color="auto"/>
      </w:divBdr>
    </w:div>
    <w:div w:id="173646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www.tga.gov.au/product-information-pi"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yperlink" Target="mailto:info@tga.gov.au" TargetMode="External"/><Relationship Id="rId35"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868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445C-E1B3-4E7A-86DF-BCB1CF761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13</TotalTime>
  <Pages>61</Pages>
  <Words>20503</Words>
  <Characters>117078</Characters>
  <Application>Microsoft Office Word</Application>
  <DocSecurity>0</DocSecurity>
  <Lines>2601</Lines>
  <Paragraphs>1545</Paragraphs>
  <ScaleCrop>false</ScaleCrop>
  <HeadingPairs>
    <vt:vector size="2" baseType="variant">
      <vt:variant>
        <vt:lpstr>Title</vt:lpstr>
      </vt:variant>
      <vt:variant>
        <vt:i4>1</vt:i4>
      </vt:variant>
    </vt:vector>
  </HeadingPairs>
  <TitlesOfParts>
    <vt:vector size="1" baseType="lpstr">
      <vt:lpstr>Australian public assessment for Olaparib</vt:lpstr>
    </vt:vector>
  </TitlesOfParts>
  <Company>Department of Health Therapeutic Goods Administration</Company>
  <LinksUpToDate>false</LinksUpToDate>
  <CharactersWithSpaces>136036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Olaparib</dc:title>
  <dc:subject>prescription medicines</dc:subject>
  <dc:creator> Therapeutic Goods Administration</dc:creator>
  <cp:keywords>AusPARs</cp:keywords>
  <cp:lastPrinted>2015-09-22T23:39:00Z</cp:lastPrinted>
  <dcterms:created xsi:type="dcterms:W3CDTF">2019-10-29T23:40:00Z</dcterms:created>
  <dcterms:modified xsi:type="dcterms:W3CDTF">2019-10-30T00:09:00Z</dcterms:modified>
  <cp:category/>
</cp:coreProperties>
</file>