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EAACBA" w14:textId="4356BD06" w:rsidR="00CF311A" w:rsidRDefault="006018AE" w:rsidP="00CF311A">
      <w:pPr>
        <w:pStyle w:val="Heading1Unnumbered"/>
        <w:jc w:val="center"/>
        <w:rPr>
          <w:rFonts w:eastAsia="SimSun"/>
        </w:rPr>
      </w:pPr>
      <w:bookmarkStart w:id="0" w:name="_GoBack"/>
      <w:bookmarkEnd w:id="0"/>
      <w:r w:rsidRPr="00377337">
        <w:rPr>
          <w:rFonts w:eastAsia="SimSun"/>
        </w:rPr>
        <w:t>Australian P</w:t>
      </w:r>
      <w:r w:rsidR="00A32E10">
        <w:rPr>
          <w:rFonts w:eastAsia="SimSun"/>
        </w:rPr>
        <w:t xml:space="preserve">RODUCT </w:t>
      </w:r>
      <w:r w:rsidRPr="00377337">
        <w:rPr>
          <w:rFonts w:eastAsia="SimSun"/>
        </w:rPr>
        <w:t>I</w:t>
      </w:r>
      <w:r w:rsidR="00A32E10">
        <w:rPr>
          <w:rFonts w:eastAsia="SimSun"/>
        </w:rPr>
        <w:t>NFORMATION</w:t>
      </w:r>
    </w:p>
    <w:p w14:paraId="3B420D3D" w14:textId="5D95C785" w:rsidR="006018AE" w:rsidRPr="00126C4D" w:rsidRDefault="00126C4D" w:rsidP="00CF311A">
      <w:pPr>
        <w:pStyle w:val="Heading2Unnumbered"/>
        <w:jc w:val="center"/>
        <w:rPr>
          <w:rFonts w:eastAsia="SimSun"/>
          <w:sz w:val="28"/>
          <w:szCs w:val="28"/>
        </w:rPr>
      </w:pPr>
      <w:r w:rsidRPr="00126C4D">
        <w:rPr>
          <w:rFonts w:eastAsia="SimSun"/>
          <w:sz w:val="28"/>
          <w:szCs w:val="28"/>
        </w:rPr>
        <w:t>LYNPARZA</w:t>
      </w:r>
      <w:r w:rsidR="00A36815" w:rsidRPr="00A36815">
        <w:rPr>
          <w:rFonts w:eastAsia="SimSun" w:cs="Times New Roman"/>
          <w:sz w:val="28"/>
          <w:szCs w:val="28"/>
          <w:vertAlign w:val="superscript"/>
        </w:rPr>
        <w:t>®</w:t>
      </w:r>
      <w:r w:rsidRPr="00126C4D">
        <w:rPr>
          <w:rFonts w:eastAsia="SimSun"/>
          <w:sz w:val="28"/>
          <w:szCs w:val="28"/>
        </w:rPr>
        <w:br/>
        <w:t>O</w:t>
      </w:r>
      <w:r w:rsidR="00CF311A" w:rsidRPr="00126C4D">
        <w:rPr>
          <w:rFonts w:eastAsia="SimSun"/>
          <w:sz w:val="28"/>
          <w:szCs w:val="28"/>
        </w:rPr>
        <w:t>laparib</w:t>
      </w:r>
      <w:r w:rsidR="00A32E10" w:rsidRPr="00126C4D">
        <w:rPr>
          <w:rFonts w:eastAsia="SimSun"/>
          <w:sz w:val="28"/>
          <w:szCs w:val="28"/>
        </w:rPr>
        <w:t xml:space="preserve"> </w:t>
      </w:r>
      <w:r w:rsidR="000B429F" w:rsidRPr="000B429F">
        <w:rPr>
          <w:rFonts w:eastAsia="SimSun"/>
          <w:sz w:val="28"/>
          <w:szCs w:val="28"/>
        </w:rPr>
        <w:t>Tablets</w:t>
      </w:r>
    </w:p>
    <w:p w14:paraId="7002BD97" w14:textId="77777777" w:rsidR="001A3992" w:rsidRDefault="001A3992" w:rsidP="00D42AF8">
      <w:pPr>
        <w:pStyle w:val="Heading1"/>
        <w:tabs>
          <w:tab w:val="clear" w:pos="1134"/>
          <w:tab w:val="num" w:pos="720"/>
        </w:tabs>
        <w:ind w:left="720" w:hanging="720"/>
      </w:pPr>
      <w:r w:rsidRPr="00377337">
        <w:t>Name of the medicine</w:t>
      </w:r>
    </w:p>
    <w:p w14:paraId="3A45A267" w14:textId="0EBA1B41" w:rsidR="0080644B" w:rsidRPr="0080644B" w:rsidRDefault="000B429F" w:rsidP="00126C4D">
      <w:pPr>
        <w:pStyle w:val="Paragraph"/>
      </w:pPr>
      <w:r>
        <w:t>Olaparib</w:t>
      </w:r>
    </w:p>
    <w:p w14:paraId="1C742030" w14:textId="77777777" w:rsidR="001A3992" w:rsidRDefault="001A3992" w:rsidP="00D42AF8">
      <w:pPr>
        <w:pStyle w:val="Heading1"/>
        <w:tabs>
          <w:tab w:val="clear" w:pos="1134"/>
          <w:tab w:val="num" w:pos="720"/>
        </w:tabs>
        <w:ind w:left="720" w:hanging="720"/>
      </w:pPr>
      <w:r w:rsidRPr="00377337">
        <w:t>Qualitative and quantitative composition</w:t>
      </w:r>
    </w:p>
    <w:p w14:paraId="29E5D33A" w14:textId="05CBB760" w:rsidR="0080644B" w:rsidRDefault="00D42AF8" w:rsidP="00D42AF8">
      <w:pPr>
        <w:pStyle w:val="Paragraph"/>
      </w:pPr>
      <w:r>
        <w:t>Olaparib is a white to pale yellow crystalline powder, which is very slightly soluble in aqueous solutions (0.10–0.13 mg/mL at 37°C), slightly soluble in ethanol (5.5 mg/mL at 37°C) and has a pKa of 12.07.</w:t>
      </w:r>
    </w:p>
    <w:p w14:paraId="734695B2" w14:textId="6F701291" w:rsidR="00D42AF8" w:rsidRPr="0080644B" w:rsidRDefault="00D42AF8" w:rsidP="00D42AF8">
      <w:pPr>
        <w:pStyle w:val="Paragraph"/>
      </w:pPr>
      <w:r>
        <w:t xml:space="preserve">LYNPARZA </w:t>
      </w:r>
      <w:r w:rsidR="000B429F" w:rsidRPr="000B429F">
        <w:t xml:space="preserve">tablets </w:t>
      </w:r>
      <w:r>
        <w:t xml:space="preserve">consist of </w:t>
      </w:r>
      <w:r w:rsidR="000B429F" w:rsidRPr="000B429F">
        <w:t xml:space="preserve">either 100 mg or 150 </w:t>
      </w:r>
      <w:r>
        <w:t>mg olaparib drug substance</w:t>
      </w:r>
      <w:r w:rsidR="00BE77D8" w:rsidRPr="00BE77D8">
        <w:t xml:space="preserve"> and the following inactive ingredients; </w:t>
      </w:r>
      <w:proofErr w:type="spellStart"/>
      <w:r w:rsidR="00BE77D8" w:rsidRPr="00BE77D8">
        <w:t>copovidone</w:t>
      </w:r>
      <w:proofErr w:type="spellEnd"/>
      <w:r w:rsidR="00BE77D8" w:rsidRPr="00BE77D8">
        <w:t>, colloidal anhydrous silica, mannitol, sodium stearylfumarate</w:t>
      </w:r>
      <w:r>
        <w:t xml:space="preserve"> hypromellose,</w:t>
      </w:r>
      <w:r w:rsidR="00BE77D8" w:rsidRPr="00BE77D8">
        <w:t xml:space="preserve"> macrogol 400, titanium dioxide and iron oxide yellow.  LYNPARZA 150 mg tablets also contain iron oxide black.</w:t>
      </w:r>
      <w:r>
        <w:t xml:space="preserve"> </w:t>
      </w:r>
    </w:p>
    <w:p w14:paraId="70E51369" w14:textId="77777777" w:rsidR="001A3992" w:rsidRDefault="001A3992" w:rsidP="00D42AF8">
      <w:pPr>
        <w:pStyle w:val="Heading1"/>
        <w:tabs>
          <w:tab w:val="clear" w:pos="1134"/>
          <w:tab w:val="num" w:pos="720"/>
        </w:tabs>
        <w:ind w:left="720" w:hanging="720"/>
      </w:pPr>
      <w:r w:rsidRPr="00377337">
        <w:t>Pharmaceutical form</w:t>
      </w:r>
    </w:p>
    <w:p w14:paraId="28A2ABB6" w14:textId="421C496C" w:rsidR="0055006D" w:rsidRDefault="0055006D" w:rsidP="0055006D">
      <w:pPr>
        <w:pStyle w:val="Paragraph"/>
      </w:pPr>
      <w:r w:rsidRPr="0055006D">
        <w:t>LYNPARZA 150 mg tablets are a green to green/grey, oval, bi-convex tablet debossed with ‘OP150’ on one side and plain on the reverse</w:t>
      </w:r>
      <w:r>
        <w:t>.</w:t>
      </w:r>
    </w:p>
    <w:p w14:paraId="55DC6E4A" w14:textId="191855FC" w:rsidR="0055006D" w:rsidRDefault="0055006D" w:rsidP="0055006D">
      <w:pPr>
        <w:pStyle w:val="Paragraph"/>
      </w:pPr>
      <w:r w:rsidRPr="0055006D">
        <w:t>LYNPARZA 100 mg tablets are a yellow to dark yellow, oval, bi-convex tablet debossed with ‘OP100’ on one side and plain on the reverse.</w:t>
      </w:r>
    </w:p>
    <w:p w14:paraId="5D729081" w14:textId="77777777" w:rsidR="001A3992" w:rsidRPr="00377337" w:rsidRDefault="001A3992" w:rsidP="00D42AF8">
      <w:pPr>
        <w:pStyle w:val="Heading1"/>
        <w:tabs>
          <w:tab w:val="clear" w:pos="1134"/>
          <w:tab w:val="num" w:pos="720"/>
        </w:tabs>
        <w:ind w:left="720" w:hanging="720"/>
      </w:pPr>
      <w:r w:rsidRPr="00377337">
        <w:t>Clinical particulars</w:t>
      </w:r>
    </w:p>
    <w:p w14:paraId="0F1E83BA" w14:textId="77777777" w:rsidR="001A3992" w:rsidRDefault="001A3992" w:rsidP="00D42AF8">
      <w:pPr>
        <w:pStyle w:val="Heading2"/>
        <w:tabs>
          <w:tab w:val="clear" w:pos="1134"/>
          <w:tab w:val="num" w:pos="720"/>
        </w:tabs>
        <w:ind w:left="720" w:hanging="720"/>
      </w:pPr>
      <w:r w:rsidRPr="00377337">
        <w:t>Therapeutic indi</w:t>
      </w:r>
      <w:r w:rsidR="003B7CFF" w:rsidRPr="00377337">
        <w:t>cations</w:t>
      </w:r>
    </w:p>
    <w:p w14:paraId="210AA2E1" w14:textId="2443516F" w:rsidR="00C85696" w:rsidRPr="00C85696" w:rsidRDefault="00BE77D8" w:rsidP="00ED36E4">
      <w:pPr>
        <w:pStyle w:val="Paragraph"/>
      </w:pPr>
      <w:r w:rsidRPr="00BE77D8">
        <w:t xml:space="preserve">LYNPARZA </w:t>
      </w:r>
      <w:r w:rsidR="00ED36E4">
        <w:t xml:space="preserve">is indicated as monotherapy for the maintenance treatment of </w:t>
      </w:r>
      <w:r>
        <w:t xml:space="preserve">adult </w:t>
      </w:r>
      <w:r w:rsidR="00ED36E4">
        <w:t>patients with platinum-sensitive relapsed high grade epithelial ovarian, fallopian tube or primary peritoneal cancer who are in response (complete response or partial response) after platinum-based chemotherapy.  Prior treatment must have included at least 2 courses of platinum-based regimens.</w:t>
      </w:r>
    </w:p>
    <w:p w14:paraId="301752B4" w14:textId="77777777" w:rsidR="003B7CFF" w:rsidRDefault="001A3992" w:rsidP="00CD331E">
      <w:pPr>
        <w:pStyle w:val="Heading2"/>
        <w:tabs>
          <w:tab w:val="clear" w:pos="1134"/>
          <w:tab w:val="num" w:pos="720"/>
        </w:tabs>
        <w:ind w:left="720" w:hanging="720"/>
      </w:pPr>
      <w:bookmarkStart w:id="1" w:name="_Hlk505946421"/>
      <w:r w:rsidRPr="00377337">
        <w:t>Dose and method of administration</w:t>
      </w:r>
    </w:p>
    <w:bookmarkEnd w:id="1"/>
    <w:p w14:paraId="0EAFA669" w14:textId="4DC2D913" w:rsidR="00C85696" w:rsidRDefault="00ED36E4" w:rsidP="00ED36E4">
      <w:pPr>
        <w:pStyle w:val="Paragraph"/>
      </w:pPr>
      <w:r>
        <w:t>Treatment with LYNPARZA should be initiated and supervised by a physician experienced in the use of anticancer medicinal products.</w:t>
      </w:r>
    </w:p>
    <w:p w14:paraId="5E617C2F" w14:textId="2F20CD85" w:rsidR="00A36815" w:rsidRPr="00C51443" w:rsidRDefault="00CA24AB" w:rsidP="00C51443">
      <w:pPr>
        <w:pStyle w:val="Heading3Unnumbered"/>
      </w:pPr>
      <w:r w:rsidRPr="003F24C4">
        <w:t>Important Administration Information</w:t>
      </w:r>
    </w:p>
    <w:p w14:paraId="33DAABB6" w14:textId="63CC0780" w:rsidR="00CA24AB" w:rsidRDefault="00CA24AB" w:rsidP="00C51443">
      <w:pPr>
        <w:pStyle w:val="Paragraph"/>
      </w:pPr>
      <w:r w:rsidRPr="00C51443">
        <w:t>LYNPARZA is also available as a 50 mg capsule.  DO NOT substitute LYNPARZA tablets (100 mg and 150 mg) with LYNPARZA capsules (50 mg) on a milligram-to-milligram basis due to differences in the dosing and bioavailability of each formulation.  Refer to the full prescribing information for LYNPARZA capsules for specific capsule dosing.</w:t>
      </w:r>
    </w:p>
    <w:p w14:paraId="5299C964" w14:textId="279877BD" w:rsidR="00ED36E4" w:rsidRDefault="00A52CB3" w:rsidP="00FA5DD2">
      <w:pPr>
        <w:pStyle w:val="Heading3Unnumbered"/>
      </w:pPr>
      <w:bookmarkStart w:id="2" w:name="_Hlk513031229"/>
      <w:r w:rsidRPr="00A52CB3">
        <w:lastRenderedPageBreak/>
        <w:t>Method of administration</w:t>
      </w:r>
      <w:bookmarkEnd w:id="2"/>
    </w:p>
    <w:p w14:paraId="0D153046" w14:textId="6865F31E" w:rsidR="00FA5DD2" w:rsidRDefault="00A52CB3" w:rsidP="00FA5DD2">
      <w:pPr>
        <w:pStyle w:val="Paragraph"/>
      </w:pPr>
      <w:bookmarkStart w:id="3" w:name="_Hlk513031192"/>
      <w:r w:rsidRPr="00A52CB3">
        <w:t>For oral use. Patients should be instructed to take LYNPARZA tablets at approximately the same times each day.  LYNPARZA tablets should be swallowed whole and not chewed, crushed, dissolved or divided.  LYNPARZA tablets can be taken with or without food</w:t>
      </w:r>
      <w:r>
        <w:t>.</w:t>
      </w:r>
      <w:bookmarkEnd w:id="3"/>
    </w:p>
    <w:p w14:paraId="73702EE1" w14:textId="55F51B21" w:rsidR="00FA5DD2" w:rsidRDefault="00FA5DD2" w:rsidP="00FA5DD2">
      <w:pPr>
        <w:pStyle w:val="Heading3Unnumbered"/>
      </w:pPr>
      <w:r>
        <w:t>Dosage in adults</w:t>
      </w:r>
    </w:p>
    <w:p w14:paraId="7B8A6FEC" w14:textId="4786185B" w:rsidR="00FA5DD2" w:rsidRDefault="00A52CB3" w:rsidP="00FA5DD2">
      <w:pPr>
        <w:pStyle w:val="Paragraph"/>
      </w:pPr>
      <w:bookmarkStart w:id="4" w:name="_Hlk513031273"/>
      <w:r w:rsidRPr="00A52CB3">
        <w:t>LYNPARZA is available as 100 mg and 150 mg tablets.</w:t>
      </w:r>
      <w:bookmarkEnd w:id="4"/>
    </w:p>
    <w:p w14:paraId="6963DAB3" w14:textId="0CFBA5AE" w:rsidR="00FA5DD2" w:rsidRDefault="00A52CB3" w:rsidP="00FA5DD2">
      <w:pPr>
        <w:pStyle w:val="Paragraph"/>
      </w:pPr>
      <w:bookmarkStart w:id="5" w:name="_Hlk513031299"/>
      <w:r w:rsidRPr="00A52CB3">
        <w:t>The recommended dose of LYNPARZA is 300 mg (two 150 mg tablets) taken twice daily, equivalent to a total daily dose of 600 mg.  The 100 mg tablet is available for dose reductions only.</w:t>
      </w:r>
      <w:bookmarkEnd w:id="5"/>
    </w:p>
    <w:p w14:paraId="37BA49D3" w14:textId="67CF2EC6" w:rsidR="00FA5DD2" w:rsidRDefault="00FA5DD2" w:rsidP="00FA5DD2">
      <w:pPr>
        <w:pStyle w:val="Paragraph"/>
      </w:pPr>
      <w:r>
        <w:t>It is recommended that treatment be continued until progression of the underlying disease.  There are no data to support retreatment with olaparib as maintenance following subsequent relapse.</w:t>
      </w:r>
    </w:p>
    <w:p w14:paraId="30020D69" w14:textId="5B7AED2E" w:rsidR="00FA5DD2" w:rsidRDefault="00FA5DD2" w:rsidP="00FA5DD2">
      <w:pPr>
        <w:pStyle w:val="Heading3Unnumbered"/>
      </w:pPr>
      <w:r>
        <w:t>Missing dose</w:t>
      </w:r>
    </w:p>
    <w:p w14:paraId="15E9F1DA" w14:textId="307C8588" w:rsidR="00FA5DD2" w:rsidRDefault="00FA5DD2" w:rsidP="00FA5DD2">
      <w:pPr>
        <w:pStyle w:val="Paragraph"/>
      </w:pPr>
      <w:r>
        <w:t>If a patient misses a dose of LYNPARZA, they should take their next normal dose at its scheduled time.</w:t>
      </w:r>
    </w:p>
    <w:p w14:paraId="2F4B19ED" w14:textId="77777777" w:rsidR="00FA5DD2" w:rsidRDefault="00FA5DD2" w:rsidP="00FA5DD2">
      <w:pPr>
        <w:pStyle w:val="Heading3Unnumbered"/>
      </w:pPr>
      <w:r>
        <w:t>Dose adjustments</w:t>
      </w:r>
    </w:p>
    <w:p w14:paraId="61F3EA44" w14:textId="45205E6D" w:rsidR="00FA5DD2" w:rsidRDefault="00FA5DD2" w:rsidP="00FA5DD2">
      <w:pPr>
        <w:pStyle w:val="Paragraph"/>
      </w:pPr>
      <w:r>
        <w:t>Treatment may be interrupted to manage adverse reactions such as nausea, vomiting, diarrhoea, and anaemia and dose reduction can be considered.</w:t>
      </w:r>
    </w:p>
    <w:p w14:paraId="341B7E16" w14:textId="3789925E" w:rsidR="00FA5DD2" w:rsidRDefault="00FA5DD2" w:rsidP="00FA5DD2">
      <w:pPr>
        <w:pStyle w:val="Paragraph"/>
      </w:pPr>
      <w:r>
        <w:t>Gastrointestinal toxicities are frequently reported with olaparib therapy (</w:t>
      </w:r>
      <w:r w:rsidRPr="00C51443">
        <w:t>see</w:t>
      </w:r>
      <w:r w:rsidR="00277942" w:rsidRPr="00C51443">
        <w:t xml:space="preserve"> </w:t>
      </w:r>
      <w:r w:rsidR="00A52CB3" w:rsidRPr="00C51443">
        <w:t xml:space="preserve">Section </w:t>
      </w:r>
      <w:r w:rsidR="00277942" w:rsidRPr="00C51443">
        <w:t>4.8 - Adverse effects</w:t>
      </w:r>
      <w:r>
        <w:t xml:space="preserve">) and are generally low grade (CTCAE grade 1 or 2) and intermittent. In addition to dose interruption or reduction, concomitant medicinal products (e.g. antiemetic therapy) may also be considered. Antiemetic prophylaxis is not required. </w:t>
      </w:r>
      <w:r w:rsidR="00C90193">
        <w:t xml:space="preserve"> </w:t>
      </w:r>
      <w:r w:rsidR="00F449B6" w:rsidRPr="00F449B6">
        <w:t>Refer to Table 1 below for recommended dose adjustments to manage adverse reactions.</w:t>
      </w:r>
    </w:p>
    <w:tbl>
      <w:tblPr>
        <w:tblStyle w:val="TableGrid"/>
        <w:tblW w:w="0" w:type="auto"/>
        <w:tblLook w:val="04A0" w:firstRow="1" w:lastRow="0" w:firstColumn="1" w:lastColumn="0" w:noHBand="0" w:noVBand="1"/>
      </w:tblPr>
      <w:tblGrid>
        <w:gridCol w:w="2425"/>
        <w:gridCol w:w="7203"/>
      </w:tblGrid>
      <w:tr w:rsidR="00F449B6" w14:paraId="69646FAE" w14:textId="77777777" w:rsidTr="00EA65E3">
        <w:tc>
          <w:tcPr>
            <w:tcW w:w="9628" w:type="dxa"/>
            <w:gridSpan w:val="2"/>
          </w:tcPr>
          <w:p w14:paraId="4FD99636" w14:textId="77777777" w:rsidR="00F449B6" w:rsidRDefault="00F449B6" w:rsidP="00EA65E3">
            <w:pPr>
              <w:pStyle w:val="TableTitle"/>
              <w:tabs>
                <w:tab w:val="clear" w:pos="1701"/>
                <w:tab w:val="left" w:pos="1152"/>
              </w:tabs>
              <w:ind w:left="1152" w:hanging="1152"/>
            </w:pPr>
            <w:r w:rsidRPr="00B13576">
              <w:t xml:space="preserve">Table </w:t>
            </w:r>
            <w:r>
              <w:t>1</w:t>
            </w:r>
            <w:r w:rsidRPr="00B13576">
              <w:t>. Recommended dose adjustments to manage adverse reactions</w:t>
            </w:r>
          </w:p>
        </w:tc>
      </w:tr>
      <w:tr w:rsidR="00F449B6" w14:paraId="3F8AC17E" w14:textId="77777777" w:rsidTr="00EA65E3">
        <w:tc>
          <w:tcPr>
            <w:tcW w:w="2425" w:type="dxa"/>
          </w:tcPr>
          <w:p w14:paraId="4D1D4CCA" w14:textId="77777777" w:rsidR="00F449B6" w:rsidRPr="00B13576" w:rsidRDefault="00F449B6" w:rsidP="00EA65E3">
            <w:pPr>
              <w:pStyle w:val="TableHead"/>
              <w:jc w:val="left"/>
              <w:rPr>
                <w:sz w:val="22"/>
                <w:szCs w:val="22"/>
              </w:rPr>
            </w:pPr>
            <w:r w:rsidRPr="00B13576">
              <w:rPr>
                <w:sz w:val="22"/>
                <w:szCs w:val="22"/>
              </w:rPr>
              <w:t>Dose Level</w:t>
            </w:r>
          </w:p>
        </w:tc>
        <w:tc>
          <w:tcPr>
            <w:tcW w:w="7203" w:type="dxa"/>
          </w:tcPr>
          <w:p w14:paraId="7817AE68" w14:textId="77777777" w:rsidR="00F449B6" w:rsidRPr="00B13576" w:rsidRDefault="00F449B6" w:rsidP="00EA65E3">
            <w:pPr>
              <w:pStyle w:val="TableHead"/>
              <w:jc w:val="left"/>
              <w:rPr>
                <w:sz w:val="22"/>
                <w:szCs w:val="22"/>
              </w:rPr>
            </w:pPr>
            <w:r w:rsidRPr="00B13576">
              <w:rPr>
                <w:sz w:val="22"/>
                <w:szCs w:val="22"/>
              </w:rPr>
              <w:t>Dose</w:t>
            </w:r>
          </w:p>
        </w:tc>
      </w:tr>
      <w:tr w:rsidR="00F449B6" w14:paraId="147EA507" w14:textId="77777777" w:rsidTr="00EA65E3">
        <w:tc>
          <w:tcPr>
            <w:tcW w:w="2425" w:type="dxa"/>
          </w:tcPr>
          <w:p w14:paraId="492DE666" w14:textId="77777777" w:rsidR="00F449B6" w:rsidRPr="00B13576" w:rsidRDefault="00F449B6" w:rsidP="00EA65E3">
            <w:pPr>
              <w:pStyle w:val="TableLeft"/>
              <w:rPr>
                <w:sz w:val="22"/>
                <w:szCs w:val="22"/>
              </w:rPr>
            </w:pPr>
            <w:r w:rsidRPr="00B13576">
              <w:rPr>
                <w:sz w:val="22"/>
                <w:szCs w:val="22"/>
              </w:rPr>
              <w:t>Starting Dose</w:t>
            </w:r>
          </w:p>
        </w:tc>
        <w:tc>
          <w:tcPr>
            <w:tcW w:w="7203" w:type="dxa"/>
          </w:tcPr>
          <w:p w14:paraId="00ECB8EA" w14:textId="77777777" w:rsidR="00F449B6" w:rsidRPr="00B13576" w:rsidRDefault="00F449B6" w:rsidP="00EA65E3">
            <w:pPr>
              <w:pStyle w:val="TableLeft"/>
              <w:rPr>
                <w:sz w:val="24"/>
              </w:rPr>
            </w:pPr>
            <w:r w:rsidRPr="00B13576">
              <w:rPr>
                <w:sz w:val="24"/>
              </w:rPr>
              <w:t>300 mg (two 150 mg tablets) taken twice daily, equivalent to 600 mg daily</w:t>
            </w:r>
          </w:p>
        </w:tc>
      </w:tr>
      <w:tr w:rsidR="00F449B6" w14:paraId="6AD01D52" w14:textId="77777777" w:rsidTr="00EA65E3">
        <w:tc>
          <w:tcPr>
            <w:tcW w:w="2425" w:type="dxa"/>
          </w:tcPr>
          <w:p w14:paraId="598DC3FA" w14:textId="77777777" w:rsidR="00F449B6" w:rsidRPr="00B13576" w:rsidRDefault="00F449B6" w:rsidP="00EA65E3">
            <w:pPr>
              <w:pStyle w:val="TableLeft"/>
              <w:rPr>
                <w:sz w:val="22"/>
                <w:szCs w:val="22"/>
              </w:rPr>
            </w:pPr>
            <w:r w:rsidRPr="00B13576">
              <w:rPr>
                <w:sz w:val="22"/>
                <w:szCs w:val="22"/>
              </w:rPr>
              <w:t>First dose reduction</w:t>
            </w:r>
          </w:p>
        </w:tc>
        <w:tc>
          <w:tcPr>
            <w:tcW w:w="7203" w:type="dxa"/>
          </w:tcPr>
          <w:p w14:paraId="2EA42946" w14:textId="77777777" w:rsidR="00F449B6" w:rsidRPr="00B13576" w:rsidRDefault="00F449B6" w:rsidP="00EA65E3">
            <w:pPr>
              <w:pStyle w:val="TableLeft"/>
              <w:rPr>
                <w:sz w:val="24"/>
              </w:rPr>
            </w:pPr>
            <w:r w:rsidRPr="00B13576">
              <w:rPr>
                <w:sz w:val="24"/>
              </w:rPr>
              <w:t>250 mg (one 150 mg tablet and one 100 mg tablet) twice daily, equivalent to 500 mg daily</w:t>
            </w:r>
          </w:p>
        </w:tc>
      </w:tr>
      <w:tr w:rsidR="00F449B6" w14:paraId="3218CD14" w14:textId="77777777" w:rsidTr="00EA65E3">
        <w:tc>
          <w:tcPr>
            <w:tcW w:w="2425" w:type="dxa"/>
          </w:tcPr>
          <w:p w14:paraId="4D01CA26" w14:textId="77777777" w:rsidR="00F449B6" w:rsidRPr="00B13576" w:rsidRDefault="00F449B6" w:rsidP="00EA65E3">
            <w:pPr>
              <w:pStyle w:val="TableLeft"/>
              <w:rPr>
                <w:sz w:val="22"/>
                <w:szCs w:val="22"/>
              </w:rPr>
            </w:pPr>
            <w:r w:rsidRPr="00B13576">
              <w:rPr>
                <w:sz w:val="22"/>
                <w:szCs w:val="22"/>
              </w:rPr>
              <w:t>Second dose reduction</w:t>
            </w:r>
          </w:p>
        </w:tc>
        <w:tc>
          <w:tcPr>
            <w:tcW w:w="7203" w:type="dxa"/>
          </w:tcPr>
          <w:p w14:paraId="58B4FB48" w14:textId="77777777" w:rsidR="00F449B6" w:rsidRPr="00B13576" w:rsidRDefault="00F449B6" w:rsidP="00EA65E3">
            <w:pPr>
              <w:pStyle w:val="TableLeft"/>
              <w:rPr>
                <w:sz w:val="24"/>
              </w:rPr>
            </w:pPr>
            <w:r w:rsidRPr="00B13576">
              <w:rPr>
                <w:sz w:val="24"/>
              </w:rPr>
              <w:t>200 mg (two 100 mg tablets) twice daily, equivalent to 400 mg daily</w:t>
            </w:r>
          </w:p>
        </w:tc>
      </w:tr>
    </w:tbl>
    <w:p w14:paraId="5107FECF" w14:textId="742467AC" w:rsidR="00F449B6" w:rsidRDefault="00F449B6" w:rsidP="00314F16"/>
    <w:p w14:paraId="6A2704B7" w14:textId="23F9468A" w:rsidR="00314F16" w:rsidRPr="00314F16" w:rsidRDefault="00314F16" w:rsidP="00314F16">
      <w:pPr>
        <w:pStyle w:val="Heading3Unnumbered"/>
      </w:pPr>
      <w:r w:rsidRPr="00314F16">
        <w:t>Co-administration with CYP3A inhibitors</w:t>
      </w:r>
    </w:p>
    <w:p w14:paraId="65AB8ED7" w14:textId="5060AA2B" w:rsidR="00314F16" w:rsidRPr="00314F16" w:rsidRDefault="00314F16" w:rsidP="00DD2F4F">
      <w:pPr>
        <w:pStyle w:val="Paragraph"/>
      </w:pPr>
      <w:r>
        <w:t xml:space="preserve">Concomitant use of strong or moderate CYP3A inhibitors is not recommended and alternative agents should be considered.  If a strong CYP3A inhibitor must be co-administered, the recommended LYNPARZA dose reduction is to </w:t>
      </w:r>
      <w:r w:rsidR="004B15E9" w:rsidRPr="004B15E9">
        <w:t>100 mg (one 100 mg tablet</w:t>
      </w:r>
      <w:r w:rsidR="00DD2F4F">
        <w:t>)</w:t>
      </w:r>
      <w:r>
        <w:t xml:space="preserve"> taken twice daily (equivalent to a total daily dose of </w:t>
      </w:r>
      <w:bookmarkStart w:id="6" w:name="_Hlk513032403"/>
      <w:r w:rsidR="00DD2F4F" w:rsidRPr="00DD2F4F">
        <w:t>200</w:t>
      </w:r>
      <w:bookmarkEnd w:id="6"/>
      <w:r>
        <w:t xml:space="preserve"> mg).  If a moderate CYP3A inhibitor must be co-administered, the recommended LYNPARZA dose reduction is to </w:t>
      </w:r>
      <w:bookmarkStart w:id="7" w:name="_Hlk513032484"/>
      <w:r w:rsidR="00DD2F4F" w:rsidRPr="00DD2F4F">
        <w:t>150 mg (one 150 mg tablet)</w:t>
      </w:r>
      <w:bookmarkEnd w:id="7"/>
      <w:r>
        <w:t xml:space="preserve"> taken twice daily (equivalent to a total daily dose of </w:t>
      </w:r>
      <w:r w:rsidR="00DD2F4F">
        <w:t>300</w:t>
      </w:r>
      <w:r>
        <w:t xml:space="preserve"> mg).  The patient should be carefully monitored for adverse events. </w:t>
      </w:r>
      <w:r w:rsidRPr="00C51443">
        <w:t xml:space="preserve">(see </w:t>
      </w:r>
      <w:r w:rsidR="00DD2F4F" w:rsidRPr="00C51443">
        <w:rPr>
          <w:lang w:val="en-AU"/>
        </w:rPr>
        <w:t>Section 4.5 - Interactions with other medicines and other forms of</w:t>
      </w:r>
      <w:r w:rsidR="00DD2F4F">
        <w:rPr>
          <w:lang w:val="en-AU"/>
        </w:rPr>
        <w:t xml:space="preserve"> </w:t>
      </w:r>
      <w:r w:rsidR="00DD2F4F" w:rsidRPr="00C51443">
        <w:rPr>
          <w:lang w:val="en-AU"/>
        </w:rPr>
        <w:t>interactions</w:t>
      </w:r>
      <w:r w:rsidRPr="00C51443">
        <w:t>).</w:t>
      </w:r>
    </w:p>
    <w:p w14:paraId="4F219015" w14:textId="5ED53AEB" w:rsidR="00B13576" w:rsidRDefault="00314F16" w:rsidP="00314F16">
      <w:pPr>
        <w:pStyle w:val="Heading3Unnumbered"/>
      </w:pPr>
      <w:r w:rsidRPr="00314F16">
        <w:lastRenderedPageBreak/>
        <w:t>Special patient populations</w:t>
      </w:r>
    </w:p>
    <w:p w14:paraId="72DBC45E" w14:textId="73471947" w:rsidR="00314F16" w:rsidRDefault="00314F16" w:rsidP="00314F16">
      <w:pPr>
        <w:pStyle w:val="Heading4Unnumbered"/>
      </w:pPr>
      <w:r>
        <w:t>Children or Adolescents</w:t>
      </w:r>
    </w:p>
    <w:p w14:paraId="35423831" w14:textId="31F082EE" w:rsidR="00314F16" w:rsidRDefault="00314F16" w:rsidP="00314F16">
      <w:pPr>
        <w:pStyle w:val="Paragraph"/>
      </w:pPr>
      <w:r>
        <w:t>LYNPARZA is not indicated for use in paediatric patients, as safety and efficacy of LYNPARZA in children and adolescents have not been established.</w:t>
      </w:r>
    </w:p>
    <w:p w14:paraId="06F1BF35" w14:textId="657D57D1" w:rsidR="00314F16" w:rsidRDefault="00314F16" w:rsidP="00314F16">
      <w:pPr>
        <w:pStyle w:val="Heading4Unnumbered"/>
      </w:pPr>
      <w:r>
        <w:t>Use in men</w:t>
      </w:r>
    </w:p>
    <w:p w14:paraId="149ED30E" w14:textId="11AB8EB2" w:rsidR="00314F16" w:rsidRDefault="00314F16" w:rsidP="00314F16">
      <w:pPr>
        <w:pStyle w:val="Paragraph"/>
      </w:pPr>
      <w:r>
        <w:t>LYNPARZA is not indicated for use in men, as safety and efficacy of LYNPARZA in men have not been established.</w:t>
      </w:r>
    </w:p>
    <w:p w14:paraId="7D8E044C" w14:textId="164A39C8" w:rsidR="00314F16" w:rsidRDefault="00314F16" w:rsidP="00314F16">
      <w:pPr>
        <w:pStyle w:val="Heading4Unnumbered"/>
      </w:pPr>
      <w:r w:rsidRPr="00314F16">
        <w:t>Elderly (&gt;65 years)</w:t>
      </w:r>
    </w:p>
    <w:p w14:paraId="3897616F" w14:textId="49B2B808" w:rsidR="00314F16" w:rsidRDefault="00314F16" w:rsidP="00314F16">
      <w:pPr>
        <w:pStyle w:val="Paragraph"/>
      </w:pPr>
      <w:r>
        <w:t>No adjustment in starting dose is required for elderly patients.  There are limited clinical data in patients aged 75 or over.</w:t>
      </w:r>
    </w:p>
    <w:p w14:paraId="684AE9C3" w14:textId="32FF0196" w:rsidR="00314F16" w:rsidRDefault="00314F16" w:rsidP="00314F16">
      <w:pPr>
        <w:pStyle w:val="Heading4Unnumbered"/>
      </w:pPr>
      <w:r w:rsidRPr="00314F16">
        <w:t>Renal impairment</w:t>
      </w:r>
    </w:p>
    <w:p w14:paraId="0F6AEB7C" w14:textId="3C7C4FD1" w:rsidR="00314F16" w:rsidRDefault="00314F16" w:rsidP="00314F16">
      <w:pPr>
        <w:pStyle w:val="Paragraph"/>
      </w:pPr>
      <w:r>
        <w:t xml:space="preserve">For patients with moderate renal impairment (creatinine clearance 31-50 mL/min) the recommended dose of LYNPARZA is </w:t>
      </w:r>
      <w:r w:rsidR="00556CC0">
        <w:t>200</w:t>
      </w:r>
      <w:r>
        <w:t xml:space="preserve"> mg </w:t>
      </w:r>
      <w:r w:rsidR="00556CC0" w:rsidRPr="00556CC0">
        <w:t>(two 100 mg tablets)</w:t>
      </w:r>
      <w:r w:rsidR="00556CC0">
        <w:t xml:space="preserve"> </w:t>
      </w:r>
      <w:r>
        <w:t>twice daily (equivalent to</w:t>
      </w:r>
      <w:r w:rsidR="002D7D9F">
        <w:t xml:space="preserve"> </w:t>
      </w:r>
      <w:r>
        <w:t xml:space="preserve">a total daily dose of </w:t>
      </w:r>
      <w:r w:rsidR="00556CC0">
        <w:t>400</w:t>
      </w:r>
      <w:r>
        <w:t xml:space="preserve"> mg). </w:t>
      </w:r>
      <w:r w:rsidR="002D7D9F">
        <w:t xml:space="preserve"> </w:t>
      </w:r>
      <w:r>
        <w:t>LYNPARZA is not recommended for patients with severe</w:t>
      </w:r>
      <w:r w:rsidR="002D7D9F">
        <w:t xml:space="preserve"> </w:t>
      </w:r>
      <w:r>
        <w:t xml:space="preserve">renal impairment or end-stage renal disease (creatinine clearance ≤30 mL/min) </w:t>
      </w:r>
      <w:r w:rsidR="00887040" w:rsidRPr="00887040">
        <w:t xml:space="preserve">as safety and efficacy have not been studied in these </w:t>
      </w:r>
      <w:r>
        <w:t xml:space="preserve">patients. </w:t>
      </w:r>
      <w:r w:rsidR="002D7D9F">
        <w:t xml:space="preserve"> </w:t>
      </w:r>
      <w:r>
        <w:t>LYNPARZA can be administered to</w:t>
      </w:r>
      <w:r w:rsidR="002D7D9F">
        <w:t xml:space="preserve"> </w:t>
      </w:r>
      <w:r>
        <w:t>patients with mild renal impairment (creatinine clearance 51-80 mL/min) with no dose</w:t>
      </w:r>
      <w:r w:rsidR="002D7D9F">
        <w:t xml:space="preserve"> </w:t>
      </w:r>
      <w:r>
        <w:t xml:space="preserve">adjustment. </w:t>
      </w:r>
      <w:r w:rsidR="002D7D9F">
        <w:t xml:space="preserve"> </w:t>
      </w:r>
      <w:r>
        <w:t>Patients should be monitored closely for renal function and adverse events.</w:t>
      </w:r>
    </w:p>
    <w:p w14:paraId="1D1ADBEC" w14:textId="19C8EEC2" w:rsidR="002D7D9F" w:rsidRDefault="002D7D9F" w:rsidP="002D7D9F">
      <w:pPr>
        <w:pStyle w:val="Heading4Unnumbered"/>
      </w:pPr>
      <w:r>
        <w:t>Hepatic impairment</w:t>
      </w:r>
    </w:p>
    <w:p w14:paraId="4C7C380E" w14:textId="05FC7BD3" w:rsidR="002D7D9F" w:rsidRDefault="002D7D9F" w:rsidP="002D7D9F">
      <w:pPr>
        <w:pStyle w:val="Paragraph"/>
      </w:pPr>
      <w:r>
        <w:t>LYNPARZA can be administered to patients with mild hepatic impairment (Child-Pugh classification A) with no dose adjustment however, patients should be monitored closely for hepatic function and adverse events (</w:t>
      </w:r>
      <w:r w:rsidRPr="00C51443">
        <w:t xml:space="preserve">see </w:t>
      </w:r>
      <w:r w:rsidR="00887040" w:rsidRPr="00C51443">
        <w:rPr>
          <w:lang w:val="en-AU"/>
        </w:rPr>
        <w:t>Section 5.2- Pharmacokinetic</w:t>
      </w:r>
      <w:r w:rsidR="00887040" w:rsidRPr="00C51443">
        <w:t xml:space="preserve"> properties</w:t>
      </w:r>
      <w:r w:rsidRPr="00C51443">
        <w:t>).</w:t>
      </w:r>
      <w:r>
        <w:t xml:space="preserve">  LYNPARZA is not recommended for use in patients with moderate or severe hepatic impairment, as safety and efficacy have not been studied in these patients.</w:t>
      </w:r>
    </w:p>
    <w:p w14:paraId="07468B00" w14:textId="1A25817D" w:rsidR="002D7D9F" w:rsidRDefault="002D7D9F" w:rsidP="002D7D9F">
      <w:pPr>
        <w:pStyle w:val="Heading4Unnumbered"/>
      </w:pPr>
      <w:r w:rsidRPr="002D7D9F">
        <w:t>Women of childbearing potential</w:t>
      </w:r>
    </w:p>
    <w:p w14:paraId="2BE56391" w14:textId="0FE83556" w:rsidR="002D7D9F" w:rsidRDefault="002D7D9F" w:rsidP="00887040">
      <w:pPr>
        <w:pStyle w:val="Paragraph"/>
      </w:pPr>
      <w:r>
        <w:t>Women of child-bearing potential must use effective contraception during therapy and for 1 month after receiving the last dose of LYNPARZA</w:t>
      </w:r>
      <w:r w:rsidR="00887040">
        <w:t xml:space="preserve"> </w:t>
      </w:r>
      <w:r w:rsidRPr="00C51443">
        <w:t xml:space="preserve">(see </w:t>
      </w:r>
      <w:r w:rsidR="00525DB7">
        <w:t xml:space="preserve">Section </w:t>
      </w:r>
      <w:r w:rsidR="00BE5BA2" w:rsidRPr="00C51443">
        <w:t>4.</w:t>
      </w:r>
      <w:r w:rsidR="000230A8">
        <w:t>6</w:t>
      </w:r>
      <w:r w:rsidR="000230A8" w:rsidRPr="00C51443">
        <w:t xml:space="preserve"> </w:t>
      </w:r>
      <w:r w:rsidR="00BE5BA2" w:rsidRPr="00C51443">
        <w:t>-</w:t>
      </w:r>
      <w:proofErr w:type="spellStart"/>
      <w:r w:rsidR="000230A8">
        <w:t>Fertility,pregnancy</w:t>
      </w:r>
      <w:proofErr w:type="spellEnd"/>
      <w:r w:rsidR="000230A8">
        <w:t xml:space="preserve"> and lactation</w:t>
      </w:r>
      <w:r w:rsidRPr="00C51443">
        <w:t>).</w:t>
      </w:r>
    </w:p>
    <w:p w14:paraId="79D9F763" w14:textId="2A5C7BA6" w:rsidR="002D7D9F" w:rsidRDefault="002D7D9F" w:rsidP="002D7D9F">
      <w:pPr>
        <w:pStyle w:val="Heading4Unnumbered"/>
      </w:pPr>
      <w:r w:rsidRPr="002D7D9F">
        <w:t>Non-Caucasian patients</w:t>
      </w:r>
    </w:p>
    <w:p w14:paraId="39005E6E" w14:textId="2B7F525E" w:rsidR="002D7D9F" w:rsidRDefault="002D7D9F" w:rsidP="002D7D9F">
      <w:pPr>
        <w:pStyle w:val="Paragraph"/>
      </w:pPr>
      <w:r>
        <w:t>There are limited clinical data available in non-Caucasian patients.  However, no dose adjustment is required on the basis of ethnicity (</w:t>
      </w:r>
      <w:r w:rsidR="00064D89" w:rsidRPr="00C51443">
        <w:t xml:space="preserve">see </w:t>
      </w:r>
      <w:r w:rsidR="00064D89" w:rsidRPr="00C51443">
        <w:rPr>
          <w:lang w:val="en-AU"/>
        </w:rPr>
        <w:t>Section 5.2- Pharmacokinetic</w:t>
      </w:r>
      <w:r w:rsidR="00064D89" w:rsidRPr="00C51443">
        <w:t xml:space="preserve"> properties</w:t>
      </w:r>
      <w:r>
        <w:t>).</w:t>
      </w:r>
    </w:p>
    <w:p w14:paraId="2F080605" w14:textId="77777777" w:rsidR="002D7D9F" w:rsidRDefault="002D7D9F" w:rsidP="002D7D9F">
      <w:pPr>
        <w:pStyle w:val="Heading4Unnumbered"/>
      </w:pPr>
      <w:r>
        <w:t>Patients with performance status 2 to 4</w:t>
      </w:r>
    </w:p>
    <w:p w14:paraId="3AEF54B6" w14:textId="61DBBF43" w:rsidR="002D7D9F" w:rsidRPr="002D7D9F" w:rsidRDefault="002D7D9F" w:rsidP="002D7D9F">
      <w:pPr>
        <w:pStyle w:val="Paragraph"/>
      </w:pPr>
      <w:r>
        <w:t>There are very limited clinical data available in patients with performance status 2 to 4.</w:t>
      </w:r>
    </w:p>
    <w:p w14:paraId="038FD0CE" w14:textId="77777777" w:rsidR="001A3992" w:rsidRDefault="001A3992" w:rsidP="00CD331E">
      <w:pPr>
        <w:pStyle w:val="Heading2"/>
        <w:tabs>
          <w:tab w:val="clear" w:pos="1134"/>
        </w:tabs>
        <w:ind w:left="720" w:hanging="720"/>
      </w:pPr>
      <w:r w:rsidRPr="00377337">
        <w:t>Contraindications</w:t>
      </w:r>
    </w:p>
    <w:p w14:paraId="60042D40" w14:textId="7DC8B237" w:rsidR="00C85696" w:rsidRPr="00C85696" w:rsidRDefault="003A0D39" w:rsidP="00C85696">
      <w:pPr>
        <w:pStyle w:val="Paragraph"/>
      </w:pPr>
      <w:r w:rsidRPr="003A0D39">
        <w:t>Hypersensitivity to the active substance (olaparib) or to any of the excipients.</w:t>
      </w:r>
    </w:p>
    <w:p w14:paraId="1B48E451" w14:textId="77777777" w:rsidR="001A3992" w:rsidRDefault="00E74A56" w:rsidP="00CD331E">
      <w:pPr>
        <w:pStyle w:val="Heading2"/>
        <w:tabs>
          <w:tab w:val="clear" w:pos="1134"/>
          <w:tab w:val="num" w:pos="720"/>
        </w:tabs>
        <w:ind w:left="720" w:hanging="720"/>
      </w:pPr>
      <w:bookmarkStart w:id="8" w:name="_Hlk505945447"/>
      <w:r w:rsidRPr="00377337">
        <w:t>Special warnings and p</w:t>
      </w:r>
      <w:r w:rsidR="001A3992" w:rsidRPr="00377337">
        <w:t xml:space="preserve">recautions </w:t>
      </w:r>
      <w:r w:rsidRPr="00377337">
        <w:t>for use</w:t>
      </w:r>
      <w:bookmarkEnd w:id="8"/>
    </w:p>
    <w:p w14:paraId="429F294B" w14:textId="7C09EEB9" w:rsidR="001A3992" w:rsidRDefault="00555E8D" w:rsidP="00D347D7">
      <w:pPr>
        <w:pStyle w:val="Heading3Unnumbered"/>
      </w:pPr>
      <w:r w:rsidRPr="00555E8D">
        <w:t>Haematological toxicity</w:t>
      </w:r>
    </w:p>
    <w:p w14:paraId="2F31BE30" w14:textId="4C01380A" w:rsidR="00EC60F8" w:rsidRDefault="00555E8D" w:rsidP="00555E8D">
      <w:pPr>
        <w:pStyle w:val="Paragraph"/>
      </w:pPr>
      <w:r>
        <w:t xml:space="preserve">Haematological toxicity occurs commonly in patients treated with olaparib.  While the majority were generally mild or moderate (CTCAE Grade 1 or 2), Grade 3 or higher events of anaemia (decrease in haemoglobin) occurred in 7.4% of patients in Study 19, and one patient died from a </w:t>
      </w:r>
      <w:r>
        <w:lastRenderedPageBreak/>
        <w:t>haemorrhagic stroke associated with thrombocytopenia.  Patients should not start treatment with LYNPARZA until they have recovered from haematological toxicity caused by previous anti-cancer therapy (haemoglobin, platelet, and neutrophil levels should be ≤CTCAE grade 1).  Baseline testing, followed by monthly monitoring, of complete blood counts is recommended for the first 12 months of treatment and periodically after this time to monitor for clinically significant changes in any parameter during treatment (</w:t>
      </w:r>
      <w:r w:rsidRPr="00C51443">
        <w:t xml:space="preserve">see </w:t>
      </w:r>
      <w:r w:rsidR="00064D89" w:rsidRPr="00C51443">
        <w:t xml:space="preserve">Section </w:t>
      </w:r>
      <w:r w:rsidR="00277942" w:rsidRPr="00C51443">
        <w:t>4.8 – Adverse effects</w:t>
      </w:r>
      <w:r w:rsidRPr="00C51443">
        <w:t>).</w:t>
      </w:r>
    </w:p>
    <w:p w14:paraId="05DFC5C0" w14:textId="0C76422E" w:rsidR="00555E8D" w:rsidRDefault="00555E8D" w:rsidP="00555E8D">
      <w:pPr>
        <w:pStyle w:val="Paragraph"/>
      </w:pPr>
      <w:r>
        <w:t>If a patient develops severe haematological toxicity or blood transfusion dependence, treatment with LYNPARZA should be interrupted and appropriate haematological testing should be initiated.  If the blood parameters remain clinically abnormal after 4 weeks of LYNPARZA dose interruption, bone marrow analysis and/or blood cytogenetic analysis are recommended.</w:t>
      </w:r>
    </w:p>
    <w:p w14:paraId="2FD5853A" w14:textId="04CE4438" w:rsidR="00555E8D" w:rsidRDefault="00555E8D" w:rsidP="00555E8D">
      <w:pPr>
        <w:pStyle w:val="Heading3Unnumbered"/>
      </w:pPr>
      <w:r w:rsidRPr="00555E8D">
        <w:t>Myelodysplastic syndrome/Acute Myeloid Leukaemia</w:t>
      </w:r>
    </w:p>
    <w:p w14:paraId="781BC1A0" w14:textId="4BEE766B" w:rsidR="00555E8D" w:rsidRDefault="00064D89" w:rsidP="00E775A0">
      <w:pPr>
        <w:pStyle w:val="Paragraph"/>
      </w:pPr>
      <w:bookmarkStart w:id="9" w:name="_Hlk513033920"/>
      <w:r w:rsidRPr="00064D89">
        <w:t xml:space="preserve">The incidence of MDS/AML in patients treated in clinical trials with LYNPARZA monotherapy, including long-term survival follow up, was &lt;1.5% </w:t>
      </w:r>
      <w:bookmarkEnd w:id="9"/>
      <w:r w:rsidR="00555E8D">
        <w:t xml:space="preserve">and the majority of events had a fatal outcome.  The reports were typical of secondary MDS/cancer therapy-related AML.  The duration of therapy with olaparib in patients who developed secondary MDS/AML varied from &lt;6 months to &gt;2 years.  All patients had potential contributing factors for the development of MDS/AML, having received previous chemotherapy with platinum agents.  Many had also received other DNA damaging treatments.  The majority of reports were in germline BRCA mutation </w:t>
      </w:r>
      <w:r w:rsidR="00E775A0" w:rsidRPr="00E775A0">
        <w:t>(</w:t>
      </w:r>
      <w:r w:rsidR="00E775A0" w:rsidRPr="00C51443">
        <w:rPr>
          <w:i/>
        </w:rPr>
        <w:t>gBRCAm</w:t>
      </w:r>
      <w:r w:rsidR="00E775A0" w:rsidRPr="00E775A0">
        <w:t xml:space="preserve">) </w:t>
      </w:r>
      <w:r w:rsidR="00555E8D">
        <w:t>carriers and some of the patients had a history of previous cancer or of bone marrow dysplasia.  If MDS and/or AML are confirmed while on treatment with LYNPARZA, it is recommended that LYNPARZA should be discontinued and the patient be treated appropriately.</w:t>
      </w:r>
    </w:p>
    <w:p w14:paraId="14267F55" w14:textId="32DA99AC" w:rsidR="00086411" w:rsidRDefault="00086411" w:rsidP="00086411">
      <w:pPr>
        <w:pStyle w:val="Heading3Unnumbered"/>
      </w:pPr>
      <w:r>
        <w:t>Pneumonitis</w:t>
      </w:r>
    </w:p>
    <w:p w14:paraId="074632A1" w14:textId="50542CEC" w:rsidR="00086411" w:rsidRPr="00086411" w:rsidRDefault="00086411" w:rsidP="00E775A0">
      <w:pPr>
        <w:pStyle w:val="Paragraph"/>
      </w:pPr>
      <w:r>
        <w:t xml:space="preserve">Pneumonitis has been reported in </w:t>
      </w:r>
      <w:r w:rsidR="00E775A0" w:rsidRPr="00E775A0">
        <w:t>&lt;1.0% patients treated with LYNPARZA monotherapy in clinical studies</w:t>
      </w:r>
      <w:r>
        <w:t xml:space="preserve">.  Reports of pneumonitis had no consistent clinical pattern and were confounded by a number of pre-disposing factors (cancer and/or metastases in lungs, underlying pulmonary disease, smoking history, and/or previous chemotherapy and radiotherapy).  </w:t>
      </w:r>
      <w:r w:rsidR="00EC0CD9" w:rsidRPr="00EC0CD9">
        <w:t>When LYNPARZA was used in clinical studies in combination with other therapies there have been events with a fatal outcome</w:t>
      </w:r>
      <w:r>
        <w:t>.</w:t>
      </w:r>
      <w:r w:rsidR="00CF69E5">
        <w:t xml:space="preserve"> </w:t>
      </w:r>
      <w:r>
        <w:t xml:space="preserve"> If patients present with new or worsening respiratory symptoms such as dyspnoea, cough and fever, or an abnormal chest radiologic finding is observed, LYNPARZA treatment should be interrupted and prompt investigation initiated.  If pneumonitis is confirmed, LYNPARZA treatment should be discontinued and the patient treated appropriately.</w:t>
      </w:r>
    </w:p>
    <w:p w14:paraId="225A139A" w14:textId="38BD362C" w:rsidR="001A3992" w:rsidRDefault="001A3992" w:rsidP="00D347D7">
      <w:pPr>
        <w:pStyle w:val="Heading3Unnumbered"/>
      </w:pPr>
      <w:r w:rsidRPr="00377337">
        <w:t>Use in hepatic impairment</w:t>
      </w:r>
    </w:p>
    <w:p w14:paraId="5731C046" w14:textId="3D835E6C" w:rsidR="00EC60F8" w:rsidRPr="00EC60F8" w:rsidRDefault="005C05E8" w:rsidP="00130E08">
      <w:pPr>
        <w:pStyle w:val="Paragraph"/>
      </w:pPr>
      <w:r>
        <w:t>Exposure is increased in hepatic impairment</w:t>
      </w:r>
      <w:r w:rsidR="00130E08">
        <w:t xml:space="preserve"> </w:t>
      </w:r>
      <w:bookmarkStart w:id="10" w:name="_Hlk513035439"/>
      <w:r w:rsidR="00130E08">
        <w:t xml:space="preserve">(see </w:t>
      </w:r>
      <w:r w:rsidR="00130E08" w:rsidRPr="00130E08">
        <w:rPr>
          <w:lang w:val="en-AU"/>
        </w:rPr>
        <w:t>Section 5.2 - Pharmacokinetic properties</w:t>
      </w:r>
      <w:r w:rsidR="00130E08">
        <w:rPr>
          <w:lang w:val="en-AU"/>
        </w:rPr>
        <w:t xml:space="preserve"> </w:t>
      </w:r>
      <w:r w:rsidR="00130E08" w:rsidRPr="00130E08">
        <w:rPr>
          <w:lang w:val="en-AU"/>
        </w:rPr>
        <w:t>and Section 4.2 - Dose and method of administration</w:t>
      </w:r>
      <w:r w:rsidR="00130E08">
        <w:rPr>
          <w:lang w:val="en-AU"/>
        </w:rPr>
        <w:t>)</w:t>
      </w:r>
      <w:bookmarkEnd w:id="10"/>
      <w:r>
        <w:t>.</w:t>
      </w:r>
      <w:r w:rsidR="00CF69E5">
        <w:t xml:space="preserve"> </w:t>
      </w:r>
      <w:r>
        <w:t xml:space="preserve"> </w:t>
      </w:r>
    </w:p>
    <w:p w14:paraId="2AAA0F2E" w14:textId="4417DB16" w:rsidR="001A3992" w:rsidRDefault="001A3992" w:rsidP="00D347D7">
      <w:pPr>
        <w:pStyle w:val="Heading3Unnumbered"/>
      </w:pPr>
      <w:r w:rsidRPr="00377337">
        <w:t>Use in renal impairment</w:t>
      </w:r>
    </w:p>
    <w:p w14:paraId="135AC20D" w14:textId="0DB28B27" w:rsidR="00EC60F8" w:rsidRDefault="005C05E8" w:rsidP="005C05E8">
      <w:pPr>
        <w:pStyle w:val="Paragraph"/>
      </w:pPr>
      <w:r>
        <w:t>Exposure is increased in renal impairment</w:t>
      </w:r>
      <w:r w:rsidR="00130E08">
        <w:t xml:space="preserve"> </w:t>
      </w:r>
      <w:r w:rsidR="00130E08" w:rsidRPr="00130E08">
        <w:t xml:space="preserve">(see </w:t>
      </w:r>
      <w:r w:rsidR="00130E08" w:rsidRPr="00130E08">
        <w:rPr>
          <w:lang w:val="en-AU"/>
        </w:rPr>
        <w:t>Section 5.2 - Pharmacokinetic properties and Section 4.2 - Dose and method of administration)</w:t>
      </w:r>
      <w:r>
        <w:t>.</w:t>
      </w:r>
    </w:p>
    <w:p w14:paraId="31970292" w14:textId="113B20F0" w:rsidR="00020CD1" w:rsidRPr="00C51443" w:rsidRDefault="00020CD1" w:rsidP="00C51443">
      <w:pPr>
        <w:pStyle w:val="Heading3Unnumbered"/>
      </w:pPr>
      <w:r w:rsidRPr="00C51443">
        <w:t>Use in the elderly</w:t>
      </w:r>
    </w:p>
    <w:p w14:paraId="2C301789" w14:textId="3E734F21" w:rsidR="00020CD1" w:rsidRPr="00130E08" w:rsidRDefault="00130E08" w:rsidP="00130E08">
      <w:pPr>
        <w:pStyle w:val="Paragraph"/>
      </w:pPr>
      <w:r w:rsidRPr="003F24C4">
        <w:rPr>
          <w:lang w:val="en-AU"/>
        </w:rPr>
        <w:t>There are limited clinical data in patients aged 75 years and over (see Section 4.2- Dose and method of administration).</w:t>
      </w:r>
    </w:p>
    <w:p w14:paraId="2F6F4D4E" w14:textId="77777777" w:rsidR="001A3992" w:rsidRDefault="001A3992" w:rsidP="00D347D7">
      <w:pPr>
        <w:pStyle w:val="Heading3Unnumbered"/>
      </w:pPr>
      <w:r w:rsidRPr="00377337">
        <w:lastRenderedPageBreak/>
        <w:t>Paediatric use</w:t>
      </w:r>
    </w:p>
    <w:p w14:paraId="5BF56D5F" w14:textId="5210B547" w:rsidR="00EC60F8" w:rsidRDefault="00E34080" w:rsidP="00E34080">
      <w:pPr>
        <w:pStyle w:val="Paragraph"/>
      </w:pPr>
      <w:r>
        <w:t>The safety and efficacy of LYNPARZA in children and adolescents have not been established.</w:t>
      </w:r>
    </w:p>
    <w:p w14:paraId="6607563B" w14:textId="42407B9E" w:rsidR="00E34080" w:rsidRDefault="00E34080" w:rsidP="00E34080">
      <w:pPr>
        <w:pStyle w:val="Heading3Unnumbered"/>
      </w:pPr>
      <w:r>
        <w:t>Use in men</w:t>
      </w:r>
    </w:p>
    <w:p w14:paraId="3ED33138" w14:textId="0BA5E1CD" w:rsidR="00E34080" w:rsidRDefault="00E34080" w:rsidP="00E34080">
      <w:pPr>
        <w:pStyle w:val="Paragraph"/>
      </w:pPr>
      <w:r w:rsidRPr="00E34080">
        <w:t>The safety and efficacy of LYNPARZA in men have not been established.</w:t>
      </w:r>
    </w:p>
    <w:p w14:paraId="75D43E73" w14:textId="44A95C9E" w:rsidR="00130E08" w:rsidRPr="00C51443" w:rsidRDefault="00130E08" w:rsidP="00C51443">
      <w:pPr>
        <w:pStyle w:val="Heading3Unnumbered"/>
      </w:pPr>
      <w:r w:rsidRPr="00C51443">
        <w:t>Effects on laboratory tests</w:t>
      </w:r>
    </w:p>
    <w:p w14:paraId="5C387D5C" w14:textId="4E5260B5" w:rsidR="00130E08" w:rsidRPr="00130E08" w:rsidRDefault="00130E08">
      <w:pPr>
        <w:pStyle w:val="Paragraph"/>
      </w:pPr>
      <w:r w:rsidRPr="003F24C4">
        <w:t>No data available.</w:t>
      </w:r>
    </w:p>
    <w:p w14:paraId="2D2BD58D" w14:textId="19FA26CB" w:rsidR="004C6418" w:rsidRDefault="00CF69E5" w:rsidP="00CF69E5">
      <w:pPr>
        <w:pStyle w:val="Heading3Unnumbered"/>
      </w:pPr>
      <w:r>
        <w:t>Interactions with other medicinal products</w:t>
      </w:r>
    </w:p>
    <w:p w14:paraId="429FCBA2" w14:textId="39CDA82E" w:rsidR="00CF69E5" w:rsidRPr="00130E08" w:rsidRDefault="00CF69E5" w:rsidP="00CF69E5">
      <w:pPr>
        <w:pStyle w:val="Paragraph"/>
      </w:pPr>
      <w:r>
        <w:t>Olaparib co-administration with strong or moderate CYP3A inhibitors is not recommended (</w:t>
      </w:r>
      <w:bookmarkStart w:id="11" w:name="_Hlk505946691"/>
      <w:r w:rsidRPr="00C51443">
        <w:t xml:space="preserve">see </w:t>
      </w:r>
      <w:r w:rsidR="00686766">
        <w:t xml:space="preserve">Section </w:t>
      </w:r>
      <w:r w:rsidR="00277942" w:rsidRPr="00C51443">
        <w:t>4.</w:t>
      </w:r>
      <w:r w:rsidR="00686766">
        <w:t>5</w:t>
      </w:r>
      <w:r w:rsidR="00686766" w:rsidRPr="00C51443">
        <w:t xml:space="preserve"> </w:t>
      </w:r>
      <w:r w:rsidR="00277942" w:rsidRPr="00C51443">
        <w:t xml:space="preserve">- </w:t>
      </w:r>
      <w:r w:rsidR="006F2A76" w:rsidRPr="00C51443">
        <w:t>Interactions with other medicines and other forms of interactions</w:t>
      </w:r>
      <w:bookmarkEnd w:id="11"/>
      <w:r w:rsidRPr="00C51443">
        <w:t xml:space="preserve">).  If a strong or </w:t>
      </w:r>
      <w:r w:rsidRPr="00130E08">
        <w:t>moderate CYP3A inhibitor must be co-administered, the dose of olaparib should be reduced (</w:t>
      </w:r>
      <w:r w:rsidRPr="00C51443">
        <w:t xml:space="preserve">see </w:t>
      </w:r>
      <w:r w:rsidR="00686766">
        <w:t xml:space="preserve">Section </w:t>
      </w:r>
      <w:r w:rsidR="00BE5BA2" w:rsidRPr="00C51443">
        <w:t>4.2 - Dose and method of administration.</w:t>
      </w:r>
      <w:r w:rsidRPr="00130E08">
        <w:t>).</w:t>
      </w:r>
    </w:p>
    <w:p w14:paraId="2CAF0C65" w14:textId="22096E9A" w:rsidR="00CF69E5" w:rsidRPr="00CF69E5" w:rsidRDefault="00CF69E5" w:rsidP="00CF69E5">
      <w:pPr>
        <w:pStyle w:val="Paragraph"/>
      </w:pPr>
      <w:r w:rsidRPr="00130E08">
        <w:t xml:space="preserve">Olaparib co-administration with strong </w:t>
      </w:r>
      <w:r w:rsidR="00686766" w:rsidRPr="00686766">
        <w:t xml:space="preserve">or moderate </w:t>
      </w:r>
      <w:r w:rsidRPr="00686766">
        <w:t>CY</w:t>
      </w:r>
      <w:r w:rsidRPr="00130E08">
        <w:t>P3A inducers is not recommended (</w:t>
      </w:r>
      <w:r w:rsidR="00277942" w:rsidRPr="00C51443">
        <w:t xml:space="preserve">see </w:t>
      </w:r>
      <w:r w:rsidR="00686766">
        <w:t xml:space="preserve">Section </w:t>
      </w:r>
      <w:r w:rsidR="00277942" w:rsidRPr="00C51443">
        <w:t>4.</w:t>
      </w:r>
      <w:r w:rsidR="00686766">
        <w:t>5</w:t>
      </w:r>
      <w:r w:rsidR="00686766" w:rsidRPr="00C51443">
        <w:t xml:space="preserve"> </w:t>
      </w:r>
      <w:r w:rsidR="00277942" w:rsidRPr="00C51443">
        <w:t>- Interactions with other medicines and other forms of interactions</w:t>
      </w:r>
      <w:r w:rsidRPr="00130E08">
        <w:t xml:space="preserve">).  In the event that a patient already receiving olaparib requires treatment with a strong </w:t>
      </w:r>
      <w:r w:rsidR="00686766" w:rsidRPr="00686766">
        <w:t xml:space="preserve">or moderate </w:t>
      </w:r>
      <w:r w:rsidRPr="00686766">
        <w:t>CYP3A inducer, the</w:t>
      </w:r>
      <w:r>
        <w:t xml:space="preserve"> prescriber should be aware that the efficacy of olaparib may be substantially reduced </w:t>
      </w:r>
      <w:r w:rsidRPr="00C51443">
        <w:t xml:space="preserve">(see </w:t>
      </w:r>
      <w:r w:rsidR="00686766">
        <w:t xml:space="preserve">Section </w:t>
      </w:r>
      <w:r w:rsidR="00BE5BA2" w:rsidRPr="00C51443">
        <w:t>4.2 - Dose and method of administration.</w:t>
      </w:r>
      <w:r>
        <w:t>).</w:t>
      </w:r>
    </w:p>
    <w:p w14:paraId="6ACBC89F" w14:textId="77777777" w:rsidR="001A3992" w:rsidRDefault="001A3992" w:rsidP="00CD331E">
      <w:pPr>
        <w:pStyle w:val="Heading2"/>
        <w:tabs>
          <w:tab w:val="clear" w:pos="1134"/>
          <w:tab w:val="num" w:pos="720"/>
        </w:tabs>
        <w:ind w:left="720" w:hanging="720"/>
      </w:pPr>
      <w:r w:rsidRPr="00377337">
        <w:t>Interactions with other medicines and other forms of interactions</w:t>
      </w:r>
    </w:p>
    <w:p w14:paraId="41CA5AD7" w14:textId="601F9495" w:rsidR="00EC60F8" w:rsidRDefault="001A3F6E" w:rsidP="001A3F6E">
      <w:pPr>
        <w:pStyle w:val="Paragraph"/>
      </w:pPr>
      <w:r>
        <w:t xml:space="preserve">Clinical studies of olaparib in combination with other anticancer agents, including DNA damaging agents, indicate a potentiation and prolongation of myelosuppressive toxicity.  The recommended LYNPARZA monotherapy dose is not suitable for combination with other </w:t>
      </w:r>
      <w:r w:rsidR="00D722F8" w:rsidRPr="00D722F8">
        <w:t xml:space="preserve">myelosuppressive </w:t>
      </w:r>
      <w:r>
        <w:t>anticancer agents.</w:t>
      </w:r>
    </w:p>
    <w:p w14:paraId="0B0BC526" w14:textId="681E20AA" w:rsidR="00E45826" w:rsidRDefault="001A3F6E" w:rsidP="00E45826">
      <w:pPr>
        <w:pStyle w:val="Heading3Unnumbered"/>
      </w:pPr>
      <w:r w:rsidRPr="001A3F6E">
        <w:t>Effect of other drugs on olaparib</w:t>
      </w:r>
    </w:p>
    <w:p w14:paraId="1EA1E45C" w14:textId="505F5B7C" w:rsidR="001A3F6E" w:rsidRDefault="001A3F6E" w:rsidP="001A3F6E">
      <w:pPr>
        <w:pStyle w:val="Heading4Unnumbered"/>
      </w:pPr>
      <w:r w:rsidRPr="001A3F6E">
        <w:t>Strong and moderate CYP3A inhibitors</w:t>
      </w:r>
    </w:p>
    <w:p w14:paraId="75458F91" w14:textId="52EABB56" w:rsidR="001A3F6E" w:rsidRDefault="001A3F6E" w:rsidP="00D722F8">
      <w:pPr>
        <w:pStyle w:val="Paragraph"/>
      </w:pPr>
      <w:r>
        <w:t xml:space="preserve">CYP3A4/5 are the isozymes predominantly responsible for the metabolic clearance of olaparib.  </w:t>
      </w:r>
      <w:r w:rsidR="00D722F8" w:rsidRPr="00D722F8">
        <w:rPr>
          <w:lang w:val="en-AU"/>
        </w:rPr>
        <w:t>Co-administration</w:t>
      </w:r>
      <w:r w:rsidR="00D722F8" w:rsidRPr="00D722F8">
        <w:t xml:space="preserve"> </w:t>
      </w:r>
      <w:r>
        <w:t>of olaparib with a strong CYP3A inhibitor (itraconazole) increased olaparib C</w:t>
      </w:r>
      <w:r w:rsidRPr="001A3F6E">
        <w:rPr>
          <w:vertAlign w:val="subscript"/>
        </w:rPr>
        <w:t>max</w:t>
      </w:r>
      <w:r>
        <w:t xml:space="preserve"> by 42% (90% CI: 33% to 52%) and mean AUC by 170% (90% CI: 144% to 197%).  It is therefore recommended that known strong inhibitors of these isozymes are not co-administered with LYNPARZA.  These include but are not limited to inhibitors such as itraconazole, clarithromycin, boosted protease inhibitors with ritonavir or cobicistat, indinavir, saquinavir and boceprevir </w:t>
      </w:r>
      <w:r w:rsidRPr="00C51443">
        <w:t>(see</w:t>
      </w:r>
      <w:r w:rsidR="00643A19" w:rsidRPr="00C51443">
        <w:t xml:space="preserve"> </w:t>
      </w:r>
      <w:r w:rsidR="00D722F8" w:rsidRPr="00C51443">
        <w:t xml:space="preserve">Section </w:t>
      </w:r>
      <w:r w:rsidR="004834EC" w:rsidRPr="00C51443">
        <w:t>4.4 - Special warnings and precautions for use)</w:t>
      </w:r>
      <w:r w:rsidRPr="00C51443">
        <w:t>.</w:t>
      </w:r>
    </w:p>
    <w:p w14:paraId="24051C77" w14:textId="7C79DCAF" w:rsidR="001A3F6E" w:rsidRPr="00D722F8" w:rsidRDefault="001A3F6E" w:rsidP="001A3F6E">
      <w:pPr>
        <w:pStyle w:val="Paragraph"/>
      </w:pPr>
      <w:r>
        <w:t xml:space="preserve">Physiologically-based pharmacokinetic modelling has suggested that moderate CYP3A inhibitors will alter the clearance of olaparib and therefore concomitant use of moderate CYP3A inhibitors such as, but not limited to ciprofloxacin, erythromycin, diltiazem, fluconazole and verapamil is not recommended with LYNPARZA </w:t>
      </w:r>
      <w:r w:rsidRPr="00C51443">
        <w:t xml:space="preserve">(see </w:t>
      </w:r>
      <w:r w:rsidR="00D722F8" w:rsidRPr="00C51443">
        <w:t xml:space="preserve">Section </w:t>
      </w:r>
      <w:r w:rsidR="004834EC" w:rsidRPr="00C51443">
        <w:t>4.4 - Special warnings and precautions for use</w:t>
      </w:r>
      <w:r w:rsidRPr="00C51443">
        <w:t>)</w:t>
      </w:r>
      <w:r w:rsidRPr="00D722F8">
        <w:t>.</w:t>
      </w:r>
    </w:p>
    <w:p w14:paraId="70B0C351" w14:textId="5ABF7B58" w:rsidR="001A3F6E" w:rsidRDefault="001A3F6E" w:rsidP="001A3F6E">
      <w:pPr>
        <w:pStyle w:val="Paragraph"/>
      </w:pPr>
      <w:r w:rsidRPr="00D722F8">
        <w:t xml:space="preserve">If a strong or moderate CYP3A inhibitor must be co-administered, the dose of LYNPARZA should be reduced </w:t>
      </w:r>
      <w:r w:rsidRPr="00C51443">
        <w:t xml:space="preserve">(see </w:t>
      </w:r>
      <w:r w:rsidR="00D722F8" w:rsidRPr="00C51443">
        <w:t xml:space="preserve">Section </w:t>
      </w:r>
      <w:r w:rsidR="00BE5BA2" w:rsidRPr="00C51443">
        <w:t>4.2 - Dose and method of administration.</w:t>
      </w:r>
      <w:r w:rsidRPr="00C51443">
        <w:t>).</w:t>
      </w:r>
    </w:p>
    <w:p w14:paraId="6394CFC4" w14:textId="296B5846" w:rsidR="001A3F6E" w:rsidRPr="001A3F6E" w:rsidRDefault="001A3F6E" w:rsidP="001A3F6E">
      <w:pPr>
        <w:pStyle w:val="Paragraph"/>
      </w:pPr>
      <w:r>
        <w:t>Patients should avoid star fruit, grapefruit and Seville oranges because these foods are known to inhibit CYP3A enzymes.</w:t>
      </w:r>
    </w:p>
    <w:p w14:paraId="5D96EA84" w14:textId="2E7FC525" w:rsidR="00E45826" w:rsidRDefault="001A3F6E" w:rsidP="001A3F6E">
      <w:pPr>
        <w:pStyle w:val="Heading4Unnumbered"/>
      </w:pPr>
      <w:r w:rsidRPr="001A3F6E">
        <w:lastRenderedPageBreak/>
        <w:t>Strong and moderate CYP3A inducers</w:t>
      </w:r>
    </w:p>
    <w:p w14:paraId="76BADF80" w14:textId="17FFCBA7" w:rsidR="001A3F6E" w:rsidRDefault="00253F02" w:rsidP="00253F02">
      <w:pPr>
        <w:pStyle w:val="Paragraph"/>
        <w:rPr>
          <w:lang w:val="en-AU"/>
        </w:rPr>
      </w:pPr>
      <w:r w:rsidRPr="00253F02">
        <w:rPr>
          <w:lang w:val="en-AU"/>
        </w:rPr>
        <w:t>A clinical study to evaluate the impact of rifampicin, a known CYP3A inducer has shown that</w:t>
      </w:r>
      <w:r>
        <w:rPr>
          <w:lang w:val="en-AU"/>
        </w:rPr>
        <w:t xml:space="preserve"> </w:t>
      </w:r>
      <w:r w:rsidRPr="00253F02">
        <w:rPr>
          <w:lang w:val="en-AU"/>
        </w:rPr>
        <w:t>co-administration with olaparib decreased olaparib C</w:t>
      </w:r>
      <w:r w:rsidRPr="00253F02">
        <w:rPr>
          <w:vertAlign w:val="subscript"/>
          <w:lang w:val="en-AU"/>
        </w:rPr>
        <w:t>max</w:t>
      </w:r>
      <w:r w:rsidRPr="00253F02">
        <w:rPr>
          <w:lang w:val="en-AU"/>
        </w:rPr>
        <w:t xml:space="preserve"> by 71% (90% CI: 76% to 67%) and</w:t>
      </w:r>
      <w:r>
        <w:rPr>
          <w:lang w:val="en-AU"/>
        </w:rPr>
        <w:t xml:space="preserve"> </w:t>
      </w:r>
      <w:r w:rsidRPr="00253F02">
        <w:rPr>
          <w:lang w:val="en-AU"/>
        </w:rPr>
        <w:t xml:space="preserve">mean AUC by 87% (90% CI: 89% to 84%). </w:t>
      </w:r>
      <w:r>
        <w:rPr>
          <w:lang w:val="en-AU"/>
        </w:rPr>
        <w:t xml:space="preserve"> </w:t>
      </w:r>
      <w:r w:rsidRPr="00253F02">
        <w:rPr>
          <w:lang w:val="en-AU"/>
        </w:rPr>
        <w:t>It is therefore possible that CYP3A inducers</w:t>
      </w:r>
      <w:r>
        <w:rPr>
          <w:lang w:val="en-AU"/>
        </w:rPr>
        <w:t xml:space="preserve"> </w:t>
      </w:r>
      <w:r w:rsidRPr="00253F02">
        <w:rPr>
          <w:lang w:val="en-AU"/>
        </w:rPr>
        <w:t>could substantially diminish the clinical efficacy of LYNPARZA and as such, concomitant use</w:t>
      </w:r>
      <w:r>
        <w:rPr>
          <w:lang w:val="en-AU"/>
        </w:rPr>
        <w:t xml:space="preserve"> </w:t>
      </w:r>
      <w:r w:rsidRPr="00253F02">
        <w:rPr>
          <w:lang w:val="en-AU"/>
        </w:rPr>
        <w:t>of strong inducers such as, but not limited to phenytoin, rifabutin, rifampicin, carbamazepine,</w:t>
      </w:r>
      <w:r>
        <w:rPr>
          <w:lang w:val="en-AU"/>
        </w:rPr>
        <w:t xml:space="preserve"> </w:t>
      </w:r>
      <w:r w:rsidRPr="00253F02">
        <w:rPr>
          <w:lang w:val="en-AU"/>
        </w:rPr>
        <w:t>nevirapine, phenobarbital and St John's Wort (</w:t>
      </w:r>
      <w:r w:rsidRPr="00253F02">
        <w:rPr>
          <w:i/>
          <w:lang w:val="en-AU"/>
        </w:rPr>
        <w:t>Hypericum perforatum</w:t>
      </w:r>
      <w:r w:rsidRPr="00253F02">
        <w:rPr>
          <w:lang w:val="en-AU"/>
        </w:rPr>
        <w:t>) is not recommended</w:t>
      </w:r>
      <w:r>
        <w:rPr>
          <w:lang w:val="en-AU"/>
        </w:rPr>
        <w:t xml:space="preserve"> </w:t>
      </w:r>
      <w:r w:rsidRPr="00253F02">
        <w:rPr>
          <w:lang w:val="en-AU"/>
        </w:rPr>
        <w:t>with LYNPARZA.</w:t>
      </w:r>
    </w:p>
    <w:p w14:paraId="1C754878" w14:textId="742E0951" w:rsidR="00253F02" w:rsidRDefault="00253F02" w:rsidP="00253F02">
      <w:pPr>
        <w:pStyle w:val="Paragraph"/>
      </w:pPr>
      <w:r>
        <w:t xml:space="preserve">Physiologically-based pharmacokinetic modelling has suggested that moderate CYP3A inducers will decrease olaparib AUC by approximately </w:t>
      </w:r>
      <w:r w:rsidR="00D722F8">
        <w:t>60</w:t>
      </w:r>
      <w:r>
        <w:t xml:space="preserve">% and therefore concomitant use of moderate CYP3A inducers such as, but not limited to, bosentan, efavirenz, etravirine and modafinil is not recommended with LYNPARZA.  If a moderate CYP3A inducer must be co-administered, the prescriber should be aware of a potential for decreased efficacy of LYNPARZA </w:t>
      </w:r>
      <w:r w:rsidRPr="00C51443">
        <w:t>(</w:t>
      </w:r>
      <w:r w:rsidR="00E12D6A" w:rsidRPr="00C51443">
        <w:t>s</w:t>
      </w:r>
      <w:r w:rsidR="004834EC" w:rsidRPr="00C51443">
        <w:t xml:space="preserve">ee </w:t>
      </w:r>
      <w:r w:rsidR="00E12D6A" w:rsidRPr="00C51443">
        <w:t xml:space="preserve">Section </w:t>
      </w:r>
      <w:r w:rsidR="004834EC" w:rsidRPr="00C51443">
        <w:t>4.4 - Special warnings and precautions for use</w:t>
      </w:r>
      <w:r w:rsidRPr="00C51443">
        <w:t>)</w:t>
      </w:r>
      <w:r>
        <w:t>.</w:t>
      </w:r>
    </w:p>
    <w:p w14:paraId="6604AE39" w14:textId="7FE2E7F3" w:rsidR="00253F02" w:rsidRDefault="00253F02" w:rsidP="00253F02">
      <w:pPr>
        <w:pStyle w:val="Heading3Unnumbered"/>
      </w:pPr>
      <w:r w:rsidRPr="00253F02">
        <w:t>Effect of olaparib on other drugs</w:t>
      </w:r>
    </w:p>
    <w:p w14:paraId="3EE958C7" w14:textId="0B021C2E" w:rsidR="00253F02" w:rsidRDefault="00253F02" w:rsidP="00253F02">
      <w:pPr>
        <w:pStyle w:val="Heading4Unnumbered"/>
      </w:pPr>
      <w:r w:rsidRPr="00253F02">
        <w:t>CYP interactions</w:t>
      </w:r>
    </w:p>
    <w:p w14:paraId="3A089C64" w14:textId="442CBD85" w:rsidR="00253F02" w:rsidRDefault="00194D6B" w:rsidP="00194D6B">
      <w:pPr>
        <w:pStyle w:val="Paragraph"/>
      </w:pPr>
      <w:r>
        <w:t xml:space="preserve">Therefore, caution </w:t>
      </w:r>
      <w:r w:rsidR="00253F02">
        <w:t xml:space="preserve">should be exercised when sensitive CYP3A substrates or substrates with a narrow therapeutic margin (e.g. simvastatin, ciclosporin, midazolam ergot alkaloids, sirolimus, fentanyl, tacrolimus and quetiapine) are combined with LYNPARZA. </w:t>
      </w:r>
      <w:r w:rsidR="005A4B71">
        <w:t xml:space="preserve"> </w:t>
      </w:r>
      <w:r w:rsidR="00253F02">
        <w:t>Appropriate clinical monitoring is recommended for patients receiving CYP3A substrates with a narrow therapeutic margin concomitantly with LYNPARZA.</w:t>
      </w:r>
    </w:p>
    <w:p w14:paraId="6AFFC742" w14:textId="65F73715" w:rsidR="00253F02" w:rsidRPr="003F24C4" w:rsidRDefault="00253F02" w:rsidP="00253F02">
      <w:pPr>
        <w:pStyle w:val="Paragraph"/>
      </w:pPr>
      <w:r>
        <w:t xml:space="preserve">Induction of </w:t>
      </w:r>
      <w:r w:rsidRPr="003F24C4">
        <w:t>CYP1A2</w:t>
      </w:r>
      <w:r w:rsidR="00194D6B" w:rsidRPr="003F24C4">
        <w:t xml:space="preserve"> and </w:t>
      </w:r>
      <w:r w:rsidRPr="003F24C4">
        <w:t xml:space="preserve">2B6 has been shown </w:t>
      </w:r>
      <w:r w:rsidRPr="003F24C4">
        <w:rPr>
          <w:i/>
        </w:rPr>
        <w:t>in vitro</w:t>
      </w:r>
      <w:r w:rsidRPr="003F24C4">
        <w:t xml:space="preserve">. </w:t>
      </w:r>
      <w:r w:rsidR="005A4B71" w:rsidRPr="003F24C4">
        <w:t xml:space="preserve"> </w:t>
      </w:r>
      <w:r w:rsidRPr="003F24C4">
        <w:t>Therefore, LYNPARZA upon co-administration may reduce the exposure to substrates of these metabolic enzymes.</w:t>
      </w:r>
    </w:p>
    <w:p w14:paraId="4DF73C4F" w14:textId="0300BFA6" w:rsidR="00876C37" w:rsidRDefault="00876C37" w:rsidP="00876C37">
      <w:pPr>
        <w:pStyle w:val="Paragraph"/>
      </w:pPr>
      <w:r w:rsidRPr="003F24C4">
        <w:rPr>
          <w:lang w:val="en-AU"/>
        </w:rPr>
        <w:t xml:space="preserve">Olaparib produced little/no direct inhibition </w:t>
      </w:r>
      <w:r w:rsidRPr="003F24C4">
        <w:rPr>
          <w:i/>
          <w:iCs/>
          <w:lang w:val="en-AU"/>
        </w:rPr>
        <w:t xml:space="preserve">in vitro </w:t>
      </w:r>
      <w:r w:rsidRPr="003F24C4">
        <w:rPr>
          <w:lang w:val="en-AU"/>
        </w:rPr>
        <w:t xml:space="preserve">of UGT2B7 or CYPs 1A2, 2A6, 2B6, 2C8, 2C9, 2C19, 2D6 or 2E1. Olaparib was not a time dependent inhibitor of CYPs 1A2, 2A6, 2B6, 2C8, 2C9, 2D6 or 2E1. Olaparib inhibited UGT1A1 </w:t>
      </w:r>
      <w:r w:rsidRPr="003F24C4">
        <w:rPr>
          <w:i/>
          <w:iCs/>
          <w:lang w:val="en-AU"/>
        </w:rPr>
        <w:t>in vitro</w:t>
      </w:r>
      <w:r w:rsidRPr="003F24C4">
        <w:rPr>
          <w:lang w:val="en-AU"/>
        </w:rPr>
        <w:t>.  Based on evaluation using enzyme activity, olaparib was not an inducer of CYP2C9 or 2C19.</w:t>
      </w:r>
    </w:p>
    <w:p w14:paraId="50130BBF" w14:textId="03A83AD8" w:rsidR="005A4B71" w:rsidRDefault="005A4B71" w:rsidP="005A4B71">
      <w:pPr>
        <w:pStyle w:val="Heading4Unnumbered"/>
      </w:pPr>
      <w:r w:rsidRPr="005A4B71">
        <w:t>Drug transporter interactions</w:t>
      </w:r>
    </w:p>
    <w:p w14:paraId="23FB9A2F" w14:textId="45E8B16A" w:rsidR="005A4B71" w:rsidRDefault="00876C37" w:rsidP="005A4B71">
      <w:pPr>
        <w:pStyle w:val="Paragraph"/>
      </w:pPr>
      <w:bookmarkStart w:id="12" w:name="_Hlk513036997"/>
      <w:r w:rsidRPr="00876C37">
        <w:rPr>
          <w:i/>
        </w:rPr>
        <w:t xml:space="preserve">In vitro, </w:t>
      </w:r>
      <w:r w:rsidRPr="00C51443">
        <w:t>olaparib inhibits the efflux transporter P-</w:t>
      </w:r>
      <w:proofErr w:type="spellStart"/>
      <w:r w:rsidRPr="00C51443">
        <w:t>gp</w:t>
      </w:r>
      <w:proofErr w:type="spellEnd"/>
      <w:r w:rsidRPr="00C51443">
        <w:t xml:space="preserve"> (IC50=76 </w:t>
      </w:r>
      <w:proofErr w:type="spellStart"/>
      <w:r w:rsidRPr="00C51443">
        <w:t>μM</w:t>
      </w:r>
      <w:proofErr w:type="spellEnd"/>
      <w:r w:rsidRPr="00C51443">
        <w:t>).  Therefore, it cannot be excluded that LYNPARZA may cause clinically relevant drug interactions with substrates of P-gp (e.g. simvastatin, pravastatin, dabigatran, digoxin, colchicine).  Appropriate clinical monitoring is recommended for patients receiving this type of medication concomitantly.  The potential for olaparib to induce P-gp has not been evaluated.</w:t>
      </w:r>
      <w:r>
        <w:rPr>
          <w:i/>
        </w:rPr>
        <w:t xml:space="preserve"> </w:t>
      </w:r>
      <w:bookmarkEnd w:id="12"/>
    </w:p>
    <w:p w14:paraId="2DF4CB4E" w14:textId="696CD026" w:rsidR="005A4B71" w:rsidRDefault="005A4B71" w:rsidP="005A4B71">
      <w:pPr>
        <w:pStyle w:val="Paragraph"/>
      </w:pPr>
      <w:r>
        <w:t xml:space="preserve">Olaparib has also been shown to be an </w:t>
      </w:r>
      <w:r w:rsidRPr="005A4B71">
        <w:rPr>
          <w:i/>
        </w:rPr>
        <w:t>in vitro</w:t>
      </w:r>
      <w:r>
        <w:t xml:space="preserve"> inhibitor of OATP1B1, </w:t>
      </w:r>
      <w:bookmarkStart w:id="13" w:name="_Hlk513037145"/>
      <w:r w:rsidR="00876C37" w:rsidRPr="00876C37">
        <w:t>OCT1</w:t>
      </w:r>
      <w:bookmarkEnd w:id="13"/>
      <w:r>
        <w:t>, OCT2, OAT3, MATE1 and MATE2K.  The clinical relevance of these findings is unknown, however, it cannot be excluded that LYNPARZA may increase the exposure to substrates of OATP1B1 (e.g. bosentan, glibenclamide, repaglinide, statins, and valsartan), OCT1 (e.g. metformin), OCT2 (e.g. serum creatinine), OAT3 (e.g. furosemide and methotrexate), MATE1 (e.g. metformin and cisplatin) and MATE2K (e.g. metformin).  In particular, caution should be exercised if LYNPARZA is administered in combination with any statin.</w:t>
      </w:r>
    </w:p>
    <w:p w14:paraId="4D4F4305" w14:textId="1F045BE0" w:rsidR="00876C37" w:rsidRPr="00876C37" w:rsidRDefault="00876C37" w:rsidP="00876C37">
      <w:pPr>
        <w:pStyle w:val="Paragraph"/>
        <w:rPr>
          <w:i/>
        </w:rPr>
      </w:pPr>
      <w:r w:rsidRPr="00876C37">
        <w:rPr>
          <w:i/>
        </w:rPr>
        <w:t xml:space="preserve">In vitro </w:t>
      </w:r>
      <w:r w:rsidRPr="00C51443">
        <w:t>data also show that olaparib is not a substrate for OATP1B1, OATP1B3, OCT1, BCRP or MRP2, is a weak inhibitor of BCRP and not an inhibitor of OATP1B3, OAT1 or MRP2.</w:t>
      </w:r>
    </w:p>
    <w:p w14:paraId="01AFAE23" w14:textId="77777777" w:rsidR="001A3992" w:rsidRDefault="001A3992" w:rsidP="00CD331E">
      <w:pPr>
        <w:pStyle w:val="Heading2"/>
        <w:tabs>
          <w:tab w:val="clear" w:pos="1134"/>
        </w:tabs>
        <w:ind w:left="720" w:hanging="720"/>
      </w:pPr>
      <w:r w:rsidRPr="00377337">
        <w:lastRenderedPageBreak/>
        <w:t>Fer</w:t>
      </w:r>
      <w:r w:rsidR="00EC60F8">
        <w:t>tility, pregnancy and lactation</w:t>
      </w:r>
    </w:p>
    <w:p w14:paraId="72131B2C" w14:textId="77777777" w:rsidR="001A3992" w:rsidRDefault="001A3992" w:rsidP="0026491B">
      <w:pPr>
        <w:pStyle w:val="Heading3Unnumbered"/>
      </w:pPr>
      <w:r w:rsidRPr="00377337">
        <w:t>Effects on fertility</w:t>
      </w:r>
    </w:p>
    <w:p w14:paraId="6206598C" w14:textId="0F9D9F4F" w:rsidR="00446EDD" w:rsidRPr="00446EDD" w:rsidRDefault="00086411" w:rsidP="00086411">
      <w:pPr>
        <w:pStyle w:val="Paragraph"/>
      </w:pPr>
      <w:r>
        <w:t>Olaparib had no effect on fertility in male rats.  In a female fertility study in rats, extended oestrus was observed in some animals although mating performance and fertility was not affected.  Embryofoetal survival was reduced in this study.  Exposures achieved in these studies were subclinical and the full effects on fertility may not have been revealed.</w:t>
      </w:r>
    </w:p>
    <w:p w14:paraId="28A645B9" w14:textId="3D31282E" w:rsidR="001A3992" w:rsidRDefault="00446EDD" w:rsidP="0026491B">
      <w:pPr>
        <w:pStyle w:val="Heading3Unnumbered"/>
      </w:pPr>
      <w:r>
        <w:t xml:space="preserve">Use in pregnancy </w:t>
      </w:r>
      <w:r w:rsidR="00E45826">
        <w:t xml:space="preserve">– Category </w:t>
      </w:r>
      <w:r w:rsidR="00086411">
        <w:t>D</w:t>
      </w:r>
    </w:p>
    <w:p w14:paraId="2C763879" w14:textId="77EB6575" w:rsidR="00086411" w:rsidRDefault="00086411" w:rsidP="00086411">
      <w:pPr>
        <w:pStyle w:val="Paragraph"/>
      </w:pPr>
      <w:r>
        <w:t xml:space="preserve">Based on its mechanism of action (PARP inhibition), LYNPARZA could cause foetal harm when administered to a pregnant woman. </w:t>
      </w:r>
      <w:r w:rsidR="005C05E8">
        <w:t xml:space="preserve"> </w:t>
      </w:r>
      <w:r>
        <w:t>Studies in rats have shown that olaparib causes</w:t>
      </w:r>
      <w:r w:rsidR="005C05E8">
        <w:t xml:space="preserve"> </w:t>
      </w:r>
      <w:r>
        <w:t>embryofoetal lethality and induces major foetal malformations (major eye and vertebral/rib</w:t>
      </w:r>
      <w:r w:rsidR="005C05E8">
        <w:t xml:space="preserve"> </w:t>
      </w:r>
      <w:r>
        <w:t>malformations) at exposures below those expected at the recommended human dose of</w:t>
      </w:r>
      <w:r w:rsidR="005C05E8">
        <w:t xml:space="preserve"> </w:t>
      </w:r>
      <w:r w:rsidR="00F67C7F">
        <w:t>300</w:t>
      </w:r>
      <w:r>
        <w:t xml:space="preserve"> mg twice daily.</w:t>
      </w:r>
    </w:p>
    <w:p w14:paraId="05855A0C" w14:textId="3BE597AF" w:rsidR="00086411" w:rsidRDefault="00086411" w:rsidP="00086411">
      <w:pPr>
        <w:pStyle w:val="Paragraph"/>
      </w:pPr>
      <w:r>
        <w:t>LYNPARZA should not be used during pregnancy due to the teratogenic and genotoxic</w:t>
      </w:r>
      <w:r w:rsidR="005C05E8">
        <w:t xml:space="preserve"> </w:t>
      </w:r>
      <w:r>
        <w:t xml:space="preserve">potential of olaparib. </w:t>
      </w:r>
      <w:r w:rsidR="005C05E8">
        <w:t xml:space="preserve"> </w:t>
      </w:r>
      <w:r>
        <w:t>No studies have been conducted in pregnant women.</w:t>
      </w:r>
    </w:p>
    <w:p w14:paraId="038246A9" w14:textId="6CB9C0C7" w:rsidR="00086411" w:rsidRDefault="00086411" w:rsidP="00086411">
      <w:pPr>
        <w:pStyle w:val="Paragraph"/>
      </w:pPr>
      <w:r>
        <w:t>If a patient becomes pregnant while receiving LYNPARZA, she should be informed of the</w:t>
      </w:r>
      <w:r w:rsidR="005C05E8">
        <w:t xml:space="preserve"> </w:t>
      </w:r>
      <w:r>
        <w:t>potential hazard to the foetus or potential risk of loss of the pregnancy.</w:t>
      </w:r>
    </w:p>
    <w:p w14:paraId="0DCD9956" w14:textId="161151A2" w:rsidR="00446EDD" w:rsidRPr="00446EDD" w:rsidRDefault="00086411" w:rsidP="00F67C7F">
      <w:pPr>
        <w:pStyle w:val="Paragraph"/>
      </w:pPr>
      <w:r>
        <w:t>Women of child-bearing potential must use effective contraception during therapy and for</w:t>
      </w:r>
      <w:r w:rsidR="005C05E8">
        <w:t xml:space="preserve"> </w:t>
      </w:r>
      <w:r>
        <w:t>1 month after receiving the last dose of LYNPARZA.</w:t>
      </w:r>
      <w:r w:rsidR="005C05E8">
        <w:t xml:space="preserve"> </w:t>
      </w:r>
      <w:r>
        <w:t xml:space="preserve"> A pregnancy test should be performed</w:t>
      </w:r>
      <w:r w:rsidR="005C05E8">
        <w:t xml:space="preserve"> </w:t>
      </w:r>
      <w:r>
        <w:t>on all pre-menopausal women prior to treatment, and pregnancy tests should be performed</w:t>
      </w:r>
      <w:r w:rsidR="005C05E8">
        <w:t xml:space="preserve"> </w:t>
      </w:r>
      <w:r>
        <w:t>at regular intervals during treatment and at one month after receiving the last dose.</w:t>
      </w:r>
    </w:p>
    <w:p w14:paraId="23802487" w14:textId="77777777" w:rsidR="001A3992" w:rsidRDefault="00446EDD" w:rsidP="0026491B">
      <w:pPr>
        <w:pStyle w:val="Heading3Unnumbered"/>
      </w:pPr>
      <w:r>
        <w:t>Use in lactation</w:t>
      </w:r>
    </w:p>
    <w:p w14:paraId="06060FEF" w14:textId="00DD9C82" w:rsidR="00446EDD" w:rsidRPr="00446EDD" w:rsidRDefault="005C05E8" w:rsidP="005C05E8">
      <w:pPr>
        <w:pStyle w:val="Paragraph"/>
      </w:pPr>
      <w:r>
        <w:t xml:space="preserve">There are no data on the use of LYNPARZA in breast-feeding women.  The excretion of olaparib in milk has not been studied in animals or in breast-feeding mothers.  A risk to the </w:t>
      </w:r>
      <w:proofErr w:type="spellStart"/>
      <w:r>
        <w:t>newborn</w:t>
      </w:r>
      <w:proofErr w:type="spellEnd"/>
      <w:r>
        <w:t xml:space="preserve"> breast-feeding child cannot be excluded.  Breast-feeding mothers are advised not to breast-feed during treatment with LYNPARZA and for one month after receiving the last dose.</w:t>
      </w:r>
    </w:p>
    <w:p w14:paraId="319E02D7" w14:textId="77777777" w:rsidR="001A3992" w:rsidRDefault="001A3992" w:rsidP="00CD331E">
      <w:pPr>
        <w:pStyle w:val="Heading2"/>
        <w:tabs>
          <w:tab w:val="clear" w:pos="1134"/>
        </w:tabs>
        <w:ind w:left="720" w:hanging="720"/>
      </w:pPr>
      <w:r w:rsidRPr="00377337">
        <w:t>Effects on ability to drive and use machines</w:t>
      </w:r>
    </w:p>
    <w:p w14:paraId="75ACBE62" w14:textId="614AB059" w:rsidR="00446EDD" w:rsidRPr="00446EDD" w:rsidRDefault="00F67C7F" w:rsidP="005C05E8">
      <w:pPr>
        <w:pStyle w:val="Paragraph"/>
      </w:pPr>
      <w:r w:rsidRPr="00F67C7F">
        <w:t>No studies to establish the effects of olaparib on the ability to drive and use machinery have been conducted.  However, during treatment with LYNPARZA, asthenia, fatigue and dizziness have been reported and those patients who experience these symptoms should observe caution when driving or using machines</w:t>
      </w:r>
      <w:r w:rsidR="005C05E8">
        <w:t>.</w:t>
      </w:r>
    </w:p>
    <w:p w14:paraId="7F10B2E1" w14:textId="77777777" w:rsidR="001A3992" w:rsidRDefault="001A3992" w:rsidP="00CD331E">
      <w:pPr>
        <w:pStyle w:val="Heading2"/>
        <w:tabs>
          <w:tab w:val="clear" w:pos="1134"/>
          <w:tab w:val="num" w:pos="720"/>
        </w:tabs>
        <w:ind w:left="720" w:hanging="720"/>
      </w:pPr>
      <w:r w:rsidRPr="00377337">
        <w:t>Adverse effects (Undesirable effects)</w:t>
      </w:r>
    </w:p>
    <w:p w14:paraId="6DBE78A3" w14:textId="77777777" w:rsidR="00F83E84" w:rsidRDefault="00F83E84" w:rsidP="00F83E84">
      <w:pPr>
        <w:pStyle w:val="Heading3Unnumbered"/>
      </w:pPr>
      <w:r>
        <w:t>Overall Summary of Adverse Drug Reactions</w:t>
      </w:r>
    </w:p>
    <w:p w14:paraId="6ABACF09" w14:textId="3C9C83EA" w:rsidR="00F83E84" w:rsidRDefault="00F83E84" w:rsidP="00F83E84">
      <w:pPr>
        <w:pStyle w:val="Paragraph"/>
      </w:pPr>
      <w:r>
        <w:t>LYNPARZA monotherapy has been associated with laboratory findings and/or clinical diagnoses generally of mild or moderate severity (CTCAE 1 or 2) and generally not requiring treatment discontinuation.</w:t>
      </w:r>
    </w:p>
    <w:p w14:paraId="1BA56EF4" w14:textId="77777777" w:rsidR="00F83E84" w:rsidRDefault="00F83E84" w:rsidP="00F83E84">
      <w:pPr>
        <w:pStyle w:val="Heading3Unnumbered"/>
      </w:pPr>
      <w:r>
        <w:t>Adverse Drug Reactions during Clinical Trials</w:t>
      </w:r>
    </w:p>
    <w:p w14:paraId="166F1214" w14:textId="3965383D" w:rsidR="00F83E84" w:rsidRDefault="000F4C62" w:rsidP="00F83E84">
      <w:pPr>
        <w:pStyle w:val="Paragraph"/>
      </w:pPr>
      <w:bookmarkStart w:id="14" w:name="_Hlk513037437"/>
      <w:r w:rsidRPr="000F4C62">
        <w:t>The safety profile is based on pooled data from 1248 patients treated with LYNPARZA monotherapy (766 capsule formulation patients and 482 tablet formulation patients) in clinical trials in patients with solid tumours at the recommended dose</w:t>
      </w:r>
      <w:r>
        <w:t xml:space="preserve">. </w:t>
      </w:r>
      <w:bookmarkEnd w:id="14"/>
    </w:p>
    <w:p w14:paraId="4E372838" w14:textId="6B72AADF" w:rsidR="00F83E84" w:rsidRPr="003573E5" w:rsidRDefault="00F83E84" w:rsidP="003573E5">
      <w:pPr>
        <w:pStyle w:val="Paragraph"/>
      </w:pPr>
      <w:r>
        <w:lastRenderedPageBreak/>
        <w:t>The following adverse reactions have been identified in clinical studies with patients receiving LYNPARZA monotherapy</w:t>
      </w:r>
      <w:r w:rsidR="003573E5" w:rsidRPr="003573E5">
        <w:t xml:space="preserve"> where patient exposure is known.  Adverse Drug Reactions are organised by MedDRA System Organ Class (SOC) and then by MedDRA preferred term in Table 2.  Within each SOC, preferred terms are arranged by decreasing frequency and then by decreasing seriousness</w:t>
      </w:r>
      <w:bookmarkStart w:id="15" w:name="_Hlk513037583"/>
      <w:r w:rsidR="003573E5">
        <w:t xml:space="preserve">. </w:t>
      </w:r>
      <w:r w:rsidRPr="003573E5">
        <w:t xml:space="preserve"> </w:t>
      </w:r>
      <w:bookmarkEnd w:id="15"/>
      <w:r w:rsidRPr="000F4C62">
        <w:t xml:space="preserve">Frequencies of occurrence of </w:t>
      </w:r>
      <w:r w:rsidR="003573E5" w:rsidRPr="003573E5">
        <w:rPr>
          <w:lang w:val="en-AU"/>
        </w:rPr>
        <w:t>adverse reactions</w:t>
      </w:r>
      <w:r w:rsidRPr="003573E5">
        <w:t xml:space="preserve"> are defined as: very common (≥1/10); common (≥1/100 to &lt;1/10); uncommon (≥1/1,000 to &lt;1/100); rare (≥1/10,000 to &lt;1/1000); very rare (&lt;1/10,000) including isolated reports.</w:t>
      </w:r>
      <w:r w:rsidR="003573E5">
        <w:t xml:space="preserve">  </w:t>
      </w:r>
    </w:p>
    <w:p w14:paraId="0226F0A6" w14:textId="02FB7E26" w:rsidR="001D3AF3" w:rsidRDefault="00E92A04" w:rsidP="006A6677">
      <w:pPr>
        <w:pStyle w:val="TableTitle"/>
        <w:tabs>
          <w:tab w:val="clear" w:pos="1701"/>
          <w:tab w:val="left" w:pos="1080"/>
        </w:tabs>
        <w:ind w:left="1080" w:hanging="1080"/>
      </w:pPr>
      <w:r w:rsidRPr="000F4C62">
        <w:t xml:space="preserve">Table </w:t>
      </w:r>
      <w:r w:rsidRPr="00C51443">
        <w:t>2</w:t>
      </w:r>
      <w:r>
        <w:tab/>
        <w:t>Adverse Drug Reactions During Clinical Trials</w:t>
      </w:r>
    </w:p>
    <w:tbl>
      <w:tblPr>
        <w:tblW w:w="5000" w:type="pct"/>
        <w:tblLayout w:type="fixed"/>
        <w:tblLook w:val="0000" w:firstRow="0" w:lastRow="0" w:firstColumn="0" w:lastColumn="0" w:noHBand="0" w:noVBand="0"/>
      </w:tblPr>
      <w:tblGrid>
        <w:gridCol w:w="2161"/>
        <w:gridCol w:w="2234"/>
        <w:gridCol w:w="2606"/>
        <w:gridCol w:w="2637"/>
      </w:tblGrid>
      <w:tr w:rsidR="00F83E84" w:rsidRPr="00F83E84" w14:paraId="603886C2" w14:textId="77777777" w:rsidTr="00D86947">
        <w:trPr>
          <w:cantSplit/>
          <w:tblHeader/>
        </w:trPr>
        <w:tc>
          <w:tcPr>
            <w:tcW w:w="1121" w:type="pct"/>
            <w:tcBorders>
              <w:top w:val="single" w:sz="12" w:space="0" w:color="auto"/>
              <w:left w:val="nil"/>
              <w:bottom w:val="single" w:sz="6" w:space="0" w:color="auto"/>
              <w:right w:val="nil"/>
            </w:tcBorders>
          </w:tcPr>
          <w:p w14:paraId="58CC6A49" w14:textId="77777777" w:rsidR="00F83E84" w:rsidRPr="00E92A04" w:rsidRDefault="00F83E84" w:rsidP="002D19FD">
            <w:pPr>
              <w:pStyle w:val="TableHead"/>
              <w:jc w:val="left"/>
              <w:rPr>
                <w:sz w:val="22"/>
                <w:szCs w:val="22"/>
              </w:rPr>
            </w:pPr>
            <w:r w:rsidRPr="00E92A04">
              <w:rPr>
                <w:sz w:val="22"/>
                <w:szCs w:val="22"/>
              </w:rPr>
              <w:t>MedDRA SOC</w:t>
            </w:r>
          </w:p>
        </w:tc>
        <w:tc>
          <w:tcPr>
            <w:tcW w:w="1159" w:type="pct"/>
            <w:tcBorders>
              <w:top w:val="single" w:sz="12" w:space="0" w:color="auto"/>
              <w:left w:val="nil"/>
              <w:bottom w:val="single" w:sz="6" w:space="0" w:color="auto"/>
              <w:right w:val="nil"/>
            </w:tcBorders>
          </w:tcPr>
          <w:p w14:paraId="35164B63" w14:textId="77777777" w:rsidR="00F83E84" w:rsidRPr="00E92A04" w:rsidRDefault="00F83E84" w:rsidP="002D19FD">
            <w:pPr>
              <w:pStyle w:val="TableHead"/>
              <w:jc w:val="left"/>
              <w:rPr>
                <w:sz w:val="22"/>
                <w:szCs w:val="22"/>
              </w:rPr>
            </w:pPr>
            <w:r w:rsidRPr="00E92A04">
              <w:rPr>
                <w:sz w:val="22"/>
                <w:szCs w:val="22"/>
              </w:rPr>
              <w:t>MedDRA Term</w:t>
            </w:r>
          </w:p>
        </w:tc>
        <w:tc>
          <w:tcPr>
            <w:tcW w:w="1352" w:type="pct"/>
            <w:tcBorders>
              <w:top w:val="single" w:sz="12" w:space="0" w:color="auto"/>
              <w:left w:val="nil"/>
              <w:bottom w:val="single" w:sz="6" w:space="0" w:color="auto"/>
              <w:right w:val="nil"/>
            </w:tcBorders>
          </w:tcPr>
          <w:p w14:paraId="3356D8C7" w14:textId="77777777" w:rsidR="00F83E84" w:rsidRPr="00E92A04" w:rsidRDefault="00F83E84" w:rsidP="002D19FD">
            <w:pPr>
              <w:pStyle w:val="TableHead"/>
              <w:jc w:val="left"/>
              <w:rPr>
                <w:sz w:val="22"/>
                <w:szCs w:val="22"/>
              </w:rPr>
            </w:pPr>
            <w:r w:rsidRPr="00E92A04">
              <w:rPr>
                <w:sz w:val="22"/>
                <w:szCs w:val="22"/>
              </w:rPr>
              <w:t xml:space="preserve">CIOMS descriptor/ Overall Frequency </w:t>
            </w:r>
            <w:r w:rsidRPr="00E92A04">
              <w:rPr>
                <w:sz w:val="22"/>
                <w:szCs w:val="22"/>
              </w:rPr>
              <w:br/>
              <w:t>(All CTCAE grades)</w:t>
            </w:r>
          </w:p>
        </w:tc>
        <w:tc>
          <w:tcPr>
            <w:tcW w:w="1368" w:type="pct"/>
            <w:tcBorders>
              <w:top w:val="single" w:sz="12" w:space="0" w:color="auto"/>
              <w:left w:val="nil"/>
              <w:bottom w:val="single" w:sz="6" w:space="0" w:color="auto"/>
              <w:right w:val="nil"/>
            </w:tcBorders>
          </w:tcPr>
          <w:p w14:paraId="25C70C88" w14:textId="77777777" w:rsidR="00F83E84" w:rsidRPr="00E92A04" w:rsidRDefault="00F83E84" w:rsidP="002D19FD">
            <w:pPr>
              <w:pStyle w:val="TableHead"/>
              <w:jc w:val="left"/>
              <w:rPr>
                <w:sz w:val="22"/>
                <w:szCs w:val="22"/>
              </w:rPr>
            </w:pPr>
            <w:r w:rsidRPr="00E92A04">
              <w:rPr>
                <w:sz w:val="22"/>
                <w:szCs w:val="22"/>
              </w:rPr>
              <w:t>Frequency of CTCAE grade 3 and above</w:t>
            </w:r>
          </w:p>
        </w:tc>
      </w:tr>
      <w:tr w:rsidR="004060ED" w:rsidRPr="00F83E84" w14:paraId="030C08AD" w14:textId="77777777" w:rsidTr="00D86947">
        <w:trPr>
          <w:cantSplit/>
        </w:trPr>
        <w:tc>
          <w:tcPr>
            <w:tcW w:w="1121" w:type="pct"/>
            <w:vMerge w:val="restart"/>
            <w:tcBorders>
              <w:top w:val="nil"/>
              <w:left w:val="nil"/>
              <w:right w:val="nil"/>
            </w:tcBorders>
          </w:tcPr>
          <w:p w14:paraId="7396BA02" w14:textId="4392E012" w:rsidR="004060ED" w:rsidRPr="00E92A04" w:rsidRDefault="004060ED" w:rsidP="004060ED">
            <w:pPr>
              <w:pStyle w:val="Paragraph"/>
              <w:rPr>
                <w:sz w:val="22"/>
                <w:szCs w:val="22"/>
              </w:rPr>
            </w:pPr>
            <w:r w:rsidRPr="00E92A04">
              <w:rPr>
                <w:sz w:val="22"/>
                <w:szCs w:val="22"/>
              </w:rPr>
              <w:t>Blood and lymphatic system disorders</w:t>
            </w:r>
          </w:p>
        </w:tc>
        <w:tc>
          <w:tcPr>
            <w:tcW w:w="1159" w:type="pct"/>
            <w:tcBorders>
              <w:top w:val="nil"/>
              <w:left w:val="nil"/>
              <w:right w:val="nil"/>
            </w:tcBorders>
          </w:tcPr>
          <w:p w14:paraId="786AD064" w14:textId="2F481655" w:rsidR="004060ED" w:rsidRPr="00E92A04" w:rsidRDefault="004060ED" w:rsidP="004060ED">
            <w:pPr>
              <w:pStyle w:val="Paragraph"/>
              <w:rPr>
                <w:sz w:val="22"/>
                <w:szCs w:val="22"/>
              </w:rPr>
            </w:pPr>
            <w:r w:rsidRPr="00E92A04">
              <w:rPr>
                <w:sz w:val="22"/>
                <w:szCs w:val="22"/>
              </w:rPr>
              <w:t>Anaemia</w:t>
            </w:r>
            <w:r w:rsidRPr="00E92A04">
              <w:rPr>
                <w:sz w:val="22"/>
                <w:szCs w:val="22"/>
                <w:vertAlign w:val="superscript"/>
              </w:rPr>
              <w:t>a</w:t>
            </w:r>
          </w:p>
        </w:tc>
        <w:tc>
          <w:tcPr>
            <w:tcW w:w="1352" w:type="pct"/>
            <w:tcBorders>
              <w:top w:val="nil"/>
              <w:left w:val="nil"/>
              <w:right w:val="nil"/>
            </w:tcBorders>
          </w:tcPr>
          <w:p w14:paraId="34C97B4C" w14:textId="60B1AD8B" w:rsidR="004060ED" w:rsidRPr="00E92A04" w:rsidRDefault="004060ED" w:rsidP="004060ED">
            <w:pPr>
              <w:pStyle w:val="Paragraph"/>
              <w:rPr>
                <w:sz w:val="22"/>
                <w:szCs w:val="22"/>
              </w:rPr>
            </w:pPr>
            <w:r w:rsidRPr="00E92A04">
              <w:rPr>
                <w:sz w:val="22"/>
                <w:szCs w:val="22"/>
              </w:rPr>
              <w:t>Very common</w:t>
            </w:r>
          </w:p>
        </w:tc>
        <w:tc>
          <w:tcPr>
            <w:tcW w:w="1368" w:type="pct"/>
            <w:tcBorders>
              <w:top w:val="nil"/>
              <w:left w:val="nil"/>
              <w:right w:val="nil"/>
            </w:tcBorders>
          </w:tcPr>
          <w:p w14:paraId="308BECE6" w14:textId="51F19142" w:rsidR="004060ED" w:rsidRPr="00E92A04" w:rsidRDefault="004060ED" w:rsidP="004060ED">
            <w:pPr>
              <w:pStyle w:val="Paragraph"/>
              <w:rPr>
                <w:sz w:val="22"/>
                <w:szCs w:val="22"/>
              </w:rPr>
            </w:pPr>
            <w:r w:rsidRPr="00E92A04">
              <w:rPr>
                <w:sz w:val="22"/>
                <w:szCs w:val="22"/>
              </w:rPr>
              <w:t>Very common</w:t>
            </w:r>
          </w:p>
        </w:tc>
      </w:tr>
      <w:tr w:rsidR="004060ED" w:rsidRPr="00F83E84" w14:paraId="2490569A" w14:textId="77777777" w:rsidTr="00D86947">
        <w:trPr>
          <w:cantSplit/>
        </w:trPr>
        <w:tc>
          <w:tcPr>
            <w:tcW w:w="1121" w:type="pct"/>
            <w:vMerge/>
            <w:tcBorders>
              <w:left w:val="nil"/>
              <w:right w:val="nil"/>
            </w:tcBorders>
          </w:tcPr>
          <w:p w14:paraId="7FB59582" w14:textId="77777777" w:rsidR="004060ED" w:rsidRPr="00E92A04" w:rsidRDefault="004060ED" w:rsidP="004060ED">
            <w:pPr>
              <w:pStyle w:val="Paragraph"/>
              <w:rPr>
                <w:sz w:val="22"/>
                <w:szCs w:val="22"/>
              </w:rPr>
            </w:pPr>
          </w:p>
        </w:tc>
        <w:tc>
          <w:tcPr>
            <w:tcW w:w="1159" w:type="pct"/>
            <w:tcBorders>
              <w:top w:val="nil"/>
              <w:left w:val="nil"/>
              <w:right w:val="nil"/>
            </w:tcBorders>
          </w:tcPr>
          <w:p w14:paraId="74359310" w14:textId="4CA8F787" w:rsidR="004060ED" w:rsidRPr="00E92A04" w:rsidRDefault="004060ED" w:rsidP="004060ED">
            <w:pPr>
              <w:pStyle w:val="Paragraph"/>
              <w:rPr>
                <w:sz w:val="22"/>
                <w:szCs w:val="22"/>
              </w:rPr>
            </w:pPr>
            <w:r w:rsidRPr="00E92A04">
              <w:rPr>
                <w:sz w:val="22"/>
                <w:szCs w:val="22"/>
              </w:rPr>
              <w:t>Neutropenia</w:t>
            </w:r>
            <w:r w:rsidRPr="00E92A04">
              <w:rPr>
                <w:sz w:val="22"/>
                <w:szCs w:val="22"/>
                <w:vertAlign w:val="superscript"/>
                <w:lang w:val="en-AU"/>
              </w:rPr>
              <w:t>a</w:t>
            </w:r>
          </w:p>
        </w:tc>
        <w:tc>
          <w:tcPr>
            <w:tcW w:w="1352" w:type="pct"/>
            <w:tcBorders>
              <w:top w:val="nil"/>
              <w:left w:val="nil"/>
              <w:right w:val="nil"/>
            </w:tcBorders>
          </w:tcPr>
          <w:p w14:paraId="4657C0E0" w14:textId="267F1D35" w:rsidR="004060ED" w:rsidRPr="00E92A04" w:rsidRDefault="004060ED" w:rsidP="004060ED">
            <w:pPr>
              <w:pStyle w:val="Paragraph"/>
              <w:rPr>
                <w:sz w:val="22"/>
                <w:szCs w:val="22"/>
              </w:rPr>
            </w:pPr>
            <w:r w:rsidRPr="00E92A04">
              <w:rPr>
                <w:sz w:val="22"/>
                <w:szCs w:val="22"/>
              </w:rPr>
              <w:t>Common</w:t>
            </w:r>
          </w:p>
        </w:tc>
        <w:tc>
          <w:tcPr>
            <w:tcW w:w="1368" w:type="pct"/>
            <w:tcBorders>
              <w:top w:val="nil"/>
              <w:left w:val="nil"/>
              <w:right w:val="nil"/>
            </w:tcBorders>
          </w:tcPr>
          <w:p w14:paraId="2F8F3927" w14:textId="74A09327" w:rsidR="004060ED" w:rsidRPr="00E92A04" w:rsidRDefault="004060ED" w:rsidP="004060ED">
            <w:pPr>
              <w:pStyle w:val="Paragraph"/>
              <w:rPr>
                <w:sz w:val="22"/>
                <w:szCs w:val="22"/>
              </w:rPr>
            </w:pPr>
            <w:r w:rsidRPr="00E92A04">
              <w:rPr>
                <w:sz w:val="22"/>
                <w:szCs w:val="22"/>
              </w:rPr>
              <w:t>Common</w:t>
            </w:r>
          </w:p>
        </w:tc>
      </w:tr>
      <w:tr w:rsidR="004060ED" w:rsidRPr="00F83E84" w14:paraId="58918D58" w14:textId="77777777" w:rsidTr="00D86947">
        <w:trPr>
          <w:cantSplit/>
        </w:trPr>
        <w:tc>
          <w:tcPr>
            <w:tcW w:w="1121" w:type="pct"/>
            <w:vMerge/>
            <w:tcBorders>
              <w:left w:val="nil"/>
              <w:right w:val="nil"/>
            </w:tcBorders>
          </w:tcPr>
          <w:p w14:paraId="505705B8" w14:textId="77777777" w:rsidR="004060ED" w:rsidRPr="00E92A04" w:rsidRDefault="004060ED" w:rsidP="004060ED">
            <w:pPr>
              <w:pStyle w:val="Paragraph"/>
              <w:rPr>
                <w:sz w:val="22"/>
                <w:szCs w:val="22"/>
              </w:rPr>
            </w:pPr>
          </w:p>
        </w:tc>
        <w:tc>
          <w:tcPr>
            <w:tcW w:w="1159" w:type="pct"/>
            <w:tcBorders>
              <w:top w:val="nil"/>
              <w:left w:val="nil"/>
              <w:right w:val="nil"/>
            </w:tcBorders>
          </w:tcPr>
          <w:p w14:paraId="35835164" w14:textId="6CE2942B" w:rsidR="004060ED" w:rsidRPr="00E92A04" w:rsidRDefault="004060ED" w:rsidP="004060ED">
            <w:pPr>
              <w:pStyle w:val="Paragraph"/>
              <w:rPr>
                <w:sz w:val="22"/>
                <w:szCs w:val="22"/>
              </w:rPr>
            </w:pPr>
            <w:r w:rsidRPr="00E92A04">
              <w:rPr>
                <w:sz w:val="22"/>
                <w:szCs w:val="22"/>
              </w:rPr>
              <w:t>Thrombocytopenia</w:t>
            </w:r>
            <w:r w:rsidRPr="00E92A04">
              <w:rPr>
                <w:sz w:val="22"/>
                <w:szCs w:val="22"/>
                <w:vertAlign w:val="superscript"/>
                <w:lang w:val="en-AU"/>
              </w:rPr>
              <w:t>a</w:t>
            </w:r>
          </w:p>
        </w:tc>
        <w:tc>
          <w:tcPr>
            <w:tcW w:w="1352" w:type="pct"/>
            <w:tcBorders>
              <w:top w:val="nil"/>
              <w:left w:val="nil"/>
              <w:right w:val="nil"/>
            </w:tcBorders>
          </w:tcPr>
          <w:p w14:paraId="09D6323D" w14:textId="4962B71A" w:rsidR="004060ED" w:rsidRPr="00E92A04" w:rsidRDefault="004060ED" w:rsidP="004060ED">
            <w:pPr>
              <w:pStyle w:val="Paragraph"/>
              <w:rPr>
                <w:sz w:val="22"/>
                <w:szCs w:val="22"/>
              </w:rPr>
            </w:pPr>
            <w:r w:rsidRPr="00E92A04">
              <w:rPr>
                <w:sz w:val="22"/>
                <w:szCs w:val="22"/>
                <w:lang w:val="en-AU"/>
              </w:rPr>
              <w:t>Common</w:t>
            </w:r>
          </w:p>
        </w:tc>
        <w:tc>
          <w:tcPr>
            <w:tcW w:w="1368" w:type="pct"/>
            <w:tcBorders>
              <w:top w:val="nil"/>
              <w:left w:val="nil"/>
              <w:right w:val="nil"/>
            </w:tcBorders>
          </w:tcPr>
          <w:p w14:paraId="7951F784" w14:textId="2A98F5C6" w:rsidR="004060ED" w:rsidRPr="00E92A04" w:rsidRDefault="004060ED" w:rsidP="004060ED">
            <w:pPr>
              <w:pStyle w:val="Paragraph"/>
              <w:rPr>
                <w:sz w:val="22"/>
                <w:szCs w:val="22"/>
              </w:rPr>
            </w:pPr>
            <w:r w:rsidRPr="00E92A04">
              <w:rPr>
                <w:sz w:val="22"/>
                <w:szCs w:val="22"/>
                <w:lang w:val="en-AU"/>
              </w:rPr>
              <w:t>Common</w:t>
            </w:r>
          </w:p>
        </w:tc>
      </w:tr>
      <w:tr w:rsidR="004060ED" w:rsidRPr="00F83E84" w14:paraId="028823AF" w14:textId="77777777" w:rsidTr="00D86947">
        <w:trPr>
          <w:cantSplit/>
        </w:trPr>
        <w:tc>
          <w:tcPr>
            <w:tcW w:w="1121" w:type="pct"/>
            <w:vMerge/>
            <w:tcBorders>
              <w:left w:val="nil"/>
              <w:right w:val="nil"/>
            </w:tcBorders>
          </w:tcPr>
          <w:p w14:paraId="62E855B0" w14:textId="77777777" w:rsidR="004060ED" w:rsidRPr="00E92A04" w:rsidRDefault="004060ED" w:rsidP="004060ED">
            <w:pPr>
              <w:pStyle w:val="Paragraph"/>
              <w:rPr>
                <w:sz w:val="22"/>
                <w:szCs w:val="22"/>
              </w:rPr>
            </w:pPr>
          </w:p>
        </w:tc>
        <w:tc>
          <w:tcPr>
            <w:tcW w:w="1159" w:type="pct"/>
            <w:tcBorders>
              <w:top w:val="nil"/>
              <w:left w:val="nil"/>
              <w:right w:val="nil"/>
            </w:tcBorders>
          </w:tcPr>
          <w:p w14:paraId="062C3049" w14:textId="28017732" w:rsidR="004060ED" w:rsidRPr="00E92A04" w:rsidRDefault="004060ED" w:rsidP="004060ED">
            <w:pPr>
              <w:pStyle w:val="Paragraph"/>
              <w:rPr>
                <w:sz w:val="22"/>
                <w:szCs w:val="22"/>
              </w:rPr>
            </w:pPr>
            <w:r w:rsidRPr="00E92A04">
              <w:rPr>
                <w:sz w:val="22"/>
                <w:szCs w:val="22"/>
              </w:rPr>
              <w:t>Leukopenia</w:t>
            </w:r>
            <w:r w:rsidRPr="00E92A04">
              <w:rPr>
                <w:sz w:val="22"/>
                <w:szCs w:val="22"/>
                <w:vertAlign w:val="superscript"/>
                <w:lang w:val="en-AU"/>
              </w:rPr>
              <w:t>a</w:t>
            </w:r>
          </w:p>
        </w:tc>
        <w:tc>
          <w:tcPr>
            <w:tcW w:w="1352" w:type="pct"/>
            <w:tcBorders>
              <w:top w:val="nil"/>
              <w:left w:val="nil"/>
              <w:right w:val="nil"/>
            </w:tcBorders>
          </w:tcPr>
          <w:p w14:paraId="684510D9" w14:textId="299A4313" w:rsidR="004060ED" w:rsidRPr="00E92A04" w:rsidRDefault="004060ED" w:rsidP="004060ED">
            <w:pPr>
              <w:pStyle w:val="Paragraph"/>
              <w:rPr>
                <w:sz w:val="22"/>
                <w:szCs w:val="22"/>
              </w:rPr>
            </w:pPr>
            <w:r w:rsidRPr="00E92A04">
              <w:rPr>
                <w:sz w:val="22"/>
                <w:szCs w:val="22"/>
                <w:lang w:val="en-AU"/>
              </w:rPr>
              <w:t>Common</w:t>
            </w:r>
          </w:p>
        </w:tc>
        <w:tc>
          <w:tcPr>
            <w:tcW w:w="1368" w:type="pct"/>
            <w:tcBorders>
              <w:top w:val="nil"/>
              <w:left w:val="nil"/>
              <w:right w:val="nil"/>
            </w:tcBorders>
          </w:tcPr>
          <w:p w14:paraId="3CA434BE" w14:textId="1EE3A0A4" w:rsidR="004060ED" w:rsidRPr="00E92A04" w:rsidRDefault="004060ED" w:rsidP="004060ED">
            <w:pPr>
              <w:pStyle w:val="Paragraph"/>
              <w:rPr>
                <w:sz w:val="22"/>
                <w:szCs w:val="22"/>
              </w:rPr>
            </w:pPr>
            <w:r w:rsidRPr="00E92A04">
              <w:rPr>
                <w:sz w:val="22"/>
                <w:szCs w:val="22"/>
                <w:lang w:val="en-AU"/>
              </w:rPr>
              <w:t>Common</w:t>
            </w:r>
          </w:p>
        </w:tc>
      </w:tr>
      <w:tr w:rsidR="004060ED" w:rsidRPr="00F83E84" w14:paraId="7D251FFC" w14:textId="77777777" w:rsidTr="00D86947">
        <w:trPr>
          <w:cantSplit/>
        </w:trPr>
        <w:tc>
          <w:tcPr>
            <w:tcW w:w="1121" w:type="pct"/>
            <w:vMerge/>
            <w:tcBorders>
              <w:left w:val="nil"/>
              <w:bottom w:val="single" w:sz="4" w:space="0" w:color="auto"/>
              <w:right w:val="nil"/>
            </w:tcBorders>
          </w:tcPr>
          <w:p w14:paraId="3BCDAF11" w14:textId="77777777" w:rsidR="004060ED" w:rsidRPr="00E92A04" w:rsidRDefault="004060ED" w:rsidP="004060ED">
            <w:pPr>
              <w:pStyle w:val="Paragraph"/>
              <w:rPr>
                <w:sz w:val="22"/>
                <w:szCs w:val="22"/>
              </w:rPr>
            </w:pPr>
          </w:p>
        </w:tc>
        <w:tc>
          <w:tcPr>
            <w:tcW w:w="1159" w:type="pct"/>
            <w:tcBorders>
              <w:top w:val="nil"/>
              <w:left w:val="nil"/>
              <w:bottom w:val="single" w:sz="4" w:space="0" w:color="auto"/>
              <w:right w:val="nil"/>
            </w:tcBorders>
          </w:tcPr>
          <w:p w14:paraId="5CC1E562" w14:textId="07EFB2E8" w:rsidR="004060ED" w:rsidRPr="00E92A04" w:rsidRDefault="004060ED" w:rsidP="004060ED">
            <w:pPr>
              <w:pStyle w:val="Paragraph"/>
              <w:rPr>
                <w:sz w:val="22"/>
                <w:szCs w:val="22"/>
              </w:rPr>
            </w:pPr>
            <w:r w:rsidRPr="00E92A04">
              <w:rPr>
                <w:sz w:val="22"/>
                <w:szCs w:val="22"/>
              </w:rPr>
              <w:t>Lymphopenia</w:t>
            </w:r>
          </w:p>
        </w:tc>
        <w:tc>
          <w:tcPr>
            <w:tcW w:w="1352" w:type="pct"/>
            <w:tcBorders>
              <w:top w:val="nil"/>
              <w:left w:val="nil"/>
              <w:bottom w:val="single" w:sz="4" w:space="0" w:color="auto"/>
              <w:right w:val="nil"/>
            </w:tcBorders>
          </w:tcPr>
          <w:p w14:paraId="1589D904" w14:textId="6C01A91E" w:rsidR="004060ED" w:rsidRPr="00E92A04" w:rsidRDefault="004060ED" w:rsidP="004060ED">
            <w:pPr>
              <w:pStyle w:val="Paragraph"/>
              <w:rPr>
                <w:sz w:val="22"/>
                <w:szCs w:val="22"/>
              </w:rPr>
            </w:pPr>
            <w:r w:rsidRPr="00E92A04">
              <w:rPr>
                <w:sz w:val="22"/>
                <w:szCs w:val="22"/>
              </w:rPr>
              <w:t>Uncommon</w:t>
            </w:r>
          </w:p>
        </w:tc>
        <w:tc>
          <w:tcPr>
            <w:tcW w:w="1368" w:type="pct"/>
            <w:tcBorders>
              <w:top w:val="nil"/>
              <w:left w:val="nil"/>
              <w:bottom w:val="single" w:sz="4" w:space="0" w:color="auto"/>
              <w:right w:val="nil"/>
            </w:tcBorders>
          </w:tcPr>
          <w:p w14:paraId="64571DF5" w14:textId="40698132" w:rsidR="004060ED" w:rsidRPr="00E92A04" w:rsidRDefault="004060ED" w:rsidP="004060ED">
            <w:pPr>
              <w:pStyle w:val="Paragraph"/>
              <w:rPr>
                <w:sz w:val="22"/>
                <w:szCs w:val="22"/>
              </w:rPr>
            </w:pPr>
            <w:r w:rsidRPr="00E92A04">
              <w:rPr>
                <w:sz w:val="22"/>
                <w:szCs w:val="22"/>
              </w:rPr>
              <w:t>Uncommon</w:t>
            </w:r>
          </w:p>
        </w:tc>
      </w:tr>
      <w:tr w:rsidR="004060ED" w:rsidRPr="00F83E84" w14:paraId="1140F04E" w14:textId="77777777" w:rsidTr="00D86947">
        <w:trPr>
          <w:cantSplit/>
        </w:trPr>
        <w:tc>
          <w:tcPr>
            <w:tcW w:w="1121" w:type="pct"/>
            <w:vMerge w:val="restart"/>
            <w:tcBorders>
              <w:top w:val="single" w:sz="4" w:space="0" w:color="auto"/>
              <w:left w:val="nil"/>
              <w:right w:val="nil"/>
            </w:tcBorders>
          </w:tcPr>
          <w:p w14:paraId="1448FA8A" w14:textId="6731A462" w:rsidR="004060ED" w:rsidRPr="00E92A04" w:rsidRDefault="004060ED" w:rsidP="004060ED">
            <w:pPr>
              <w:pStyle w:val="Paragraph"/>
              <w:rPr>
                <w:sz w:val="22"/>
                <w:szCs w:val="22"/>
              </w:rPr>
            </w:pPr>
            <w:r w:rsidRPr="00E92A04">
              <w:rPr>
                <w:sz w:val="22"/>
                <w:szCs w:val="22"/>
              </w:rPr>
              <w:t>Immune system disorders</w:t>
            </w:r>
          </w:p>
        </w:tc>
        <w:tc>
          <w:tcPr>
            <w:tcW w:w="1159" w:type="pct"/>
            <w:tcBorders>
              <w:top w:val="single" w:sz="4" w:space="0" w:color="auto"/>
              <w:left w:val="nil"/>
              <w:right w:val="nil"/>
            </w:tcBorders>
          </w:tcPr>
          <w:p w14:paraId="4EC03A80" w14:textId="001162AD" w:rsidR="004060ED" w:rsidRPr="00E92A04" w:rsidRDefault="004060ED" w:rsidP="004060ED">
            <w:pPr>
              <w:pStyle w:val="Paragraph"/>
              <w:rPr>
                <w:sz w:val="22"/>
                <w:szCs w:val="22"/>
              </w:rPr>
            </w:pPr>
            <w:r w:rsidRPr="00E92A04">
              <w:rPr>
                <w:sz w:val="22"/>
                <w:szCs w:val="22"/>
              </w:rPr>
              <w:t>Rash</w:t>
            </w:r>
            <w:r w:rsidRPr="00E92A04">
              <w:rPr>
                <w:sz w:val="22"/>
                <w:szCs w:val="22"/>
                <w:vertAlign w:val="superscript"/>
                <w:lang w:val="en-AU"/>
              </w:rPr>
              <w:t>a</w:t>
            </w:r>
          </w:p>
        </w:tc>
        <w:tc>
          <w:tcPr>
            <w:tcW w:w="1352" w:type="pct"/>
            <w:tcBorders>
              <w:top w:val="single" w:sz="4" w:space="0" w:color="auto"/>
              <w:left w:val="nil"/>
              <w:right w:val="nil"/>
            </w:tcBorders>
          </w:tcPr>
          <w:p w14:paraId="3F912D72" w14:textId="075EE240" w:rsidR="004060ED" w:rsidRPr="00E92A04" w:rsidRDefault="004060ED" w:rsidP="004060ED">
            <w:pPr>
              <w:pStyle w:val="Paragraph"/>
              <w:rPr>
                <w:sz w:val="22"/>
                <w:szCs w:val="22"/>
              </w:rPr>
            </w:pPr>
            <w:r w:rsidRPr="00E92A04">
              <w:rPr>
                <w:sz w:val="22"/>
                <w:szCs w:val="22"/>
              </w:rPr>
              <w:t>Common</w:t>
            </w:r>
          </w:p>
        </w:tc>
        <w:tc>
          <w:tcPr>
            <w:tcW w:w="1368" w:type="pct"/>
            <w:tcBorders>
              <w:top w:val="single" w:sz="4" w:space="0" w:color="auto"/>
              <w:left w:val="nil"/>
              <w:right w:val="nil"/>
            </w:tcBorders>
          </w:tcPr>
          <w:p w14:paraId="3F894C4D" w14:textId="2409ED6F" w:rsidR="004060ED" w:rsidRPr="00E92A04" w:rsidRDefault="004060ED" w:rsidP="004060ED">
            <w:pPr>
              <w:pStyle w:val="Paragraph"/>
              <w:rPr>
                <w:sz w:val="22"/>
                <w:szCs w:val="22"/>
              </w:rPr>
            </w:pPr>
            <w:r w:rsidRPr="00E92A04">
              <w:rPr>
                <w:sz w:val="22"/>
                <w:szCs w:val="22"/>
              </w:rPr>
              <w:t>-</w:t>
            </w:r>
          </w:p>
        </w:tc>
      </w:tr>
      <w:tr w:rsidR="004060ED" w:rsidRPr="00F83E84" w14:paraId="3A87E73B" w14:textId="77777777" w:rsidTr="00D86947">
        <w:trPr>
          <w:cantSplit/>
        </w:trPr>
        <w:tc>
          <w:tcPr>
            <w:tcW w:w="1121" w:type="pct"/>
            <w:vMerge/>
            <w:tcBorders>
              <w:left w:val="nil"/>
              <w:right w:val="nil"/>
            </w:tcBorders>
          </w:tcPr>
          <w:p w14:paraId="034F9B02" w14:textId="77777777" w:rsidR="004060ED" w:rsidRPr="00E92A04" w:rsidRDefault="004060ED" w:rsidP="004060ED">
            <w:pPr>
              <w:pStyle w:val="Paragraph"/>
              <w:rPr>
                <w:sz w:val="22"/>
                <w:szCs w:val="22"/>
              </w:rPr>
            </w:pPr>
          </w:p>
        </w:tc>
        <w:tc>
          <w:tcPr>
            <w:tcW w:w="1159" w:type="pct"/>
            <w:tcBorders>
              <w:top w:val="nil"/>
              <w:left w:val="nil"/>
              <w:right w:val="nil"/>
            </w:tcBorders>
          </w:tcPr>
          <w:p w14:paraId="1FFA57D2" w14:textId="14B32B3E" w:rsidR="004060ED" w:rsidRPr="00E92A04" w:rsidRDefault="004060ED" w:rsidP="004060ED">
            <w:pPr>
              <w:pStyle w:val="Paragraph"/>
              <w:rPr>
                <w:sz w:val="22"/>
                <w:szCs w:val="22"/>
              </w:rPr>
            </w:pPr>
            <w:r w:rsidRPr="00E92A04">
              <w:rPr>
                <w:sz w:val="22"/>
                <w:szCs w:val="22"/>
              </w:rPr>
              <w:t>Hypersensitivity</w:t>
            </w:r>
            <w:r w:rsidRPr="00E92A04">
              <w:rPr>
                <w:sz w:val="22"/>
                <w:szCs w:val="22"/>
                <w:vertAlign w:val="superscript"/>
              </w:rPr>
              <w:t>a</w:t>
            </w:r>
          </w:p>
        </w:tc>
        <w:tc>
          <w:tcPr>
            <w:tcW w:w="1352" w:type="pct"/>
            <w:tcBorders>
              <w:top w:val="nil"/>
              <w:left w:val="nil"/>
              <w:right w:val="nil"/>
            </w:tcBorders>
          </w:tcPr>
          <w:p w14:paraId="6207E0B1" w14:textId="0489EB32" w:rsidR="004060ED" w:rsidRPr="00E92A04" w:rsidRDefault="004060ED" w:rsidP="004060ED">
            <w:pPr>
              <w:pStyle w:val="Paragraph"/>
              <w:rPr>
                <w:sz w:val="22"/>
                <w:szCs w:val="22"/>
              </w:rPr>
            </w:pPr>
            <w:r w:rsidRPr="00E92A04">
              <w:rPr>
                <w:sz w:val="22"/>
                <w:szCs w:val="22"/>
              </w:rPr>
              <w:t>Uncommon</w:t>
            </w:r>
          </w:p>
        </w:tc>
        <w:tc>
          <w:tcPr>
            <w:tcW w:w="1368" w:type="pct"/>
            <w:tcBorders>
              <w:top w:val="nil"/>
              <w:left w:val="nil"/>
              <w:right w:val="nil"/>
            </w:tcBorders>
          </w:tcPr>
          <w:p w14:paraId="6343C921" w14:textId="1D353F14" w:rsidR="004060ED" w:rsidRPr="00E92A04" w:rsidRDefault="004060ED" w:rsidP="004060ED">
            <w:pPr>
              <w:pStyle w:val="Paragraph"/>
              <w:rPr>
                <w:sz w:val="22"/>
                <w:szCs w:val="22"/>
              </w:rPr>
            </w:pPr>
            <w:r w:rsidRPr="00E92A04">
              <w:rPr>
                <w:sz w:val="22"/>
                <w:szCs w:val="22"/>
              </w:rPr>
              <w:t>-</w:t>
            </w:r>
          </w:p>
        </w:tc>
      </w:tr>
      <w:tr w:rsidR="004060ED" w:rsidRPr="00F83E84" w14:paraId="1DFC1E73" w14:textId="77777777" w:rsidTr="00D86947">
        <w:trPr>
          <w:cantSplit/>
        </w:trPr>
        <w:tc>
          <w:tcPr>
            <w:tcW w:w="1121" w:type="pct"/>
            <w:vMerge/>
            <w:tcBorders>
              <w:left w:val="nil"/>
              <w:bottom w:val="single" w:sz="4" w:space="0" w:color="auto"/>
              <w:right w:val="nil"/>
            </w:tcBorders>
          </w:tcPr>
          <w:p w14:paraId="0ABEA006" w14:textId="77777777" w:rsidR="004060ED" w:rsidRPr="00E92A04" w:rsidRDefault="004060ED" w:rsidP="004060ED">
            <w:pPr>
              <w:pStyle w:val="Paragraph"/>
              <w:rPr>
                <w:sz w:val="22"/>
                <w:szCs w:val="22"/>
              </w:rPr>
            </w:pPr>
          </w:p>
        </w:tc>
        <w:tc>
          <w:tcPr>
            <w:tcW w:w="1159" w:type="pct"/>
            <w:tcBorders>
              <w:top w:val="nil"/>
              <w:left w:val="nil"/>
              <w:bottom w:val="single" w:sz="4" w:space="0" w:color="auto"/>
              <w:right w:val="nil"/>
            </w:tcBorders>
          </w:tcPr>
          <w:p w14:paraId="4E0DB4A2" w14:textId="4395E0E9" w:rsidR="004060ED" w:rsidRPr="00E92A04" w:rsidRDefault="004060ED" w:rsidP="004060ED">
            <w:pPr>
              <w:pStyle w:val="Paragraph"/>
              <w:rPr>
                <w:sz w:val="22"/>
                <w:szCs w:val="22"/>
              </w:rPr>
            </w:pPr>
            <w:r w:rsidRPr="00E92A04">
              <w:rPr>
                <w:sz w:val="22"/>
                <w:szCs w:val="22"/>
              </w:rPr>
              <w:t>Dermatitis</w:t>
            </w:r>
            <w:r w:rsidRPr="00E92A04">
              <w:rPr>
                <w:sz w:val="22"/>
                <w:szCs w:val="22"/>
                <w:vertAlign w:val="superscript"/>
              </w:rPr>
              <w:t>a</w:t>
            </w:r>
          </w:p>
        </w:tc>
        <w:tc>
          <w:tcPr>
            <w:tcW w:w="1352" w:type="pct"/>
            <w:tcBorders>
              <w:top w:val="nil"/>
              <w:left w:val="nil"/>
              <w:bottom w:val="single" w:sz="4" w:space="0" w:color="auto"/>
              <w:right w:val="nil"/>
            </w:tcBorders>
          </w:tcPr>
          <w:p w14:paraId="7ED79C5D" w14:textId="53B64A1A" w:rsidR="004060ED" w:rsidRPr="00E92A04" w:rsidRDefault="004060ED" w:rsidP="004060ED">
            <w:pPr>
              <w:pStyle w:val="Paragraph"/>
              <w:rPr>
                <w:sz w:val="22"/>
                <w:szCs w:val="22"/>
              </w:rPr>
            </w:pPr>
            <w:r w:rsidRPr="00E92A04">
              <w:rPr>
                <w:sz w:val="22"/>
                <w:szCs w:val="22"/>
              </w:rPr>
              <w:t>Uncommon</w:t>
            </w:r>
          </w:p>
        </w:tc>
        <w:tc>
          <w:tcPr>
            <w:tcW w:w="1368" w:type="pct"/>
            <w:tcBorders>
              <w:top w:val="nil"/>
              <w:left w:val="nil"/>
              <w:bottom w:val="single" w:sz="4" w:space="0" w:color="auto"/>
              <w:right w:val="nil"/>
            </w:tcBorders>
          </w:tcPr>
          <w:p w14:paraId="3096A31B" w14:textId="77E98BAB" w:rsidR="004060ED" w:rsidRPr="00E92A04" w:rsidRDefault="004060ED" w:rsidP="004060ED">
            <w:pPr>
              <w:pStyle w:val="Paragraph"/>
              <w:rPr>
                <w:sz w:val="22"/>
                <w:szCs w:val="22"/>
              </w:rPr>
            </w:pPr>
            <w:r w:rsidRPr="00E92A04">
              <w:rPr>
                <w:sz w:val="22"/>
                <w:szCs w:val="22"/>
              </w:rPr>
              <w:t>-</w:t>
            </w:r>
          </w:p>
        </w:tc>
      </w:tr>
      <w:tr w:rsidR="00F83E84" w:rsidRPr="00F83E84" w14:paraId="1B7FF234" w14:textId="77777777" w:rsidTr="00D86947">
        <w:trPr>
          <w:cantSplit/>
        </w:trPr>
        <w:tc>
          <w:tcPr>
            <w:tcW w:w="1121" w:type="pct"/>
            <w:tcBorders>
              <w:top w:val="nil"/>
              <w:left w:val="nil"/>
              <w:bottom w:val="single" w:sz="4" w:space="0" w:color="auto"/>
              <w:right w:val="nil"/>
            </w:tcBorders>
          </w:tcPr>
          <w:p w14:paraId="6C28DADF" w14:textId="77777777" w:rsidR="00F83E84" w:rsidRPr="00E92A04" w:rsidRDefault="00F83E84" w:rsidP="002D19FD">
            <w:pPr>
              <w:pStyle w:val="Paragraph"/>
              <w:rPr>
                <w:sz w:val="22"/>
                <w:szCs w:val="22"/>
              </w:rPr>
            </w:pPr>
            <w:r w:rsidRPr="00E92A04">
              <w:rPr>
                <w:sz w:val="22"/>
                <w:szCs w:val="22"/>
              </w:rPr>
              <w:t>Metabolism and nutrition disorders</w:t>
            </w:r>
          </w:p>
        </w:tc>
        <w:tc>
          <w:tcPr>
            <w:tcW w:w="1159" w:type="pct"/>
            <w:tcBorders>
              <w:top w:val="nil"/>
              <w:left w:val="nil"/>
              <w:bottom w:val="single" w:sz="4" w:space="0" w:color="auto"/>
              <w:right w:val="nil"/>
            </w:tcBorders>
          </w:tcPr>
          <w:p w14:paraId="76618695" w14:textId="77777777" w:rsidR="00F83E84" w:rsidRPr="00E92A04" w:rsidRDefault="00F83E84" w:rsidP="002D19FD">
            <w:pPr>
              <w:pStyle w:val="Paragraph"/>
              <w:rPr>
                <w:sz w:val="22"/>
                <w:szCs w:val="22"/>
              </w:rPr>
            </w:pPr>
            <w:r w:rsidRPr="00E92A04">
              <w:rPr>
                <w:sz w:val="22"/>
                <w:szCs w:val="22"/>
              </w:rPr>
              <w:t>Decreased appetite</w:t>
            </w:r>
          </w:p>
        </w:tc>
        <w:tc>
          <w:tcPr>
            <w:tcW w:w="1352" w:type="pct"/>
            <w:tcBorders>
              <w:top w:val="nil"/>
              <w:left w:val="nil"/>
              <w:bottom w:val="single" w:sz="4" w:space="0" w:color="auto"/>
              <w:right w:val="nil"/>
            </w:tcBorders>
          </w:tcPr>
          <w:p w14:paraId="1674FFC9" w14:textId="77777777" w:rsidR="00F83E84" w:rsidRPr="00E92A04" w:rsidRDefault="00F83E84" w:rsidP="002D19FD">
            <w:pPr>
              <w:pStyle w:val="Paragraph"/>
              <w:rPr>
                <w:sz w:val="22"/>
                <w:szCs w:val="22"/>
              </w:rPr>
            </w:pPr>
            <w:r w:rsidRPr="00E92A04">
              <w:rPr>
                <w:sz w:val="22"/>
                <w:szCs w:val="22"/>
              </w:rPr>
              <w:t>Very common</w:t>
            </w:r>
          </w:p>
        </w:tc>
        <w:tc>
          <w:tcPr>
            <w:tcW w:w="1368" w:type="pct"/>
            <w:tcBorders>
              <w:top w:val="nil"/>
              <w:left w:val="nil"/>
              <w:bottom w:val="single" w:sz="4" w:space="0" w:color="auto"/>
              <w:right w:val="nil"/>
            </w:tcBorders>
          </w:tcPr>
          <w:p w14:paraId="21858D06" w14:textId="5800C234" w:rsidR="00F83E84" w:rsidRPr="00E92A04" w:rsidRDefault="00F83E84" w:rsidP="002D19FD">
            <w:pPr>
              <w:pStyle w:val="Paragraph"/>
              <w:rPr>
                <w:sz w:val="22"/>
                <w:szCs w:val="22"/>
              </w:rPr>
            </w:pPr>
            <w:r w:rsidRPr="00E92A04">
              <w:rPr>
                <w:sz w:val="22"/>
                <w:szCs w:val="22"/>
              </w:rPr>
              <w:t>Uncommon</w:t>
            </w:r>
          </w:p>
        </w:tc>
      </w:tr>
      <w:tr w:rsidR="00F83E84" w:rsidRPr="00F83E84" w14:paraId="17C16226" w14:textId="77777777" w:rsidTr="00D86947">
        <w:trPr>
          <w:cantSplit/>
        </w:trPr>
        <w:tc>
          <w:tcPr>
            <w:tcW w:w="1121" w:type="pct"/>
            <w:vMerge w:val="restart"/>
            <w:tcBorders>
              <w:top w:val="single" w:sz="4" w:space="0" w:color="auto"/>
              <w:left w:val="nil"/>
              <w:right w:val="nil"/>
            </w:tcBorders>
          </w:tcPr>
          <w:p w14:paraId="167B7242" w14:textId="77777777" w:rsidR="00F83E84" w:rsidRPr="00E92A04" w:rsidRDefault="00F83E84" w:rsidP="002D19FD">
            <w:pPr>
              <w:pStyle w:val="Paragraph"/>
              <w:rPr>
                <w:sz w:val="22"/>
                <w:szCs w:val="22"/>
              </w:rPr>
            </w:pPr>
            <w:r w:rsidRPr="00E92A04">
              <w:rPr>
                <w:sz w:val="22"/>
                <w:szCs w:val="22"/>
              </w:rPr>
              <w:t>Nervous system disorders</w:t>
            </w:r>
          </w:p>
        </w:tc>
        <w:tc>
          <w:tcPr>
            <w:tcW w:w="1159" w:type="pct"/>
            <w:tcBorders>
              <w:top w:val="single" w:sz="4" w:space="0" w:color="auto"/>
              <w:left w:val="nil"/>
              <w:bottom w:val="nil"/>
              <w:right w:val="nil"/>
            </w:tcBorders>
          </w:tcPr>
          <w:p w14:paraId="18DB1EC1" w14:textId="7393D60C" w:rsidR="00F83E84" w:rsidRPr="00E92A04" w:rsidRDefault="009D3C16" w:rsidP="002D19FD">
            <w:pPr>
              <w:pStyle w:val="Paragraph"/>
              <w:rPr>
                <w:sz w:val="22"/>
                <w:szCs w:val="22"/>
              </w:rPr>
            </w:pPr>
            <w:r w:rsidRPr="00E92A04">
              <w:rPr>
                <w:sz w:val="22"/>
                <w:szCs w:val="22"/>
              </w:rPr>
              <w:t>Dizziness</w:t>
            </w:r>
            <w:r w:rsidR="00E9247F">
              <w:rPr>
                <w:sz w:val="22"/>
                <w:szCs w:val="22"/>
              </w:rPr>
              <w:t xml:space="preserve"> </w:t>
            </w:r>
          </w:p>
        </w:tc>
        <w:tc>
          <w:tcPr>
            <w:tcW w:w="1352" w:type="pct"/>
            <w:tcBorders>
              <w:top w:val="single" w:sz="4" w:space="0" w:color="auto"/>
              <w:left w:val="nil"/>
              <w:bottom w:val="nil"/>
              <w:right w:val="nil"/>
            </w:tcBorders>
          </w:tcPr>
          <w:p w14:paraId="29377E3F" w14:textId="021F017F" w:rsidR="00F83E84" w:rsidRPr="00E92A04" w:rsidRDefault="009D3C16" w:rsidP="002D19FD">
            <w:pPr>
              <w:pStyle w:val="Paragraph"/>
              <w:rPr>
                <w:sz w:val="22"/>
                <w:szCs w:val="22"/>
              </w:rPr>
            </w:pPr>
            <w:r w:rsidRPr="00E92A04">
              <w:rPr>
                <w:sz w:val="22"/>
                <w:szCs w:val="22"/>
              </w:rPr>
              <w:t>Very common</w:t>
            </w:r>
          </w:p>
        </w:tc>
        <w:tc>
          <w:tcPr>
            <w:tcW w:w="1368" w:type="pct"/>
            <w:tcBorders>
              <w:top w:val="single" w:sz="4" w:space="0" w:color="auto"/>
              <w:left w:val="nil"/>
              <w:bottom w:val="nil"/>
              <w:right w:val="nil"/>
            </w:tcBorders>
          </w:tcPr>
          <w:p w14:paraId="50F31033" w14:textId="170AAC37" w:rsidR="00F83E84" w:rsidRPr="00E92A04" w:rsidRDefault="009D3C16" w:rsidP="002D19FD">
            <w:pPr>
              <w:pStyle w:val="Paragraph"/>
              <w:rPr>
                <w:sz w:val="22"/>
                <w:szCs w:val="22"/>
              </w:rPr>
            </w:pPr>
            <w:r w:rsidRPr="00E92A04">
              <w:rPr>
                <w:sz w:val="22"/>
                <w:szCs w:val="22"/>
              </w:rPr>
              <w:t>Uncommon</w:t>
            </w:r>
          </w:p>
        </w:tc>
      </w:tr>
      <w:tr w:rsidR="00F83E84" w:rsidRPr="00F83E84" w14:paraId="0A7DF339" w14:textId="77777777" w:rsidTr="00D86947">
        <w:trPr>
          <w:cantSplit/>
        </w:trPr>
        <w:tc>
          <w:tcPr>
            <w:tcW w:w="1121" w:type="pct"/>
            <w:vMerge/>
            <w:tcBorders>
              <w:left w:val="nil"/>
              <w:right w:val="nil"/>
            </w:tcBorders>
          </w:tcPr>
          <w:p w14:paraId="70DF1BAD" w14:textId="77777777" w:rsidR="00F83E84" w:rsidRPr="00E92A04" w:rsidRDefault="00F83E84" w:rsidP="002D19FD">
            <w:pPr>
              <w:pStyle w:val="Paragraph"/>
              <w:rPr>
                <w:sz w:val="22"/>
                <w:szCs w:val="22"/>
              </w:rPr>
            </w:pPr>
          </w:p>
        </w:tc>
        <w:tc>
          <w:tcPr>
            <w:tcW w:w="1159" w:type="pct"/>
            <w:tcBorders>
              <w:top w:val="nil"/>
              <w:left w:val="nil"/>
              <w:right w:val="nil"/>
            </w:tcBorders>
          </w:tcPr>
          <w:p w14:paraId="3A35ADD0" w14:textId="5CF75265" w:rsidR="00F83E84" w:rsidRPr="00E92A04" w:rsidRDefault="009D3C16" w:rsidP="002D19FD">
            <w:pPr>
              <w:pStyle w:val="Paragraph"/>
              <w:rPr>
                <w:sz w:val="22"/>
                <w:szCs w:val="22"/>
              </w:rPr>
            </w:pPr>
            <w:r w:rsidRPr="00E92A04">
              <w:rPr>
                <w:sz w:val="22"/>
                <w:szCs w:val="22"/>
              </w:rPr>
              <w:t>Headache</w:t>
            </w:r>
            <w:r w:rsidR="00E9247F" w:rsidRPr="00E92A04">
              <w:rPr>
                <w:sz w:val="22"/>
                <w:szCs w:val="22"/>
              </w:rPr>
              <w:t xml:space="preserve"> </w:t>
            </w:r>
          </w:p>
        </w:tc>
        <w:tc>
          <w:tcPr>
            <w:tcW w:w="1352" w:type="pct"/>
            <w:tcBorders>
              <w:top w:val="nil"/>
              <w:left w:val="nil"/>
              <w:right w:val="nil"/>
            </w:tcBorders>
          </w:tcPr>
          <w:p w14:paraId="3859E90B" w14:textId="4D839C57" w:rsidR="00F83E84" w:rsidRPr="00E92A04" w:rsidRDefault="009D3C16" w:rsidP="002D19FD">
            <w:pPr>
              <w:pStyle w:val="Paragraph"/>
              <w:rPr>
                <w:sz w:val="22"/>
                <w:szCs w:val="22"/>
              </w:rPr>
            </w:pPr>
            <w:r w:rsidRPr="00E92A04">
              <w:rPr>
                <w:sz w:val="22"/>
                <w:szCs w:val="22"/>
              </w:rPr>
              <w:t>Very common</w:t>
            </w:r>
          </w:p>
        </w:tc>
        <w:tc>
          <w:tcPr>
            <w:tcW w:w="1368" w:type="pct"/>
            <w:tcBorders>
              <w:top w:val="nil"/>
              <w:left w:val="nil"/>
              <w:right w:val="nil"/>
            </w:tcBorders>
          </w:tcPr>
          <w:p w14:paraId="6C4E14B9" w14:textId="56354C4C" w:rsidR="00F83E84" w:rsidRPr="00E92A04" w:rsidRDefault="009D3C16" w:rsidP="002D19FD">
            <w:pPr>
              <w:pStyle w:val="Paragraph"/>
              <w:rPr>
                <w:sz w:val="22"/>
                <w:szCs w:val="22"/>
              </w:rPr>
            </w:pPr>
            <w:r w:rsidRPr="00E92A04">
              <w:rPr>
                <w:sz w:val="22"/>
                <w:szCs w:val="22"/>
              </w:rPr>
              <w:t>Uncommon</w:t>
            </w:r>
            <w:r w:rsidRPr="00E92A04" w:rsidDel="009D3C16">
              <w:rPr>
                <w:sz w:val="22"/>
                <w:szCs w:val="22"/>
              </w:rPr>
              <w:t xml:space="preserve"> </w:t>
            </w:r>
          </w:p>
        </w:tc>
      </w:tr>
      <w:tr w:rsidR="00F83E84" w:rsidRPr="00F83E84" w14:paraId="10C3F74F" w14:textId="77777777" w:rsidTr="00D86947">
        <w:trPr>
          <w:cantSplit/>
        </w:trPr>
        <w:tc>
          <w:tcPr>
            <w:tcW w:w="1121" w:type="pct"/>
            <w:vMerge/>
            <w:tcBorders>
              <w:left w:val="nil"/>
              <w:bottom w:val="single" w:sz="4" w:space="0" w:color="auto"/>
              <w:right w:val="nil"/>
            </w:tcBorders>
          </w:tcPr>
          <w:p w14:paraId="1CE8887B" w14:textId="77777777" w:rsidR="00F83E84" w:rsidRPr="00E92A04" w:rsidRDefault="00F83E84" w:rsidP="002D19FD">
            <w:pPr>
              <w:pStyle w:val="Paragraph"/>
              <w:rPr>
                <w:sz w:val="22"/>
                <w:szCs w:val="22"/>
              </w:rPr>
            </w:pPr>
          </w:p>
        </w:tc>
        <w:tc>
          <w:tcPr>
            <w:tcW w:w="1159" w:type="pct"/>
            <w:tcBorders>
              <w:top w:val="nil"/>
              <w:left w:val="nil"/>
              <w:bottom w:val="single" w:sz="4" w:space="0" w:color="auto"/>
              <w:right w:val="nil"/>
            </w:tcBorders>
          </w:tcPr>
          <w:p w14:paraId="1FC8A80F" w14:textId="3EF6A06F" w:rsidR="00F83E84" w:rsidRPr="00E92A04" w:rsidRDefault="00E9247F" w:rsidP="002D19FD">
            <w:pPr>
              <w:pStyle w:val="Paragraph"/>
              <w:rPr>
                <w:sz w:val="22"/>
                <w:szCs w:val="22"/>
              </w:rPr>
            </w:pPr>
            <w:r w:rsidRPr="00E9247F">
              <w:rPr>
                <w:sz w:val="22"/>
                <w:szCs w:val="22"/>
              </w:rPr>
              <w:t xml:space="preserve">Dysgeusia </w:t>
            </w:r>
          </w:p>
        </w:tc>
        <w:tc>
          <w:tcPr>
            <w:tcW w:w="1352" w:type="pct"/>
            <w:tcBorders>
              <w:top w:val="nil"/>
              <w:left w:val="nil"/>
              <w:bottom w:val="single" w:sz="4" w:space="0" w:color="auto"/>
              <w:right w:val="nil"/>
            </w:tcBorders>
          </w:tcPr>
          <w:p w14:paraId="6FE404F6" w14:textId="16D59859" w:rsidR="00F83E84" w:rsidRPr="00E92A04" w:rsidRDefault="009D3C16" w:rsidP="002D19FD">
            <w:pPr>
              <w:pStyle w:val="Paragraph"/>
              <w:rPr>
                <w:sz w:val="22"/>
                <w:szCs w:val="22"/>
              </w:rPr>
            </w:pPr>
            <w:r w:rsidRPr="00E92A04">
              <w:rPr>
                <w:sz w:val="22"/>
                <w:szCs w:val="22"/>
              </w:rPr>
              <w:t xml:space="preserve">Very common </w:t>
            </w:r>
          </w:p>
        </w:tc>
        <w:tc>
          <w:tcPr>
            <w:tcW w:w="1368" w:type="pct"/>
            <w:tcBorders>
              <w:top w:val="nil"/>
              <w:left w:val="nil"/>
              <w:bottom w:val="single" w:sz="4" w:space="0" w:color="auto"/>
              <w:right w:val="nil"/>
            </w:tcBorders>
          </w:tcPr>
          <w:p w14:paraId="199F5671" w14:textId="44EE32AD" w:rsidR="00F83E84" w:rsidRPr="00E92A04" w:rsidRDefault="002D19FD" w:rsidP="002D19FD">
            <w:pPr>
              <w:pStyle w:val="Paragraph"/>
              <w:rPr>
                <w:sz w:val="22"/>
                <w:szCs w:val="22"/>
              </w:rPr>
            </w:pPr>
            <w:r>
              <w:rPr>
                <w:sz w:val="22"/>
                <w:szCs w:val="22"/>
              </w:rPr>
              <w:t>-</w:t>
            </w:r>
            <w:r w:rsidR="009D3C16" w:rsidRPr="00E92A04">
              <w:rPr>
                <w:sz w:val="22"/>
                <w:szCs w:val="22"/>
              </w:rPr>
              <w:t xml:space="preserve"> </w:t>
            </w:r>
          </w:p>
        </w:tc>
      </w:tr>
      <w:tr w:rsidR="00F83E84" w:rsidRPr="00F83E84" w14:paraId="17C7699F" w14:textId="77777777" w:rsidTr="00D86947">
        <w:trPr>
          <w:cantSplit/>
        </w:trPr>
        <w:tc>
          <w:tcPr>
            <w:tcW w:w="1121" w:type="pct"/>
            <w:vMerge w:val="restart"/>
            <w:tcBorders>
              <w:top w:val="nil"/>
              <w:left w:val="nil"/>
              <w:right w:val="nil"/>
            </w:tcBorders>
          </w:tcPr>
          <w:p w14:paraId="48F34566" w14:textId="77777777" w:rsidR="00F83E84" w:rsidRPr="00E92A04" w:rsidRDefault="00F83E84" w:rsidP="002D19FD">
            <w:pPr>
              <w:pStyle w:val="Paragraph"/>
              <w:rPr>
                <w:sz w:val="22"/>
                <w:szCs w:val="22"/>
              </w:rPr>
            </w:pPr>
            <w:r w:rsidRPr="00E92A04">
              <w:rPr>
                <w:sz w:val="22"/>
                <w:szCs w:val="22"/>
              </w:rPr>
              <w:t>Gastrointestinal disorders</w:t>
            </w:r>
          </w:p>
        </w:tc>
        <w:tc>
          <w:tcPr>
            <w:tcW w:w="1159" w:type="pct"/>
            <w:tcBorders>
              <w:top w:val="nil"/>
              <w:left w:val="nil"/>
              <w:bottom w:val="nil"/>
              <w:right w:val="nil"/>
            </w:tcBorders>
          </w:tcPr>
          <w:p w14:paraId="37BA40A2" w14:textId="028524BB" w:rsidR="00F83E84" w:rsidRPr="00E92A04" w:rsidRDefault="009D3C16" w:rsidP="002D19FD">
            <w:pPr>
              <w:pStyle w:val="Paragraph"/>
              <w:rPr>
                <w:sz w:val="22"/>
                <w:szCs w:val="22"/>
              </w:rPr>
            </w:pPr>
            <w:r w:rsidRPr="00E92A04">
              <w:rPr>
                <w:sz w:val="22"/>
                <w:szCs w:val="22"/>
              </w:rPr>
              <w:t xml:space="preserve">Vomiting </w:t>
            </w:r>
          </w:p>
        </w:tc>
        <w:tc>
          <w:tcPr>
            <w:tcW w:w="1352" w:type="pct"/>
            <w:tcBorders>
              <w:top w:val="nil"/>
              <w:left w:val="nil"/>
              <w:bottom w:val="nil"/>
              <w:right w:val="nil"/>
            </w:tcBorders>
          </w:tcPr>
          <w:p w14:paraId="7F4E53E0" w14:textId="415C89A9" w:rsidR="00F83E84" w:rsidRPr="00E92A04" w:rsidRDefault="00F83E84" w:rsidP="002D19FD">
            <w:pPr>
              <w:pStyle w:val="Paragraph"/>
              <w:rPr>
                <w:sz w:val="22"/>
                <w:szCs w:val="22"/>
              </w:rPr>
            </w:pPr>
            <w:r w:rsidRPr="00E92A04">
              <w:rPr>
                <w:sz w:val="22"/>
                <w:szCs w:val="22"/>
              </w:rPr>
              <w:t>Very common</w:t>
            </w:r>
          </w:p>
        </w:tc>
        <w:tc>
          <w:tcPr>
            <w:tcW w:w="1368" w:type="pct"/>
            <w:tcBorders>
              <w:top w:val="nil"/>
              <w:left w:val="nil"/>
              <w:bottom w:val="nil"/>
              <w:right w:val="nil"/>
            </w:tcBorders>
          </w:tcPr>
          <w:p w14:paraId="7AF4AE16" w14:textId="1619E041" w:rsidR="00F83E84" w:rsidRPr="00E92A04" w:rsidRDefault="00F83E84" w:rsidP="002D19FD">
            <w:pPr>
              <w:pStyle w:val="Paragraph"/>
              <w:rPr>
                <w:sz w:val="22"/>
                <w:szCs w:val="22"/>
              </w:rPr>
            </w:pPr>
            <w:r w:rsidRPr="00E92A04">
              <w:rPr>
                <w:sz w:val="22"/>
                <w:szCs w:val="22"/>
              </w:rPr>
              <w:t>Common</w:t>
            </w:r>
          </w:p>
        </w:tc>
      </w:tr>
      <w:tr w:rsidR="00F83E84" w:rsidRPr="00F83E84" w14:paraId="58435359" w14:textId="77777777" w:rsidTr="00D86947">
        <w:trPr>
          <w:cantSplit/>
        </w:trPr>
        <w:tc>
          <w:tcPr>
            <w:tcW w:w="1121" w:type="pct"/>
            <w:vMerge/>
            <w:tcBorders>
              <w:left w:val="nil"/>
              <w:right w:val="nil"/>
            </w:tcBorders>
          </w:tcPr>
          <w:p w14:paraId="582BB454" w14:textId="77777777" w:rsidR="00F83E84" w:rsidRPr="00E92A04" w:rsidRDefault="00F83E84" w:rsidP="002D19FD">
            <w:pPr>
              <w:pStyle w:val="Paragraph"/>
              <w:rPr>
                <w:sz w:val="22"/>
                <w:szCs w:val="22"/>
              </w:rPr>
            </w:pPr>
          </w:p>
        </w:tc>
        <w:tc>
          <w:tcPr>
            <w:tcW w:w="1159" w:type="pct"/>
            <w:tcBorders>
              <w:top w:val="nil"/>
              <w:left w:val="nil"/>
              <w:bottom w:val="nil"/>
              <w:right w:val="nil"/>
            </w:tcBorders>
          </w:tcPr>
          <w:p w14:paraId="1FB1E3DE" w14:textId="0E4B67E7" w:rsidR="00F83E84" w:rsidRPr="00E92A04" w:rsidRDefault="009D3C16" w:rsidP="002D19FD">
            <w:pPr>
              <w:pStyle w:val="Paragraph"/>
              <w:rPr>
                <w:sz w:val="22"/>
                <w:szCs w:val="22"/>
              </w:rPr>
            </w:pPr>
            <w:r w:rsidRPr="00E92A04">
              <w:rPr>
                <w:sz w:val="22"/>
                <w:szCs w:val="22"/>
              </w:rPr>
              <w:t xml:space="preserve">Diarrhoea </w:t>
            </w:r>
          </w:p>
        </w:tc>
        <w:tc>
          <w:tcPr>
            <w:tcW w:w="1352" w:type="pct"/>
            <w:tcBorders>
              <w:top w:val="nil"/>
              <w:left w:val="nil"/>
              <w:bottom w:val="nil"/>
              <w:right w:val="nil"/>
            </w:tcBorders>
          </w:tcPr>
          <w:p w14:paraId="067F7DF7" w14:textId="79BCD881" w:rsidR="00F83E84" w:rsidRPr="00E92A04" w:rsidRDefault="00F83E84" w:rsidP="002D19FD">
            <w:pPr>
              <w:pStyle w:val="Paragraph"/>
              <w:rPr>
                <w:sz w:val="22"/>
                <w:szCs w:val="22"/>
              </w:rPr>
            </w:pPr>
            <w:r w:rsidRPr="00E92A04">
              <w:rPr>
                <w:sz w:val="22"/>
                <w:szCs w:val="22"/>
              </w:rPr>
              <w:t>Very common</w:t>
            </w:r>
          </w:p>
        </w:tc>
        <w:tc>
          <w:tcPr>
            <w:tcW w:w="1368" w:type="pct"/>
            <w:tcBorders>
              <w:top w:val="nil"/>
              <w:left w:val="nil"/>
              <w:bottom w:val="nil"/>
              <w:right w:val="nil"/>
            </w:tcBorders>
          </w:tcPr>
          <w:p w14:paraId="641016B0" w14:textId="5CCAC439" w:rsidR="00F83E84" w:rsidRPr="00E92A04" w:rsidRDefault="00F83E84" w:rsidP="002D19FD">
            <w:pPr>
              <w:pStyle w:val="Paragraph"/>
              <w:rPr>
                <w:sz w:val="22"/>
                <w:szCs w:val="22"/>
              </w:rPr>
            </w:pPr>
            <w:r w:rsidRPr="00E92A04">
              <w:rPr>
                <w:sz w:val="22"/>
                <w:szCs w:val="22"/>
              </w:rPr>
              <w:t>Common</w:t>
            </w:r>
          </w:p>
        </w:tc>
      </w:tr>
      <w:tr w:rsidR="00F83E84" w:rsidRPr="00F83E84" w14:paraId="73CEE9CD" w14:textId="77777777" w:rsidTr="00D86947">
        <w:trPr>
          <w:cantSplit/>
        </w:trPr>
        <w:tc>
          <w:tcPr>
            <w:tcW w:w="1121" w:type="pct"/>
            <w:vMerge/>
            <w:tcBorders>
              <w:left w:val="nil"/>
              <w:right w:val="nil"/>
            </w:tcBorders>
          </w:tcPr>
          <w:p w14:paraId="29E16F60" w14:textId="77777777" w:rsidR="00F83E84" w:rsidRPr="00E92A04" w:rsidRDefault="00F83E84" w:rsidP="002D19FD">
            <w:pPr>
              <w:pStyle w:val="Paragraph"/>
              <w:rPr>
                <w:sz w:val="22"/>
                <w:szCs w:val="22"/>
              </w:rPr>
            </w:pPr>
          </w:p>
        </w:tc>
        <w:tc>
          <w:tcPr>
            <w:tcW w:w="1159" w:type="pct"/>
            <w:tcBorders>
              <w:top w:val="nil"/>
              <w:left w:val="nil"/>
              <w:bottom w:val="nil"/>
              <w:right w:val="nil"/>
            </w:tcBorders>
          </w:tcPr>
          <w:p w14:paraId="487A7AE2" w14:textId="38D477A8" w:rsidR="00F83E84" w:rsidRPr="00E92A04" w:rsidRDefault="009D3C16" w:rsidP="002D19FD">
            <w:pPr>
              <w:pStyle w:val="Paragraph"/>
              <w:rPr>
                <w:sz w:val="22"/>
                <w:szCs w:val="22"/>
              </w:rPr>
            </w:pPr>
            <w:r w:rsidRPr="00E92A04">
              <w:rPr>
                <w:sz w:val="22"/>
                <w:szCs w:val="22"/>
              </w:rPr>
              <w:t xml:space="preserve">Nausea </w:t>
            </w:r>
          </w:p>
        </w:tc>
        <w:tc>
          <w:tcPr>
            <w:tcW w:w="1352" w:type="pct"/>
            <w:tcBorders>
              <w:top w:val="nil"/>
              <w:left w:val="nil"/>
              <w:bottom w:val="nil"/>
              <w:right w:val="nil"/>
            </w:tcBorders>
          </w:tcPr>
          <w:p w14:paraId="1DC9151B" w14:textId="69D6A62E" w:rsidR="00F83E84" w:rsidRPr="00E92A04" w:rsidRDefault="00F83E84" w:rsidP="002D19FD">
            <w:pPr>
              <w:pStyle w:val="Paragraph"/>
              <w:rPr>
                <w:sz w:val="22"/>
                <w:szCs w:val="22"/>
              </w:rPr>
            </w:pPr>
            <w:r w:rsidRPr="00E92A04">
              <w:rPr>
                <w:sz w:val="22"/>
                <w:szCs w:val="22"/>
              </w:rPr>
              <w:t>Very common</w:t>
            </w:r>
          </w:p>
        </w:tc>
        <w:tc>
          <w:tcPr>
            <w:tcW w:w="1368" w:type="pct"/>
            <w:tcBorders>
              <w:top w:val="nil"/>
              <w:left w:val="nil"/>
              <w:bottom w:val="nil"/>
              <w:right w:val="nil"/>
            </w:tcBorders>
          </w:tcPr>
          <w:p w14:paraId="463B80F4" w14:textId="6AB22CFE" w:rsidR="00F83E84" w:rsidRPr="00E92A04" w:rsidRDefault="00F83E84" w:rsidP="002D19FD">
            <w:pPr>
              <w:pStyle w:val="Paragraph"/>
              <w:rPr>
                <w:sz w:val="22"/>
                <w:szCs w:val="22"/>
              </w:rPr>
            </w:pPr>
            <w:r w:rsidRPr="00E92A04">
              <w:rPr>
                <w:sz w:val="22"/>
                <w:szCs w:val="22"/>
              </w:rPr>
              <w:t>Common</w:t>
            </w:r>
          </w:p>
        </w:tc>
      </w:tr>
      <w:tr w:rsidR="00F83E84" w:rsidRPr="00F83E84" w14:paraId="1A6B52EC" w14:textId="77777777" w:rsidTr="00D86947">
        <w:trPr>
          <w:cantSplit/>
        </w:trPr>
        <w:tc>
          <w:tcPr>
            <w:tcW w:w="1121" w:type="pct"/>
            <w:vMerge/>
            <w:tcBorders>
              <w:left w:val="nil"/>
              <w:right w:val="nil"/>
            </w:tcBorders>
          </w:tcPr>
          <w:p w14:paraId="63EC6384" w14:textId="77777777" w:rsidR="00F83E84" w:rsidRPr="00E92A04" w:rsidRDefault="00F83E84" w:rsidP="002D19FD">
            <w:pPr>
              <w:pStyle w:val="Paragraph"/>
              <w:rPr>
                <w:sz w:val="22"/>
                <w:szCs w:val="22"/>
              </w:rPr>
            </w:pPr>
          </w:p>
        </w:tc>
        <w:tc>
          <w:tcPr>
            <w:tcW w:w="1159" w:type="pct"/>
            <w:tcBorders>
              <w:top w:val="nil"/>
              <w:left w:val="nil"/>
              <w:right w:val="nil"/>
            </w:tcBorders>
          </w:tcPr>
          <w:p w14:paraId="7EB2BD81" w14:textId="77777777" w:rsidR="00F83E84" w:rsidRPr="00E92A04" w:rsidRDefault="00F83E84" w:rsidP="002D19FD">
            <w:pPr>
              <w:pStyle w:val="Paragraph"/>
              <w:rPr>
                <w:sz w:val="22"/>
                <w:szCs w:val="22"/>
              </w:rPr>
            </w:pPr>
            <w:r w:rsidRPr="00E92A04">
              <w:rPr>
                <w:sz w:val="22"/>
                <w:szCs w:val="22"/>
              </w:rPr>
              <w:t>Dyspepsia</w:t>
            </w:r>
          </w:p>
        </w:tc>
        <w:tc>
          <w:tcPr>
            <w:tcW w:w="1352" w:type="pct"/>
            <w:tcBorders>
              <w:top w:val="nil"/>
              <w:left w:val="nil"/>
              <w:right w:val="nil"/>
            </w:tcBorders>
          </w:tcPr>
          <w:p w14:paraId="2A1CF60D" w14:textId="77777777" w:rsidR="00F83E84" w:rsidRPr="00E92A04" w:rsidRDefault="00F83E84" w:rsidP="002D19FD">
            <w:pPr>
              <w:pStyle w:val="Paragraph"/>
              <w:rPr>
                <w:sz w:val="22"/>
                <w:szCs w:val="22"/>
              </w:rPr>
            </w:pPr>
            <w:r w:rsidRPr="00E92A04">
              <w:rPr>
                <w:sz w:val="22"/>
                <w:szCs w:val="22"/>
              </w:rPr>
              <w:t>Very common</w:t>
            </w:r>
          </w:p>
        </w:tc>
        <w:tc>
          <w:tcPr>
            <w:tcW w:w="1368" w:type="pct"/>
            <w:tcBorders>
              <w:top w:val="nil"/>
              <w:left w:val="nil"/>
              <w:right w:val="nil"/>
            </w:tcBorders>
          </w:tcPr>
          <w:p w14:paraId="341811B0" w14:textId="33372F51" w:rsidR="00F83E84" w:rsidRPr="00E92A04" w:rsidRDefault="00F83E84" w:rsidP="002D19FD">
            <w:pPr>
              <w:pStyle w:val="Paragraph"/>
              <w:rPr>
                <w:sz w:val="22"/>
                <w:szCs w:val="22"/>
              </w:rPr>
            </w:pPr>
            <w:r w:rsidRPr="00E92A04">
              <w:rPr>
                <w:sz w:val="22"/>
                <w:szCs w:val="22"/>
              </w:rPr>
              <w:t>-</w:t>
            </w:r>
          </w:p>
        </w:tc>
      </w:tr>
      <w:tr w:rsidR="00F83E84" w:rsidRPr="00F83E84" w14:paraId="22AAFD08" w14:textId="77777777" w:rsidTr="00D86947">
        <w:trPr>
          <w:cantSplit/>
        </w:trPr>
        <w:tc>
          <w:tcPr>
            <w:tcW w:w="1121" w:type="pct"/>
            <w:vMerge/>
            <w:tcBorders>
              <w:left w:val="nil"/>
              <w:right w:val="nil"/>
            </w:tcBorders>
          </w:tcPr>
          <w:p w14:paraId="2258F43D" w14:textId="77777777" w:rsidR="00F83E84" w:rsidRPr="00E92A04" w:rsidRDefault="00F83E84" w:rsidP="002D19FD">
            <w:pPr>
              <w:pStyle w:val="Paragraph"/>
              <w:rPr>
                <w:sz w:val="22"/>
                <w:szCs w:val="22"/>
              </w:rPr>
            </w:pPr>
          </w:p>
        </w:tc>
        <w:tc>
          <w:tcPr>
            <w:tcW w:w="1159" w:type="pct"/>
            <w:tcBorders>
              <w:top w:val="nil"/>
              <w:left w:val="nil"/>
              <w:right w:val="nil"/>
            </w:tcBorders>
          </w:tcPr>
          <w:p w14:paraId="499E8D18" w14:textId="77777777" w:rsidR="00F83E84" w:rsidRPr="00E92A04" w:rsidRDefault="00F83E84" w:rsidP="002D19FD">
            <w:pPr>
              <w:pStyle w:val="Paragraph"/>
              <w:rPr>
                <w:sz w:val="22"/>
                <w:szCs w:val="22"/>
              </w:rPr>
            </w:pPr>
            <w:r w:rsidRPr="00E92A04">
              <w:rPr>
                <w:sz w:val="22"/>
                <w:szCs w:val="22"/>
              </w:rPr>
              <w:t>Stomatitis</w:t>
            </w:r>
          </w:p>
        </w:tc>
        <w:tc>
          <w:tcPr>
            <w:tcW w:w="1352" w:type="pct"/>
            <w:tcBorders>
              <w:top w:val="nil"/>
              <w:left w:val="nil"/>
              <w:right w:val="nil"/>
            </w:tcBorders>
          </w:tcPr>
          <w:p w14:paraId="6297AFC1" w14:textId="77777777" w:rsidR="00F83E84" w:rsidRPr="00E92A04" w:rsidRDefault="00F83E84" w:rsidP="002D19FD">
            <w:pPr>
              <w:pStyle w:val="Paragraph"/>
              <w:rPr>
                <w:sz w:val="22"/>
                <w:szCs w:val="22"/>
              </w:rPr>
            </w:pPr>
            <w:r w:rsidRPr="00E92A04">
              <w:rPr>
                <w:sz w:val="22"/>
                <w:szCs w:val="22"/>
              </w:rPr>
              <w:t>Common</w:t>
            </w:r>
          </w:p>
        </w:tc>
        <w:tc>
          <w:tcPr>
            <w:tcW w:w="1368" w:type="pct"/>
            <w:tcBorders>
              <w:top w:val="nil"/>
              <w:left w:val="nil"/>
              <w:right w:val="nil"/>
            </w:tcBorders>
          </w:tcPr>
          <w:p w14:paraId="703E5760" w14:textId="77777777" w:rsidR="00F83E84" w:rsidRPr="00E92A04" w:rsidRDefault="00F83E84" w:rsidP="002D19FD">
            <w:pPr>
              <w:pStyle w:val="Paragraph"/>
              <w:rPr>
                <w:sz w:val="22"/>
                <w:szCs w:val="22"/>
              </w:rPr>
            </w:pPr>
            <w:r w:rsidRPr="00E92A04">
              <w:rPr>
                <w:sz w:val="22"/>
                <w:szCs w:val="22"/>
              </w:rPr>
              <w:t>Uncommon</w:t>
            </w:r>
          </w:p>
        </w:tc>
      </w:tr>
      <w:tr w:rsidR="00F83E84" w:rsidRPr="00F83E84" w14:paraId="5EE10C33" w14:textId="77777777" w:rsidTr="00D86947">
        <w:trPr>
          <w:cantSplit/>
        </w:trPr>
        <w:tc>
          <w:tcPr>
            <w:tcW w:w="1121" w:type="pct"/>
            <w:vMerge/>
            <w:tcBorders>
              <w:left w:val="nil"/>
              <w:bottom w:val="single" w:sz="4" w:space="0" w:color="auto"/>
              <w:right w:val="nil"/>
            </w:tcBorders>
          </w:tcPr>
          <w:p w14:paraId="14B9D8D3" w14:textId="77777777" w:rsidR="00F83E84" w:rsidRPr="00E92A04" w:rsidRDefault="00F83E84" w:rsidP="002D19FD">
            <w:pPr>
              <w:pStyle w:val="Paragraph"/>
              <w:rPr>
                <w:sz w:val="22"/>
                <w:szCs w:val="22"/>
              </w:rPr>
            </w:pPr>
          </w:p>
        </w:tc>
        <w:tc>
          <w:tcPr>
            <w:tcW w:w="1159" w:type="pct"/>
            <w:tcBorders>
              <w:left w:val="nil"/>
              <w:bottom w:val="single" w:sz="4" w:space="0" w:color="auto"/>
              <w:right w:val="nil"/>
            </w:tcBorders>
          </w:tcPr>
          <w:p w14:paraId="38BFE3FB" w14:textId="77777777" w:rsidR="00F83E84" w:rsidRPr="00E92A04" w:rsidRDefault="00F83E84" w:rsidP="002D19FD">
            <w:pPr>
              <w:pStyle w:val="Paragraph"/>
              <w:rPr>
                <w:sz w:val="22"/>
                <w:szCs w:val="22"/>
              </w:rPr>
            </w:pPr>
            <w:r w:rsidRPr="00E92A04">
              <w:rPr>
                <w:sz w:val="22"/>
                <w:szCs w:val="22"/>
              </w:rPr>
              <w:t>Upper abdominal pain</w:t>
            </w:r>
          </w:p>
        </w:tc>
        <w:tc>
          <w:tcPr>
            <w:tcW w:w="1352" w:type="pct"/>
            <w:tcBorders>
              <w:left w:val="nil"/>
              <w:bottom w:val="single" w:sz="4" w:space="0" w:color="auto"/>
              <w:right w:val="nil"/>
            </w:tcBorders>
          </w:tcPr>
          <w:p w14:paraId="3499D90B" w14:textId="77777777" w:rsidR="00F83E84" w:rsidRPr="00E92A04" w:rsidRDefault="00F83E84" w:rsidP="002D19FD">
            <w:pPr>
              <w:pStyle w:val="Paragraph"/>
              <w:rPr>
                <w:sz w:val="22"/>
                <w:szCs w:val="22"/>
              </w:rPr>
            </w:pPr>
            <w:r w:rsidRPr="00E92A04">
              <w:rPr>
                <w:sz w:val="22"/>
                <w:szCs w:val="22"/>
              </w:rPr>
              <w:t>Common</w:t>
            </w:r>
          </w:p>
        </w:tc>
        <w:tc>
          <w:tcPr>
            <w:tcW w:w="1368" w:type="pct"/>
            <w:tcBorders>
              <w:left w:val="nil"/>
              <w:bottom w:val="single" w:sz="4" w:space="0" w:color="auto"/>
              <w:right w:val="nil"/>
            </w:tcBorders>
          </w:tcPr>
          <w:p w14:paraId="0D285211" w14:textId="5074F6E5" w:rsidR="00F83E84" w:rsidRPr="00E92A04" w:rsidRDefault="00F83E84" w:rsidP="002D19FD">
            <w:pPr>
              <w:pStyle w:val="Paragraph"/>
              <w:rPr>
                <w:sz w:val="22"/>
                <w:szCs w:val="22"/>
              </w:rPr>
            </w:pPr>
            <w:r w:rsidRPr="00E92A04">
              <w:rPr>
                <w:sz w:val="22"/>
                <w:szCs w:val="22"/>
              </w:rPr>
              <w:t>Uncommon</w:t>
            </w:r>
          </w:p>
        </w:tc>
      </w:tr>
      <w:tr w:rsidR="00F83E84" w:rsidRPr="00F83E84" w14:paraId="7925D551" w14:textId="77777777" w:rsidTr="00D86947">
        <w:trPr>
          <w:cantSplit/>
        </w:trPr>
        <w:tc>
          <w:tcPr>
            <w:tcW w:w="1121" w:type="pct"/>
            <w:tcBorders>
              <w:top w:val="single" w:sz="4" w:space="0" w:color="auto"/>
              <w:left w:val="nil"/>
              <w:bottom w:val="single" w:sz="4" w:space="0" w:color="auto"/>
              <w:right w:val="nil"/>
            </w:tcBorders>
          </w:tcPr>
          <w:p w14:paraId="7A9DD8F1" w14:textId="77777777" w:rsidR="00F83E84" w:rsidRPr="00E92A04" w:rsidRDefault="00F83E84" w:rsidP="002D19FD">
            <w:pPr>
              <w:pStyle w:val="Paragraph"/>
              <w:rPr>
                <w:sz w:val="22"/>
                <w:szCs w:val="22"/>
              </w:rPr>
            </w:pPr>
            <w:r w:rsidRPr="00E92A04">
              <w:rPr>
                <w:sz w:val="22"/>
                <w:szCs w:val="22"/>
              </w:rPr>
              <w:t>General disorders</w:t>
            </w:r>
          </w:p>
        </w:tc>
        <w:tc>
          <w:tcPr>
            <w:tcW w:w="1159" w:type="pct"/>
            <w:tcBorders>
              <w:top w:val="single" w:sz="4" w:space="0" w:color="auto"/>
              <w:left w:val="nil"/>
              <w:bottom w:val="single" w:sz="4" w:space="0" w:color="auto"/>
              <w:right w:val="nil"/>
            </w:tcBorders>
          </w:tcPr>
          <w:p w14:paraId="14987C48" w14:textId="127B1AAF" w:rsidR="00F83E84" w:rsidRPr="00E92A04" w:rsidRDefault="00F83E84" w:rsidP="002D19FD">
            <w:pPr>
              <w:pStyle w:val="Paragraph"/>
              <w:rPr>
                <w:sz w:val="22"/>
                <w:szCs w:val="22"/>
              </w:rPr>
            </w:pPr>
            <w:r w:rsidRPr="00E92A04">
              <w:rPr>
                <w:sz w:val="22"/>
                <w:szCs w:val="22"/>
              </w:rPr>
              <w:t>Fatigue (including asthenia)</w:t>
            </w:r>
          </w:p>
        </w:tc>
        <w:tc>
          <w:tcPr>
            <w:tcW w:w="1352" w:type="pct"/>
            <w:tcBorders>
              <w:top w:val="single" w:sz="4" w:space="0" w:color="auto"/>
              <w:left w:val="nil"/>
              <w:bottom w:val="single" w:sz="4" w:space="0" w:color="auto"/>
              <w:right w:val="nil"/>
            </w:tcBorders>
          </w:tcPr>
          <w:p w14:paraId="38E48AD5" w14:textId="32309B3D" w:rsidR="00F83E84" w:rsidRPr="00E92A04" w:rsidRDefault="00F83E84" w:rsidP="002D19FD">
            <w:pPr>
              <w:pStyle w:val="Paragraph"/>
              <w:rPr>
                <w:sz w:val="22"/>
                <w:szCs w:val="22"/>
              </w:rPr>
            </w:pPr>
            <w:r w:rsidRPr="00E92A04">
              <w:rPr>
                <w:sz w:val="22"/>
                <w:szCs w:val="22"/>
              </w:rPr>
              <w:t>Very common</w:t>
            </w:r>
          </w:p>
        </w:tc>
        <w:tc>
          <w:tcPr>
            <w:tcW w:w="1368" w:type="pct"/>
            <w:tcBorders>
              <w:top w:val="single" w:sz="4" w:space="0" w:color="auto"/>
              <w:left w:val="nil"/>
              <w:bottom w:val="single" w:sz="4" w:space="0" w:color="auto"/>
              <w:right w:val="nil"/>
            </w:tcBorders>
          </w:tcPr>
          <w:p w14:paraId="32AEDB75" w14:textId="0DC04A28" w:rsidR="00F83E84" w:rsidRPr="00E92A04" w:rsidRDefault="00F83E84" w:rsidP="002D19FD">
            <w:pPr>
              <w:pStyle w:val="Paragraph"/>
              <w:rPr>
                <w:sz w:val="22"/>
                <w:szCs w:val="22"/>
              </w:rPr>
            </w:pPr>
            <w:r w:rsidRPr="00E92A04">
              <w:rPr>
                <w:sz w:val="22"/>
                <w:szCs w:val="22"/>
              </w:rPr>
              <w:t>Common</w:t>
            </w:r>
          </w:p>
        </w:tc>
      </w:tr>
      <w:tr w:rsidR="00D86947" w:rsidRPr="00F83E84" w14:paraId="7F234476" w14:textId="77777777" w:rsidTr="00D86947">
        <w:trPr>
          <w:cantSplit/>
          <w:trHeight w:val="341"/>
        </w:trPr>
        <w:tc>
          <w:tcPr>
            <w:tcW w:w="1121" w:type="pct"/>
            <w:vMerge w:val="restart"/>
            <w:tcBorders>
              <w:top w:val="nil"/>
              <w:left w:val="nil"/>
              <w:right w:val="nil"/>
            </w:tcBorders>
          </w:tcPr>
          <w:p w14:paraId="3B757F02" w14:textId="77777777" w:rsidR="00D86947" w:rsidRPr="00E92A04" w:rsidRDefault="00D86947" w:rsidP="002D19FD">
            <w:pPr>
              <w:pStyle w:val="Paragraph"/>
              <w:rPr>
                <w:sz w:val="22"/>
                <w:szCs w:val="22"/>
              </w:rPr>
            </w:pPr>
            <w:r w:rsidRPr="00E92A04">
              <w:rPr>
                <w:sz w:val="22"/>
                <w:szCs w:val="22"/>
                <w:lang w:val="en-AU"/>
              </w:rPr>
              <w:t>Investigations</w:t>
            </w:r>
          </w:p>
        </w:tc>
        <w:tc>
          <w:tcPr>
            <w:tcW w:w="1159" w:type="pct"/>
            <w:tcBorders>
              <w:top w:val="nil"/>
              <w:left w:val="nil"/>
              <w:right w:val="nil"/>
            </w:tcBorders>
          </w:tcPr>
          <w:p w14:paraId="25964FDD" w14:textId="68D29E7B" w:rsidR="00D86947" w:rsidRPr="00E92A04" w:rsidRDefault="00D86947" w:rsidP="002D19FD">
            <w:pPr>
              <w:pStyle w:val="Paragraph"/>
              <w:rPr>
                <w:sz w:val="22"/>
                <w:szCs w:val="22"/>
              </w:rPr>
            </w:pPr>
            <w:r w:rsidRPr="00703423">
              <w:rPr>
                <w:sz w:val="22"/>
                <w:szCs w:val="22"/>
              </w:rPr>
              <w:t xml:space="preserve">Increase in creatinine </w:t>
            </w:r>
          </w:p>
        </w:tc>
        <w:tc>
          <w:tcPr>
            <w:tcW w:w="1352" w:type="pct"/>
            <w:tcBorders>
              <w:top w:val="nil"/>
              <w:left w:val="nil"/>
              <w:right w:val="nil"/>
            </w:tcBorders>
          </w:tcPr>
          <w:p w14:paraId="1282867D" w14:textId="1FE1A71F" w:rsidR="00D86947" w:rsidRPr="00E92A04" w:rsidRDefault="00D86947" w:rsidP="002D19FD">
            <w:pPr>
              <w:pStyle w:val="Paragraph"/>
              <w:rPr>
                <w:sz w:val="22"/>
                <w:szCs w:val="22"/>
              </w:rPr>
            </w:pPr>
            <w:r w:rsidRPr="00E92A04">
              <w:rPr>
                <w:sz w:val="22"/>
                <w:szCs w:val="22"/>
              </w:rPr>
              <w:t>Common</w:t>
            </w:r>
            <w:r>
              <w:rPr>
                <w:sz w:val="22"/>
                <w:szCs w:val="22"/>
              </w:rPr>
              <w:t xml:space="preserve"> </w:t>
            </w:r>
          </w:p>
        </w:tc>
        <w:tc>
          <w:tcPr>
            <w:tcW w:w="1368" w:type="pct"/>
            <w:tcBorders>
              <w:top w:val="nil"/>
              <w:left w:val="nil"/>
              <w:right w:val="nil"/>
            </w:tcBorders>
          </w:tcPr>
          <w:p w14:paraId="346E1B8A" w14:textId="3F76ACE2" w:rsidR="00D86947" w:rsidRPr="00E92A04" w:rsidRDefault="00D86947" w:rsidP="002D19FD">
            <w:pPr>
              <w:pStyle w:val="Paragraph"/>
              <w:rPr>
                <w:sz w:val="22"/>
                <w:szCs w:val="22"/>
              </w:rPr>
            </w:pPr>
            <w:r w:rsidRPr="004B217C">
              <w:rPr>
                <w:sz w:val="22"/>
                <w:szCs w:val="22"/>
              </w:rPr>
              <w:t>Uncommon</w:t>
            </w:r>
            <w:r w:rsidRPr="004B217C" w:rsidDel="004B217C">
              <w:rPr>
                <w:sz w:val="22"/>
                <w:szCs w:val="22"/>
              </w:rPr>
              <w:t xml:space="preserve"> </w:t>
            </w:r>
          </w:p>
        </w:tc>
      </w:tr>
      <w:tr w:rsidR="00A74C20" w:rsidRPr="00F83E84" w14:paraId="17D807F1" w14:textId="77777777" w:rsidTr="00EA65E3">
        <w:trPr>
          <w:cantSplit/>
        </w:trPr>
        <w:tc>
          <w:tcPr>
            <w:tcW w:w="1121" w:type="pct"/>
            <w:vMerge/>
            <w:tcBorders>
              <w:left w:val="nil"/>
              <w:bottom w:val="single" w:sz="4" w:space="0" w:color="auto"/>
              <w:right w:val="nil"/>
            </w:tcBorders>
          </w:tcPr>
          <w:p w14:paraId="374B8562" w14:textId="77777777" w:rsidR="00A74C20" w:rsidRPr="00E92A04" w:rsidRDefault="00A74C20" w:rsidP="002D19FD">
            <w:pPr>
              <w:pStyle w:val="Paragraph"/>
              <w:rPr>
                <w:sz w:val="22"/>
                <w:szCs w:val="22"/>
              </w:rPr>
            </w:pPr>
          </w:p>
        </w:tc>
        <w:tc>
          <w:tcPr>
            <w:tcW w:w="1159" w:type="pct"/>
            <w:tcBorders>
              <w:top w:val="nil"/>
              <w:left w:val="nil"/>
              <w:bottom w:val="single" w:sz="4" w:space="0" w:color="auto"/>
              <w:right w:val="nil"/>
            </w:tcBorders>
          </w:tcPr>
          <w:p w14:paraId="6748D485" w14:textId="50A54826" w:rsidR="00A74C20" w:rsidRPr="00E92A04" w:rsidRDefault="00703423" w:rsidP="00703423">
            <w:pPr>
              <w:pStyle w:val="Paragraph"/>
              <w:rPr>
                <w:sz w:val="22"/>
                <w:szCs w:val="22"/>
              </w:rPr>
            </w:pPr>
            <w:r w:rsidRPr="00703423">
              <w:rPr>
                <w:sz w:val="22"/>
                <w:szCs w:val="22"/>
              </w:rPr>
              <w:t xml:space="preserve">Mean corpuscular volume elevation </w:t>
            </w:r>
            <w:r w:rsidR="00A74C20" w:rsidRPr="00E92A04">
              <w:rPr>
                <w:sz w:val="22"/>
                <w:szCs w:val="22"/>
                <w:vertAlign w:val="superscript"/>
              </w:rPr>
              <w:t>,</w:t>
            </w:r>
          </w:p>
        </w:tc>
        <w:tc>
          <w:tcPr>
            <w:tcW w:w="1352" w:type="pct"/>
            <w:tcBorders>
              <w:top w:val="nil"/>
              <w:left w:val="nil"/>
              <w:bottom w:val="single" w:sz="4" w:space="0" w:color="auto"/>
              <w:right w:val="nil"/>
            </w:tcBorders>
          </w:tcPr>
          <w:p w14:paraId="700DDCF0" w14:textId="39E997A2" w:rsidR="00A74C20" w:rsidRPr="00E92A04" w:rsidRDefault="00703423" w:rsidP="002D19FD">
            <w:pPr>
              <w:pStyle w:val="Paragraph"/>
              <w:rPr>
                <w:sz w:val="22"/>
                <w:szCs w:val="22"/>
              </w:rPr>
            </w:pPr>
            <w:r w:rsidRPr="00703423">
              <w:rPr>
                <w:sz w:val="22"/>
                <w:szCs w:val="22"/>
              </w:rPr>
              <w:t>Uncommon</w:t>
            </w:r>
          </w:p>
        </w:tc>
        <w:tc>
          <w:tcPr>
            <w:tcW w:w="1368" w:type="pct"/>
            <w:tcBorders>
              <w:top w:val="nil"/>
              <w:left w:val="nil"/>
              <w:bottom w:val="single" w:sz="4" w:space="0" w:color="auto"/>
              <w:right w:val="nil"/>
            </w:tcBorders>
          </w:tcPr>
          <w:p w14:paraId="5EE1CF3C" w14:textId="332DBE34" w:rsidR="00A74C20" w:rsidRPr="00E92A04" w:rsidRDefault="00A74C20" w:rsidP="002D19FD">
            <w:pPr>
              <w:pStyle w:val="Paragraph"/>
              <w:rPr>
                <w:sz w:val="22"/>
                <w:szCs w:val="22"/>
              </w:rPr>
            </w:pPr>
            <w:r w:rsidRPr="00E92A04">
              <w:rPr>
                <w:sz w:val="22"/>
                <w:szCs w:val="22"/>
              </w:rPr>
              <w:t>-</w:t>
            </w:r>
          </w:p>
        </w:tc>
      </w:tr>
    </w:tbl>
    <w:p w14:paraId="5939CFD2" w14:textId="61DC7B57" w:rsidR="004144FE" w:rsidRDefault="004144FE" w:rsidP="004144FE">
      <w:pPr>
        <w:pStyle w:val="TableFootnoteLetter"/>
      </w:pPr>
      <w:bookmarkStart w:id="16" w:name="_Hlk513039566"/>
      <w:r w:rsidRPr="004B217C">
        <w:t>Anaemia includes preferred terms (PTs) of anaemia, haemoglobin decreased, red blood cell count decreased, and haematocrit decreased; Neutropenia includes PTs of neutropenia, granulocytopenia, granulocyte count decreased, neutrophil count decreased, febrile neutropenia and neutropenic sepsis; Thrombocytopenia includes PTs of thrombocytopenia, platelet count decreased and plateletcrit decreased; Leukopenia includes PTs of leukopenia and white blood cell count decreased; Rash includes PTs of rash, rash erythematous, rash generalised, rash macular, rash maculo-papular, rash papular, rash pruritic, exfoliative rash and generalised erythema; Hypersensitivity includes PTs of hypersensitivity and drug hypersensitivity; Dermatitis includes PTs of dermatitis, dermatitis allergic and dermatitis</w:t>
      </w:r>
      <w:bookmarkEnd w:id="16"/>
      <w:r w:rsidR="001B006F">
        <w:t xml:space="preserve"> exfoliative</w:t>
      </w:r>
      <w:r w:rsidRPr="004144FE">
        <w:t>.</w:t>
      </w:r>
    </w:p>
    <w:p w14:paraId="6D563C96" w14:textId="397B08A3" w:rsidR="004144FE" w:rsidRDefault="004144FE" w:rsidP="00FC1847">
      <w:pPr>
        <w:pStyle w:val="Paragraph"/>
      </w:pPr>
    </w:p>
    <w:p w14:paraId="0A377908" w14:textId="7D1C9617" w:rsidR="00E92A04" w:rsidRDefault="00E92A04" w:rsidP="00E92A04">
      <w:pPr>
        <w:pStyle w:val="Heading3Unnumbered"/>
      </w:pPr>
      <w:r w:rsidRPr="00E92A04">
        <w:t>Description of selected adverse reactions</w:t>
      </w:r>
    </w:p>
    <w:p w14:paraId="4CFAF39C" w14:textId="008D7213" w:rsidR="004144FE" w:rsidRDefault="004144FE" w:rsidP="004144FE">
      <w:pPr>
        <w:pStyle w:val="Heading4Unnumbered"/>
      </w:pPr>
      <w:r w:rsidRPr="00E92A04">
        <w:t>Haematological toxicity</w:t>
      </w:r>
    </w:p>
    <w:p w14:paraId="52607572" w14:textId="77777777" w:rsidR="004144FE" w:rsidRDefault="004144FE" w:rsidP="004144FE">
      <w:pPr>
        <w:pStyle w:val="Paragraph"/>
      </w:pPr>
      <w:r>
        <w:t>Anaemia and other haematological toxicities are generally low grade (CTCAE grade 1 or 2), however, there are reports of CTCAE grade 3 and higher events.  Anaemia was the most common CTCAE grade ≥3 adverse reaction reported in clinical studies with first onset generally reported in the first 3 months of treatment.  An exposure-response relationship between olaparib and decreases in haemoglobin has been demonstrated.  In clinical studies with LYNPARZA the incidence of CTCAE grade ≥2 shifts (decreases) from baseline in haemoglobin was 20%, absolute neutrophils 15%, platelets 5%, lymphocytes 30% and leucocytes 20% (all % approximate).</w:t>
      </w:r>
    </w:p>
    <w:p w14:paraId="59868515" w14:textId="77777777" w:rsidR="004144FE" w:rsidRDefault="004144FE" w:rsidP="004144FE">
      <w:pPr>
        <w:pStyle w:val="Paragraph"/>
      </w:pPr>
      <w:r>
        <w:t>The incidence of elevations in mean corpuscular volume from low or normal at baseline to above the upper limit of normal was approximately 55%.  Levels appeared to return to normal after treatment discontinuation and did not appear to have any clinical consequences.</w:t>
      </w:r>
    </w:p>
    <w:p w14:paraId="18AC5B56" w14:textId="77777777" w:rsidR="004144FE" w:rsidRDefault="004144FE" w:rsidP="004144FE">
      <w:pPr>
        <w:pStyle w:val="Paragraph"/>
      </w:pPr>
      <w:r>
        <w:t>Baseline testing, followed by monthly monitoring, of complete blood counts is recommended for the first 12 months of treatment, and periodically after this time, to monitor for clinically significant changes in any parameter during treatment which may require dose interruption or reduction and/or further treatment (</w:t>
      </w:r>
      <w:r w:rsidRPr="001B7CFF">
        <w:t xml:space="preserve">see </w:t>
      </w:r>
      <w:r>
        <w:t xml:space="preserve">Section </w:t>
      </w:r>
      <w:r w:rsidRPr="001B7CFF">
        <w:t>4.4 - Special warnings and precautions for use and</w:t>
      </w:r>
      <w:r>
        <w:t xml:space="preserve"> Section</w:t>
      </w:r>
      <w:r w:rsidRPr="001B7CFF">
        <w:t xml:space="preserve"> 4.2 - Dose and method of administration.)</w:t>
      </w:r>
    </w:p>
    <w:p w14:paraId="2738AA84" w14:textId="77777777" w:rsidR="004144FE" w:rsidRDefault="004144FE" w:rsidP="004144FE">
      <w:pPr>
        <w:pStyle w:val="Heading3Unnumbered"/>
      </w:pPr>
      <w:r>
        <w:t>Other laboratory findings</w:t>
      </w:r>
    </w:p>
    <w:p w14:paraId="26278735" w14:textId="1A21E616" w:rsidR="004144FE" w:rsidRDefault="004144FE" w:rsidP="002D19FD">
      <w:pPr>
        <w:pStyle w:val="Paragraph"/>
      </w:pPr>
      <w:r>
        <w:t>In clinical studies with LYNPARZA the incidence of CTCAE grade ≥2 shifts (elevations) from baseline in blood creatinine was approximately 15%.  Data from a double-blind placebo-controlled study showed median increase up to 23% from baseline remaining consistent over time and returning to baseline after treatment discontinuation, with no apparent clinical sequelae.  90% of patients had creatinine values of CTCAE grade 0 at baseline and 10% were CTCAE grade 1 at baseline.</w:t>
      </w:r>
    </w:p>
    <w:p w14:paraId="6AB3246D" w14:textId="09685E32" w:rsidR="00AE034C" w:rsidRDefault="00AE034C" w:rsidP="00AE034C">
      <w:pPr>
        <w:pStyle w:val="Heading3Unnumbered"/>
      </w:pPr>
      <w:r>
        <w:t>Nausea and vomiting</w:t>
      </w:r>
    </w:p>
    <w:p w14:paraId="23AB41AD" w14:textId="4F69895D" w:rsidR="00AE034C" w:rsidRPr="00AE034C" w:rsidRDefault="00AE034C" w:rsidP="00AE034C">
      <w:pPr>
        <w:pStyle w:val="Paragraph"/>
      </w:pPr>
      <w:r>
        <w:t>Nausea was generally reported very early, with first onset within the first month of LYNPARZA treatment in the majority of patients.  Vomiting was reported early, with first onset within the first two months of LYNPARZA treatment in the majority of patients.  Both nausea and vomiting were reported to be intermittent for the majority of patients.</w:t>
      </w:r>
    </w:p>
    <w:p w14:paraId="55948DE8" w14:textId="5A1D3AC4" w:rsidR="004C4757" w:rsidRPr="00FC1847" w:rsidRDefault="004C4757" w:rsidP="00C51443">
      <w:pPr>
        <w:pStyle w:val="Heading3Unnumbered"/>
      </w:pPr>
      <w:r w:rsidRPr="00FC1847">
        <w:lastRenderedPageBreak/>
        <w:t>Reporting suspected adverse effects</w:t>
      </w:r>
    </w:p>
    <w:p w14:paraId="1ECD8611" w14:textId="5F157494" w:rsidR="001D3AF3" w:rsidRPr="00446EDD" w:rsidRDefault="004C4757" w:rsidP="004C4757">
      <w:pPr>
        <w:pStyle w:val="Paragraph"/>
      </w:pPr>
      <w:r w:rsidRPr="00FC1847">
        <w:rPr>
          <w:lang w:val="en-AU"/>
        </w:rP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8" w:history="1">
        <w:r w:rsidRPr="00FC1847">
          <w:rPr>
            <w:rStyle w:val="Hyperlink"/>
            <w:lang w:val="en-AU"/>
          </w:rPr>
          <w:t>www.tga.gov.au/reporting-problem</w:t>
        </w:r>
        <w:r w:rsidRPr="00C51443">
          <w:rPr>
            <w:rStyle w:val="Hyperlink"/>
          </w:rPr>
          <w:t>s</w:t>
        </w:r>
      </w:hyperlink>
      <w:r w:rsidRPr="00FC1847">
        <w:rPr>
          <w:lang w:val="en-AU"/>
        </w:rPr>
        <w:t>.</w:t>
      </w:r>
    </w:p>
    <w:p w14:paraId="4D9CED6D" w14:textId="799F6B1D" w:rsidR="001A3992" w:rsidRDefault="001A3992" w:rsidP="00CD331E">
      <w:pPr>
        <w:pStyle w:val="Heading2"/>
        <w:tabs>
          <w:tab w:val="clear" w:pos="1134"/>
          <w:tab w:val="num" w:pos="720"/>
        </w:tabs>
        <w:ind w:left="720" w:hanging="720"/>
      </w:pPr>
      <w:r w:rsidRPr="00377337">
        <w:t>Overdose</w:t>
      </w:r>
    </w:p>
    <w:p w14:paraId="73DD42E6" w14:textId="3A252F61" w:rsidR="00AE034C" w:rsidRPr="00AE034C" w:rsidRDefault="00AE034C" w:rsidP="00AE034C">
      <w:pPr>
        <w:pStyle w:val="Paragraph"/>
      </w:pPr>
      <w:r>
        <w:t>Symptoms of overdose are not established and there is no specific treatment in the event of LYNPARZA overdose.  In the event of an overdose, physicians should follow general supportive measures and should treat the patient symptomatically.</w:t>
      </w:r>
    </w:p>
    <w:p w14:paraId="184D51BB" w14:textId="7284CCD9" w:rsidR="001D3AF3" w:rsidRDefault="006C44D9" w:rsidP="001D3AF3">
      <w:pPr>
        <w:pStyle w:val="Paragraph"/>
      </w:pPr>
      <w:bookmarkStart w:id="17" w:name="_Hlk513040215"/>
      <w:r w:rsidRPr="00FC1847">
        <w:t>For information on the management of overdose, contact the Poison Information Centre on 131126 (Australia).</w:t>
      </w:r>
    </w:p>
    <w:p w14:paraId="6BB391E6" w14:textId="7E0B903D" w:rsidR="00E905F7" w:rsidRDefault="00E905F7" w:rsidP="001D3AF3">
      <w:pPr>
        <w:pStyle w:val="Paragraph"/>
      </w:pPr>
    </w:p>
    <w:p w14:paraId="1CA97BC8" w14:textId="77777777" w:rsidR="00E905F7" w:rsidRDefault="00E905F7" w:rsidP="001D3AF3">
      <w:pPr>
        <w:pStyle w:val="Paragraph"/>
      </w:pPr>
    </w:p>
    <w:bookmarkEnd w:id="17"/>
    <w:p w14:paraId="77B321CA" w14:textId="77777777" w:rsidR="001A3992" w:rsidRPr="00377337" w:rsidRDefault="001A3992" w:rsidP="00CD331E">
      <w:pPr>
        <w:pStyle w:val="Heading1"/>
        <w:keepNext w:val="0"/>
        <w:tabs>
          <w:tab w:val="clear" w:pos="1134"/>
          <w:tab w:val="num" w:pos="720"/>
        </w:tabs>
        <w:ind w:left="720" w:hanging="720"/>
      </w:pPr>
      <w:r w:rsidRPr="00377337">
        <w:t>Pharmacological properties</w:t>
      </w:r>
    </w:p>
    <w:p w14:paraId="2E243E51" w14:textId="77777777" w:rsidR="001A3992" w:rsidRPr="00377337" w:rsidRDefault="007403BD" w:rsidP="00CD331E">
      <w:pPr>
        <w:pStyle w:val="Heading2"/>
        <w:tabs>
          <w:tab w:val="clear" w:pos="1134"/>
          <w:tab w:val="num" w:pos="720"/>
        </w:tabs>
        <w:ind w:left="720" w:hanging="720"/>
      </w:pPr>
      <w:r>
        <w:t>Pharmacodynamic properties</w:t>
      </w:r>
    </w:p>
    <w:p w14:paraId="3F776DB0" w14:textId="77777777" w:rsidR="001A3992" w:rsidRDefault="001A3992" w:rsidP="0026491B">
      <w:pPr>
        <w:pStyle w:val="Heading3Unnumbered"/>
      </w:pPr>
      <w:r w:rsidRPr="00377337">
        <w:t>Mechanism of action</w:t>
      </w:r>
    </w:p>
    <w:p w14:paraId="0B08DF99" w14:textId="12AC235D" w:rsidR="005A4AAE" w:rsidRDefault="005A4AAE" w:rsidP="005A4AAE">
      <w:pPr>
        <w:pStyle w:val="Paragraph"/>
      </w:pPr>
      <w:r>
        <w:t xml:space="preserve">Olaparib is </w:t>
      </w:r>
      <w:r w:rsidRPr="00C51443">
        <w:t xml:space="preserve">an </w:t>
      </w:r>
      <w:r w:rsidR="006C44D9" w:rsidRPr="00C51443">
        <w:t>orally active</w:t>
      </w:r>
      <w:r w:rsidR="006C44D9">
        <w:t xml:space="preserve"> </w:t>
      </w:r>
      <w:r>
        <w:t>inhibitor of human poly (ADP-ribose) polymerase enzymes (PARP-1, PARP-2,</w:t>
      </w:r>
      <w:r w:rsidR="0024684F">
        <w:t xml:space="preserve"> </w:t>
      </w:r>
      <w:r>
        <w:t xml:space="preserve">and PARP-3), and has been shown to inhibit the growth of selected tumour cell lines </w:t>
      </w:r>
      <w:r w:rsidRPr="005A4AAE">
        <w:rPr>
          <w:i/>
        </w:rPr>
        <w:t>in vitro</w:t>
      </w:r>
      <w:r>
        <w:t xml:space="preserve"> and tumour growth in mice either as a standalone treatment or in combination with established chemotherapies.</w:t>
      </w:r>
    </w:p>
    <w:p w14:paraId="05D8735E" w14:textId="5A7D728D" w:rsidR="005A4AAE" w:rsidRDefault="005A4AAE" w:rsidP="00A85490">
      <w:pPr>
        <w:pStyle w:val="Paragraph"/>
      </w:pPr>
      <w:r>
        <w:t>PARP enzymes are required for the efficient repair of DNA single strand breaks and an important aspect of PARP-induced repair requires that after chromatin modification, PARP auto-modifies itself and dissociates from the DNA to facilitate access for base excision repair (BER) enzymes.  When olaparib is bound to the active site of DNA-associated PARP it prevents the dissociation of PARP and traps it on the DNA, thus blocking repair.  In replicating cells this leads to DNA double strand breaks (DSBs) when replication forks meet the PARP-DNA adduct</w:t>
      </w:r>
      <w:r w:rsidR="00A85490">
        <w:t>s</w:t>
      </w:r>
      <w:r>
        <w:t xml:space="preserve">.  In normal cells, homologous recombination repair (HRR) </w:t>
      </w:r>
      <w:r w:rsidR="00A85490" w:rsidRPr="00A85490">
        <w:rPr>
          <w:lang w:val="en-AU"/>
        </w:rPr>
        <w:t>pathway</w:t>
      </w:r>
      <w:r>
        <w:t xml:space="preserve"> is effective at repairing these DNA double-strand breaks. </w:t>
      </w:r>
      <w:r w:rsidR="00E07B43">
        <w:t xml:space="preserve"> </w:t>
      </w:r>
      <w:bookmarkStart w:id="18" w:name="_Hlk513040595"/>
      <w:r w:rsidR="00A85490" w:rsidRPr="00A85490">
        <w:t>In cancers that lack functional components of HRR, such as BRCA1 or 2, DNA DSBs cannot be repaired accurately or effectively.</w:t>
      </w:r>
      <w:bookmarkEnd w:id="18"/>
      <w:r>
        <w:t xml:space="preserve">  Instead, alternative and error-prone pathways are activated, such as the non-homologous end joining (NHEJ) pathway, leading to increased genomic instability.  After a number of rounds of replication, genomic instability can reach insupportable levels and result in cancer cell death, as cancer cells </w:t>
      </w:r>
      <w:r w:rsidR="00A85490" w:rsidRPr="00A85490">
        <w:t>already</w:t>
      </w:r>
      <w:r>
        <w:t xml:space="preserve"> have a high DNA damage load relative to normal cells. </w:t>
      </w:r>
      <w:r w:rsidR="0024684F">
        <w:t xml:space="preserve"> </w:t>
      </w:r>
      <w:bookmarkStart w:id="19" w:name="_Hlk513040769"/>
      <w:r w:rsidR="0024684F" w:rsidRPr="0024684F">
        <w:t xml:space="preserve">In the absence of </w:t>
      </w:r>
      <w:r w:rsidR="0024684F" w:rsidRPr="00FC1847">
        <w:rPr>
          <w:i/>
        </w:rPr>
        <w:t>BRCA1</w:t>
      </w:r>
      <w:r w:rsidR="0024684F" w:rsidRPr="0024684F">
        <w:t xml:space="preserve"> or </w:t>
      </w:r>
      <w:r w:rsidR="0024684F" w:rsidRPr="00FC1847">
        <w:rPr>
          <w:i/>
        </w:rPr>
        <w:t>BRCA2</w:t>
      </w:r>
      <w:r w:rsidR="0024684F" w:rsidRPr="0024684F">
        <w:t xml:space="preserve"> mutations, HRR pathway may be compromised by other mechanisms, although the causative aberrancy and penetrance are not fully elucidated.  Absence of fully functional HRR pathway is one of the key determinants of platinum sensitivity in ovarian and other cancers.</w:t>
      </w:r>
      <w:bookmarkEnd w:id="19"/>
      <w:r w:rsidR="0024684F">
        <w:t xml:space="preserve"> </w:t>
      </w:r>
    </w:p>
    <w:p w14:paraId="2837DFB9" w14:textId="5940A68E" w:rsidR="005A4AAE" w:rsidRDefault="005A4AAE" w:rsidP="005A4AAE">
      <w:pPr>
        <w:pStyle w:val="Paragraph"/>
      </w:pPr>
      <w:r>
        <w:t>In BRCA-deficient animal models, olaparib given after platinum treatment resulted in a delay in tumour progression and an increase in overall survival compared to platinum treatment alone.</w:t>
      </w:r>
    </w:p>
    <w:p w14:paraId="1B18B0C2" w14:textId="257B312E" w:rsidR="007403BD" w:rsidRPr="007403BD" w:rsidRDefault="005A4AAE" w:rsidP="005A4AAE">
      <w:pPr>
        <w:pStyle w:val="Paragraph"/>
      </w:pPr>
      <w:r>
        <w:lastRenderedPageBreak/>
        <w:t>There was no correlation between the dose and degree of PARP-1 inhibition observed in the pharmacodynamic studies, with maximal inhibition achieved at relatively low doses.  Therefore, the dose selection was based upon the higher clinical response rates observed at higher doses.</w:t>
      </w:r>
    </w:p>
    <w:p w14:paraId="1D41B189" w14:textId="77777777" w:rsidR="001A3992" w:rsidRDefault="001A3992" w:rsidP="0026491B">
      <w:pPr>
        <w:pStyle w:val="Heading3Unnumbered"/>
      </w:pPr>
      <w:r w:rsidRPr="00377337">
        <w:t>Clinical trials</w:t>
      </w:r>
    </w:p>
    <w:p w14:paraId="04A323F3" w14:textId="4B873A29" w:rsidR="007403BD" w:rsidRDefault="00C36C0F" w:rsidP="00751313">
      <w:pPr>
        <w:pStyle w:val="Heading3Unnumbered"/>
      </w:pPr>
      <w:r w:rsidRPr="00751313">
        <w:t>Platinum</w:t>
      </w:r>
      <w:r>
        <w:t>-</w:t>
      </w:r>
      <w:r w:rsidR="00751313" w:rsidRPr="00751313">
        <w:t>sensitive relapsed (PSR) ovarian cancer</w:t>
      </w:r>
    </w:p>
    <w:p w14:paraId="7499602F" w14:textId="77777777" w:rsidR="00B07F7B" w:rsidRPr="00B07F7B" w:rsidRDefault="00B07F7B" w:rsidP="0076578D">
      <w:pPr>
        <w:pStyle w:val="Paragraph"/>
        <w:tabs>
          <w:tab w:val="left" w:pos="360"/>
        </w:tabs>
      </w:pPr>
      <w:bookmarkStart w:id="20" w:name="_Hlk513045383"/>
      <w:r w:rsidRPr="00B07F7B">
        <w:t xml:space="preserve">The efficacy of LYNPARZA in the maintenance treatment setting in platinum-sensitive relapsed (PSR) ovarian, fallopian tube or primary peritoneal cancer is supported by two randomised, double-blind, placebo-controlled trials in patients with PSR and BRCA-mutated disease (SOLO2) and in patients with PSR disease (Study 19).  In both studies, PSR patients who were in response following completion of platinum-based chemotherapy and whose disease had recurred &gt;6 months after completion of penultimate platinum-based chemotherapy were enrolled.  Patients could not have received prior olaparib or other PARP inhibitor treatment.  Patients could have received prior bevacizumab, except in the regimen immediately prior to randomisation.  Patients with BRCA mutations were identified either from germline testing in blood via a local test or the Myriad CLIA Integrated </w:t>
      </w:r>
      <w:proofErr w:type="spellStart"/>
      <w:r w:rsidRPr="00B07F7B">
        <w:t>BRAC</w:t>
      </w:r>
      <w:r w:rsidRPr="00C51443">
        <w:rPr>
          <w:i/>
        </w:rPr>
        <w:t>Analysis</w:t>
      </w:r>
      <w:proofErr w:type="spellEnd"/>
      <w:r w:rsidRPr="00B07F7B">
        <w:rPr>
          <w:vertAlign w:val="superscript"/>
        </w:rPr>
        <w:t>®</w:t>
      </w:r>
      <w:r w:rsidRPr="00B07F7B">
        <w:t xml:space="preserve"> test or from testing a tumour sample using a local test or a test performed by Foundation Medicine.</w:t>
      </w:r>
    </w:p>
    <w:bookmarkEnd w:id="20"/>
    <w:p w14:paraId="573E738F" w14:textId="77777777" w:rsidR="00B07F7B" w:rsidRDefault="00B07F7B" w:rsidP="00B07F7B">
      <w:pPr>
        <w:pStyle w:val="Heading4Unnumbered"/>
      </w:pPr>
      <w:r w:rsidRPr="00EA5FFC">
        <w:t xml:space="preserve">SOLO2 </w:t>
      </w:r>
      <w:r w:rsidRPr="00526F84">
        <w:t>Study</w:t>
      </w:r>
      <w:r w:rsidRPr="00EA5FFC">
        <w:t xml:space="preserve"> (D0816C00002) in PSR patients with a BRCA mutation</w:t>
      </w:r>
    </w:p>
    <w:p w14:paraId="11E420C6" w14:textId="027F6BFA" w:rsidR="00B07F7B" w:rsidRDefault="00B07F7B" w:rsidP="00B07F7B">
      <w:pPr>
        <w:pStyle w:val="Paragraph"/>
      </w:pPr>
      <w:r>
        <w:t xml:space="preserve">The study compared the efficacy of LYNPARZA maintenance treatment </w:t>
      </w:r>
      <w:r w:rsidR="000A62D4">
        <w:t>(</w:t>
      </w:r>
      <w:r>
        <w:t xml:space="preserve">300 mg </w:t>
      </w:r>
      <w:r w:rsidR="000A62D4">
        <w:t>[</w:t>
      </w:r>
      <w:r>
        <w:t>2 x 150 mg tablets</w:t>
      </w:r>
      <w:r w:rsidR="000A62D4">
        <w:t>]</w:t>
      </w:r>
      <w:r>
        <w:t xml:space="preserve"> twice daily</w:t>
      </w:r>
      <w:r w:rsidR="00B56438">
        <w:t>)</w:t>
      </w:r>
      <w:r>
        <w:t xml:space="preserve"> taken to progression with placebo treatment in 295 patients with high-grade serous or endometrioid PSR ovarian cancer (2:1 randomisation: 196 olaparib and 99 placebo) who were in response (CR [complete response] or PR [partial response]) following completion of platinum-containing chemotherapy.  All patients had evidence of germline BRCA mutation (</w:t>
      </w:r>
      <w:r w:rsidRPr="00C51443">
        <w:rPr>
          <w:i/>
        </w:rPr>
        <w:t>gBRCAm</w:t>
      </w:r>
      <w:r>
        <w:t xml:space="preserve">) at baseline. </w:t>
      </w:r>
    </w:p>
    <w:p w14:paraId="77CA0E03" w14:textId="77777777" w:rsidR="00B07F7B" w:rsidRDefault="00B07F7B" w:rsidP="00B07F7B">
      <w:pPr>
        <w:pStyle w:val="Paragraph"/>
      </w:pPr>
      <w:r>
        <w:t xml:space="preserve">The primary endpoint was progression-free survival (PFS) determined by investigator assessment using Response Evaluation Criteria in Solid </w:t>
      </w:r>
      <w:proofErr w:type="spellStart"/>
      <w:r>
        <w:t>Tumors</w:t>
      </w:r>
      <w:proofErr w:type="spellEnd"/>
      <w:r>
        <w:t xml:space="preserve"> (RECIST) 1.1.  Secondary efficacy endpoints included time from randomisation to second progression or death (PFS2); OS (overall survival), time from randomisation to discontinuation of treatment or death (TDT), time from randomisation to first subsequent anti-cancer therapy or death (TFST), time from randomisation to start of second subsequent anti-cancer therapy or death (TSST); and health related quality of life (HRQoL).</w:t>
      </w:r>
    </w:p>
    <w:p w14:paraId="1D88913D" w14:textId="77777777" w:rsidR="00B07F7B" w:rsidRDefault="00B07F7B" w:rsidP="00B07F7B">
      <w:pPr>
        <w:pStyle w:val="Paragraph"/>
      </w:pPr>
      <w:r>
        <w:t>The study met its primary objective demonstrating a clinically meaningful and statistically significant improvement in investigator assessed PFS for olaparib compared with placebo with a HR of 0.30 (95% CI 0.22-0.41; p&lt;0.0001; median 19.1 months for olaparib vs. 5.5 months for placebo).  The investigator assessment of PFS was supported with a blinded independent central radiological review of PFS (HR 0.25; 95% CI 0.18-0.35; p&lt;0.0001; median 30.2 months for olaparib vs. 5.5 months for placebo).  At 2 years, 43% olaparib treated patients remained progression-free compared with only 15% placebo-treated patients.  A clinically meaningful and statistically significant improvement in PFS2 was also observed with a HR of 0.50 (95% CI 0.34-0.72; p=0.0002; median not reached for olaparib vs. 18.4 months for placebo) indicating that the benefit observed with olaparib continued to be evident even with the use of subsequent therapies.  Interim OS was immature with events in only 24% patients (HR 0.80; 95% CI 0.50-1.31; p=0.4267; medians not reached).  Clinically meaningful and statistically significant improvements in TDT, TFST and TSST were also observed for olaparib-treated patients (Table 3).</w:t>
      </w:r>
    </w:p>
    <w:p w14:paraId="44158368" w14:textId="07A37482" w:rsidR="00B07F7B" w:rsidRDefault="00B07F7B" w:rsidP="006A6677">
      <w:pPr>
        <w:pStyle w:val="Paragraph"/>
      </w:pPr>
      <w:r>
        <w:t>A summary of key efficacy findings for patients with gBRCAm PSR ovarian cancer in SOLO2 is presented in Table 3.</w:t>
      </w:r>
    </w:p>
    <w:p w14:paraId="6F577CD6" w14:textId="03CC9D32" w:rsidR="005B486D" w:rsidRDefault="005B486D">
      <w:pPr>
        <w:pStyle w:val="TableTitle"/>
        <w:tabs>
          <w:tab w:val="clear" w:pos="1701"/>
          <w:tab w:val="left" w:pos="1080"/>
        </w:tabs>
        <w:ind w:left="1080" w:hanging="1080"/>
      </w:pPr>
      <w:bookmarkStart w:id="21" w:name="_Hlk513045700"/>
      <w:r>
        <w:lastRenderedPageBreak/>
        <w:t>Table 3</w:t>
      </w:r>
      <w:r>
        <w:tab/>
      </w:r>
      <w:r w:rsidRPr="006A6677">
        <w:t>Summary of key efficacy findings for patients with gBRCAm PSR ovarian cancer in SOLO2</w:t>
      </w:r>
      <w:bookmarkEnd w:id="21"/>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2693"/>
        <w:gridCol w:w="2126"/>
      </w:tblGrid>
      <w:tr w:rsidR="005B486D" w:rsidRPr="007E2898" w14:paraId="10D6F503" w14:textId="77777777" w:rsidTr="001C4C83">
        <w:tc>
          <w:tcPr>
            <w:tcW w:w="4503" w:type="dxa"/>
            <w:tcBorders>
              <w:top w:val="single" w:sz="12" w:space="0" w:color="auto"/>
              <w:left w:val="nil"/>
              <w:right w:val="nil"/>
            </w:tcBorders>
            <w:shd w:val="clear" w:color="auto" w:fill="auto"/>
          </w:tcPr>
          <w:p w14:paraId="5EE20CE3" w14:textId="77777777" w:rsidR="005B486D" w:rsidRPr="007E2898" w:rsidRDefault="005B486D" w:rsidP="001C4C83">
            <w:pPr>
              <w:pStyle w:val="TableHead"/>
              <w:rPr>
                <w:sz w:val="22"/>
                <w:szCs w:val="22"/>
              </w:rPr>
            </w:pPr>
          </w:p>
        </w:tc>
        <w:tc>
          <w:tcPr>
            <w:tcW w:w="2693" w:type="dxa"/>
            <w:tcBorders>
              <w:top w:val="single" w:sz="12" w:space="0" w:color="auto"/>
              <w:left w:val="nil"/>
              <w:right w:val="nil"/>
            </w:tcBorders>
            <w:shd w:val="clear" w:color="auto" w:fill="auto"/>
          </w:tcPr>
          <w:p w14:paraId="211540C1" w14:textId="77777777" w:rsidR="005B486D" w:rsidRPr="007E2898" w:rsidRDefault="005B486D" w:rsidP="001C4C83">
            <w:pPr>
              <w:pStyle w:val="TableHead"/>
              <w:rPr>
                <w:sz w:val="22"/>
                <w:szCs w:val="22"/>
              </w:rPr>
            </w:pPr>
            <w:r w:rsidRPr="007E2898">
              <w:rPr>
                <w:sz w:val="22"/>
                <w:szCs w:val="22"/>
              </w:rPr>
              <w:t>LYNPARZA tablet</w:t>
            </w:r>
            <w:r w:rsidRPr="007E2898">
              <w:rPr>
                <w:sz w:val="22"/>
                <w:szCs w:val="22"/>
              </w:rPr>
              <w:br/>
              <w:t>300 mg bd</w:t>
            </w:r>
          </w:p>
        </w:tc>
        <w:tc>
          <w:tcPr>
            <w:tcW w:w="2126" w:type="dxa"/>
            <w:tcBorders>
              <w:top w:val="single" w:sz="12" w:space="0" w:color="auto"/>
              <w:left w:val="nil"/>
              <w:right w:val="nil"/>
            </w:tcBorders>
            <w:shd w:val="clear" w:color="auto" w:fill="auto"/>
          </w:tcPr>
          <w:p w14:paraId="4761DFE3" w14:textId="77777777" w:rsidR="005B486D" w:rsidRPr="007E2898" w:rsidRDefault="005B486D" w:rsidP="001C4C83">
            <w:pPr>
              <w:pStyle w:val="TableHead"/>
              <w:rPr>
                <w:sz w:val="22"/>
                <w:szCs w:val="22"/>
              </w:rPr>
            </w:pPr>
            <w:r w:rsidRPr="007E2898">
              <w:rPr>
                <w:sz w:val="22"/>
                <w:szCs w:val="22"/>
              </w:rPr>
              <w:t>Placebo</w:t>
            </w:r>
          </w:p>
        </w:tc>
      </w:tr>
      <w:tr w:rsidR="005B486D" w:rsidRPr="007E2898" w14:paraId="1C6AD25D" w14:textId="77777777" w:rsidTr="001C4C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9322" w:type="dxa"/>
            <w:gridSpan w:val="3"/>
            <w:tcBorders>
              <w:top w:val="single" w:sz="8" w:space="0" w:color="auto"/>
              <w:left w:val="nil"/>
              <w:bottom w:val="single" w:sz="8" w:space="0" w:color="auto"/>
              <w:right w:val="nil"/>
            </w:tcBorders>
            <w:shd w:val="clear" w:color="auto" w:fill="E0E0E0"/>
            <w:tcMar>
              <w:top w:w="0" w:type="dxa"/>
              <w:left w:w="108" w:type="dxa"/>
              <w:bottom w:w="0" w:type="dxa"/>
              <w:right w:w="108" w:type="dxa"/>
            </w:tcMar>
            <w:hideMark/>
          </w:tcPr>
          <w:p w14:paraId="21823CFF" w14:textId="77777777" w:rsidR="005B486D" w:rsidRPr="007E2898" w:rsidRDefault="005B486D" w:rsidP="001C4C83">
            <w:pPr>
              <w:pStyle w:val="TableHead"/>
              <w:jc w:val="left"/>
              <w:rPr>
                <w:sz w:val="22"/>
                <w:szCs w:val="22"/>
              </w:rPr>
            </w:pPr>
            <w:r w:rsidRPr="007E2898">
              <w:rPr>
                <w:sz w:val="22"/>
                <w:szCs w:val="22"/>
              </w:rPr>
              <w:t>PFS (63% maturity)</w:t>
            </w:r>
          </w:p>
        </w:tc>
      </w:tr>
      <w:tr w:rsidR="005B486D" w:rsidRPr="007E2898" w14:paraId="0FB5D17D" w14:textId="77777777" w:rsidTr="001C4C83">
        <w:tc>
          <w:tcPr>
            <w:tcW w:w="4503" w:type="dxa"/>
            <w:tcBorders>
              <w:left w:val="nil"/>
              <w:bottom w:val="nil"/>
              <w:right w:val="nil"/>
            </w:tcBorders>
            <w:shd w:val="clear" w:color="auto" w:fill="auto"/>
            <w:vAlign w:val="center"/>
          </w:tcPr>
          <w:p w14:paraId="4914F773" w14:textId="77777777" w:rsidR="005B486D" w:rsidRPr="007E2898" w:rsidRDefault="005B486D" w:rsidP="001C4C83">
            <w:pPr>
              <w:pStyle w:val="TableLeft"/>
              <w:rPr>
                <w:sz w:val="22"/>
                <w:szCs w:val="22"/>
                <w:lang w:val="en-US"/>
              </w:rPr>
            </w:pPr>
            <w:r w:rsidRPr="007E2898">
              <w:rPr>
                <w:sz w:val="22"/>
                <w:szCs w:val="22"/>
              </w:rPr>
              <w:t>Number of events: Total number of patients (%)</w:t>
            </w:r>
          </w:p>
        </w:tc>
        <w:tc>
          <w:tcPr>
            <w:tcW w:w="2693" w:type="dxa"/>
            <w:tcBorders>
              <w:left w:val="nil"/>
              <w:bottom w:val="nil"/>
              <w:right w:val="nil"/>
            </w:tcBorders>
            <w:shd w:val="clear" w:color="auto" w:fill="auto"/>
            <w:vAlign w:val="center"/>
          </w:tcPr>
          <w:p w14:paraId="4465E36C" w14:textId="77777777" w:rsidR="005B486D" w:rsidRPr="007E2898" w:rsidRDefault="005B486D" w:rsidP="001C4C83">
            <w:pPr>
              <w:pStyle w:val="TableCenter"/>
              <w:rPr>
                <w:sz w:val="22"/>
                <w:szCs w:val="22"/>
                <w:lang w:val="en-US"/>
              </w:rPr>
            </w:pPr>
            <w:r w:rsidRPr="007E2898">
              <w:rPr>
                <w:sz w:val="22"/>
                <w:szCs w:val="22"/>
              </w:rPr>
              <w:t>107:196 (55)</w:t>
            </w:r>
          </w:p>
        </w:tc>
        <w:tc>
          <w:tcPr>
            <w:tcW w:w="2126" w:type="dxa"/>
            <w:tcBorders>
              <w:left w:val="nil"/>
              <w:bottom w:val="nil"/>
              <w:right w:val="nil"/>
            </w:tcBorders>
            <w:shd w:val="clear" w:color="auto" w:fill="auto"/>
            <w:vAlign w:val="center"/>
          </w:tcPr>
          <w:p w14:paraId="13D28E9D" w14:textId="77777777" w:rsidR="005B486D" w:rsidRPr="007E2898" w:rsidRDefault="005B486D" w:rsidP="001C4C83">
            <w:pPr>
              <w:pStyle w:val="TableCenter"/>
              <w:rPr>
                <w:sz w:val="22"/>
                <w:szCs w:val="22"/>
                <w:lang w:val="en-US"/>
              </w:rPr>
            </w:pPr>
            <w:r w:rsidRPr="007E2898">
              <w:rPr>
                <w:sz w:val="22"/>
                <w:szCs w:val="22"/>
              </w:rPr>
              <w:t>80:99 (81)</w:t>
            </w:r>
          </w:p>
        </w:tc>
      </w:tr>
      <w:tr w:rsidR="005B486D" w:rsidRPr="007E2898" w14:paraId="0AB32E73" w14:textId="77777777" w:rsidTr="001C4C83">
        <w:tc>
          <w:tcPr>
            <w:tcW w:w="4503" w:type="dxa"/>
            <w:tcBorders>
              <w:top w:val="nil"/>
              <w:left w:val="nil"/>
              <w:bottom w:val="nil"/>
              <w:right w:val="nil"/>
            </w:tcBorders>
            <w:shd w:val="clear" w:color="auto" w:fill="auto"/>
            <w:vAlign w:val="center"/>
          </w:tcPr>
          <w:p w14:paraId="4D326194" w14:textId="77777777" w:rsidR="005B486D" w:rsidRPr="007E2898" w:rsidRDefault="005B486D" w:rsidP="001C4C83">
            <w:pPr>
              <w:pStyle w:val="TableLeft"/>
              <w:rPr>
                <w:sz w:val="22"/>
                <w:szCs w:val="22"/>
                <w:lang w:val="en-US"/>
              </w:rPr>
            </w:pPr>
            <w:r w:rsidRPr="007E2898">
              <w:rPr>
                <w:sz w:val="22"/>
                <w:szCs w:val="22"/>
              </w:rPr>
              <w:t>Median time (months)</w:t>
            </w:r>
          </w:p>
        </w:tc>
        <w:tc>
          <w:tcPr>
            <w:tcW w:w="2693" w:type="dxa"/>
            <w:tcBorders>
              <w:top w:val="nil"/>
              <w:left w:val="nil"/>
              <w:bottom w:val="nil"/>
              <w:right w:val="nil"/>
            </w:tcBorders>
            <w:shd w:val="clear" w:color="auto" w:fill="auto"/>
            <w:vAlign w:val="center"/>
          </w:tcPr>
          <w:p w14:paraId="20D65B4F" w14:textId="77777777" w:rsidR="005B486D" w:rsidRPr="007E2898" w:rsidRDefault="005B486D" w:rsidP="001C4C83">
            <w:pPr>
              <w:pStyle w:val="TableCenter"/>
              <w:rPr>
                <w:sz w:val="22"/>
                <w:szCs w:val="22"/>
                <w:lang w:val="en-US"/>
              </w:rPr>
            </w:pPr>
            <w:r w:rsidRPr="007E2898">
              <w:rPr>
                <w:sz w:val="22"/>
                <w:szCs w:val="22"/>
              </w:rPr>
              <w:t>19.1</w:t>
            </w:r>
          </w:p>
        </w:tc>
        <w:tc>
          <w:tcPr>
            <w:tcW w:w="2126" w:type="dxa"/>
            <w:tcBorders>
              <w:top w:val="nil"/>
              <w:left w:val="nil"/>
              <w:bottom w:val="nil"/>
              <w:right w:val="nil"/>
            </w:tcBorders>
            <w:shd w:val="clear" w:color="auto" w:fill="auto"/>
            <w:vAlign w:val="center"/>
          </w:tcPr>
          <w:p w14:paraId="5A79B8CB" w14:textId="77777777" w:rsidR="005B486D" w:rsidRPr="007E2898" w:rsidRDefault="005B486D" w:rsidP="001C4C83">
            <w:pPr>
              <w:pStyle w:val="TableCenter"/>
              <w:rPr>
                <w:sz w:val="22"/>
                <w:szCs w:val="22"/>
                <w:lang w:val="en-US"/>
              </w:rPr>
            </w:pPr>
            <w:r w:rsidRPr="007E2898">
              <w:rPr>
                <w:sz w:val="22"/>
                <w:szCs w:val="22"/>
              </w:rPr>
              <w:t>5.5</w:t>
            </w:r>
          </w:p>
        </w:tc>
      </w:tr>
      <w:tr w:rsidR="005B486D" w:rsidRPr="007E2898" w14:paraId="4E941A2F" w14:textId="77777777" w:rsidTr="001C4C83">
        <w:tc>
          <w:tcPr>
            <w:tcW w:w="4503" w:type="dxa"/>
            <w:tcBorders>
              <w:top w:val="nil"/>
              <w:left w:val="nil"/>
              <w:bottom w:val="nil"/>
              <w:right w:val="nil"/>
            </w:tcBorders>
            <w:shd w:val="clear" w:color="auto" w:fill="auto"/>
            <w:vAlign w:val="center"/>
          </w:tcPr>
          <w:p w14:paraId="17099812" w14:textId="77777777" w:rsidR="005B486D" w:rsidRPr="007E2898" w:rsidRDefault="005B486D" w:rsidP="001C4C83">
            <w:pPr>
              <w:pStyle w:val="TableLeft"/>
              <w:rPr>
                <w:sz w:val="22"/>
                <w:szCs w:val="22"/>
                <w:lang w:val="en-US"/>
              </w:rPr>
            </w:pPr>
            <w:r w:rsidRPr="007E2898">
              <w:rPr>
                <w:sz w:val="22"/>
                <w:szCs w:val="22"/>
              </w:rPr>
              <w:t xml:space="preserve">HR (95% CI) </w:t>
            </w:r>
            <w:r w:rsidRPr="007E2898">
              <w:rPr>
                <w:sz w:val="22"/>
                <w:szCs w:val="22"/>
                <w:vertAlign w:val="superscript"/>
              </w:rPr>
              <w:t>a</w:t>
            </w:r>
          </w:p>
        </w:tc>
        <w:tc>
          <w:tcPr>
            <w:tcW w:w="2693" w:type="dxa"/>
            <w:tcBorders>
              <w:top w:val="nil"/>
              <w:left w:val="nil"/>
              <w:bottom w:val="nil"/>
              <w:right w:val="nil"/>
            </w:tcBorders>
            <w:shd w:val="clear" w:color="auto" w:fill="auto"/>
            <w:vAlign w:val="center"/>
          </w:tcPr>
          <w:p w14:paraId="661B970B" w14:textId="77777777" w:rsidR="005B486D" w:rsidRPr="007E2898" w:rsidRDefault="005B486D" w:rsidP="001C4C83">
            <w:pPr>
              <w:pStyle w:val="TableCenter"/>
              <w:rPr>
                <w:sz w:val="22"/>
                <w:szCs w:val="22"/>
                <w:lang w:val="en-US"/>
              </w:rPr>
            </w:pPr>
            <w:r w:rsidRPr="007E2898">
              <w:rPr>
                <w:sz w:val="22"/>
                <w:szCs w:val="22"/>
              </w:rPr>
              <w:t>0.30 (0.22-0.41)</w:t>
            </w:r>
          </w:p>
        </w:tc>
        <w:tc>
          <w:tcPr>
            <w:tcW w:w="2126" w:type="dxa"/>
            <w:tcBorders>
              <w:top w:val="nil"/>
              <w:left w:val="nil"/>
              <w:bottom w:val="nil"/>
              <w:right w:val="nil"/>
            </w:tcBorders>
            <w:shd w:val="clear" w:color="auto" w:fill="auto"/>
            <w:vAlign w:val="center"/>
          </w:tcPr>
          <w:p w14:paraId="4B7E7D27" w14:textId="77777777" w:rsidR="005B486D" w:rsidRPr="007E2898" w:rsidRDefault="005B486D" w:rsidP="001C4C83">
            <w:pPr>
              <w:pStyle w:val="TableCenter"/>
              <w:rPr>
                <w:sz w:val="22"/>
                <w:szCs w:val="22"/>
                <w:lang w:val="en-US"/>
              </w:rPr>
            </w:pPr>
          </w:p>
        </w:tc>
      </w:tr>
      <w:tr w:rsidR="005B486D" w:rsidRPr="007E2898" w14:paraId="2672E846" w14:textId="77777777" w:rsidTr="001C4C83">
        <w:tc>
          <w:tcPr>
            <w:tcW w:w="4503" w:type="dxa"/>
            <w:tcBorders>
              <w:top w:val="nil"/>
              <w:left w:val="nil"/>
              <w:right w:val="nil"/>
            </w:tcBorders>
            <w:shd w:val="clear" w:color="auto" w:fill="auto"/>
            <w:vAlign w:val="center"/>
          </w:tcPr>
          <w:p w14:paraId="22BD4ED3" w14:textId="77777777" w:rsidR="005B486D" w:rsidRPr="007E2898" w:rsidRDefault="005B486D" w:rsidP="001C4C83">
            <w:pPr>
              <w:pStyle w:val="TableLeft"/>
              <w:rPr>
                <w:sz w:val="22"/>
                <w:szCs w:val="22"/>
                <w:lang w:val="en-US"/>
              </w:rPr>
            </w:pPr>
            <w:r w:rsidRPr="007E2898">
              <w:rPr>
                <w:sz w:val="22"/>
                <w:szCs w:val="22"/>
              </w:rPr>
              <w:t>P value (2-sided)</w:t>
            </w:r>
          </w:p>
        </w:tc>
        <w:tc>
          <w:tcPr>
            <w:tcW w:w="2693" w:type="dxa"/>
            <w:tcBorders>
              <w:top w:val="nil"/>
              <w:left w:val="nil"/>
              <w:right w:val="nil"/>
            </w:tcBorders>
            <w:shd w:val="clear" w:color="auto" w:fill="auto"/>
            <w:vAlign w:val="center"/>
          </w:tcPr>
          <w:p w14:paraId="5385AEA5" w14:textId="77777777" w:rsidR="005B486D" w:rsidRPr="007E2898" w:rsidRDefault="005B486D" w:rsidP="001C4C83">
            <w:pPr>
              <w:pStyle w:val="TableCenter"/>
              <w:rPr>
                <w:sz w:val="22"/>
                <w:szCs w:val="22"/>
                <w:lang w:val="en-US"/>
              </w:rPr>
            </w:pPr>
            <w:r w:rsidRPr="007E2898">
              <w:rPr>
                <w:sz w:val="22"/>
                <w:szCs w:val="22"/>
              </w:rPr>
              <w:t>p&lt;0.0001</w:t>
            </w:r>
          </w:p>
        </w:tc>
        <w:tc>
          <w:tcPr>
            <w:tcW w:w="2126" w:type="dxa"/>
            <w:tcBorders>
              <w:top w:val="nil"/>
              <w:left w:val="nil"/>
              <w:right w:val="nil"/>
            </w:tcBorders>
            <w:shd w:val="clear" w:color="auto" w:fill="auto"/>
            <w:vAlign w:val="center"/>
          </w:tcPr>
          <w:p w14:paraId="4A89E069" w14:textId="77777777" w:rsidR="005B486D" w:rsidRPr="007E2898" w:rsidRDefault="005B486D" w:rsidP="001C4C83">
            <w:pPr>
              <w:pStyle w:val="TableCenter"/>
              <w:rPr>
                <w:sz w:val="22"/>
                <w:szCs w:val="22"/>
                <w:lang w:val="en-US"/>
              </w:rPr>
            </w:pPr>
          </w:p>
        </w:tc>
      </w:tr>
      <w:tr w:rsidR="005B486D" w:rsidRPr="007E2898" w14:paraId="046109BF" w14:textId="77777777" w:rsidTr="001C4C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9322" w:type="dxa"/>
            <w:gridSpan w:val="3"/>
            <w:tcBorders>
              <w:top w:val="single" w:sz="8" w:space="0" w:color="auto"/>
              <w:left w:val="nil"/>
              <w:bottom w:val="single" w:sz="8" w:space="0" w:color="auto"/>
              <w:right w:val="nil"/>
            </w:tcBorders>
            <w:shd w:val="clear" w:color="auto" w:fill="E0E0E0"/>
            <w:tcMar>
              <w:top w:w="0" w:type="dxa"/>
              <w:left w:w="108" w:type="dxa"/>
              <w:bottom w:w="0" w:type="dxa"/>
              <w:right w:w="108" w:type="dxa"/>
            </w:tcMar>
            <w:hideMark/>
          </w:tcPr>
          <w:p w14:paraId="21458DE3" w14:textId="77777777" w:rsidR="005B486D" w:rsidRPr="007E2898" w:rsidRDefault="005B486D" w:rsidP="001C4C83">
            <w:pPr>
              <w:pStyle w:val="TableHead"/>
              <w:jc w:val="left"/>
              <w:rPr>
                <w:sz w:val="22"/>
                <w:szCs w:val="22"/>
              </w:rPr>
            </w:pPr>
            <w:r w:rsidRPr="007E2898">
              <w:rPr>
                <w:sz w:val="22"/>
                <w:szCs w:val="22"/>
              </w:rPr>
              <w:t>PFS2 (~40% maturity)</w:t>
            </w:r>
          </w:p>
        </w:tc>
      </w:tr>
      <w:tr w:rsidR="005B486D" w:rsidRPr="007E2898" w14:paraId="75007196" w14:textId="77777777" w:rsidTr="001C4C83">
        <w:tblPrEx>
          <w:tblBorders>
            <w:left w:val="none" w:sz="0" w:space="0" w:color="auto"/>
            <w:right w:val="none" w:sz="0" w:space="0" w:color="auto"/>
          </w:tblBorders>
        </w:tblPrEx>
        <w:tc>
          <w:tcPr>
            <w:tcW w:w="4503" w:type="dxa"/>
            <w:tcBorders>
              <w:bottom w:val="nil"/>
              <w:right w:val="nil"/>
            </w:tcBorders>
            <w:shd w:val="clear" w:color="auto" w:fill="auto"/>
          </w:tcPr>
          <w:p w14:paraId="19BF946B" w14:textId="77777777" w:rsidR="005B486D" w:rsidRPr="007E2898" w:rsidRDefault="005B486D" w:rsidP="001C4C83">
            <w:pPr>
              <w:pStyle w:val="TableLeft"/>
              <w:rPr>
                <w:sz w:val="22"/>
                <w:szCs w:val="22"/>
                <w:lang w:val="en-US"/>
              </w:rPr>
            </w:pPr>
            <w:r w:rsidRPr="007E2898">
              <w:rPr>
                <w:sz w:val="22"/>
                <w:szCs w:val="22"/>
              </w:rPr>
              <w:t>Number of events: Total number of patients (%)</w:t>
            </w:r>
          </w:p>
        </w:tc>
        <w:tc>
          <w:tcPr>
            <w:tcW w:w="2693" w:type="dxa"/>
            <w:tcBorders>
              <w:left w:val="nil"/>
              <w:bottom w:val="nil"/>
              <w:right w:val="nil"/>
            </w:tcBorders>
            <w:shd w:val="clear" w:color="auto" w:fill="auto"/>
          </w:tcPr>
          <w:p w14:paraId="65AD90E7" w14:textId="77777777" w:rsidR="005B486D" w:rsidRPr="007E2898" w:rsidRDefault="005B486D" w:rsidP="001C4C83">
            <w:pPr>
              <w:pStyle w:val="TableCenter"/>
              <w:rPr>
                <w:sz w:val="22"/>
                <w:szCs w:val="22"/>
                <w:lang w:val="en-US"/>
              </w:rPr>
            </w:pPr>
            <w:r w:rsidRPr="007E2898">
              <w:rPr>
                <w:sz w:val="22"/>
                <w:szCs w:val="22"/>
              </w:rPr>
              <w:t>70:196 (36)</w:t>
            </w:r>
          </w:p>
        </w:tc>
        <w:tc>
          <w:tcPr>
            <w:tcW w:w="2126" w:type="dxa"/>
            <w:tcBorders>
              <w:left w:val="nil"/>
              <w:bottom w:val="nil"/>
            </w:tcBorders>
            <w:shd w:val="clear" w:color="auto" w:fill="auto"/>
          </w:tcPr>
          <w:p w14:paraId="4E9CEB6C" w14:textId="77777777" w:rsidR="005B486D" w:rsidRPr="007E2898" w:rsidRDefault="005B486D" w:rsidP="001C4C83">
            <w:pPr>
              <w:pStyle w:val="TableCenter"/>
              <w:rPr>
                <w:sz w:val="22"/>
                <w:szCs w:val="22"/>
                <w:lang w:val="en-US"/>
              </w:rPr>
            </w:pPr>
            <w:r w:rsidRPr="007E2898">
              <w:rPr>
                <w:sz w:val="22"/>
                <w:szCs w:val="22"/>
              </w:rPr>
              <w:t>49:99 (50)</w:t>
            </w:r>
          </w:p>
        </w:tc>
      </w:tr>
      <w:tr w:rsidR="005B486D" w:rsidRPr="007E2898" w14:paraId="5B7A2CF6" w14:textId="77777777" w:rsidTr="001C4C83">
        <w:tblPrEx>
          <w:tblBorders>
            <w:left w:val="none" w:sz="0" w:space="0" w:color="auto"/>
            <w:right w:val="none" w:sz="0" w:space="0" w:color="auto"/>
          </w:tblBorders>
        </w:tblPrEx>
        <w:tc>
          <w:tcPr>
            <w:tcW w:w="4503" w:type="dxa"/>
            <w:tcBorders>
              <w:top w:val="nil"/>
              <w:bottom w:val="nil"/>
              <w:right w:val="nil"/>
            </w:tcBorders>
            <w:shd w:val="clear" w:color="auto" w:fill="auto"/>
          </w:tcPr>
          <w:p w14:paraId="2D128227" w14:textId="77777777" w:rsidR="005B486D" w:rsidRPr="007E2898" w:rsidRDefault="005B486D" w:rsidP="001C4C83">
            <w:pPr>
              <w:pStyle w:val="TableLeft"/>
              <w:rPr>
                <w:sz w:val="22"/>
                <w:szCs w:val="22"/>
                <w:lang w:val="en-US"/>
              </w:rPr>
            </w:pPr>
            <w:r w:rsidRPr="007E2898">
              <w:rPr>
                <w:sz w:val="22"/>
                <w:szCs w:val="22"/>
              </w:rPr>
              <w:t>Median time (months)</w:t>
            </w:r>
          </w:p>
        </w:tc>
        <w:tc>
          <w:tcPr>
            <w:tcW w:w="2693" w:type="dxa"/>
            <w:tcBorders>
              <w:top w:val="nil"/>
              <w:left w:val="nil"/>
              <w:bottom w:val="nil"/>
              <w:right w:val="nil"/>
            </w:tcBorders>
            <w:shd w:val="clear" w:color="auto" w:fill="auto"/>
          </w:tcPr>
          <w:p w14:paraId="3A17D2FB" w14:textId="77777777" w:rsidR="005B486D" w:rsidRPr="007E2898" w:rsidRDefault="005B486D" w:rsidP="001C4C83">
            <w:pPr>
              <w:pStyle w:val="TableCenter"/>
              <w:rPr>
                <w:sz w:val="22"/>
                <w:szCs w:val="22"/>
                <w:lang w:val="en-US"/>
              </w:rPr>
            </w:pPr>
            <w:r w:rsidRPr="007E2898">
              <w:rPr>
                <w:sz w:val="22"/>
                <w:szCs w:val="22"/>
              </w:rPr>
              <w:t>NR</w:t>
            </w:r>
          </w:p>
        </w:tc>
        <w:tc>
          <w:tcPr>
            <w:tcW w:w="2126" w:type="dxa"/>
            <w:tcBorders>
              <w:top w:val="nil"/>
              <w:left w:val="nil"/>
              <w:bottom w:val="nil"/>
            </w:tcBorders>
            <w:shd w:val="clear" w:color="auto" w:fill="auto"/>
          </w:tcPr>
          <w:p w14:paraId="3F05C598" w14:textId="77777777" w:rsidR="005B486D" w:rsidRPr="007E2898" w:rsidRDefault="005B486D" w:rsidP="001C4C83">
            <w:pPr>
              <w:pStyle w:val="TableCenter"/>
              <w:rPr>
                <w:sz w:val="22"/>
                <w:szCs w:val="22"/>
                <w:lang w:val="en-US"/>
              </w:rPr>
            </w:pPr>
            <w:r w:rsidRPr="007E2898">
              <w:rPr>
                <w:sz w:val="22"/>
                <w:szCs w:val="22"/>
              </w:rPr>
              <w:t>18.4</w:t>
            </w:r>
          </w:p>
        </w:tc>
      </w:tr>
      <w:tr w:rsidR="005B486D" w:rsidRPr="007E2898" w14:paraId="67E4E0B9" w14:textId="77777777" w:rsidTr="001C4C83">
        <w:tblPrEx>
          <w:tblBorders>
            <w:left w:val="none" w:sz="0" w:space="0" w:color="auto"/>
            <w:right w:val="none" w:sz="0" w:space="0" w:color="auto"/>
          </w:tblBorders>
        </w:tblPrEx>
        <w:tc>
          <w:tcPr>
            <w:tcW w:w="4503" w:type="dxa"/>
            <w:tcBorders>
              <w:top w:val="nil"/>
              <w:bottom w:val="nil"/>
              <w:right w:val="nil"/>
            </w:tcBorders>
            <w:shd w:val="clear" w:color="auto" w:fill="auto"/>
          </w:tcPr>
          <w:p w14:paraId="791BC3E9" w14:textId="77777777" w:rsidR="005B486D" w:rsidRPr="007E2898" w:rsidRDefault="005B486D" w:rsidP="001C4C83">
            <w:pPr>
              <w:pStyle w:val="TableLeft"/>
              <w:rPr>
                <w:sz w:val="22"/>
                <w:szCs w:val="22"/>
                <w:lang w:val="en-US"/>
              </w:rPr>
            </w:pPr>
            <w:r w:rsidRPr="007E2898">
              <w:rPr>
                <w:sz w:val="22"/>
                <w:szCs w:val="22"/>
              </w:rPr>
              <w:t xml:space="preserve">HR (95% CI) </w:t>
            </w:r>
            <w:r w:rsidRPr="007E2898">
              <w:rPr>
                <w:sz w:val="22"/>
                <w:szCs w:val="22"/>
                <w:vertAlign w:val="superscript"/>
              </w:rPr>
              <w:t>a</w:t>
            </w:r>
          </w:p>
        </w:tc>
        <w:tc>
          <w:tcPr>
            <w:tcW w:w="2693" w:type="dxa"/>
            <w:tcBorders>
              <w:top w:val="nil"/>
              <w:left w:val="nil"/>
              <w:bottom w:val="nil"/>
              <w:right w:val="nil"/>
            </w:tcBorders>
            <w:shd w:val="clear" w:color="auto" w:fill="auto"/>
          </w:tcPr>
          <w:p w14:paraId="3937CD16" w14:textId="77777777" w:rsidR="005B486D" w:rsidRPr="007E2898" w:rsidRDefault="005B486D" w:rsidP="001C4C83">
            <w:pPr>
              <w:pStyle w:val="TableCenter"/>
              <w:rPr>
                <w:sz w:val="22"/>
                <w:szCs w:val="22"/>
                <w:lang w:val="en-US"/>
              </w:rPr>
            </w:pPr>
            <w:r w:rsidRPr="007E2898">
              <w:rPr>
                <w:sz w:val="22"/>
                <w:szCs w:val="22"/>
              </w:rPr>
              <w:t>0.50 (0.34-0.72)</w:t>
            </w:r>
          </w:p>
        </w:tc>
        <w:tc>
          <w:tcPr>
            <w:tcW w:w="2126" w:type="dxa"/>
            <w:tcBorders>
              <w:top w:val="nil"/>
              <w:left w:val="nil"/>
              <w:bottom w:val="nil"/>
            </w:tcBorders>
            <w:shd w:val="clear" w:color="auto" w:fill="auto"/>
          </w:tcPr>
          <w:p w14:paraId="2CC3A02E" w14:textId="77777777" w:rsidR="005B486D" w:rsidRPr="007E2898" w:rsidRDefault="005B486D" w:rsidP="001C4C83">
            <w:pPr>
              <w:pStyle w:val="TableCenter"/>
              <w:rPr>
                <w:sz w:val="22"/>
                <w:szCs w:val="22"/>
                <w:lang w:val="en-US"/>
              </w:rPr>
            </w:pPr>
          </w:p>
        </w:tc>
      </w:tr>
      <w:tr w:rsidR="005B486D" w:rsidRPr="007E2898" w14:paraId="18112084" w14:textId="77777777" w:rsidTr="001C4C83">
        <w:tblPrEx>
          <w:tblBorders>
            <w:left w:val="none" w:sz="0" w:space="0" w:color="auto"/>
            <w:right w:val="none" w:sz="0" w:space="0" w:color="auto"/>
          </w:tblBorders>
        </w:tblPrEx>
        <w:tc>
          <w:tcPr>
            <w:tcW w:w="4503" w:type="dxa"/>
            <w:tcBorders>
              <w:top w:val="nil"/>
              <w:right w:val="nil"/>
            </w:tcBorders>
            <w:shd w:val="clear" w:color="auto" w:fill="auto"/>
          </w:tcPr>
          <w:p w14:paraId="528DF525" w14:textId="77777777" w:rsidR="005B486D" w:rsidRPr="007E2898" w:rsidRDefault="005B486D" w:rsidP="001C4C83">
            <w:pPr>
              <w:pStyle w:val="TableLeft"/>
              <w:rPr>
                <w:sz w:val="22"/>
                <w:szCs w:val="22"/>
                <w:lang w:val="en-US"/>
              </w:rPr>
            </w:pPr>
            <w:r w:rsidRPr="007E2898">
              <w:rPr>
                <w:sz w:val="22"/>
                <w:szCs w:val="22"/>
              </w:rPr>
              <w:t>P value (2-sided)</w:t>
            </w:r>
          </w:p>
        </w:tc>
        <w:tc>
          <w:tcPr>
            <w:tcW w:w="2693" w:type="dxa"/>
            <w:tcBorders>
              <w:top w:val="nil"/>
              <w:left w:val="nil"/>
              <w:right w:val="nil"/>
            </w:tcBorders>
            <w:shd w:val="clear" w:color="auto" w:fill="auto"/>
          </w:tcPr>
          <w:p w14:paraId="2B026169" w14:textId="77777777" w:rsidR="005B486D" w:rsidRPr="007E2898" w:rsidRDefault="005B486D" w:rsidP="001C4C83">
            <w:pPr>
              <w:pStyle w:val="TableCenter"/>
              <w:rPr>
                <w:sz w:val="22"/>
                <w:szCs w:val="22"/>
                <w:lang w:val="en-US"/>
              </w:rPr>
            </w:pPr>
            <w:r w:rsidRPr="007E2898">
              <w:rPr>
                <w:sz w:val="22"/>
                <w:szCs w:val="22"/>
              </w:rPr>
              <w:t>p=0.0002</w:t>
            </w:r>
          </w:p>
        </w:tc>
        <w:tc>
          <w:tcPr>
            <w:tcW w:w="2126" w:type="dxa"/>
            <w:tcBorders>
              <w:top w:val="nil"/>
              <w:left w:val="nil"/>
            </w:tcBorders>
            <w:shd w:val="clear" w:color="auto" w:fill="auto"/>
          </w:tcPr>
          <w:p w14:paraId="155FD23D" w14:textId="77777777" w:rsidR="005B486D" w:rsidRPr="007E2898" w:rsidRDefault="005B486D" w:rsidP="001C4C83">
            <w:pPr>
              <w:pStyle w:val="TableCenter"/>
              <w:rPr>
                <w:sz w:val="22"/>
                <w:szCs w:val="22"/>
                <w:lang w:val="en-US"/>
              </w:rPr>
            </w:pPr>
          </w:p>
        </w:tc>
      </w:tr>
      <w:tr w:rsidR="005B486D" w:rsidRPr="007E2898" w14:paraId="329A187F" w14:textId="77777777" w:rsidTr="001C4C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9322" w:type="dxa"/>
            <w:gridSpan w:val="3"/>
            <w:tcBorders>
              <w:top w:val="single" w:sz="8" w:space="0" w:color="auto"/>
              <w:left w:val="nil"/>
              <w:bottom w:val="single" w:sz="8" w:space="0" w:color="auto"/>
              <w:right w:val="nil"/>
            </w:tcBorders>
            <w:shd w:val="clear" w:color="auto" w:fill="E0E0E0"/>
            <w:tcMar>
              <w:top w:w="0" w:type="dxa"/>
              <w:left w:w="108" w:type="dxa"/>
              <w:bottom w:w="0" w:type="dxa"/>
              <w:right w:w="108" w:type="dxa"/>
            </w:tcMar>
            <w:hideMark/>
          </w:tcPr>
          <w:p w14:paraId="64191DD3" w14:textId="77777777" w:rsidR="005B486D" w:rsidRPr="007E2898" w:rsidRDefault="005B486D" w:rsidP="001C4C83">
            <w:pPr>
              <w:pStyle w:val="TableHead"/>
              <w:jc w:val="left"/>
              <w:rPr>
                <w:sz w:val="22"/>
                <w:szCs w:val="22"/>
              </w:rPr>
            </w:pPr>
            <w:r w:rsidRPr="007E2898">
              <w:rPr>
                <w:sz w:val="22"/>
                <w:szCs w:val="22"/>
              </w:rPr>
              <w:t>Interim OS (24% maturity)</w:t>
            </w:r>
          </w:p>
        </w:tc>
      </w:tr>
      <w:tr w:rsidR="005B486D" w:rsidRPr="007E2898" w14:paraId="184B7ED9" w14:textId="77777777" w:rsidTr="001C4C83">
        <w:tblPrEx>
          <w:tblBorders>
            <w:left w:val="none" w:sz="0" w:space="0" w:color="auto"/>
            <w:bottom w:val="single" w:sz="12" w:space="0" w:color="auto"/>
            <w:right w:val="none" w:sz="0" w:space="0" w:color="auto"/>
          </w:tblBorders>
        </w:tblPrEx>
        <w:tc>
          <w:tcPr>
            <w:tcW w:w="4503" w:type="dxa"/>
            <w:tcBorders>
              <w:bottom w:val="nil"/>
              <w:right w:val="nil"/>
            </w:tcBorders>
            <w:shd w:val="clear" w:color="auto" w:fill="auto"/>
          </w:tcPr>
          <w:p w14:paraId="5CAA88BE" w14:textId="77777777" w:rsidR="005B486D" w:rsidRPr="007E2898" w:rsidRDefault="005B486D" w:rsidP="001C4C83">
            <w:pPr>
              <w:pStyle w:val="TableLeft"/>
              <w:rPr>
                <w:sz w:val="22"/>
                <w:szCs w:val="22"/>
                <w:lang w:val="en-US"/>
              </w:rPr>
            </w:pPr>
            <w:r w:rsidRPr="007E2898">
              <w:rPr>
                <w:sz w:val="22"/>
                <w:szCs w:val="22"/>
              </w:rPr>
              <w:t>Number of events: Total number of patients (%)</w:t>
            </w:r>
          </w:p>
        </w:tc>
        <w:tc>
          <w:tcPr>
            <w:tcW w:w="2693" w:type="dxa"/>
            <w:tcBorders>
              <w:left w:val="nil"/>
              <w:bottom w:val="nil"/>
              <w:right w:val="nil"/>
            </w:tcBorders>
            <w:shd w:val="clear" w:color="auto" w:fill="auto"/>
          </w:tcPr>
          <w:p w14:paraId="154CBB3D" w14:textId="77777777" w:rsidR="005B486D" w:rsidRPr="007E2898" w:rsidRDefault="005B486D" w:rsidP="001C4C83">
            <w:pPr>
              <w:pStyle w:val="TableCenter"/>
              <w:rPr>
                <w:sz w:val="22"/>
                <w:szCs w:val="22"/>
                <w:lang w:val="en-US"/>
              </w:rPr>
            </w:pPr>
            <w:r w:rsidRPr="007E2898">
              <w:rPr>
                <w:sz w:val="22"/>
                <w:szCs w:val="22"/>
                <w:lang w:val="en-US"/>
              </w:rPr>
              <w:t>45:196 (23)</w:t>
            </w:r>
          </w:p>
        </w:tc>
        <w:tc>
          <w:tcPr>
            <w:tcW w:w="2126" w:type="dxa"/>
            <w:tcBorders>
              <w:left w:val="nil"/>
              <w:bottom w:val="nil"/>
            </w:tcBorders>
            <w:shd w:val="clear" w:color="auto" w:fill="auto"/>
          </w:tcPr>
          <w:p w14:paraId="3BB7E150" w14:textId="77777777" w:rsidR="005B486D" w:rsidRPr="007E2898" w:rsidRDefault="005B486D" w:rsidP="001C4C83">
            <w:pPr>
              <w:pStyle w:val="TableCenter"/>
              <w:rPr>
                <w:sz w:val="22"/>
                <w:szCs w:val="22"/>
                <w:lang w:val="en-US"/>
              </w:rPr>
            </w:pPr>
            <w:r w:rsidRPr="007E2898">
              <w:rPr>
                <w:sz w:val="22"/>
                <w:szCs w:val="22"/>
                <w:lang w:val="en-US"/>
              </w:rPr>
              <w:t>27:99 (27)</w:t>
            </w:r>
            <w:r w:rsidRPr="007E2898">
              <w:rPr>
                <w:sz w:val="22"/>
                <w:szCs w:val="22"/>
                <w:vertAlign w:val="superscript"/>
                <w:lang w:val="en-US"/>
              </w:rPr>
              <w:t>b</w:t>
            </w:r>
          </w:p>
        </w:tc>
      </w:tr>
      <w:tr w:rsidR="005B486D" w:rsidRPr="007E2898" w14:paraId="305D989A" w14:textId="77777777" w:rsidTr="001C4C83">
        <w:tblPrEx>
          <w:tblBorders>
            <w:left w:val="none" w:sz="0" w:space="0" w:color="auto"/>
            <w:bottom w:val="single" w:sz="12" w:space="0" w:color="auto"/>
            <w:right w:val="none" w:sz="0" w:space="0" w:color="auto"/>
          </w:tblBorders>
        </w:tblPrEx>
        <w:tc>
          <w:tcPr>
            <w:tcW w:w="4503" w:type="dxa"/>
            <w:tcBorders>
              <w:top w:val="nil"/>
              <w:bottom w:val="nil"/>
              <w:right w:val="nil"/>
            </w:tcBorders>
            <w:shd w:val="clear" w:color="auto" w:fill="auto"/>
          </w:tcPr>
          <w:p w14:paraId="234E1AEF" w14:textId="77777777" w:rsidR="005B486D" w:rsidRPr="007E2898" w:rsidRDefault="005B486D" w:rsidP="001C4C83">
            <w:pPr>
              <w:pStyle w:val="TableLeft"/>
              <w:rPr>
                <w:sz w:val="22"/>
                <w:szCs w:val="22"/>
                <w:lang w:val="en-US"/>
              </w:rPr>
            </w:pPr>
            <w:r w:rsidRPr="007E2898">
              <w:rPr>
                <w:sz w:val="22"/>
                <w:szCs w:val="22"/>
              </w:rPr>
              <w:t>Median time (months)</w:t>
            </w:r>
          </w:p>
        </w:tc>
        <w:tc>
          <w:tcPr>
            <w:tcW w:w="2693" w:type="dxa"/>
            <w:tcBorders>
              <w:top w:val="nil"/>
              <w:left w:val="nil"/>
              <w:bottom w:val="nil"/>
              <w:right w:val="nil"/>
            </w:tcBorders>
            <w:shd w:val="clear" w:color="auto" w:fill="auto"/>
          </w:tcPr>
          <w:p w14:paraId="066BFCF9" w14:textId="77777777" w:rsidR="005B486D" w:rsidRPr="007E2898" w:rsidRDefault="005B486D" w:rsidP="001C4C83">
            <w:pPr>
              <w:pStyle w:val="TableCenter"/>
              <w:rPr>
                <w:sz w:val="22"/>
                <w:szCs w:val="22"/>
                <w:lang w:val="en-US"/>
              </w:rPr>
            </w:pPr>
            <w:r w:rsidRPr="007E2898">
              <w:rPr>
                <w:sz w:val="22"/>
                <w:szCs w:val="22"/>
                <w:lang w:val="en-US"/>
              </w:rPr>
              <w:t>NR</w:t>
            </w:r>
          </w:p>
        </w:tc>
        <w:tc>
          <w:tcPr>
            <w:tcW w:w="2126" w:type="dxa"/>
            <w:tcBorders>
              <w:top w:val="nil"/>
              <w:left w:val="nil"/>
              <w:bottom w:val="nil"/>
            </w:tcBorders>
            <w:shd w:val="clear" w:color="auto" w:fill="auto"/>
          </w:tcPr>
          <w:p w14:paraId="77D48E22" w14:textId="77777777" w:rsidR="005B486D" w:rsidRPr="007E2898" w:rsidRDefault="005B486D" w:rsidP="001C4C83">
            <w:pPr>
              <w:pStyle w:val="TableCenter"/>
              <w:rPr>
                <w:sz w:val="22"/>
                <w:szCs w:val="22"/>
                <w:lang w:val="en-US"/>
              </w:rPr>
            </w:pPr>
            <w:r w:rsidRPr="007E2898">
              <w:rPr>
                <w:sz w:val="22"/>
                <w:szCs w:val="22"/>
                <w:lang w:val="en-US"/>
              </w:rPr>
              <w:t>NR</w:t>
            </w:r>
          </w:p>
        </w:tc>
      </w:tr>
      <w:tr w:rsidR="005B486D" w:rsidRPr="007E2898" w14:paraId="274D13EB" w14:textId="77777777" w:rsidTr="001C4C83">
        <w:tblPrEx>
          <w:tblBorders>
            <w:left w:val="none" w:sz="0" w:space="0" w:color="auto"/>
            <w:bottom w:val="single" w:sz="12" w:space="0" w:color="auto"/>
            <w:right w:val="none" w:sz="0" w:space="0" w:color="auto"/>
          </w:tblBorders>
        </w:tblPrEx>
        <w:tc>
          <w:tcPr>
            <w:tcW w:w="4503" w:type="dxa"/>
            <w:tcBorders>
              <w:top w:val="nil"/>
              <w:bottom w:val="nil"/>
              <w:right w:val="nil"/>
            </w:tcBorders>
            <w:shd w:val="clear" w:color="auto" w:fill="auto"/>
          </w:tcPr>
          <w:p w14:paraId="11B4154E" w14:textId="77777777" w:rsidR="005B486D" w:rsidRPr="007E2898" w:rsidRDefault="005B486D" w:rsidP="001C4C83">
            <w:pPr>
              <w:pStyle w:val="TableLeft"/>
              <w:rPr>
                <w:sz w:val="22"/>
                <w:szCs w:val="22"/>
                <w:lang w:val="en-US"/>
              </w:rPr>
            </w:pPr>
            <w:r w:rsidRPr="007E2898">
              <w:rPr>
                <w:sz w:val="22"/>
                <w:szCs w:val="22"/>
              </w:rPr>
              <w:t xml:space="preserve">HR (95% CI) </w:t>
            </w:r>
            <w:r w:rsidRPr="007E2898">
              <w:rPr>
                <w:sz w:val="22"/>
                <w:szCs w:val="22"/>
                <w:vertAlign w:val="superscript"/>
              </w:rPr>
              <w:t>a</w:t>
            </w:r>
          </w:p>
        </w:tc>
        <w:tc>
          <w:tcPr>
            <w:tcW w:w="2693" w:type="dxa"/>
            <w:tcBorders>
              <w:top w:val="nil"/>
              <w:left w:val="nil"/>
              <w:bottom w:val="nil"/>
              <w:right w:val="nil"/>
            </w:tcBorders>
            <w:shd w:val="clear" w:color="auto" w:fill="auto"/>
          </w:tcPr>
          <w:p w14:paraId="44A1FE25" w14:textId="77777777" w:rsidR="005B486D" w:rsidRPr="007E2898" w:rsidRDefault="005B486D" w:rsidP="001C4C83">
            <w:pPr>
              <w:pStyle w:val="TableCenter"/>
              <w:rPr>
                <w:sz w:val="22"/>
                <w:szCs w:val="22"/>
                <w:lang w:val="en-US"/>
              </w:rPr>
            </w:pPr>
            <w:r w:rsidRPr="007E2898">
              <w:rPr>
                <w:sz w:val="22"/>
                <w:szCs w:val="22"/>
              </w:rPr>
              <w:t>0.80 (0.50-1.31)</w:t>
            </w:r>
          </w:p>
        </w:tc>
        <w:tc>
          <w:tcPr>
            <w:tcW w:w="2126" w:type="dxa"/>
            <w:tcBorders>
              <w:top w:val="nil"/>
              <w:left w:val="nil"/>
              <w:bottom w:val="nil"/>
            </w:tcBorders>
            <w:shd w:val="clear" w:color="auto" w:fill="auto"/>
          </w:tcPr>
          <w:p w14:paraId="159F9CBF" w14:textId="77777777" w:rsidR="005B486D" w:rsidRPr="007E2898" w:rsidRDefault="005B486D" w:rsidP="001C4C83">
            <w:pPr>
              <w:pStyle w:val="TableCenter"/>
              <w:rPr>
                <w:sz w:val="22"/>
                <w:szCs w:val="22"/>
                <w:lang w:val="en-US"/>
              </w:rPr>
            </w:pPr>
          </w:p>
        </w:tc>
      </w:tr>
      <w:tr w:rsidR="005B486D" w:rsidRPr="007E2898" w14:paraId="7967B2CF" w14:textId="77777777" w:rsidTr="001C4C83">
        <w:tblPrEx>
          <w:tblBorders>
            <w:left w:val="none" w:sz="0" w:space="0" w:color="auto"/>
            <w:bottom w:val="single" w:sz="12" w:space="0" w:color="auto"/>
            <w:right w:val="none" w:sz="0" w:space="0" w:color="auto"/>
          </w:tblBorders>
        </w:tblPrEx>
        <w:tc>
          <w:tcPr>
            <w:tcW w:w="4503" w:type="dxa"/>
            <w:tcBorders>
              <w:top w:val="nil"/>
              <w:right w:val="nil"/>
            </w:tcBorders>
            <w:shd w:val="clear" w:color="auto" w:fill="auto"/>
          </w:tcPr>
          <w:p w14:paraId="5301F19E" w14:textId="77777777" w:rsidR="005B486D" w:rsidRPr="007E2898" w:rsidRDefault="005B486D" w:rsidP="001C4C83">
            <w:pPr>
              <w:pStyle w:val="TableLeft"/>
              <w:rPr>
                <w:sz w:val="22"/>
                <w:szCs w:val="22"/>
                <w:lang w:val="en-US"/>
              </w:rPr>
            </w:pPr>
            <w:r w:rsidRPr="007E2898">
              <w:rPr>
                <w:sz w:val="22"/>
                <w:szCs w:val="22"/>
              </w:rPr>
              <w:t>P value (2-sided)</w:t>
            </w:r>
          </w:p>
        </w:tc>
        <w:tc>
          <w:tcPr>
            <w:tcW w:w="2693" w:type="dxa"/>
            <w:tcBorders>
              <w:top w:val="nil"/>
              <w:left w:val="nil"/>
              <w:bottom w:val="single" w:sz="2" w:space="0" w:color="auto"/>
              <w:right w:val="nil"/>
            </w:tcBorders>
            <w:shd w:val="clear" w:color="auto" w:fill="auto"/>
          </w:tcPr>
          <w:p w14:paraId="0C9F0CAC" w14:textId="77777777" w:rsidR="005B486D" w:rsidRPr="007E2898" w:rsidRDefault="005B486D" w:rsidP="001C4C83">
            <w:pPr>
              <w:pStyle w:val="TableCenter"/>
              <w:rPr>
                <w:sz w:val="22"/>
                <w:szCs w:val="22"/>
                <w:lang w:val="en-US"/>
              </w:rPr>
            </w:pPr>
            <w:r w:rsidRPr="007E2898">
              <w:rPr>
                <w:sz w:val="22"/>
                <w:szCs w:val="22"/>
              </w:rPr>
              <w:t>p=0.4267</w:t>
            </w:r>
          </w:p>
        </w:tc>
        <w:tc>
          <w:tcPr>
            <w:tcW w:w="2126" w:type="dxa"/>
            <w:tcBorders>
              <w:top w:val="nil"/>
              <w:left w:val="nil"/>
            </w:tcBorders>
            <w:shd w:val="clear" w:color="auto" w:fill="auto"/>
          </w:tcPr>
          <w:p w14:paraId="4CB5E6E5" w14:textId="77777777" w:rsidR="005B486D" w:rsidRPr="007E2898" w:rsidRDefault="005B486D" w:rsidP="001C4C83">
            <w:pPr>
              <w:pStyle w:val="TableCenter"/>
              <w:rPr>
                <w:sz w:val="22"/>
                <w:szCs w:val="22"/>
                <w:lang w:val="en-US"/>
              </w:rPr>
            </w:pPr>
          </w:p>
        </w:tc>
      </w:tr>
      <w:tr w:rsidR="005B486D" w:rsidRPr="007E2898" w14:paraId="3003674E" w14:textId="77777777" w:rsidTr="001C4C83">
        <w:tblPrEx>
          <w:tblBorders>
            <w:top w:val="single" w:sz="8" w:space="0" w:color="auto"/>
            <w:left w:val="none" w:sz="0" w:space="0" w:color="auto"/>
            <w:bottom w:val="single" w:sz="12" w:space="0" w:color="auto"/>
            <w:right w:val="none" w:sz="0" w:space="0" w:color="auto"/>
            <w:insideH w:val="none" w:sz="0" w:space="0" w:color="auto"/>
            <w:insideV w:val="none" w:sz="0" w:space="0" w:color="auto"/>
          </w:tblBorders>
          <w:tblCellMar>
            <w:left w:w="0" w:type="dxa"/>
            <w:right w:w="0" w:type="dxa"/>
          </w:tblCellMar>
        </w:tblPrEx>
        <w:trPr>
          <w:cantSplit/>
        </w:trPr>
        <w:tc>
          <w:tcPr>
            <w:tcW w:w="9322" w:type="dxa"/>
            <w:gridSpan w:val="3"/>
            <w:tcBorders>
              <w:top w:val="nil"/>
              <w:bottom w:val="single" w:sz="4" w:space="0" w:color="auto"/>
            </w:tcBorders>
            <w:shd w:val="clear" w:color="auto" w:fill="E0E0E0"/>
            <w:tcMar>
              <w:top w:w="0" w:type="dxa"/>
              <w:left w:w="108" w:type="dxa"/>
              <w:bottom w:w="0" w:type="dxa"/>
              <w:right w:w="108" w:type="dxa"/>
            </w:tcMar>
            <w:hideMark/>
          </w:tcPr>
          <w:p w14:paraId="1A43A451" w14:textId="77777777" w:rsidR="005B486D" w:rsidRPr="007E2898" w:rsidRDefault="005B486D" w:rsidP="001C4C83">
            <w:pPr>
              <w:pStyle w:val="TableHead"/>
              <w:jc w:val="left"/>
              <w:rPr>
                <w:sz w:val="22"/>
                <w:szCs w:val="22"/>
              </w:rPr>
            </w:pPr>
            <w:r w:rsidRPr="007E2898">
              <w:rPr>
                <w:sz w:val="22"/>
                <w:szCs w:val="22"/>
              </w:rPr>
              <w:t>TFST</w:t>
            </w:r>
          </w:p>
        </w:tc>
      </w:tr>
      <w:tr w:rsidR="005B486D" w:rsidRPr="007E2898" w14:paraId="6D592493" w14:textId="77777777" w:rsidTr="001C4C83">
        <w:tc>
          <w:tcPr>
            <w:tcW w:w="4503" w:type="dxa"/>
            <w:tcBorders>
              <w:top w:val="nil"/>
              <w:left w:val="nil"/>
              <w:bottom w:val="nil"/>
              <w:right w:val="nil"/>
            </w:tcBorders>
            <w:shd w:val="clear" w:color="auto" w:fill="auto"/>
            <w:vAlign w:val="center"/>
          </w:tcPr>
          <w:p w14:paraId="0D9EF7CD" w14:textId="77777777" w:rsidR="005B486D" w:rsidRPr="007E2898" w:rsidRDefault="005B486D" w:rsidP="001C4C83">
            <w:pPr>
              <w:pStyle w:val="TableLeft"/>
              <w:rPr>
                <w:sz w:val="22"/>
                <w:szCs w:val="22"/>
              </w:rPr>
            </w:pPr>
            <w:r w:rsidRPr="007E2898">
              <w:rPr>
                <w:sz w:val="22"/>
                <w:szCs w:val="22"/>
              </w:rPr>
              <w:t>Number of events: Total number of patients (%)</w:t>
            </w:r>
          </w:p>
        </w:tc>
        <w:tc>
          <w:tcPr>
            <w:tcW w:w="2693" w:type="dxa"/>
            <w:tcBorders>
              <w:top w:val="nil"/>
              <w:left w:val="nil"/>
              <w:bottom w:val="nil"/>
              <w:right w:val="nil"/>
            </w:tcBorders>
            <w:shd w:val="clear" w:color="auto" w:fill="auto"/>
            <w:vAlign w:val="center"/>
          </w:tcPr>
          <w:p w14:paraId="26952C7F" w14:textId="77777777" w:rsidR="005B486D" w:rsidRPr="007E2898" w:rsidRDefault="005B486D" w:rsidP="001C4C83">
            <w:pPr>
              <w:pStyle w:val="TableCenter"/>
              <w:rPr>
                <w:sz w:val="22"/>
                <w:szCs w:val="22"/>
              </w:rPr>
            </w:pPr>
            <w:r w:rsidRPr="007E2898">
              <w:rPr>
                <w:sz w:val="22"/>
                <w:szCs w:val="22"/>
              </w:rPr>
              <w:t>92:196 (47)</w:t>
            </w:r>
          </w:p>
        </w:tc>
        <w:tc>
          <w:tcPr>
            <w:tcW w:w="2126" w:type="dxa"/>
            <w:tcBorders>
              <w:top w:val="nil"/>
              <w:left w:val="nil"/>
              <w:bottom w:val="nil"/>
              <w:right w:val="nil"/>
            </w:tcBorders>
            <w:shd w:val="clear" w:color="auto" w:fill="auto"/>
            <w:vAlign w:val="center"/>
          </w:tcPr>
          <w:p w14:paraId="43D8C061" w14:textId="77777777" w:rsidR="005B486D" w:rsidRPr="007E2898" w:rsidRDefault="005B486D" w:rsidP="001C4C83">
            <w:pPr>
              <w:pStyle w:val="TableCenter"/>
              <w:rPr>
                <w:sz w:val="22"/>
                <w:szCs w:val="22"/>
                <w:lang w:val="en-US"/>
              </w:rPr>
            </w:pPr>
            <w:r w:rsidRPr="007E2898">
              <w:rPr>
                <w:sz w:val="22"/>
                <w:szCs w:val="22"/>
              </w:rPr>
              <w:t>79:99 (80)</w:t>
            </w:r>
          </w:p>
        </w:tc>
      </w:tr>
      <w:tr w:rsidR="005B486D" w:rsidRPr="007E2898" w14:paraId="70D4A52F" w14:textId="77777777" w:rsidTr="001C4C83">
        <w:tc>
          <w:tcPr>
            <w:tcW w:w="4503" w:type="dxa"/>
            <w:tcBorders>
              <w:top w:val="nil"/>
              <w:left w:val="nil"/>
              <w:bottom w:val="nil"/>
              <w:right w:val="nil"/>
            </w:tcBorders>
            <w:shd w:val="clear" w:color="auto" w:fill="auto"/>
            <w:vAlign w:val="center"/>
          </w:tcPr>
          <w:p w14:paraId="0FDD055B" w14:textId="77777777" w:rsidR="005B486D" w:rsidRPr="007E2898" w:rsidRDefault="005B486D" w:rsidP="001C4C83">
            <w:pPr>
              <w:pStyle w:val="TableLeft"/>
              <w:rPr>
                <w:sz w:val="22"/>
                <w:szCs w:val="22"/>
              </w:rPr>
            </w:pPr>
            <w:r w:rsidRPr="007E2898">
              <w:rPr>
                <w:sz w:val="22"/>
                <w:szCs w:val="22"/>
              </w:rPr>
              <w:t>Median time (months)</w:t>
            </w:r>
          </w:p>
        </w:tc>
        <w:tc>
          <w:tcPr>
            <w:tcW w:w="2693" w:type="dxa"/>
            <w:tcBorders>
              <w:top w:val="nil"/>
              <w:left w:val="nil"/>
              <w:bottom w:val="nil"/>
              <w:right w:val="nil"/>
            </w:tcBorders>
            <w:shd w:val="clear" w:color="auto" w:fill="auto"/>
            <w:vAlign w:val="center"/>
          </w:tcPr>
          <w:p w14:paraId="2D23218B" w14:textId="77777777" w:rsidR="005B486D" w:rsidRPr="007E2898" w:rsidRDefault="005B486D" w:rsidP="001C4C83">
            <w:pPr>
              <w:pStyle w:val="TableCenter"/>
              <w:rPr>
                <w:sz w:val="22"/>
                <w:szCs w:val="22"/>
              </w:rPr>
            </w:pPr>
            <w:r w:rsidRPr="007E2898">
              <w:rPr>
                <w:sz w:val="22"/>
                <w:szCs w:val="22"/>
              </w:rPr>
              <w:t>27.9</w:t>
            </w:r>
          </w:p>
        </w:tc>
        <w:tc>
          <w:tcPr>
            <w:tcW w:w="2126" w:type="dxa"/>
            <w:tcBorders>
              <w:top w:val="nil"/>
              <w:left w:val="nil"/>
              <w:bottom w:val="nil"/>
              <w:right w:val="nil"/>
            </w:tcBorders>
            <w:shd w:val="clear" w:color="auto" w:fill="auto"/>
            <w:vAlign w:val="center"/>
          </w:tcPr>
          <w:p w14:paraId="37CA8ECA" w14:textId="77777777" w:rsidR="005B486D" w:rsidRPr="007E2898" w:rsidRDefault="005B486D" w:rsidP="001C4C83">
            <w:pPr>
              <w:pStyle w:val="TableCenter"/>
              <w:rPr>
                <w:sz w:val="22"/>
                <w:szCs w:val="22"/>
                <w:lang w:val="en-US"/>
              </w:rPr>
            </w:pPr>
            <w:r w:rsidRPr="007E2898">
              <w:rPr>
                <w:sz w:val="22"/>
                <w:szCs w:val="22"/>
              </w:rPr>
              <w:t>7.1</w:t>
            </w:r>
          </w:p>
        </w:tc>
      </w:tr>
      <w:tr w:rsidR="005B486D" w:rsidRPr="007E2898" w14:paraId="64122844" w14:textId="77777777" w:rsidTr="001C4C83">
        <w:tc>
          <w:tcPr>
            <w:tcW w:w="4503" w:type="dxa"/>
            <w:tcBorders>
              <w:top w:val="nil"/>
              <w:left w:val="nil"/>
              <w:bottom w:val="nil"/>
              <w:right w:val="nil"/>
            </w:tcBorders>
            <w:shd w:val="clear" w:color="auto" w:fill="auto"/>
            <w:vAlign w:val="center"/>
          </w:tcPr>
          <w:p w14:paraId="28D1F90E" w14:textId="77777777" w:rsidR="005B486D" w:rsidRPr="007E2898" w:rsidRDefault="005B486D" w:rsidP="001C4C83">
            <w:pPr>
              <w:pStyle w:val="TableLeft"/>
              <w:rPr>
                <w:sz w:val="22"/>
                <w:szCs w:val="22"/>
              </w:rPr>
            </w:pPr>
            <w:r w:rsidRPr="007E2898">
              <w:rPr>
                <w:sz w:val="22"/>
                <w:szCs w:val="22"/>
              </w:rPr>
              <w:t xml:space="preserve">HR (95% CI) </w:t>
            </w:r>
            <w:r w:rsidRPr="007E2898">
              <w:rPr>
                <w:sz w:val="22"/>
                <w:szCs w:val="22"/>
                <w:vertAlign w:val="superscript"/>
              </w:rPr>
              <w:t>a</w:t>
            </w:r>
          </w:p>
        </w:tc>
        <w:tc>
          <w:tcPr>
            <w:tcW w:w="2693" w:type="dxa"/>
            <w:tcBorders>
              <w:top w:val="nil"/>
              <w:left w:val="nil"/>
              <w:bottom w:val="nil"/>
              <w:right w:val="nil"/>
            </w:tcBorders>
            <w:shd w:val="clear" w:color="auto" w:fill="auto"/>
            <w:vAlign w:val="center"/>
          </w:tcPr>
          <w:p w14:paraId="1A4C6707" w14:textId="77777777" w:rsidR="005B486D" w:rsidRPr="007E2898" w:rsidRDefault="005B486D" w:rsidP="001C4C83">
            <w:pPr>
              <w:pStyle w:val="TableCenter"/>
              <w:rPr>
                <w:sz w:val="22"/>
                <w:szCs w:val="22"/>
              </w:rPr>
            </w:pPr>
            <w:r w:rsidRPr="007E2898">
              <w:rPr>
                <w:sz w:val="22"/>
                <w:szCs w:val="22"/>
              </w:rPr>
              <w:t>0.28 (0.21-0.38)</w:t>
            </w:r>
          </w:p>
        </w:tc>
        <w:tc>
          <w:tcPr>
            <w:tcW w:w="2126" w:type="dxa"/>
            <w:tcBorders>
              <w:top w:val="nil"/>
              <w:left w:val="nil"/>
              <w:bottom w:val="nil"/>
              <w:right w:val="nil"/>
            </w:tcBorders>
            <w:shd w:val="clear" w:color="auto" w:fill="auto"/>
            <w:vAlign w:val="center"/>
          </w:tcPr>
          <w:p w14:paraId="00194253" w14:textId="77777777" w:rsidR="005B486D" w:rsidRPr="007E2898" w:rsidRDefault="005B486D" w:rsidP="001C4C83">
            <w:pPr>
              <w:pStyle w:val="TableCenter"/>
              <w:rPr>
                <w:sz w:val="22"/>
                <w:szCs w:val="22"/>
                <w:lang w:val="en-US"/>
              </w:rPr>
            </w:pPr>
          </w:p>
        </w:tc>
      </w:tr>
      <w:tr w:rsidR="005B486D" w:rsidRPr="007E2898" w14:paraId="4CF104A3" w14:textId="77777777" w:rsidTr="001C4C83">
        <w:tc>
          <w:tcPr>
            <w:tcW w:w="4503" w:type="dxa"/>
            <w:tcBorders>
              <w:top w:val="nil"/>
              <w:left w:val="nil"/>
              <w:right w:val="nil"/>
            </w:tcBorders>
            <w:shd w:val="clear" w:color="auto" w:fill="auto"/>
            <w:vAlign w:val="center"/>
          </w:tcPr>
          <w:p w14:paraId="279FA8CD" w14:textId="77777777" w:rsidR="005B486D" w:rsidRPr="007E2898" w:rsidRDefault="005B486D" w:rsidP="001C4C83">
            <w:pPr>
              <w:pStyle w:val="TableLeft"/>
              <w:rPr>
                <w:sz w:val="22"/>
                <w:szCs w:val="22"/>
              </w:rPr>
            </w:pPr>
            <w:r w:rsidRPr="007E2898">
              <w:rPr>
                <w:sz w:val="22"/>
                <w:szCs w:val="22"/>
              </w:rPr>
              <w:t>P value* (2-sided)</w:t>
            </w:r>
          </w:p>
        </w:tc>
        <w:tc>
          <w:tcPr>
            <w:tcW w:w="2693" w:type="dxa"/>
            <w:tcBorders>
              <w:top w:val="nil"/>
              <w:left w:val="nil"/>
              <w:right w:val="nil"/>
            </w:tcBorders>
            <w:shd w:val="clear" w:color="auto" w:fill="auto"/>
            <w:vAlign w:val="center"/>
          </w:tcPr>
          <w:p w14:paraId="331B7765" w14:textId="77777777" w:rsidR="005B486D" w:rsidRPr="007E2898" w:rsidRDefault="005B486D" w:rsidP="001C4C83">
            <w:pPr>
              <w:pStyle w:val="TableCenter"/>
              <w:rPr>
                <w:sz w:val="22"/>
                <w:szCs w:val="22"/>
              </w:rPr>
            </w:pPr>
            <w:r w:rsidRPr="007E2898">
              <w:rPr>
                <w:sz w:val="22"/>
                <w:szCs w:val="22"/>
              </w:rPr>
              <w:t>p&lt;0.0001</w:t>
            </w:r>
          </w:p>
        </w:tc>
        <w:tc>
          <w:tcPr>
            <w:tcW w:w="2126" w:type="dxa"/>
            <w:tcBorders>
              <w:top w:val="nil"/>
              <w:left w:val="nil"/>
              <w:right w:val="nil"/>
            </w:tcBorders>
            <w:shd w:val="clear" w:color="auto" w:fill="auto"/>
            <w:vAlign w:val="center"/>
          </w:tcPr>
          <w:p w14:paraId="3FC03D00" w14:textId="77777777" w:rsidR="005B486D" w:rsidRPr="007E2898" w:rsidRDefault="005B486D" w:rsidP="001C4C83">
            <w:pPr>
              <w:pStyle w:val="TableCenter"/>
              <w:rPr>
                <w:sz w:val="22"/>
                <w:szCs w:val="22"/>
                <w:lang w:val="en-US"/>
              </w:rPr>
            </w:pPr>
          </w:p>
        </w:tc>
      </w:tr>
      <w:tr w:rsidR="005B486D" w:rsidRPr="007E2898" w14:paraId="562B700F" w14:textId="77777777" w:rsidTr="001C4C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9322" w:type="dxa"/>
            <w:gridSpan w:val="3"/>
            <w:tcBorders>
              <w:top w:val="single" w:sz="4" w:space="0" w:color="auto"/>
              <w:bottom w:val="single" w:sz="4" w:space="0" w:color="auto"/>
            </w:tcBorders>
            <w:shd w:val="clear" w:color="auto" w:fill="D9D9D9"/>
            <w:tcMar>
              <w:top w:w="0" w:type="dxa"/>
              <w:left w:w="108" w:type="dxa"/>
              <w:bottom w:w="0" w:type="dxa"/>
              <w:right w:w="108" w:type="dxa"/>
            </w:tcMar>
          </w:tcPr>
          <w:p w14:paraId="554BC0AC" w14:textId="77777777" w:rsidR="005B486D" w:rsidRPr="007E2898" w:rsidRDefault="005B486D" w:rsidP="001C4C83">
            <w:pPr>
              <w:pStyle w:val="TableHead"/>
              <w:jc w:val="left"/>
              <w:rPr>
                <w:sz w:val="22"/>
                <w:szCs w:val="22"/>
              </w:rPr>
            </w:pPr>
            <w:r w:rsidRPr="007E2898">
              <w:rPr>
                <w:sz w:val="22"/>
                <w:szCs w:val="22"/>
              </w:rPr>
              <w:t>TDT</w:t>
            </w:r>
          </w:p>
        </w:tc>
      </w:tr>
      <w:tr w:rsidR="005B486D" w:rsidRPr="007E2898" w14:paraId="59500319" w14:textId="77777777" w:rsidTr="001C4C83">
        <w:tc>
          <w:tcPr>
            <w:tcW w:w="4503" w:type="dxa"/>
            <w:tcBorders>
              <w:left w:val="nil"/>
              <w:bottom w:val="nil"/>
              <w:right w:val="nil"/>
            </w:tcBorders>
            <w:shd w:val="clear" w:color="auto" w:fill="auto"/>
          </w:tcPr>
          <w:p w14:paraId="5B76C6AA" w14:textId="77777777" w:rsidR="005B486D" w:rsidRPr="007E2898" w:rsidRDefault="005B486D" w:rsidP="001C4C83">
            <w:pPr>
              <w:pStyle w:val="TableLeft"/>
              <w:rPr>
                <w:sz w:val="22"/>
                <w:szCs w:val="22"/>
                <w:lang w:val="en-US"/>
              </w:rPr>
            </w:pPr>
            <w:r w:rsidRPr="007E2898">
              <w:rPr>
                <w:sz w:val="22"/>
                <w:szCs w:val="22"/>
              </w:rPr>
              <w:t>Number of events: Total number of patients (%)</w:t>
            </w:r>
          </w:p>
        </w:tc>
        <w:tc>
          <w:tcPr>
            <w:tcW w:w="2693" w:type="dxa"/>
            <w:tcBorders>
              <w:left w:val="nil"/>
              <w:bottom w:val="nil"/>
              <w:right w:val="nil"/>
            </w:tcBorders>
            <w:shd w:val="clear" w:color="auto" w:fill="auto"/>
          </w:tcPr>
          <w:p w14:paraId="76B05214" w14:textId="77777777" w:rsidR="005B486D" w:rsidRPr="007E2898" w:rsidRDefault="005B486D" w:rsidP="001C4C83">
            <w:pPr>
              <w:pStyle w:val="TableCenter"/>
              <w:rPr>
                <w:sz w:val="22"/>
                <w:szCs w:val="22"/>
                <w:lang w:val="en-US"/>
              </w:rPr>
            </w:pPr>
            <w:r w:rsidRPr="007E2898">
              <w:rPr>
                <w:sz w:val="22"/>
                <w:szCs w:val="22"/>
              </w:rPr>
              <w:t>112:196 (57)</w:t>
            </w:r>
          </w:p>
        </w:tc>
        <w:tc>
          <w:tcPr>
            <w:tcW w:w="2126" w:type="dxa"/>
            <w:tcBorders>
              <w:left w:val="nil"/>
              <w:bottom w:val="nil"/>
              <w:right w:val="nil"/>
            </w:tcBorders>
            <w:shd w:val="clear" w:color="auto" w:fill="auto"/>
          </w:tcPr>
          <w:p w14:paraId="6549BFCD" w14:textId="77777777" w:rsidR="005B486D" w:rsidRPr="007E2898" w:rsidRDefault="005B486D" w:rsidP="001C4C83">
            <w:pPr>
              <w:pStyle w:val="TableCenter"/>
              <w:rPr>
                <w:sz w:val="22"/>
                <w:szCs w:val="22"/>
                <w:lang w:val="en-US"/>
              </w:rPr>
            </w:pPr>
            <w:r w:rsidRPr="007E2898">
              <w:rPr>
                <w:sz w:val="22"/>
                <w:szCs w:val="22"/>
              </w:rPr>
              <w:t>86:99 (87)</w:t>
            </w:r>
          </w:p>
        </w:tc>
      </w:tr>
      <w:tr w:rsidR="005B486D" w:rsidRPr="007E2898" w14:paraId="4BEC70C7" w14:textId="77777777" w:rsidTr="001C4C83">
        <w:tc>
          <w:tcPr>
            <w:tcW w:w="4503" w:type="dxa"/>
            <w:tcBorders>
              <w:top w:val="nil"/>
              <w:left w:val="nil"/>
              <w:bottom w:val="nil"/>
              <w:right w:val="nil"/>
            </w:tcBorders>
            <w:shd w:val="clear" w:color="auto" w:fill="auto"/>
          </w:tcPr>
          <w:p w14:paraId="6D93B7F0" w14:textId="77777777" w:rsidR="005B486D" w:rsidRPr="007E2898" w:rsidRDefault="005B486D" w:rsidP="001C4C83">
            <w:pPr>
              <w:pStyle w:val="TableLeft"/>
              <w:rPr>
                <w:sz w:val="22"/>
                <w:szCs w:val="22"/>
                <w:lang w:val="en-US"/>
              </w:rPr>
            </w:pPr>
            <w:r w:rsidRPr="007E2898">
              <w:rPr>
                <w:sz w:val="22"/>
                <w:szCs w:val="22"/>
              </w:rPr>
              <w:t>Median time (months)</w:t>
            </w:r>
          </w:p>
        </w:tc>
        <w:tc>
          <w:tcPr>
            <w:tcW w:w="2693" w:type="dxa"/>
            <w:tcBorders>
              <w:top w:val="nil"/>
              <w:left w:val="nil"/>
              <w:bottom w:val="nil"/>
              <w:right w:val="nil"/>
            </w:tcBorders>
            <w:shd w:val="clear" w:color="auto" w:fill="auto"/>
          </w:tcPr>
          <w:p w14:paraId="57045491" w14:textId="77777777" w:rsidR="005B486D" w:rsidRPr="007E2898" w:rsidRDefault="005B486D" w:rsidP="001C4C83">
            <w:pPr>
              <w:pStyle w:val="TableCenter"/>
              <w:rPr>
                <w:sz w:val="22"/>
                <w:szCs w:val="22"/>
                <w:lang w:val="en-US"/>
              </w:rPr>
            </w:pPr>
            <w:r w:rsidRPr="007E2898">
              <w:rPr>
                <w:sz w:val="22"/>
                <w:szCs w:val="22"/>
              </w:rPr>
              <w:t>19.4</w:t>
            </w:r>
          </w:p>
        </w:tc>
        <w:tc>
          <w:tcPr>
            <w:tcW w:w="2126" w:type="dxa"/>
            <w:tcBorders>
              <w:top w:val="nil"/>
              <w:left w:val="nil"/>
              <w:bottom w:val="nil"/>
              <w:right w:val="nil"/>
            </w:tcBorders>
            <w:shd w:val="clear" w:color="auto" w:fill="auto"/>
          </w:tcPr>
          <w:p w14:paraId="5C2D2B8C" w14:textId="77777777" w:rsidR="005B486D" w:rsidRPr="007E2898" w:rsidRDefault="005B486D" w:rsidP="001C4C83">
            <w:pPr>
              <w:pStyle w:val="TableCenter"/>
              <w:rPr>
                <w:sz w:val="22"/>
                <w:szCs w:val="22"/>
                <w:lang w:val="en-US"/>
              </w:rPr>
            </w:pPr>
            <w:r w:rsidRPr="007E2898">
              <w:rPr>
                <w:sz w:val="22"/>
                <w:szCs w:val="22"/>
              </w:rPr>
              <w:t>5.6</w:t>
            </w:r>
          </w:p>
        </w:tc>
      </w:tr>
      <w:tr w:rsidR="005B486D" w:rsidRPr="007E2898" w14:paraId="544AF971" w14:textId="77777777" w:rsidTr="001C4C83">
        <w:tc>
          <w:tcPr>
            <w:tcW w:w="4503" w:type="dxa"/>
            <w:tcBorders>
              <w:top w:val="nil"/>
              <w:left w:val="nil"/>
              <w:bottom w:val="nil"/>
              <w:right w:val="nil"/>
            </w:tcBorders>
            <w:shd w:val="clear" w:color="auto" w:fill="auto"/>
          </w:tcPr>
          <w:p w14:paraId="48AF50BE" w14:textId="77777777" w:rsidR="005B486D" w:rsidRPr="007E2898" w:rsidRDefault="005B486D" w:rsidP="001C4C83">
            <w:pPr>
              <w:pStyle w:val="TableLeft"/>
              <w:rPr>
                <w:sz w:val="22"/>
                <w:szCs w:val="22"/>
                <w:lang w:val="en-US"/>
              </w:rPr>
            </w:pPr>
            <w:r w:rsidRPr="007E2898">
              <w:rPr>
                <w:sz w:val="22"/>
                <w:szCs w:val="22"/>
              </w:rPr>
              <w:t xml:space="preserve">HR (95% CI) </w:t>
            </w:r>
            <w:r w:rsidRPr="007E2898">
              <w:rPr>
                <w:sz w:val="22"/>
                <w:szCs w:val="22"/>
                <w:vertAlign w:val="superscript"/>
              </w:rPr>
              <w:t>a</w:t>
            </w:r>
          </w:p>
        </w:tc>
        <w:tc>
          <w:tcPr>
            <w:tcW w:w="2693" w:type="dxa"/>
            <w:tcBorders>
              <w:top w:val="nil"/>
              <w:left w:val="nil"/>
              <w:bottom w:val="nil"/>
              <w:right w:val="nil"/>
            </w:tcBorders>
            <w:shd w:val="clear" w:color="auto" w:fill="auto"/>
          </w:tcPr>
          <w:p w14:paraId="08B969AF" w14:textId="77777777" w:rsidR="005B486D" w:rsidRPr="007E2898" w:rsidRDefault="005B486D" w:rsidP="001C4C83">
            <w:pPr>
              <w:pStyle w:val="TableCenter"/>
              <w:rPr>
                <w:sz w:val="22"/>
                <w:szCs w:val="22"/>
                <w:lang w:val="en-US"/>
              </w:rPr>
            </w:pPr>
            <w:r w:rsidRPr="007E2898">
              <w:rPr>
                <w:sz w:val="22"/>
                <w:szCs w:val="22"/>
              </w:rPr>
              <w:t>0.31 (0.23-0.42)</w:t>
            </w:r>
          </w:p>
        </w:tc>
        <w:tc>
          <w:tcPr>
            <w:tcW w:w="2126" w:type="dxa"/>
            <w:tcBorders>
              <w:top w:val="nil"/>
              <w:left w:val="nil"/>
              <w:bottom w:val="nil"/>
              <w:right w:val="nil"/>
            </w:tcBorders>
            <w:shd w:val="clear" w:color="auto" w:fill="auto"/>
          </w:tcPr>
          <w:p w14:paraId="4C181E30" w14:textId="77777777" w:rsidR="005B486D" w:rsidRPr="007E2898" w:rsidRDefault="005B486D" w:rsidP="001C4C83">
            <w:pPr>
              <w:pStyle w:val="TableCenter"/>
              <w:rPr>
                <w:sz w:val="22"/>
                <w:szCs w:val="22"/>
                <w:lang w:val="en-US"/>
              </w:rPr>
            </w:pPr>
          </w:p>
        </w:tc>
      </w:tr>
      <w:tr w:rsidR="005B486D" w:rsidRPr="007E2898" w14:paraId="5F728DE2" w14:textId="77777777" w:rsidTr="001C4C83">
        <w:tc>
          <w:tcPr>
            <w:tcW w:w="4503" w:type="dxa"/>
            <w:tcBorders>
              <w:top w:val="nil"/>
              <w:left w:val="nil"/>
              <w:right w:val="nil"/>
            </w:tcBorders>
            <w:shd w:val="clear" w:color="auto" w:fill="auto"/>
          </w:tcPr>
          <w:p w14:paraId="5B50545E" w14:textId="77777777" w:rsidR="005B486D" w:rsidRPr="007E2898" w:rsidRDefault="005B486D" w:rsidP="001C4C83">
            <w:pPr>
              <w:pStyle w:val="TableLeft"/>
              <w:rPr>
                <w:sz w:val="22"/>
                <w:szCs w:val="22"/>
                <w:lang w:val="en-US"/>
              </w:rPr>
            </w:pPr>
            <w:r w:rsidRPr="007E2898">
              <w:rPr>
                <w:sz w:val="22"/>
                <w:szCs w:val="22"/>
              </w:rPr>
              <w:t>P value* (2-sided)</w:t>
            </w:r>
          </w:p>
        </w:tc>
        <w:tc>
          <w:tcPr>
            <w:tcW w:w="2693" w:type="dxa"/>
            <w:tcBorders>
              <w:top w:val="nil"/>
              <w:left w:val="nil"/>
              <w:right w:val="nil"/>
            </w:tcBorders>
            <w:shd w:val="clear" w:color="auto" w:fill="auto"/>
          </w:tcPr>
          <w:p w14:paraId="33C17EB4" w14:textId="77777777" w:rsidR="005B486D" w:rsidRPr="007E2898" w:rsidRDefault="005B486D" w:rsidP="001C4C83">
            <w:pPr>
              <w:pStyle w:val="Paragraph"/>
              <w:rPr>
                <w:sz w:val="22"/>
                <w:szCs w:val="22"/>
                <w:lang w:val="en-US"/>
              </w:rPr>
            </w:pPr>
            <w:r w:rsidRPr="007E2898">
              <w:rPr>
                <w:sz w:val="22"/>
                <w:szCs w:val="22"/>
              </w:rPr>
              <w:t>p&lt;0.0001</w:t>
            </w:r>
          </w:p>
        </w:tc>
        <w:tc>
          <w:tcPr>
            <w:tcW w:w="2126" w:type="dxa"/>
            <w:tcBorders>
              <w:top w:val="nil"/>
              <w:left w:val="nil"/>
              <w:right w:val="nil"/>
            </w:tcBorders>
            <w:shd w:val="clear" w:color="auto" w:fill="auto"/>
          </w:tcPr>
          <w:p w14:paraId="21269017" w14:textId="77777777" w:rsidR="005B486D" w:rsidRPr="007E2898" w:rsidRDefault="005B486D" w:rsidP="001C4C83">
            <w:pPr>
              <w:pStyle w:val="Paragraph"/>
              <w:rPr>
                <w:sz w:val="22"/>
                <w:szCs w:val="22"/>
                <w:lang w:val="en-US"/>
              </w:rPr>
            </w:pPr>
          </w:p>
        </w:tc>
      </w:tr>
      <w:tr w:rsidR="005B486D" w:rsidRPr="007E2898" w14:paraId="20E71904" w14:textId="77777777" w:rsidTr="001C4C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9322" w:type="dxa"/>
            <w:gridSpan w:val="3"/>
            <w:tcBorders>
              <w:top w:val="single" w:sz="8" w:space="0" w:color="auto"/>
              <w:left w:val="nil"/>
              <w:bottom w:val="single" w:sz="8" w:space="0" w:color="auto"/>
              <w:right w:val="nil"/>
            </w:tcBorders>
            <w:shd w:val="clear" w:color="auto" w:fill="E0E0E0"/>
            <w:tcMar>
              <w:top w:w="0" w:type="dxa"/>
              <w:left w:w="108" w:type="dxa"/>
              <w:bottom w:w="0" w:type="dxa"/>
              <w:right w:w="108" w:type="dxa"/>
            </w:tcMar>
            <w:hideMark/>
          </w:tcPr>
          <w:p w14:paraId="48B9F489" w14:textId="77777777" w:rsidR="005B486D" w:rsidRPr="007E2898" w:rsidRDefault="005B486D" w:rsidP="001C4C83">
            <w:pPr>
              <w:pStyle w:val="TableHead"/>
              <w:jc w:val="left"/>
              <w:rPr>
                <w:sz w:val="22"/>
                <w:szCs w:val="22"/>
              </w:rPr>
            </w:pPr>
            <w:r w:rsidRPr="007E2898">
              <w:rPr>
                <w:sz w:val="22"/>
                <w:szCs w:val="22"/>
              </w:rPr>
              <w:t>TSST</w:t>
            </w:r>
          </w:p>
        </w:tc>
      </w:tr>
      <w:tr w:rsidR="005B486D" w:rsidRPr="007E2898" w14:paraId="466B8BA1" w14:textId="77777777" w:rsidTr="001C4C83">
        <w:tc>
          <w:tcPr>
            <w:tcW w:w="4503" w:type="dxa"/>
            <w:tcBorders>
              <w:left w:val="nil"/>
              <w:bottom w:val="nil"/>
              <w:right w:val="nil"/>
            </w:tcBorders>
            <w:shd w:val="clear" w:color="auto" w:fill="auto"/>
          </w:tcPr>
          <w:p w14:paraId="5CB781D9" w14:textId="77777777" w:rsidR="005B486D" w:rsidRPr="007E2898" w:rsidRDefault="005B486D" w:rsidP="001C4C83">
            <w:pPr>
              <w:pStyle w:val="TableLeft"/>
              <w:rPr>
                <w:sz w:val="22"/>
                <w:szCs w:val="22"/>
                <w:lang w:val="en-US"/>
              </w:rPr>
            </w:pPr>
            <w:r w:rsidRPr="007E2898">
              <w:rPr>
                <w:sz w:val="22"/>
                <w:szCs w:val="22"/>
              </w:rPr>
              <w:t>Number of events: Total number of patients (%)</w:t>
            </w:r>
          </w:p>
        </w:tc>
        <w:tc>
          <w:tcPr>
            <w:tcW w:w="2693" w:type="dxa"/>
            <w:tcBorders>
              <w:left w:val="nil"/>
              <w:bottom w:val="nil"/>
              <w:right w:val="nil"/>
            </w:tcBorders>
            <w:shd w:val="clear" w:color="auto" w:fill="auto"/>
          </w:tcPr>
          <w:p w14:paraId="06FD420B" w14:textId="77777777" w:rsidR="005B486D" w:rsidRPr="007E2898" w:rsidRDefault="005B486D" w:rsidP="001C4C83">
            <w:pPr>
              <w:pStyle w:val="TableCenter"/>
              <w:rPr>
                <w:sz w:val="22"/>
                <w:szCs w:val="22"/>
                <w:lang w:val="en-US"/>
              </w:rPr>
            </w:pPr>
            <w:r w:rsidRPr="007E2898">
              <w:rPr>
                <w:sz w:val="22"/>
                <w:szCs w:val="22"/>
              </w:rPr>
              <w:t>68:196 (35)</w:t>
            </w:r>
          </w:p>
        </w:tc>
        <w:tc>
          <w:tcPr>
            <w:tcW w:w="2126" w:type="dxa"/>
            <w:tcBorders>
              <w:left w:val="nil"/>
              <w:bottom w:val="nil"/>
              <w:right w:val="nil"/>
            </w:tcBorders>
            <w:shd w:val="clear" w:color="auto" w:fill="auto"/>
          </w:tcPr>
          <w:p w14:paraId="3CDB5C2A" w14:textId="77777777" w:rsidR="005B486D" w:rsidRPr="007E2898" w:rsidRDefault="005B486D" w:rsidP="001C4C83">
            <w:pPr>
              <w:pStyle w:val="TableCenter"/>
              <w:rPr>
                <w:sz w:val="22"/>
                <w:szCs w:val="22"/>
                <w:lang w:val="en-US"/>
              </w:rPr>
            </w:pPr>
            <w:r w:rsidRPr="007E2898">
              <w:rPr>
                <w:sz w:val="22"/>
                <w:szCs w:val="22"/>
              </w:rPr>
              <w:t>60:99 (61)</w:t>
            </w:r>
          </w:p>
        </w:tc>
      </w:tr>
      <w:tr w:rsidR="005B486D" w:rsidRPr="007E2898" w14:paraId="0949692D" w14:textId="77777777" w:rsidTr="001C4C83">
        <w:tc>
          <w:tcPr>
            <w:tcW w:w="4503" w:type="dxa"/>
            <w:tcBorders>
              <w:top w:val="nil"/>
              <w:left w:val="nil"/>
              <w:bottom w:val="nil"/>
              <w:right w:val="nil"/>
            </w:tcBorders>
            <w:shd w:val="clear" w:color="auto" w:fill="auto"/>
          </w:tcPr>
          <w:p w14:paraId="26D86732" w14:textId="77777777" w:rsidR="005B486D" w:rsidRPr="007E2898" w:rsidRDefault="005B486D" w:rsidP="001C4C83">
            <w:pPr>
              <w:pStyle w:val="TableLeft"/>
              <w:rPr>
                <w:sz w:val="22"/>
                <w:szCs w:val="22"/>
                <w:lang w:val="en-US"/>
              </w:rPr>
            </w:pPr>
            <w:r w:rsidRPr="007E2898">
              <w:rPr>
                <w:sz w:val="22"/>
                <w:szCs w:val="22"/>
              </w:rPr>
              <w:t>Median time (months)</w:t>
            </w:r>
          </w:p>
        </w:tc>
        <w:tc>
          <w:tcPr>
            <w:tcW w:w="2693" w:type="dxa"/>
            <w:tcBorders>
              <w:top w:val="nil"/>
              <w:left w:val="nil"/>
              <w:bottom w:val="nil"/>
              <w:right w:val="nil"/>
            </w:tcBorders>
            <w:shd w:val="clear" w:color="auto" w:fill="auto"/>
          </w:tcPr>
          <w:p w14:paraId="56FBBC7C" w14:textId="77777777" w:rsidR="005B486D" w:rsidRPr="007E2898" w:rsidRDefault="005B486D" w:rsidP="001C4C83">
            <w:pPr>
              <w:pStyle w:val="TableCenter"/>
              <w:rPr>
                <w:sz w:val="22"/>
                <w:szCs w:val="22"/>
                <w:lang w:val="en-US"/>
              </w:rPr>
            </w:pPr>
            <w:r w:rsidRPr="007E2898">
              <w:rPr>
                <w:sz w:val="22"/>
                <w:szCs w:val="22"/>
              </w:rPr>
              <w:t>NR</w:t>
            </w:r>
          </w:p>
        </w:tc>
        <w:tc>
          <w:tcPr>
            <w:tcW w:w="2126" w:type="dxa"/>
            <w:tcBorders>
              <w:top w:val="nil"/>
              <w:left w:val="nil"/>
              <w:bottom w:val="nil"/>
              <w:right w:val="nil"/>
            </w:tcBorders>
            <w:shd w:val="clear" w:color="auto" w:fill="auto"/>
          </w:tcPr>
          <w:p w14:paraId="127ABA4A" w14:textId="77777777" w:rsidR="005B486D" w:rsidRPr="007E2898" w:rsidRDefault="005B486D" w:rsidP="001C4C83">
            <w:pPr>
              <w:pStyle w:val="TableCenter"/>
              <w:rPr>
                <w:sz w:val="22"/>
                <w:szCs w:val="22"/>
                <w:lang w:val="en-US"/>
              </w:rPr>
            </w:pPr>
            <w:r w:rsidRPr="007E2898">
              <w:rPr>
                <w:sz w:val="22"/>
                <w:szCs w:val="22"/>
              </w:rPr>
              <w:t>18.2</w:t>
            </w:r>
          </w:p>
        </w:tc>
      </w:tr>
      <w:tr w:rsidR="005B486D" w:rsidRPr="007E2898" w14:paraId="005195E9" w14:textId="77777777" w:rsidTr="001C4C83">
        <w:tc>
          <w:tcPr>
            <w:tcW w:w="4503" w:type="dxa"/>
            <w:tcBorders>
              <w:top w:val="nil"/>
              <w:left w:val="nil"/>
              <w:bottom w:val="nil"/>
              <w:right w:val="nil"/>
            </w:tcBorders>
            <w:shd w:val="clear" w:color="auto" w:fill="auto"/>
          </w:tcPr>
          <w:p w14:paraId="605490FA" w14:textId="77777777" w:rsidR="005B486D" w:rsidRPr="007E2898" w:rsidRDefault="005B486D" w:rsidP="001C4C83">
            <w:pPr>
              <w:pStyle w:val="TableLeft"/>
              <w:rPr>
                <w:sz w:val="22"/>
                <w:szCs w:val="22"/>
                <w:lang w:val="en-US"/>
              </w:rPr>
            </w:pPr>
            <w:r w:rsidRPr="007E2898">
              <w:rPr>
                <w:sz w:val="22"/>
                <w:szCs w:val="22"/>
              </w:rPr>
              <w:t xml:space="preserve">HR (95% CI) </w:t>
            </w:r>
            <w:r w:rsidRPr="007E2898">
              <w:rPr>
                <w:sz w:val="22"/>
                <w:szCs w:val="22"/>
                <w:vertAlign w:val="superscript"/>
              </w:rPr>
              <w:t>a</w:t>
            </w:r>
          </w:p>
        </w:tc>
        <w:tc>
          <w:tcPr>
            <w:tcW w:w="2693" w:type="dxa"/>
            <w:tcBorders>
              <w:top w:val="nil"/>
              <w:left w:val="nil"/>
              <w:bottom w:val="nil"/>
              <w:right w:val="nil"/>
            </w:tcBorders>
            <w:shd w:val="clear" w:color="auto" w:fill="auto"/>
          </w:tcPr>
          <w:p w14:paraId="274AB86A" w14:textId="77777777" w:rsidR="005B486D" w:rsidRPr="007E2898" w:rsidRDefault="005B486D" w:rsidP="001C4C83">
            <w:pPr>
              <w:pStyle w:val="TableCenter"/>
              <w:rPr>
                <w:sz w:val="22"/>
                <w:szCs w:val="22"/>
                <w:lang w:val="en-US"/>
              </w:rPr>
            </w:pPr>
            <w:r w:rsidRPr="007E2898">
              <w:rPr>
                <w:sz w:val="22"/>
                <w:szCs w:val="22"/>
              </w:rPr>
              <w:t>0.37 (0.26-0.53)</w:t>
            </w:r>
          </w:p>
        </w:tc>
        <w:tc>
          <w:tcPr>
            <w:tcW w:w="2126" w:type="dxa"/>
            <w:tcBorders>
              <w:top w:val="nil"/>
              <w:left w:val="nil"/>
              <w:bottom w:val="nil"/>
              <w:right w:val="nil"/>
            </w:tcBorders>
            <w:shd w:val="clear" w:color="auto" w:fill="auto"/>
          </w:tcPr>
          <w:p w14:paraId="78917C11" w14:textId="77777777" w:rsidR="005B486D" w:rsidRPr="007E2898" w:rsidRDefault="005B486D" w:rsidP="001C4C83">
            <w:pPr>
              <w:pStyle w:val="TableCenter"/>
              <w:rPr>
                <w:sz w:val="22"/>
                <w:szCs w:val="22"/>
                <w:lang w:val="en-US"/>
              </w:rPr>
            </w:pPr>
          </w:p>
        </w:tc>
      </w:tr>
      <w:tr w:rsidR="005B486D" w:rsidRPr="007E2898" w14:paraId="39E5814A" w14:textId="77777777" w:rsidTr="001C4C83">
        <w:tc>
          <w:tcPr>
            <w:tcW w:w="4503" w:type="dxa"/>
            <w:tcBorders>
              <w:top w:val="nil"/>
              <w:left w:val="nil"/>
              <w:bottom w:val="single" w:sz="12" w:space="0" w:color="auto"/>
              <w:right w:val="nil"/>
            </w:tcBorders>
            <w:shd w:val="clear" w:color="auto" w:fill="auto"/>
          </w:tcPr>
          <w:p w14:paraId="54F0B754" w14:textId="77777777" w:rsidR="005B486D" w:rsidRPr="007E2898" w:rsidRDefault="005B486D" w:rsidP="001C4C83">
            <w:pPr>
              <w:pStyle w:val="TableLeft"/>
              <w:rPr>
                <w:sz w:val="22"/>
                <w:szCs w:val="22"/>
                <w:lang w:val="en-US"/>
              </w:rPr>
            </w:pPr>
            <w:r w:rsidRPr="007E2898">
              <w:rPr>
                <w:sz w:val="22"/>
                <w:szCs w:val="22"/>
              </w:rPr>
              <w:t>P value* (2-sided)</w:t>
            </w:r>
          </w:p>
        </w:tc>
        <w:tc>
          <w:tcPr>
            <w:tcW w:w="2693" w:type="dxa"/>
            <w:tcBorders>
              <w:top w:val="nil"/>
              <w:left w:val="nil"/>
              <w:bottom w:val="single" w:sz="12" w:space="0" w:color="auto"/>
              <w:right w:val="nil"/>
            </w:tcBorders>
            <w:shd w:val="clear" w:color="auto" w:fill="auto"/>
          </w:tcPr>
          <w:p w14:paraId="31B5E763" w14:textId="77777777" w:rsidR="005B486D" w:rsidRPr="007E2898" w:rsidRDefault="005B486D" w:rsidP="001C4C83">
            <w:pPr>
              <w:pStyle w:val="TableCenter"/>
              <w:rPr>
                <w:sz w:val="22"/>
                <w:szCs w:val="22"/>
                <w:lang w:val="en-US"/>
              </w:rPr>
            </w:pPr>
            <w:r w:rsidRPr="007E2898">
              <w:rPr>
                <w:sz w:val="22"/>
                <w:szCs w:val="22"/>
              </w:rPr>
              <w:t>p&lt;0.0001</w:t>
            </w:r>
          </w:p>
        </w:tc>
        <w:tc>
          <w:tcPr>
            <w:tcW w:w="2126" w:type="dxa"/>
            <w:tcBorders>
              <w:top w:val="nil"/>
              <w:left w:val="nil"/>
              <w:bottom w:val="single" w:sz="12" w:space="0" w:color="auto"/>
              <w:right w:val="nil"/>
            </w:tcBorders>
            <w:shd w:val="clear" w:color="auto" w:fill="auto"/>
          </w:tcPr>
          <w:p w14:paraId="2A7A88F9" w14:textId="77777777" w:rsidR="005B486D" w:rsidRPr="007E2898" w:rsidRDefault="005B486D" w:rsidP="001C4C83">
            <w:pPr>
              <w:pStyle w:val="TableCenter"/>
              <w:rPr>
                <w:sz w:val="22"/>
                <w:szCs w:val="22"/>
                <w:lang w:val="en-US"/>
              </w:rPr>
            </w:pPr>
          </w:p>
        </w:tc>
      </w:tr>
    </w:tbl>
    <w:p w14:paraId="16208BC4" w14:textId="77777777" w:rsidR="005B486D" w:rsidRDefault="005B486D" w:rsidP="005B486D">
      <w:pPr>
        <w:pStyle w:val="TableFootnoteLetter"/>
        <w:numPr>
          <w:ilvl w:val="0"/>
          <w:numId w:val="0"/>
        </w:numPr>
        <w:tabs>
          <w:tab w:val="left" w:pos="360"/>
        </w:tabs>
      </w:pPr>
      <w:r>
        <w:tab/>
        <w:t>Not controlled for multiplicity</w:t>
      </w:r>
    </w:p>
    <w:p w14:paraId="799E993E" w14:textId="77777777" w:rsidR="005B486D" w:rsidRDefault="005B486D" w:rsidP="005B486D">
      <w:pPr>
        <w:pStyle w:val="TableFootnoteInfo"/>
        <w:ind w:left="360" w:hanging="360"/>
      </w:pPr>
      <w:r w:rsidRPr="00252949">
        <w:rPr>
          <w:vertAlign w:val="superscript"/>
        </w:rPr>
        <w:t>a</w:t>
      </w:r>
      <w:r>
        <w:tab/>
        <w:t>HR= Hazard Ratio. A value &lt;1 favours olaparib. The analysis was performed using a log-rank test stratified by response to previous platinum chemotherapy (CR or PR), and time to disease progression (&gt;6-12 months and &gt;12 months) in the penultimate platinum-based chemotherapy.</w:t>
      </w:r>
    </w:p>
    <w:p w14:paraId="5469E4D2" w14:textId="77777777" w:rsidR="005B486D" w:rsidRDefault="005B486D" w:rsidP="005B486D">
      <w:pPr>
        <w:pStyle w:val="TableFootnoteLetter"/>
        <w:numPr>
          <w:ilvl w:val="0"/>
          <w:numId w:val="0"/>
        </w:numPr>
        <w:tabs>
          <w:tab w:val="left" w:pos="360"/>
        </w:tabs>
        <w:ind w:left="360" w:hanging="360"/>
      </w:pPr>
      <w:r w:rsidRPr="00252949">
        <w:rPr>
          <w:vertAlign w:val="superscript"/>
        </w:rPr>
        <w:t>b</w:t>
      </w:r>
      <w:r>
        <w:tab/>
      </w:r>
      <w:r w:rsidRPr="00252949">
        <w:t>Approximately a third of placebo-treated patients (28/99; 28.3%) received a subsequent PARP inhibitor.</w:t>
      </w:r>
    </w:p>
    <w:p w14:paraId="7D7C2B85" w14:textId="42043100" w:rsidR="005B486D" w:rsidRDefault="005B486D" w:rsidP="005B486D">
      <w:pPr>
        <w:pStyle w:val="TableFootnoteInfo"/>
      </w:pPr>
      <w:r>
        <w:lastRenderedPageBreak/>
        <w:t>N Number of events/number of randomised patients; bd Twice daily; NR not reached; OS overall survival; PFS progression-free survival; CI confidence interval; TDT Time from randomisation to discontinuation of treatment or death; TFST Time from randomisation to start of first subsequent therapy or death; PFS2 time from randomisation to second progression; TSST Time from randomisation to start of second subsequent therapy or death.</w:t>
      </w:r>
    </w:p>
    <w:p w14:paraId="35D89ADA" w14:textId="77777777" w:rsidR="00FC1847" w:rsidRPr="00E905F7" w:rsidRDefault="00FC1847" w:rsidP="005B486D">
      <w:pPr>
        <w:pStyle w:val="TableFootnoteInfo"/>
        <w:rPr>
          <w:sz w:val="16"/>
          <w:szCs w:val="16"/>
        </w:rPr>
      </w:pPr>
    </w:p>
    <w:p w14:paraId="24702C8C" w14:textId="6C4BEE8C" w:rsidR="007B09F4" w:rsidRDefault="007B09F4" w:rsidP="00E905F7">
      <w:pPr>
        <w:pStyle w:val="FigureTitle"/>
      </w:pPr>
      <w:bookmarkStart w:id="22" w:name="_Hlk513045853"/>
      <w:r w:rsidRPr="007B09F4">
        <w:t xml:space="preserve">Figure 1 </w:t>
      </w:r>
      <w:r w:rsidRPr="007B09F4">
        <w:tab/>
        <w:t xml:space="preserve">SOLO2: Kaplan-Meier plot of PFS in patients with gBRCAm PSR ovarian cancer (63% </w:t>
      </w:r>
      <w:r w:rsidRPr="00E905F7">
        <w:t>maturity</w:t>
      </w:r>
      <w:r w:rsidRPr="007B09F4">
        <w:t xml:space="preserve"> - investigator assessment)</w:t>
      </w:r>
    </w:p>
    <w:p w14:paraId="380B624D" w14:textId="25065B5B" w:rsidR="007B09F4" w:rsidRPr="00C51443" w:rsidRDefault="007B09F4" w:rsidP="00E905F7">
      <w:pPr>
        <w:pStyle w:val="Figure"/>
        <w:spacing w:after="0"/>
      </w:pPr>
      <w:r>
        <w:rPr>
          <w:noProof/>
          <w:lang w:val="en-AU" w:eastAsia="en-AU"/>
        </w:rPr>
        <w:drawing>
          <wp:inline distT="0" distB="0" distL="0" distR="0" wp14:anchorId="0D09CCCE" wp14:editId="6BD3523A">
            <wp:extent cx="6120765" cy="32861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765" cy="3286125"/>
                    </a:xfrm>
                    <a:prstGeom prst="rect">
                      <a:avLst/>
                    </a:prstGeom>
                    <a:noFill/>
                  </pic:spPr>
                </pic:pic>
              </a:graphicData>
            </a:graphic>
          </wp:inline>
        </w:drawing>
      </w:r>
    </w:p>
    <w:p w14:paraId="74483809" w14:textId="77777777" w:rsidR="007B09F4" w:rsidRPr="007B09F4" w:rsidRDefault="007B09F4" w:rsidP="00C51443">
      <w:pPr>
        <w:pStyle w:val="TableFootnoteInfo"/>
      </w:pPr>
      <w:r w:rsidRPr="007B09F4">
        <w:t>bd Twice daily; PFS Progression-free survival</w:t>
      </w:r>
    </w:p>
    <w:bookmarkEnd w:id="22"/>
    <w:p w14:paraId="0182F35A" w14:textId="04962589" w:rsidR="00685FE9" w:rsidRDefault="007B09F4" w:rsidP="005B33BC">
      <w:pPr>
        <w:pStyle w:val="Paragraph"/>
      </w:pPr>
      <w:r w:rsidRPr="007B09F4">
        <w:t>There was no difference between olaparib and placebo treatment groups in HRQoL as assessed by the change from baseline in the Trial Outcome Index (TOI) of the Functional Assessment of Cancer Therapy – Ovarian (FACT-O) over 12 months (estimated difference - 0.03; 95% CI: -2.191, 2.2126; p= 0.9765).</w:t>
      </w:r>
    </w:p>
    <w:p w14:paraId="2D2D79DC" w14:textId="421AF456" w:rsidR="00387309" w:rsidRDefault="00387309">
      <w:pPr>
        <w:pStyle w:val="Heading4Unnumbered"/>
      </w:pPr>
      <w:r w:rsidRPr="00387309">
        <w:t>Study 19 (D0810C00019) in PSR patients</w:t>
      </w:r>
    </w:p>
    <w:p w14:paraId="1198CBDE" w14:textId="0D55203C" w:rsidR="00526F84" w:rsidRDefault="00526F84" w:rsidP="00387309">
      <w:pPr>
        <w:pStyle w:val="Paragraph"/>
      </w:pPr>
      <w:r w:rsidRPr="00526F84">
        <w:t xml:space="preserve">The study compared the efficacy of LYNPARZA </w:t>
      </w:r>
      <w:r w:rsidR="00726F9E" w:rsidRPr="00726F9E">
        <w:t>capsule</w:t>
      </w:r>
      <w:r w:rsidRPr="00526F84">
        <w:t xml:space="preserve"> maintenance treatment </w:t>
      </w:r>
      <w:bookmarkStart w:id="23" w:name="_Hlk513046534"/>
      <w:r w:rsidR="00726F9E">
        <w:t>(</w:t>
      </w:r>
      <w:r w:rsidR="00726F9E" w:rsidRPr="00726F9E">
        <w:t xml:space="preserve">400 mg </w:t>
      </w:r>
      <w:r w:rsidR="00726F9E">
        <w:t>[</w:t>
      </w:r>
      <w:r w:rsidR="00726F9E" w:rsidRPr="00726F9E">
        <w:t>8 x 50 mg capsules</w:t>
      </w:r>
      <w:r w:rsidR="00726F9E">
        <w:t>]</w:t>
      </w:r>
      <w:r w:rsidR="00726F9E" w:rsidRPr="00726F9E">
        <w:t xml:space="preserve"> twice daily</w:t>
      </w:r>
      <w:r w:rsidR="00726F9E">
        <w:t>)</w:t>
      </w:r>
      <w:r w:rsidR="00726F9E" w:rsidRPr="00726F9E">
        <w:t xml:space="preserve"> </w:t>
      </w:r>
      <w:bookmarkEnd w:id="23"/>
      <w:r w:rsidRPr="00526F84">
        <w:t xml:space="preserve">taken to progression with </w:t>
      </w:r>
      <w:r w:rsidR="00726F9E" w:rsidRPr="00726F9E">
        <w:t>placebo</w:t>
      </w:r>
      <w:r w:rsidRPr="00526F84">
        <w:t xml:space="preserve"> in 265 (136 LYNPARZA and 129 placebo) PSR patients who were in response (CR [complete response] or PR [partial response]) following completion of platinum containing chemotherapy.  The primary endpoint was PFS based on investigator assessment using RECIST 1.0. Secondary efficacy endpoints included OS (overall survival), DCR (disease control rate) defined as confirmed CR/PR + SD (stable disease), HRQoL (health related quality of life), and disease related symptoms.</w:t>
      </w:r>
    </w:p>
    <w:p w14:paraId="6934F982" w14:textId="0614339B" w:rsidR="005B33BC" w:rsidRDefault="005B33BC" w:rsidP="005B33BC">
      <w:pPr>
        <w:pStyle w:val="Paragraph"/>
      </w:pPr>
      <w:r>
        <w:t xml:space="preserve">The study met its primary objective </w:t>
      </w:r>
      <w:r w:rsidR="00726F9E" w:rsidRPr="00726F9E">
        <w:t xml:space="preserve">demonstrating a </w:t>
      </w:r>
      <w:r>
        <w:t xml:space="preserve">statistically significant </w:t>
      </w:r>
      <w:r w:rsidR="00726F9E" w:rsidRPr="00726F9E">
        <w:t>and clinically relevant improvement in</w:t>
      </w:r>
      <w:r>
        <w:t xml:space="preserve"> PFS for </w:t>
      </w:r>
      <w:r w:rsidR="00726F9E">
        <w:t>olaparib</w:t>
      </w:r>
      <w:r>
        <w:t xml:space="preserve"> compared with placebo </w:t>
      </w:r>
      <w:bookmarkStart w:id="24" w:name="_Hlk513046893"/>
      <w:r w:rsidR="003B6835" w:rsidRPr="003B6835">
        <w:t xml:space="preserve">with a </w:t>
      </w:r>
      <w:bookmarkEnd w:id="24"/>
      <w:r>
        <w:t xml:space="preserve">HR 0.35 </w:t>
      </w:r>
      <w:bookmarkStart w:id="25" w:name="_Hlk513046918"/>
      <w:r w:rsidR="003B6835" w:rsidRPr="003B6835">
        <w:t>(</w:t>
      </w:r>
      <w:bookmarkEnd w:id="25"/>
      <w:r>
        <w:t xml:space="preserve">95% CI 0.25-0.49; p&lt;0.00001; </w:t>
      </w:r>
      <w:r w:rsidR="003B6835" w:rsidRPr="003B6835">
        <w:t>median 8.4 months for LYNPARZA vs. 4.8 months for placebo).  At the final analysis (data cut off (DCO) 9 May 2016) for OS at 79% maturity, the hazard ratio comparing olaparib with placebo was 0.73 (95% CI 0.55-0.95; p=0.02138 (did not meet prespecified significance level of &lt;0.0095); median 29.8 months for olaparib vs. 27.8 months for placebo).</w:t>
      </w:r>
    </w:p>
    <w:p w14:paraId="53C9CD14" w14:textId="4FCE12CE" w:rsidR="005B33BC" w:rsidRDefault="003B6835" w:rsidP="00013F59">
      <w:pPr>
        <w:pStyle w:val="Paragraph"/>
      </w:pPr>
      <w:r w:rsidRPr="003B6835">
        <w:t xml:space="preserve">BRCA mutation status was confirmed retrospectively and a </w:t>
      </w:r>
      <w:proofErr w:type="spellStart"/>
      <w:r w:rsidRPr="003B6835">
        <w:t>preplanned</w:t>
      </w:r>
      <w:proofErr w:type="spellEnd"/>
      <w:r w:rsidRPr="003B6835">
        <w:t xml:space="preserve"> </w:t>
      </w:r>
      <w:r w:rsidR="005B33BC">
        <w:t xml:space="preserve">subgroup analysis identified patients with BRCA-mutated </w:t>
      </w:r>
      <w:r w:rsidRPr="003B6835">
        <w:t xml:space="preserve">(germline and somatic) </w:t>
      </w:r>
      <w:r w:rsidR="005B33BC">
        <w:t xml:space="preserve">ovarian cancer (n=136, 51.3%) as the </w:t>
      </w:r>
      <w:r w:rsidR="005B33BC">
        <w:lastRenderedPageBreak/>
        <w:t xml:space="preserve">subgroup that derived the greatest clinical benefit from LYNPARZA maintenance monotherapy.  </w:t>
      </w:r>
      <w:r w:rsidRPr="003B6835">
        <w:t>There were no multiplicity strategies in place for the sub-group analyses, thus all p values are nominal.</w:t>
      </w:r>
      <w:r w:rsidR="005B33BC">
        <w:t xml:space="preserve">  In </w:t>
      </w:r>
      <w:proofErr w:type="spellStart"/>
      <w:r w:rsidR="005B33BC">
        <w:t>BRCA</w:t>
      </w:r>
      <w:r w:rsidRPr="00C51443">
        <w:rPr>
          <w:i/>
        </w:rPr>
        <w:t>m</w:t>
      </w:r>
      <w:proofErr w:type="spellEnd"/>
      <w:r>
        <w:t xml:space="preserve"> </w:t>
      </w:r>
      <w:r w:rsidR="005B33BC">
        <w:t xml:space="preserve">patients </w:t>
      </w:r>
      <w:bookmarkStart w:id="26" w:name="_Hlk513047184"/>
      <w:r w:rsidR="00013F59" w:rsidRPr="00013F59">
        <w:t xml:space="preserve">the hazard ratio for PFS improvement was </w:t>
      </w:r>
      <w:bookmarkEnd w:id="26"/>
      <w:r w:rsidR="005B33BC">
        <w:t xml:space="preserve">0.18 </w:t>
      </w:r>
      <w:r w:rsidR="00013F59" w:rsidRPr="00013F59">
        <w:t>(</w:t>
      </w:r>
      <w:r w:rsidR="005B33BC">
        <w:t xml:space="preserve">95% CI 0.10-0.31; p&lt;0.00001; median 11.2 months </w:t>
      </w:r>
      <w:bookmarkStart w:id="27" w:name="_Hlk513047229"/>
      <w:r w:rsidR="00013F59" w:rsidRPr="00013F59">
        <w:t xml:space="preserve">for olaparib </w:t>
      </w:r>
      <w:bookmarkEnd w:id="27"/>
      <w:r w:rsidR="005B33BC">
        <w:t xml:space="preserve">vs 4.3 months </w:t>
      </w:r>
      <w:r w:rsidR="00013F59" w:rsidRPr="00013F59">
        <w:t>for placebo</w:t>
      </w:r>
      <w:r w:rsidR="005B33BC">
        <w:t xml:space="preserve">).  </w:t>
      </w:r>
      <w:r w:rsidR="00013F59" w:rsidRPr="00013F59">
        <w:t xml:space="preserve">For the secondary endpoint of </w:t>
      </w:r>
      <w:r w:rsidR="005B33BC">
        <w:t xml:space="preserve">OS </w:t>
      </w:r>
      <w:r w:rsidR="00F67D68" w:rsidRPr="00F67D68">
        <w:t xml:space="preserve">the hazard ratio for olaparib vs. placebo was </w:t>
      </w:r>
      <w:r w:rsidR="005B33BC">
        <w:t>0.</w:t>
      </w:r>
      <w:r w:rsidR="00F67D68">
        <w:t>62</w:t>
      </w:r>
      <w:r w:rsidR="005B33BC">
        <w:t>; 95% CI 0.</w:t>
      </w:r>
      <w:r w:rsidR="00F67D68">
        <w:t>42</w:t>
      </w:r>
      <w:r w:rsidR="005B33BC">
        <w:t xml:space="preserve">- </w:t>
      </w:r>
      <w:r w:rsidR="00F67D68">
        <w:t>0.93</w:t>
      </w:r>
      <w:r w:rsidR="005B33BC">
        <w:t>; p=.0.</w:t>
      </w:r>
      <w:r w:rsidR="00F67D68">
        <w:t>02140</w:t>
      </w:r>
      <w:r w:rsidR="005B33BC">
        <w:t xml:space="preserve">; median 34.9 months </w:t>
      </w:r>
      <w:bookmarkStart w:id="28" w:name="_Hlk513047712"/>
      <w:r w:rsidR="00F67D68" w:rsidRPr="00F67D68">
        <w:t xml:space="preserve">for olaparib </w:t>
      </w:r>
      <w:bookmarkEnd w:id="28"/>
      <w:r w:rsidR="005B33BC">
        <w:t xml:space="preserve">versus </w:t>
      </w:r>
      <w:r w:rsidR="00F67D68" w:rsidRPr="00F67D68">
        <w:t>30.2</w:t>
      </w:r>
      <w:r w:rsidR="005B33BC">
        <w:t xml:space="preserve"> months </w:t>
      </w:r>
      <w:bookmarkStart w:id="29" w:name="_Hlk513047772"/>
      <w:r w:rsidR="00916223" w:rsidRPr="00916223">
        <w:t>for placebo</w:t>
      </w:r>
      <w:bookmarkEnd w:id="29"/>
      <w:r w:rsidR="005B33BC">
        <w:t xml:space="preserve">).  </w:t>
      </w:r>
      <w:r w:rsidR="00916D38" w:rsidRPr="00916D38">
        <w:t>In the olaparib-treated group, 28.4% of patients remained on treatment for ≥2 years and 14.9% for ≥5 years.  In the placebo-treated group, 8.1% of patients remained on treatment for ≥2 years and 1.6% for ≥5 years.  Patients without a deleterious BRCA mutation in the olaparib group had a statistically significant PFS improvement compared with the placebo group [HR 0.54 (95% CI: 0.34, 0.85; p&lt;0.0075).</w:t>
      </w:r>
    </w:p>
    <w:p w14:paraId="4FEAD9CA" w14:textId="5B983B93" w:rsidR="008A6E2D" w:rsidRDefault="008A6E2D" w:rsidP="008A6E2D">
      <w:pPr>
        <w:pStyle w:val="Paragraph"/>
      </w:pPr>
      <w:r>
        <w:t xml:space="preserve">Within </w:t>
      </w:r>
      <w:r w:rsidR="00916D38" w:rsidRPr="00916D38">
        <w:t>the overall population, the DCR at 24 weeks was 53% and 25% for patients in the olaparib and placebo groups, respectively and in</w:t>
      </w:r>
      <w:r>
        <w:t xml:space="preserve"> the BRCA-mutated population the disease control rate at 24 weeks was 57% and 24% for patients in the LYNPARZA and placebo groups, respectively.</w:t>
      </w:r>
    </w:p>
    <w:p w14:paraId="6B9961DB" w14:textId="7F8C32A4" w:rsidR="008A6E2D" w:rsidRDefault="008A6E2D" w:rsidP="008A6E2D">
      <w:pPr>
        <w:pStyle w:val="Paragraph"/>
      </w:pPr>
      <w:r>
        <w:t>No statistically significant differences were observed between treatment groups in patient reported symptoms or HRQoL.</w:t>
      </w:r>
    </w:p>
    <w:p w14:paraId="0A1A3949" w14:textId="03959F44" w:rsidR="008A6E2D" w:rsidRDefault="008A6E2D" w:rsidP="008A6E2D">
      <w:pPr>
        <w:pStyle w:val="Paragraph"/>
      </w:pPr>
      <w:r>
        <w:t xml:space="preserve">A summary of efficacy findings for patients with </w:t>
      </w:r>
      <w:proofErr w:type="spellStart"/>
      <w:r>
        <w:t>BRCA</w:t>
      </w:r>
      <w:r w:rsidR="00916D38" w:rsidRPr="00916D38">
        <w:t>m</w:t>
      </w:r>
      <w:proofErr w:type="spellEnd"/>
      <w:r>
        <w:t xml:space="preserve"> PSR ovarian cancer in Study 19 is presented in Table </w:t>
      </w:r>
      <w:r w:rsidR="00307768">
        <w:t>4</w:t>
      </w:r>
      <w:r>
        <w:t>.</w:t>
      </w:r>
    </w:p>
    <w:p w14:paraId="4B287201" w14:textId="6A6A2F9C" w:rsidR="00916D38" w:rsidRDefault="00916D38" w:rsidP="00916D38">
      <w:pPr>
        <w:pStyle w:val="TableTitle"/>
        <w:tabs>
          <w:tab w:val="clear" w:pos="1701"/>
          <w:tab w:val="left" w:pos="1080"/>
        </w:tabs>
        <w:ind w:left="1080" w:hanging="1080"/>
      </w:pPr>
      <w:r w:rsidRPr="008A6E2D">
        <w:t xml:space="preserve">Table </w:t>
      </w:r>
      <w:r w:rsidR="00307768">
        <w:t>4</w:t>
      </w:r>
      <w:r w:rsidRPr="008A6E2D">
        <w:tab/>
        <w:t xml:space="preserve">Summary of key efficacy findings for all patients and patients with </w:t>
      </w:r>
      <w:proofErr w:type="spellStart"/>
      <w:r w:rsidRPr="008A6E2D">
        <w:t>BRCAm</w:t>
      </w:r>
      <w:proofErr w:type="spellEnd"/>
      <w:r w:rsidRPr="008A6E2D">
        <w:t xml:space="preserve"> PSR ovarian cancer in Study 19</w:t>
      </w:r>
    </w:p>
    <w:tbl>
      <w:tblPr>
        <w:tblW w:w="9540" w:type="dxa"/>
        <w:tblLayout w:type="fixed"/>
        <w:tblCellMar>
          <w:left w:w="0" w:type="dxa"/>
          <w:right w:w="0" w:type="dxa"/>
        </w:tblCellMar>
        <w:tblLook w:val="04A0" w:firstRow="1" w:lastRow="0" w:firstColumn="1" w:lastColumn="0" w:noHBand="0" w:noVBand="1"/>
      </w:tblPr>
      <w:tblGrid>
        <w:gridCol w:w="3330"/>
        <w:gridCol w:w="1530"/>
        <w:gridCol w:w="1620"/>
        <w:gridCol w:w="1620"/>
        <w:gridCol w:w="1440"/>
      </w:tblGrid>
      <w:tr w:rsidR="00916D38" w:rsidRPr="008A6E2D" w14:paraId="46F84AF7" w14:textId="77777777" w:rsidTr="001C4C83">
        <w:trPr>
          <w:cantSplit/>
          <w:tblHeader/>
        </w:trPr>
        <w:tc>
          <w:tcPr>
            <w:tcW w:w="3330" w:type="dxa"/>
            <w:tcBorders>
              <w:top w:val="single" w:sz="12" w:space="0" w:color="auto"/>
              <w:left w:val="nil"/>
              <w:bottom w:val="nil"/>
              <w:right w:val="nil"/>
            </w:tcBorders>
            <w:tcMar>
              <w:top w:w="0" w:type="dxa"/>
              <w:left w:w="108" w:type="dxa"/>
              <w:bottom w:w="0" w:type="dxa"/>
              <w:right w:w="108" w:type="dxa"/>
            </w:tcMar>
          </w:tcPr>
          <w:p w14:paraId="69AA68DA" w14:textId="77777777" w:rsidR="00916D38" w:rsidRPr="008A6E2D" w:rsidRDefault="00916D38" w:rsidP="001C4C83">
            <w:pPr>
              <w:pStyle w:val="TableHead"/>
              <w:rPr>
                <w:sz w:val="22"/>
                <w:szCs w:val="22"/>
              </w:rPr>
            </w:pPr>
          </w:p>
        </w:tc>
        <w:tc>
          <w:tcPr>
            <w:tcW w:w="3150" w:type="dxa"/>
            <w:gridSpan w:val="2"/>
            <w:tcBorders>
              <w:top w:val="single" w:sz="12" w:space="0" w:color="auto"/>
              <w:left w:val="nil"/>
              <w:bottom w:val="nil"/>
              <w:right w:val="nil"/>
            </w:tcBorders>
            <w:tcMar>
              <w:top w:w="0" w:type="dxa"/>
              <w:left w:w="108" w:type="dxa"/>
              <w:bottom w:w="0" w:type="dxa"/>
              <w:right w:w="108" w:type="dxa"/>
            </w:tcMar>
            <w:hideMark/>
          </w:tcPr>
          <w:p w14:paraId="498560E4" w14:textId="77777777" w:rsidR="00916D38" w:rsidRPr="008A6E2D" w:rsidRDefault="00916D38" w:rsidP="001C4C83">
            <w:pPr>
              <w:pStyle w:val="TableHead"/>
              <w:rPr>
                <w:sz w:val="22"/>
                <w:szCs w:val="22"/>
              </w:rPr>
            </w:pPr>
            <w:r w:rsidRPr="008A6E2D">
              <w:rPr>
                <w:sz w:val="22"/>
                <w:szCs w:val="22"/>
              </w:rPr>
              <w:t>All patients</w:t>
            </w:r>
          </w:p>
        </w:tc>
        <w:tc>
          <w:tcPr>
            <w:tcW w:w="3060" w:type="dxa"/>
            <w:gridSpan w:val="2"/>
            <w:tcBorders>
              <w:top w:val="single" w:sz="12" w:space="0" w:color="auto"/>
              <w:left w:val="nil"/>
              <w:bottom w:val="nil"/>
              <w:right w:val="nil"/>
            </w:tcBorders>
            <w:tcMar>
              <w:top w:w="0" w:type="dxa"/>
              <w:left w:w="108" w:type="dxa"/>
              <w:bottom w:w="0" w:type="dxa"/>
              <w:right w:w="108" w:type="dxa"/>
            </w:tcMar>
            <w:hideMark/>
          </w:tcPr>
          <w:p w14:paraId="1CE2E1AC" w14:textId="77777777" w:rsidR="00916D38" w:rsidRPr="008A6E2D" w:rsidRDefault="00916D38" w:rsidP="001C4C83">
            <w:pPr>
              <w:pStyle w:val="TableHead"/>
              <w:rPr>
                <w:sz w:val="22"/>
                <w:szCs w:val="22"/>
              </w:rPr>
            </w:pPr>
            <w:r w:rsidRPr="008A6E2D">
              <w:rPr>
                <w:i/>
                <w:iCs/>
                <w:sz w:val="22"/>
                <w:szCs w:val="22"/>
                <w:lang w:val="en-AU"/>
              </w:rPr>
              <w:t>BRCA-mutated</w:t>
            </w:r>
          </w:p>
        </w:tc>
      </w:tr>
      <w:tr w:rsidR="00916D38" w:rsidRPr="008A6E2D" w14:paraId="4CEE9128" w14:textId="77777777" w:rsidTr="001C4C83">
        <w:trPr>
          <w:cantSplit/>
          <w:tblHeader/>
        </w:trPr>
        <w:tc>
          <w:tcPr>
            <w:tcW w:w="3330" w:type="dxa"/>
            <w:tcBorders>
              <w:top w:val="nil"/>
              <w:left w:val="nil"/>
              <w:bottom w:val="single" w:sz="8" w:space="0" w:color="auto"/>
              <w:right w:val="nil"/>
            </w:tcBorders>
            <w:tcMar>
              <w:top w:w="0" w:type="dxa"/>
              <w:left w:w="108" w:type="dxa"/>
              <w:bottom w:w="0" w:type="dxa"/>
              <w:right w:w="108" w:type="dxa"/>
            </w:tcMar>
          </w:tcPr>
          <w:p w14:paraId="3E60CA82" w14:textId="77777777" w:rsidR="00916D38" w:rsidRPr="008A6E2D" w:rsidRDefault="00916D38" w:rsidP="001C4C83">
            <w:pPr>
              <w:pStyle w:val="TableHead"/>
              <w:rPr>
                <w:sz w:val="22"/>
                <w:szCs w:val="22"/>
              </w:rPr>
            </w:pPr>
          </w:p>
        </w:tc>
        <w:tc>
          <w:tcPr>
            <w:tcW w:w="1530" w:type="dxa"/>
            <w:tcBorders>
              <w:top w:val="nil"/>
              <w:left w:val="nil"/>
              <w:bottom w:val="single" w:sz="8" w:space="0" w:color="auto"/>
              <w:right w:val="nil"/>
            </w:tcBorders>
            <w:tcMar>
              <w:top w:w="0" w:type="dxa"/>
              <w:left w:w="108" w:type="dxa"/>
              <w:bottom w:w="0" w:type="dxa"/>
              <w:right w:w="108" w:type="dxa"/>
            </w:tcMar>
            <w:hideMark/>
          </w:tcPr>
          <w:p w14:paraId="2245C2D5" w14:textId="77777777" w:rsidR="00916D38" w:rsidRPr="008A6E2D" w:rsidRDefault="00916D38" w:rsidP="001C4C83">
            <w:pPr>
              <w:pStyle w:val="TableHead"/>
              <w:rPr>
                <w:sz w:val="22"/>
                <w:szCs w:val="22"/>
              </w:rPr>
            </w:pPr>
            <w:r w:rsidRPr="008A6E2D">
              <w:rPr>
                <w:sz w:val="22"/>
                <w:szCs w:val="22"/>
              </w:rPr>
              <w:t>LYNPARZA 400 mg capsule bid</w:t>
            </w:r>
          </w:p>
        </w:tc>
        <w:tc>
          <w:tcPr>
            <w:tcW w:w="1620" w:type="dxa"/>
            <w:tcBorders>
              <w:top w:val="nil"/>
              <w:left w:val="nil"/>
              <w:bottom w:val="single" w:sz="8" w:space="0" w:color="auto"/>
              <w:right w:val="nil"/>
            </w:tcBorders>
            <w:tcMar>
              <w:top w:w="0" w:type="dxa"/>
              <w:left w:w="108" w:type="dxa"/>
              <w:bottom w:w="0" w:type="dxa"/>
              <w:right w:w="108" w:type="dxa"/>
            </w:tcMar>
            <w:hideMark/>
          </w:tcPr>
          <w:p w14:paraId="6950248B" w14:textId="77777777" w:rsidR="00916D38" w:rsidRPr="008A6E2D" w:rsidRDefault="00916D38" w:rsidP="001C4C83">
            <w:pPr>
              <w:pStyle w:val="TableHead"/>
              <w:rPr>
                <w:sz w:val="22"/>
                <w:szCs w:val="22"/>
              </w:rPr>
            </w:pPr>
            <w:r w:rsidRPr="008A6E2D">
              <w:rPr>
                <w:sz w:val="22"/>
                <w:szCs w:val="22"/>
              </w:rPr>
              <w:t>Placebo</w:t>
            </w:r>
          </w:p>
          <w:p w14:paraId="4296C70E" w14:textId="77777777" w:rsidR="00916D38" w:rsidRPr="008A6E2D" w:rsidRDefault="00916D38" w:rsidP="001C4C83">
            <w:pPr>
              <w:pStyle w:val="TableHead"/>
              <w:rPr>
                <w:sz w:val="22"/>
                <w:szCs w:val="22"/>
              </w:rPr>
            </w:pPr>
          </w:p>
        </w:tc>
        <w:tc>
          <w:tcPr>
            <w:tcW w:w="1620" w:type="dxa"/>
            <w:tcBorders>
              <w:top w:val="nil"/>
              <w:left w:val="nil"/>
              <w:bottom w:val="single" w:sz="8" w:space="0" w:color="auto"/>
              <w:right w:val="nil"/>
            </w:tcBorders>
            <w:tcMar>
              <w:top w:w="0" w:type="dxa"/>
              <w:left w:w="108" w:type="dxa"/>
              <w:bottom w:w="0" w:type="dxa"/>
              <w:right w:w="108" w:type="dxa"/>
            </w:tcMar>
            <w:hideMark/>
          </w:tcPr>
          <w:p w14:paraId="2D5F46C5" w14:textId="77777777" w:rsidR="00916D38" w:rsidRPr="008A6E2D" w:rsidRDefault="00916D38" w:rsidP="001C4C83">
            <w:pPr>
              <w:pStyle w:val="TableHead"/>
              <w:rPr>
                <w:sz w:val="22"/>
                <w:szCs w:val="22"/>
              </w:rPr>
            </w:pPr>
            <w:r w:rsidRPr="008A6E2D">
              <w:rPr>
                <w:sz w:val="22"/>
                <w:szCs w:val="22"/>
              </w:rPr>
              <w:t>LYNPARZA 400 mg capsule bid</w:t>
            </w:r>
          </w:p>
        </w:tc>
        <w:tc>
          <w:tcPr>
            <w:tcW w:w="1440" w:type="dxa"/>
            <w:tcBorders>
              <w:top w:val="nil"/>
              <w:left w:val="nil"/>
              <w:bottom w:val="single" w:sz="8" w:space="0" w:color="auto"/>
              <w:right w:val="nil"/>
            </w:tcBorders>
            <w:tcMar>
              <w:top w:w="0" w:type="dxa"/>
              <w:left w:w="108" w:type="dxa"/>
              <w:bottom w:w="0" w:type="dxa"/>
              <w:right w:w="108" w:type="dxa"/>
            </w:tcMar>
            <w:hideMark/>
          </w:tcPr>
          <w:p w14:paraId="3B2AAF82" w14:textId="77777777" w:rsidR="00916D38" w:rsidRPr="008A6E2D" w:rsidRDefault="00916D38" w:rsidP="001C4C83">
            <w:pPr>
              <w:pStyle w:val="TableHead"/>
              <w:rPr>
                <w:sz w:val="22"/>
                <w:szCs w:val="22"/>
              </w:rPr>
            </w:pPr>
            <w:r w:rsidRPr="008A6E2D">
              <w:rPr>
                <w:sz w:val="22"/>
                <w:szCs w:val="22"/>
              </w:rPr>
              <w:t>Placebo</w:t>
            </w:r>
          </w:p>
          <w:p w14:paraId="6F9BF40D" w14:textId="77777777" w:rsidR="00916D38" w:rsidRPr="008A6E2D" w:rsidRDefault="00916D38" w:rsidP="001C4C83">
            <w:pPr>
              <w:pStyle w:val="TableHead"/>
              <w:rPr>
                <w:sz w:val="22"/>
                <w:szCs w:val="22"/>
              </w:rPr>
            </w:pPr>
          </w:p>
        </w:tc>
      </w:tr>
      <w:tr w:rsidR="00916D38" w:rsidRPr="008A6E2D" w14:paraId="7340EC1D" w14:textId="77777777" w:rsidTr="001C4C83">
        <w:trPr>
          <w:cantSplit/>
        </w:trPr>
        <w:tc>
          <w:tcPr>
            <w:tcW w:w="9540" w:type="dxa"/>
            <w:gridSpan w:val="5"/>
            <w:tcBorders>
              <w:top w:val="nil"/>
              <w:left w:val="nil"/>
              <w:bottom w:val="single" w:sz="8" w:space="0" w:color="auto"/>
              <w:right w:val="nil"/>
            </w:tcBorders>
            <w:shd w:val="clear" w:color="auto" w:fill="E0E0E0"/>
            <w:tcMar>
              <w:top w:w="0" w:type="dxa"/>
              <w:left w:w="108" w:type="dxa"/>
              <w:bottom w:w="0" w:type="dxa"/>
              <w:right w:w="108" w:type="dxa"/>
            </w:tcMar>
            <w:hideMark/>
          </w:tcPr>
          <w:p w14:paraId="77437DE0" w14:textId="77777777" w:rsidR="00916D38" w:rsidRPr="008A6E2D" w:rsidRDefault="00916D38" w:rsidP="001C4C83">
            <w:pPr>
              <w:pStyle w:val="TableHead"/>
              <w:jc w:val="left"/>
              <w:rPr>
                <w:sz w:val="22"/>
                <w:szCs w:val="22"/>
              </w:rPr>
            </w:pPr>
            <w:r w:rsidRPr="008A6E2D">
              <w:rPr>
                <w:sz w:val="22"/>
                <w:szCs w:val="22"/>
              </w:rPr>
              <w:t xml:space="preserve">PFS </w:t>
            </w:r>
            <w:r w:rsidRPr="008A6E2D">
              <w:rPr>
                <w:sz w:val="22"/>
                <w:szCs w:val="22"/>
                <w:lang w:val="en-AU"/>
              </w:rPr>
              <w:t>– DCO 30 June 2010</w:t>
            </w:r>
          </w:p>
        </w:tc>
      </w:tr>
      <w:tr w:rsidR="00916D38" w:rsidRPr="008A6E2D" w14:paraId="27E2B85E" w14:textId="77777777" w:rsidTr="001C4C83">
        <w:trPr>
          <w:cantSplit/>
        </w:trPr>
        <w:tc>
          <w:tcPr>
            <w:tcW w:w="3330" w:type="dxa"/>
            <w:tcMar>
              <w:top w:w="0" w:type="dxa"/>
              <w:left w:w="108" w:type="dxa"/>
              <w:bottom w:w="0" w:type="dxa"/>
              <w:right w:w="108" w:type="dxa"/>
            </w:tcMar>
            <w:hideMark/>
          </w:tcPr>
          <w:p w14:paraId="1CAF0A8D" w14:textId="77777777" w:rsidR="00916D38" w:rsidRPr="008A6E2D" w:rsidRDefault="00916D38" w:rsidP="001C4C83">
            <w:pPr>
              <w:pStyle w:val="TableLeft"/>
              <w:rPr>
                <w:sz w:val="22"/>
                <w:szCs w:val="22"/>
              </w:rPr>
            </w:pPr>
            <w:r w:rsidRPr="008A6E2D">
              <w:rPr>
                <w:sz w:val="22"/>
                <w:szCs w:val="22"/>
              </w:rPr>
              <w:t>Number of events: Total number of patients (%)</w:t>
            </w:r>
          </w:p>
        </w:tc>
        <w:tc>
          <w:tcPr>
            <w:tcW w:w="1530" w:type="dxa"/>
            <w:tcMar>
              <w:top w:w="0" w:type="dxa"/>
              <w:left w:w="108" w:type="dxa"/>
              <w:bottom w:w="0" w:type="dxa"/>
              <w:right w:w="108" w:type="dxa"/>
            </w:tcMar>
            <w:hideMark/>
          </w:tcPr>
          <w:p w14:paraId="02347A00" w14:textId="77777777" w:rsidR="00916D38" w:rsidRPr="008A6E2D" w:rsidRDefault="00916D38" w:rsidP="001C4C83">
            <w:pPr>
              <w:pStyle w:val="TableCenter"/>
              <w:rPr>
                <w:sz w:val="22"/>
                <w:szCs w:val="22"/>
              </w:rPr>
            </w:pPr>
            <w:r w:rsidRPr="008A6E2D">
              <w:rPr>
                <w:sz w:val="22"/>
                <w:szCs w:val="22"/>
                <w:lang w:val="en-AU"/>
              </w:rPr>
              <w:t>60:136 (44%)</w:t>
            </w:r>
          </w:p>
        </w:tc>
        <w:tc>
          <w:tcPr>
            <w:tcW w:w="1620" w:type="dxa"/>
            <w:tcMar>
              <w:top w:w="0" w:type="dxa"/>
              <w:left w:w="108" w:type="dxa"/>
              <w:bottom w:w="0" w:type="dxa"/>
              <w:right w:w="108" w:type="dxa"/>
            </w:tcMar>
            <w:hideMark/>
          </w:tcPr>
          <w:p w14:paraId="3238FD03" w14:textId="77777777" w:rsidR="00916D38" w:rsidRPr="008A6E2D" w:rsidRDefault="00916D38" w:rsidP="001C4C83">
            <w:pPr>
              <w:pStyle w:val="TableCenter"/>
              <w:rPr>
                <w:sz w:val="22"/>
                <w:szCs w:val="22"/>
              </w:rPr>
            </w:pPr>
            <w:r w:rsidRPr="008A6E2D">
              <w:rPr>
                <w:sz w:val="22"/>
                <w:szCs w:val="22"/>
                <w:lang w:val="en-AU"/>
              </w:rPr>
              <w:t>94:129 (73%)</w:t>
            </w:r>
          </w:p>
        </w:tc>
        <w:tc>
          <w:tcPr>
            <w:tcW w:w="1620" w:type="dxa"/>
            <w:tcMar>
              <w:top w:w="0" w:type="dxa"/>
              <w:left w:w="108" w:type="dxa"/>
              <w:bottom w:w="0" w:type="dxa"/>
              <w:right w:w="108" w:type="dxa"/>
            </w:tcMar>
            <w:hideMark/>
          </w:tcPr>
          <w:p w14:paraId="4F4F199C" w14:textId="77777777" w:rsidR="00916D38" w:rsidRPr="008A6E2D" w:rsidRDefault="00916D38" w:rsidP="001C4C83">
            <w:pPr>
              <w:pStyle w:val="TableCenter"/>
              <w:rPr>
                <w:sz w:val="22"/>
                <w:szCs w:val="22"/>
              </w:rPr>
            </w:pPr>
            <w:r w:rsidRPr="008A6E2D">
              <w:rPr>
                <w:sz w:val="22"/>
                <w:szCs w:val="22"/>
                <w:lang w:val="en-AU"/>
              </w:rPr>
              <w:t>26:74 (35%)</w:t>
            </w:r>
          </w:p>
        </w:tc>
        <w:tc>
          <w:tcPr>
            <w:tcW w:w="1440" w:type="dxa"/>
            <w:tcMar>
              <w:top w:w="0" w:type="dxa"/>
              <w:left w:w="108" w:type="dxa"/>
              <w:bottom w:w="0" w:type="dxa"/>
              <w:right w:w="108" w:type="dxa"/>
            </w:tcMar>
            <w:hideMark/>
          </w:tcPr>
          <w:p w14:paraId="28964506" w14:textId="77777777" w:rsidR="00916D38" w:rsidRPr="008A6E2D" w:rsidRDefault="00916D38" w:rsidP="001C4C83">
            <w:pPr>
              <w:pStyle w:val="TableCenter"/>
              <w:rPr>
                <w:sz w:val="22"/>
                <w:szCs w:val="22"/>
              </w:rPr>
            </w:pPr>
            <w:r w:rsidRPr="008A6E2D">
              <w:rPr>
                <w:sz w:val="22"/>
                <w:szCs w:val="22"/>
                <w:lang w:val="en-AU"/>
              </w:rPr>
              <w:t>46:62 (74%)</w:t>
            </w:r>
          </w:p>
        </w:tc>
      </w:tr>
      <w:tr w:rsidR="00916D38" w:rsidRPr="008A6E2D" w14:paraId="2F01F8CF" w14:textId="77777777" w:rsidTr="001C4C83">
        <w:trPr>
          <w:cantSplit/>
        </w:trPr>
        <w:tc>
          <w:tcPr>
            <w:tcW w:w="3330" w:type="dxa"/>
            <w:tcMar>
              <w:top w:w="0" w:type="dxa"/>
              <w:left w:w="108" w:type="dxa"/>
              <w:bottom w:w="0" w:type="dxa"/>
              <w:right w:w="108" w:type="dxa"/>
            </w:tcMar>
            <w:hideMark/>
          </w:tcPr>
          <w:p w14:paraId="3FC7C909" w14:textId="77777777" w:rsidR="00916D38" w:rsidRPr="008A6E2D" w:rsidRDefault="00916D38" w:rsidP="001C4C83">
            <w:pPr>
              <w:pStyle w:val="TableLeft"/>
              <w:rPr>
                <w:sz w:val="22"/>
                <w:szCs w:val="22"/>
              </w:rPr>
            </w:pPr>
            <w:r w:rsidRPr="008A6E2D">
              <w:rPr>
                <w:sz w:val="22"/>
                <w:szCs w:val="22"/>
              </w:rPr>
              <w:t xml:space="preserve">Median time (months) </w:t>
            </w:r>
          </w:p>
        </w:tc>
        <w:tc>
          <w:tcPr>
            <w:tcW w:w="1530" w:type="dxa"/>
            <w:tcMar>
              <w:top w:w="0" w:type="dxa"/>
              <w:left w:w="108" w:type="dxa"/>
              <w:bottom w:w="0" w:type="dxa"/>
              <w:right w:w="108" w:type="dxa"/>
            </w:tcMar>
          </w:tcPr>
          <w:p w14:paraId="6E7844C5" w14:textId="77777777" w:rsidR="00916D38" w:rsidRPr="008A6E2D" w:rsidRDefault="00916D38" w:rsidP="001C4C83">
            <w:pPr>
              <w:pStyle w:val="TableCenter"/>
              <w:rPr>
                <w:sz w:val="22"/>
                <w:szCs w:val="22"/>
              </w:rPr>
            </w:pPr>
            <w:r w:rsidRPr="008A6E2D">
              <w:rPr>
                <w:sz w:val="22"/>
                <w:szCs w:val="22"/>
              </w:rPr>
              <w:t>8.4</w:t>
            </w:r>
          </w:p>
        </w:tc>
        <w:tc>
          <w:tcPr>
            <w:tcW w:w="1620" w:type="dxa"/>
            <w:tcMar>
              <w:top w:w="0" w:type="dxa"/>
              <w:left w:w="108" w:type="dxa"/>
              <w:bottom w:w="0" w:type="dxa"/>
              <w:right w:w="108" w:type="dxa"/>
            </w:tcMar>
          </w:tcPr>
          <w:p w14:paraId="16F325FE" w14:textId="77777777" w:rsidR="00916D38" w:rsidRPr="008A6E2D" w:rsidRDefault="00916D38" w:rsidP="001C4C83">
            <w:pPr>
              <w:pStyle w:val="TableCenter"/>
              <w:rPr>
                <w:sz w:val="22"/>
                <w:szCs w:val="22"/>
              </w:rPr>
            </w:pPr>
            <w:r w:rsidRPr="008A6E2D">
              <w:rPr>
                <w:sz w:val="22"/>
                <w:szCs w:val="22"/>
              </w:rPr>
              <w:t>4.8</w:t>
            </w:r>
          </w:p>
        </w:tc>
        <w:tc>
          <w:tcPr>
            <w:tcW w:w="1620" w:type="dxa"/>
            <w:tcMar>
              <w:top w:w="0" w:type="dxa"/>
              <w:left w:w="108" w:type="dxa"/>
              <w:bottom w:w="0" w:type="dxa"/>
              <w:right w:w="108" w:type="dxa"/>
            </w:tcMar>
            <w:hideMark/>
          </w:tcPr>
          <w:p w14:paraId="09052E75" w14:textId="77777777" w:rsidR="00916D38" w:rsidRPr="008A6E2D" w:rsidRDefault="00916D38" w:rsidP="001C4C83">
            <w:pPr>
              <w:pStyle w:val="TableCenter"/>
              <w:rPr>
                <w:sz w:val="22"/>
                <w:szCs w:val="22"/>
              </w:rPr>
            </w:pPr>
            <w:r w:rsidRPr="008A6E2D">
              <w:rPr>
                <w:sz w:val="22"/>
                <w:szCs w:val="22"/>
              </w:rPr>
              <w:t>11.2</w:t>
            </w:r>
          </w:p>
        </w:tc>
        <w:tc>
          <w:tcPr>
            <w:tcW w:w="1440" w:type="dxa"/>
            <w:tcMar>
              <w:top w:w="0" w:type="dxa"/>
              <w:left w:w="108" w:type="dxa"/>
              <w:bottom w:w="0" w:type="dxa"/>
              <w:right w:w="108" w:type="dxa"/>
            </w:tcMar>
            <w:hideMark/>
          </w:tcPr>
          <w:p w14:paraId="26D40649" w14:textId="77777777" w:rsidR="00916D38" w:rsidRPr="008A6E2D" w:rsidRDefault="00916D38" w:rsidP="001C4C83">
            <w:pPr>
              <w:pStyle w:val="TableCenter"/>
              <w:rPr>
                <w:sz w:val="22"/>
                <w:szCs w:val="22"/>
              </w:rPr>
            </w:pPr>
            <w:r w:rsidRPr="008A6E2D">
              <w:rPr>
                <w:sz w:val="22"/>
                <w:szCs w:val="22"/>
              </w:rPr>
              <w:t>4.3</w:t>
            </w:r>
          </w:p>
        </w:tc>
      </w:tr>
      <w:tr w:rsidR="00916D38" w:rsidRPr="008A6E2D" w14:paraId="4D2501E4" w14:textId="77777777" w:rsidTr="001C4C83">
        <w:trPr>
          <w:cantSplit/>
        </w:trPr>
        <w:tc>
          <w:tcPr>
            <w:tcW w:w="3330" w:type="dxa"/>
            <w:tcMar>
              <w:top w:w="0" w:type="dxa"/>
              <w:left w:w="108" w:type="dxa"/>
              <w:bottom w:w="0" w:type="dxa"/>
              <w:right w:w="108" w:type="dxa"/>
            </w:tcMar>
            <w:hideMark/>
          </w:tcPr>
          <w:p w14:paraId="79B2F251" w14:textId="77777777" w:rsidR="00916D38" w:rsidRPr="008A6E2D" w:rsidRDefault="00916D38" w:rsidP="001C4C83">
            <w:pPr>
              <w:pStyle w:val="TableLeft"/>
              <w:rPr>
                <w:sz w:val="22"/>
                <w:szCs w:val="22"/>
              </w:rPr>
            </w:pPr>
            <w:r w:rsidRPr="008A6E2D">
              <w:rPr>
                <w:sz w:val="22"/>
                <w:szCs w:val="22"/>
              </w:rPr>
              <w:t xml:space="preserve">HR (95% CI) </w:t>
            </w:r>
            <w:r w:rsidRPr="008A6E2D">
              <w:rPr>
                <w:sz w:val="22"/>
                <w:szCs w:val="22"/>
                <w:vertAlign w:val="superscript"/>
              </w:rPr>
              <w:t>a</w:t>
            </w:r>
          </w:p>
        </w:tc>
        <w:tc>
          <w:tcPr>
            <w:tcW w:w="3150" w:type="dxa"/>
            <w:gridSpan w:val="2"/>
            <w:tcMar>
              <w:top w:w="0" w:type="dxa"/>
              <w:left w:w="108" w:type="dxa"/>
              <w:bottom w:w="0" w:type="dxa"/>
              <w:right w:w="108" w:type="dxa"/>
            </w:tcMar>
            <w:hideMark/>
          </w:tcPr>
          <w:p w14:paraId="6106F473" w14:textId="77777777" w:rsidR="00916D38" w:rsidRPr="008A6E2D" w:rsidRDefault="00916D38" w:rsidP="001C4C83">
            <w:pPr>
              <w:pStyle w:val="TableCenter"/>
              <w:rPr>
                <w:sz w:val="22"/>
                <w:szCs w:val="22"/>
              </w:rPr>
            </w:pPr>
            <w:r w:rsidRPr="008A6E2D">
              <w:rPr>
                <w:sz w:val="22"/>
                <w:szCs w:val="22"/>
                <w:lang w:val="en-AU"/>
              </w:rPr>
              <w:t>0.35 (0.25-0.49)</w:t>
            </w:r>
          </w:p>
        </w:tc>
        <w:tc>
          <w:tcPr>
            <w:tcW w:w="3060" w:type="dxa"/>
            <w:gridSpan w:val="2"/>
            <w:tcMar>
              <w:top w:w="0" w:type="dxa"/>
              <w:left w:w="108" w:type="dxa"/>
              <w:bottom w:w="0" w:type="dxa"/>
              <w:right w:w="108" w:type="dxa"/>
            </w:tcMar>
            <w:hideMark/>
          </w:tcPr>
          <w:p w14:paraId="62DCD6B0" w14:textId="77777777" w:rsidR="00916D38" w:rsidRPr="008A6E2D" w:rsidRDefault="00916D38" w:rsidP="001C4C83">
            <w:pPr>
              <w:pStyle w:val="TableCenter"/>
              <w:rPr>
                <w:sz w:val="22"/>
                <w:szCs w:val="22"/>
              </w:rPr>
            </w:pPr>
            <w:r w:rsidRPr="008A6E2D">
              <w:rPr>
                <w:sz w:val="22"/>
                <w:szCs w:val="22"/>
                <w:lang w:val="en-AU"/>
              </w:rPr>
              <w:t>0.18 (95% CI 0.10–0.31)</w:t>
            </w:r>
          </w:p>
        </w:tc>
      </w:tr>
      <w:tr w:rsidR="00916D38" w:rsidRPr="008A6E2D" w14:paraId="7E653BF9" w14:textId="77777777" w:rsidTr="001C4C83">
        <w:trPr>
          <w:cantSplit/>
        </w:trPr>
        <w:tc>
          <w:tcPr>
            <w:tcW w:w="3330" w:type="dxa"/>
            <w:tcMar>
              <w:top w:w="0" w:type="dxa"/>
              <w:left w:w="108" w:type="dxa"/>
              <w:bottom w:w="0" w:type="dxa"/>
              <w:right w:w="108" w:type="dxa"/>
            </w:tcMar>
            <w:hideMark/>
          </w:tcPr>
          <w:p w14:paraId="1FC66D82" w14:textId="77777777" w:rsidR="00916D38" w:rsidRPr="008A6E2D" w:rsidRDefault="00916D38" w:rsidP="001C4C83">
            <w:pPr>
              <w:pStyle w:val="TableLeft"/>
              <w:rPr>
                <w:sz w:val="22"/>
                <w:szCs w:val="22"/>
              </w:rPr>
            </w:pPr>
            <w:r w:rsidRPr="008A6E2D">
              <w:rPr>
                <w:sz w:val="22"/>
                <w:szCs w:val="22"/>
              </w:rPr>
              <w:t xml:space="preserve">P value* (2-sided) </w:t>
            </w:r>
          </w:p>
        </w:tc>
        <w:tc>
          <w:tcPr>
            <w:tcW w:w="3150" w:type="dxa"/>
            <w:gridSpan w:val="2"/>
            <w:tcMar>
              <w:top w:w="0" w:type="dxa"/>
              <w:left w:w="108" w:type="dxa"/>
              <w:bottom w:w="0" w:type="dxa"/>
              <w:right w:w="108" w:type="dxa"/>
            </w:tcMar>
            <w:hideMark/>
          </w:tcPr>
          <w:p w14:paraId="1A63DA5D" w14:textId="77777777" w:rsidR="00916D38" w:rsidRPr="008A6E2D" w:rsidRDefault="00916D38" w:rsidP="001C4C83">
            <w:pPr>
              <w:pStyle w:val="TableCenter"/>
              <w:rPr>
                <w:sz w:val="22"/>
                <w:szCs w:val="22"/>
              </w:rPr>
            </w:pPr>
            <w:r w:rsidRPr="008A6E2D">
              <w:rPr>
                <w:sz w:val="22"/>
                <w:szCs w:val="22"/>
              </w:rPr>
              <w:t>p&lt;0.00001</w:t>
            </w:r>
          </w:p>
        </w:tc>
        <w:tc>
          <w:tcPr>
            <w:tcW w:w="3060" w:type="dxa"/>
            <w:gridSpan w:val="2"/>
            <w:tcMar>
              <w:top w:w="0" w:type="dxa"/>
              <w:left w:w="108" w:type="dxa"/>
              <w:bottom w:w="0" w:type="dxa"/>
              <w:right w:w="108" w:type="dxa"/>
            </w:tcMar>
            <w:hideMark/>
          </w:tcPr>
          <w:p w14:paraId="03BCD5DD" w14:textId="77777777" w:rsidR="00916D38" w:rsidRPr="008A6E2D" w:rsidRDefault="00916D38" w:rsidP="001C4C83">
            <w:pPr>
              <w:pStyle w:val="TableCenter"/>
              <w:rPr>
                <w:sz w:val="22"/>
                <w:szCs w:val="22"/>
              </w:rPr>
            </w:pPr>
            <w:r w:rsidRPr="008A6E2D">
              <w:rPr>
                <w:sz w:val="22"/>
                <w:szCs w:val="22"/>
              </w:rPr>
              <w:t>p&lt;0.00001</w:t>
            </w:r>
          </w:p>
        </w:tc>
      </w:tr>
      <w:tr w:rsidR="00916D38" w:rsidRPr="008A6E2D" w14:paraId="74153F9A" w14:textId="77777777" w:rsidTr="001C4C83">
        <w:trPr>
          <w:cantSplit/>
        </w:trPr>
        <w:tc>
          <w:tcPr>
            <w:tcW w:w="9540" w:type="dxa"/>
            <w:gridSpan w:val="5"/>
            <w:tcBorders>
              <w:top w:val="single" w:sz="8" w:space="0" w:color="auto"/>
              <w:left w:val="nil"/>
              <w:bottom w:val="single" w:sz="8" w:space="0" w:color="auto"/>
              <w:right w:val="nil"/>
            </w:tcBorders>
            <w:shd w:val="clear" w:color="auto" w:fill="E0E0E0"/>
            <w:tcMar>
              <w:top w:w="0" w:type="dxa"/>
              <w:left w:w="108" w:type="dxa"/>
              <w:bottom w:w="0" w:type="dxa"/>
              <w:right w:w="108" w:type="dxa"/>
            </w:tcMar>
            <w:hideMark/>
          </w:tcPr>
          <w:p w14:paraId="0CBAC49C" w14:textId="77777777" w:rsidR="00916D38" w:rsidRPr="008A6E2D" w:rsidRDefault="00916D38" w:rsidP="001C4C83">
            <w:pPr>
              <w:pStyle w:val="TableHead"/>
              <w:jc w:val="left"/>
              <w:rPr>
                <w:sz w:val="22"/>
                <w:szCs w:val="22"/>
              </w:rPr>
            </w:pPr>
            <w:r w:rsidRPr="008A6E2D">
              <w:rPr>
                <w:sz w:val="22"/>
                <w:szCs w:val="22"/>
                <w:lang w:val="en-AU"/>
              </w:rPr>
              <w:t>OS - DCO 09 May 2016</w:t>
            </w:r>
          </w:p>
        </w:tc>
      </w:tr>
      <w:tr w:rsidR="00916D38" w:rsidRPr="008A6E2D" w14:paraId="4452C98E" w14:textId="77777777" w:rsidTr="001C4C83">
        <w:trPr>
          <w:cantSplit/>
        </w:trPr>
        <w:tc>
          <w:tcPr>
            <w:tcW w:w="3330" w:type="dxa"/>
            <w:tcMar>
              <w:top w:w="0" w:type="dxa"/>
              <w:left w:w="108" w:type="dxa"/>
              <w:bottom w:w="0" w:type="dxa"/>
              <w:right w:w="108" w:type="dxa"/>
            </w:tcMar>
            <w:hideMark/>
          </w:tcPr>
          <w:p w14:paraId="6E35FA38" w14:textId="77777777" w:rsidR="00916D38" w:rsidRPr="008A6E2D" w:rsidRDefault="00916D38" w:rsidP="001C4C83">
            <w:pPr>
              <w:pStyle w:val="TableLeft"/>
              <w:rPr>
                <w:sz w:val="22"/>
                <w:szCs w:val="22"/>
              </w:rPr>
            </w:pPr>
            <w:r w:rsidRPr="008A6E2D">
              <w:rPr>
                <w:sz w:val="22"/>
                <w:szCs w:val="22"/>
              </w:rPr>
              <w:t>Number of events: Total number of patients (%)</w:t>
            </w:r>
          </w:p>
        </w:tc>
        <w:tc>
          <w:tcPr>
            <w:tcW w:w="1530" w:type="dxa"/>
            <w:tcMar>
              <w:top w:w="0" w:type="dxa"/>
              <w:left w:w="108" w:type="dxa"/>
              <w:bottom w:w="0" w:type="dxa"/>
              <w:right w:w="108" w:type="dxa"/>
            </w:tcMar>
            <w:hideMark/>
          </w:tcPr>
          <w:p w14:paraId="27CD192D" w14:textId="77777777" w:rsidR="00916D38" w:rsidRPr="008A6E2D" w:rsidRDefault="00916D38" w:rsidP="001C4C83">
            <w:pPr>
              <w:pStyle w:val="TableCenter"/>
              <w:rPr>
                <w:sz w:val="22"/>
                <w:szCs w:val="22"/>
              </w:rPr>
            </w:pPr>
            <w:r w:rsidRPr="008A6E2D">
              <w:rPr>
                <w:sz w:val="22"/>
                <w:szCs w:val="22"/>
              </w:rPr>
              <w:t>98:136 (72%)</w:t>
            </w:r>
          </w:p>
        </w:tc>
        <w:tc>
          <w:tcPr>
            <w:tcW w:w="1620" w:type="dxa"/>
            <w:tcMar>
              <w:top w:w="0" w:type="dxa"/>
              <w:left w:w="108" w:type="dxa"/>
              <w:bottom w:w="0" w:type="dxa"/>
              <w:right w:w="108" w:type="dxa"/>
            </w:tcMar>
            <w:hideMark/>
          </w:tcPr>
          <w:p w14:paraId="024B9D4E" w14:textId="77777777" w:rsidR="00916D38" w:rsidRPr="008A6E2D" w:rsidRDefault="00916D38" w:rsidP="001C4C83">
            <w:pPr>
              <w:pStyle w:val="TableCenter"/>
              <w:rPr>
                <w:sz w:val="22"/>
                <w:szCs w:val="22"/>
              </w:rPr>
            </w:pPr>
            <w:r w:rsidRPr="008A6E2D">
              <w:rPr>
                <w:sz w:val="22"/>
                <w:szCs w:val="22"/>
              </w:rPr>
              <w:t>112:129 (87%)</w:t>
            </w:r>
            <w:r w:rsidRPr="008A6E2D">
              <w:rPr>
                <w:b/>
                <w:bCs/>
                <w:sz w:val="22"/>
                <w:szCs w:val="22"/>
                <w:vertAlign w:val="superscript"/>
              </w:rPr>
              <w:t>b</w:t>
            </w:r>
          </w:p>
        </w:tc>
        <w:tc>
          <w:tcPr>
            <w:tcW w:w="1620" w:type="dxa"/>
            <w:tcMar>
              <w:top w:w="0" w:type="dxa"/>
              <w:left w:w="108" w:type="dxa"/>
              <w:bottom w:w="0" w:type="dxa"/>
              <w:right w:w="108" w:type="dxa"/>
            </w:tcMar>
            <w:hideMark/>
          </w:tcPr>
          <w:p w14:paraId="29DE7787" w14:textId="77777777" w:rsidR="00916D38" w:rsidRPr="008A6E2D" w:rsidRDefault="00916D38" w:rsidP="001C4C83">
            <w:pPr>
              <w:pStyle w:val="TableCenter"/>
              <w:rPr>
                <w:sz w:val="22"/>
                <w:szCs w:val="22"/>
              </w:rPr>
            </w:pPr>
            <w:r w:rsidRPr="008A6E2D">
              <w:rPr>
                <w:sz w:val="22"/>
                <w:szCs w:val="22"/>
              </w:rPr>
              <w:t>112:129 (66%)</w:t>
            </w:r>
          </w:p>
        </w:tc>
        <w:tc>
          <w:tcPr>
            <w:tcW w:w="1440" w:type="dxa"/>
            <w:tcMar>
              <w:top w:w="0" w:type="dxa"/>
              <w:left w:w="108" w:type="dxa"/>
              <w:bottom w:w="0" w:type="dxa"/>
              <w:right w:w="108" w:type="dxa"/>
            </w:tcMar>
            <w:hideMark/>
          </w:tcPr>
          <w:p w14:paraId="569C46BE" w14:textId="77777777" w:rsidR="00916D38" w:rsidRPr="008A6E2D" w:rsidRDefault="00916D38" w:rsidP="001C4C83">
            <w:pPr>
              <w:pStyle w:val="TableCenter"/>
              <w:rPr>
                <w:sz w:val="22"/>
                <w:szCs w:val="22"/>
              </w:rPr>
            </w:pPr>
            <w:r w:rsidRPr="008A6E2D">
              <w:rPr>
                <w:sz w:val="22"/>
                <w:szCs w:val="22"/>
              </w:rPr>
              <w:t>50:62 (81%)</w:t>
            </w:r>
            <w:r w:rsidRPr="008A6E2D">
              <w:rPr>
                <w:b/>
                <w:bCs/>
                <w:sz w:val="22"/>
                <w:szCs w:val="22"/>
                <w:vertAlign w:val="superscript"/>
              </w:rPr>
              <w:t>b</w:t>
            </w:r>
          </w:p>
        </w:tc>
      </w:tr>
      <w:tr w:rsidR="00916D38" w:rsidRPr="008A6E2D" w14:paraId="28D37FE5" w14:textId="77777777" w:rsidTr="001C4C83">
        <w:trPr>
          <w:cantSplit/>
        </w:trPr>
        <w:tc>
          <w:tcPr>
            <w:tcW w:w="3330" w:type="dxa"/>
            <w:tcMar>
              <w:top w:w="0" w:type="dxa"/>
              <w:left w:w="108" w:type="dxa"/>
              <w:bottom w:w="0" w:type="dxa"/>
              <w:right w:w="108" w:type="dxa"/>
            </w:tcMar>
            <w:hideMark/>
          </w:tcPr>
          <w:p w14:paraId="370B20F5" w14:textId="77777777" w:rsidR="00916D38" w:rsidRPr="008A6E2D" w:rsidRDefault="00916D38" w:rsidP="001C4C83">
            <w:pPr>
              <w:pStyle w:val="TableLeft"/>
              <w:rPr>
                <w:sz w:val="22"/>
                <w:szCs w:val="22"/>
              </w:rPr>
            </w:pPr>
            <w:r w:rsidRPr="008A6E2D">
              <w:rPr>
                <w:sz w:val="22"/>
                <w:szCs w:val="22"/>
              </w:rPr>
              <w:t xml:space="preserve">Median time (months) </w:t>
            </w:r>
          </w:p>
        </w:tc>
        <w:tc>
          <w:tcPr>
            <w:tcW w:w="1530" w:type="dxa"/>
            <w:tcMar>
              <w:top w:w="0" w:type="dxa"/>
              <w:left w:w="108" w:type="dxa"/>
              <w:bottom w:w="0" w:type="dxa"/>
              <w:right w:w="108" w:type="dxa"/>
            </w:tcMar>
            <w:hideMark/>
          </w:tcPr>
          <w:p w14:paraId="40FC1EB6" w14:textId="77777777" w:rsidR="00916D38" w:rsidRPr="008A6E2D" w:rsidRDefault="00916D38" w:rsidP="001C4C83">
            <w:pPr>
              <w:pStyle w:val="TableCenter"/>
              <w:rPr>
                <w:sz w:val="22"/>
                <w:szCs w:val="22"/>
              </w:rPr>
            </w:pPr>
            <w:r w:rsidRPr="008A6E2D">
              <w:rPr>
                <w:sz w:val="22"/>
                <w:szCs w:val="22"/>
              </w:rPr>
              <w:t>29.8</w:t>
            </w:r>
          </w:p>
        </w:tc>
        <w:tc>
          <w:tcPr>
            <w:tcW w:w="1620" w:type="dxa"/>
            <w:tcMar>
              <w:top w:w="0" w:type="dxa"/>
              <w:left w:w="108" w:type="dxa"/>
              <w:bottom w:w="0" w:type="dxa"/>
              <w:right w:w="108" w:type="dxa"/>
            </w:tcMar>
            <w:hideMark/>
          </w:tcPr>
          <w:p w14:paraId="2332FF71" w14:textId="77777777" w:rsidR="00916D38" w:rsidRPr="008A6E2D" w:rsidRDefault="00916D38" w:rsidP="001C4C83">
            <w:pPr>
              <w:pStyle w:val="TableCenter"/>
              <w:rPr>
                <w:sz w:val="22"/>
                <w:szCs w:val="22"/>
              </w:rPr>
            </w:pPr>
            <w:r w:rsidRPr="008A6E2D">
              <w:rPr>
                <w:sz w:val="22"/>
                <w:szCs w:val="22"/>
              </w:rPr>
              <w:t>27.8</w:t>
            </w:r>
          </w:p>
        </w:tc>
        <w:tc>
          <w:tcPr>
            <w:tcW w:w="1620" w:type="dxa"/>
            <w:tcMar>
              <w:top w:w="0" w:type="dxa"/>
              <w:left w:w="108" w:type="dxa"/>
              <w:bottom w:w="0" w:type="dxa"/>
              <w:right w:w="108" w:type="dxa"/>
            </w:tcMar>
            <w:hideMark/>
          </w:tcPr>
          <w:p w14:paraId="767E44ED" w14:textId="77777777" w:rsidR="00916D38" w:rsidRPr="008A6E2D" w:rsidRDefault="00916D38" w:rsidP="001C4C83">
            <w:pPr>
              <w:pStyle w:val="TableCenter"/>
              <w:rPr>
                <w:sz w:val="22"/>
                <w:szCs w:val="22"/>
              </w:rPr>
            </w:pPr>
            <w:r w:rsidRPr="008A6E2D">
              <w:rPr>
                <w:sz w:val="22"/>
                <w:szCs w:val="22"/>
              </w:rPr>
              <w:t>34.9</w:t>
            </w:r>
          </w:p>
        </w:tc>
        <w:tc>
          <w:tcPr>
            <w:tcW w:w="1440" w:type="dxa"/>
            <w:tcMar>
              <w:top w:w="0" w:type="dxa"/>
              <w:left w:w="108" w:type="dxa"/>
              <w:bottom w:w="0" w:type="dxa"/>
              <w:right w:w="108" w:type="dxa"/>
            </w:tcMar>
            <w:hideMark/>
          </w:tcPr>
          <w:p w14:paraId="65271EBF" w14:textId="77777777" w:rsidR="00916D38" w:rsidRPr="008A6E2D" w:rsidRDefault="00916D38" w:rsidP="001C4C83">
            <w:pPr>
              <w:pStyle w:val="TableCenter"/>
              <w:rPr>
                <w:sz w:val="22"/>
                <w:szCs w:val="22"/>
              </w:rPr>
            </w:pPr>
            <w:r w:rsidRPr="008A6E2D">
              <w:rPr>
                <w:sz w:val="22"/>
                <w:szCs w:val="22"/>
              </w:rPr>
              <w:t>30.2</w:t>
            </w:r>
          </w:p>
        </w:tc>
      </w:tr>
      <w:tr w:rsidR="00916D38" w:rsidRPr="008A6E2D" w14:paraId="3E642FEF" w14:textId="77777777" w:rsidTr="001C4C83">
        <w:trPr>
          <w:cantSplit/>
        </w:trPr>
        <w:tc>
          <w:tcPr>
            <w:tcW w:w="3330" w:type="dxa"/>
            <w:tcMar>
              <w:top w:w="0" w:type="dxa"/>
              <w:left w:w="108" w:type="dxa"/>
              <w:bottom w:w="0" w:type="dxa"/>
              <w:right w:w="108" w:type="dxa"/>
            </w:tcMar>
            <w:hideMark/>
          </w:tcPr>
          <w:p w14:paraId="54DE4D5B" w14:textId="77777777" w:rsidR="00916D38" w:rsidRPr="008A6E2D" w:rsidRDefault="00916D38" w:rsidP="001C4C83">
            <w:pPr>
              <w:pStyle w:val="TableLeft"/>
              <w:rPr>
                <w:sz w:val="22"/>
                <w:szCs w:val="22"/>
              </w:rPr>
            </w:pPr>
            <w:r w:rsidRPr="008A6E2D">
              <w:rPr>
                <w:sz w:val="22"/>
                <w:szCs w:val="22"/>
              </w:rPr>
              <w:t>HR (95% CI)</w:t>
            </w:r>
            <w:r w:rsidRPr="008A6E2D">
              <w:rPr>
                <w:sz w:val="22"/>
                <w:szCs w:val="22"/>
                <w:vertAlign w:val="superscript"/>
              </w:rPr>
              <w:t xml:space="preserve"> a</w:t>
            </w:r>
          </w:p>
        </w:tc>
        <w:tc>
          <w:tcPr>
            <w:tcW w:w="3150" w:type="dxa"/>
            <w:gridSpan w:val="2"/>
            <w:tcMar>
              <w:top w:w="0" w:type="dxa"/>
              <w:left w:w="108" w:type="dxa"/>
              <w:bottom w:w="0" w:type="dxa"/>
              <w:right w:w="108" w:type="dxa"/>
            </w:tcMar>
            <w:hideMark/>
          </w:tcPr>
          <w:p w14:paraId="6F4A7BBD" w14:textId="77777777" w:rsidR="00916D38" w:rsidRPr="008A6E2D" w:rsidRDefault="00916D38" w:rsidP="001C4C83">
            <w:pPr>
              <w:pStyle w:val="TableCenter"/>
              <w:rPr>
                <w:sz w:val="22"/>
                <w:szCs w:val="22"/>
              </w:rPr>
            </w:pPr>
            <w:r w:rsidRPr="008A6E2D">
              <w:rPr>
                <w:sz w:val="22"/>
                <w:szCs w:val="22"/>
              </w:rPr>
              <w:t>0.73 (95% CI 0.55–95)</w:t>
            </w:r>
          </w:p>
        </w:tc>
        <w:tc>
          <w:tcPr>
            <w:tcW w:w="3060" w:type="dxa"/>
            <w:gridSpan w:val="2"/>
            <w:tcMar>
              <w:top w:w="0" w:type="dxa"/>
              <w:left w:w="108" w:type="dxa"/>
              <w:bottom w:w="0" w:type="dxa"/>
              <w:right w:w="108" w:type="dxa"/>
            </w:tcMar>
            <w:hideMark/>
          </w:tcPr>
          <w:p w14:paraId="177A0024" w14:textId="77777777" w:rsidR="00916D38" w:rsidRPr="008A6E2D" w:rsidRDefault="00916D38" w:rsidP="001C4C83">
            <w:pPr>
              <w:pStyle w:val="TableCenter"/>
              <w:rPr>
                <w:sz w:val="22"/>
                <w:szCs w:val="22"/>
              </w:rPr>
            </w:pPr>
            <w:r w:rsidRPr="008A6E2D">
              <w:rPr>
                <w:sz w:val="22"/>
                <w:szCs w:val="22"/>
              </w:rPr>
              <w:t>0.62 (95% CI 0.42-0.93)</w:t>
            </w:r>
          </w:p>
        </w:tc>
      </w:tr>
      <w:tr w:rsidR="00916D38" w:rsidRPr="008A6E2D" w14:paraId="12B3F7C2" w14:textId="77777777" w:rsidTr="001C4C83">
        <w:trPr>
          <w:cantSplit/>
        </w:trPr>
        <w:tc>
          <w:tcPr>
            <w:tcW w:w="3330" w:type="dxa"/>
            <w:tcBorders>
              <w:top w:val="nil"/>
              <w:left w:val="nil"/>
              <w:bottom w:val="single" w:sz="12" w:space="0" w:color="auto"/>
              <w:right w:val="nil"/>
            </w:tcBorders>
            <w:tcMar>
              <w:top w:w="0" w:type="dxa"/>
              <w:left w:w="108" w:type="dxa"/>
              <w:bottom w:w="0" w:type="dxa"/>
              <w:right w:w="108" w:type="dxa"/>
            </w:tcMar>
            <w:hideMark/>
          </w:tcPr>
          <w:p w14:paraId="248FA8E9" w14:textId="77777777" w:rsidR="00916D38" w:rsidRPr="008A6E2D" w:rsidRDefault="00916D38" w:rsidP="001C4C83">
            <w:pPr>
              <w:pStyle w:val="TableLeft"/>
              <w:rPr>
                <w:sz w:val="22"/>
                <w:szCs w:val="22"/>
              </w:rPr>
            </w:pPr>
            <w:r w:rsidRPr="008A6E2D">
              <w:rPr>
                <w:sz w:val="22"/>
                <w:szCs w:val="22"/>
              </w:rPr>
              <w:t>P value* (2-sided)</w:t>
            </w:r>
          </w:p>
        </w:tc>
        <w:tc>
          <w:tcPr>
            <w:tcW w:w="3150" w:type="dxa"/>
            <w:gridSpan w:val="2"/>
            <w:tcBorders>
              <w:top w:val="nil"/>
              <w:left w:val="nil"/>
              <w:bottom w:val="single" w:sz="12" w:space="0" w:color="auto"/>
              <w:right w:val="nil"/>
            </w:tcBorders>
            <w:tcMar>
              <w:top w:w="0" w:type="dxa"/>
              <w:left w:w="108" w:type="dxa"/>
              <w:bottom w:w="0" w:type="dxa"/>
              <w:right w:w="108" w:type="dxa"/>
            </w:tcMar>
            <w:hideMark/>
          </w:tcPr>
          <w:p w14:paraId="364FB841" w14:textId="77777777" w:rsidR="00916D38" w:rsidRPr="008A6E2D" w:rsidRDefault="00916D38" w:rsidP="001C4C83">
            <w:pPr>
              <w:pStyle w:val="TableCenter"/>
              <w:rPr>
                <w:sz w:val="22"/>
                <w:szCs w:val="22"/>
              </w:rPr>
            </w:pPr>
            <w:r w:rsidRPr="008A6E2D">
              <w:rPr>
                <w:sz w:val="22"/>
                <w:szCs w:val="22"/>
              </w:rPr>
              <w:t>p=0.02138</w:t>
            </w:r>
          </w:p>
        </w:tc>
        <w:tc>
          <w:tcPr>
            <w:tcW w:w="3060" w:type="dxa"/>
            <w:gridSpan w:val="2"/>
            <w:tcBorders>
              <w:top w:val="nil"/>
              <w:left w:val="nil"/>
              <w:bottom w:val="single" w:sz="12" w:space="0" w:color="auto"/>
              <w:right w:val="nil"/>
            </w:tcBorders>
            <w:tcMar>
              <w:top w:w="0" w:type="dxa"/>
              <w:left w:w="108" w:type="dxa"/>
              <w:bottom w:w="0" w:type="dxa"/>
              <w:right w:w="108" w:type="dxa"/>
            </w:tcMar>
            <w:hideMark/>
          </w:tcPr>
          <w:p w14:paraId="2B5C65A3" w14:textId="77777777" w:rsidR="00916D38" w:rsidRPr="008A6E2D" w:rsidRDefault="00916D38" w:rsidP="001C4C83">
            <w:pPr>
              <w:pStyle w:val="TableCenter"/>
              <w:rPr>
                <w:sz w:val="22"/>
                <w:szCs w:val="22"/>
              </w:rPr>
            </w:pPr>
            <w:r w:rsidRPr="008A6E2D">
              <w:rPr>
                <w:sz w:val="22"/>
                <w:szCs w:val="22"/>
              </w:rPr>
              <w:t>p=0.02140</w:t>
            </w:r>
          </w:p>
        </w:tc>
      </w:tr>
    </w:tbl>
    <w:p w14:paraId="1D348347" w14:textId="77777777" w:rsidR="00916D38" w:rsidRDefault="00916D38" w:rsidP="00916D38">
      <w:pPr>
        <w:pStyle w:val="TableFootnoteInfo"/>
        <w:spacing w:after="0"/>
        <w:ind w:left="360" w:hanging="360"/>
      </w:pPr>
      <w:r w:rsidRPr="0039144C">
        <w:t>*</w:t>
      </w:r>
      <w:r w:rsidRPr="0039144C">
        <w:tab/>
        <w:t>There were no multiplicity strategies in place for the sub-group analyses or for the All patients, thus all p values are nominal</w:t>
      </w:r>
    </w:p>
    <w:p w14:paraId="029CFE4F" w14:textId="77777777" w:rsidR="00916D38" w:rsidRDefault="00916D38" w:rsidP="00916D38">
      <w:pPr>
        <w:pStyle w:val="TableFootnoteInfo"/>
        <w:spacing w:before="0"/>
        <w:ind w:left="360" w:hanging="360"/>
      </w:pPr>
      <w:r w:rsidRPr="0039144C">
        <w:rPr>
          <w:sz w:val="24"/>
          <w:szCs w:val="24"/>
          <w:vertAlign w:val="superscript"/>
        </w:rPr>
        <w:t>a</w:t>
      </w:r>
      <w:r>
        <w:tab/>
        <w:t>HR= Hazard Ratio. A value &lt;1 favours LYNPARZA. A value &lt;1 favours olaparib. The analysis was performed using a Cox proportional hazards model with factors for treatment, ethnic descent, platinum sensitivity and response to final platinum therapy.</w:t>
      </w:r>
    </w:p>
    <w:p w14:paraId="5BD4C310" w14:textId="77777777" w:rsidR="00916D38" w:rsidRDefault="00916D38" w:rsidP="00916D38">
      <w:pPr>
        <w:pStyle w:val="TableFootnoteInfo"/>
        <w:spacing w:before="0" w:after="0"/>
        <w:ind w:left="360" w:hanging="360"/>
      </w:pPr>
      <w:r w:rsidRPr="0039144C">
        <w:rPr>
          <w:sz w:val="24"/>
          <w:szCs w:val="24"/>
          <w:vertAlign w:val="superscript"/>
        </w:rPr>
        <w:t>b</w:t>
      </w:r>
      <w:r>
        <w:tab/>
        <w:t>Approximately a quarter of placebo-treated patients in the BRCA-mutated subgroup (14/62; 22.6%) received a subsequent PARP inhibitor.</w:t>
      </w:r>
    </w:p>
    <w:p w14:paraId="3B022BE2" w14:textId="77777777" w:rsidR="00E905F7" w:rsidRDefault="00916D38" w:rsidP="00E905F7">
      <w:pPr>
        <w:pStyle w:val="TableFootnoteInfo"/>
      </w:pPr>
      <w:r>
        <w:lastRenderedPageBreak/>
        <w:t>OS overall survival; PFS progression-free survival; CI confidence interval</w:t>
      </w:r>
    </w:p>
    <w:p w14:paraId="529BCB51" w14:textId="2A5C890B" w:rsidR="009611DC" w:rsidRDefault="009611DC" w:rsidP="009611DC">
      <w:pPr>
        <w:pStyle w:val="Heading3Unnumbered"/>
      </w:pPr>
      <w:r>
        <w:t>Effect on the QT interval</w:t>
      </w:r>
    </w:p>
    <w:p w14:paraId="7E0A1875" w14:textId="28872657" w:rsidR="009611DC" w:rsidRDefault="009611DC" w:rsidP="00307768">
      <w:pPr>
        <w:pStyle w:val="Paragraph"/>
      </w:pPr>
      <w:r>
        <w:t xml:space="preserve">There is no clinically relevant effect of olaparib on cardiac repolarisation (as evaluated by an effect on the QT interval) following 300 mg twice daily multiple dosing of </w:t>
      </w:r>
      <w:r w:rsidR="00307768" w:rsidRPr="00307768">
        <w:rPr>
          <w:lang w:val="en-AU"/>
        </w:rPr>
        <w:t>olaparib</w:t>
      </w:r>
      <w:r>
        <w:t>.</w:t>
      </w:r>
    </w:p>
    <w:p w14:paraId="64594ECA" w14:textId="77777777" w:rsidR="009611DC" w:rsidRDefault="009611DC" w:rsidP="009611DC">
      <w:pPr>
        <w:pStyle w:val="Heading3Unnumbered"/>
      </w:pPr>
      <w:r>
        <w:t>Retreatment on relapse</w:t>
      </w:r>
    </w:p>
    <w:p w14:paraId="78FA970D" w14:textId="2596604C" w:rsidR="009611DC" w:rsidRPr="008A6E2D" w:rsidRDefault="009611DC" w:rsidP="009611DC">
      <w:pPr>
        <w:pStyle w:val="Paragraph"/>
      </w:pPr>
      <w:r>
        <w:t>There are no data to support retreatment with olaparib as maintenance following subsequent relapse.</w:t>
      </w:r>
    </w:p>
    <w:p w14:paraId="01A6E012" w14:textId="5CD78B9A" w:rsidR="001A3992" w:rsidRDefault="007403BD" w:rsidP="00CD331E">
      <w:pPr>
        <w:pStyle w:val="Heading2"/>
        <w:tabs>
          <w:tab w:val="clear" w:pos="1134"/>
          <w:tab w:val="num" w:pos="720"/>
        </w:tabs>
        <w:ind w:left="720" w:hanging="720"/>
      </w:pPr>
      <w:r>
        <w:t>Pharmacokinetic properties</w:t>
      </w:r>
    </w:p>
    <w:p w14:paraId="1C42E2C8" w14:textId="1A002EAE" w:rsidR="00471E15" w:rsidRDefault="00471E15" w:rsidP="00471E15">
      <w:pPr>
        <w:pStyle w:val="Paragraph"/>
      </w:pPr>
      <w:r>
        <w:t>Olaparib displays high inter-patient variability in PK parameters, including C</w:t>
      </w:r>
      <w:r w:rsidRPr="00471E15">
        <w:rPr>
          <w:vertAlign w:val="subscript"/>
        </w:rPr>
        <w:t>max</w:t>
      </w:r>
      <w:r>
        <w:t>, AUC, Vd and CL/F.</w:t>
      </w:r>
    </w:p>
    <w:p w14:paraId="54137999" w14:textId="2813312B" w:rsidR="00471E15" w:rsidRPr="00471E15" w:rsidRDefault="00471E15" w:rsidP="00471E15">
      <w:pPr>
        <w:pStyle w:val="Paragraph"/>
      </w:pPr>
      <w:r>
        <w:t xml:space="preserve">The pharmacokinetics of olaparib at the </w:t>
      </w:r>
      <w:bookmarkStart w:id="30" w:name="_Hlk513041066"/>
      <w:r w:rsidR="00600B1E" w:rsidRPr="00600B1E">
        <w:t xml:space="preserve">300 mg tablet </w:t>
      </w:r>
      <w:bookmarkEnd w:id="30"/>
      <w:r>
        <w:t>dose are characterised by an apparent plasma clearance of ~</w:t>
      </w:r>
      <w:r w:rsidR="00600B1E" w:rsidRPr="00600B1E">
        <w:rPr>
          <w:lang w:val="en-AU"/>
        </w:rPr>
        <w:t>7</w:t>
      </w:r>
      <w:r w:rsidR="00600B1E" w:rsidRPr="00600B1E">
        <w:t xml:space="preserve"> </w:t>
      </w:r>
      <w:r>
        <w:t>L/h, an apparent volume of distribution of ~</w:t>
      </w:r>
      <w:r w:rsidR="00600B1E">
        <w:t xml:space="preserve">158 </w:t>
      </w:r>
      <w:r>
        <w:t xml:space="preserve">L and a terminal half-life of </w:t>
      </w:r>
      <w:r w:rsidR="00600B1E">
        <w:t>15</w:t>
      </w:r>
      <w:r w:rsidR="005B33BC">
        <w:t> </w:t>
      </w:r>
      <w:r>
        <w:t xml:space="preserve">hours </w:t>
      </w:r>
      <w:bookmarkStart w:id="31" w:name="_Hlk513041216"/>
      <w:r w:rsidR="00600B1E" w:rsidRPr="00600B1E">
        <w:t>after dosing</w:t>
      </w:r>
      <w:bookmarkEnd w:id="31"/>
      <w:r>
        <w:t xml:space="preserve">.  </w:t>
      </w:r>
      <w:bookmarkStart w:id="32" w:name="_Hlk513041231"/>
      <w:r w:rsidR="00600B1E" w:rsidRPr="00600B1E">
        <w:t>On multiple dosing, an AUC accumulation ratio of 1.8 was observed and PK appeared to be time-dependent to a small extent.</w:t>
      </w:r>
      <w:bookmarkEnd w:id="32"/>
    </w:p>
    <w:p w14:paraId="596B8AE6" w14:textId="77777777" w:rsidR="001A3992" w:rsidRDefault="001A3992" w:rsidP="0026491B">
      <w:pPr>
        <w:pStyle w:val="Heading3Unnumbered"/>
      </w:pPr>
      <w:r w:rsidRPr="00377337">
        <w:t>Absorption</w:t>
      </w:r>
    </w:p>
    <w:p w14:paraId="0DBC8588" w14:textId="48BDB1AF" w:rsidR="007403BD" w:rsidRDefault="00471E15" w:rsidP="00BB41D1">
      <w:pPr>
        <w:pStyle w:val="Paragraph"/>
      </w:pPr>
      <w:r>
        <w:t xml:space="preserve">Following oral administration of olaparib via the </w:t>
      </w:r>
      <w:r w:rsidR="00600B1E">
        <w:t xml:space="preserve">tablet </w:t>
      </w:r>
      <w:r>
        <w:t xml:space="preserve">formulation </w:t>
      </w:r>
      <w:r w:rsidR="00600B1E" w:rsidRPr="00600B1E">
        <w:t>(2x150 mg)</w:t>
      </w:r>
      <w:r>
        <w:t xml:space="preserve">, absorption is rapid with peak plasma concentrations typically achieved between </w:t>
      </w:r>
      <w:r w:rsidR="00600B1E" w:rsidRPr="00600B1E">
        <w:t xml:space="preserve">1.5 </w:t>
      </w:r>
      <w:r>
        <w:t>hours after dosing.</w:t>
      </w:r>
    </w:p>
    <w:p w14:paraId="09854699" w14:textId="5B67D63B" w:rsidR="00BB41D1" w:rsidRDefault="00BB41D1" w:rsidP="00BB41D1">
      <w:pPr>
        <w:pStyle w:val="Paragraph"/>
      </w:pPr>
      <w:bookmarkStart w:id="33" w:name="_Hlk513041392"/>
      <w:r w:rsidRPr="00BB41D1">
        <w:t>Co-administration with food slowed the rate (t</w:t>
      </w:r>
      <w:r w:rsidRPr="00BB41D1">
        <w:rPr>
          <w:vertAlign w:val="subscript"/>
        </w:rPr>
        <w:t>max</w:t>
      </w:r>
      <w:r w:rsidRPr="00BB41D1">
        <w:t xml:space="preserve"> delayed by 2.5 hours and C</w:t>
      </w:r>
      <w:r w:rsidRPr="00BB41D1">
        <w:rPr>
          <w:vertAlign w:val="subscript"/>
        </w:rPr>
        <w:t>max</w:t>
      </w:r>
      <w:r w:rsidRPr="00BB41D1">
        <w:t xml:space="preserve"> reduced by approximately 21%) but did not significantly affect the extent of absorption of olaparib (AUC treatment ratio: 1.08; 90% CI: 1.01, 1.16).  Consequently, patients may take LYNPARZA without regard to food (see Section 4.2 - Dose and method of administration).</w:t>
      </w:r>
    </w:p>
    <w:bookmarkEnd w:id="33"/>
    <w:p w14:paraId="145B5C12" w14:textId="77777777" w:rsidR="001A3992" w:rsidRDefault="001A3992" w:rsidP="0026491B">
      <w:pPr>
        <w:pStyle w:val="Heading3Unnumbered"/>
      </w:pPr>
      <w:r w:rsidRPr="00377337">
        <w:t>Distribution</w:t>
      </w:r>
    </w:p>
    <w:p w14:paraId="0FE7D1B8" w14:textId="42562CEA" w:rsidR="007403BD" w:rsidRPr="007403BD" w:rsidRDefault="004C31E6" w:rsidP="00276C09">
      <w:pPr>
        <w:pStyle w:val="Paragraph"/>
      </w:pPr>
      <w:bookmarkStart w:id="34" w:name="_Hlk513119236"/>
      <w:r w:rsidRPr="004C31E6">
        <w:rPr>
          <w:i/>
        </w:rPr>
        <w:t>In vitro</w:t>
      </w:r>
      <w:r w:rsidRPr="00C51443">
        <w:t xml:space="preserve">, human plasma protein binding of olaparib was dose-dependent; the fraction bound was approximately 91% at 1 </w:t>
      </w:r>
      <w:proofErr w:type="spellStart"/>
      <w:r w:rsidRPr="00C51443">
        <w:t>μg</w:t>
      </w:r>
      <w:proofErr w:type="spellEnd"/>
      <w:r w:rsidRPr="00C51443">
        <w:t xml:space="preserve">/mL, reducing to 82% at 10 </w:t>
      </w:r>
      <w:proofErr w:type="spellStart"/>
      <w:r w:rsidRPr="00C51443">
        <w:t>μg</w:t>
      </w:r>
      <w:proofErr w:type="spellEnd"/>
      <w:r w:rsidRPr="00C51443">
        <w:t xml:space="preserve">/mL and to 70% at 40 </w:t>
      </w:r>
      <w:proofErr w:type="spellStart"/>
      <w:r w:rsidRPr="00C51443">
        <w:t>μg</w:t>
      </w:r>
      <w:proofErr w:type="spellEnd"/>
      <w:r w:rsidRPr="00C51443">
        <w:t>/</w:t>
      </w:r>
      <w:proofErr w:type="spellStart"/>
      <w:r w:rsidRPr="00C51443">
        <w:t>mL.</w:t>
      </w:r>
      <w:proofErr w:type="spellEnd"/>
      <w:r w:rsidRPr="00C51443">
        <w:t xml:space="preserve">  In solutions of purified proteins, the olaparib fraction bound to albumin was approximately 56%, which was independent of olaparib concentrations.  Using the same assay, the fraction bound to alpha-1 acid glycoprotein was 29% at 10 </w:t>
      </w:r>
      <w:proofErr w:type="spellStart"/>
      <w:r w:rsidRPr="00C51443">
        <w:t>μg</w:t>
      </w:r>
      <w:proofErr w:type="spellEnd"/>
      <w:r w:rsidRPr="00C51443">
        <w:t>/mL with a trend of decreased binding at higher concentrations</w:t>
      </w:r>
      <w:bookmarkEnd w:id="34"/>
      <w:r w:rsidR="00276C09">
        <w:t>.</w:t>
      </w:r>
    </w:p>
    <w:p w14:paraId="4B6535A4" w14:textId="77777777" w:rsidR="001A3992" w:rsidRDefault="001A3992" w:rsidP="0026491B">
      <w:pPr>
        <w:pStyle w:val="Heading3Unnumbered"/>
      </w:pPr>
      <w:r w:rsidRPr="00377337">
        <w:t>Metabolism</w:t>
      </w:r>
    </w:p>
    <w:p w14:paraId="04C7BE75" w14:textId="5F119922" w:rsidR="007403BD" w:rsidRDefault="00276C09" w:rsidP="00276C09">
      <w:pPr>
        <w:pStyle w:val="Paragraph"/>
      </w:pPr>
      <w:r w:rsidRPr="00276C09">
        <w:rPr>
          <w:i/>
        </w:rPr>
        <w:t>In vitro</w:t>
      </w:r>
      <w:r>
        <w:t>, CYP3A4</w:t>
      </w:r>
      <w:r w:rsidR="00BB41D1" w:rsidRPr="00BB41D1">
        <w:t>/5</w:t>
      </w:r>
      <w:r>
        <w:t xml:space="preserve"> </w:t>
      </w:r>
      <w:r w:rsidR="00BB41D1">
        <w:t xml:space="preserve">were </w:t>
      </w:r>
      <w:r>
        <w:t>shown to be the enzyme</w:t>
      </w:r>
      <w:r w:rsidR="00BB41D1">
        <w:t>s</w:t>
      </w:r>
      <w:r>
        <w:t xml:space="preserve"> primarily responsible for the metabolism of olaparib.</w:t>
      </w:r>
    </w:p>
    <w:p w14:paraId="50608FCE" w14:textId="201564E5" w:rsidR="00276C09" w:rsidRDefault="00276C09" w:rsidP="00EA65E3">
      <w:pPr>
        <w:pStyle w:val="Paragraph"/>
      </w:pPr>
      <w:r>
        <w:t xml:space="preserve">Following oral dosing of </w:t>
      </w:r>
      <w:r w:rsidRPr="00276C09">
        <w:rPr>
          <w:vertAlign w:val="superscript"/>
        </w:rPr>
        <w:t>14</w:t>
      </w:r>
      <w:r>
        <w:t>C-olaparib to female patients, unchanged olaparib accounted for the majority of the circulating radioactivity in plasma (70%) and was the major component found in both urine and faeces (15% and 6% of the dose respectively).  The metabolism of olaparib is extensive with the main site of metabolism being the piperazine</w:t>
      </w:r>
      <w:r w:rsidR="00BB41D1">
        <w:t xml:space="preserve"> and </w:t>
      </w:r>
      <w:r>
        <w:t xml:space="preserve">fluorobenzyl ring structures. </w:t>
      </w:r>
      <w:r w:rsidR="000A62D4">
        <w:t xml:space="preserve"> </w:t>
      </w:r>
      <w:r>
        <w:t xml:space="preserve">The majority of the metabolism was attributable to oxidation reactions with a number of the components produced undergoing subsequent glucuronide or sulphate conjugation.  Up to 20, 37 and 20 metabolites were detected in plasma, urine and faeces respectively, the majority of them representing &lt;1% of the dosed material.  A ring-open </w:t>
      </w:r>
      <w:r w:rsidR="00EA65E3" w:rsidRPr="00EA65E3">
        <w:t xml:space="preserve">piperazin-3-ol </w:t>
      </w:r>
      <w:r>
        <w:t>moiety, and two mono-oxygenated metabolites (each~10%) were the major circulating components, with one of the mono-</w:t>
      </w:r>
      <w:r>
        <w:lastRenderedPageBreak/>
        <w:t xml:space="preserve">oxygenated metabolites also being the major metabolite in the excreta (6% and 5% of the urinary and faecal radioactivity respectively).  </w:t>
      </w:r>
    </w:p>
    <w:p w14:paraId="7DE234DD" w14:textId="77777777" w:rsidR="001A3992" w:rsidRDefault="001A3992" w:rsidP="0026491B">
      <w:pPr>
        <w:pStyle w:val="Heading3Unnumbered"/>
      </w:pPr>
      <w:r w:rsidRPr="00377337">
        <w:t>Excretion</w:t>
      </w:r>
    </w:p>
    <w:p w14:paraId="6A13027C" w14:textId="393FD243" w:rsidR="007403BD" w:rsidRDefault="00276C09" w:rsidP="00276C09">
      <w:pPr>
        <w:pStyle w:val="Paragraph"/>
      </w:pPr>
      <w:r>
        <w:t xml:space="preserve">Following a single dose of </w:t>
      </w:r>
      <w:r w:rsidRPr="00DA64B3">
        <w:rPr>
          <w:vertAlign w:val="superscript"/>
        </w:rPr>
        <w:t>14</w:t>
      </w:r>
      <w:r>
        <w:t>C-olaparib, ~86% of the dosed radioactivity was recovered within a 7</w:t>
      </w:r>
      <w:r w:rsidR="00DA64B3">
        <w:t> </w:t>
      </w:r>
      <w:r>
        <w:t xml:space="preserve">day collection period, ~44% via the urine and ~42% via the faeces. </w:t>
      </w:r>
      <w:r w:rsidR="00DA64B3">
        <w:t xml:space="preserve"> </w:t>
      </w:r>
      <w:r w:rsidR="008E0A0A">
        <w:t xml:space="preserve">The majority </w:t>
      </w:r>
      <w:r>
        <w:t>of the material was excreted as metabolites.</w:t>
      </w:r>
    </w:p>
    <w:p w14:paraId="36D18D61" w14:textId="5B2D185D" w:rsidR="00DA64B3" w:rsidRDefault="00DA64B3" w:rsidP="00DA64B3">
      <w:pPr>
        <w:pStyle w:val="Heading3Unnumbered"/>
      </w:pPr>
      <w:r>
        <w:t>Special populations</w:t>
      </w:r>
    </w:p>
    <w:p w14:paraId="6C0C83A5" w14:textId="2D79A3DF" w:rsidR="00DA64B3" w:rsidRDefault="00DA64B3" w:rsidP="00DA64B3">
      <w:pPr>
        <w:pStyle w:val="Heading4Unnumbered"/>
      </w:pPr>
      <w:r>
        <w:t>Renal impairment</w:t>
      </w:r>
    </w:p>
    <w:p w14:paraId="316D173C" w14:textId="2CFB5E67" w:rsidR="00DA64B3" w:rsidRDefault="00DA64B3" w:rsidP="00DA64B3">
      <w:pPr>
        <w:pStyle w:val="Paragraph"/>
      </w:pPr>
      <w:r>
        <w:t>Following a single oral 300 mg dose of olaparib to patients with mild renal impairment (creatinine clearance: 51 to 80 mL/min), AUC increased by 24% (90% CI: 6% to 47%) and C</w:t>
      </w:r>
      <w:r w:rsidRPr="00DA64B3">
        <w:rPr>
          <w:vertAlign w:val="subscript"/>
        </w:rPr>
        <w:t>max</w:t>
      </w:r>
      <w:r>
        <w:t xml:space="preserve"> by 15% (90% CI: 4% to 27%) compared with patients with normal renal function.  No LYNPARZA dose adjustment is required for patients with mild renal impairment, however, patients should be monitored closely for renal function and adverse events</w:t>
      </w:r>
      <w:r w:rsidR="00EA65E3">
        <w:t xml:space="preserve"> </w:t>
      </w:r>
      <w:r w:rsidRPr="00EA65E3">
        <w:t>(</w:t>
      </w:r>
      <w:r w:rsidRPr="00EA2D33">
        <w:t xml:space="preserve">see </w:t>
      </w:r>
      <w:r w:rsidR="00EA65E3" w:rsidRPr="00EA2D33">
        <w:t xml:space="preserve">Section </w:t>
      </w:r>
      <w:r w:rsidR="00BE5BA2" w:rsidRPr="00EA2D33">
        <w:t>4.2 - Dose and method of administration</w:t>
      </w:r>
      <w:r w:rsidRPr="00EA2D33">
        <w:t>).</w:t>
      </w:r>
    </w:p>
    <w:p w14:paraId="5D13DF27" w14:textId="0690B672" w:rsidR="00DA64B3" w:rsidRDefault="00DA64B3" w:rsidP="00DA64B3">
      <w:pPr>
        <w:pStyle w:val="Paragraph"/>
      </w:pPr>
      <w:r>
        <w:t>Following a single oral 300 mg dose of olaparib to patients with moderate renal impairment (creatinine clearance: 31 to 50 mL/min), AUC increased by 44% (90% CI: 10% to 89%) and C</w:t>
      </w:r>
      <w:r w:rsidRPr="00DA64B3">
        <w:rPr>
          <w:vertAlign w:val="subscript"/>
        </w:rPr>
        <w:t>max</w:t>
      </w:r>
      <w:r>
        <w:t xml:space="preserve"> by 26% (90% CI: 6% to 48%) compared with patients with normal renal function.  LYNPARZA dose adjustment is recommended for patients with moderate renal impairment and patients should be monitored closely for renal function and adverse events (</w:t>
      </w:r>
      <w:r w:rsidRPr="00EA2D33">
        <w:t xml:space="preserve">see </w:t>
      </w:r>
      <w:r w:rsidR="00EA65E3" w:rsidRPr="00EA2D33">
        <w:t xml:space="preserve">Section </w:t>
      </w:r>
      <w:r w:rsidR="00BE5BA2" w:rsidRPr="00EA2D33">
        <w:t>4.2 - Dose and method of administration</w:t>
      </w:r>
      <w:r>
        <w:t>).  Renal clearance of olaparib was lower in patients with mild and moderate renal impairment compared to patients with normal renal function (1.48 L/h).  For patients with mild or moderate renal impairment, arithmetic mean CLR was 59% (0.614 L/h) and 80% (0.299 L/h) lower, respectively, than that observed in patients with normal renal function.</w:t>
      </w:r>
    </w:p>
    <w:p w14:paraId="2E9073E9" w14:textId="6D176810" w:rsidR="00DA64B3" w:rsidRDefault="00DA64B3" w:rsidP="00DA64B3">
      <w:pPr>
        <w:pStyle w:val="Paragraph"/>
      </w:pPr>
      <w:r>
        <w:t>Olaparib has not been studied in patients with severe renal impairment or end-stage renal disease (creatinine clearance ≤30 mL/min).</w:t>
      </w:r>
    </w:p>
    <w:p w14:paraId="36001271" w14:textId="4A780896" w:rsidR="00751313" w:rsidRDefault="00751313" w:rsidP="00751313">
      <w:pPr>
        <w:pStyle w:val="Heading4Unnumbered"/>
      </w:pPr>
      <w:r>
        <w:t>Hepatic impairment</w:t>
      </w:r>
    </w:p>
    <w:p w14:paraId="216FE406" w14:textId="56133414" w:rsidR="00751313" w:rsidRPr="00751313" w:rsidRDefault="00751313" w:rsidP="00751313">
      <w:pPr>
        <w:pStyle w:val="Paragraph"/>
        <w:rPr>
          <w:lang w:val="en-AU"/>
        </w:rPr>
      </w:pPr>
      <w:r w:rsidRPr="00751313">
        <w:rPr>
          <w:lang w:val="en-AU"/>
        </w:rPr>
        <w:t>Following a single oral 300 mg dose of olaparib to patients with mild hepatic impairment</w:t>
      </w:r>
      <w:r>
        <w:rPr>
          <w:lang w:val="en-AU"/>
        </w:rPr>
        <w:t xml:space="preserve"> </w:t>
      </w:r>
      <w:r w:rsidRPr="00751313">
        <w:rPr>
          <w:lang w:val="en-AU"/>
        </w:rPr>
        <w:t>(based on Child-Pugh score) AUC increased by 15% (90% CI: -23% to 28%) and C</w:t>
      </w:r>
      <w:r w:rsidRPr="00751313">
        <w:rPr>
          <w:vertAlign w:val="subscript"/>
          <w:lang w:val="en-AU"/>
        </w:rPr>
        <w:t>max</w:t>
      </w:r>
      <w:r w:rsidRPr="00751313">
        <w:rPr>
          <w:lang w:val="en-AU"/>
        </w:rPr>
        <w:t xml:space="preserve"> by</w:t>
      </w:r>
      <w:r>
        <w:rPr>
          <w:lang w:val="en-AU"/>
        </w:rPr>
        <w:t xml:space="preserve"> </w:t>
      </w:r>
      <w:r w:rsidRPr="00751313">
        <w:rPr>
          <w:lang w:val="en-AU"/>
        </w:rPr>
        <w:t>13% (90%</w:t>
      </w:r>
      <w:r>
        <w:rPr>
          <w:lang w:val="en-AU"/>
        </w:rPr>
        <w:t> </w:t>
      </w:r>
      <w:r w:rsidRPr="00751313">
        <w:rPr>
          <w:lang w:val="en-AU"/>
        </w:rPr>
        <w:t>CI:</w:t>
      </w:r>
      <w:r>
        <w:rPr>
          <w:lang w:val="en-AU"/>
        </w:rPr>
        <w:t> </w:t>
      </w:r>
      <w:r>
        <w:rPr>
          <w:lang w:val="en-AU"/>
        </w:rPr>
        <w:noBreakHyphen/>
      </w:r>
      <w:r w:rsidRPr="00751313">
        <w:rPr>
          <w:lang w:val="en-AU"/>
        </w:rPr>
        <w:t xml:space="preserve">18% to 55%) compared with patients with normal hepatic function. </w:t>
      </w:r>
      <w:r>
        <w:rPr>
          <w:lang w:val="en-AU"/>
        </w:rPr>
        <w:t xml:space="preserve"> </w:t>
      </w:r>
      <w:r w:rsidRPr="00751313">
        <w:rPr>
          <w:lang w:val="en-AU"/>
        </w:rPr>
        <w:t>No</w:t>
      </w:r>
      <w:r>
        <w:rPr>
          <w:lang w:val="en-AU"/>
        </w:rPr>
        <w:t xml:space="preserve"> </w:t>
      </w:r>
      <w:r w:rsidRPr="00751313">
        <w:rPr>
          <w:lang w:val="en-AU"/>
        </w:rPr>
        <w:t xml:space="preserve">LYNPARZA dose adjustment is required in patients with mild hepatic impairment, </w:t>
      </w:r>
      <w:r w:rsidR="00340927" w:rsidRPr="00340927">
        <w:rPr>
          <w:lang w:val="en-AU"/>
        </w:rPr>
        <w:t>however</w:t>
      </w:r>
      <w:r w:rsidRPr="00751313">
        <w:rPr>
          <w:lang w:val="en-AU"/>
        </w:rPr>
        <w:t>,</w:t>
      </w:r>
      <w:r>
        <w:rPr>
          <w:lang w:val="en-AU"/>
        </w:rPr>
        <w:t xml:space="preserve"> </w:t>
      </w:r>
      <w:r w:rsidRPr="00751313">
        <w:rPr>
          <w:lang w:val="en-AU"/>
        </w:rPr>
        <w:t>patients should be monitored closely for hepatic function and adverse events (</w:t>
      </w:r>
      <w:r w:rsidRPr="00EA2D33">
        <w:rPr>
          <w:lang w:val="en-AU"/>
        </w:rPr>
        <w:t xml:space="preserve">see </w:t>
      </w:r>
      <w:r w:rsidR="00EA2D33" w:rsidRPr="00EA2D33">
        <w:rPr>
          <w:lang w:val="en-AU"/>
        </w:rPr>
        <w:t xml:space="preserve">Section </w:t>
      </w:r>
      <w:r w:rsidR="00BE5BA2" w:rsidRPr="00EA2D33">
        <w:t>4.2 - Dose and method of administration.</w:t>
      </w:r>
      <w:r w:rsidRPr="00751313">
        <w:rPr>
          <w:lang w:val="en-AU"/>
        </w:rPr>
        <w:t>).</w:t>
      </w:r>
    </w:p>
    <w:p w14:paraId="13C544FC" w14:textId="619766F1" w:rsidR="009D3FF3" w:rsidRPr="009D3FF3" w:rsidRDefault="009D3FF3" w:rsidP="009D3FF3">
      <w:pPr>
        <w:pStyle w:val="Paragraph"/>
        <w:rPr>
          <w:lang w:val="en-AU"/>
        </w:rPr>
      </w:pPr>
      <w:bookmarkStart w:id="35" w:name="_Hlk513042668"/>
      <w:r w:rsidRPr="009D3FF3">
        <w:rPr>
          <w:lang w:val="en-AU"/>
        </w:rPr>
        <w:t>Olaparib has not been studied in patients with moderate or severe hepatic impairment.</w:t>
      </w:r>
      <w:r>
        <w:rPr>
          <w:lang w:val="en-AU"/>
        </w:rPr>
        <w:t xml:space="preserve">  </w:t>
      </w:r>
    </w:p>
    <w:bookmarkEnd w:id="35"/>
    <w:p w14:paraId="515D401E" w14:textId="38E0C9B8" w:rsidR="00751313" w:rsidRDefault="00751313" w:rsidP="00751313">
      <w:pPr>
        <w:pStyle w:val="Heading4Unnumbered"/>
      </w:pPr>
      <w:r>
        <w:t>Race</w:t>
      </w:r>
    </w:p>
    <w:p w14:paraId="22A75B82" w14:textId="7333AF68" w:rsidR="00751313" w:rsidRDefault="009D3FF3" w:rsidP="00751313">
      <w:pPr>
        <w:pStyle w:val="Paragraph"/>
        <w:rPr>
          <w:lang w:val="en-AU"/>
        </w:rPr>
      </w:pPr>
      <w:r w:rsidRPr="009D3FF3">
        <w:rPr>
          <w:lang w:val="en-AU"/>
        </w:rPr>
        <w:t>In population based PK analyses, patient age, bodyweight or race (including White and Japanese patients) were not significant covariates.</w:t>
      </w:r>
    </w:p>
    <w:p w14:paraId="76534727" w14:textId="77777777" w:rsidR="001A3992" w:rsidRDefault="001A3992" w:rsidP="00CD331E">
      <w:pPr>
        <w:pStyle w:val="Heading2"/>
        <w:tabs>
          <w:tab w:val="clear" w:pos="1134"/>
          <w:tab w:val="num" w:pos="720"/>
        </w:tabs>
        <w:ind w:left="720" w:hanging="720"/>
      </w:pPr>
      <w:r w:rsidRPr="00377337">
        <w:t>Preclinical safety data</w:t>
      </w:r>
    </w:p>
    <w:p w14:paraId="19CB5A16" w14:textId="77777777" w:rsidR="001A3992" w:rsidRDefault="001A3992" w:rsidP="0026491B">
      <w:pPr>
        <w:pStyle w:val="Heading3Unnumbered"/>
      </w:pPr>
      <w:r w:rsidRPr="00377337">
        <w:t>Genotoxicity</w:t>
      </w:r>
    </w:p>
    <w:p w14:paraId="294BB1C5" w14:textId="52DDFFC4" w:rsidR="007403BD" w:rsidRPr="007403BD" w:rsidRDefault="00E34080" w:rsidP="00E34080">
      <w:pPr>
        <w:pStyle w:val="Paragraph"/>
      </w:pPr>
      <w:r>
        <w:t xml:space="preserve">Olaparib showed no mutagenic potential in bacterial cells, but was clastogenic in mammalian cells </w:t>
      </w:r>
      <w:r w:rsidRPr="00E34080">
        <w:rPr>
          <w:i/>
        </w:rPr>
        <w:t>in vitro</w:t>
      </w:r>
      <w:r>
        <w:t>.</w:t>
      </w:r>
      <w:r w:rsidR="00CF7674">
        <w:t xml:space="preserve"> </w:t>
      </w:r>
      <w:r>
        <w:t xml:space="preserve"> When dosed orally to rats, olaparib induced micronuclei in bone marrow.  This </w:t>
      </w:r>
      <w:r>
        <w:lastRenderedPageBreak/>
        <w:t>clastogenicity is consistent with the primary pharmacology of olaparib and indicates potential for genotoxicity in man.</w:t>
      </w:r>
    </w:p>
    <w:p w14:paraId="57EF99BF" w14:textId="77777777" w:rsidR="001A3992" w:rsidRDefault="001A3992" w:rsidP="0026491B">
      <w:pPr>
        <w:pStyle w:val="Heading3Unnumbered"/>
      </w:pPr>
      <w:r w:rsidRPr="00377337">
        <w:t>Carcinogenicity</w:t>
      </w:r>
    </w:p>
    <w:p w14:paraId="1DEA23A8" w14:textId="20A72CA5" w:rsidR="007403BD" w:rsidRPr="007403BD" w:rsidRDefault="009415E2" w:rsidP="007403BD">
      <w:pPr>
        <w:pStyle w:val="Paragraph"/>
      </w:pPr>
      <w:bookmarkStart w:id="36" w:name="_Hlk513043365"/>
      <w:r w:rsidRPr="00EF5786">
        <w:t>Carcinogenicity studies have not been conducted with olaparib</w:t>
      </w:r>
      <w:bookmarkEnd w:id="36"/>
      <w:r w:rsidR="00E34080" w:rsidRPr="00EF5786">
        <w:t>.</w:t>
      </w:r>
    </w:p>
    <w:p w14:paraId="3A66B3C1" w14:textId="77777777" w:rsidR="001A3992" w:rsidRPr="00377337" w:rsidRDefault="001A3992" w:rsidP="00CD331E">
      <w:pPr>
        <w:pStyle w:val="Heading1"/>
        <w:tabs>
          <w:tab w:val="clear" w:pos="1134"/>
          <w:tab w:val="num" w:pos="720"/>
        </w:tabs>
        <w:ind w:left="720" w:hanging="720"/>
      </w:pPr>
      <w:r w:rsidRPr="00377337">
        <w:t>Pharmaceutical particulars</w:t>
      </w:r>
    </w:p>
    <w:p w14:paraId="110AD725" w14:textId="77777777" w:rsidR="001A3992" w:rsidRDefault="001A3992" w:rsidP="00CD331E">
      <w:pPr>
        <w:pStyle w:val="Heading2"/>
        <w:tabs>
          <w:tab w:val="clear" w:pos="1134"/>
          <w:tab w:val="num" w:pos="720"/>
        </w:tabs>
        <w:ind w:left="720" w:hanging="720"/>
      </w:pPr>
      <w:r w:rsidRPr="00377337">
        <w:t>List of exci</w:t>
      </w:r>
      <w:r w:rsidR="00795D99" w:rsidRPr="00377337">
        <w:t>pients</w:t>
      </w:r>
    </w:p>
    <w:p w14:paraId="392877F1" w14:textId="31B132C6" w:rsidR="007A2548" w:rsidRPr="007403BD" w:rsidRDefault="007A2548" w:rsidP="007A2548">
      <w:pPr>
        <w:pStyle w:val="Paragraph"/>
      </w:pPr>
      <w:r>
        <w:t xml:space="preserve">Refer to </w:t>
      </w:r>
      <w:r w:rsidRPr="00906923">
        <w:rPr>
          <w:i/>
        </w:rPr>
        <w:t>Section 2</w:t>
      </w:r>
      <w:r w:rsidR="00906923" w:rsidRPr="00906923">
        <w:rPr>
          <w:i/>
        </w:rPr>
        <w:t xml:space="preserve"> </w:t>
      </w:r>
      <w:r w:rsidRPr="00906923">
        <w:rPr>
          <w:i/>
        </w:rPr>
        <w:t>-</w:t>
      </w:r>
      <w:r w:rsidR="00906923" w:rsidRPr="00906923">
        <w:rPr>
          <w:i/>
        </w:rPr>
        <w:t xml:space="preserve"> </w:t>
      </w:r>
      <w:r w:rsidRPr="00906923">
        <w:rPr>
          <w:i/>
        </w:rPr>
        <w:t>Qualitative and quantitative composition</w:t>
      </w:r>
      <w:r>
        <w:t>.</w:t>
      </w:r>
    </w:p>
    <w:p w14:paraId="608E3815" w14:textId="77777777" w:rsidR="001A3992" w:rsidRDefault="001A3992" w:rsidP="00CD331E">
      <w:pPr>
        <w:pStyle w:val="Heading2"/>
        <w:tabs>
          <w:tab w:val="clear" w:pos="1134"/>
          <w:tab w:val="num" w:pos="720"/>
        </w:tabs>
        <w:ind w:left="720" w:hanging="720"/>
      </w:pPr>
      <w:r w:rsidRPr="00377337">
        <w:t>Incompatib</w:t>
      </w:r>
      <w:r w:rsidR="00795D99" w:rsidRPr="00377337">
        <w:t>ilities</w:t>
      </w:r>
    </w:p>
    <w:p w14:paraId="00F19E63" w14:textId="3A2420A4" w:rsidR="007A2548" w:rsidRPr="00D83FFA" w:rsidRDefault="009061AD" w:rsidP="007A2548">
      <w:pPr>
        <w:pStyle w:val="Paragraph"/>
      </w:pPr>
      <w:bookmarkStart w:id="37" w:name="_Hlk513043490"/>
      <w:r w:rsidRPr="00D83FFA">
        <w:t>Incompatibilities were either not assessed or not identified as part of the registration of this medicine</w:t>
      </w:r>
      <w:bookmarkEnd w:id="37"/>
      <w:r w:rsidR="007A2548" w:rsidRPr="00D83FFA">
        <w:t>.</w:t>
      </w:r>
    </w:p>
    <w:p w14:paraId="5055E879" w14:textId="77777777" w:rsidR="001A3992" w:rsidRPr="00D83FFA" w:rsidRDefault="001A3992" w:rsidP="00CD331E">
      <w:pPr>
        <w:pStyle w:val="Heading2"/>
        <w:tabs>
          <w:tab w:val="clear" w:pos="1134"/>
          <w:tab w:val="num" w:pos="720"/>
        </w:tabs>
        <w:ind w:left="720" w:hanging="720"/>
      </w:pPr>
      <w:r w:rsidRPr="00D83FFA">
        <w:t>Shelf life</w:t>
      </w:r>
    </w:p>
    <w:p w14:paraId="081A4CE9" w14:textId="70F5A4D6" w:rsidR="007A2548" w:rsidRPr="00D83FFA" w:rsidRDefault="009061AD" w:rsidP="007403BD">
      <w:pPr>
        <w:pStyle w:val="Paragraph"/>
      </w:pPr>
      <w:r w:rsidRPr="00D83FFA">
        <w:t>In Australia, information on the shelf life can be found on the public summary of the Australian Register of Therapeutic Goods (ARTG). The expiry date can be found on the packaging</w:t>
      </w:r>
      <w:r w:rsidR="007A2548" w:rsidRPr="00D83FFA">
        <w:t>.</w:t>
      </w:r>
    </w:p>
    <w:p w14:paraId="74053D57" w14:textId="77777777" w:rsidR="001A3992" w:rsidRPr="00D83FFA" w:rsidRDefault="00795D99" w:rsidP="00CD331E">
      <w:pPr>
        <w:pStyle w:val="Heading2"/>
        <w:tabs>
          <w:tab w:val="clear" w:pos="1134"/>
          <w:tab w:val="num" w:pos="720"/>
        </w:tabs>
        <w:ind w:left="720" w:hanging="720"/>
      </w:pPr>
      <w:r w:rsidRPr="00D83FFA">
        <w:t>Special precautions for storage</w:t>
      </w:r>
    </w:p>
    <w:p w14:paraId="49D8BC13" w14:textId="09110BAF" w:rsidR="007A2548" w:rsidRPr="00D83FFA" w:rsidRDefault="00A84F47" w:rsidP="007403BD">
      <w:pPr>
        <w:pStyle w:val="Paragraph"/>
      </w:pPr>
      <w:r w:rsidRPr="00D83FFA">
        <w:t xml:space="preserve">Store below 30°C. </w:t>
      </w:r>
      <w:bookmarkStart w:id="38" w:name="_Hlk513044644"/>
      <w:r w:rsidR="00CF7674" w:rsidRPr="00D83FFA">
        <w:t>Store in original container to protect from moisture.</w:t>
      </w:r>
      <w:bookmarkEnd w:id="38"/>
    </w:p>
    <w:p w14:paraId="1AB3F946" w14:textId="77777777" w:rsidR="001A3992" w:rsidRPr="00D83FFA" w:rsidRDefault="001A3992" w:rsidP="00CD331E">
      <w:pPr>
        <w:pStyle w:val="Heading2"/>
        <w:tabs>
          <w:tab w:val="clear" w:pos="1134"/>
          <w:tab w:val="num" w:pos="720"/>
        </w:tabs>
        <w:ind w:left="720" w:hanging="720"/>
      </w:pPr>
      <w:r w:rsidRPr="00D83FFA">
        <w:t>N</w:t>
      </w:r>
      <w:r w:rsidR="00795D99" w:rsidRPr="00D83FFA">
        <w:t>ature and contents of container</w:t>
      </w:r>
    </w:p>
    <w:p w14:paraId="7BA84FE0" w14:textId="4977D76A" w:rsidR="006A727B" w:rsidRPr="00D83FFA" w:rsidRDefault="00A84F47" w:rsidP="00CF7674">
      <w:pPr>
        <w:pStyle w:val="Paragraph"/>
      </w:pPr>
      <w:r w:rsidRPr="00D83FFA">
        <w:t xml:space="preserve">LYNPARZA is supplied in cartons containing </w:t>
      </w:r>
      <w:r w:rsidR="00CF7674" w:rsidRPr="00D83FFA">
        <w:rPr>
          <w:lang w:val="en-AU"/>
        </w:rPr>
        <w:t>56 tablets in aluminium/aluminium blister platforms</w:t>
      </w:r>
      <w:r w:rsidRPr="00D83FFA">
        <w:t>.</w:t>
      </w:r>
    </w:p>
    <w:p w14:paraId="2E2C7D9A" w14:textId="77777777" w:rsidR="001A3992" w:rsidRPr="00D83FFA" w:rsidRDefault="001A3992" w:rsidP="00CD331E">
      <w:pPr>
        <w:pStyle w:val="Heading2"/>
        <w:tabs>
          <w:tab w:val="clear" w:pos="1134"/>
          <w:tab w:val="num" w:pos="720"/>
        </w:tabs>
        <w:ind w:left="720" w:hanging="720"/>
      </w:pPr>
      <w:r w:rsidRPr="00D83FFA">
        <w:t>S</w:t>
      </w:r>
      <w:r w:rsidR="00795D99" w:rsidRPr="00D83FFA">
        <w:t>pecial precautions for disposal</w:t>
      </w:r>
    </w:p>
    <w:p w14:paraId="7BDB457A" w14:textId="6F808293" w:rsidR="006A727B" w:rsidRPr="007403BD" w:rsidRDefault="009061AD" w:rsidP="007403BD">
      <w:pPr>
        <w:pStyle w:val="Paragraph"/>
      </w:pPr>
      <w:bookmarkStart w:id="39" w:name="_Hlk513043630"/>
      <w:r w:rsidRPr="00D83FFA">
        <w:t>In Australia, any unused medicine or waste material should be disposed of by taking to your local pharmacy</w:t>
      </w:r>
      <w:bookmarkEnd w:id="39"/>
      <w:r w:rsidR="006A727B" w:rsidRPr="00D83FFA">
        <w:t>.</w:t>
      </w:r>
    </w:p>
    <w:p w14:paraId="26054392" w14:textId="77777777" w:rsidR="001A3992" w:rsidRPr="00377337" w:rsidRDefault="001A3992" w:rsidP="00CD331E">
      <w:pPr>
        <w:pStyle w:val="Heading2"/>
        <w:tabs>
          <w:tab w:val="clear" w:pos="1134"/>
          <w:tab w:val="num" w:pos="720"/>
        </w:tabs>
        <w:ind w:left="720" w:hanging="720"/>
      </w:pPr>
      <w:r w:rsidRPr="00377337">
        <w:t>Physicochemical properties</w:t>
      </w:r>
    </w:p>
    <w:p w14:paraId="32FE0165" w14:textId="77777777" w:rsidR="001A3992" w:rsidRDefault="001A3992" w:rsidP="0026491B">
      <w:pPr>
        <w:pStyle w:val="Heading3Unnumbered"/>
      </w:pPr>
      <w:r w:rsidRPr="00377337">
        <w:t>Chemical structure</w:t>
      </w:r>
    </w:p>
    <w:p w14:paraId="37C03EE4" w14:textId="7203A2A5" w:rsidR="006A727B" w:rsidRDefault="004F6A1C" w:rsidP="004F6A1C">
      <w:pPr>
        <w:pStyle w:val="Paragraph"/>
      </w:pPr>
      <w:r>
        <w:t>The chemical name for olaparib is: 4-[[3-[[4-(cyclopropylcarbonyl)-1-piperazinyl]carbonyl]-4-fluorophenyl]methyl]-1(2H)-phthalazinone.</w:t>
      </w:r>
    </w:p>
    <w:p w14:paraId="10839306" w14:textId="3F5067F5" w:rsidR="00823416" w:rsidRDefault="00823416" w:rsidP="004F6A1C">
      <w:pPr>
        <w:pStyle w:val="Paragraph"/>
      </w:pPr>
      <w:r w:rsidRPr="00823416">
        <w:t>The chemical structure of olaparib is:</w:t>
      </w:r>
    </w:p>
    <w:p w14:paraId="0AB0EBBD" w14:textId="544E5755" w:rsidR="00823416" w:rsidRDefault="00823416" w:rsidP="00823416">
      <w:pPr>
        <w:pStyle w:val="Paragraph"/>
        <w:jc w:val="center"/>
      </w:pPr>
      <w:r w:rsidRPr="00823416">
        <w:rPr>
          <w:rFonts w:ascii="Arial" w:hAnsi="Arial"/>
          <w:b/>
          <w:noProof/>
          <w:sz w:val="22"/>
          <w:szCs w:val="20"/>
          <w:lang w:val="en-AU" w:eastAsia="en-AU"/>
        </w:rPr>
        <w:lastRenderedPageBreak/>
        <w:drawing>
          <wp:inline distT="0" distB="0" distL="0" distR="0" wp14:anchorId="5DC5B5B3" wp14:editId="431163AB">
            <wp:extent cx="3299460" cy="21412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99460" cy="2141220"/>
                    </a:xfrm>
                    <a:prstGeom prst="rect">
                      <a:avLst/>
                    </a:prstGeom>
                    <a:noFill/>
                    <a:ln>
                      <a:noFill/>
                    </a:ln>
                  </pic:spPr>
                </pic:pic>
              </a:graphicData>
            </a:graphic>
          </wp:inline>
        </w:drawing>
      </w:r>
    </w:p>
    <w:p w14:paraId="7EF472C1" w14:textId="77777777" w:rsidR="00823416" w:rsidRDefault="00823416" w:rsidP="00823416">
      <w:pPr>
        <w:pStyle w:val="Paragraph"/>
      </w:pPr>
      <w:r>
        <w:t>Molecular formula: C</w:t>
      </w:r>
      <w:r w:rsidRPr="00823416">
        <w:rPr>
          <w:vertAlign w:val="subscript"/>
        </w:rPr>
        <w:t>24</w:t>
      </w:r>
      <w:r>
        <w:t>H</w:t>
      </w:r>
      <w:r w:rsidRPr="00823416">
        <w:rPr>
          <w:vertAlign w:val="subscript"/>
        </w:rPr>
        <w:t>23</w:t>
      </w:r>
      <w:r>
        <w:t>FN</w:t>
      </w:r>
      <w:r w:rsidRPr="00823416">
        <w:rPr>
          <w:vertAlign w:val="subscript"/>
        </w:rPr>
        <w:t>4</w:t>
      </w:r>
      <w:r>
        <w:t>O</w:t>
      </w:r>
      <w:r w:rsidRPr="00823416">
        <w:rPr>
          <w:vertAlign w:val="subscript"/>
        </w:rPr>
        <w:t>3</w:t>
      </w:r>
    </w:p>
    <w:p w14:paraId="5C7927D3" w14:textId="02E35139" w:rsidR="00823416" w:rsidRPr="006A727B" w:rsidRDefault="00823416" w:rsidP="00823416">
      <w:pPr>
        <w:pStyle w:val="Paragraph"/>
      </w:pPr>
      <w:r>
        <w:t>Molecular weight: 434.46</w:t>
      </w:r>
    </w:p>
    <w:p w14:paraId="6539753C" w14:textId="77777777" w:rsidR="001A3992" w:rsidRDefault="001A3992" w:rsidP="0026491B">
      <w:pPr>
        <w:pStyle w:val="Heading3Unnumbered"/>
      </w:pPr>
      <w:r w:rsidRPr="00377337">
        <w:t>CAS number</w:t>
      </w:r>
    </w:p>
    <w:p w14:paraId="654D5F67" w14:textId="33B4AB88" w:rsidR="006A727B" w:rsidRPr="006A727B" w:rsidRDefault="00823416" w:rsidP="006A727B">
      <w:pPr>
        <w:pStyle w:val="Paragraph"/>
      </w:pPr>
      <w:r w:rsidRPr="00823416">
        <w:t>CAS number: 763113-22-0</w:t>
      </w:r>
    </w:p>
    <w:p w14:paraId="6451EEF2" w14:textId="77777777" w:rsidR="001A3992" w:rsidRDefault="001A3992" w:rsidP="00CD331E">
      <w:pPr>
        <w:pStyle w:val="Heading1"/>
        <w:tabs>
          <w:tab w:val="clear" w:pos="1134"/>
          <w:tab w:val="num" w:pos="720"/>
        </w:tabs>
        <w:ind w:left="720" w:hanging="720"/>
      </w:pPr>
      <w:r w:rsidRPr="00377337">
        <w:t>Medicine schedule (Poisons Standard)</w:t>
      </w:r>
    </w:p>
    <w:p w14:paraId="1E722A13" w14:textId="0D9F1999" w:rsidR="0041004D" w:rsidRPr="002D3489" w:rsidRDefault="00A84F47" w:rsidP="002D3489">
      <w:pPr>
        <w:pStyle w:val="Paragraph"/>
      </w:pPr>
      <w:r w:rsidRPr="00A84F47">
        <w:t>Schedule 4 – Prescription Only Medicine</w:t>
      </w:r>
    </w:p>
    <w:p w14:paraId="1CC4D6C6" w14:textId="77777777" w:rsidR="00285173" w:rsidRDefault="001A3992" w:rsidP="00CD331E">
      <w:pPr>
        <w:pStyle w:val="Heading1"/>
        <w:tabs>
          <w:tab w:val="clear" w:pos="1134"/>
          <w:tab w:val="num" w:pos="720"/>
        </w:tabs>
        <w:ind w:left="720" w:hanging="720"/>
      </w:pPr>
      <w:r w:rsidRPr="00377337">
        <w:t>Sponsor</w:t>
      </w:r>
    </w:p>
    <w:p w14:paraId="47080C37" w14:textId="77777777" w:rsidR="0041004D" w:rsidRDefault="0041004D" w:rsidP="0041004D">
      <w:pPr>
        <w:pStyle w:val="Paragraph"/>
      </w:pPr>
      <w:r>
        <w:t>AstraZeneca Pty Ltd</w:t>
      </w:r>
      <w:r>
        <w:br/>
        <w:t>ABN 54 009 682 311</w:t>
      </w:r>
      <w:r>
        <w:br/>
        <w:t>66 Talavera Road</w:t>
      </w:r>
      <w:r>
        <w:br/>
        <w:t>MACQUARIE PARK NSW 2113</w:t>
      </w:r>
    </w:p>
    <w:p w14:paraId="1AC98654" w14:textId="77777777" w:rsidR="0041004D" w:rsidRPr="002D3489" w:rsidRDefault="0041004D" w:rsidP="0041004D">
      <w:pPr>
        <w:pStyle w:val="Paragraph"/>
      </w:pPr>
      <w:r>
        <w:t>Telephone: 1800 805 342</w:t>
      </w:r>
    </w:p>
    <w:p w14:paraId="40331105" w14:textId="77777777" w:rsidR="00285173" w:rsidRDefault="00285173" w:rsidP="00EE3AC8">
      <w:pPr>
        <w:pStyle w:val="Heading1"/>
      </w:pPr>
      <w:r w:rsidRPr="00377337">
        <w:t xml:space="preserve">Date of first </w:t>
      </w:r>
      <w:r w:rsidR="00795D99" w:rsidRPr="00377337">
        <w:t>approval</w:t>
      </w:r>
    </w:p>
    <w:p w14:paraId="3B4FF0C9" w14:textId="63AE542D" w:rsidR="00E00336" w:rsidRPr="002D3489" w:rsidRDefault="00513B1A" w:rsidP="002D3489">
      <w:pPr>
        <w:pStyle w:val="Paragraph"/>
      </w:pPr>
      <w:r>
        <w:t xml:space="preserve">DD </w:t>
      </w:r>
      <w:r w:rsidR="00CF7674">
        <w:t xml:space="preserve">MONTH </w:t>
      </w:r>
      <w:r>
        <w:t>YYYY</w:t>
      </w:r>
    </w:p>
    <w:p w14:paraId="04D5274B" w14:textId="77777777" w:rsidR="00285173" w:rsidRDefault="00285173" w:rsidP="00EE3AC8">
      <w:pPr>
        <w:pStyle w:val="Heading1"/>
      </w:pPr>
      <w:r w:rsidRPr="00377337">
        <w:t>Date o</w:t>
      </w:r>
      <w:r w:rsidR="00795D99" w:rsidRPr="00377337">
        <w:t>f revision</w:t>
      </w:r>
    </w:p>
    <w:p w14:paraId="402BD634" w14:textId="57DD1709" w:rsidR="00513B1A" w:rsidRDefault="00340927" w:rsidP="00513B1A">
      <w:pPr>
        <w:pStyle w:val="Paragraph"/>
      </w:pPr>
      <w:r>
        <w:t>Not applicable</w:t>
      </w:r>
    </w:p>
    <w:p w14:paraId="6CC55012" w14:textId="77777777" w:rsidR="00285173" w:rsidRPr="00377337" w:rsidRDefault="00285173" w:rsidP="0026491B">
      <w:pPr>
        <w:pStyle w:val="Heading2Unnumbered"/>
      </w:pPr>
      <w:r w:rsidRPr="00377337">
        <w:t>Summary table of changes</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Description w:val="&lt;&lt;Please Add a Table Title Here&gt;&gt;"/>
      </w:tblPr>
      <w:tblGrid>
        <w:gridCol w:w="1129"/>
        <w:gridCol w:w="8509"/>
      </w:tblGrid>
      <w:tr w:rsidR="008A35FB" w14:paraId="4EE389A4" w14:textId="77777777" w:rsidTr="008A35FB">
        <w:trPr>
          <w:cantSplit/>
          <w:tblHeader/>
        </w:trPr>
        <w:tc>
          <w:tcPr>
            <w:tcW w:w="1129" w:type="dxa"/>
            <w:shd w:val="clear" w:color="auto" w:fill="auto"/>
          </w:tcPr>
          <w:p w14:paraId="689DC031" w14:textId="77777777" w:rsidR="008A35FB" w:rsidRDefault="008A35FB" w:rsidP="008A35FB">
            <w:pPr>
              <w:pStyle w:val="TableHead"/>
              <w:jc w:val="left"/>
            </w:pPr>
            <w:r>
              <w:t>Section changed</w:t>
            </w:r>
          </w:p>
        </w:tc>
        <w:tc>
          <w:tcPr>
            <w:tcW w:w="8509" w:type="dxa"/>
            <w:shd w:val="clear" w:color="auto" w:fill="auto"/>
          </w:tcPr>
          <w:p w14:paraId="06E3092C" w14:textId="77777777" w:rsidR="008A35FB" w:rsidRDefault="008A35FB" w:rsidP="008A35FB">
            <w:pPr>
              <w:pStyle w:val="TableHead"/>
              <w:jc w:val="left"/>
            </w:pPr>
            <w:r>
              <w:t>Summary of new information</w:t>
            </w:r>
          </w:p>
        </w:tc>
      </w:tr>
      <w:tr w:rsidR="008A35FB" w14:paraId="169CBB75" w14:textId="77777777" w:rsidTr="008A35FB">
        <w:trPr>
          <w:cantSplit/>
        </w:trPr>
        <w:tc>
          <w:tcPr>
            <w:tcW w:w="1129" w:type="dxa"/>
            <w:shd w:val="clear" w:color="auto" w:fill="auto"/>
          </w:tcPr>
          <w:p w14:paraId="0A243C50" w14:textId="25644BC7" w:rsidR="008A35FB" w:rsidRPr="00D83FFA" w:rsidRDefault="009061AD" w:rsidP="008A35FB">
            <w:pPr>
              <w:pStyle w:val="TableLeft"/>
              <w:rPr>
                <w:i/>
              </w:rPr>
            </w:pPr>
            <w:r w:rsidRPr="00D83FFA">
              <w:rPr>
                <w:i/>
              </w:rPr>
              <w:t>N/A</w:t>
            </w:r>
          </w:p>
        </w:tc>
        <w:tc>
          <w:tcPr>
            <w:tcW w:w="8509" w:type="dxa"/>
            <w:shd w:val="clear" w:color="auto" w:fill="auto"/>
          </w:tcPr>
          <w:p w14:paraId="2B2A7379" w14:textId="70AEF4B2" w:rsidR="008A35FB" w:rsidRPr="00D83FFA" w:rsidRDefault="009061AD" w:rsidP="008A35FB">
            <w:pPr>
              <w:pStyle w:val="TableLeft"/>
              <w:rPr>
                <w:i/>
              </w:rPr>
            </w:pPr>
            <w:r w:rsidRPr="00D83FFA">
              <w:rPr>
                <w:i/>
              </w:rPr>
              <w:t>New</w:t>
            </w:r>
            <w:r w:rsidR="000230A8" w:rsidRPr="00D83FFA">
              <w:rPr>
                <w:i/>
              </w:rPr>
              <w:t xml:space="preserve"> PI document</w:t>
            </w:r>
            <w:r w:rsidRPr="00D83FFA">
              <w:rPr>
                <w:i/>
              </w:rPr>
              <w:t xml:space="preserve"> </w:t>
            </w:r>
          </w:p>
        </w:tc>
      </w:tr>
    </w:tbl>
    <w:p w14:paraId="718749D2" w14:textId="77777777" w:rsidR="00513B1A" w:rsidRDefault="00513B1A" w:rsidP="00513B1A">
      <w:pPr>
        <w:pStyle w:val="Paragraph"/>
      </w:pPr>
    </w:p>
    <w:p w14:paraId="6E27F10D" w14:textId="779B7EB7" w:rsidR="00513B1A" w:rsidRDefault="00CD331E" w:rsidP="00513B1A">
      <w:pPr>
        <w:pStyle w:val="Paragraph"/>
      </w:pPr>
      <w:r>
        <w:t xml:space="preserve">LYNPARZA </w:t>
      </w:r>
      <w:r w:rsidR="00513B1A">
        <w:t>is a trade mark of the AstraZeneca group of companies</w:t>
      </w:r>
      <w:r>
        <w:t xml:space="preserve">. </w:t>
      </w:r>
    </w:p>
    <w:p w14:paraId="0D5771FE" w14:textId="08AD1D4B" w:rsidR="00513B1A" w:rsidRPr="002D3489" w:rsidRDefault="00513B1A" w:rsidP="00513B1A">
      <w:pPr>
        <w:pStyle w:val="Paragraph"/>
      </w:pPr>
      <w:r>
        <w:t>© AstraZeneca</w:t>
      </w:r>
      <w:r w:rsidR="00CD331E">
        <w:t xml:space="preserve"> </w:t>
      </w:r>
      <w:r w:rsidR="00340927">
        <w:t>2018</w:t>
      </w:r>
    </w:p>
    <w:p w14:paraId="6EBCD0E6" w14:textId="1B75D9A4" w:rsidR="008A35FB" w:rsidRPr="00377337" w:rsidRDefault="001E4F74" w:rsidP="00ED36E4">
      <w:pPr>
        <w:pStyle w:val="Paragraph"/>
      </w:pPr>
      <w:r w:rsidRPr="001E4F74">
        <w:lastRenderedPageBreak/>
        <w:t>Doc ID-003830295</w:t>
      </w:r>
      <w:r>
        <w:t xml:space="preserve"> </w:t>
      </w:r>
      <w:r w:rsidR="00ED36E4">
        <w:t>v1.0</w:t>
      </w:r>
    </w:p>
    <w:sectPr w:rsidR="008A35FB" w:rsidRPr="00377337" w:rsidSect="0080644B">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FC5CDF" w14:textId="77777777" w:rsidR="00463229" w:rsidRDefault="00463229" w:rsidP="001A3992">
      <w:pPr>
        <w:spacing w:after="0" w:line="240" w:lineRule="auto"/>
      </w:pPr>
      <w:r>
        <w:separator/>
      </w:r>
    </w:p>
  </w:endnote>
  <w:endnote w:type="continuationSeparator" w:id="0">
    <w:p w14:paraId="756B5BA6" w14:textId="77777777" w:rsidR="00463229" w:rsidRDefault="00463229" w:rsidP="001A3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AC323" w14:textId="77777777" w:rsidR="00D14135" w:rsidRDefault="00D141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9132ED" w14:textId="7745DFA8" w:rsidR="003F24C4" w:rsidRDefault="003F24C4" w:rsidP="00C85696">
    <w:pPr>
      <w:pStyle w:val="Footer"/>
      <w:jc w:val="center"/>
    </w:pPr>
    <w:r w:rsidRPr="00136256">
      <w:fldChar w:fldCharType="begin"/>
    </w:r>
    <w:r w:rsidRPr="00136256">
      <w:instrText xml:space="preserve"> PAGE </w:instrText>
    </w:r>
    <w:r w:rsidRPr="00136256">
      <w:fldChar w:fldCharType="separate"/>
    </w:r>
    <w:r w:rsidR="00D14135">
      <w:rPr>
        <w:noProof/>
      </w:rPr>
      <w:t>1</w:t>
    </w:r>
    <w:r w:rsidRPr="00136256">
      <w:fldChar w:fldCharType="end"/>
    </w:r>
    <w:r w:rsidRPr="00136256">
      <w:t xml:space="preserve"> </w:t>
    </w:r>
    <w:r>
      <w:t xml:space="preserve">of </w:t>
    </w:r>
    <w:r>
      <w:fldChar w:fldCharType="begin"/>
    </w:r>
    <w:r>
      <w:instrText xml:space="preserve"> NUMPAGES </w:instrText>
    </w:r>
    <w:r>
      <w:fldChar w:fldCharType="separate"/>
    </w:r>
    <w:r w:rsidR="00D14135">
      <w:rPr>
        <w:noProof/>
      </w:rPr>
      <w:t>19</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0775D" w14:textId="77777777" w:rsidR="00D14135" w:rsidRDefault="00D141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A37468" w14:textId="77777777" w:rsidR="00463229" w:rsidRDefault="00463229" w:rsidP="001A3992">
      <w:pPr>
        <w:spacing w:after="0" w:line="240" w:lineRule="auto"/>
      </w:pPr>
      <w:r>
        <w:separator/>
      </w:r>
    </w:p>
  </w:footnote>
  <w:footnote w:type="continuationSeparator" w:id="0">
    <w:p w14:paraId="141EEF4C" w14:textId="77777777" w:rsidR="00463229" w:rsidRDefault="00463229" w:rsidP="001A39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A6DC7" w14:textId="77777777" w:rsidR="00D14135" w:rsidRDefault="00D141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shd w:val="clear" w:color="auto" w:fill="E4F2E0"/>
      <w:tblLook w:val="04A0" w:firstRow="1" w:lastRow="0" w:firstColumn="1" w:lastColumn="0" w:noHBand="0" w:noVBand="1"/>
    </w:tblPr>
    <w:tblGrid>
      <w:gridCol w:w="8720"/>
    </w:tblGrid>
    <w:tr w:rsidR="00D14135" w:rsidRPr="002E7F61" w14:paraId="7F46D587" w14:textId="77777777" w:rsidTr="00844095">
      <w:trPr>
        <w:trHeight w:val="590"/>
      </w:trPr>
      <w:tc>
        <w:tcPr>
          <w:tcW w:w="8720" w:type="dxa"/>
          <w:shd w:val="clear" w:color="auto" w:fill="E4F2E0"/>
        </w:tcPr>
        <w:p w14:paraId="601CF8EA" w14:textId="77777777" w:rsidR="00D14135" w:rsidRPr="007959A9" w:rsidRDefault="00D14135" w:rsidP="00D14135">
          <w:pPr>
            <w:pStyle w:val="Footer"/>
            <w:tabs>
              <w:tab w:val="center" w:pos="4513"/>
              <w:tab w:val="right" w:pos="9026"/>
            </w:tabs>
            <w:rPr>
              <w:b/>
              <w:sz w:val="18"/>
              <w:szCs w:val="18"/>
            </w:rPr>
          </w:pPr>
          <w:r w:rsidRPr="002E7F61">
            <w:rPr>
              <w:b/>
              <w:sz w:val="18"/>
              <w:szCs w:val="18"/>
            </w:rPr>
            <w:t xml:space="preserve">Attachment 1: Product </w:t>
          </w:r>
          <w:r w:rsidRPr="007959A9">
            <w:rPr>
              <w:b/>
              <w:sz w:val="18"/>
              <w:szCs w:val="18"/>
            </w:rPr>
            <w:t xml:space="preserve">AusPAR - </w:t>
          </w:r>
          <w:proofErr w:type="spellStart"/>
          <w:r w:rsidRPr="007959A9">
            <w:rPr>
              <w:b/>
              <w:sz w:val="18"/>
              <w:szCs w:val="18"/>
            </w:rPr>
            <w:t>Lynparza</w:t>
          </w:r>
          <w:proofErr w:type="spellEnd"/>
          <w:r w:rsidRPr="007959A9">
            <w:rPr>
              <w:b/>
              <w:sz w:val="18"/>
              <w:szCs w:val="18"/>
            </w:rPr>
            <w:t xml:space="preserve"> - </w:t>
          </w:r>
          <w:proofErr w:type="spellStart"/>
          <w:r w:rsidRPr="007959A9">
            <w:rPr>
              <w:b/>
              <w:sz w:val="18"/>
              <w:szCs w:val="18"/>
            </w:rPr>
            <w:t>olaparib</w:t>
          </w:r>
          <w:proofErr w:type="spellEnd"/>
          <w:r w:rsidRPr="007959A9">
            <w:rPr>
              <w:b/>
              <w:sz w:val="18"/>
              <w:szCs w:val="18"/>
            </w:rPr>
            <w:t xml:space="preserve"> – AstraZeneca Pty. Ltd. - PM-2017-01451-1-4</w:t>
          </w:r>
        </w:p>
        <w:p w14:paraId="52862503" w14:textId="77777777" w:rsidR="00D14135" w:rsidRPr="002E7F61" w:rsidRDefault="00D14135" w:rsidP="00D14135">
          <w:pPr>
            <w:pStyle w:val="Footer"/>
            <w:rPr>
              <w:b/>
              <w:sz w:val="18"/>
              <w:szCs w:val="18"/>
            </w:rPr>
          </w:pPr>
          <w:r w:rsidRPr="007959A9">
            <w:rPr>
              <w:b/>
              <w:sz w:val="18"/>
              <w:szCs w:val="18"/>
            </w:rPr>
            <w:t>FINAL 16 October 2019</w:t>
          </w:r>
          <w:r>
            <w:rPr>
              <w:b/>
              <w:sz w:val="18"/>
              <w:szCs w:val="18"/>
            </w:rPr>
            <w:t xml:space="preserve">. </w:t>
          </w:r>
          <w:r w:rsidRPr="00FF2AA4">
            <w:rPr>
              <w:b/>
              <w:sz w:val="18"/>
              <w:szCs w:val="18"/>
            </w:rPr>
            <w:t>This is the Product Information that was approved with the submission described in this AusPAR. It may have been superseded. For the most recent PI, please refer to the TGA website at &lt;</w:t>
          </w:r>
          <w:hyperlink r:id="rId1" w:history="1">
            <w:r w:rsidRPr="00FF2AA4">
              <w:rPr>
                <w:rStyle w:val="Hyperlink"/>
                <w:b/>
                <w:sz w:val="18"/>
                <w:szCs w:val="18"/>
              </w:rPr>
              <w:t>https://www.tga.gov.au/product-information-pi</w:t>
            </w:r>
          </w:hyperlink>
          <w:r w:rsidRPr="00FF2AA4">
            <w:rPr>
              <w:b/>
              <w:sz w:val="18"/>
              <w:szCs w:val="18"/>
              <w:u w:val="single"/>
            </w:rPr>
            <w:t>&gt;</w:t>
          </w:r>
        </w:p>
      </w:tc>
    </w:tr>
  </w:tbl>
  <w:p w14:paraId="263F3120" w14:textId="77777777" w:rsidR="00D14135" w:rsidRDefault="00D141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254356" w14:textId="77777777" w:rsidR="00D14135" w:rsidRDefault="00D141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33F3E"/>
    <w:multiLevelType w:val="hybridMultilevel"/>
    <w:tmpl w:val="5AB64A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0D107B"/>
    <w:multiLevelType w:val="multilevel"/>
    <w:tmpl w:val="241253C8"/>
    <w:name w:val="ListBullet"/>
    <w:lvl w:ilvl="0">
      <w:start w:val="1"/>
      <w:numFmt w:val="bullet"/>
      <w:pStyle w:val="ListBullet"/>
      <w:lvlText w:val=""/>
      <w:lvlJc w:val="left"/>
      <w:pPr>
        <w:ind w:left="425" w:hanging="425"/>
      </w:pPr>
      <w:rPr>
        <w:rFonts w:ascii="Symbol" w:hAnsi="Symbol" w:hint="default"/>
        <w:b w:val="0"/>
        <w:i w:val="0"/>
        <w:caps w:val="0"/>
        <w:sz w:val="24"/>
        <w:u w:val="none"/>
        <w:vertAlign w:val="baseline"/>
      </w:rPr>
    </w:lvl>
    <w:lvl w:ilvl="1">
      <w:start w:val="1"/>
      <w:numFmt w:val="bullet"/>
      <w:pStyle w:val="ListBullet2"/>
      <w:lvlText w:val=""/>
      <w:lvlJc w:val="left"/>
      <w:pPr>
        <w:ind w:left="850" w:hanging="425"/>
      </w:pPr>
      <w:rPr>
        <w:rFonts w:ascii="Symbol" w:hAnsi="Symbol" w:hint="default"/>
        <w:color w:val="auto"/>
      </w:rPr>
    </w:lvl>
    <w:lvl w:ilvl="2">
      <w:start w:val="1"/>
      <w:numFmt w:val="bullet"/>
      <w:pStyle w:val="ListBullet3"/>
      <w:lvlText w:val="o"/>
      <w:lvlJc w:val="left"/>
      <w:pPr>
        <w:ind w:left="1275" w:hanging="425"/>
      </w:pPr>
      <w:rPr>
        <w:rFonts w:ascii="Courier New" w:hAnsi="Courier New" w:hint="default"/>
      </w:rPr>
    </w:lvl>
    <w:lvl w:ilvl="3">
      <w:start w:val="1"/>
      <w:numFmt w:val="bullet"/>
      <w:pStyle w:val="ListBullet4"/>
      <w:lvlText w:val=""/>
      <w:lvlJc w:val="left"/>
      <w:pPr>
        <w:ind w:left="1700" w:hanging="425"/>
      </w:pPr>
      <w:rPr>
        <w:rFonts w:ascii="Symbol" w:hAnsi="Symbol" w:hint="default"/>
      </w:rPr>
    </w:lvl>
    <w:lvl w:ilvl="4">
      <w:start w:val="1"/>
      <w:numFmt w:val="none"/>
      <w:lvlText w:val=""/>
      <w:lvlJc w:val="left"/>
      <w:pPr>
        <w:ind w:left="2125" w:hanging="425"/>
      </w:pPr>
      <w:rPr>
        <w:rFonts w:hint="default"/>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2" w15:restartNumberingAfterBreak="0">
    <w:nsid w:val="062556DB"/>
    <w:multiLevelType w:val="multilevel"/>
    <w:tmpl w:val="C6DA3D6A"/>
    <w:name w:val="ListNumber"/>
    <w:lvl w:ilvl="0">
      <w:start w:val="1"/>
      <w:numFmt w:val="decimal"/>
      <w:pStyle w:val="ListNumber"/>
      <w:lvlText w:val="%1"/>
      <w:lvlJc w:val="left"/>
      <w:pPr>
        <w:ind w:left="425" w:hanging="425"/>
      </w:pPr>
      <w:rPr>
        <w:rFonts w:hint="default"/>
        <w:b w:val="0"/>
        <w:i w:val="0"/>
        <w:caps w:val="0"/>
        <w:sz w:val="24"/>
        <w:u w:val="none"/>
        <w:vertAlign w:val="baseline"/>
      </w:rPr>
    </w:lvl>
    <w:lvl w:ilvl="1">
      <w:start w:val="1"/>
      <w:numFmt w:val="lowerLetter"/>
      <w:pStyle w:val="ListNumber2"/>
      <w:lvlText w:val="(%2)"/>
      <w:lvlJc w:val="left"/>
      <w:pPr>
        <w:ind w:left="850" w:hanging="425"/>
      </w:pPr>
      <w:rPr>
        <w:rFonts w:ascii="Times New Roman" w:hAnsi="Times New Roman" w:hint="default"/>
      </w:rPr>
    </w:lvl>
    <w:lvl w:ilvl="2">
      <w:start w:val="1"/>
      <w:numFmt w:val="lowerRoman"/>
      <w:pStyle w:val="ListNumber3"/>
      <w:lvlText w:val="(%3)"/>
      <w:lvlJc w:val="left"/>
      <w:pPr>
        <w:ind w:left="1275" w:hanging="425"/>
      </w:pPr>
      <w:rPr>
        <w:rFonts w:ascii="Times New Roman" w:hAnsi="Times New Roman" w:hint="default"/>
      </w:rPr>
    </w:lvl>
    <w:lvl w:ilvl="3">
      <w:start w:val="1"/>
      <w:numFmt w:val="none"/>
      <w:lvlText w:val=""/>
      <w:lvlJc w:val="left"/>
      <w:pPr>
        <w:ind w:left="1700" w:hanging="425"/>
      </w:pPr>
      <w:rPr>
        <w:rFonts w:hint="default"/>
      </w:rPr>
    </w:lvl>
    <w:lvl w:ilvl="4">
      <w:start w:val="1"/>
      <w:numFmt w:val="none"/>
      <w:lvlText w:val=""/>
      <w:lvlJc w:val="left"/>
      <w:pPr>
        <w:ind w:left="2125" w:hanging="425"/>
      </w:pPr>
      <w:rPr>
        <w:rFonts w:hint="default"/>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3" w15:restartNumberingAfterBreak="0">
    <w:nsid w:val="0B7660B4"/>
    <w:multiLevelType w:val="hybridMultilevel"/>
    <w:tmpl w:val="87043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26562D4"/>
    <w:multiLevelType w:val="multilevel"/>
    <w:tmpl w:val="786C40EC"/>
    <w:name w:val="TableFootnotes"/>
    <w:lvl w:ilvl="0">
      <w:start w:val="1"/>
      <w:numFmt w:val="lowerLetter"/>
      <w:pStyle w:val="TableFootnoteLetter"/>
      <w:lvlText w:val="%1"/>
      <w:lvlJc w:val="left"/>
      <w:pPr>
        <w:tabs>
          <w:tab w:val="num" w:pos="425"/>
        </w:tabs>
        <w:ind w:left="425" w:hanging="425"/>
      </w:pPr>
      <w:rPr>
        <w:rFonts w:ascii="Times New Roman" w:hAnsi="Times New Roman" w:hint="default"/>
        <w:b w:val="0"/>
        <w:i w:val="0"/>
        <w:caps w:val="0"/>
        <w:sz w:val="20"/>
        <w:u w:val="none"/>
        <w:vertAlign w:val="superscript"/>
      </w:rPr>
    </w:lvl>
    <w:lvl w:ilvl="1">
      <w:start w:val="1"/>
      <w:numFmt w:val="none"/>
      <w:lvlText w:val=""/>
      <w:lvlJc w:val="left"/>
      <w:pPr>
        <w:tabs>
          <w:tab w:val="num" w:pos="1134"/>
        </w:tabs>
        <w:ind w:left="425" w:hanging="425"/>
      </w:pPr>
      <w:rPr>
        <w:rFonts w:hint="default"/>
      </w:rPr>
    </w:lvl>
    <w:lvl w:ilvl="2">
      <w:start w:val="1"/>
      <w:numFmt w:val="none"/>
      <w:lvlText w:val=""/>
      <w:lvlJc w:val="left"/>
      <w:pPr>
        <w:tabs>
          <w:tab w:val="num" w:pos="1134"/>
        </w:tabs>
        <w:ind w:left="425" w:hanging="425"/>
      </w:pPr>
      <w:rPr>
        <w:rFonts w:hint="default"/>
      </w:rPr>
    </w:lvl>
    <w:lvl w:ilvl="3">
      <w:start w:val="1"/>
      <w:numFmt w:val="none"/>
      <w:lvlText w:val=""/>
      <w:lvlJc w:val="left"/>
      <w:pPr>
        <w:tabs>
          <w:tab w:val="num" w:pos="1134"/>
        </w:tabs>
        <w:ind w:left="425" w:hanging="425"/>
      </w:pPr>
      <w:rPr>
        <w:rFonts w:hint="default"/>
      </w:rPr>
    </w:lvl>
    <w:lvl w:ilvl="4">
      <w:start w:val="1"/>
      <w:numFmt w:val="none"/>
      <w:lvlText w:val=""/>
      <w:lvlJc w:val="left"/>
      <w:pPr>
        <w:tabs>
          <w:tab w:val="num" w:pos="1134"/>
        </w:tabs>
        <w:ind w:left="425" w:hanging="425"/>
      </w:pPr>
      <w:rPr>
        <w:rFonts w:hint="default"/>
      </w:rPr>
    </w:lvl>
    <w:lvl w:ilvl="5">
      <w:start w:val="1"/>
      <w:numFmt w:val="none"/>
      <w:lvlText w:val=""/>
      <w:lvlJc w:val="left"/>
      <w:pPr>
        <w:tabs>
          <w:tab w:val="num" w:pos="1134"/>
        </w:tabs>
        <w:ind w:left="425" w:hanging="425"/>
      </w:pPr>
      <w:rPr>
        <w:rFonts w:hint="default"/>
      </w:rPr>
    </w:lvl>
    <w:lvl w:ilvl="6">
      <w:start w:val="1"/>
      <w:numFmt w:val="none"/>
      <w:lvlText w:val=""/>
      <w:lvlJc w:val="left"/>
      <w:pPr>
        <w:tabs>
          <w:tab w:val="num" w:pos="1134"/>
        </w:tabs>
        <w:ind w:left="425" w:hanging="425"/>
      </w:pPr>
      <w:rPr>
        <w:rFonts w:hint="default"/>
      </w:rPr>
    </w:lvl>
    <w:lvl w:ilvl="7">
      <w:start w:val="1"/>
      <w:numFmt w:val="none"/>
      <w:lvlText w:val=""/>
      <w:lvlJc w:val="left"/>
      <w:pPr>
        <w:tabs>
          <w:tab w:val="num" w:pos="1134"/>
        </w:tabs>
        <w:ind w:left="425" w:hanging="425"/>
      </w:pPr>
      <w:rPr>
        <w:rFonts w:hint="default"/>
      </w:rPr>
    </w:lvl>
    <w:lvl w:ilvl="8">
      <w:start w:val="1"/>
      <w:numFmt w:val="none"/>
      <w:lvlRestart w:val="1"/>
      <w:lvlText w:val=""/>
      <w:lvlJc w:val="left"/>
      <w:pPr>
        <w:tabs>
          <w:tab w:val="num" w:pos="1134"/>
        </w:tabs>
        <w:ind w:left="425" w:hanging="425"/>
      </w:pPr>
      <w:rPr>
        <w:rFonts w:hint="default"/>
      </w:rPr>
    </w:lvl>
  </w:abstractNum>
  <w:abstractNum w:abstractNumId="5" w15:restartNumberingAfterBreak="0">
    <w:nsid w:val="12A441C1"/>
    <w:multiLevelType w:val="singleLevel"/>
    <w:tmpl w:val="1FA422F0"/>
    <w:lvl w:ilvl="0">
      <w:start w:val="1"/>
      <w:numFmt w:val="bullet"/>
      <w:pStyle w:val="ListHyphen"/>
      <w:lvlText w:val="-"/>
      <w:lvlJc w:val="left"/>
      <w:pPr>
        <w:tabs>
          <w:tab w:val="num" w:pos="720"/>
        </w:tabs>
        <w:ind w:left="720" w:hanging="360"/>
      </w:pPr>
      <w:rPr>
        <w:rFonts w:ascii="Times New Roman" w:hAnsi="Times New Roman" w:cs="Times New Roman"/>
        <w:b w:val="0"/>
        <w:i w:val="0"/>
        <w:caps w:val="0"/>
        <w:sz w:val="24"/>
        <w:u w:val="none"/>
        <w:vertAlign w:val="baseline"/>
      </w:rPr>
    </w:lvl>
  </w:abstractNum>
  <w:abstractNum w:abstractNumId="6" w15:restartNumberingAfterBreak="0">
    <w:nsid w:val="15AE6FEE"/>
    <w:multiLevelType w:val="multilevel"/>
    <w:tmpl w:val="01940AA0"/>
    <w:name w:val="ListBulletSmall1"/>
    <w:lvl w:ilvl="0">
      <w:start w:val="1"/>
      <w:numFmt w:val="bullet"/>
      <w:pStyle w:val="ListBulletSmall"/>
      <w:lvlText w:val="•"/>
      <w:lvlJc w:val="left"/>
      <w:pPr>
        <w:ind w:left="425" w:hanging="425"/>
      </w:pPr>
      <w:rPr>
        <w:rFonts w:ascii="Times New Roman" w:hAnsi="Times New Roman" w:cs="Times New Roman" w:hint="default"/>
        <w:b w:val="0"/>
        <w:i w:val="0"/>
        <w:caps w:val="0"/>
        <w:sz w:val="20"/>
        <w:u w:val="none"/>
        <w:vertAlign w:val="baseline"/>
      </w:rPr>
    </w:lvl>
    <w:lvl w:ilvl="1">
      <w:start w:val="1"/>
      <w:numFmt w:val="bullet"/>
      <w:pStyle w:val="ListBulletSmall2"/>
      <w:lvlText w:val=""/>
      <w:lvlJc w:val="left"/>
      <w:pPr>
        <w:ind w:left="850" w:hanging="425"/>
      </w:pPr>
      <w:rPr>
        <w:rFonts w:ascii="Symbol" w:hAnsi="Symbol" w:hint="default"/>
      </w:rPr>
    </w:lvl>
    <w:lvl w:ilvl="2">
      <w:start w:val="1"/>
      <w:numFmt w:val="none"/>
      <w:lvlText w:val=""/>
      <w:lvlJc w:val="left"/>
      <w:pPr>
        <w:ind w:left="1275" w:hanging="425"/>
      </w:pPr>
      <w:rPr>
        <w:rFonts w:hint="default"/>
      </w:rPr>
    </w:lvl>
    <w:lvl w:ilvl="3">
      <w:start w:val="1"/>
      <w:numFmt w:val="none"/>
      <w:lvlText w:val=""/>
      <w:lvlJc w:val="left"/>
      <w:pPr>
        <w:ind w:left="1700" w:hanging="425"/>
      </w:pPr>
      <w:rPr>
        <w:rFonts w:hint="default"/>
      </w:rPr>
    </w:lvl>
    <w:lvl w:ilvl="4">
      <w:start w:val="1"/>
      <w:numFmt w:val="bullet"/>
      <w:lvlText w:val="o"/>
      <w:lvlJc w:val="left"/>
      <w:pPr>
        <w:tabs>
          <w:tab w:val="num" w:pos="2060"/>
        </w:tabs>
        <w:ind w:left="2125" w:hanging="425"/>
      </w:pPr>
      <w:rPr>
        <w:rFonts w:ascii="Courier New" w:hAnsi="Courier New" w:cs="Courier New" w:hint="default"/>
      </w:rPr>
    </w:lvl>
    <w:lvl w:ilvl="5">
      <w:start w:val="1"/>
      <w:numFmt w:val="bullet"/>
      <w:lvlText w:val=""/>
      <w:lvlJc w:val="left"/>
      <w:pPr>
        <w:tabs>
          <w:tab w:val="num" w:pos="2485"/>
        </w:tabs>
        <w:ind w:left="2550" w:hanging="425"/>
      </w:pPr>
      <w:rPr>
        <w:rFonts w:ascii="Wingdings" w:hAnsi="Wingdings" w:hint="default"/>
      </w:rPr>
    </w:lvl>
    <w:lvl w:ilvl="6">
      <w:start w:val="1"/>
      <w:numFmt w:val="bullet"/>
      <w:lvlText w:val=""/>
      <w:lvlJc w:val="left"/>
      <w:pPr>
        <w:tabs>
          <w:tab w:val="num" w:pos="2910"/>
        </w:tabs>
        <w:ind w:left="2975" w:hanging="425"/>
      </w:pPr>
      <w:rPr>
        <w:rFonts w:ascii="Symbol" w:hAnsi="Symbol" w:hint="default"/>
      </w:rPr>
    </w:lvl>
    <w:lvl w:ilvl="7">
      <w:start w:val="1"/>
      <w:numFmt w:val="bullet"/>
      <w:lvlText w:val="o"/>
      <w:lvlJc w:val="left"/>
      <w:pPr>
        <w:tabs>
          <w:tab w:val="num" w:pos="3335"/>
        </w:tabs>
        <w:ind w:left="3400" w:hanging="425"/>
      </w:pPr>
      <w:rPr>
        <w:rFonts w:ascii="Courier New" w:hAnsi="Courier New" w:cs="Courier New" w:hint="default"/>
      </w:rPr>
    </w:lvl>
    <w:lvl w:ilvl="8">
      <w:start w:val="1"/>
      <w:numFmt w:val="bullet"/>
      <w:lvlText w:val=""/>
      <w:lvlJc w:val="left"/>
      <w:pPr>
        <w:tabs>
          <w:tab w:val="num" w:pos="3760"/>
        </w:tabs>
        <w:ind w:left="3825" w:hanging="425"/>
      </w:pPr>
      <w:rPr>
        <w:rFonts w:ascii="Wingdings" w:hAnsi="Wingdings" w:hint="default"/>
      </w:rPr>
    </w:lvl>
  </w:abstractNum>
  <w:abstractNum w:abstractNumId="7" w15:restartNumberingAfterBreak="0">
    <w:nsid w:val="24435439"/>
    <w:multiLevelType w:val="hybridMultilevel"/>
    <w:tmpl w:val="D23AB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A72716"/>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2F045B79"/>
    <w:multiLevelType w:val="singleLevel"/>
    <w:tmpl w:val="443ADFB8"/>
    <w:lvl w:ilvl="0">
      <w:start w:val="1"/>
      <w:numFmt w:val="lowerRoman"/>
      <w:lvlText w:val="%1."/>
      <w:lvlJc w:val="left"/>
      <w:pPr>
        <w:tabs>
          <w:tab w:val="num" w:pos="1080"/>
        </w:tabs>
        <w:ind w:left="1080" w:hanging="360"/>
      </w:pPr>
      <w:rPr>
        <w:rFonts w:ascii="Times New Roman" w:hAnsi="Times New Roman" w:cs="Times New Roman"/>
        <w:b w:val="0"/>
        <w:i w:val="0"/>
        <w:caps w:val="0"/>
        <w:sz w:val="24"/>
        <w:u w:val="none"/>
        <w:vertAlign w:val="baseline"/>
      </w:rPr>
    </w:lvl>
  </w:abstractNum>
  <w:abstractNum w:abstractNumId="10" w15:restartNumberingAfterBreak="0">
    <w:nsid w:val="32913332"/>
    <w:multiLevelType w:val="multilevel"/>
    <w:tmpl w:val="969A274A"/>
    <w:name w:val="HousestyleHeadings"/>
    <w:lvl w:ilvl="0">
      <w:start w:val="1"/>
      <w:numFmt w:val="decimal"/>
      <w:pStyle w:val="Heading1"/>
      <w:lvlText w:val="%1"/>
      <w:lvlJc w:val="left"/>
      <w:pPr>
        <w:tabs>
          <w:tab w:val="num" w:pos="1134"/>
        </w:tabs>
        <w:ind w:left="1134" w:hanging="1134"/>
      </w:pPr>
      <w:rPr>
        <w:rFonts w:ascii="Times New Roman" w:hAnsi="Times New Roman" w:hint="default"/>
      </w:rPr>
    </w:lvl>
    <w:lvl w:ilvl="1">
      <w:start w:val="1"/>
      <w:numFmt w:val="decimal"/>
      <w:pStyle w:val="Heading2"/>
      <w:lvlText w:val="%1.%2"/>
      <w:lvlJc w:val="left"/>
      <w:pPr>
        <w:tabs>
          <w:tab w:val="num" w:pos="1134"/>
        </w:tabs>
        <w:ind w:left="1134" w:hanging="1134"/>
      </w:pPr>
      <w:rPr>
        <w:rFonts w:ascii="Times New Roman" w:hAnsi="Times New Roman" w:hint="default"/>
      </w:rPr>
    </w:lvl>
    <w:lvl w:ilvl="2">
      <w:start w:val="1"/>
      <w:numFmt w:val="decimal"/>
      <w:pStyle w:val="Heading3"/>
      <w:lvlText w:val="%1.%2.%3"/>
      <w:lvlJc w:val="left"/>
      <w:pPr>
        <w:tabs>
          <w:tab w:val="num" w:pos="1134"/>
        </w:tabs>
        <w:ind w:left="1134" w:hanging="1134"/>
      </w:pPr>
      <w:rPr>
        <w:rFonts w:ascii="Times New Roman" w:hAnsi="Times New Roman" w:hint="default"/>
      </w:rPr>
    </w:lvl>
    <w:lvl w:ilvl="3">
      <w:start w:val="1"/>
      <w:numFmt w:val="decimal"/>
      <w:pStyle w:val="Heading4"/>
      <w:lvlText w:val="%1.%2.%3.%4"/>
      <w:lvlJc w:val="left"/>
      <w:pPr>
        <w:tabs>
          <w:tab w:val="num" w:pos="1134"/>
        </w:tabs>
        <w:ind w:left="1134" w:hanging="1134"/>
      </w:pPr>
      <w:rPr>
        <w:rFonts w:ascii="Times New Roman" w:hAnsi="Times New Roman" w:hint="default"/>
      </w:rPr>
    </w:lvl>
    <w:lvl w:ilvl="4">
      <w:start w:val="1"/>
      <w:numFmt w:val="decimal"/>
      <w:pStyle w:val="Heading5"/>
      <w:lvlText w:val="%1.%2.%3.%4.%5"/>
      <w:lvlJc w:val="left"/>
      <w:pPr>
        <w:tabs>
          <w:tab w:val="num" w:pos="1134"/>
        </w:tabs>
        <w:ind w:left="1134" w:hanging="1134"/>
      </w:pPr>
      <w:rPr>
        <w:rFonts w:ascii="Times New Roman" w:hAnsi="Times New Roman" w:hint="default"/>
      </w:rPr>
    </w:lvl>
    <w:lvl w:ilvl="5">
      <w:start w:val="1"/>
      <w:numFmt w:val="decimal"/>
      <w:pStyle w:val="Heading6"/>
      <w:lvlText w:val="%1.%2.%3.%4.%5.%6"/>
      <w:lvlJc w:val="left"/>
      <w:pPr>
        <w:tabs>
          <w:tab w:val="num" w:pos="1134"/>
        </w:tabs>
        <w:ind w:left="1134" w:hanging="1134"/>
      </w:pPr>
      <w:rPr>
        <w:rFonts w:ascii="Times New Roman" w:hAnsi="Times New Roman" w:hint="default"/>
      </w:rPr>
    </w:lvl>
    <w:lvl w:ilvl="6">
      <w:start w:val="1"/>
      <w:numFmt w:val="decimal"/>
      <w:pStyle w:val="Heading7"/>
      <w:lvlText w:val="%1.%2.%3.%4.%5.%6.%7"/>
      <w:lvlJc w:val="left"/>
      <w:pPr>
        <w:tabs>
          <w:tab w:val="num" w:pos="1134"/>
        </w:tabs>
        <w:ind w:left="1134" w:hanging="1134"/>
      </w:pPr>
      <w:rPr>
        <w:rFonts w:ascii="Times New Roman" w:hAnsi="Times New Roman" w:hint="default"/>
      </w:rPr>
    </w:lvl>
    <w:lvl w:ilvl="7">
      <w:start w:val="1"/>
      <w:numFmt w:val="decimal"/>
      <w:pStyle w:val="Heading8"/>
      <w:lvlText w:val="%1.%2.%3.%4.%5.%6.%7.%8"/>
      <w:lvlJc w:val="left"/>
      <w:pPr>
        <w:tabs>
          <w:tab w:val="num" w:pos="1134"/>
        </w:tabs>
        <w:ind w:left="1134" w:hanging="1134"/>
      </w:pPr>
      <w:rPr>
        <w:rFonts w:ascii="Times New Roman" w:hAnsi="Times New Roman" w:hint="default"/>
      </w:rPr>
    </w:lvl>
    <w:lvl w:ilvl="8">
      <w:start w:val="1"/>
      <w:numFmt w:val="none"/>
      <w:pStyle w:val="Heading9"/>
      <w:suff w:val="nothing"/>
      <w:lvlText w:val=""/>
      <w:lvlJc w:val="left"/>
      <w:pPr>
        <w:ind w:left="0" w:firstLine="0"/>
      </w:pPr>
      <w:rPr>
        <w:rFonts w:hint="default"/>
      </w:rPr>
    </w:lvl>
  </w:abstractNum>
  <w:abstractNum w:abstractNumId="11" w15:restartNumberingAfterBreak="0">
    <w:nsid w:val="3A36784A"/>
    <w:multiLevelType w:val="singleLevel"/>
    <w:tmpl w:val="D9588840"/>
    <w:lvl w:ilvl="0">
      <w:start w:val="1"/>
      <w:numFmt w:val="decimal"/>
      <w:lvlText w:val="%1."/>
      <w:lvlJc w:val="left"/>
      <w:pPr>
        <w:tabs>
          <w:tab w:val="num" w:pos="360"/>
        </w:tabs>
        <w:ind w:left="360" w:hanging="360"/>
      </w:pPr>
      <w:rPr>
        <w:rFonts w:ascii="Times New Roman" w:hAnsi="Times New Roman" w:cs="Times New Roman"/>
        <w:b w:val="0"/>
        <w:i w:val="0"/>
        <w:caps w:val="0"/>
        <w:sz w:val="24"/>
        <w:u w:val="none"/>
        <w:vertAlign w:val="baseline"/>
      </w:rPr>
    </w:lvl>
  </w:abstractNum>
  <w:abstractNum w:abstractNumId="12" w15:restartNumberingAfterBreak="0">
    <w:nsid w:val="3A9E7E4D"/>
    <w:multiLevelType w:val="multilevel"/>
    <w:tmpl w:val="3C1EDB96"/>
    <w:name w:val="Appendix Alpha"/>
    <w:lvl w:ilvl="0">
      <w:start w:val="1"/>
      <w:numFmt w:val="upperLetter"/>
      <w:pStyle w:val="AppendixAlpha"/>
      <w:lvlText w:val="Appendix %1"/>
      <w:lvlJc w:val="left"/>
      <w:pPr>
        <w:tabs>
          <w:tab w:val="num" w:pos="1701"/>
        </w:tabs>
        <w:ind w:left="1701" w:hanging="1701"/>
      </w:pPr>
      <w:rPr>
        <w:rFonts w:ascii="Times New Roman Bold" w:hAnsi="Times New Roman Bold" w:cs="Times New Roman" w:hint="default"/>
        <w:b/>
        <w:i w:val="0"/>
        <w:caps w:val="0"/>
        <w:sz w:val="28"/>
        <w:u w:val="none"/>
        <w:vertAlign w:val="baseline"/>
      </w:rPr>
    </w:lvl>
    <w:lvl w:ilvl="1">
      <w:start w:val="1"/>
      <w:numFmt w:val="decimal"/>
      <w:pStyle w:val="AppendixAlphaSub1"/>
      <w:lvlText w:val="%1 %2"/>
      <w:lvlJc w:val="left"/>
      <w:pPr>
        <w:tabs>
          <w:tab w:val="num" w:pos="1134"/>
        </w:tabs>
        <w:ind w:left="1134" w:hanging="1134"/>
      </w:pPr>
      <w:rPr>
        <w:rFonts w:ascii="Times New Roman Bold" w:hAnsi="Times New Roman Bold" w:hint="default"/>
        <w:b/>
        <w:i w:val="0"/>
        <w:sz w:val="26"/>
      </w:rPr>
    </w:lvl>
    <w:lvl w:ilvl="2">
      <w:start w:val="1"/>
      <w:numFmt w:val="decimal"/>
      <w:pStyle w:val="AppendixAlphaSub2"/>
      <w:lvlText w:val="%1 %2.%3"/>
      <w:lvlJc w:val="left"/>
      <w:pPr>
        <w:tabs>
          <w:tab w:val="num" w:pos="1134"/>
        </w:tabs>
        <w:ind w:left="1134" w:hanging="1134"/>
      </w:pPr>
      <w:rPr>
        <w:rFonts w:ascii="Times New Roman Bold" w:hAnsi="Times New Roman Bold" w:hint="default"/>
        <w:b/>
        <w:i w:val="0"/>
        <w:sz w:val="24"/>
      </w:rPr>
    </w:lvl>
    <w:lvl w:ilvl="3">
      <w:start w:val="1"/>
      <w:numFmt w:val="decimal"/>
      <w:pStyle w:val="AppendixAlphaSub3"/>
      <w:lvlText w:val="%1 %2.%3.%4"/>
      <w:lvlJc w:val="left"/>
      <w:pPr>
        <w:tabs>
          <w:tab w:val="num" w:pos="1134"/>
        </w:tabs>
        <w:ind w:left="1134" w:hanging="1134"/>
      </w:pPr>
      <w:rPr>
        <w:rFonts w:ascii="Times New Roman Bold" w:hAnsi="Times New Roman Bold" w:hint="default"/>
        <w:b/>
        <w:i w:val="0"/>
        <w:sz w:val="24"/>
      </w:rPr>
    </w:lvl>
    <w:lvl w:ilvl="4">
      <w:start w:val="1"/>
      <w:numFmt w:val="decimal"/>
      <w:pStyle w:val="AppendixAlphaSub4"/>
      <w:lvlText w:val="%1 %2.%3.%4.%5"/>
      <w:lvlJc w:val="left"/>
      <w:pPr>
        <w:tabs>
          <w:tab w:val="num" w:pos="1134"/>
        </w:tabs>
        <w:ind w:left="1134" w:hanging="1134"/>
      </w:pPr>
      <w:rPr>
        <w:rFonts w:ascii="Times New Roman Bold" w:hAnsi="Times New Roman Bold" w:hint="default"/>
        <w:b/>
        <w:i/>
        <w:sz w:val="24"/>
      </w:rPr>
    </w:lvl>
    <w:lvl w:ilvl="5">
      <w:start w:val="1"/>
      <w:numFmt w:val="none"/>
      <w:lvlText w:val=""/>
      <w:lvlJc w:val="left"/>
      <w:pPr>
        <w:tabs>
          <w:tab w:val="num" w:pos="1985"/>
        </w:tabs>
        <w:ind w:left="992" w:hanging="992"/>
      </w:pPr>
      <w:rPr>
        <w:rFonts w:hint="default"/>
      </w:rPr>
    </w:lvl>
    <w:lvl w:ilvl="6">
      <w:start w:val="1"/>
      <w:numFmt w:val="none"/>
      <w:lvlText w:val=""/>
      <w:lvlJc w:val="left"/>
      <w:pPr>
        <w:tabs>
          <w:tab w:val="num" w:pos="1985"/>
        </w:tabs>
        <w:ind w:left="992" w:hanging="992"/>
      </w:pPr>
      <w:rPr>
        <w:rFonts w:hint="default"/>
      </w:rPr>
    </w:lvl>
    <w:lvl w:ilvl="7">
      <w:start w:val="1"/>
      <w:numFmt w:val="none"/>
      <w:lvlText w:val=""/>
      <w:lvlJc w:val="left"/>
      <w:pPr>
        <w:tabs>
          <w:tab w:val="num" w:pos="1985"/>
        </w:tabs>
        <w:ind w:left="992" w:hanging="992"/>
      </w:pPr>
      <w:rPr>
        <w:rFonts w:hint="default"/>
      </w:rPr>
    </w:lvl>
    <w:lvl w:ilvl="8">
      <w:start w:val="1"/>
      <w:numFmt w:val="none"/>
      <w:lvlText w:val=""/>
      <w:lvlJc w:val="left"/>
      <w:pPr>
        <w:tabs>
          <w:tab w:val="num" w:pos="1985"/>
        </w:tabs>
        <w:ind w:left="992" w:hanging="992"/>
      </w:pPr>
      <w:rPr>
        <w:rFonts w:hint="default"/>
      </w:rPr>
    </w:lvl>
  </w:abstractNum>
  <w:abstractNum w:abstractNumId="13" w15:restartNumberingAfterBreak="0">
    <w:nsid w:val="3FC360AE"/>
    <w:multiLevelType w:val="multilevel"/>
    <w:tmpl w:val="A1E207FA"/>
    <w:lvl w:ilvl="0">
      <w:start w:val="1"/>
      <w:numFmt w:val="lowerLetter"/>
      <w:lvlText w:val="%1"/>
      <w:lvlJc w:val="left"/>
      <w:pPr>
        <w:tabs>
          <w:tab w:val="num" w:pos="360"/>
        </w:tabs>
        <w:ind w:left="360" w:hanging="360"/>
      </w:pPr>
      <w:rPr>
        <w:rFonts w:ascii="Times New Roman" w:hAnsi="Times New Roman" w:cs="Times New Roman"/>
        <w:b w:val="0"/>
        <w:i w:val="0"/>
        <w:caps w:val="0"/>
        <w:sz w:val="20"/>
        <w:u w:val="none"/>
        <w:vertAlign w:val="superscrip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7E3142E"/>
    <w:multiLevelType w:val="singleLevel"/>
    <w:tmpl w:val="9900FDDE"/>
    <w:lvl w:ilvl="0">
      <w:start w:val="1"/>
      <w:numFmt w:val="decimal"/>
      <w:pStyle w:val="References"/>
      <w:lvlText w:val="%1."/>
      <w:lvlJc w:val="left"/>
      <w:pPr>
        <w:tabs>
          <w:tab w:val="num" w:pos="360"/>
        </w:tabs>
        <w:ind w:left="360" w:hanging="360"/>
      </w:pPr>
      <w:rPr>
        <w:rFonts w:ascii="Times New Roman" w:hAnsi="Times New Roman" w:cs="Times New Roman"/>
        <w:b w:val="0"/>
        <w:i w:val="0"/>
        <w:caps w:val="0"/>
        <w:sz w:val="24"/>
        <w:u w:val="none"/>
        <w:vertAlign w:val="baseline"/>
      </w:rPr>
    </w:lvl>
  </w:abstractNum>
  <w:abstractNum w:abstractNumId="15" w15:restartNumberingAfterBreak="0">
    <w:nsid w:val="556F4F4D"/>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7507084"/>
    <w:multiLevelType w:val="hybridMultilevel"/>
    <w:tmpl w:val="B91605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C5E4704"/>
    <w:multiLevelType w:val="hybridMultilevel"/>
    <w:tmpl w:val="499C4734"/>
    <w:lvl w:ilvl="0" w:tplc="0C090001">
      <w:start w:val="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2BE70C3"/>
    <w:multiLevelType w:val="multilevel"/>
    <w:tmpl w:val="AD763C14"/>
    <w:name w:val="AppendixNum"/>
    <w:lvl w:ilvl="0">
      <w:start w:val="1"/>
      <w:numFmt w:val="decimal"/>
      <w:pStyle w:val="AppendixNumeric"/>
      <w:lvlText w:val="Appendix %1"/>
      <w:lvlJc w:val="left"/>
      <w:pPr>
        <w:tabs>
          <w:tab w:val="num" w:pos="1701"/>
        </w:tabs>
        <w:ind w:left="1701" w:hanging="1701"/>
      </w:pPr>
      <w:rPr>
        <w:rFonts w:ascii="Times New Roman Bold" w:hAnsi="Times New Roman Bold" w:cs="Times New Roman" w:hint="default"/>
        <w:b/>
        <w:i w:val="0"/>
        <w:caps w:val="0"/>
        <w:sz w:val="28"/>
        <w:u w:val="none"/>
        <w:vertAlign w:val="baseline"/>
      </w:rPr>
    </w:lvl>
    <w:lvl w:ilvl="1">
      <w:start w:val="1"/>
      <w:numFmt w:val="decimal"/>
      <w:lvlText w:val="App %1-%2"/>
      <w:lvlJc w:val="left"/>
      <w:pPr>
        <w:tabs>
          <w:tab w:val="num" w:pos="1134"/>
        </w:tabs>
        <w:ind w:left="1134" w:hanging="1134"/>
      </w:pPr>
      <w:rPr>
        <w:rFonts w:ascii="Times New Roman Bold" w:hAnsi="Times New Roman Bold" w:hint="default"/>
        <w:b/>
        <w:i w:val="0"/>
        <w:sz w:val="28"/>
      </w:rPr>
    </w:lvl>
    <w:lvl w:ilvl="2">
      <w:start w:val="1"/>
      <w:numFmt w:val="decimal"/>
      <w:lvlText w:val="App %1-%3.%2"/>
      <w:lvlJc w:val="left"/>
      <w:pPr>
        <w:tabs>
          <w:tab w:val="num" w:pos="1134"/>
        </w:tabs>
        <w:ind w:left="1134" w:hanging="1134"/>
      </w:pPr>
      <w:rPr>
        <w:rFonts w:ascii="Times New Roman Bold" w:hAnsi="Times New Roman Bold" w:hint="default"/>
        <w:b/>
        <w:i w:val="0"/>
        <w:sz w:val="26"/>
      </w:rPr>
    </w:lvl>
    <w:lvl w:ilvl="3">
      <w:start w:val="1"/>
      <w:numFmt w:val="decimal"/>
      <w:lvlText w:val="App %1-%2.%3.%4"/>
      <w:lvlJc w:val="left"/>
      <w:pPr>
        <w:tabs>
          <w:tab w:val="num" w:pos="1134"/>
        </w:tabs>
        <w:ind w:left="1134" w:hanging="1134"/>
      </w:pPr>
      <w:rPr>
        <w:rFonts w:ascii="Times New Roman Bold" w:hAnsi="Times New Roman Bold" w:hint="default"/>
        <w:b/>
        <w:i w:val="0"/>
        <w:sz w:val="24"/>
      </w:rPr>
    </w:lvl>
    <w:lvl w:ilvl="4">
      <w:start w:val="1"/>
      <w:numFmt w:val="decimal"/>
      <w:lvlText w:val="App %1-%2.%3.%4.%5"/>
      <w:lvlJc w:val="left"/>
      <w:pPr>
        <w:tabs>
          <w:tab w:val="num" w:pos="1134"/>
        </w:tabs>
        <w:ind w:left="1134" w:hanging="1134"/>
      </w:pPr>
      <w:rPr>
        <w:rFonts w:ascii="Times New Roman Bold" w:hAnsi="Times New Roman Bold" w:hint="default"/>
        <w:b/>
        <w:i/>
        <w:sz w:val="24"/>
      </w:rPr>
    </w:lvl>
    <w:lvl w:ilvl="5">
      <w:start w:val="1"/>
      <w:numFmt w:val="none"/>
      <w:lvlText w:val=""/>
      <w:lvlJc w:val="left"/>
      <w:pPr>
        <w:ind w:left="1985" w:hanging="1985"/>
      </w:pPr>
      <w:rPr>
        <w:rFonts w:hint="default"/>
      </w:rPr>
    </w:lvl>
    <w:lvl w:ilvl="6">
      <w:start w:val="1"/>
      <w:numFmt w:val="none"/>
      <w:lvlText w:val=""/>
      <w:lvlJc w:val="left"/>
      <w:pPr>
        <w:ind w:left="1985" w:hanging="1985"/>
      </w:pPr>
      <w:rPr>
        <w:rFonts w:hint="default"/>
      </w:rPr>
    </w:lvl>
    <w:lvl w:ilvl="7">
      <w:start w:val="1"/>
      <w:numFmt w:val="none"/>
      <w:lvlText w:val=""/>
      <w:lvlJc w:val="left"/>
      <w:pPr>
        <w:ind w:left="1985" w:hanging="1985"/>
      </w:pPr>
      <w:rPr>
        <w:rFonts w:hint="default"/>
      </w:rPr>
    </w:lvl>
    <w:lvl w:ilvl="8">
      <w:start w:val="1"/>
      <w:numFmt w:val="none"/>
      <w:lvlText w:val=""/>
      <w:lvlJc w:val="right"/>
      <w:pPr>
        <w:ind w:left="1985" w:hanging="1985"/>
      </w:pPr>
      <w:rPr>
        <w:rFonts w:hint="default"/>
      </w:rPr>
    </w:lvl>
  </w:abstractNum>
  <w:abstractNum w:abstractNumId="19" w15:restartNumberingAfterBreak="0">
    <w:nsid w:val="66D42C05"/>
    <w:multiLevelType w:val="multilevel"/>
    <w:tmpl w:val="88CA3A76"/>
    <w:lvl w:ilvl="0">
      <w:start w:val="1"/>
      <w:numFmt w:val="decimal"/>
      <w:lvlText w:val="Note %1:"/>
      <w:lvlJc w:val="left"/>
      <w:pPr>
        <w:ind w:left="1021" w:hanging="1021"/>
      </w:pPr>
      <w:rPr>
        <w:rFonts w:ascii="Cambria" w:hAnsi="Cambria"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76F49FC"/>
    <w:multiLevelType w:val="hybridMultilevel"/>
    <w:tmpl w:val="76C6F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0332797"/>
    <w:multiLevelType w:val="multilevel"/>
    <w:tmpl w:val="0C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72613446"/>
    <w:multiLevelType w:val="hybridMultilevel"/>
    <w:tmpl w:val="D384F4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311220D"/>
    <w:multiLevelType w:val="hybridMultilevel"/>
    <w:tmpl w:val="E814E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4C030A5"/>
    <w:multiLevelType w:val="multilevel"/>
    <w:tmpl w:val="99C4946C"/>
    <w:name w:val="ListNumberSmall"/>
    <w:lvl w:ilvl="0">
      <w:start w:val="1"/>
      <w:numFmt w:val="decimal"/>
      <w:pStyle w:val="ListNumberSmall"/>
      <w:lvlText w:val="%1"/>
      <w:lvlJc w:val="left"/>
      <w:pPr>
        <w:tabs>
          <w:tab w:val="num" w:pos="425"/>
        </w:tabs>
        <w:ind w:left="425" w:hanging="425"/>
      </w:pPr>
      <w:rPr>
        <w:rFonts w:ascii="Times New Roman" w:hAnsi="Times New Roman" w:hint="default"/>
        <w:sz w:val="20"/>
      </w:rPr>
    </w:lvl>
    <w:lvl w:ilvl="1">
      <w:start w:val="1"/>
      <w:numFmt w:val="lowerLetter"/>
      <w:lvlText w:val="%2."/>
      <w:lvlJc w:val="left"/>
      <w:pPr>
        <w:tabs>
          <w:tab w:val="num" w:pos="851"/>
        </w:tabs>
        <w:ind w:left="851" w:hanging="426"/>
      </w:pPr>
      <w:rPr>
        <w:rFonts w:hint="default"/>
      </w:rPr>
    </w:lvl>
    <w:lvl w:ilvl="2">
      <w:start w:val="1"/>
      <w:numFmt w:val="lowerRoman"/>
      <w:lvlText w:val="%3."/>
      <w:lvlJc w:val="right"/>
      <w:pPr>
        <w:tabs>
          <w:tab w:val="num" w:pos="1276"/>
        </w:tabs>
        <w:ind w:left="1276" w:hanging="425"/>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7C9D7603"/>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FB401D6"/>
    <w:multiLevelType w:val="hybridMultilevel"/>
    <w:tmpl w:val="270C46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FD56BF3"/>
    <w:multiLevelType w:val="singleLevel"/>
    <w:tmpl w:val="3C0E4404"/>
    <w:lvl w:ilvl="0">
      <w:start w:val="1"/>
      <w:numFmt w:val="lowerLetter"/>
      <w:lvlText w:val="%1."/>
      <w:lvlJc w:val="left"/>
      <w:pPr>
        <w:tabs>
          <w:tab w:val="num" w:pos="720"/>
        </w:tabs>
        <w:ind w:left="720" w:hanging="360"/>
      </w:pPr>
      <w:rPr>
        <w:rFonts w:ascii="Times New Roman" w:hAnsi="Times New Roman" w:cs="Times New Roman"/>
        <w:b w:val="0"/>
        <w:i w:val="0"/>
        <w:caps w:val="0"/>
        <w:sz w:val="24"/>
        <w:u w:val="none"/>
        <w:vertAlign w:val="baseline"/>
      </w:rPr>
    </w:lvl>
  </w:abstractNum>
  <w:num w:numId="1">
    <w:abstractNumId w:val="21"/>
  </w:num>
  <w:num w:numId="2">
    <w:abstractNumId w:val="3"/>
  </w:num>
  <w:num w:numId="3">
    <w:abstractNumId w:val="0"/>
  </w:num>
  <w:num w:numId="4">
    <w:abstractNumId w:val="16"/>
  </w:num>
  <w:num w:numId="5">
    <w:abstractNumId w:val="26"/>
  </w:num>
  <w:num w:numId="6">
    <w:abstractNumId w:val="22"/>
  </w:num>
  <w:num w:numId="7">
    <w:abstractNumId w:val="20"/>
  </w:num>
  <w:num w:numId="8">
    <w:abstractNumId w:val="23"/>
  </w:num>
  <w:num w:numId="9">
    <w:abstractNumId w:val="7"/>
  </w:num>
  <w:num w:numId="10">
    <w:abstractNumId w:val="19"/>
  </w:num>
  <w:num w:numId="11">
    <w:abstractNumId w:val="18"/>
  </w:num>
  <w:num w:numId="12">
    <w:abstractNumId w:val="12"/>
  </w:num>
  <w:num w:numId="13">
    <w:abstractNumId w:val="10"/>
  </w:num>
  <w:num w:numId="14">
    <w:abstractNumId w:val="5"/>
  </w:num>
  <w:num w:numId="15">
    <w:abstractNumId w:val="2"/>
  </w:num>
  <w:num w:numId="16">
    <w:abstractNumId w:val="11"/>
  </w:num>
  <w:num w:numId="17">
    <w:abstractNumId w:val="27"/>
  </w:num>
  <w:num w:numId="18">
    <w:abstractNumId w:val="9"/>
  </w:num>
  <w:num w:numId="19">
    <w:abstractNumId w:val="14"/>
  </w:num>
  <w:num w:numId="20">
    <w:abstractNumId w:val="4"/>
  </w:num>
  <w:num w:numId="21">
    <w:abstractNumId w:val="1"/>
  </w:num>
  <w:num w:numId="22">
    <w:abstractNumId w:val="6"/>
  </w:num>
  <w:num w:numId="23">
    <w:abstractNumId w:val="15"/>
  </w:num>
  <w:num w:numId="24">
    <w:abstractNumId w:val="25"/>
  </w:num>
  <w:num w:numId="25">
    <w:abstractNumId w:val="8"/>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4"/>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 w:numId="34">
    <w:abstractNumId w:val="2"/>
  </w:num>
  <w:num w:numId="35">
    <w:abstractNumId w:val="2"/>
  </w:num>
  <w:num w:numId="36">
    <w:abstractNumId w:val="2"/>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attachedTemplate r:id="rId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315"/>
    <w:rsid w:val="00013F59"/>
    <w:rsid w:val="00020CD1"/>
    <w:rsid w:val="000230A8"/>
    <w:rsid w:val="00042302"/>
    <w:rsid w:val="00063EE1"/>
    <w:rsid w:val="00064D89"/>
    <w:rsid w:val="00086411"/>
    <w:rsid w:val="000A042C"/>
    <w:rsid w:val="000A62D4"/>
    <w:rsid w:val="000A68FC"/>
    <w:rsid w:val="000B429F"/>
    <w:rsid w:val="000F4C62"/>
    <w:rsid w:val="000F6A56"/>
    <w:rsid w:val="0010322D"/>
    <w:rsid w:val="00113FC2"/>
    <w:rsid w:val="00126C4D"/>
    <w:rsid w:val="00130E08"/>
    <w:rsid w:val="00173547"/>
    <w:rsid w:val="00194D6B"/>
    <w:rsid w:val="001A3992"/>
    <w:rsid w:val="001A3F6E"/>
    <w:rsid w:val="001B006F"/>
    <w:rsid w:val="001C394C"/>
    <w:rsid w:val="001C4C83"/>
    <w:rsid w:val="001D3AF3"/>
    <w:rsid w:val="001E4F74"/>
    <w:rsid w:val="001E570A"/>
    <w:rsid w:val="00230E6D"/>
    <w:rsid w:val="002335CD"/>
    <w:rsid w:val="0024684F"/>
    <w:rsid w:val="00252949"/>
    <w:rsid w:val="00253F02"/>
    <w:rsid w:val="0026491B"/>
    <w:rsid w:val="00276C09"/>
    <w:rsid w:val="00277942"/>
    <w:rsid w:val="00285173"/>
    <w:rsid w:val="002D1062"/>
    <w:rsid w:val="002D19FD"/>
    <w:rsid w:val="002D3489"/>
    <w:rsid w:val="002D7D9F"/>
    <w:rsid w:val="002E277D"/>
    <w:rsid w:val="00307768"/>
    <w:rsid w:val="00310C7E"/>
    <w:rsid w:val="00314F16"/>
    <w:rsid w:val="00315B17"/>
    <w:rsid w:val="00340927"/>
    <w:rsid w:val="00351E07"/>
    <w:rsid w:val="003573E5"/>
    <w:rsid w:val="00375DF3"/>
    <w:rsid w:val="00377337"/>
    <w:rsid w:val="00387309"/>
    <w:rsid w:val="0039144C"/>
    <w:rsid w:val="00392DE5"/>
    <w:rsid w:val="003A0D39"/>
    <w:rsid w:val="003B6835"/>
    <w:rsid w:val="003B7CFF"/>
    <w:rsid w:val="003F24C4"/>
    <w:rsid w:val="004060ED"/>
    <w:rsid w:val="0041004D"/>
    <w:rsid w:val="004144FE"/>
    <w:rsid w:val="00431ACD"/>
    <w:rsid w:val="00446EDD"/>
    <w:rsid w:val="00463229"/>
    <w:rsid w:val="00470DC2"/>
    <w:rsid w:val="00471E15"/>
    <w:rsid w:val="004720D7"/>
    <w:rsid w:val="00474FC2"/>
    <w:rsid w:val="004834EC"/>
    <w:rsid w:val="00483663"/>
    <w:rsid w:val="004A5616"/>
    <w:rsid w:val="004B15E9"/>
    <w:rsid w:val="004B217C"/>
    <w:rsid w:val="004B6B19"/>
    <w:rsid w:val="004C31E6"/>
    <w:rsid w:val="004C4757"/>
    <w:rsid w:val="004C6418"/>
    <w:rsid w:val="004C7F31"/>
    <w:rsid w:val="004F6A1C"/>
    <w:rsid w:val="00513B1A"/>
    <w:rsid w:val="005162A0"/>
    <w:rsid w:val="00525DB7"/>
    <w:rsid w:val="00526F84"/>
    <w:rsid w:val="0055006D"/>
    <w:rsid w:val="00555E8D"/>
    <w:rsid w:val="00556CC0"/>
    <w:rsid w:val="005A4AAE"/>
    <w:rsid w:val="005A4B71"/>
    <w:rsid w:val="005B33BC"/>
    <w:rsid w:val="005B486D"/>
    <w:rsid w:val="005C05E8"/>
    <w:rsid w:val="00600B1E"/>
    <w:rsid w:val="006018AE"/>
    <w:rsid w:val="00613D40"/>
    <w:rsid w:val="00641142"/>
    <w:rsid w:val="00643A19"/>
    <w:rsid w:val="00645496"/>
    <w:rsid w:val="006570E0"/>
    <w:rsid w:val="00685FE9"/>
    <w:rsid w:val="00686766"/>
    <w:rsid w:val="00696A22"/>
    <w:rsid w:val="006A6677"/>
    <w:rsid w:val="006A727B"/>
    <w:rsid w:val="006C44D9"/>
    <w:rsid w:val="006D70FB"/>
    <w:rsid w:val="006F2A76"/>
    <w:rsid w:val="00703423"/>
    <w:rsid w:val="00726F9E"/>
    <w:rsid w:val="007403BD"/>
    <w:rsid w:val="00751313"/>
    <w:rsid w:val="0076578D"/>
    <w:rsid w:val="007877A3"/>
    <w:rsid w:val="00795D99"/>
    <w:rsid w:val="007A2548"/>
    <w:rsid w:val="007B09F4"/>
    <w:rsid w:val="007C66C8"/>
    <w:rsid w:val="007E2898"/>
    <w:rsid w:val="008042B3"/>
    <w:rsid w:val="0080644B"/>
    <w:rsid w:val="00823416"/>
    <w:rsid w:val="008654F6"/>
    <w:rsid w:val="00876C37"/>
    <w:rsid w:val="00881EA6"/>
    <w:rsid w:val="00887040"/>
    <w:rsid w:val="008A35FB"/>
    <w:rsid w:val="008A6E2D"/>
    <w:rsid w:val="008D4291"/>
    <w:rsid w:val="008E0A0A"/>
    <w:rsid w:val="00905FE6"/>
    <w:rsid w:val="009061AD"/>
    <w:rsid w:val="00906923"/>
    <w:rsid w:val="00916223"/>
    <w:rsid w:val="00916D38"/>
    <w:rsid w:val="009249F4"/>
    <w:rsid w:val="009415E2"/>
    <w:rsid w:val="00960CD5"/>
    <w:rsid w:val="009611DC"/>
    <w:rsid w:val="009D3C16"/>
    <w:rsid w:val="009D3FF3"/>
    <w:rsid w:val="00A32E10"/>
    <w:rsid w:val="00A36815"/>
    <w:rsid w:val="00A52CB3"/>
    <w:rsid w:val="00A74C20"/>
    <w:rsid w:val="00A84F47"/>
    <w:rsid w:val="00A85490"/>
    <w:rsid w:val="00AA0B20"/>
    <w:rsid w:val="00AA5E96"/>
    <w:rsid w:val="00AB460F"/>
    <w:rsid w:val="00AE034C"/>
    <w:rsid w:val="00B07F7B"/>
    <w:rsid w:val="00B13576"/>
    <w:rsid w:val="00B14C54"/>
    <w:rsid w:val="00B17E3B"/>
    <w:rsid w:val="00B56438"/>
    <w:rsid w:val="00BB41D1"/>
    <w:rsid w:val="00BE2A26"/>
    <w:rsid w:val="00BE5BA2"/>
    <w:rsid w:val="00BE77D8"/>
    <w:rsid w:val="00C1707F"/>
    <w:rsid w:val="00C36C0F"/>
    <w:rsid w:val="00C51443"/>
    <w:rsid w:val="00C668EC"/>
    <w:rsid w:val="00C77EE8"/>
    <w:rsid w:val="00C85696"/>
    <w:rsid w:val="00C90193"/>
    <w:rsid w:val="00CA24AB"/>
    <w:rsid w:val="00CD331E"/>
    <w:rsid w:val="00CD665E"/>
    <w:rsid w:val="00CF311A"/>
    <w:rsid w:val="00CF69E5"/>
    <w:rsid w:val="00CF7674"/>
    <w:rsid w:val="00D14135"/>
    <w:rsid w:val="00D347D7"/>
    <w:rsid w:val="00D42AF8"/>
    <w:rsid w:val="00D45F14"/>
    <w:rsid w:val="00D722F8"/>
    <w:rsid w:val="00D83FFA"/>
    <w:rsid w:val="00D86947"/>
    <w:rsid w:val="00DA64B3"/>
    <w:rsid w:val="00DD2F4F"/>
    <w:rsid w:val="00DF1B38"/>
    <w:rsid w:val="00E00336"/>
    <w:rsid w:val="00E07B43"/>
    <w:rsid w:val="00E12D6A"/>
    <w:rsid w:val="00E34080"/>
    <w:rsid w:val="00E45826"/>
    <w:rsid w:val="00E45A09"/>
    <w:rsid w:val="00E74A56"/>
    <w:rsid w:val="00E775A0"/>
    <w:rsid w:val="00E905F7"/>
    <w:rsid w:val="00E9247F"/>
    <w:rsid w:val="00E92A04"/>
    <w:rsid w:val="00EA2D33"/>
    <w:rsid w:val="00EA5FFC"/>
    <w:rsid w:val="00EA65E3"/>
    <w:rsid w:val="00EC0CD9"/>
    <w:rsid w:val="00EC60F8"/>
    <w:rsid w:val="00ED36E4"/>
    <w:rsid w:val="00EE3AC8"/>
    <w:rsid w:val="00EF5786"/>
    <w:rsid w:val="00F02A45"/>
    <w:rsid w:val="00F25243"/>
    <w:rsid w:val="00F449B6"/>
    <w:rsid w:val="00F67C7F"/>
    <w:rsid w:val="00F67D68"/>
    <w:rsid w:val="00F77315"/>
    <w:rsid w:val="00F80DBD"/>
    <w:rsid w:val="00F83E84"/>
    <w:rsid w:val="00F913F9"/>
    <w:rsid w:val="00FA5DD2"/>
    <w:rsid w:val="00FC1847"/>
    <w:rsid w:val="00FC3D6B"/>
    <w:rsid w:val="00FC60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EEFBD"/>
  <w15:docId w15:val="{EE0D2F39-72D5-4B24-A90B-D630BE2B9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qFormat="1"/>
    <w:lsdException w:name="heading 1" w:uiPriority="4"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semiHidden="1" w:uiPriority="8" w:unhideWhenUsed="1" w:qFormat="1"/>
    <w:lsdException w:name="heading 6" w:semiHidden="1" w:uiPriority="8" w:unhideWhenUsed="1" w:qFormat="1"/>
    <w:lsdException w:name="heading 7" w:semiHidden="1" w:unhideWhenUsed="1" w:qFormat="1"/>
    <w:lsdException w:name="heading 8" w:semiHidden="1" w:unhideWhenUsed="1" w:qFormat="1"/>
    <w:lsdException w:name="heading 9" w:semiHidden="1" w:uiPriority="7"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69" w:unhideWhenUsed="1"/>
    <w:lsdException w:name="header" w:semiHidden="1" w:unhideWhenUsed="1"/>
    <w:lsdException w:name="footer" w:semiHidden="1" w:uiPriority="0" w:unhideWhenUsed="1"/>
    <w:lsdException w:name="index heading" w:semiHidden="1" w:unhideWhenUsed="1"/>
    <w:lsdException w:name="caption" w:semiHidden="1" w:uiPriority="49" w:unhideWhenUsed="1" w:qFormat="1"/>
    <w:lsdException w:name="table of figures" w:semiHidden="1" w:uiPriority="40" w:unhideWhenUsed="1"/>
    <w:lsdException w:name="envelope address" w:semiHidden="1" w:uiPriority="69" w:unhideWhenUsed="1"/>
    <w:lsdException w:name="envelope return" w:semiHidden="1" w:uiPriority="69" w:unhideWhenUsed="1"/>
    <w:lsdException w:name="footnote reference" w:semiHidden="1" w:unhideWhenUsed="1"/>
    <w:lsdException w:name="annotation reference" w:semiHidden="1" w:uiPriority="69" w:unhideWhenUsed="1"/>
    <w:lsdException w:name="line number" w:semiHidden="1" w:unhideWhenUsed="1"/>
    <w:lsdException w:name="page number" w:semiHidden="1" w:unhideWhenUsed="1"/>
    <w:lsdException w:name="endnote reference" w:semiHidden="1" w:uiPriority="69" w:unhideWhenUsed="1"/>
    <w:lsdException w:name="endnote text" w:semiHidden="1" w:uiPriority="69"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 w:unhideWhenUsed="1" w:qFormat="1"/>
    <w:lsdException w:name="List Bullet 3" w:semiHidden="1" w:uiPriority="9" w:unhideWhenUsed="1" w:qFormat="1"/>
    <w:lsdException w:name="List Bullet 4" w:semiHidden="1" w:unhideWhenUsed="1"/>
    <w:lsdException w:name="List Bullet 5" w:semiHidden="1" w:unhideWhenUsed="1"/>
    <w:lsdException w:name="List Number 2" w:semiHidden="1" w:uiPriority="9" w:unhideWhenUsed="1" w:qFormat="1"/>
    <w:lsdException w:name="List Number 3" w:semiHidden="1" w:uiPriority="9" w:unhideWhenUsed="1" w:qFormat="1"/>
    <w:lsdException w:name="List Number 4" w:semiHidden="1" w:unhideWhenUsed="1"/>
    <w:lsdException w:name="List Number 5" w:semiHidden="1" w:unhideWhenUsed="1"/>
    <w:lsdException w:name="Title" w:uiPriority="25" w:qFormat="1"/>
    <w:lsdException w:name="Closing" w:semiHidden="1" w:uiPriority="69" w:unhideWhenUsed="1"/>
    <w:lsdException w:name="Signature" w:semiHidden="1" w:uiPriority="49" w:unhideWhenUsed="1"/>
    <w:lsdException w:name="Default Paragraph Font" w:semiHidden="1" w:uiPriority="1" w:unhideWhenUsed="1"/>
    <w:lsdException w:name="Body Text" w:semiHidden="1" w:uiPriority="69" w:unhideWhenUsed="1"/>
    <w:lsdException w:name="Body Text Indent" w:semiHidden="1" w:uiPriority="6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iPriority="49" w:unhideWhenUsed="1"/>
    <w:lsdException w:name="Date" w:semiHidden="1" w:uiPriority="69" w:unhideWhenUsed="1"/>
    <w:lsdException w:name="Body Text First Indent" w:semiHidden="1" w:uiPriority="69" w:unhideWhenUsed="1"/>
    <w:lsdException w:name="Body Text First Indent 2" w:semiHidden="1" w:uiPriority="69" w:unhideWhenUsed="1"/>
    <w:lsdException w:name="Note Heading" w:semiHidden="1" w:unhideWhenUsed="1"/>
    <w:lsdException w:name="Body Text 2" w:semiHidden="1" w:uiPriority="69" w:unhideWhenUsed="1"/>
    <w:lsdException w:name="Body Text 3" w:semiHidden="1" w:uiPriority="69" w:unhideWhenUsed="1"/>
    <w:lsdException w:name="Body Text Indent 2" w:semiHidden="1" w:uiPriority="69" w:unhideWhenUsed="1"/>
    <w:lsdException w:name="Body Text Indent 3" w:semiHidden="1" w:uiPriority="69" w:unhideWhenUsed="1"/>
    <w:lsdException w:name="Block Text" w:semiHidden="1" w:unhideWhenUsed="1"/>
    <w:lsdException w:name="Hyperlink" w:semiHidden="1" w:unhideWhenUsed="1"/>
    <w:lsdException w:name="FollowedHyperlink" w:semiHidden="1" w:unhideWhenUsed="1"/>
    <w:lsdException w:name="Strong" w:uiPriority="49" w:qFormat="1"/>
    <w:lsdException w:name="Emphasis" w:uiPriority="69" w:qFormat="1"/>
    <w:lsdException w:name="Document Map" w:semiHidden="1" w:uiPriority="69" w:unhideWhenUsed="1"/>
    <w:lsdException w:name="Plain Text" w:semiHidden="1" w:uiPriority="49" w:unhideWhenUsed="1"/>
    <w:lsdException w:name="E-mail Signature" w:semiHidden="1" w:uiPriority="69"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6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69"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rsid w:val="003B7CFF"/>
    <w:pPr>
      <w:spacing w:after="240"/>
    </w:pPr>
    <w:rPr>
      <w:rFonts w:ascii="Times New Roman" w:eastAsia="Times New Roman" w:hAnsi="Times New Roman" w:cs="Times New Roman"/>
      <w:sz w:val="24"/>
      <w:szCs w:val="24"/>
      <w:lang w:val="en-GB"/>
    </w:rPr>
  </w:style>
  <w:style w:type="paragraph" w:styleId="Heading1">
    <w:name w:val="heading 1"/>
    <w:next w:val="Paragraph"/>
    <w:link w:val="Heading1Char"/>
    <w:uiPriority w:val="4"/>
    <w:qFormat/>
    <w:rsid w:val="003B7CFF"/>
    <w:pPr>
      <w:keepNext/>
      <w:keepLines/>
      <w:numPr>
        <w:numId w:val="13"/>
      </w:numPr>
      <w:spacing w:before="240" w:after="240" w:line="240" w:lineRule="auto"/>
      <w:outlineLvl w:val="0"/>
    </w:pPr>
    <w:rPr>
      <w:rFonts w:ascii="Times New Roman" w:eastAsia="Times New Roman" w:hAnsi="Times New Roman" w:cs="Arial"/>
      <w:b/>
      <w:bCs/>
      <w:caps/>
      <w:kern w:val="32"/>
      <w:sz w:val="28"/>
      <w:szCs w:val="28"/>
      <w:lang w:val="en-GB"/>
    </w:rPr>
  </w:style>
  <w:style w:type="paragraph" w:styleId="Heading2">
    <w:name w:val="heading 2"/>
    <w:next w:val="Paragraph"/>
    <w:link w:val="Heading2Char"/>
    <w:uiPriority w:val="4"/>
    <w:qFormat/>
    <w:rsid w:val="00F02A45"/>
    <w:pPr>
      <w:keepNext/>
      <w:keepLines/>
      <w:numPr>
        <w:ilvl w:val="1"/>
        <w:numId w:val="13"/>
      </w:numPr>
      <w:spacing w:before="60" w:after="120" w:line="240" w:lineRule="auto"/>
      <w:outlineLvl w:val="1"/>
    </w:pPr>
    <w:rPr>
      <w:rFonts w:ascii="Times New Roman" w:eastAsia="Times New Roman" w:hAnsi="Times New Roman" w:cs="Arial"/>
      <w:b/>
      <w:bCs/>
      <w:iCs/>
      <w:sz w:val="24"/>
      <w:szCs w:val="26"/>
      <w:lang w:val="en-GB"/>
    </w:rPr>
  </w:style>
  <w:style w:type="paragraph" w:styleId="Heading3">
    <w:name w:val="heading 3"/>
    <w:next w:val="Paragraph"/>
    <w:link w:val="Heading3Char"/>
    <w:uiPriority w:val="4"/>
    <w:qFormat/>
    <w:rsid w:val="003B7CFF"/>
    <w:pPr>
      <w:keepNext/>
      <w:keepLines/>
      <w:numPr>
        <w:ilvl w:val="2"/>
        <w:numId w:val="13"/>
      </w:numPr>
      <w:spacing w:before="60" w:after="120" w:line="240" w:lineRule="auto"/>
      <w:outlineLvl w:val="2"/>
    </w:pPr>
    <w:rPr>
      <w:rFonts w:ascii="Times New Roman" w:eastAsia="Times New Roman" w:hAnsi="Times New Roman" w:cs="Arial"/>
      <w:b/>
      <w:bCs/>
      <w:sz w:val="26"/>
      <w:szCs w:val="24"/>
      <w:lang w:val="en-GB"/>
    </w:rPr>
  </w:style>
  <w:style w:type="paragraph" w:styleId="Heading4">
    <w:name w:val="heading 4"/>
    <w:next w:val="Paragraph"/>
    <w:link w:val="Heading4Char"/>
    <w:uiPriority w:val="4"/>
    <w:qFormat/>
    <w:rsid w:val="003B7CFF"/>
    <w:pPr>
      <w:keepNext/>
      <w:keepLines/>
      <w:numPr>
        <w:ilvl w:val="3"/>
        <w:numId w:val="13"/>
      </w:numPr>
      <w:spacing w:before="60" w:after="60" w:line="240" w:lineRule="auto"/>
      <w:outlineLvl w:val="3"/>
    </w:pPr>
    <w:rPr>
      <w:rFonts w:ascii="Times New Roman" w:eastAsia="Times New Roman" w:hAnsi="Times New Roman" w:cs="Times New Roman"/>
      <w:b/>
      <w:bCs/>
      <w:sz w:val="24"/>
      <w:lang w:val="en-GB"/>
    </w:rPr>
  </w:style>
  <w:style w:type="paragraph" w:styleId="Heading5">
    <w:name w:val="heading 5"/>
    <w:next w:val="Paragraph"/>
    <w:link w:val="Heading5Char"/>
    <w:uiPriority w:val="8"/>
    <w:qFormat/>
    <w:rsid w:val="003B7CFF"/>
    <w:pPr>
      <w:keepNext/>
      <w:keepLines/>
      <w:numPr>
        <w:ilvl w:val="4"/>
        <w:numId w:val="13"/>
      </w:numPr>
      <w:tabs>
        <w:tab w:val="left" w:pos="1440"/>
      </w:tabs>
      <w:spacing w:before="60" w:after="60" w:line="240" w:lineRule="auto"/>
      <w:outlineLvl w:val="4"/>
    </w:pPr>
    <w:rPr>
      <w:rFonts w:ascii="Times New Roman Bold" w:eastAsia="Times New Roman" w:hAnsi="Times New Roman Bold" w:cs="Arial"/>
      <w:b/>
      <w:bCs/>
      <w:iCs/>
      <w:lang w:val="en-US"/>
    </w:rPr>
  </w:style>
  <w:style w:type="paragraph" w:styleId="Heading6">
    <w:name w:val="heading 6"/>
    <w:next w:val="Paragraph"/>
    <w:link w:val="Heading6Char"/>
    <w:uiPriority w:val="8"/>
    <w:qFormat/>
    <w:rsid w:val="003B7CFF"/>
    <w:pPr>
      <w:keepNext/>
      <w:keepLines/>
      <w:numPr>
        <w:ilvl w:val="5"/>
        <w:numId w:val="13"/>
      </w:numPr>
      <w:tabs>
        <w:tab w:val="left" w:pos="1680"/>
      </w:tabs>
      <w:spacing w:before="60" w:after="60" w:line="240" w:lineRule="auto"/>
      <w:outlineLvl w:val="5"/>
    </w:pPr>
    <w:rPr>
      <w:rFonts w:ascii="Times New Roman" w:eastAsia="Times New Roman" w:hAnsi="Times New Roman" w:cs="Arial"/>
      <w:b/>
      <w:bCs/>
      <w:i/>
      <w:lang w:val="en-US"/>
    </w:rPr>
  </w:style>
  <w:style w:type="paragraph" w:styleId="Heading7">
    <w:name w:val="heading 7"/>
    <w:next w:val="Paragraph"/>
    <w:link w:val="Heading7Char"/>
    <w:uiPriority w:val="99"/>
    <w:semiHidden/>
    <w:qFormat/>
    <w:rsid w:val="003B7CFF"/>
    <w:pPr>
      <w:keepNext/>
      <w:keepLines/>
      <w:numPr>
        <w:ilvl w:val="6"/>
        <w:numId w:val="13"/>
      </w:numPr>
      <w:tabs>
        <w:tab w:val="left" w:pos="1920"/>
      </w:tabs>
      <w:spacing w:after="240" w:line="240" w:lineRule="auto"/>
      <w:outlineLvl w:val="6"/>
    </w:pPr>
    <w:rPr>
      <w:rFonts w:ascii="Times New Roman" w:eastAsia="Times New Roman" w:hAnsi="Times New Roman" w:cs="Arial"/>
      <w:i/>
      <w:sz w:val="24"/>
      <w:szCs w:val="24"/>
      <w:lang w:val="en-US"/>
    </w:rPr>
  </w:style>
  <w:style w:type="paragraph" w:styleId="Heading8">
    <w:name w:val="heading 8"/>
    <w:next w:val="Paragraph"/>
    <w:link w:val="Heading8Char"/>
    <w:uiPriority w:val="99"/>
    <w:semiHidden/>
    <w:qFormat/>
    <w:rsid w:val="003B7CFF"/>
    <w:pPr>
      <w:keepNext/>
      <w:keepLines/>
      <w:numPr>
        <w:ilvl w:val="7"/>
        <w:numId w:val="13"/>
      </w:numPr>
      <w:tabs>
        <w:tab w:val="left" w:pos="2160"/>
      </w:tabs>
      <w:spacing w:after="240" w:line="240" w:lineRule="auto"/>
      <w:outlineLvl w:val="7"/>
    </w:pPr>
    <w:rPr>
      <w:rFonts w:ascii="Times New Roman" w:eastAsia="Times New Roman" w:hAnsi="Times New Roman" w:cs="Arial"/>
      <w:i/>
      <w:iCs/>
      <w:sz w:val="24"/>
      <w:szCs w:val="24"/>
      <w:lang w:val="en-US"/>
    </w:rPr>
  </w:style>
  <w:style w:type="paragraph" w:styleId="Heading9">
    <w:name w:val="heading 9"/>
    <w:aliases w:val="-References"/>
    <w:next w:val="Paragraph"/>
    <w:link w:val="Heading9Char"/>
    <w:uiPriority w:val="7"/>
    <w:qFormat/>
    <w:rsid w:val="003B7CFF"/>
    <w:pPr>
      <w:keepNext/>
      <w:keepLines/>
      <w:numPr>
        <w:ilvl w:val="8"/>
        <w:numId w:val="13"/>
      </w:numPr>
      <w:spacing w:before="120" w:after="0" w:line="240" w:lineRule="auto"/>
      <w:outlineLvl w:val="8"/>
    </w:pPr>
    <w:rPr>
      <w:rFonts w:ascii="Times New Roman" w:eastAsia="Times New Roman" w:hAnsi="Times New Roman" w:cs="Arial"/>
      <w:b/>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4"/>
    <w:rsid w:val="003B7CFF"/>
    <w:rPr>
      <w:rFonts w:ascii="Times New Roman" w:eastAsia="Times New Roman" w:hAnsi="Times New Roman" w:cs="Arial"/>
      <w:b/>
      <w:bCs/>
      <w:caps/>
      <w:kern w:val="32"/>
      <w:sz w:val="28"/>
      <w:szCs w:val="28"/>
      <w:lang w:val="en-GB"/>
    </w:rPr>
  </w:style>
  <w:style w:type="character" w:customStyle="1" w:styleId="Heading2Char">
    <w:name w:val="Heading 2 Char"/>
    <w:basedOn w:val="DefaultParagraphFont"/>
    <w:link w:val="Heading2"/>
    <w:uiPriority w:val="4"/>
    <w:rsid w:val="00F02A45"/>
    <w:rPr>
      <w:rFonts w:ascii="Times New Roman" w:eastAsia="Times New Roman" w:hAnsi="Times New Roman" w:cs="Arial"/>
      <w:b/>
      <w:bCs/>
      <w:iCs/>
      <w:sz w:val="24"/>
      <w:szCs w:val="26"/>
      <w:lang w:val="en-GB"/>
    </w:rPr>
  </w:style>
  <w:style w:type="character" w:customStyle="1" w:styleId="Heading3Char">
    <w:name w:val="Heading 3 Char"/>
    <w:basedOn w:val="DefaultParagraphFont"/>
    <w:link w:val="Heading3"/>
    <w:uiPriority w:val="4"/>
    <w:rsid w:val="003B7CFF"/>
    <w:rPr>
      <w:rFonts w:ascii="Times New Roman" w:eastAsia="Times New Roman" w:hAnsi="Times New Roman" w:cs="Arial"/>
      <w:b/>
      <w:bCs/>
      <w:sz w:val="26"/>
      <w:szCs w:val="24"/>
      <w:lang w:val="en-GB"/>
    </w:rPr>
  </w:style>
  <w:style w:type="character" w:customStyle="1" w:styleId="Heading4Char">
    <w:name w:val="Heading 4 Char"/>
    <w:basedOn w:val="DefaultParagraphFont"/>
    <w:link w:val="Heading4"/>
    <w:uiPriority w:val="4"/>
    <w:rsid w:val="003B7CFF"/>
    <w:rPr>
      <w:rFonts w:ascii="Times New Roman" w:eastAsia="Times New Roman" w:hAnsi="Times New Roman" w:cs="Times New Roman"/>
      <w:b/>
      <w:bCs/>
      <w:sz w:val="24"/>
      <w:lang w:val="en-GB"/>
    </w:rPr>
  </w:style>
  <w:style w:type="character" w:customStyle="1" w:styleId="Heading5Char">
    <w:name w:val="Heading 5 Char"/>
    <w:basedOn w:val="DefaultParagraphFont"/>
    <w:link w:val="Heading5"/>
    <w:uiPriority w:val="8"/>
    <w:rsid w:val="003B7CFF"/>
    <w:rPr>
      <w:rFonts w:ascii="Times New Roman Bold" w:eastAsia="Times New Roman" w:hAnsi="Times New Roman Bold" w:cs="Arial"/>
      <w:b/>
      <w:bCs/>
      <w:iCs/>
      <w:lang w:val="en-US"/>
    </w:rPr>
  </w:style>
  <w:style w:type="character" w:customStyle="1" w:styleId="Heading6Char">
    <w:name w:val="Heading 6 Char"/>
    <w:basedOn w:val="DefaultParagraphFont"/>
    <w:link w:val="Heading6"/>
    <w:uiPriority w:val="8"/>
    <w:rsid w:val="003B7CFF"/>
    <w:rPr>
      <w:rFonts w:ascii="Times New Roman" w:eastAsia="Times New Roman" w:hAnsi="Times New Roman" w:cs="Arial"/>
      <w:b/>
      <w:bCs/>
      <w:i/>
      <w:lang w:val="en-US"/>
    </w:rPr>
  </w:style>
  <w:style w:type="character" w:customStyle="1" w:styleId="Heading7Char">
    <w:name w:val="Heading 7 Char"/>
    <w:basedOn w:val="DefaultParagraphFont"/>
    <w:link w:val="Heading7"/>
    <w:uiPriority w:val="99"/>
    <w:semiHidden/>
    <w:rsid w:val="003B7CFF"/>
    <w:rPr>
      <w:rFonts w:ascii="Times New Roman" w:eastAsia="Times New Roman" w:hAnsi="Times New Roman" w:cs="Arial"/>
      <w:i/>
      <w:sz w:val="24"/>
      <w:szCs w:val="24"/>
      <w:lang w:val="en-US"/>
    </w:rPr>
  </w:style>
  <w:style w:type="character" w:customStyle="1" w:styleId="Heading8Char">
    <w:name w:val="Heading 8 Char"/>
    <w:basedOn w:val="DefaultParagraphFont"/>
    <w:link w:val="Heading8"/>
    <w:uiPriority w:val="99"/>
    <w:semiHidden/>
    <w:rsid w:val="003B7CFF"/>
    <w:rPr>
      <w:rFonts w:ascii="Times New Roman" w:eastAsia="Times New Roman" w:hAnsi="Times New Roman" w:cs="Arial"/>
      <w:i/>
      <w:iCs/>
      <w:sz w:val="24"/>
      <w:szCs w:val="24"/>
      <w:lang w:val="en-US"/>
    </w:rPr>
  </w:style>
  <w:style w:type="character" w:customStyle="1" w:styleId="Heading9Char">
    <w:name w:val="Heading 9 Char"/>
    <w:aliases w:val="-References Char"/>
    <w:basedOn w:val="DefaultParagraphFont"/>
    <w:link w:val="Heading9"/>
    <w:uiPriority w:val="7"/>
    <w:rsid w:val="003B7CFF"/>
    <w:rPr>
      <w:rFonts w:ascii="Times New Roman" w:eastAsia="Times New Roman" w:hAnsi="Times New Roman" w:cs="Arial"/>
      <w:b/>
      <w:szCs w:val="24"/>
      <w:lang w:val="en-GB"/>
    </w:rPr>
  </w:style>
  <w:style w:type="paragraph" w:styleId="ListParagraph">
    <w:name w:val="List Paragraph"/>
    <w:basedOn w:val="Normal"/>
    <w:uiPriority w:val="34"/>
    <w:rsid w:val="003B7CFF"/>
    <w:pPr>
      <w:contextualSpacing/>
    </w:pPr>
  </w:style>
  <w:style w:type="character" w:styleId="CommentReference">
    <w:name w:val="annotation reference"/>
    <w:uiPriority w:val="69"/>
    <w:semiHidden/>
    <w:rsid w:val="003B7CFF"/>
    <w:rPr>
      <w:sz w:val="16"/>
      <w:szCs w:val="16"/>
    </w:rPr>
  </w:style>
  <w:style w:type="paragraph" w:styleId="CommentText">
    <w:name w:val="annotation text"/>
    <w:basedOn w:val="Normal"/>
    <w:link w:val="CommentTextChar"/>
    <w:uiPriority w:val="69"/>
    <w:semiHidden/>
    <w:rsid w:val="003B7CFF"/>
    <w:rPr>
      <w:sz w:val="20"/>
      <w:szCs w:val="20"/>
    </w:rPr>
  </w:style>
  <w:style w:type="character" w:customStyle="1" w:styleId="CommentTextChar">
    <w:name w:val="Comment Text Char"/>
    <w:basedOn w:val="DefaultParagraphFont"/>
    <w:link w:val="CommentText"/>
    <w:uiPriority w:val="69"/>
    <w:semiHidden/>
    <w:rsid w:val="003B7CFF"/>
    <w:rPr>
      <w:rFonts w:ascii="Times New Roman" w:eastAsia="Times New Roman" w:hAnsi="Times New Roman" w:cs="Times New Roman"/>
      <w:sz w:val="20"/>
      <w:szCs w:val="20"/>
      <w:lang w:val="en-GB"/>
    </w:rPr>
  </w:style>
  <w:style w:type="paragraph" w:styleId="FootnoteText">
    <w:name w:val="footnote text"/>
    <w:basedOn w:val="Normal"/>
    <w:link w:val="FootnoteTextChar"/>
    <w:uiPriority w:val="99"/>
    <w:rsid w:val="003B7CFF"/>
    <w:rPr>
      <w:sz w:val="20"/>
      <w:szCs w:val="20"/>
    </w:rPr>
  </w:style>
  <w:style w:type="character" w:customStyle="1" w:styleId="FootnoteTextChar">
    <w:name w:val="Footnote Text Char"/>
    <w:basedOn w:val="DefaultParagraphFont"/>
    <w:link w:val="FootnoteText"/>
    <w:uiPriority w:val="99"/>
    <w:rsid w:val="003B7CFF"/>
    <w:rPr>
      <w:rFonts w:ascii="Times New Roman" w:eastAsia="Times New Roman" w:hAnsi="Times New Roman" w:cs="Times New Roman"/>
      <w:sz w:val="20"/>
      <w:szCs w:val="20"/>
      <w:lang w:val="en-GB"/>
    </w:rPr>
  </w:style>
  <w:style w:type="character" w:styleId="FootnoteReference">
    <w:name w:val="footnote reference"/>
    <w:uiPriority w:val="99"/>
    <w:rsid w:val="003B7CFF"/>
    <w:rPr>
      <w:vertAlign w:val="superscript"/>
    </w:rPr>
  </w:style>
  <w:style w:type="paragraph" w:styleId="ListBullet">
    <w:name w:val="List Bullet"/>
    <w:uiPriority w:val="9"/>
    <w:qFormat/>
    <w:rsid w:val="003B7CFF"/>
    <w:pPr>
      <w:numPr>
        <w:numId w:val="21"/>
      </w:numPr>
      <w:spacing w:before="60" w:after="60" w:line="240" w:lineRule="auto"/>
    </w:pPr>
    <w:rPr>
      <w:rFonts w:ascii="Times New Roman" w:eastAsia="Times New Roman" w:hAnsi="Times New Roman" w:cs="Times New Roman"/>
      <w:sz w:val="24"/>
      <w:szCs w:val="20"/>
      <w:lang w:val="en-GB"/>
    </w:rPr>
  </w:style>
  <w:style w:type="character" w:styleId="Hyperlink">
    <w:name w:val="Hyperlink"/>
    <w:uiPriority w:val="99"/>
    <w:rsid w:val="003B7CFF"/>
    <w:rPr>
      <w:color w:val="0000FF"/>
      <w:u w:val="none"/>
    </w:rPr>
  </w:style>
  <w:style w:type="table" w:styleId="LightGrid">
    <w:name w:val="Light Grid"/>
    <w:basedOn w:val="TableNormal"/>
    <w:uiPriority w:val="62"/>
    <w:rsid w:val="001A39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basedOn w:val="Header"/>
    <w:link w:val="FooterChar"/>
    <w:rsid w:val="003B7CFF"/>
  </w:style>
  <w:style w:type="character" w:customStyle="1" w:styleId="FooterChar">
    <w:name w:val="Footer Char"/>
    <w:basedOn w:val="DefaultParagraphFont"/>
    <w:link w:val="Footer"/>
    <w:rsid w:val="003B7CFF"/>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69"/>
    <w:semiHidden/>
    <w:rsid w:val="003B7CFF"/>
    <w:rPr>
      <w:rFonts w:ascii="Arial Narrow" w:hAnsi="Arial Narrow" w:cs="Tahoma"/>
      <w:sz w:val="18"/>
      <w:szCs w:val="16"/>
    </w:rPr>
  </w:style>
  <w:style w:type="character" w:customStyle="1" w:styleId="BalloonTextChar">
    <w:name w:val="Balloon Text Char"/>
    <w:basedOn w:val="DefaultParagraphFont"/>
    <w:link w:val="BalloonText"/>
    <w:uiPriority w:val="69"/>
    <w:semiHidden/>
    <w:rsid w:val="003B7CFF"/>
    <w:rPr>
      <w:rFonts w:ascii="Arial Narrow" w:eastAsia="Times New Roman" w:hAnsi="Arial Narrow" w:cs="Tahoma"/>
      <w:sz w:val="18"/>
      <w:szCs w:val="16"/>
      <w:lang w:val="en-GB"/>
    </w:rPr>
  </w:style>
  <w:style w:type="paragraph" w:customStyle="1" w:styleId="AppendixNumeric">
    <w:name w:val="Appendix Numeric"/>
    <w:next w:val="Paragraph"/>
    <w:uiPriority w:val="20"/>
    <w:qFormat/>
    <w:rsid w:val="003B7CFF"/>
    <w:pPr>
      <w:pageBreakBefore/>
      <w:numPr>
        <w:numId w:val="11"/>
      </w:numPr>
      <w:spacing w:after="160" w:line="240" w:lineRule="auto"/>
    </w:pPr>
    <w:rPr>
      <w:rFonts w:ascii="Times New Roman" w:eastAsia="Times New Roman" w:hAnsi="Times New Roman" w:cs="Arial"/>
      <w:b/>
      <w:iCs/>
      <w:snapToGrid w:val="0"/>
      <w:sz w:val="28"/>
      <w:szCs w:val="26"/>
      <w:lang w:val="sv-SE"/>
    </w:rPr>
  </w:style>
  <w:style w:type="paragraph" w:customStyle="1" w:styleId="AppendixAlpha">
    <w:name w:val="Appendix Alpha"/>
    <w:basedOn w:val="AppendixNumeric"/>
    <w:next w:val="Paragraph"/>
    <w:uiPriority w:val="21"/>
    <w:qFormat/>
    <w:rsid w:val="003B7CFF"/>
    <w:pPr>
      <w:keepNext/>
      <w:keepLines/>
      <w:numPr>
        <w:numId w:val="12"/>
      </w:numPr>
    </w:pPr>
  </w:style>
  <w:style w:type="table" w:styleId="PlainTable1">
    <w:name w:val="Plain Table 1"/>
    <w:basedOn w:val="TableNormal"/>
    <w:uiPriority w:val="41"/>
    <w:rsid w:val="00EE3AC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E3AC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Approval">
    <w:name w:val="Approval"/>
    <w:basedOn w:val="Paragraph"/>
    <w:uiPriority w:val="24"/>
    <w:rsid w:val="003B7CFF"/>
  </w:style>
  <w:style w:type="paragraph" w:styleId="BodyText">
    <w:name w:val="Body Text"/>
    <w:basedOn w:val="Normal"/>
    <w:link w:val="BodyTextChar"/>
    <w:uiPriority w:val="69"/>
    <w:semiHidden/>
    <w:rsid w:val="003B7CFF"/>
    <w:pPr>
      <w:spacing w:after="120"/>
    </w:pPr>
  </w:style>
  <w:style w:type="character" w:customStyle="1" w:styleId="BodyTextChar">
    <w:name w:val="Body Text Char"/>
    <w:basedOn w:val="DefaultParagraphFont"/>
    <w:link w:val="BodyText"/>
    <w:uiPriority w:val="69"/>
    <w:semiHidden/>
    <w:rsid w:val="003B7CFF"/>
    <w:rPr>
      <w:rFonts w:ascii="Times New Roman" w:eastAsia="Times New Roman" w:hAnsi="Times New Roman" w:cs="Times New Roman"/>
      <w:sz w:val="24"/>
      <w:szCs w:val="24"/>
      <w:lang w:val="en-GB"/>
    </w:rPr>
  </w:style>
  <w:style w:type="paragraph" w:styleId="BodyText2">
    <w:name w:val="Body Text 2"/>
    <w:basedOn w:val="Normal"/>
    <w:link w:val="BodyText2Char"/>
    <w:uiPriority w:val="69"/>
    <w:semiHidden/>
    <w:rsid w:val="003B7CFF"/>
    <w:pPr>
      <w:spacing w:after="120" w:line="480" w:lineRule="auto"/>
    </w:pPr>
  </w:style>
  <w:style w:type="character" w:customStyle="1" w:styleId="BodyText2Char">
    <w:name w:val="Body Text 2 Char"/>
    <w:basedOn w:val="DefaultParagraphFont"/>
    <w:link w:val="BodyText2"/>
    <w:uiPriority w:val="69"/>
    <w:semiHidden/>
    <w:rsid w:val="003B7CFF"/>
    <w:rPr>
      <w:rFonts w:ascii="Times New Roman" w:eastAsia="Times New Roman" w:hAnsi="Times New Roman" w:cs="Times New Roman"/>
      <w:sz w:val="24"/>
      <w:szCs w:val="24"/>
      <w:lang w:val="en-GB"/>
    </w:rPr>
  </w:style>
  <w:style w:type="paragraph" w:styleId="BodyText3">
    <w:name w:val="Body Text 3"/>
    <w:basedOn w:val="Normal"/>
    <w:link w:val="BodyText3Char"/>
    <w:uiPriority w:val="69"/>
    <w:semiHidden/>
    <w:rsid w:val="003B7CFF"/>
    <w:pPr>
      <w:spacing w:after="120"/>
    </w:pPr>
    <w:rPr>
      <w:sz w:val="16"/>
      <w:szCs w:val="16"/>
    </w:rPr>
  </w:style>
  <w:style w:type="character" w:customStyle="1" w:styleId="BodyText3Char">
    <w:name w:val="Body Text 3 Char"/>
    <w:basedOn w:val="DefaultParagraphFont"/>
    <w:link w:val="BodyText3"/>
    <w:uiPriority w:val="69"/>
    <w:semiHidden/>
    <w:rsid w:val="003B7CFF"/>
    <w:rPr>
      <w:rFonts w:ascii="Times New Roman" w:eastAsia="Times New Roman" w:hAnsi="Times New Roman" w:cs="Times New Roman"/>
      <w:sz w:val="16"/>
      <w:szCs w:val="16"/>
      <w:lang w:val="en-GB"/>
    </w:rPr>
  </w:style>
  <w:style w:type="paragraph" w:styleId="BodyTextFirstIndent">
    <w:name w:val="Body Text First Indent"/>
    <w:basedOn w:val="BodyText"/>
    <w:link w:val="BodyTextFirstIndentChar"/>
    <w:uiPriority w:val="69"/>
    <w:semiHidden/>
    <w:rsid w:val="003B7CFF"/>
    <w:pPr>
      <w:ind w:firstLine="210"/>
    </w:pPr>
  </w:style>
  <w:style w:type="character" w:customStyle="1" w:styleId="BodyTextFirstIndentChar">
    <w:name w:val="Body Text First Indent Char"/>
    <w:basedOn w:val="BodyTextChar"/>
    <w:link w:val="BodyTextFirstIndent"/>
    <w:uiPriority w:val="69"/>
    <w:semiHidden/>
    <w:rsid w:val="003B7CFF"/>
    <w:rPr>
      <w:rFonts w:ascii="Times New Roman" w:eastAsia="Times New Roman" w:hAnsi="Times New Roman" w:cs="Times New Roman"/>
      <w:sz w:val="24"/>
      <w:szCs w:val="24"/>
      <w:lang w:val="en-GB"/>
    </w:rPr>
  </w:style>
  <w:style w:type="paragraph" w:styleId="BodyTextIndent">
    <w:name w:val="Body Text Indent"/>
    <w:basedOn w:val="Normal"/>
    <w:link w:val="BodyTextIndentChar"/>
    <w:uiPriority w:val="69"/>
    <w:semiHidden/>
    <w:rsid w:val="003B7CFF"/>
    <w:pPr>
      <w:spacing w:after="120"/>
      <w:ind w:left="360"/>
    </w:pPr>
  </w:style>
  <w:style w:type="character" w:customStyle="1" w:styleId="BodyTextIndentChar">
    <w:name w:val="Body Text Indent Char"/>
    <w:basedOn w:val="DefaultParagraphFont"/>
    <w:link w:val="BodyTextIndent"/>
    <w:uiPriority w:val="69"/>
    <w:semiHidden/>
    <w:rsid w:val="003B7CFF"/>
    <w:rPr>
      <w:rFonts w:ascii="Times New Roman" w:eastAsia="Times New Roman" w:hAnsi="Times New Roman" w:cs="Times New Roman"/>
      <w:sz w:val="24"/>
      <w:szCs w:val="24"/>
      <w:lang w:val="en-GB"/>
    </w:rPr>
  </w:style>
  <w:style w:type="paragraph" w:styleId="BodyTextFirstIndent2">
    <w:name w:val="Body Text First Indent 2"/>
    <w:basedOn w:val="BodyTextIndent"/>
    <w:link w:val="BodyTextFirstIndent2Char"/>
    <w:uiPriority w:val="69"/>
    <w:semiHidden/>
    <w:rsid w:val="003B7CFF"/>
    <w:pPr>
      <w:ind w:firstLine="210"/>
    </w:pPr>
  </w:style>
  <w:style w:type="character" w:customStyle="1" w:styleId="BodyTextFirstIndent2Char">
    <w:name w:val="Body Text First Indent 2 Char"/>
    <w:basedOn w:val="BodyTextIndentChar"/>
    <w:link w:val="BodyTextFirstIndent2"/>
    <w:uiPriority w:val="69"/>
    <w:semiHidden/>
    <w:rsid w:val="003B7CFF"/>
    <w:rPr>
      <w:rFonts w:ascii="Times New Roman" w:eastAsia="Times New Roman" w:hAnsi="Times New Roman" w:cs="Times New Roman"/>
      <w:sz w:val="24"/>
      <w:szCs w:val="24"/>
      <w:lang w:val="en-GB"/>
    </w:rPr>
  </w:style>
  <w:style w:type="paragraph" w:styleId="BodyTextIndent2">
    <w:name w:val="Body Text Indent 2"/>
    <w:basedOn w:val="Normal"/>
    <w:link w:val="BodyTextIndent2Char"/>
    <w:uiPriority w:val="69"/>
    <w:semiHidden/>
    <w:rsid w:val="003B7CFF"/>
    <w:pPr>
      <w:spacing w:after="120" w:line="480" w:lineRule="auto"/>
      <w:ind w:left="360"/>
    </w:pPr>
  </w:style>
  <w:style w:type="character" w:customStyle="1" w:styleId="BodyTextIndent2Char">
    <w:name w:val="Body Text Indent 2 Char"/>
    <w:basedOn w:val="DefaultParagraphFont"/>
    <w:link w:val="BodyTextIndent2"/>
    <w:uiPriority w:val="69"/>
    <w:semiHidden/>
    <w:rsid w:val="003B7CFF"/>
    <w:rPr>
      <w:rFonts w:ascii="Times New Roman" w:eastAsia="Times New Roman" w:hAnsi="Times New Roman" w:cs="Times New Roman"/>
      <w:sz w:val="24"/>
      <w:szCs w:val="24"/>
      <w:lang w:val="en-GB"/>
    </w:rPr>
  </w:style>
  <w:style w:type="paragraph" w:styleId="BodyTextIndent3">
    <w:name w:val="Body Text Indent 3"/>
    <w:basedOn w:val="Normal"/>
    <w:link w:val="BodyTextIndent3Char"/>
    <w:uiPriority w:val="69"/>
    <w:semiHidden/>
    <w:rsid w:val="003B7CFF"/>
    <w:pPr>
      <w:spacing w:after="120"/>
      <w:ind w:left="360"/>
    </w:pPr>
    <w:rPr>
      <w:sz w:val="16"/>
      <w:szCs w:val="16"/>
    </w:rPr>
  </w:style>
  <w:style w:type="character" w:customStyle="1" w:styleId="BodyTextIndent3Char">
    <w:name w:val="Body Text Indent 3 Char"/>
    <w:basedOn w:val="DefaultParagraphFont"/>
    <w:link w:val="BodyTextIndent3"/>
    <w:uiPriority w:val="69"/>
    <w:semiHidden/>
    <w:rsid w:val="003B7CFF"/>
    <w:rPr>
      <w:rFonts w:ascii="Times New Roman" w:eastAsia="Times New Roman" w:hAnsi="Times New Roman" w:cs="Times New Roman"/>
      <w:sz w:val="16"/>
      <w:szCs w:val="16"/>
      <w:lang w:val="en-GB"/>
    </w:rPr>
  </w:style>
  <w:style w:type="numbering" w:styleId="111111">
    <w:name w:val="Outline List 2"/>
    <w:basedOn w:val="NoList"/>
    <w:uiPriority w:val="99"/>
    <w:semiHidden/>
    <w:unhideWhenUsed/>
    <w:rsid w:val="003B7CFF"/>
    <w:pPr>
      <w:numPr>
        <w:numId w:val="23"/>
      </w:numPr>
    </w:pPr>
  </w:style>
  <w:style w:type="numbering" w:styleId="1ai">
    <w:name w:val="Outline List 1"/>
    <w:basedOn w:val="NoList"/>
    <w:uiPriority w:val="99"/>
    <w:semiHidden/>
    <w:unhideWhenUsed/>
    <w:rsid w:val="003B7CFF"/>
    <w:pPr>
      <w:numPr>
        <w:numId w:val="24"/>
      </w:numPr>
    </w:pPr>
  </w:style>
  <w:style w:type="numbering" w:styleId="ArticleSection">
    <w:name w:val="Outline List 3"/>
    <w:basedOn w:val="NoList"/>
    <w:uiPriority w:val="99"/>
    <w:semiHidden/>
    <w:unhideWhenUsed/>
    <w:rsid w:val="003B7CFF"/>
    <w:pPr>
      <w:numPr>
        <w:numId w:val="25"/>
      </w:numPr>
    </w:pPr>
  </w:style>
  <w:style w:type="paragraph" w:styleId="Closing">
    <w:name w:val="Closing"/>
    <w:basedOn w:val="Normal"/>
    <w:link w:val="ClosingChar"/>
    <w:uiPriority w:val="69"/>
    <w:semiHidden/>
    <w:rsid w:val="003B7CFF"/>
    <w:pPr>
      <w:ind w:left="4320"/>
    </w:pPr>
  </w:style>
  <w:style w:type="character" w:customStyle="1" w:styleId="ClosingChar">
    <w:name w:val="Closing Char"/>
    <w:basedOn w:val="DefaultParagraphFont"/>
    <w:link w:val="Closing"/>
    <w:uiPriority w:val="69"/>
    <w:semiHidden/>
    <w:rsid w:val="003B7CFF"/>
    <w:rPr>
      <w:rFonts w:ascii="Times New Roman" w:eastAsia="Times New Roman" w:hAnsi="Times New Roman" w:cs="Times New Roman"/>
      <w:sz w:val="24"/>
      <w:szCs w:val="24"/>
      <w:lang w:val="en-GB"/>
    </w:rPr>
  </w:style>
  <w:style w:type="paragraph" w:styleId="CommentSubject">
    <w:name w:val="annotation subject"/>
    <w:basedOn w:val="CommentText"/>
    <w:next w:val="CommentText"/>
    <w:link w:val="CommentSubjectChar"/>
    <w:uiPriority w:val="69"/>
    <w:semiHidden/>
    <w:rsid w:val="003B7CFF"/>
    <w:rPr>
      <w:b/>
      <w:bCs/>
    </w:rPr>
  </w:style>
  <w:style w:type="character" w:customStyle="1" w:styleId="CommentSubjectChar">
    <w:name w:val="Comment Subject Char"/>
    <w:basedOn w:val="CommentTextChar"/>
    <w:link w:val="CommentSubject"/>
    <w:uiPriority w:val="69"/>
    <w:semiHidden/>
    <w:rsid w:val="003B7CFF"/>
    <w:rPr>
      <w:rFonts w:ascii="Times New Roman" w:eastAsia="Times New Roman" w:hAnsi="Times New Roman" w:cs="Times New Roman"/>
      <w:b/>
      <w:bCs/>
      <w:sz w:val="20"/>
      <w:szCs w:val="20"/>
      <w:lang w:val="en-GB"/>
    </w:rPr>
  </w:style>
  <w:style w:type="paragraph" w:customStyle="1" w:styleId="Confidentiality">
    <w:name w:val="Confidentiality"/>
    <w:uiPriority w:val="24"/>
    <w:rsid w:val="003B7CFF"/>
    <w:pPr>
      <w:spacing w:after="0" w:line="240" w:lineRule="auto"/>
    </w:pPr>
    <w:rPr>
      <w:rFonts w:ascii="Times New Roman" w:eastAsia="Times New Roman" w:hAnsi="Times New Roman" w:cs="Times New Roman"/>
      <w:sz w:val="24"/>
      <w:szCs w:val="20"/>
      <w:lang w:val="en-GB"/>
    </w:rPr>
  </w:style>
  <w:style w:type="paragraph" w:styleId="Date">
    <w:name w:val="Date"/>
    <w:basedOn w:val="Normal"/>
    <w:next w:val="Normal"/>
    <w:link w:val="DateChar"/>
    <w:uiPriority w:val="69"/>
    <w:semiHidden/>
    <w:rsid w:val="003B7CFF"/>
  </w:style>
  <w:style w:type="character" w:customStyle="1" w:styleId="DateChar">
    <w:name w:val="Date Char"/>
    <w:basedOn w:val="DefaultParagraphFont"/>
    <w:link w:val="Date"/>
    <w:uiPriority w:val="69"/>
    <w:semiHidden/>
    <w:rsid w:val="003B7CFF"/>
    <w:rPr>
      <w:rFonts w:ascii="Times New Roman" w:eastAsia="Times New Roman" w:hAnsi="Times New Roman" w:cs="Times New Roman"/>
      <w:sz w:val="24"/>
      <w:szCs w:val="24"/>
      <w:lang w:val="en-GB"/>
    </w:rPr>
  </w:style>
  <w:style w:type="paragraph" w:styleId="DocumentMap">
    <w:name w:val="Document Map"/>
    <w:basedOn w:val="Normal"/>
    <w:link w:val="DocumentMapChar"/>
    <w:uiPriority w:val="69"/>
    <w:semiHidden/>
    <w:rsid w:val="003B7CFF"/>
    <w:pPr>
      <w:shd w:val="clear" w:color="auto" w:fill="000080"/>
    </w:pPr>
    <w:rPr>
      <w:rFonts w:ascii="Tahoma" w:hAnsi="Tahoma" w:cs="Tahoma"/>
    </w:rPr>
  </w:style>
  <w:style w:type="character" w:customStyle="1" w:styleId="DocumentMapChar">
    <w:name w:val="Document Map Char"/>
    <w:basedOn w:val="DefaultParagraphFont"/>
    <w:link w:val="DocumentMap"/>
    <w:uiPriority w:val="69"/>
    <w:semiHidden/>
    <w:rsid w:val="003B7CFF"/>
    <w:rPr>
      <w:rFonts w:ascii="Tahoma" w:eastAsia="Times New Roman" w:hAnsi="Tahoma" w:cs="Tahoma"/>
      <w:sz w:val="24"/>
      <w:szCs w:val="24"/>
      <w:shd w:val="clear" w:color="auto" w:fill="000080"/>
      <w:lang w:val="en-GB"/>
    </w:rPr>
  </w:style>
  <w:style w:type="paragraph" w:styleId="E-mailSignature">
    <w:name w:val="E-mail Signature"/>
    <w:basedOn w:val="Normal"/>
    <w:link w:val="E-mailSignatureChar"/>
    <w:uiPriority w:val="69"/>
    <w:semiHidden/>
    <w:rsid w:val="003B7CFF"/>
  </w:style>
  <w:style w:type="character" w:customStyle="1" w:styleId="E-mailSignatureChar">
    <w:name w:val="E-mail Signature Char"/>
    <w:basedOn w:val="DefaultParagraphFont"/>
    <w:link w:val="E-mailSignature"/>
    <w:uiPriority w:val="69"/>
    <w:semiHidden/>
    <w:rsid w:val="003B7CFF"/>
    <w:rPr>
      <w:rFonts w:ascii="Times New Roman" w:eastAsia="Times New Roman" w:hAnsi="Times New Roman" w:cs="Times New Roman"/>
      <w:sz w:val="24"/>
      <w:szCs w:val="24"/>
      <w:lang w:val="en-GB"/>
    </w:rPr>
  </w:style>
  <w:style w:type="character" w:styleId="Emphasis">
    <w:name w:val="Emphasis"/>
    <w:uiPriority w:val="69"/>
    <w:qFormat/>
    <w:rsid w:val="003B7CFF"/>
    <w:rPr>
      <w:i/>
      <w:iCs/>
    </w:rPr>
  </w:style>
  <w:style w:type="character" w:styleId="EndnoteReference">
    <w:name w:val="endnote reference"/>
    <w:uiPriority w:val="69"/>
    <w:semiHidden/>
    <w:rsid w:val="003B7CFF"/>
    <w:rPr>
      <w:vertAlign w:val="superscript"/>
    </w:rPr>
  </w:style>
  <w:style w:type="paragraph" w:styleId="EndnoteText">
    <w:name w:val="endnote text"/>
    <w:basedOn w:val="Normal"/>
    <w:link w:val="EndnoteTextChar"/>
    <w:uiPriority w:val="69"/>
    <w:semiHidden/>
    <w:rsid w:val="003B7CFF"/>
    <w:rPr>
      <w:sz w:val="20"/>
      <w:szCs w:val="20"/>
    </w:rPr>
  </w:style>
  <w:style w:type="character" w:customStyle="1" w:styleId="EndnoteTextChar">
    <w:name w:val="Endnote Text Char"/>
    <w:basedOn w:val="DefaultParagraphFont"/>
    <w:link w:val="EndnoteText"/>
    <w:uiPriority w:val="69"/>
    <w:semiHidden/>
    <w:rsid w:val="003B7CFF"/>
    <w:rPr>
      <w:rFonts w:ascii="Times New Roman" w:eastAsia="Times New Roman" w:hAnsi="Times New Roman" w:cs="Times New Roman"/>
      <w:sz w:val="20"/>
      <w:szCs w:val="20"/>
      <w:lang w:val="en-GB"/>
    </w:rPr>
  </w:style>
  <w:style w:type="paragraph" w:styleId="EnvelopeAddress">
    <w:name w:val="envelope address"/>
    <w:basedOn w:val="Normal"/>
    <w:uiPriority w:val="69"/>
    <w:semiHidden/>
    <w:rsid w:val="003B7CFF"/>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69"/>
    <w:semiHidden/>
    <w:rsid w:val="003B7CFF"/>
    <w:rPr>
      <w:rFonts w:ascii="Arial" w:hAnsi="Arial" w:cs="Arial"/>
      <w:sz w:val="20"/>
      <w:szCs w:val="20"/>
    </w:rPr>
  </w:style>
  <w:style w:type="paragraph" w:customStyle="1" w:styleId="Equation">
    <w:name w:val="Equation"/>
    <w:next w:val="Paragraph"/>
    <w:uiPriority w:val="19"/>
    <w:rsid w:val="003B7CFF"/>
    <w:pPr>
      <w:keepLines/>
      <w:spacing w:after="120" w:line="240" w:lineRule="auto"/>
      <w:jc w:val="center"/>
    </w:pPr>
    <w:rPr>
      <w:rFonts w:ascii="Times New Roman" w:eastAsia="Times New Roman" w:hAnsi="Times New Roman" w:cs="Times New Roman"/>
      <w:color w:val="000000"/>
      <w:sz w:val="24"/>
      <w:szCs w:val="24"/>
      <w:lang w:val="en-US"/>
    </w:rPr>
  </w:style>
  <w:style w:type="paragraph" w:customStyle="1" w:styleId="EquationTitle">
    <w:name w:val="Equation Title"/>
    <w:next w:val="Equation"/>
    <w:uiPriority w:val="19"/>
    <w:rsid w:val="003B7CFF"/>
    <w:pPr>
      <w:keepNext/>
      <w:keepLines/>
      <w:spacing w:after="120" w:line="240" w:lineRule="auto"/>
      <w:ind w:left="1134" w:hanging="1134"/>
    </w:pPr>
    <w:rPr>
      <w:rFonts w:ascii="Times New Roman" w:eastAsia="Times New Roman" w:hAnsi="Times New Roman" w:cs="Times New Roman"/>
      <w:b/>
      <w:color w:val="000000"/>
      <w:sz w:val="24"/>
      <w:szCs w:val="24"/>
      <w:lang w:val="en-US"/>
    </w:rPr>
  </w:style>
  <w:style w:type="paragraph" w:customStyle="1" w:styleId="Figure">
    <w:name w:val="Figure"/>
    <w:next w:val="Paragraph"/>
    <w:uiPriority w:val="17"/>
    <w:rsid w:val="003B7CFF"/>
    <w:pPr>
      <w:spacing w:after="240" w:line="240" w:lineRule="auto"/>
      <w:jc w:val="center"/>
    </w:pPr>
    <w:rPr>
      <w:rFonts w:ascii="Times New Roman" w:eastAsia="Times New Roman" w:hAnsi="Times New Roman" w:cs="Times New Roman"/>
      <w:sz w:val="24"/>
      <w:szCs w:val="20"/>
      <w:lang w:val="en-GB"/>
    </w:rPr>
  </w:style>
  <w:style w:type="paragraph" w:customStyle="1" w:styleId="FigureEndofTextTitle">
    <w:name w:val="Figure End of Text Title"/>
    <w:next w:val="Figure"/>
    <w:uiPriority w:val="18"/>
    <w:rsid w:val="003B7CFF"/>
    <w:pPr>
      <w:spacing w:after="120" w:line="240" w:lineRule="auto"/>
    </w:pPr>
    <w:rPr>
      <w:rFonts w:ascii="Times New Roman" w:eastAsia="Times New Roman" w:hAnsi="Times New Roman" w:cs="Arial"/>
      <w:b/>
      <w:bCs/>
      <w:iCs/>
      <w:sz w:val="24"/>
      <w:szCs w:val="48"/>
      <w:lang w:val="en-GB"/>
    </w:rPr>
  </w:style>
  <w:style w:type="paragraph" w:customStyle="1" w:styleId="TableTitle">
    <w:name w:val="Table Title"/>
    <w:next w:val="Paragraph"/>
    <w:uiPriority w:val="10"/>
    <w:qFormat/>
    <w:rsid w:val="003B7CFF"/>
    <w:pPr>
      <w:keepNext/>
      <w:keepLines/>
      <w:tabs>
        <w:tab w:val="left" w:pos="1701"/>
      </w:tabs>
      <w:spacing w:after="120" w:line="240" w:lineRule="auto"/>
      <w:ind w:left="1701" w:hanging="1701"/>
    </w:pPr>
    <w:rPr>
      <w:rFonts w:ascii="Times New Roman" w:eastAsia="Times New Roman" w:hAnsi="Times New Roman" w:cs="Times New Roman"/>
      <w:b/>
      <w:color w:val="000000"/>
      <w:sz w:val="24"/>
      <w:szCs w:val="24"/>
      <w:lang w:val="en-GB"/>
    </w:rPr>
  </w:style>
  <w:style w:type="paragraph" w:customStyle="1" w:styleId="FigureTitle">
    <w:name w:val="Figure Title"/>
    <w:basedOn w:val="TableTitle"/>
    <w:next w:val="Figure"/>
    <w:uiPriority w:val="17"/>
    <w:qFormat/>
    <w:rsid w:val="003B7CFF"/>
  </w:style>
  <w:style w:type="paragraph" w:customStyle="1" w:styleId="FigureSummaryTitle">
    <w:name w:val="Figure Summary Title"/>
    <w:basedOn w:val="FigureTitle"/>
    <w:next w:val="Paragraph"/>
    <w:uiPriority w:val="99"/>
    <w:semiHidden/>
    <w:rsid w:val="003B7CFF"/>
  </w:style>
  <w:style w:type="character" w:styleId="FollowedHyperlink">
    <w:name w:val="FollowedHyperlink"/>
    <w:uiPriority w:val="99"/>
    <w:semiHidden/>
    <w:rsid w:val="003B7CFF"/>
    <w:rPr>
      <w:color w:val="800080"/>
      <w:u w:val="single"/>
    </w:rPr>
  </w:style>
  <w:style w:type="paragraph" w:styleId="Header">
    <w:name w:val="header"/>
    <w:link w:val="HeaderChar"/>
    <w:uiPriority w:val="99"/>
    <w:rsid w:val="003B7CFF"/>
    <w:pPr>
      <w:spacing w:after="0" w:line="240" w:lineRule="auto"/>
    </w:pPr>
    <w:rPr>
      <w:rFonts w:ascii="Times New Roman" w:eastAsia="Times New Roman" w:hAnsi="Times New Roman" w:cs="Times New Roman"/>
      <w:sz w:val="20"/>
      <w:szCs w:val="20"/>
      <w:lang w:val="en-GB"/>
    </w:rPr>
  </w:style>
  <w:style w:type="character" w:customStyle="1" w:styleId="HeaderChar">
    <w:name w:val="Header Char"/>
    <w:basedOn w:val="DefaultParagraphFont"/>
    <w:link w:val="Header"/>
    <w:uiPriority w:val="99"/>
    <w:rsid w:val="003B7CFF"/>
    <w:rPr>
      <w:rFonts w:ascii="Times New Roman" w:eastAsia="Times New Roman" w:hAnsi="Times New Roman" w:cs="Times New Roman"/>
      <w:sz w:val="20"/>
      <w:szCs w:val="20"/>
      <w:lang w:val="en-GB"/>
    </w:rPr>
  </w:style>
  <w:style w:type="paragraph" w:customStyle="1" w:styleId="Heading1NoTOC">
    <w:name w:val="Heading 1 No TOC"/>
    <w:basedOn w:val="Heading1"/>
    <w:next w:val="Paragraph"/>
    <w:uiPriority w:val="6"/>
    <w:qFormat/>
    <w:rsid w:val="003B7CFF"/>
    <w:pPr>
      <w:numPr>
        <w:numId w:val="0"/>
      </w:numPr>
      <w:outlineLvl w:val="9"/>
    </w:pPr>
    <w:rPr>
      <w:rFonts w:ascii="Times New Roman Bold" w:hAnsi="Times New Roman Bold"/>
      <w:bCs w:val="0"/>
      <w:szCs w:val="48"/>
    </w:rPr>
  </w:style>
  <w:style w:type="paragraph" w:customStyle="1" w:styleId="Heading1Unnumbered">
    <w:name w:val="Heading 1 Unnumbered"/>
    <w:basedOn w:val="Heading1"/>
    <w:next w:val="Paragraph"/>
    <w:uiPriority w:val="5"/>
    <w:qFormat/>
    <w:rsid w:val="003B7CFF"/>
    <w:pPr>
      <w:numPr>
        <w:numId w:val="0"/>
      </w:numPr>
      <w:tabs>
        <w:tab w:val="left" w:pos="0"/>
        <w:tab w:val="left" w:pos="1134"/>
      </w:tabs>
      <w:outlineLvl w:val="4"/>
    </w:pPr>
    <w:rPr>
      <w:szCs w:val="48"/>
    </w:rPr>
  </w:style>
  <w:style w:type="paragraph" w:customStyle="1" w:styleId="Heading2NoTOC">
    <w:name w:val="Heading 2 No TOC"/>
    <w:basedOn w:val="Heading2"/>
    <w:next w:val="Paragraph"/>
    <w:uiPriority w:val="6"/>
    <w:qFormat/>
    <w:rsid w:val="003B7CFF"/>
    <w:pPr>
      <w:numPr>
        <w:ilvl w:val="0"/>
        <w:numId w:val="0"/>
      </w:numPr>
      <w:outlineLvl w:val="9"/>
    </w:pPr>
  </w:style>
  <w:style w:type="paragraph" w:customStyle="1" w:styleId="Heading2Unnumbered">
    <w:name w:val="Heading 2 Unnumbered"/>
    <w:basedOn w:val="Heading2"/>
    <w:next w:val="Paragraph"/>
    <w:uiPriority w:val="5"/>
    <w:qFormat/>
    <w:rsid w:val="003B7CFF"/>
    <w:pPr>
      <w:numPr>
        <w:ilvl w:val="0"/>
        <w:numId w:val="0"/>
      </w:numPr>
      <w:tabs>
        <w:tab w:val="left" w:pos="1134"/>
      </w:tabs>
      <w:outlineLvl w:val="5"/>
    </w:pPr>
  </w:style>
  <w:style w:type="paragraph" w:customStyle="1" w:styleId="Heading3NoTOC">
    <w:name w:val="Heading 3 No TOC"/>
    <w:basedOn w:val="Heading3"/>
    <w:next w:val="Paragraph"/>
    <w:uiPriority w:val="6"/>
    <w:qFormat/>
    <w:rsid w:val="003B7CFF"/>
    <w:pPr>
      <w:numPr>
        <w:ilvl w:val="0"/>
        <w:numId w:val="0"/>
      </w:numPr>
      <w:outlineLvl w:val="9"/>
    </w:pPr>
    <w:rPr>
      <w:sz w:val="24"/>
      <w:u w:val="single"/>
    </w:rPr>
  </w:style>
  <w:style w:type="paragraph" w:customStyle="1" w:styleId="Heading3Unnumbered">
    <w:name w:val="Heading 3 Unnumbered"/>
    <w:basedOn w:val="Heading3"/>
    <w:next w:val="Paragraph"/>
    <w:uiPriority w:val="5"/>
    <w:qFormat/>
    <w:rsid w:val="00EC60F8"/>
    <w:pPr>
      <w:numPr>
        <w:ilvl w:val="0"/>
        <w:numId w:val="0"/>
      </w:numPr>
      <w:tabs>
        <w:tab w:val="left" w:pos="1134"/>
      </w:tabs>
      <w:outlineLvl w:val="5"/>
    </w:pPr>
    <w:rPr>
      <w:sz w:val="24"/>
    </w:rPr>
  </w:style>
  <w:style w:type="paragraph" w:customStyle="1" w:styleId="Heading4NoTOC">
    <w:name w:val="Heading 4 No TOC"/>
    <w:basedOn w:val="Heading4"/>
    <w:next w:val="Paragraph"/>
    <w:uiPriority w:val="6"/>
    <w:qFormat/>
    <w:rsid w:val="003B7CFF"/>
    <w:pPr>
      <w:numPr>
        <w:ilvl w:val="0"/>
        <w:numId w:val="0"/>
      </w:numPr>
      <w:outlineLvl w:val="9"/>
    </w:pPr>
    <w:rPr>
      <w:b w:val="0"/>
      <w:u w:val="single"/>
    </w:rPr>
  </w:style>
  <w:style w:type="paragraph" w:customStyle="1" w:styleId="Heading4Unnumbered">
    <w:name w:val="Heading 4 Unnumbered"/>
    <w:basedOn w:val="Heading4"/>
    <w:next w:val="Paragraph"/>
    <w:uiPriority w:val="5"/>
    <w:qFormat/>
    <w:rsid w:val="003B7CFF"/>
    <w:pPr>
      <w:numPr>
        <w:ilvl w:val="0"/>
        <w:numId w:val="0"/>
      </w:numPr>
      <w:tabs>
        <w:tab w:val="left" w:pos="1134"/>
      </w:tabs>
      <w:outlineLvl w:val="6"/>
    </w:pPr>
    <w:rPr>
      <w:i/>
    </w:rPr>
  </w:style>
  <w:style w:type="paragraph" w:styleId="Bibliography">
    <w:name w:val="Bibliography"/>
    <w:basedOn w:val="Normal"/>
    <w:next w:val="Normal"/>
    <w:uiPriority w:val="37"/>
    <w:semiHidden/>
    <w:unhideWhenUsed/>
    <w:rsid w:val="003B7CFF"/>
  </w:style>
  <w:style w:type="paragraph" w:styleId="BlockText">
    <w:name w:val="Block Text"/>
    <w:basedOn w:val="Normal"/>
    <w:uiPriority w:val="99"/>
    <w:semiHidden/>
    <w:unhideWhenUsed/>
    <w:rsid w:val="003B7CFF"/>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Caption">
    <w:name w:val="caption"/>
    <w:basedOn w:val="TableTitle"/>
    <w:next w:val="Normal"/>
    <w:uiPriority w:val="49"/>
    <w:unhideWhenUsed/>
    <w:qFormat/>
    <w:rsid w:val="003B7CFF"/>
    <w:pPr>
      <w:spacing w:after="0"/>
    </w:pPr>
    <w:rPr>
      <w:rFonts w:ascii="Times New Roman Bold" w:hAnsi="Times New Roman Bold"/>
      <w:iCs/>
      <w:color w:val="auto"/>
      <w:szCs w:val="18"/>
    </w:rPr>
  </w:style>
  <w:style w:type="character" w:styleId="HTMLAcronym">
    <w:name w:val="HTML Acronym"/>
    <w:basedOn w:val="DefaultParagraphFont"/>
    <w:uiPriority w:val="99"/>
    <w:semiHidden/>
    <w:rsid w:val="003B7CFF"/>
  </w:style>
  <w:style w:type="paragraph" w:styleId="HTMLAddress">
    <w:name w:val="HTML Address"/>
    <w:basedOn w:val="Normal"/>
    <w:link w:val="HTMLAddressChar"/>
    <w:uiPriority w:val="99"/>
    <w:semiHidden/>
    <w:rsid w:val="003B7CFF"/>
    <w:rPr>
      <w:i/>
      <w:iCs/>
    </w:rPr>
  </w:style>
  <w:style w:type="character" w:customStyle="1" w:styleId="HTMLAddressChar">
    <w:name w:val="HTML Address Char"/>
    <w:basedOn w:val="DefaultParagraphFont"/>
    <w:link w:val="HTMLAddress"/>
    <w:uiPriority w:val="99"/>
    <w:semiHidden/>
    <w:rsid w:val="003B7CFF"/>
    <w:rPr>
      <w:rFonts w:ascii="Times New Roman" w:eastAsia="Times New Roman" w:hAnsi="Times New Roman" w:cs="Times New Roman"/>
      <w:i/>
      <w:iCs/>
      <w:sz w:val="24"/>
      <w:szCs w:val="24"/>
      <w:lang w:val="en-GB"/>
    </w:rPr>
  </w:style>
  <w:style w:type="character" w:styleId="HTMLCite">
    <w:name w:val="HTML Cite"/>
    <w:uiPriority w:val="99"/>
    <w:semiHidden/>
    <w:rsid w:val="003B7CFF"/>
    <w:rPr>
      <w:i/>
      <w:iCs/>
    </w:rPr>
  </w:style>
  <w:style w:type="character" w:styleId="HTMLCode">
    <w:name w:val="HTML Code"/>
    <w:uiPriority w:val="99"/>
    <w:semiHidden/>
    <w:rsid w:val="003B7CFF"/>
    <w:rPr>
      <w:rFonts w:ascii="Courier New" w:hAnsi="Courier New" w:cs="Courier New"/>
      <w:sz w:val="20"/>
      <w:szCs w:val="20"/>
    </w:rPr>
  </w:style>
  <w:style w:type="character" w:styleId="HTMLDefinition">
    <w:name w:val="HTML Definition"/>
    <w:uiPriority w:val="99"/>
    <w:semiHidden/>
    <w:rsid w:val="003B7CFF"/>
    <w:rPr>
      <w:i/>
      <w:iCs/>
    </w:rPr>
  </w:style>
  <w:style w:type="character" w:styleId="HTMLKeyboard">
    <w:name w:val="HTML Keyboard"/>
    <w:uiPriority w:val="99"/>
    <w:semiHidden/>
    <w:rsid w:val="003B7CFF"/>
    <w:rPr>
      <w:rFonts w:ascii="Courier New" w:hAnsi="Courier New" w:cs="Courier New"/>
      <w:sz w:val="20"/>
      <w:szCs w:val="20"/>
    </w:rPr>
  </w:style>
  <w:style w:type="paragraph" w:styleId="HTMLPreformatted">
    <w:name w:val="HTML Preformatted"/>
    <w:basedOn w:val="Normal"/>
    <w:link w:val="HTMLPreformattedChar"/>
    <w:uiPriority w:val="99"/>
    <w:semiHidden/>
    <w:rsid w:val="003B7CFF"/>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3B7CFF"/>
    <w:rPr>
      <w:rFonts w:ascii="Courier New" w:eastAsia="Times New Roman" w:hAnsi="Courier New" w:cs="Courier New"/>
      <w:sz w:val="20"/>
      <w:szCs w:val="20"/>
      <w:lang w:val="en-GB"/>
    </w:rPr>
  </w:style>
  <w:style w:type="character" w:styleId="HTMLSample">
    <w:name w:val="HTML Sample"/>
    <w:uiPriority w:val="99"/>
    <w:semiHidden/>
    <w:rsid w:val="003B7CFF"/>
    <w:rPr>
      <w:rFonts w:ascii="Courier New" w:hAnsi="Courier New" w:cs="Courier New"/>
    </w:rPr>
  </w:style>
  <w:style w:type="character" w:styleId="HTMLTypewriter">
    <w:name w:val="HTML Typewriter"/>
    <w:uiPriority w:val="99"/>
    <w:semiHidden/>
    <w:rsid w:val="003B7CFF"/>
    <w:rPr>
      <w:rFonts w:ascii="Courier New" w:hAnsi="Courier New" w:cs="Courier New"/>
      <w:sz w:val="20"/>
      <w:szCs w:val="20"/>
    </w:rPr>
  </w:style>
  <w:style w:type="character" w:styleId="HTMLVariable">
    <w:name w:val="HTML Variable"/>
    <w:uiPriority w:val="99"/>
    <w:semiHidden/>
    <w:rsid w:val="003B7CFF"/>
    <w:rPr>
      <w:i/>
      <w:iCs/>
    </w:rPr>
  </w:style>
  <w:style w:type="paragraph" w:styleId="Index1">
    <w:name w:val="index 1"/>
    <w:basedOn w:val="Normal"/>
    <w:next w:val="Normal"/>
    <w:uiPriority w:val="99"/>
    <w:semiHidden/>
    <w:rsid w:val="003B7CFF"/>
    <w:pPr>
      <w:ind w:left="240" w:hanging="240"/>
    </w:pPr>
  </w:style>
  <w:style w:type="paragraph" w:styleId="Index2">
    <w:name w:val="index 2"/>
    <w:basedOn w:val="Normal"/>
    <w:next w:val="Normal"/>
    <w:uiPriority w:val="99"/>
    <w:semiHidden/>
    <w:rsid w:val="003B7CFF"/>
    <w:pPr>
      <w:ind w:left="480" w:hanging="240"/>
    </w:pPr>
  </w:style>
  <w:style w:type="paragraph" w:styleId="Index3">
    <w:name w:val="index 3"/>
    <w:basedOn w:val="Normal"/>
    <w:next w:val="Normal"/>
    <w:uiPriority w:val="99"/>
    <w:semiHidden/>
    <w:rsid w:val="003B7CFF"/>
    <w:pPr>
      <w:ind w:left="720" w:hanging="240"/>
    </w:pPr>
  </w:style>
  <w:style w:type="paragraph" w:styleId="Index4">
    <w:name w:val="index 4"/>
    <w:basedOn w:val="Normal"/>
    <w:next w:val="Normal"/>
    <w:uiPriority w:val="99"/>
    <w:semiHidden/>
    <w:rsid w:val="003B7CFF"/>
    <w:pPr>
      <w:ind w:left="960" w:hanging="240"/>
    </w:pPr>
  </w:style>
  <w:style w:type="paragraph" w:styleId="Index5">
    <w:name w:val="index 5"/>
    <w:basedOn w:val="Normal"/>
    <w:next w:val="Normal"/>
    <w:uiPriority w:val="99"/>
    <w:semiHidden/>
    <w:rsid w:val="003B7CFF"/>
    <w:pPr>
      <w:ind w:left="1200" w:hanging="240"/>
    </w:pPr>
  </w:style>
  <w:style w:type="paragraph" w:styleId="Index6">
    <w:name w:val="index 6"/>
    <w:basedOn w:val="Normal"/>
    <w:next w:val="Normal"/>
    <w:uiPriority w:val="99"/>
    <w:semiHidden/>
    <w:rsid w:val="003B7CFF"/>
    <w:pPr>
      <w:ind w:left="1440" w:hanging="240"/>
    </w:pPr>
  </w:style>
  <w:style w:type="paragraph" w:styleId="Index7">
    <w:name w:val="index 7"/>
    <w:basedOn w:val="Normal"/>
    <w:next w:val="Normal"/>
    <w:uiPriority w:val="99"/>
    <w:semiHidden/>
    <w:rsid w:val="003B7CFF"/>
    <w:pPr>
      <w:ind w:left="1680" w:hanging="240"/>
    </w:pPr>
  </w:style>
  <w:style w:type="paragraph" w:styleId="Index8">
    <w:name w:val="index 8"/>
    <w:basedOn w:val="Normal"/>
    <w:next w:val="Normal"/>
    <w:uiPriority w:val="99"/>
    <w:semiHidden/>
    <w:rsid w:val="003B7CFF"/>
    <w:pPr>
      <w:ind w:left="1920" w:hanging="240"/>
    </w:pPr>
  </w:style>
  <w:style w:type="paragraph" w:styleId="Index9">
    <w:name w:val="index 9"/>
    <w:basedOn w:val="Normal"/>
    <w:next w:val="Normal"/>
    <w:uiPriority w:val="99"/>
    <w:semiHidden/>
    <w:rsid w:val="003B7CFF"/>
    <w:pPr>
      <w:ind w:left="2160" w:hanging="240"/>
    </w:pPr>
  </w:style>
  <w:style w:type="paragraph" w:styleId="IndexHeading">
    <w:name w:val="index heading"/>
    <w:basedOn w:val="Normal"/>
    <w:next w:val="Index1"/>
    <w:uiPriority w:val="99"/>
    <w:semiHidden/>
    <w:rsid w:val="003B7CFF"/>
    <w:rPr>
      <w:rFonts w:ascii="Arial" w:hAnsi="Arial" w:cs="Arial"/>
      <w:b/>
      <w:bCs/>
    </w:rPr>
  </w:style>
  <w:style w:type="character" w:customStyle="1" w:styleId="Instructions">
    <w:name w:val="Instructions"/>
    <w:uiPriority w:val="22"/>
    <w:qFormat/>
    <w:rsid w:val="003B7CFF"/>
    <w:rPr>
      <w:i/>
      <w:vanish/>
      <w:color w:val="008080"/>
    </w:rPr>
  </w:style>
  <w:style w:type="character" w:styleId="LineNumber">
    <w:name w:val="line number"/>
    <w:basedOn w:val="DefaultParagraphFont"/>
    <w:uiPriority w:val="99"/>
    <w:semiHidden/>
    <w:rsid w:val="003B7CFF"/>
  </w:style>
  <w:style w:type="paragraph" w:styleId="List">
    <w:name w:val="List"/>
    <w:basedOn w:val="Normal"/>
    <w:uiPriority w:val="99"/>
    <w:semiHidden/>
    <w:rsid w:val="003B7CFF"/>
    <w:pPr>
      <w:ind w:left="360" w:hanging="360"/>
    </w:pPr>
  </w:style>
  <w:style w:type="paragraph" w:styleId="List2">
    <w:name w:val="List 2"/>
    <w:basedOn w:val="Normal"/>
    <w:uiPriority w:val="99"/>
    <w:semiHidden/>
    <w:rsid w:val="003B7CFF"/>
    <w:pPr>
      <w:ind w:left="720" w:hanging="360"/>
    </w:pPr>
  </w:style>
  <w:style w:type="paragraph" w:styleId="List3">
    <w:name w:val="List 3"/>
    <w:basedOn w:val="Normal"/>
    <w:uiPriority w:val="99"/>
    <w:semiHidden/>
    <w:rsid w:val="003B7CFF"/>
    <w:pPr>
      <w:ind w:left="1080" w:hanging="360"/>
    </w:pPr>
  </w:style>
  <w:style w:type="paragraph" w:styleId="List4">
    <w:name w:val="List 4"/>
    <w:basedOn w:val="Normal"/>
    <w:uiPriority w:val="99"/>
    <w:semiHidden/>
    <w:rsid w:val="003B7CFF"/>
    <w:pPr>
      <w:ind w:left="1440" w:hanging="360"/>
    </w:pPr>
  </w:style>
  <w:style w:type="paragraph" w:styleId="List5">
    <w:name w:val="List 5"/>
    <w:basedOn w:val="Normal"/>
    <w:uiPriority w:val="99"/>
    <w:semiHidden/>
    <w:rsid w:val="003B7CFF"/>
    <w:pPr>
      <w:ind w:left="1800" w:hanging="360"/>
    </w:pPr>
  </w:style>
  <w:style w:type="paragraph" w:styleId="ListBullet2">
    <w:name w:val="List Bullet 2"/>
    <w:basedOn w:val="Normal"/>
    <w:uiPriority w:val="9"/>
    <w:qFormat/>
    <w:rsid w:val="003B7CFF"/>
    <w:pPr>
      <w:numPr>
        <w:ilvl w:val="1"/>
        <w:numId w:val="21"/>
      </w:numPr>
      <w:spacing w:before="60" w:after="60"/>
    </w:pPr>
  </w:style>
  <w:style w:type="paragraph" w:styleId="ListBullet3">
    <w:name w:val="List Bullet 3"/>
    <w:basedOn w:val="Normal"/>
    <w:uiPriority w:val="9"/>
    <w:qFormat/>
    <w:rsid w:val="003B7CFF"/>
    <w:pPr>
      <w:numPr>
        <w:ilvl w:val="2"/>
        <w:numId w:val="21"/>
      </w:numPr>
      <w:spacing w:before="60" w:after="60"/>
    </w:pPr>
  </w:style>
  <w:style w:type="paragraph" w:styleId="ListBullet4">
    <w:name w:val="List Bullet 4"/>
    <w:basedOn w:val="Normal"/>
    <w:uiPriority w:val="99"/>
    <w:semiHidden/>
    <w:rsid w:val="003B7CFF"/>
    <w:pPr>
      <w:numPr>
        <w:ilvl w:val="3"/>
        <w:numId w:val="21"/>
      </w:numPr>
      <w:spacing w:before="60" w:after="60"/>
    </w:pPr>
  </w:style>
  <w:style w:type="paragraph" w:styleId="ListBullet5">
    <w:name w:val="List Bullet 5"/>
    <w:basedOn w:val="Normal"/>
    <w:uiPriority w:val="99"/>
    <w:semiHidden/>
    <w:rsid w:val="003B7CFF"/>
    <w:pPr>
      <w:tabs>
        <w:tab w:val="num" w:pos="1800"/>
      </w:tabs>
      <w:spacing w:after="60"/>
      <w:ind w:left="1797" w:hanging="357"/>
    </w:pPr>
  </w:style>
  <w:style w:type="paragraph" w:customStyle="1" w:styleId="ListBulletSmall">
    <w:name w:val="List Bullet Small"/>
    <w:basedOn w:val="ListBullet"/>
    <w:uiPriority w:val="9"/>
    <w:qFormat/>
    <w:rsid w:val="003B7CFF"/>
    <w:pPr>
      <w:numPr>
        <w:numId w:val="22"/>
      </w:numPr>
      <w:spacing w:before="40" w:after="40"/>
    </w:pPr>
    <w:rPr>
      <w:sz w:val="20"/>
      <w:szCs w:val="48"/>
    </w:rPr>
  </w:style>
  <w:style w:type="paragraph" w:customStyle="1" w:styleId="ListBulletSmall2">
    <w:name w:val="List Bullet Small 2"/>
    <w:basedOn w:val="ListBullet2"/>
    <w:uiPriority w:val="9"/>
    <w:qFormat/>
    <w:rsid w:val="003B7CFF"/>
    <w:pPr>
      <w:numPr>
        <w:numId w:val="22"/>
      </w:numPr>
      <w:spacing w:before="40" w:after="40"/>
    </w:pPr>
    <w:rPr>
      <w:sz w:val="20"/>
      <w:szCs w:val="48"/>
    </w:rPr>
  </w:style>
  <w:style w:type="paragraph" w:styleId="ListContinue">
    <w:name w:val="List Continue"/>
    <w:basedOn w:val="Normal"/>
    <w:uiPriority w:val="99"/>
    <w:semiHidden/>
    <w:rsid w:val="003B7CFF"/>
    <w:pPr>
      <w:spacing w:after="120"/>
      <w:ind w:left="360"/>
    </w:pPr>
  </w:style>
  <w:style w:type="paragraph" w:styleId="ListContinue2">
    <w:name w:val="List Continue 2"/>
    <w:basedOn w:val="Normal"/>
    <w:uiPriority w:val="99"/>
    <w:semiHidden/>
    <w:rsid w:val="003B7CFF"/>
    <w:pPr>
      <w:spacing w:after="120"/>
      <w:ind w:left="720"/>
    </w:pPr>
  </w:style>
  <w:style w:type="paragraph" w:styleId="ListContinue3">
    <w:name w:val="List Continue 3"/>
    <w:basedOn w:val="Normal"/>
    <w:uiPriority w:val="99"/>
    <w:semiHidden/>
    <w:rsid w:val="003B7CFF"/>
    <w:pPr>
      <w:spacing w:after="120"/>
      <w:ind w:left="1080"/>
    </w:pPr>
  </w:style>
  <w:style w:type="paragraph" w:styleId="ListContinue4">
    <w:name w:val="List Continue 4"/>
    <w:basedOn w:val="Normal"/>
    <w:uiPriority w:val="99"/>
    <w:semiHidden/>
    <w:rsid w:val="003B7CFF"/>
    <w:pPr>
      <w:spacing w:after="120"/>
      <w:ind w:left="1440"/>
    </w:pPr>
  </w:style>
  <w:style w:type="paragraph" w:styleId="ListContinue5">
    <w:name w:val="List Continue 5"/>
    <w:basedOn w:val="Normal"/>
    <w:uiPriority w:val="99"/>
    <w:semiHidden/>
    <w:rsid w:val="003B7CFF"/>
    <w:pPr>
      <w:spacing w:after="120"/>
      <w:ind w:left="1800"/>
    </w:pPr>
  </w:style>
  <w:style w:type="paragraph" w:customStyle="1" w:styleId="ListEnd">
    <w:name w:val="List End"/>
    <w:next w:val="Paragraph"/>
    <w:uiPriority w:val="10"/>
    <w:qFormat/>
    <w:rsid w:val="003B7CFF"/>
    <w:pPr>
      <w:spacing w:after="0" w:line="240" w:lineRule="auto"/>
    </w:pPr>
    <w:rPr>
      <w:rFonts w:ascii="Times New Roman" w:eastAsia="Times New Roman" w:hAnsi="Times New Roman" w:cs="Times New Roman"/>
      <w:sz w:val="24"/>
      <w:szCs w:val="20"/>
      <w:lang w:val="en-GB"/>
    </w:rPr>
  </w:style>
  <w:style w:type="paragraph" w:customStyle="1" w:styleId="ListHyphen">
    <w:name w:val="List Hyphen"/>
    <w:uiPriority w:val="99"/>
    <w:semiHidden/>
    <w:rsid w:val="003B7CFF"/>
    <w:pPr>
      <w:numPr>
        <w:numId w:val="14"/>
      </w:numPr>
      <w:spacing w:after="0" w:line="240" w:lineRule="auto"/>
    </w:pPr>
    <w:rPr>
      <w:rFonts w:ascii="Times New Roman" w:eastAsia="Times New Roman" w:hAnsi="Times New Roman" w:cs="Times New Roman"/>
      <w:sz w:val="24"/>
      <w:szCs w:val="20"/>
      <w:lang w:val="en-US"/>
    </w:rPr>
  </w:style>
  <w:style w:type="paragraph" w:styleId="ListNumber">
    <w:name w:val="List Number"/>
    <w:basedOn w:val="Normal"/>
    <w:uiPriority w:val="9"/>
    <w:qFormat/>
    <w:rsid w:val="003B7CFF"/>
    <w:pPr>
      <w:numPr>
        <w:numId w:val="26"/>
      </w:numPr>
      <w:spacing w:before="60" w:after="60"/>
    </w:pPr>
  </w:style>
  <w:style w:type="paragraph" w:styleId="ListNumber2">
    <w:name w:val="List Number 2"/>
    <w:basedOn w:val="ListNumber"/>
    <w:uiPriority w:val="9"/>
    <w:qFormat/>
    <w:rsid w:val="003B7CFF"/>
    <w:pPr>
      <w:numPr>
        <w:ilvl w:val="1"/>
      </w:numPr>
    </w:pPr>
  </w:style>
  <w:style w:type="paragraph" w:styleId="ListNumber3">
    <w:name w:val="List Number 3"/>
    <w:basedOn w:val="ListNumber"/>
    <w:uiPriority w:val="9"/>
    <w:qFormat/>
    <w:rsid w:val="003B7CFF"/>
    <w:pPr>
      <w:numPr>
        <w:ilvl w:val="2"/>
      </w:numPr>
    </w:pPr>
  </w:style>
  <w:style w:type="paragraph" w:styleId="ListNumber4">
    <w:name w:val="List Number 4"/>
    <w:basedOn w:val="Normal"/>
    <w:uiPriority w:val="99"/>
    <w:semiHidden/>
    <w:rsid w:val="003B7CFF"/>
    <w:pPr>
      <w:tabs>
        <w:tab w:val="num" w:pos="1440"/>
      </w:tabs>
      <w:spacing w:after="60"/>
      <w:ind w:left="1434" w:hanging="357"/>
    </w:pPr>
  </w:style>
  <w:style w:type="paragraph" w:styleId="ListNumber5">
    <w:name w:val="List Number 5"/>
    <w:basedOn w:val="Normal"/>
    <w:uiPriority w:val="99"/>
    <w:semiHidden/>
    <w:rsid w:val="003B7CFF"/>
    <w:pPr>
      <w:tabs>
        <w:tab w:val="num" w:pos="1800"/>
      </w:tabs>
      <w:spacing w:after="60"/>
      <w:ind w:left="1797" w:hanging="357"/>
    </w:pPr>
  </w:style>
  <w:style w:type="paragraph" w:styleId="MacroText">
    <w:name w:val="macro"/>
    <w:link w:val="MacroTextChar"/>
    <w:uiPriority w:val="99"/>
    <w:semiHidden/>
    <w:rsid w:val="003B7CF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val="en-US"/>
    </w:rPr>
  </w:style>
  <w:style w:type="character" w:customStyle="1" w:styleId="MacroTextChar">
    <w:name w:val="Macro Text Char"/>
    <w:basedOn w:val="DefaultParagraphFont"/>
    <w:link w:val="MacroText"/>
    <w:uiPriority w:val="99"/>
    <w:semiHidden/>
    <w:rsid w:val="003B7CFF"/>
    <w:rPr>
      <w:rFonts w:ascii="Courier New" w:eastAsia="Times New Roman" w:hAnsi="Courier New" w:cs="Courier New"/>
      <w:sz w:val="20"/>
      <w:szCs w:val="20"/>
      <w:lang w:val="en-US"/>
    </w:rPr>
  </w:style>
  <w:style w:type="paragraph" w:styleId="MessageHeader">
    <w:name w:val="Message Header"/>
    <w:basedOn w:val="Normal"/>
    <w:link w:val="MessageHeaderChar"/>
    <w:uiPriority w:val="99"/>
    <w:semiHidden/>
    <w:rsid w:val="003B7CF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uiPriority w:val="99"/>
    <w:semiHidden/>
    <w:rsid w:val="003B7CFF"/>
    <w:rPr>
      <w:rFonts w:ascii="Arial" w:eastAsia="Times New Roman" w:hAnsi="Arial" w:cs="Arial"/>
      <w:sz w:val="24"/>
      <w:szCs w:val="24"/>
      <w:shd w:val="pct20" w:color="auto" w:fill="auto"/>
      <w:lang w:val="en-GB"/>
    </w:rPr>
  </w:style>
  <w:style w:type="paragraph" w:styleId="NormalWeb">
    <w:name w:val="Normal (Web)"/>
    <w:basedOn w:val="Normal"/>
    <w:uiPriority w:val="99"/>
    <w:semiHidden/>
    <w:rsid w:val="003B7CFF"/>
  </w:style>
  <w:style w:type="paragraph" w:styleId="NormalIndent">
    <w:name w:val="Normal Indent"/>
    <w:basedOn w:val="Normal"/>
    <w:uiPriority w:val="99"/>
    <w:semiHidden/>
    <w:rsid w:val="003B7CFF"/>
    <w:pPr>
      <w:ind w:left="720"/>
    </w:pPr>
  </w:style>
  <w:style w:type="paragraph" w:styleId="NoteHeading">
    <w:name w:val="Note Heading"/>
    <w:basedOn w:val="Normal"/>
    <w:next w:val="Normal"/>
    <w:link w:val="NoteHeadingChar"/>
    <w:uiPriority w:val="99"/>
    <w:semiHidden/>
    <w:rsid w:val="003B7CFF"/>
  </w:style>
  <w:style w:type="character" w:customStyle="1" w:styleId="NoteHeadingChar">
    <w:name w:val="Note Heading Char"/>
    <w:basedOn w:val="DefaultParagraphFont"/>
    <w:link w:val="NoteHeading"/>
    <w:uiPriority w:val="99"/>
    <w:semiHidden/>
    <w:rsid w:val="003B7CFF"/>
    <w:rPr>
      <w:rFonts w:ascii="Times New Roman" w:eastAsia="Times New Roman" w:hAnsi="Times New Roman" w:cs="Times New Roman"/>
      <w:sz w:val="24"/>
      <w:szCs w:val="24"/>
      <w:lang w:val="en-GB"/>
    </w:rPr>
  </w:style>
  <w:style w:type="character" w:styleId="PageNumber">
    <w:name w:val="page number"/>
    <w:basedOn w:val="DefaultParagraphFont"/>
    <w:uiPriority w:val="99"/>
    <w:semiHidden/>
    <w:rsid w:val="003B7CFF"/>
  </w:style>
  <w:style w:type="character" w:styleId="PlaceholderText">
    <w:name w:val="Placeholder Text"/>
    <w:basedOn w:val="DefaultParagraphFont"/>
    <w:uiPriority w:val="99"/>
    <w:semiHidden/>
    <w:rsid w:val="003B7CFF"/>
    <w:rPr>
      <w:color w:val="808080"/>
    </w:rPr>
  </w:style>
  <w:style w:type="paragraph" w:styleId="PlainText">
    <w:name w:val="Plain Text"/>
    <w:basedOn w:val="Normal"/>
    <w:link w:val="PlainTextChar"/>
    <w:uiPriority w:val="49"/>
    <w:semiHidden/>
    <w:rsid w:val="003B7CFF"/>
    <w:rPr>
      <w:rFonts w:ascii="Courier New" w:hAnsi="Courier New" w:cs="Courier New"/>
      <w:sz w:val="20"/>
      <w:szCs w:val="20"/>
    </w:rPr>
  </w:style>
  <w:style w:type="character" w:customStyle="1" w:styleId="PlainTextChar">
    <w:name w:val="Plain Text Char"/>
    <w:basedOn w:val="DefaultParagraphFont"/>
    <w:link w:val="PlainText"/>
    <w:uiPriority w:val="49"/>
    <w:semiHidden/>
    <w:rsid w:val="003B7CFF"/>
    <w:rPr>
      <w:rFonts w:ascii="Courier New" w:eastAsia="Times New Roman" w:hAnsi="Courier New" w:cs="Courier New"/>
      <w:sz w:val="20"/>
      <w:szCs w:val="20"/>
      <w:lang w:val="en-GB"/>
    </w:rPr>
  </w:style>
  <w:style w:type="paragraph" w:customStyle="1" w:styleId="References">
    <w:name w:val="References"/>
    <w:uiPriority w:val="24"/>
    <w:rsid w:val="003B7CFF"/>
    <w:pPr>
      <w:numPr>
        <w:numId w:val="19"/>
      </w:numPr>
      <w:tabs>
        <w:tab w:val="clear" w:pos="360"/>
        <w:tab w:val="left" w:pos="425"/>
      </w:tabs>
      <w:spacing w:after="240" w:line="240" w:lineRule="auto"/>
      <w:ind w:left="425" w:hanging="425"/>
    </w:pPr>
    <w:rPr>
      <w:rFonts w:ascii="Times New Roman" w:eastAsia="Times New Roman" w:hAnsi="Times New Roman" w:cs="Arial"/>
      <w:bCs/>
      <w:kern w:val="32"/>
      <w:sz w:val="24"/>
      <w:szCs w:val="24"/>
      <w:lang w:val="en-GB"/>
    </w:rPr>
  </w:style>
  <w:style w:type="paragraph" w:styleId="Salutation">
    <w:name w:val="Salutation"/>
    <w:basedOn w:val="Normal"/>
    <w:next w:val="Normal"/>
    <w:link w:val="SalutationChar"/>
    <w:uiPriority w:val="49"/>
    <w:semiHidden/>
    <w:rsid w:val="003B7CFF"/>
  </w:style>
  <w:style w:type="character" w:customStyle="1" w:styleId="SalutationChar">
    <w:name w:val="Salutation Char"/>
    <w:basedOn w:val="DefaultParagraphFont"/>
    <w:link w:val="Salutation"/>
    <w:uiPriority w:val="49"/>
    <w:semiHidden/>
    <w:rsid w:val="003B7CFF"/>
    <w:rPr>
      <w:rFonts w:ascii="Times New Roman" w:eastAsia="Times New Roman" w:hAnsi="Times New Roman" w:cs="Times New Roman"/>
      <w:sz w:val="24"/>
      <w:szCs w:val="24"/>
      <w:lang w:val="en-GB"/>
    </w:rPr>
  </w:style>
  <w:style w:type="paragraph" w:customStyle="1" w:styleId="Sequence">
    <w:name w:val="Sequence"/>
    <w:basedOn w:val="Normal"/>
    <w:next w:val="Paragraph"/>
    <w:uiPriority w:val="24"/>
    <w:rsid w:val="003B7CFF"/>
    <w:pPr>
      <w:keepNext/>
      <w:spacing w:after="0" w:line="240" w:lineRule="auto"/>
    </w:pPr>
    <w:rPr>
      <w:rFonts w:ascii="Courier New" w:hAnsi="Courier New"/>
      <w:sz w:val="20"/>
    </w:rPr>
  </w:style>
  <w:style w:type="paragraph" w:styleId="Signature">
    <w:name w:val="Signature"/>
    <w:basedOn w:val="Normal"/>
    <w:link w:val="SignatureChar"/>
    <w:uiPriority w:val="49"/>
    <w:semiHidden/>
    <w:rsid w:val="003B7CFF"/>
    <w:pPr>
      <w:ind w:left="4320"/>
    </w:pPr>
  </w:style>
  <w:style w:type="character" w:customStyle="1" w:styleId="SignatureChar">
    <w:name w:val="Signature Char"/>
    <w:basedOn w:val="DefaultParagraphFont"/>
    <w:link w:val="Signature"/>
    <w:uiPriority w:val="49"/>
    <w:semiHidden/>
    <w:rsid w:val="003B7CFF"/>
    <w:rPr>
      <w:rFonts w:ascii="Times New Roman" w:eastAsia="Times New Roman" w:hAnsi="Times New Roman" w:cs="Times New Roman"/>
      <w:sz w:val="24"/>
      <w:szCs w:val="24"/>
      <w:lang w:val="en-GB"/>
    </w:rPr>
  </w:style>
  <w:style w:type="character" w:styleId="Strong">
    <w:name w:val="Strong"/>
    <w:uiPriority w:val="49"/>
    <w:qFormat/>
    <w:rsid w:val="003B7CFF"/>
    <w:rPr>
      <w:b/>
      <w:bCs/>
    </w:rPr>
  </w:style>
  <w:style w:type="paragraph" w:styleId="Subtitle">
    <w:name w:val="Subtitle"/>
    <w:basedOn w:val="Normal"/>
    <w:next w:val="Normal"/>
    <w:link w:val="SubtitleChar"/>
    <w:uiPriority w:val="99"/>
    <w:rsid w:val="003B7CF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99"/>
    <w:rsid w:val="003B7CFF"/>
    <w:rPr>
      <w:rFonts w:eastAsiaTheme="minorEastAsia"/>
      <w:color w:val="5A5A5A" w:themeColor="text1" w:themeTint="A5"/>
      <w:spacing w:val="15"/>
      <w:lang w:val="en-GB"/>
    </w:rPr>
  </w:style>
  <w:style w:type="table" w:styleId="TableGridLight">
    <w:name w:val="Grid Table Light"/>
    <w:basedOn w:val="TableNormal"/>
    <w:uiPriority w:val="40"/>
    <w:rsid w:val="00EE3AC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AHeading">
    <w:name w:val="toa heading"/>
    <w:basedOn w:val="Normal"/>
    <w:next w:val="Normal"/>
    <w:uiPriority w:val="99"/>
    <w:semiHidden/>
    <w:unhideWhenUsed/>
    <w:rsid w:val="00EE3AC8"/>
    <w:pPr>
      <w:spacing w:before="120"/>
    </w:pPr>
    <w:rPr>
      <w:rFonts w:asciiTheme="majorHAnsi" w:eastAsiaTheme="majorEastAsia" w:hAnsiTheme="majorHAnsi" w:cstheme="majorBidi"/>
      <w:b/>
      <w:bCs/>
    </w:rPr>
  </w:style>
  <w:style w:type="character" w:customStyle="1" w:styleId="UnresolvedMention">
    <w:name w:val="Unresolved Mention"/>
    <w:basedOn w:val="DefaultParagraphFont"/>
    <w:uiPriority w:val="99"/>
    <w:semiHidden/>
    <w:unhideWhenUsed/>
    <w:rsid w:val="00EE3AC8"/>
    <w:rPr>
      <w:color w:val="808080"/>
      <w:shd w:val="clear" w:color="auto" w:fill="E6E6E6"/>
    </w:rPr>
  </w:style>
  <w:style w:type="paragraph" w:customStyle="1" w:styleId="TableCenter">
    <w:name w:val="Table Center"/>
    <w:basedOn w:val="Normal"/>
    <w:uiPriority w:val="12"/>
    <w:qFormat/>
    <w:rsid w:val="003B7CFF"/>
    <w:pPr>
      <w:spacing w:before="40" w:after="40"/>
      <w:jc w:val="center"/>
    </w:pPr>
    <w:rPr>
      <w:sz w:val="20"/>
    </w:rPr>
  </w:style>
  <w:style w:type="paragraph" w:customStyle="1" w:styleId="TableEndofTextTitle">
    <w:name w:val="Table End of Text Title"/>
    <w:next w:val="Paragraph"/>
    <w:uiPriority w:val="11"/>
    <w:qFormat/>
    <w:rsid w:val="003B7CFF"/>
    <w:pPr>
      <w:spacing w:after="120" w:line="240" w:lineRule="auto"/>
    </w:pPr>
    <w:rPr>
      <w:rFonts w:ascii="Times New Roman" w:eastAsia="Times New Roman" w:hAnsi="Times New Roman" w:cs="Times New Roman"/>
      <w:b/>
      <w:sz w:val="24"/>
      <w:szCs w:val="24"/>
      <w:lang w:val="en-GB"/>
    </w:rPr>
  </w:style>
  <w:style w:type="paragraph" w:customStyle="1" w:styleId="TableFixedWidth">
    <w:name w:val="Table Fixed Width"/>
    <w:uiPriority w:val="15"/>
    <w:qFormat/>
    <w:rsid w:val="003B7CFF"/>
    <w:pPr>
      <w:spacing w:after="0" w:line="240" w:lineRule="auto"/>
    </w:pPr>
    <w:rPr>
      <w:rFonts w:ascii="Courier New" w:eastAsia="Times New Roman" w:hAnsi="Courier New" w:cs="Times New Roman"/>
      <w:sz w:val="20"/>
      <w:szCs w:val="20"/>
      <w:lang w:val="en-GB"/>
    </w:rPr>
  </w:style>
  <w:style w:type="paragraph" w:styleId="NoSpacing">
    <w:name w:val="No Spacing"/>
    <w:uiPriority w:val="1"/>
    <w:qFormat/>
    <w:rsid w:val="003B7CFF"/>
    <w:pPr>
      <w:spacing w:after="0" w:line="240" w:lineRule="auto"/>
    </w:pPr>
    <w:rPr>
      <w:rFonts w:ascii="Times New Roman" w:eastAsia="Times New Roman" w:hAnsi="Times New Roman" w:cs="Times New Roman"/>
      <w:sz w:val="24"/>
      <w:szCs w:val="24"/>
      <w:lang w:val="en-GB"/>
    </w:rPr>
  </w:style>
  <w:style w:type="paragraph" w:customStyle="1" w:styleId="TableFootnoteInfo">
    <w:name w:val="Table Footnote Info"/>
    <w:basedOn w:val="Normal"/>
    <w:uiPriority w:val="14"/>
    <w:qFormat/>
    <w:rsid w:val="003B7CFF"/>
    <w:pPr>
      <w:keepLines/>
      <w:spacing w:before="40" w:after="40"/>
    </w:pPr>
    <w:rPr>
      <w:sz w:val="20"/>
      <w:szCs w:val="48"/>
    </w:rPr>
  </w:style>
  <w:style w:type="paragraph" w:customStyle="1" w:styleId="TableFootnoteLetter">
    <w:name w:val="Table Footnote Letter"/>
    <w:basedOn w:val="Normal"/>
    <w:uiPriority w:val="13"/>
    <w:rsid w:val="003B7CFF"/>
    <w:pPr>
      <w:keepLines/>
      <w:numPr>
        <w:numId w:val="28"/>
      </w:numPr>
      <w:spacing w:before="40" w:after="40" w:line="240" w:lineRule="auto"/>
    </w:pPr>
    <w:rPr>
      <w:sz w:val="20"/>
      <w:szCs w:val="20"/>
    </w:rPr>
  </w:style>
  <w:style w:type="paragraph" w:styleId="IntenseQuote">
    <w:name w:val="Intense Quote"/>
    <w:basedOn w:val="Normal"/>
    <w:next w:val="Normal"/>
    <w:link w:val="IntenseQuoteChar"/>
    <w:uiPriority w:val="30"/>
    <w:qFormat/>
    <w:rsid w:val="003B7CF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B7CFF"/>
    <w:rPr>
      <w:rFonts w:ascii="Times New Roman" w:eastAsia="Times New Roman" w:hAnsi="Times New Roman" w:cs="Times New Roman"/>
      <w:i/>
      <w:iCs/>
      <w:color w:val="4F81BD" w:themeColor="accent1"/>
      <w:sz w:val="24"/>
      <w:szCs w:val="24"/>
      <w:lang w:val="en-GB"/>
    </w:rPr>
  </w:style>
  <w:style w:type="table" w:styleId="LightList">
    <w:name w:val="Light List"/>
    <w:basedOn w:val="TableNormal"/>
    <w:uiPriority w:val="61"/>
    <w:rsid w:val="003B7CFF"/>
    <w:pPr>
      <w:spacing w:after="0" w:line="240" w:lineRule="auto"/>
    </w:pPr>
    <w:rPr>
      <w:rFonts w:eastAsiaTheme="minorEastAsia"/>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TableHead">
    <w:name w:val="Table Head"/>
    <w:basedOn w:val="TableText"/>
    <w:uiPriority w:val="11"/>
    <w:qFormat/>
    <w:rsid w:val="003B7CFF"/>
    <w:rPr>
      <w:b/>
      <w:szCs w:val="48"/>
    </w:rPr>
  </w:style>
  <w:style w:type="paragraph" w:customStyle="1" w:styleId="TableLeft">
    <w:name w:val="Table Left"/>
    <w:uiPriority w:val="12"/>
    <w:qFormat/>
    <w:rsid w:val="003B7CFF"/>
    <w:pPr>
      <w:spacing w:before="40" w:after="40"/>
    </w:pPr>
    <w:rPr>
      <w:rFonts w:ascii="Times New Roman" w:eastAsia="Times New Roman" w:hAnsi="Times New Roman" w:cs="Arial"/>
      <w:bCs/>
      <w:kern w:val="32"/>
      <w:sz w:val="20"/>
      <w:szCs w:val="24"/>
      <w:lang w:val="en-GB"/>
    </w:rPr>
  </w:style>
  <w:style w:type="paragraph" w:styleId="TableofFigures">
    <w:name w:val="table of figures"/>
    <w:basedOn w:val="Normal"/>
    <w:next w:val="Paragraph"/>
    <w:uiPriority w:val="40"/>
    <w:rsid w:val="003B7CFF"/>
    <w:pPr>
      <w:tabs>
        <w:tab w:val="left" w:pos="1701"/>
        <w:tab w:val="right" w:leader="dot" w:pos="9000"/>
      </w:tabs>
      <w:spacing w:before="60" w:after="0"/>
      <w:ind w:left="1701" w:right="357" w:hanging="1701"/>
    </w:pPr>
  </w:style>
  <w:style w:type="table" w:styleId="TableGrid">
    <w:name w:val="Table Grid"/>
    <w:basedOn w:val="TableNormal"/>
    <w:uiPriority w:val="59"/>
    <w:rsid w:val="003B7CFF"/>
    <w:pPr>
      <w:spacing w:after="0" w:line="240" w:lineRule="auto"/>
    </w:pPr>
    <w:rPr>
      <w:rFonts w:eastAsiaTheme="minorEastAsia"/>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Continued">
    <w:name w:val="Table Title Continued"/>
    <w:basedOn w:val="Normal"/>
    <w:uiPriority w:val="10"/>
    <w:qFormat/>
    <w:rsid w:val="003B7CFF"/>
    <w:pPr>
      <w:spacing w:after="120"/>
    </w:pPr>
    <w:rPr>
      <w:b/>
    </w:rPr>
  </w:style>
  <w:style w:type="paragraph" w:styleId="Title">
    <w:name w:val="Title"/>
    <w:link w:val="TitleChar"/>
    <w:uiPriority w:val="25"/>
    <w:rsid w:val="003B7CFF"/>
    <w:pPr>
      <w:spacing w:before="240" w:after="240" w:line="240" w:lineRule="auto"/>
      <w:jc w:val="center"/>
    </w:pPr>
    <w:rPr>
      <w:rFonts w:ascii="Times New Roman" w:eastAsia="Times New Roman" w:hAnsi="Times New Roman" w:cs="Arial"/>
      <w:b/>
      <w:bCs/>
      <w:kern w:val="28"/>
      <w:sz w:val="32"/>
      <w:szCs w:val="32"/>
      <w:lang w:val="en-GB"/>
    </w:rPr>
  </w:style>
  <w:style w:type="character" w:customStyle="1" w:styleId="TitleChar">
    <w:name w:val="Title Char"/>
    <w:basedOn w:val="DefaultParagraphFont"/>
    <w:link w:val="Title"/>
    <w:uiPriority w:val="25"/>
    <w:rsid w:val="003B7CFF"/>
    <w:rPr>
      <w:rFonts w:ascii="Times New Roman" w:eastAsia="Times New Roman" w:hAnsi="Times New Roman" w:cs="Arial"/>
      <w:b/>
      <w:bCs/>
      <w:kern w:val="28"/>
      <w:sz w:val="32"/>
      <w:szCs w:val="32"/>
      <w:lang w:val="en-GB"/>
    </w:rPr>
  </w:style>
  <w:style w:type="paragraph" w:styleId="TOC1">
    <w:name w:val="toc 1"/>
    <w:next w:val="Paragraph"/>
    <w:uiPriority w:val="39"/>
    <w:rsid w:val="003B7CFF"/>
    <w:pPr>
      <w:tabs>
        <w:tab w:val="left" w:pos="1134"/>
        <w:tab w:val="right" w:leader="dot" w:pos="9000"/>
      </w:tabs>
      <w:spacing w:before="120" w:after="0" w:line="240" w:lineRule="auto"/>
      <w:ind w:left="1134" w:right="357" w:hanging="1134"/>
    </w:pPr>
    <w:rPr>
      <w:rFonts w:ascii="Times New Roman" w:eastAsia="Times New Roman" w:hAnsi="Times New Roman" w:cs="Times New Roman"/>
      <w:caps/>
      <w:sz w:val="24"/>
      <w:szCs w:val="20"/>
      <w:lang w:val="en-GB"/>
    </w:rPr>
  </w:style>
  <w:style w:type="paragraph" w:styleId="TOC2">
    <w:name w:val="toc 2"/>
    <w:basedOn w:val="TOC1"/>
    <w:next w:val="Paragraph"/>
    <w:uiPriority w:val="39"/>
    <w:rsid w:val="003B7CFF"/>
    <w:pPr>
      <w:spacing w:before="60"/>
    </w:pPr>
    <w:rPr>
      <w:caps w:val="0"/>
      <w:szCs w:val="24"/>
    </w:rPr>
  </w:style>
  <w:style w:type="paragraph" w:styleId="TOC3">
    <w:name w:val="toc 3"/>
    <w:basedOn w:val="TOC1"/>
    <w:next w:val="Paragraph"/>
    <w:uiPriority w:val="39"/>
    <w:rsid w:val="003B7CFF"/>
    <w:pPr>
      <w:spacing w:before="0"/>
    </w:pPr>
    <w:rPr>
      <w:caps w:val="0"/>
      <w:szCs w:val="24"/>
    </w:rPr>
  </w:style>
  <w:style w:type="paragraph" w:styleId="TOC4">
    <w:name w:val="toc 4"/>
    <w:basedOn w:val="Normal"/>
    <w:next w:val="Paragraph"/>
    <w:uiPriority w:val="39"/>
    <w:rsid w:val="003B7CFF"/>
    <w:pPr>
      <w:tabs>
        <w:tab w:val="left" w:pos="1134"/>
        <w:tab w:val="right" w:leader="dot" w:pos="9000"/>
      </w:tabs>
      <w:spacing w:after="0" w:line="240" w:lineRule="auto"/>
      <w:ind w:left="1134" w:right="357" w:hanging="1134"/>
    </w:pPr>
  </w:style>
  <w:style w:type="paragraph" w:styleId="TOC5">
    <w:name w:val="toc 5"/>
    <w:basedOn w:val="TOC1"/>
    <w:next w:val="Normal"/>
    <w:uiPriority w:val="39"/>
    <w:rsid w:val="003B7CFF"/>
    <w:pPr>
      <w:tabs>
        <w:tab w:val="clear" w:pos="1134"/>
      </w:tabs>
      <w:ind w:left="0" w:firstLine="0"/>
    </w:pPr>
    <w:rPr>
      <w:noProof/>
    </w:rPr>
  </w:style>
  <w:style w:type="paragraph" w:styleId="TOC6">
    <w:name w:val="toc 6"/>
    <w:basedOn w:val="TOC2"/>
    <w:next w:val="Normal"/>
    <w:uiPriority w:val="39"/>
    <w:rsid w:val="003B7CFF"/>
    <w:pPr>
      <w:tabs>
        <w:tab w:val="clear" w:pos="1134"/>
      </w:tabs>
      <w:ind w:left="0" w:firstLine="0"/>
    </w:pPr>
    <w:rPr>
      <w:noProof/>
    </w:rPr>
  </w:style>
  <w:style w:type="paragraph" w:styleId="TOC7">
    <w:name w:val="toc 7"/>
    <w:basedOn w:val="Normal"/>
    <w:next w:val="Normal"/>
    <w:uiPriority w:val="39"/>
    <w:rsid w:val="003B7CFF"/>
    <w:pPr>
      <w:tabs>
        <w:tab w:val="right" w:leader="dot" w:pos="9000"/>
      </w:tabs>
      <w:spacing w:after="0" w:line="240" w:lineRule="auto"/>
      <w:ind w:right="357"/>
    </w:pPr>
    <w:rPr>
      <w:noProof/>
    </w:rPr>
  </w:style>
  <w:style w:type="paragraph" w:styleId="TOC8">
    <w:name w:val="toc 8"/>
    <w:basedOn w:val="TOC7"/>
    <w:next w:val="Normal"/>
    <w:uiPriority w:val="39"/>
    <w:rsid w:val="003B7CFF"/>
    <w:rPr>
      <w:i/>
    </w:rPr>
  </w:style>
  <w:style w:type="paragraph" w:styleId="TOC9">
    <w:name w:val="toc 9"/>
    <w:basedOn w:val="Normal"/>
    <w:next w:val="Normal"/>
    <w:uiPriority w:val="39"/>
    <w:rsid w:val="003B7CFF"/>
    <w:pPr>
      <w:tabs>
        <w:tab w:val="left" w:pos="1134"/>
        <w:tab w:val="right" w:leader="dot" w:pos="9000"/>
      </w:tabs>
      <w:ind w:left="1134" w:right="360" w:hanging="1134"/>
    </w:pPr>
  </w:style>
  <w:style w:type="paragraph" w:styleId="TOCHeading">
    <w:name w:val="TOC Heading"/>
    <w:basedOn w:val="TOCTitle"/>
    <w:next w:val="Normal"/>
    <w:uiPriority w:val="39"/>
    <w:rsid w:val="003B7CFF"/>
    <w:pPr>
      <w:spacing w:after="0"/>
    </w:pPr>
    <w:rPr>
      <w:rFonts w:asciiTheme="majorHAnsi" w:eastAsiaTheme="majorEastAsia" w:hAnsiTheme="majorHAnsi" w:cstheme="majorBidi"/>
      <w:bCs w:val="0"/>
      <w:caps w:val="0"/>
      <w:kern w:val="0"/>
      <w:szCs w:val="32"/>
    </w:rPr>
  </w:style>
  <w:style w:type="paragraph" w:customStyle="1" w:styleId="TOCSection">
    <w:name w:val="TOC Section"/>
    <w:basedOn w:val="Heading1"/>
    <w:uiPriority w:val="25"/>
    <w:rsid w:val="003B7CFF"/>
    <w:pPr>
      <w:numPr>
        <w:numId w:val="0"/>
      </w:numPr>
      <w:tabs>
        <w:tab w:val="left" w:pos="0"/>
        <w:tab w:val="left" w:pos="480"/>
      </w:tabs>
      <w:spacing w:after="120"/>
      <w:outlineLvl w:val="9"/>
    </w:pPr>
  </w:style>
  <w:style w:type="paragraph" w:customStyle="1" w:styleId="TOCTitle">
    <w:name w:val="TOC Title"/>
    <w:basedOn w:val="Title"/>
    <w:next w:val="TOC1"/>
    <w:uiPriority w:val="25"/>
    <w:rsid w:val="003B7CFF"/>
    <w:pPr>
      <w:pageBreakBefore/>
      <w:jc w:val="left"/>
    </w:pPr>
    <w:rPr>
      <w:caps/>
      <w:sz w:val="28"/>
      <w:szCs w:val="28"/>
    </w:rPr>
  </w:style>
  <w:style w:type="character" w:customStyle="1" w:styleId="UserTips">
    <w:name w:val="User Tips"/>
    <w:uiPriority w:val="22"/>
    <w:rsid w:val="003B7CFF"/>
    <w:rPr>
      <w:i/>
      <w:vanish/>
      <w:color w:val="FF0000"/>
    </w:rPr>
  </w:style>
  <w:style w:type="paragraph" w:customStyle="1" w:styleId="AppendixAlphaSub1">
    <w:name w:val="Appendix Alpha Sub 1"/>
    <w:basedOn w:val="AppendixAlpha"/>
    <w:next w:val="Paragraph"/>
    <w:uiPriority w:val="21"/>
    <w:qFormat/>
    <w:rsid w:val="003B7CFF"/>
    <w:pPr>
      <w:pageBreakBefore w:val="0"/>
      <w:numPr>
        <w:ilvl w:val="1"/>
      </w:numPr>
      <w:spacing w:before="120"/>
    </w:pPr>
  </w:style>
  <w:style w:type="paragraph" w:styleId="Quote">
    <w:name w:val="Quote"/>
    <w:basedOn w:val="Normal"/>
    <w:next w:val="Normal"/>
    <w:link w:val="QuoteChar"/>
    <w:uiPriority w:val="29"/>
    <w:qFormat/>
    <w:rsid w:val="003B7CF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B7CFF"/>
    <w:rPr>
      <w:rFonts w:ascii="Times New Roman" w:eastAsia="Times New Roman" w:hAnsi="Times New Roman" w:cs="Times New Roman"/>
      <w:i/>
      <w:iCs/>
      <w:color w:val="404040" w:themeColor="text1" w:themeTint="BF"/>
      <w:sz w:val="24"/>
      <w:szCs w:val="24"/>
      <w:lang w:val="en-GB"/>
    </w:rPr>
  </w:style>
  <w:style w:type="paragraph" w:customStyle="1" w:styleId="AppendixAlphaSub2">
    <w:name w:val="Appendix Alpha Sub 2"/>
    <w:basedOn w:val="AppendixAlphaSub1"/>
    <w:next w:val="Paragraph"/>
    <w:uiPriority w:val="21"/>
    <w:unhideWhenUsed/>
    <w:qFormat/>
    <w:rsid w:val="003B7CFF"/>
    <w:pPr>
      <w:numPr>
        <w:ilvl w:val="2"/>
      </w:numPr>
    </w:pPr>
    <w:rPr>
      <w:sz w:val="26"/>
    </w:rPr>
  </w:style>
  <w:style w:type="paragraph" w:customStyle="1" w:styleId="AppendixAlphaSub3">
    <w:name w:val="Appendix Alpha Sub 3"/>
    <w:basedOn w:val="AppendixAlphaSub1"/>
    <w:next w:val="Paragraph"/>
    <w:uiPriority w:val="21"/>
    <w:unhideWhenUsed/>
    <w:qFormat/>
    <w:rsid w:val="003B7CFF"/>
    <w:pPr>
      <w:numPr>
        <w:ilvl w:val="3"/>
      </w:numPr>
    </w:pPr>
    <w:rPr>
      <w:sz w:val="24"/>
    </w:rPr>
  </w:style>
  <w:style w:type="paragraph" w:customStyle="1" w:styleId="AppendixAlphaSub4">
    <w:name w:val="Appendix Alpha Sub 4"/>
    <w:basedOn w:val="AppendixAlphaSub1"/>
    <w:next w:val="Paragraph"/>
    <w:uiPriority w:val="21"/>
    <w:unhideWhenUsed/>
    <w:qFormat/>
    <w:rsid w:val="003B7CFF"/>
    <w:pPr>
      <w:numPr>
        <w:ilvl w:val="4"/>
      </w:numPr>
      <w:spacing w:after="60"/>
    </w:pPr>
    <w:rPr>
      <w:i/>
      <w:sz w:val="24"/>
    </w:rPr>
  </w:style>
  <w:style w:type="paragraph" w:customStyle="1" w:styleId="ListNumberSmall">
    <w:name w:val="List Number Small"/>
    <w:basedOn w:val="ListBulletSmall"/>
    <w:uiPriority w:val="9"/>
    <w:qFormat/>
    <w:rsid w:val="003B7CFF"/>
    <w:pPr>
      <w:numPr>
        <w:numId w:val="33"/>
      </w:numPr>
      <w:tabs>
        <w:tab w:val="left" w:pos="425"/>
      </w:tabs>
    </w:pPr>
  </w:style>
  <w:style w:type="paragraph" w:customStyle="1" w:styleId="TableHidden">
    <w:name w:val="Table Hidden"/>
    <w:basedOn w:val="Paragraph"/>
    <w:uiPriority w:val="23"/>
    <w:qFormat/>
    <w:rsid w:val="003B7CFF"/>
    <w:rPr>
      <w:vanish/>
    </w:rPr>
  </w:style>
  <w:style w:type="paragraph" w:customStyle="1" w:styleId="FigureTitleContinued">
    <w:name w:val="Figure Title Continued"/>
    <w:basedOn w:val="FigureTitle"/>
    <w:uiPriority w:val="17"/>
    <w:qFormat/>
    <w:rsid w:val="003B7CFF"/>
    <w:rPr>
      <w:lang w:val="sv-SE"/>
    </w:rPr>
  </w:style>
  <w:style w:type="paragraph" w:customStyle="1" w:styleId="Z-LineL1">
    <w:name w:val="Z-Line L 1"/>
    <w:basedOn w:val="Normal"/>
    <w:uiPriority w:val="42"/>
    <w:rsid w:val="003B7CFF"/>
    <w:pPr>
      <w:spacing w:before="60" w:after="0" w:line="240" w:lineRule="auto"/>
    </w:pPr>
    <w:rPr>
      <w:sz w:val="20"/>
      <w:szCs w:val="20"/>
    </w:rPr>
  </w:style>
  <w:style w:type="paragraph" w:customStyle="1" w:styleId="Z-LineL2">
    <w:name w:val="Z-Line L 2"/>
    <w:basedOn w:val="Normal"/>
    <w:uiPriority w:val="42"/>
    <w:rsid w:val="003B7CFF"/>
    <w:pPr>
      <w:spacing w:before="60" w:after="0" w:line="240" w:lineRule="auto"/>
    </w:pPr>
    <w:rPr>
      <w:sz w:val="20"/>
      <w:szCs w:val="20"/>
    </w:rPr>
  </w:style>
  <w:style w:type="paragraph" w:customStyle="1" w:styleId="Z-LineL3">
    <w:name w:val="Z-Line L 3"/>
    <w:basedOn w:val="Normal"/>
    <w:uiPriority w:val="42"/>
    <w:rsid w:val="003B7CFF"/>
    <w:pPr>
      <w:spacing w:before="60" w:after="0" w:line="240" w:lineRule="auto"/>
    </w:pPr>
    <w:rPr>
      <w:sz w:val="20"/>
      <w:szCs w:val="20"/>
    </w:rPr>
  </w:style>
  <w:style w:type="paragraph" w:customStyle="1" w:styleId="Z-LineL4">
    <w:name w:val="Z-Line L 4"/>
    <w:basedOn w:val="Normal"/>
    <w:uiPriority w:val="42"/>
    <w:rsid w:val="003B7CFF"/>
    <w:pPr>
      <w:spacing w:before="60" w:after="0" w:line="240" w:lineRule="auto"/>
    </w:pPr>
    <w:rPr>
      <w:sz w:val="20"/>
      <w:szCs w:val="20"/>
    </w:rPr>
  </w:style>
  <w:style w:type="paragraph" w:customStyle="1" w:styleId="Z-LineR1">
    <w:name w:val="Z-Line R 1"/>
    <w:basedOn w:val="Normal"/>
    <w:uiPriority w:val="42"/>
    <w:rsid w:val="003B7CFF"/>
    <w:pPr>
      <w:spacing w:before="60" w:after="0" w:line="240" w:lineRule="auto"/>
    </w:pPr>
    <w:rPr>
      <w:sz w:val="20"/>
      <w:szCs w:val="20"/>
    </w:rPr>
  </w:style>
  <w:style w:type="paragraph" w:customStyle="1" w:styleId="Z-LineR2">
    <w:name w:val="Z-Line R 2"/>
    <w:basedOn w:val="Normal"/>
    <w:uiPriority w:val="42"/>
    <w:rsid w:val="003B7CFF"/>
    <w:pPr>
      <w:spacing w:before="60" w:after="0" w:line="240" w:lineRule="auto"/>
    </w:pPr>
    <w:rPr>
      <w:sz w:val="20"/>
      <w:szCs w:val="20"/>
    </w:rPr>
  </w:style>
  <w:style w:type="paragraph" w:customStyle="1" w:styleId="Z-LineR3">
    <w:name w:val="Z-Line R 3"/>
    <w:basedOn w:val="Normal"/>
    <w:uiPriority w:val="42"/>
    <w:rsid w:val="003B7CFF"/>
    <w:pPr>
      <w:spacing w:before="60" w:after="0" w:line="240" w:lineRule="auto"/>
    </w:pPr>
    <w:rPr>
      <w:sz w:val="20"/>
      <w:szCs w:val="20"/>
    </w:rPr>
  </w:style>
  <w:style w:type="paragraph" w:customStyle="1" w:styleId="Z-LineR4">
    <w:name w:val="Z-Line R 4"/>
    <w:basedOn w:val="Normal"/>
    <w:uiPriority w:val="42"/>
    <w:rsid w:val="003B7CFF"/>
    <w:pPr>
      <w:spacing w:after="60" w:line="240" w:lineRule="auto"/>
    </w:pPr>
    <w:rPr>
      <w:sz w:val="20"/>
      <w:szCs w:val="20"/>
    </w:rPr>
  </w:style>
  <w:style w:type="paragraph" w:customStyle="1" w:styleId="Z-DocumentName">
    <w:name w:val="Z-Document Name"/>
    <w:basedOn w:val="Z-LineL1"/>
    <w:uiPriority w:val="42"/>
    <w:qFormat/>
    <w:rsid w:val="003B7CFF"/>
    <w:rPr>
      <w:b/>
    </w:rPr>
  </w:style>
  <w:style w:type="character" w:styleId="BookTitle">
    <w:name w:val="Book Title"/>
    <w:basedOn w:val="DefaultParagraphFont"/>
    <w:uiPriority w:val="33"/>
    <w:qFormat/>
    <w:rsid w:val="00EE3AC8"/>
    <w:rPr>
      <w:b/>
      <w:bCs/>
      <w:i/>
      <w:iCs/>
      <w:spacing w:val="5"/>
    </w:rPr>
  </w:style>
  <w:style w:type="table" w:styleId="ColorfulGrid">
    <w:name w:val="Colorful Grid"/>
    <w:basedOn w:val="TableNormal"/>
    <w:uiPriority w:val="73"/>
    <w:semiHidden/>
    <w:unhideWhenUsed/>
    <w:rsid w:val="00EE3A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E3A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E3A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E3A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E3A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E3A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E3A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E3AC8"/>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E3AC8"/>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E3AC8"/>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E3AC8"/>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E3AC8"/>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E3AC8"/>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E3AC8"/>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E3AC8"/>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E3AC8"/>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E3AC8"/>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E3AC8"/>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E3AC8"/>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E3AC8"/>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E3AC8"/>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E3AC8"/>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E3AC8"/>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E3AC8"/>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E3AC8"/>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E3AC8"/>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E3AC8"/>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E3AC8"/>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EE3AC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E3AC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E3AC8"/>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E3AC8"/>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E3AC8"/>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E3AC8"/>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E3AC8"/>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E3AC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E3AC8"/>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E3AC8"/>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E3AC8"/>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E3AC8"/>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E3AC8"/>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E3AC8"/>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E3AC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E3AC8"/>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E3AC8"/>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E3AC8"/>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E3AC8"/>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E3AC8"/>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E3AC8"/>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E3AC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E3AC8"/>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E3AC8"/>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E3AC8"/>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E3AC8"/>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E3AC8"/>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E3AC8"/>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E3A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E3A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E3A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E3A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E3A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E3A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E3A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E3AC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E3AC8"/>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E3AC8"/>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E3AC8"/>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E3AC8"/>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E3AC8"/>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E3AC8"/>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E3AC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E3AC8"/>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E3AC8"/>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E3AC8"/>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E3AC8"/>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E3AC8"/>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E3AC8"/>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
    <w:name w:val="Hashtag"/>
    <w:basedOn w:val="DefaultParagraphFont"/>
    <w:uiPriority w:val="99"/>
    <w:semiHidden/>
    <w:unhideWhenUsed/>
    <w:rsid w:val="00EE3AC8"/>
    <w:rPr>
      <w:color w:val="2B579A"/>
      <w:shd w:val="clear" w:color="auto" w:fill="E6E6E6"/>
    </w:rPr>
  </w:style>
  <w:style w:type="character" w:styleId="IntenseEmphasis">
    <w:name w:val="Intense Emphasis"/>
    <w:basedOn w:val="DefaultParagraphFont"/>
    <w:uiPriority w:val="21"/>
    <w:qFormat/>
    <w:rsid w:val="00EE3AC8"/>
    <w:rPr>
      <w:i/>
      <w:iCs/>
      <w:color w:val="4F81BD" w:themeColor="accent1"/>
    </w:rPr>
  </w:style>
  <w:style w:type="character" w:styleId="IntenseReference">
    <w:name w:val="Intense Reference"/>
    <w:basedOn w:val="DefaultParagraphFont"/>
    <w:uiPriority w:val="32"/>
    <w:qFormat/>
    <w:rsid w:val="00EE3AC8"/>
    <w:rPr>
      <w:b/>
      <w:bCs/>
      <w:smallCaps/>
      <w:color w:val="4F81BD" w:themeColor="accent1"/>
      <w:spacing w:val="5"/>
    </w:rPr>
  </w:style>
  <w:style w:type="table" w:styleId="LightGrid-Accent1">
    <w:name w:val="Light Grid Accent 1"/>
    <w:basedOn w:val="TableNormal"/>
    <w:uiPriority w:val="62"/>
    <w:semiHidden/>
    <w:unhideWhenUsed/>
    <w:rsid w:val="00EE3AC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E3AC8"/>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E3AC8"/>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E3AC8"/>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E3AC8"/>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E3AC8"/>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Accent1">
    <w:name w:val="Light List Accent 1"/>
    <w:basedOn w:val="TableNormal"/>
    <w:uiPriority w:val="61"/>
    <w:semiHidden/>
    <w:unhideWhenUsed/>
    <w:rsid w:val="00EE3AC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E3AC8"/>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E3AC8"/>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E3AC8"/>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E3AC8"/>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E3AC8"/>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E3AC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E3AC8"/>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E3AC8"/>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E3AC8"/>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E3AC8"/>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E3AC8"/>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E3AC8"/>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Table1Light">
    <w:name w:val="List Table 1 Light"/>
    <w:basedOn w:val="TableNormal"/>
    <w:uiPriority w:val="46"/>
    <w:rsid w:val="00EE3AC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E3AC8"/>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E3AC8"/>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E3AC8"/>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E3AC8"/>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E3AC8"/>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E3AC8"/>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E3AC8"/>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E3AC8"/>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E3AC8"/>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E3AC8"/>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E3AC8"/>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E3AC8"/>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E3AC8"/>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E3AC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E3AC8"/>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E3AC8"/>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E3AC8"/>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E3AC8"/>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E3AC8"/>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E3AC8"/>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E3AC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E3AC8"/>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E3AC8"/>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E3AC8"/>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E3AC8"/>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E3AC8"/>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E3AC8"/>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E3AC8"/>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E3AC8"/>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E3AC8"/>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E3AC8"/>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E3AC8"/>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E3AC8"/>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E3AC8"/>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E3AC8"/>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E3AC8"/>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E3AC8"/>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E3AC8"/>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E3AC8"/>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E3AC8"/>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E3AC8"/>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E3AC8"/>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E3AC8"/>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E3AC8"/>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E3AC8"/>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E3AC8"/>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E3AC8"/>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E3AC8"/>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EE3AC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E3AC8"/>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E3AC8"/>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E3AC8"/>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E3AC8"/>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E3AC8"/>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E3AC8"/>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E3A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E3A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E3A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E3A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E3A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E3A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E3A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E3AC8"/>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E3AC8"/>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E3AC8"/>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E3AC8"/>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E3AC8"/>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E3AC8"/>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E3AC8"/>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E3AC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E3AC8"/>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E3AC8"/>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E3AC8"/>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E3AC8"/>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E3AC8"/>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E3AC8"/>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E3A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EE3A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EE3A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EE3A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EE3A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EE3A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EE3A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
    <w:name w:val="Mention"/>
    <w:basedOn w:val="DefaultParagraphFont"/>
    <w:uiPriority w:val="99"/>
    <w:semiHidden/>
    <w:unhideWhenUsed/>
    <w:rsid w:val="00EE3AC8"/>
    <w:rPr>
      <w:color w:val="2B579A"/>
      <w:shd w:val="clear" w:color="auto" w:fill="E6E6E6"/>
    </w:rPr>
  </w:style>
  <w:style w:type="table" w:styleId="PlainTable3">
    <w:name w:val="Plain Table 3"/>
    <w:basedOn w:val="TableNormal"/>
    <w:uiPriority w:val="43"/>
    <w:rsid w:val="00EE3AC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E3AC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E3AC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rtHyperlink">
    <w:name w:val="Smart Hyperlink"/>
    <w:basedOn w:val="DefaultParagraphFont"/>
    <w:uiPriority w:val="99"/>
    <w:semiHidden/>
    <w:unhideWhenUsed/>
    <w:rsid w:val="00EE3AC8"/>
    <w:rPr>
      <w:u w:val="dotted"/>
    </w:rPr>
  </w:style>
  <w:style w:type="character" w:styleId="SubtleEmphasis">
    <w:name w:val="Subtle Emphasis"/>
    <w:basedOn w:val="DefaultParagraphFont"/>
    <w:uiPriority w:val="19"/>
    <w:qFormat/>
    <w:rsid w:val="00EE3AC8"/>
    <w:rPr>
      <w:i/>
      <w:iCs/>
      <w:color w:val="404040" w:themeColor="text1" w:themeTint="BF"/>
    </w:rPr>
  </w:style>
  <w:style w:type="character" w:styleId="SubtleReference">
    <w:name w:val="Subtle Reference"/>
    <w:basedOn w:val="DefaultParagraphFont"/>
    <w:uiPriority w:val="31"/>
    <w:qFormat/>
    <w:rsid w:val="00EE3AC8"/>
    <w:rPr>
      <w:smallCaps/>
      <w:color w:val="5A5A5A" w:themeColor="text1" w:themeTint="A5"/>
    </w:rPr>
  </w:style>
  <w:style w:type="paragraph" w:customStyle="1" w:styleId="Paragraph">
    <w:name w:val="Paragraph"/>
    <w:link w:val="ParagraphChar"/>
    <w:qFormat/>
    <w:rsid w:val="00F913F9"/>
    <w:pPr>
      <w:spacing w:after="240" w:line="240" w:lineRule="auto"/>
    </w:pPr>
    <w:rPr>
      <w:rFonts w:ascii="Times New Roman" w:eastAsia="Times New Roman" w:hAnsi="Times New Roman" w:cs="Times New Roman"/>
      <w:sz w:val="24"/>
      <w:szCs w:val="24"/>
      <w:lang w:val="en-GB"/>
    </w:rPr>
  </w:style>
  <w:style w:type="character" w:customStyle="1" w:styleId="ParagraphChar">
    <w:name w:val="Paragraph Char"/>
    <w:basedOn w:val="DefaultParagraphFont"/>
    <w:link w:val="Paragraph"/>
    <w:rsid w:val="00F913F9"/>
    <w:rPr>
      <w:rFonts w:ascii="Times New Roman" w:eastAsia="Times New Roman" w:hAnsi="Times New Roman" w:cs="Times New Roman"/>
      <w:sz w:val="24"/>
      <w:szCs w:val="24"/>
      <w:lang w:val="en-GB"/>
    </w:rPr>
  </w:style>
  <w:style w:type="table" w:styleId="Table3Deffects1">
    <w:name w:val="Table 3D effects 1"/>
    <w:basedOn w:val="TableNormal"/>
    <w:semiHidden/>
    <w:rsid w:val="003B7CFF"/>
    <w:pPr>
      <w:spacing w:after="0" w:line="240" w:lineRule="auto"/>
    </w:pPr>
    <w:rPr>
      <w:rFonts w:ascii="Times New Roman" w:eastAsia="Times New Roma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B7CFF"/>
    <w:pPr>
      <w:spacing w:after="0" w:line="240" w:lineRule="auto"/>
    </w:pPr>
    <w:rPr>
      <w:rFonts w:ascii="Times New Roman" w:eastAsia="Times New Roma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B7CFF"/>
    <w:pPr>
      <w:spacing w:after="0" w:line="240" w:lineRule="auto"/>
    </w:pPr>
    <w:rPr>
      <w:rFonts w:ascii="Times New Roman" w:eastAsia="Times New Roma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B7CFF"/>
    <w:pPr>
      <w:spacing w:after="0" w:line="240" w:lineRule="auto"/>
    </w:pPr>
    <w:rPr>
      <w:rFonts w:ascii="Times New Roman" w:eastAsia="Times New Roma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B7CFF"/>
    <w:pPr>
      <w:spacing w:after="0" w:line="240" w:lineRule="auto"/>
    </w:pPr>
    <w:rPr>
      <w:rFonts w:ascii="Times New Roman" w:eastAsia="Times New Roma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B7CFF"/>
    <w:pPr>
      <w:spacing w:after="0" w:line="240" w:lineRule="auto"/>
    </w:pPr>
    <w:rPr>
      <w:rFonts w:ascii="Times New Roman" w:eastAsia="Times New Roma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Text">
    <w:name w:val="Table Text"/>
    <w:semiHidden/>
    <w:rsid w:val="003B7CFF"/>
    <w:pPr>
      <w:spacing w:before="40" w:after="40" w:line="240" w:lineRule="auto"/>
      <w:jc w:val="center"/>
    </w:pPr>
    <w:rPr>
      <w:rFonts w:ascii="Times New Roman" w:eastAsia="Times New Roman" w:hAnsi="Times New Roman" w:cs="Times New Roman"/>
      <w:sz w:val="20"/>
      <w:szCs w:val="20"/>
      <w:lang w:val="en-GB"/>
    </w:rPr>
  </w:style>
  <w:style w:type="table" w:styleId="TableGrid1">
    <w:name w:val="Table Grid 1"/>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B7CFF"/>
    <w:pPr>
      <w:spacing w:after="0" w:line="240" w:lineRule="auto"/>
    </w:pPr>
    <w:rPr>
      <w:rFonts w:ascii="Times New Roman" w:eastAsia="Times New Roma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3B7CFF"/>
    <w:pPr>
      <w:ind w:left="240" w:hanging="240"/>
    </w:pPr>
  </w:style>
  <w:style w:type="table" w:styleId="TableProfessional">
    <w:name w:val="Table Professional"/>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TableRowHead">
    <w:name w:val="Table Row Head"/>
    <w:basedOn w:val="TableText"/>
    <w:semiHidden/>
    <w:rsid w:val="003B7CFF"/>
    <w:pPr>
      <w:tabs>
        <w:tab w:val="left" w:pos="360"/>
      </w:tabs>
      <w:jc w:val="left"/>
    </w:pPr>
  </w:style>
  <w:style w:type="table" w:styleId="TableSimple1">
    <w:name w:val="Table Simple 1"/>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SummaryHead">
    <w:name w:val="Table Summary Head"/>
    <w:basedOn w:val="TableText"/>
    <w:semiHidden/>
    <w:rsid w:val="003B7CFF"/>
  </w:style>
  <w:style w:type="paragraph" w:customStyle="1" w:styleId="TableSummaryTitle">
    <w:name w:val="Table Summary Title"/>
    <w:basedOn w:val="TableTitle"/>
    <w:next w:val="TableHead"/>
    <w:semiHidden/>
    <w:rsid w:val="003B7CFF"/>
    <w:pPr>
      <w:pageBreakBefore/>
    </w:pPr>
  </w:style>
  <w:style w:type="table" w:styleId="TableTheme">
    <w:name w:val="Table Theme"/>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B7CFF"/>
    <w:pPr>
      <w:spacing w:after="0" w:line="240" w:lineRule="auto"/>
    </w:pPr>
    <w:rPr>
      <w:rFonts w:ascii="Times New Roman" w:eastAsia="Times New Roma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B7CFF"/>
    <w:pPr>
      <w:spacing w:after="0" w:line="240" w:lineRule="auto"/>
    </w:pPr>
    <w:rPr>
      <w:rFonts w:ascii="Times New Roman" w:eastAsia="Times New Roma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B7CFF"/>
    <w:pPr>
      <w:spacing w:after="0" w:line="240" w:lineRule="auto"/>
    </w:pPr>
    <w:rPr>
      <w:rFonts w:ascii="Times New Roman" w:eastAsia="Times New Roma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TableText">
    <w:name w:val="A-Table Text"/>
    <w:basedOn w:val="Normal"/>
    <w:rsid w:val="00474FC2"/>
    <w:pPr>
      <w:spacing w:before="60" w:after="60" w:line="280" w:lineRule="atLeast"/>
    </w:pPr>
    <w:rPr>
      <w:rFonts w:ascii="Arial" w:hAnsi="Arial"/>
      <w:sz w:val="22"/>
      <w:szCs w:val="20"/>
    </w:rPr>
  </w:style>
  <w:style w:type="paragraph" w:customStyle="1" w:styleId="A-FigureTitle">
    <w:name w:val="A-Figure Title"/>
    <w:basedOn w:val="Normal"/>
    <w:next w:val="Normal"/>
    <w:rsid w:val="00474FC2"/>
    <w:pPr>
      <w:keepNext/>
      <w:tabs>
        <w:tab w:val="left" w:pos="1800"/>
      </w:tabs>
      <w:spacing w:after="120" w:line="280" w:lineRule="atLeast"/>
      <w:ind w:left="1800" w:hanging="1800"/>
    </w:pPr>
    <w:rPr>
      <w:rFonts w:ascii="Arial" w:hAnsi="Arial"/>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ga.gov.au/reporting-problem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mgra\Downloads\pi-template-black-triangle%20Jan%202018%20WORK%20IN%20PROGRESS%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599924-CE4B-4CE0-AE26-7D2B8D860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pi-template-black-triangle Jan 2018 WORK IN PROGRESS (1)</Template>
  <TotalTime>1</TotalTime>
  <Pages>19</Pages>
  <Words>6599</Words>
  <Characters>37616</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Attachment: Product Information: Olaparib</vt:lpstr>
    </vt:vector>
  </TitlesOfParts>
  <Company/>
  <LinksUpToDate>false</LinksUpToDate>
  <CharactersWithSpaces>44127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Olaparib</dc:title>
  <dc:subject>prescription medicines</dc:subject>
  <dc:creator/>
  <cp:keywords>AusPARs</cp:keywords>
  <cp:lastPrinted>2017-11-13T05:13:00Z</cp:lastPrinted>
  <dcterms:created xsi:type="dcterms:W3CDTF">2019-10-29T23:40:00Z</dcterms:created>
  <dcterms:modified xsi:type="dcterms:W3CDTF">2019-10-29T23:43:00Z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ingCaptions">
    <vt:lpwstr>No</vt:lpwstr>
  </property>
  <property fmtid="{D5CDD505-2E9C-101B-9397-08002B2CF9AE}" pid="3" name="Prefix">
    <vt:lpwstr/>
  </property>
  <property fmtid="{D5CDD505-2E9C-101B-9397-08002B2CF9AE}" pid="4" name="ANGEL_Document_ID">
    <vt:lpwstr>ANGEL_DocID</vt:lpwstr>
  </property>
  <property fmtid="{D5CDD505-2E9C-101B-9397-08002B2CF9AE}" pid="5" name="ANGEL_Document_Status">
    <vt:lpwstr>ANGEL_Status </vt:lpwstr>
  </property>
  <property fmtid="{D5CDD505-2E9C-101B-9397-08002B2CF9AE}" pid="6" name="ANGEL_PPN">
    <vt:lpwstr>ANGEL_PPN</vt:lpwstr>
  </property>
  <property fmtid="{D5CDD505-2E9C-101B-9397-08002B2CF9AE}" pid="7" name="ANGEL_Product">
    <vt:lpwstr>ProductName</vt:lpwstr>
  </property>
  <property fmtid="{D5CDD505-2E9C-101B-9397-08002B2CF9AE}" pid="8" name="ANGEL_Study_Code">
    <vt:lpwstr>StudyCode</vt:lpwstr>
  </property>
  <property fmtid="{D5CDD505-2E9C-101B-9397-08002B2CF9AE}" pid="9" name="ANGEL_DosageForm">
    <vt:lpwstr>DosageForm</vt:lpwstr>
  </property>
  <property fmtid="{D5CDD505-2E9C-101B-9397-08002B2CF9AE}" pid="10" name="ANGEL_Version">
    <vt:lpwstr>ANGEL_Version</vt:lpwstr>
  </property>
  <property fmtid="{D5CDD505-2E9C-101B-9397-08002B2CF9AE}" pid="11" name="ANGEL_DocumentName">
    <vt:lpwstr>ANGEL_DocumentName</vt:lpwstr>
  </property>
</Properties>
</file>