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01966B3F" w14:textId="77777777" w:rsidTr="00BF1190">
        <w:trPr>
          <w:trHeight w:val="1863"/>
        </w:trPr>
        <w:tc>
          <w:tcPr>
            <w:tcW w:w="3652" w:type="dxa"/>
            <w:tcBorders>
              <w:top w:val="nil"/>
              <w:left w:val="nil"/>
              <w:bottom w:val="nil"/>
              <w:right w:val="nil"/>
            </w:tcBorders>
          </w:tcPr>
          <w:p w14:paraId="30E94F5D" w14:textId="0D575BF7" w:rsidR="008E7846" w:rsidRPr="00096AA7" w:rsidRDefault="005A7379" w:rsidP="005A7379">
            <w:pPr>
              <w:rPr>
                <w:rFonts w:ascii="Arial" w:hAnsi="Arial" w:cs="Arial"/>
                <w:b/>
                <w:color w:val="002C47"/>
                <w:sz w:val="36"/>
                <w:szCs w:val="36"/>
              </w:rPr>
            </w:pPr>
            <w:bookmarkStart w:id="0" w:name="_GoBack"/>
            <w:bookmarkEnd w:id="0"/>
            <w:r>
              <w:rPr>
                <w:rFonts w:ascii="Arial" w:hAnsi="Arial" w:cs="Arial"/>
                <w:b/>
                <w:color w:val="002C47"/>
                <w:sz w:val="36"/>
                <w:szCs w:val="36"/>
              </w:rPr>
              <w:t>February</w:t>
            </w:r>
            <w:r w:rsidR="000B5ED0">
              <w:rPr>
                <w:rFonts w:ascii="Arial" w:hAnsi="Arial" w:cs="Arial"/>
                <w:b/>
                <w:color w:val="002C47"/>
                <w:sz w:val="36"/>
                <w:szCs w:val="36"/>
              </w:rPr>
              <w:t xml:space="preserve"> </w:t>
            </w:r>
            <w:r w:rsidR="00097125">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5A8E8FDD" w14:textId="77777777" w:rsidTr="0032583B">
        <w:trPr>
          <w:trHeight w:val="868"/>
        </w:trPr>
        <w:tc>
          <w:tcPr>
            <w:tcW w:w="9079" w:type="dxa"/>
          </w:tcPr>
          <w:p w14:paraId="029CF5CE" w14:textId="77777777"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097125" w:rsidRPr="00097125">
              <w:rPr>
                <w:color w:val="FFFFFF" w:themeColor="background1"/>
              </w:rPr>
              <w:t>Olaparib</w:t>
            </w:r>
          </w:p>
        </w:tc>
      </w:tr>
      <w:tr w:rsidR="0032583B" w:rsidRPr="00B64760" w14:paraId="5C4A64E6" w14:textId="77777777" w:rsidTr="0032583B">
        <w:tc>
          <w:tcPr>
            <w:tcW w:w="9079" w:type="dxa"/>
          </w:tcPr>
          <w:p w14:paraId="2A32072F" w14:textId="77777777" w:rsidR="0032583B" w:rsidRPr="008E7846" w:rsidRDefault="00097125" w:rsidP="00097125">
            <w:pPr>
              <w:pStyle w:val="Subtitle"/>
              <w:rPr>
                <w:color w:val="FFFFFF" w:themeColor="background1"/>
              </w:rPr>
            </w:pPr>
            <w:r>
              <w:rPr>
                <w:color w:val="FFFFFF" w:themeColor="background1"/>
              </w:rPr>
              <w:t xml:space="preserve">Proprietary Product Name: </w:t>
            </w:r>
            <w:r w:rsidR="002B698E">
              <w:rPr>
                <w:color w:val="FFFFFF" w:themeColor="background1"/>
              </w:rPr>
              <w:t>Lynparza</w:t>
            </w:r>
          </w:p>
        </w:tc>
      </w:tr>
      <w:tr w:rsidR="0032583B" w:rsidRPr="00B64760" w14:paraId="000D5FAD" w14:textId="77777777" w:rsidTr="0032583B">
        <w:trPr>
          <w:trHeight w:val="486"/>
        </w:trPr>
        <w:tc>
          <w:tcPr>
            <w:tcW w:w="9079" w:type="dxa"/>
          </w:tcPr>
          <w:p w14:paraId="2D0DA8B1" w14:textId="77777777" w:rsidR="0032583B" w:rsidRPr="008E7846" w:rsidRDefault="0032583B" w:rsidP="0032583B">
            <w:pPr>
              <w:pStyle w:val="Subtitle"/>
              <w:rPr>
                <w:color w:val="FFFFFF" w:themeColor="background1"/>
              </w:rPr>
            </w:pPr>
            <w:r w:rsidRPr="008E7846">
              <w:rPr>
                <w:color w:val="FFFFFF" w:themeColor="background1"/>
              </w:rPr>
              <w:t xml:space="preserve">Sponsor: </w:t>
            </w:r>
            <w:r w:rsidR="00097125">
              <w:rPr>
                <w:color w:val="FFFFFF" w:themeColor="background1"/>
              </w:rPr>
              <w:t>AstraZeneca Pty Ltd</w:t>
            </w:r>
            <w:r w:rsidRPr="008E7846">
              <w:rPr>
                <w:color w:val="FFFFFF" w:themeColor="background1"/>
              </w:rPr>
              <w:t xml:space="preserve"> </w:t>
            </w:r>
          </w:p>
        </w:tc>
      </w:tr>
    </w:tbl>
    <w:p w14:paraId="1C1C2D5E" w14:textId="77777777" w:rsidR="008E7846" w:rsidRPr="0085156D" w:rsidRDefault="008E7846" w:rsidP="0085156D">
      <w:r w:rsidRPr="0085156D">
        <w:br w:type="page"/>
      </w:r>
    </w:p>
    <w:p w14:paraId="00052780" w14:textId="77777777" w:rsidR="008E7846" w:rsidRPr="001F6CBA" w:rsidRDefault="008E7846" w:rsidP="008E7846">
      <w:pPr>
        <w:pStyle w:val="NonTOCHeading2"/>
      </w:pPr>
      <w:r w:rsidRPr="001F6CBA">
        <w:lastRenderedPageBreak/>
        <w:t>About the Therapeutic Goods Administration (TGA)</w:t>
      </w:r>
    </w:p>
    <w:p w14:paraId="60C90B07" w14:textId="77777777" w:rsidR="008E7846" w:rsidRDefault="008E7846" w:rsidP="00A37F7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BB8E7DC" w14:textId="77777777" w:rsidR="008E7846" w:rsidRDefault="00C80137" w:rsidP="00A37F72">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1FA39BDF" w14:textId="77777777" w:rsidR="008E7846" w:rsidRDefault="008E7846" w:rsidP="00A37F72">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629F6F49" w14:textId="77777777" w:rsidR="008E7846" w:rsidRDefault="008E7846" w:rsidP="00A37F72">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197D22FB" w14:textId="77777777" w:rsidR="00441C3F" w:rsidRDefault="008E7846" w:rsidP="00A37F72">
      <w:pPr>
        <w:pStyle w:val="ListBullet"/>
        <w:numPr>
          <w:ilvl w:val="0"/>
          <w:numId w:val="1"/>
        </w:numPr>
        <w:ind w:left="357" w:hanging="357"/>
      </w:pPr>
      <w:r>
        <w:t xml:space="preserve">To report a problem with a medicine or medical device, please see the information on </w:t>
      </w:r>
      <w:r w:rsidR="00441C3F">
        <w:t xml:space="preserve">the TGA website </w:t>
      </w:r>
      <w:r w:rsidR="002B698E">
        <w:t xml:space="preserve">&lt; </w:t>
      </w:r>
      <w:hyperlink r:id="rId9" w:history="1">
        <w:r w:rsidR="00441C3F">
          <w:rPr>
            <w:rStyle w:val="Hyperlink"/>
          </w:rPr>
          <w:t>https://www.tga.gov.au</w:t>
        </w:r>
      </w:hyperlink>
      <w:r w:rsidR="00441C3F">
        <w:t>&gt;.</w:t>
      </w:r>
    </w:p>
    <w:p w14:paraId="70B3BA64" w14:textId="77777777" w:rsidR="008E7846" w:rsidRDefault="008E7846" w:rsidP="00875A6B">
      <w:pPr>
        <w:pStyle w:val="NonTOCHeading2"/>
      </w:pPr>
      <w:r>
        <w:t>About AusPARs</w:t>
      </w:r>
    </w:p>
    <w:p w14:paraId="3A028BE9" w14:textId="77777777" w:rsidR="008E7846" w:rsidRDefault="008E7846" w:rsidP="00A37F72">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0EBE2D9C" w14:textId="77777777" w:rsidR="008E7846" w:rsidRDefault="008E7846" w:rsidP="00A37F72">
      <w:pPr>
        <w:pStyle w:val="ListBullet"/>
        <w:numPr>
          <w:ilvl w:val="0"/>
          <w:numId w:val="1"/>
        </w:numPr>
        <w:ind w:left="357" w:hanging="357"/>
      </w:pPr>
      <w:r>
        <w:t>AusPARs are prepared and published by the TGA.</w:t>
      </w:r>
    </w:p>
    <w:p w14:paraId="30E8637C" w14:textId="77777777" w:rsidR="008E7846" w:rsidRDefault="008E7846" w:rsidP="00A37F72">
      <w:pPr>
        <w:pStyle w:val="ListBullet"/>
        <w:numPr>
          <w:ilvl w:val="0"/>
          <w:numId w:val="1"/>
        </w:numPr>
        <w:ind w:left="357" w:hanging="357"/>
      </w:pPr>
      <w:r>
        <w:t>An AusPAR is prepared for submissions that relate to new chemical entities, generic medicines, major variations and extensions of indications.</w:t>
      </w:r>
    </w:p>
    <w:p w14:paraId="5E3D4D28" w14:textId="77777777" w:rsidR="008E7846" w:rsidRDefault="008E7846" w:rsidP="00A37F72">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70C5F1D0" w14:textId="77777777" w:rsidR="00B452CE" w:rsidRDefault="008E7846" w:rsidP="00A37F72">
      <w:pPr>
        <w:pStyle w:val="ListBullet"/>
        <w:numPr>
          <w:ilvl w:val="0"/>
          <w:numId w:val="1"/>
        </w:numPr>
        <w:ind w:left="357" w:hanging="357"/>
      </w:pPr>
      <w:r>
        <w:t>A new AusPAR will be developed to reflect changes to indications and/or major variations to a prescription medicine subject to evaluation by the TGA.</w:t>
      </w:r>
    </w:p>
    <w:p w14:paraId="74DAA32F" w14:textId="77777777" w:rsidR="00924482" w:rsidRPr="00DF1D7F" w:rsidRDefault="00924482" w:rsidP="00F54B65">
      <w:pPr>
        <w:pStyle w:val="LegalSubheading"/>
        <w:spacing w:before="3120"/>
      </w:pPr>
      <w:r w:rsidRPr="00DF1D7F">
        <w:t>Copyright</w:t>
      </w:r>
    </w:p>
    <w:p w14:paraId="02B32E33" w14:textId="393EFA7F" w:rsidR="00924482" w:rsidRDefault="00924482" w:rsidP="00924482">
      <w:pPr>
        <w:pStyle w:val="LegalCopy"/>
      </w:pPr>
      <w:r w:rsidRPr="00191B3B">
        <w:rPr>
          <w:rFonts w:cs="Arial"/>
          <w:lang w:val="en-GB"/>
        </w:rPr>
        <w:t>© Comm</w:t>
      </w:r>
      <w:r>
        <w:rPr>
          <w:rFonts w:cs="Arial"/>
          <w:lang w:val="en-GB"/>
        </w:rPr>
        <w:t>onwealth of Australia 201</w:t>
      </w:r>
      <w:r w:rsidR="00A5248F">
        <w:rPr>
          <w:rFonts w:cs="Arial"/>
          <w:lang w:val="en-GB"/>
        </w:rPr>
        <w:t>9</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2B698E">
        <w:rPr>
          <w:rFonts w:cs="Arial"/>
          <w:lang w:val="en-GB"/>
        </w:rPr>
        <w:t xml:space="preserve">&lt; </w:t>
      </w:r>
      <w:hyperlink r:id="rId10" w:history="1">
        <w:r w:rsidRPr="00191B3B">
          <w:rPr>
            <w:rStyle w:val="Hyperlink"/>
            <w:rFonts w:cs="Arial"/>
            <w:lang w:val="en-GB"/>
          </w:rPr>
          <w:t>tga.copyright@tga.gov.au</w:t>
        </w:r>
      </w:hyperlink>
      <w:r w:rsidRPr="00191B3B">
        <w:rPr>
          <w:rFonts w:cs="Arial"/>
        </w:rPr>
        <w:t>&gt;.</w:t>
      </w:r>
    </w:p>
    <w:p w14:paraId="2F001233"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0C706CC" w14:textId="77777777" w:rsidR="0089635C" w:rsidRPr="0089635C" w:rsidRDefault="0089635C" w:rsidP="0010788A">
          <w:pPr>
            <w:pStyle w:val="Contents"/>
          </w:pPr>
          <w:r w:rsidRPr="0010788A">
            <w:t>Contents</w:t>
          </w:r>
        </w:p>
        <w:p w14:paraId="13D09E1F" w14:textId="77777777" w:rsidR="003A69DF"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8053798" w:history="1">
            <w:r w:rsidR="003A69DF" w:rsidRPr="00636B28">
              <w:rPr>
                <w:rStyle w:val="Hyperlink"/>
                <w:noProof/>
              </w:rPr>
              <w:t>Common abbreviations</w:t>
            </w:r>
            <w:r w:rsidR="003A69DF">
              <w:rPr>
                <w:noProof/>
                <w:webHidden/>
              </w:rPr>
              <w:tab/>
            </w:r>
            <w:r w:rsidR="003A69DF">
              <w:rPr>
                <w:noProof/>
                <w:webHidden/>
              </w:rPr>
              <w:fldChar w:fldCharType="begin"/>
            </w:r>
            <w:r w:rsidR="003A69DF">
              <w:rPr>
                <w:noProof/>
                <w:webHidden/>
              </w:rPr>
              <w:instrText xml:space="preserve"> PAGEREF _Toc8053798 \h </w:instrText>
            </w:r>
            <w:r w:rsidR="003A69DF">
              <w:rPr>
                <w:noProof/>
                <w:webHidden/>
              </w:rPr>
            </w:r>
            <w:r w:rsidR="003A69DF">
              <w:rPr>
                <w:noProof/>
                <w:webHidden/>
              </w:rPr>
              <w:fldChar w:fldCharType="separate"/>
            </w:r>
            <w:r w:rsidR="003A69DF">
              <w:rPr>
                <w:noProof/>
                <w:webHidden/>
              </w:rPr>
              <w:t>5</w:t>
            </w:r>
            <w:r w:rsidR="003A69DF">
              <w:rPr>
                <w:noProof/>
                <w:webHidden/>
              </w:rPr>
              <w:fldChar w:fldCharType="end"/>
            </w:r>
          </w:hyperlink>
        </w:p>
        <w:p w14:paraId="454ED3CB" w14:textId="77777777" w:rsidR="003A69DF" w:rsidRDefault="00AB0292">
          <w:pPr>
            <w:pStyle w:val="TOC2"/>
            <w:rPr>
              <w:rFonts w:asciiTheme="minorHAnsi" w:eastAsiaTheme="minorEastAsia" w:hAnsiTheme="minorHAnsi" w:cstheme="minorBidi"/>
              <w:b w:val="0"/>
              <w:noProof/>
              <w:sz w:val="22"/>
              <w:lang w:eastAsia="en-AU"/>
            </w:rPr>
          </w:pPr>
          <w:hyperlink w:anchor="_Toc8053799" w:history="1">
            <w:r w:rsidR="003A69DF" w:rsidRPr="00636B28">
              <w:rPr>
                <w:rStyle w:val="Hyperlink"/>
                <w:noProof/>
              </w:rPr>
              <w:t>I. Introduction to product submission</w:t>
            </w:r>
            <w:r w:rsidR="003A69DF">
              <w:rPr>
                <w:noProof/>
                <w:webHidden/>
              </w:rPr>
              <w:tab/>
            </w:r>
            <w:r w:rsidR="003A69DF">
              <w:rPr>
                <w:noProof/>
                <w:webHidden/>
              </w:rPr>
              <w:fldChar w:fldCharType="begin"/>
            </w:r>
            <w:r w:rsidR="003A69DF">
              <w:rPr>
                <w:noProof/>
                <w:webHidden/>
              </w:rPr>
              <w:instrText xml:space="preserve"> PAGEREF _Toc8053799 \h </w:instrText>
            </w:r>
            <w:r w:rsidR="003A69DF">
              <w:rPr>
                <w:noProof/>
                <w:webHidden/>
              </w:rPr>
            </w:r>
            <w:r w:rsidR="003A69DF">
              <w:rPr>
                <w:noProof/>
                <w:webHidden/>
              </w:rPr>
              <w:fldChar w:fldCharType="separate"/>
            </w:r>
            <w:r w:rsidR="003A69DF">
              <w:rPr>
                <w:noProof/>
                <w:webHidden/>
              </w:rPr>
              <w:t>9</w:t>
            </w:r>
            <w:r w:rsidR="003A69DF">
              <w:rPr>
                <w:noProof/>
                <w:webHidden/>
              </w:rPr>
              <w:fldChar w:fldCharType="end"/>
            </w:r>
          </w:hyperlink>
        </w:p>
        <w:p w14:paraId="7C1FE5FD" w14:textId="77777777" w:rsidR="003A69DF" w:rsidRDefault="003A69DF">
          <w:pPr>
            <w:pStyle w:val="TOC3"/>
            <w:rPr>
              <w:rFonts w:asciiTheme="minorHAnsi" w:eastAsiaTheme="minorEastAsia" w:hAnsiTheme="minorHAnsi" w:cstheme="minorBidi"/>
              <w:noProof/>
              <w:lang w:eastAsia="en-AU"/>
            </w:rPr>
          </w:pPr>
          <w:hyperlink w:anchor="_Toc8053800" w:history="1">
            <w:r w:rsidRPr="00636B28">
              <w:rPr>
                <w:rStyle w:val="Hyperlink"/>
                <w:noProof/>
                <w:lang w:eastAsia="en-AU"/>
              </w:rPr>
              <w:t>Submission details</w:t>
            </w:r>
            <w:r>
              <w:rPr>
                <w:noProof/>
                <w:webHidden/>
              </w:rPr>
              <w:tab/>
            </w:r>
            <w:r>
              <w:rPr>
                <w:noProof/>
                <w:webHidden/>
              </w:rPr>
              <w:fldChar w:fldCharType="begin"/>
            </w:r>
            <w:r>
              <w:rPr>
                <w:noProof/>
                <w:webHidden/>
              </w:rPr>
              <w:instrText xml:space="preserve"> PAGEREF _Toc8053800 \h </w:instrText>
            </w:r>
            <w:r>
              <w:rPr>
                <w:noProof/>
                <w:webHidden/>
              </w:rPr>
            </w:r>
            <w:r>
              <w:rPr>
                <w:noProof/>
                <w:webHidden/>
              </w:rPr>
              <w:fldChar w:fldCharType="separate"/>
            </w:r>
            <w:r>
              <w:rPr>
                <w:noProof/>
                <w:webHidden/>
              </w:rPr>
              <w:t>9</w:t>
            </w:r>
            <w:r>
              <w:rPr>
                <w:noProof/>
                <w:webHidden/>
              </w:rPr>
              <w:fldChar w:fldCharType="end"/>
            </w:r>
          </w:hyperlink>
        </w:p>
        <w:p w14:paraId="6EC7138B" w14:textId="77777777" w:rsidR="003A69DF" w:rsidRDefault="003A69DF">
          <w:pPr>
            <w:pStyle w:val="TOC3"/>
            <w:rPr>
              <w:rFonts w:asciiTheme="minorHAnsi" w:eastAsiaTheme="minorEastAsia" w:hAnsiTheme="minorHAnsi" w:cstheme="minorBidi"/>
              <w:noProof/>
              <w:lang w:eastAsia="en-AU"/>
            </w:rPr>
          </w:pPr>
          <w:hyperlink w:anchor="_Toc8053801" w:history="1">
            <w:r w:rsidRPr="00636B28">
              <w:rPr>
                <w:rStyle w:val="Hyperlink"/>
                <w:noProof/>
              </w:rPr>
              <w:t>Product background</w:t>
            </w:r>
            <w:r>
              <w:rPr>
                <w:noProof/>
                <w:webHidden/>
              </w:rPr>
              <w:tab/>
            </w:r>
            <w:r>
              <w:rPr>
                <w:noProof/>
                <w:webHidden/>
              </w:rPr>
              <w:fldChar w:fldCharType="begin"/>
            </w:r>
            <w:r>
              <w:rPr>
                <w:noProof/>
                <w:webHidden/>
              </w:rPr>
              <w:instrText xml:space="preserve"> PAGEREF _Toc8053801 \h </w:instrText>
            </w:r>
            <w:r>
              <w:rPr>
                <w:noProof/>
                <w:webHidden/>
              </w:rPr>
            </w:r>
            <w:r>
              <w:rPr>
                <w:noProof/>
                <w:webHidden/>
              </w:rPr>
              <w:fldChar w:fldCharType="separate"/>
            </w:r>
            <w:r>
              <w:rPr>
                <w:noProof/>
                <w:webHidden/>
              </w:rPr>
              <w:t>10</w:t>
            </w:r>
            <w:r>
              <w:rPr>
                <w:noProof/>
                <w:webHidden/>
              </w:rPr>
              <w:fldChar w:fldCharType="end"/>
            </w:r>
          </w:hyperlink>
        </w:p>
        <w:p w14:paraId="6645A644" w14:textId="77777777" w:rsidR="003A69DF" w:rsidRDefault="00AB0292">
          <w:pPr>
            <w:pStyle w:val="TOC3"/>
            <w:rPr>
              <w:rFonts w:asciiTheme="minorHAnsi" w:eastAsiaTheme="minorEastAsia" w:hAnsiTheme="minorHAnsi" w:cstheme="minorBidi"/>
              <w:noProof/>
              <w:lang w:eastAsia="en-AU"/>
            </w:rPr>
          </w:pPr>
          <w:hyperlink w:anchor="_Toc8053802" w:history="1">
            <w:r w:rsidR="003A69DF" w:rsidRPr="00636B28">
              <w:rPr>
                <w:rStyle w:val="Hyperlink"/>
                <w:noProof/>
              </w:rPr>
              <w:t>Regulatory status</w:t>
            </w:r>
            <w:r w:rsidR="003A69DF">
              <w:rPr>
                <w:noProof/>
                <w:webHidden/>
              </w:rPr>
              <w:tab/>
            </w:r>
            <w:r w:rsidR="003A69DF">
              <w:rPr>
                <w:noProof/>
                <w:webHidden/>
              </w:rPr>
              <w:fldChar w:fldCharType="begin"/>
            </w:r>
            <w:r w:rsidR="003A69DF">
              <w:rPr>
                <w:noProof/>
                <w:webHidden/>
              </w:rPr>
              <w:instrText xml:space="preserve"> PAGEREF _Toc8053802 \h </w:instrText>
            </w:r>
            <w:r w:rsidR="003A69DF">
              <w:rPr>
                <w:noProof/>
                <w:webHidden/>
              </w:rPr>
            </w:r>
            <w:r w:rsidR="003A69DF">
              <w:rPr>
                <w:noProof/>
                <w:webHidden/>
              </w:rPr>
              <w:fldChar w:fldCharType="separate"/>
            </w:r>
            <w:r w:rsidR="003A69DF">
              <w:rPr>
                <w:noProof/>
                <w:webHidden/>
              </w:rPr>
              <w:t>10</w:t>
            </w:r>
            <w:r w:rsidR="003A69DF">
              <w:rPr>
                <w:noProof/>
                <w:webHidden/>
              </w:rPr>
              <w:fldChar w:fldCharType="end"/>
            </w:r>
          </w:hyperlink>
        </w:p>
        <w:p w14:paraId="190878C4" w14:textId="77777777" w:rsidR="003A69DF" w:rsidRDefault="00AB0292">
          <w:pPr>
            <w:pStyle w:val="TOC3"/>
            <w:rPr>
              <w:rFonts w:asciiTheme="minorHAnsi" w:eastAsiaTheme="minorEastAsia" w:hAnsiTheme="minorHAnsi" w:cstheme="minorBidi"/>
              <w:noProof/>
              <w:lang w:eastAsia="en-AU"/>
            </w:rPr>
          </w:pPr>
          <w:hyperlink w:anchor="_Toc8053803" w:history="1">
            <w:r w:rsidR="003A69DF" w:rsidRPr="00636B28">
              <w:rPr>
                <w:rStyle w:val="Hyperlink"/>
                <w:noProof/>
              </w:rPr>
              <w:t>Product Information</w:t>
            </w:r>
            <w:r w:rsidR="003A69DF">
              <w:rPr>
                <w:noProof/>
                <w:webHidden/>
              </w:rPr>
              <w:tab/>
            </w:r>
            <w:r w:rsidR="003A69DF">
              <w:rPr>
                <w:noProof/>
                <w:webHidden/>
              </w:rPr>
              <w:fldChar w:fldCharType="begin"/>
            </w:r>
            <w:r w:rsidR="003A69DF">
              <w:rPr>
                <w:noProof/>
                <w:webHidden/>
              </w:rPr>
              <w:instrText xml:space="preserve"> PAGEREF _Toc8053803 \h </w:instrText>
            </w:r>
            <w:r w:rsidR="003A69DF">
              <w:rPr>
                <w:noProof/>
                <w:webHidden/>
              </w:rPr>
            </w:r>
            <w:r w:rsidR="003A69DF">
              <w:rPr>
                <w:noProof/>
                <w:webHidden/>
              </w:rPr>
              <w:fldChar w:fldCharType="separate"/>
            </w:r>
            <w:r w:rsidR="003A69DF">
              <w:rPr>
                <w:noProof/>
                <w:webHidden/>
              </w:rPr>
              <w:t>11</w:t>
            </w:r>
            <w:r w:rsidR="003A69DF">
              <w:rPr>
                <w:noProof/>
                <w:webHidden/>
              </w:rPr>
              <w:fldChar w:fldCharType="end"/>
            </w:r>
          </w:hyperlink>
        </w:p>
        <w:p w14:paraId="750DA68E" w14:textId="77777777" w:rsidR="003A69DF" w:rsidRDefault="00AB0292">
          <w:pPr>
            <w:pStyle w:val="TOC2"/>
            <w:rPr>
              <w:rFonts w:asciiTheme="minorHAnsi" w:eastAsiaTheme="minorEastAsia" w:hAnsiTheme="minorHAnsi" w:cstheme="minorBidi"/>
              <w:b w:val="0"/>
              <w:noProof/>
              <w:sz w:val="22"/>
              <w:lang w:eastAsia="en-AU"/>
            </w:rPr>
          </w:pPr>
          <w:hyperlink w:anchor="_Toc8053804" w:history="1">
            <w:r w:rsidR="003A69DF" w:rsidRPr="00636B28">
              <w:rPr>
                <w:rStyle w:val="Hyperlink"/>
                <w:noProof/>
              </w:rPr>
              <w:t>II. Registration time line</w:t>
            </w:r>
            <w:r w:rsidR="003A69DF">
              <w:rPr>
                <w:noProof/>
                <w:webHidden/>
              </w:rPr>
              <w:tab/>
            </w:r>
            <w:r w:rsidR="003A69DF">
              <w:rPr>
                <w:noProof/>
                <w:webHidden/>
              </w:rPr>
              <w:fldChar w:fldCharType="begin"/>
            </w:r>
            <w:r w:rsidR="003A69DF">
              <w:rPr>
                <w:noProof/>
                <w:webHidden/>
              </w:rPr>
              <w:instrText xml:space="preserve"> PAGEREF _Toc8053804 \h </w:instrText>
            </w:r>
            <w:r w:rsidR="003A69DF">
              <w:rPr>
                <w:noProof/>
                <w:webHidden/>
              </w:rPr>
            </w:r>
            <w:r w:rsidR="003A69DF">
              <w:rPr>
                <w:noProof/>
                <w:webHidden/>
              </w:rPr>
              <w:fldChar w:fldCharType="separate"/>
            </w:r>
            <w:r w:rsidR="003A69DF">
              <w:rPr>
                <w:noProof/>
                <w:webHidden/>
              </w:rPr>
              <w:t>11</w:t>
            </w:r>
            <w:r w:rsidR="003A69DF">
              <w:rPr>
                <w:noProof/>
                <w:webHidden/>
              </w:rPr>
              <w:fldChar w:fldCharType="end"/>
            </w:r>
          </w:hyperlink>
        </w:p>
        <w:p w14:paraId="27BB8DFF" w14:textId="77777777" w:rsidR="003A69DF" w:rsidRDefault="00AB0292">
          <w:pPr>
            <w:pStyle w:val="TOC2"/>
            <w:rPr>
              <w:rFonts w:asciiTheme="minorHAnsi" w:eastAsiaTheme="minorEastAsia" w:hAnsiTheme="minorHAnsi" w:cstheme="minorBidi"/>
              <w:b w:val="0"/>
              <w:noProof/>
              <w:sz w:val="22"/>
              <w:lang w:eastAsia="en-AU"/>
            </w:rPr>
          </w:pPr>
          <w:hyperlink w:anchor="_Toc8053805" w:history="1">
            <w:r w:rsidR="003A69DF" w:rsidRPr="00636B28">
              <w:rPr>
                <w:rStyle w:val="Hyperlink"/>
                <w:noProof/>
              </w:rPr>
              <w:t>III. Quality findings</w:t>
            </w:r>
            <w:r w:rsidR="003A69DF">
              <w:rPr>
                <w:noProof/>
                <w:webHidden/>
              </w:rPr>
              <w:tab/>
            </w:r>
            <w:r w:rsidR="003A69DF">
              <w:rPr>
                <w:noProof/>
                <w:webHidden/>
              </w:rPr>
              <w:fldChar w:fldCharType="begin"/>
            </w:r>
            <w:r w:rsidR="003A69DF">
              <w:rPr>
                <w:noProof/>
                <w:webHidden/>
              </w:rPr>
              <w:instrText xml:space="preserve"> PAGEREF _Toc8053805 \h </w:instrText>
            </w:r>
            <w:r w:rsidR="003A69DF">
              <w:rPr>
                <w:noProof/>
                <w:webHidden/>
              </w:rPr>
            </w:r>
            <w:r w:rsidR="003A69DF">
              <w:rPr>
                <w:noProof/>
                <w:webHidden/>
              </w:rPr>
              <w:fldChar w:fldCharType="separate"/>
            </w:r>
            <w:r w:rsidR="003A69DF">
              <w:rPr>
                <w:noProof/>
                <w:webHidden/>
              </w:rPr>
              <w:t>12</w:t>
            </w:r>
            <w:r w:rsidR="003A69DF">
              <w:rPr>
                <w:noProof/>
                <w:webHidden/>
              </w:rPr>
              <w:fldChar w:fldCharType="end"/>
            </w:r>
          </w:hyperlink>
        </w:p>
        <w:p w14:paraId="61434594" w14:textId="77777777" w:rsidR="003A69DF" w:rsidRDefault="00AB0292">
          <w:pPr>
            <w:pStyle w:val="TOC3"/>
            <w:rPr>
              <w:rFonts w:asciiTheme="minorHAnsi" w:eastAsiaTheme="minorEastAsia" w:hAnsiTheme="minorHAnsi" w:cstheme="minorBidi"/>
              <w:noProof/>
              <w:lang w:eastAsia="en-AU"/>
            </w:rPr>
          </w:pPr>
          <w:hyperlink w:anchor="_Toc8053806" w:history="1">
            <w:r w:rsidR="003A69DF" w:rsidRPr="00636B28">
              <w:rPr>
                <w:rStyle w:val="Hyperlink"/>
                <w:noProof/>
              </w:rPr>
              <w:t>Introduction</w:t>
            </w:r>
            <w:r w:rsidR="003A69DF">
              <w:rPr>
                <w:noProof/>
                <w:webHidden/>
              </w:rPr>
              <w:tab/>
            </w:r>
            <w:r w:rsidR="003A69DF">
              <w:rPr>
                <w:noProof/>
                <w:webHidden/>
              </w:rPr>
              <w:fldChar w:fldCharType="begin"/>
            </w:r>
            <w:r w:rsidR="003A69DF">
              <w:rPr>
                <w:noProof/>
                <w:webHidden/>
              </w:rPr>
              <w:instrText xml:space="preserve"> PAGEREF _Toc8053806 \h </w:instrText>
            </w:r>
            <w:r w:rsidR="003A69DF">
              <w:rPr>
                <w:noProof/>
                <w:webHidden/>
              </w:rPr>
            </w:r>
            <w:r w:rsidR="003A69DF">
              <w:rPr>
                <w:noProof/>
                <w:webHidden/>
              </w:rPr>
              <w:fldChar w:fldCharType="separate"/>
            </w:r>
            <w:r w:rsidR="003A69DF">
              <w:rPr>
                <w:noProof/>
                <w:webHidden/>
              </w:rPr>
              <w:t>12</w:t>
            </w:r>
            <w:r w:rsidR="003A69DF">
              <w:rPr>
                <w:noProof/>
                <w:webHidden/>
              </w:rPr>
              <w:fldChar w:fldCharType="end"/>
            </w:r>
          </w:hyperlink>
        </w:p>
        <w:p w14:paraId="6CD125B7" w14:textId="77777777" w:rsidR="003A69DF" w:rsidRDefault="00AB0292">
          <w:pPr>
            <w:pStyle w:val="TOC3"/>
            <w:rPr>
              <w:rFonts w:asciiTheme="minorHAnsi" w:eastAsiaTheme="minorEastAsia" w:hAnsiTheme="minorHAnsi" w:cstheme="minorBidi"/>
              <w:noProof/>
              <w:lang w:eastAsia="en-AU"/>
            </w:rPr>
          </w:pPr>
          <w:hyperlink w:anchor="_Toc8053807" w:history="1">
            <w:r w:rsidR="003A69DF" w:rsidRPr="00636B28">
              <w:rPr>
                <w:rStyle w:val="Hyperlink"/>
                <w:noProof/>
              </w:rPr>
              <w:t>Drug substance (active ingredient)</w:t>
            </w:r>
            <w:r w:rsidR="003A69DF">
              <w:rPr>
                <w:noProof/>
                <w:webHidden/>
              </w:rPr>
              <w:tab/>
            </w:r>
            <w:r w:rsidR="003A69DF">
              <w:rPr>
                <w:noProof/>
                <w:webHidden/>
              </w:rPr>
              <w:fldChar w:fldCharType="begin"/>
            </w:r>
            <w:r w:rsidR="003A69DF">
              <w:rPr>
                <w:noProof/>
                <w:webHidden/>
              </w:rPr>
              <w:instrText xml:space="preserve"> PAGEREF _Toc8053807 \h </w:instrText>
            </w:r>
            <w:r w:rsidR="003A69DF">
              <w:rPr>
                <w:noProof/>
                <w:webHidden/>
              </w:rPr>
            </w:r>
            <w:r w:rsidR="003A69DF">
              <w:rPr>
                <w:noProof/>
                <w:webHidden/>
              </w:rPr>
              <w:fldChar w:fldCharType="separate"/>
            </w:r>
            <w:r w:rsidR="003A69DF">
              <w:rPr>
                <w:noProof/>
                <w:webHidden/>
              </w:rPr>
              <w:t>12</w:t>
            </w:r>
            <w:r w:rsidR="003A69DF">
              <w:rPr>
                <w:noProof/>
                <w:webHidden/>
              </w:rPr>
              <w:fldChar w:fldCharType="end"/>
            </w:r>
          </w:hyperlink>
        </w:p>
        <w:p w14:paraId="2EA0CD5A" w14:textId="77777777" w:rsidR="003A69DF" w:rsidRDefault="00AB0292">
          <w:pPr>
            <w:pStyle w:val="TOC3"/>
            <w:rPr>
              <w:rFonts w:asciiTheme="minorHAnsi" w:eastAsiaTheme="minorEastAsia" w:hAnsiTheme="minorHAnsi" w:cstheme="minorBidi"/>
              <w:noProof/>
              <w:lang w:eastAsia="en-AU"/>
            </w:rPr>
          </w:pPr>
          <w:hyperlink w:anchor="_Toc8053808" w:history="1">
            <w:r w:rsidR="003A69DF" w:rsidRPr="00636B28">
              <w:rPr>
                <w:rStyle w:val="Hyperlink"/>
                <w:noProof/>
              </w:rPr>
              <w:t>Drug product</w:t>
            </w:r>
            <w:r w:rsidR="003A69DF">
              <w:rPr>
                <w:noProof/>
                <w:webHidden/>
              </w:rPr>
              <w:tab/>
            </w:r>
            <w:r w:rsidR="003A69DF">
              <w:rPr>
                <w:noProof/>
                <w:webHidden/>
              </w:rPr>
              <w:fldChar w:fldCharType="begin"/>
            </w:r>
            <w:r w:rsidR="003A69DF">
              <w:rPr>
                <w:noProof/>
                <w:webHidden/>
              </w:rPr>
              <w:instrText xml:space="preserve"> PAGEREF _Toc8053808 \h </w:instrText>
            </w:r>
            <w:r w:rsidR="003A69DF">
              <w:rPr>
                <w:noProof/>
                <w:webHidden/>
              </w:rPr>
            </w:r>
            <w:r w:rsidR="003A69DF">
              <w:rPr>
                <w:noProof/>
                <w:webHidden/>
              </w:rPr>
              <w:fldChar w:fldCharType="separate"/>
            </w:r>
            <w:r w:rsidR="003A69DF">
              <w:rPr>
                <w:noProof/>
                <w:webHidden/>
              </w:rPr>
              <w:t>13</w:t>
            </w:r>
            <w:r w:rsidR="003A69DF">
              <w:rPr>
                <w:noProof/>
                <w:webHidden/>
              </w:rPr>
              <w:fldChar w:fldCharType="end"/>
            </w:r>
          </w:hyperlink>
        </w:p>
        <w:p w14:paraId="69F2B083" w14:textId="77777777" w:rsidR="003A69DF" w:rsidRDefault="00AB0292">
          <w:pPr>
            <w:pStyle w:val="TOC3"/>
            <w:rPr>
              <w:rFonts w:asciiTheme="minorHAnsi" w:eastAsiaTheme="minorEastAsia" w:hAnsiTheme="minorHAnsi" w:cstheme="minorBidi"/>
              <w:noProof/>
              <w:lang w:eastAsia="en-AU"/>
            </w:rPr>
          </w:pPr>
          <w:hyperlink w:anchor="_Toc8053809" w:history="1">
            <w:r w:rsidR="003A69DF" w:rsidRPr="00636B28">
              <w:rPr>
                <w:rStyle w:val="Hyperlink"/>
                <w:noProof/>
              </w:rPr>
              <w:t>Biopharmaceutics</w:t>
            </w:r>
            <w:r w:rsidR="003A69DF">
              <w:rPr>
                <w:noProof/>
                <w:webHidden/>
              </w:rPr>
              <w:tab/>
            </w:r>
            <w:r w:rsidR="003A69DF">
              <w:rPr>
                <w:noProof/>
                <w:webHidden/>
              </w:rPr>
              <w:fldChar w:fldCharType="begin"/>
            </w:r>
            <w:r w:rsidR="003A69DF">
              <w:rPr>
                <w:noProof/>
                <w:webHidden/>
              </w:rPr>
              <w:instrText xml:space="preserve"> PAGEREF _Toc8053809 \h </w:instrText>
            </w:r>
            <w:r w:rsidR="003A69DF">
              <w:rPr>
                <w:noProof/>
                <w:webHidden/>
              </w:rPr>
            </w:r>
            <w:r w:rsidR="003A69DF">
              <w:rPr>
                <w:noProof/>
                <w:webHidden/>
              </w:rPr>
              <w:fldChar w:fldCharType="separate"/>
            </w:r>
            <w:r w:rsidR="003A69DF">
              <w:rPr>
                <w:noProof/>
                <w:webHidden/>
              </w:rPr>
              <w:t>14</w:t>
            </w:r>
            <w:r w:rsidR="003A69DF">
              <w:rPr>
                <w:noProof/>
                <w:webHidden/>
              </w:rPr>
              <w:fldChar w:fldCharType="end"/>
            </w:r>
          </w:hyperlink>
        </w:p>
        <w:p w14:paraId="1E6A81FC" w14:textId="77777777" w:rsidR="003A69DF" w:rsidRDefault="00AB0292">
          <w:pPr>
            <w:pStyle w:val="TOC3"/>
            <w:rPr>
              <w:rFonts w:asciiTheme="minorHAnsi" w:eastAsiaTheme="minorEastAsia" w:hAnsiTheme="minorHAnsi" w:cstheme="minorBidi"/>
              <w:noProof/>
              <w:lang w:eastAsia="en-AU"/>
            </w:rPr>
          </w:pPr>
          <w:hyperlink w:anchor="_Toc8053810" w:history="1">
            <w:r w:rsidR="003A69DF" w:rsidRPr="00636B28">
              <w:rPr>
                <w:rStyle w:val="Hyperlink"/>
                <w:noProof/>
              </w:rPr>
              <w:t>Pharmaceutical subcommittee</w:t>
            </w:r>
            <w:r w:rsidR="003A69DF">
              <w:rPr>
                <w:noProof/>
                <w:webHidden/>
              </w:rPr>
              <w:tab/>
            </w:r>
            <w:r w:rsidR="003A69DF">
              <w:rPr>
                <w:noProof/>
                <w:webHidden/>
              </w:rPr>
              <w:fldChar w:fldCharType="begin"/>
            </w:r>
            <w:r w:rsidR="003A69DF">
              <w:rPr>
                <w:noProof/>
                <w:webHidden/>
              </w:rPr>
              <w:instrText xml:space="preserve"> PAGEREF _Toc8053810 \h </w:instrText>
            </w:r>
            <w:r w:rsidR="003A69DF">
              <w:rPr>
                <w:noProof/>
                <w:webHidden/>
              </w:rPr>
            </w:r>
            <w:r w:rsidR="003A69DF">
              <w:rPr>
                <w:noProof/>
                <w:webHidden/>
              </w:rPr>
              <w:fldChar w:fldCharType="separate"/>
            </w:r>
            <w:r w:rsidR="003A69DF">
              <w:rPr>
                <w:noProof/>
                <w:webHidden/>
              </w:rPr>
              <w:t>15</w:t>
            </w:r>
            <w:r w:rsidR="003A69DF">
              <w:rPr>
                <w:noProof/>
                <w:webHidden/>
              </w:rPr>
              <w:fldChar w:fldCharType="end"/>
            </w:r>
          </w:hyperlink>
        </w:p>
        <w:p w14:paraId="770965B4" w14:textId="77777777" w:rsidR="003A69DF" w:rsidRDefault="00AB0292">
          <w:pPr>
            <w:pStyle w:val="TOC3"/>
            <w:rPr>
              <w:rFonts w:asciiTheme="minorHAnsi" w:eastAsiaTheme="minorEastAsia" w:hAnsiTheme="minorHAnsi" w:cstheme="minorBidi"/>
              <w:noProof/>
              <w:lang w:eastAsia="en-AU"/>
            </w:rPr>
          </w:pPr>
          <w:hyperlink w:anchor="_Toc8053811" w:history="1">
            <w:r w:rsidR="003A69DF" w:rsidRPr="00636B28">
              <w:rPr>
                <w:rStyle w:val="Hyperlink"/>
                <w:noProof/>
              </w:rPr>
              <w:t>Quality summary and conclusions</w:t>
            </w:r>
            <w:r w:rsidR="003A69DF">
              <w:rPr>
                <w:noProof/>
                <w:webHidden/>
              </w:rPr>
              <w:tab/>
            </w:r>
            <w:r w:rsidR="003A69DF">
              <w:rPr>
                <w:noProof/>
                <w:webHidden/>
              </w:rPr>
              <w:fldChar w:fldCharType="begin"/>
            </w:r>
            <w:r w:rsidR="003A69DF">
              <w:rPr>
                <w:noProof/>
                <w:webHidden/>
              </w:rPr>
              <w:instrText xml:space="preserve"> PAGEREF _Toc8053811 \h </w:instrText>
            </w:r>
            <w:r w:rsidR="003A69DF">
              <w:rPr>
                <w:noProof/>
                <w:webHidden/>
              </w:rPr>
            </w:r>
            <w:r w:rsidR="003A69DF">
              <w:rPr>
                <w:noProof/>
                <w:webHidden/>
              </w:rPr>
              <w:fldChar w:fldCharType="separate"/>
            </w:r>
            <w:r w:rsidR="003A69DF">
              <w:rPr>
                <w:noProof/>
                <w:webHidden/>
              </w:rPr>
              <w:t>16</w:t>
            </w:r>
            <w:r w:rsidR="003A69DF">
              <w:rPr>
                <w:noProof/>
                <w:webHidden/>
              </w:rPr>
              <w:fldChar w:fldCharType="end"/>
            </w:r>
          </w:hyperlink>
        </w:p>
        <w:p w14:paraId="3E8F9D55" w14:textId="77777777" w:rsidR="003A69DF" w:rsidRDefault="00AB0292">
          <w:pPr>
            <w:pStyle w:val="TOC2"/>
            <w:rPr>
              <w:rFonts w:asciiTheme="minorHAnsi" w:eastAsiaTheme="minorEastAsia" w:hAnsiTheme="minorHAnsi" w:cstheme="minorBidi"/>
              <w:b w:val="0"/>
              <w:noProof/>
              <w:sz w:val="22"/>
              <w:lang w:eastAsia="en-AU"/>
            </w:rPr>
          </w:pPr>
          <w:hyperlink w:anchor="_Toc8053812" w:history="1">
            <w:r w:rsidR="003A69DF" w:rsidRPr="00636B28">
              <w:rPr>
                <w:rStyle w:val="Hyperlink"/>
                <w:noProof/>
              </w:rPr>
              <w:t>IV. Nonclinical findings</w:t>
            </w:r>
            <w:r w:rsidR="003A69DF">
              <w:rPr>
                <w:noProof/>
                <w:webHidden/>
              </w:rPr>
              <w:tab/>
            </w:r>
            <w:r w:rsidR="003A69DF">
              <w:rPr>
                <w:noProof/>
                <w:webHidden/>
              </w:rPr>
              <w:fldChar w:fldCharType="begin"/>
            </w:r>
            <w:r w:rsidR="003A69DF">
              <w:rPr>
                <w:noProof/>
                <w:webHidden/>
              </w:rPr>
              <w:instrText xml:space="preserve"> PAGEREF _Toc8053812 \h </w:instrText>
            </w:r>
            <w:r w:rsidR="003A69DF">
              <w:rPr>
                <w:noProof/>
                <w:webHidden/>
              </w:rPr>
            </w:r>
            <w:r w:rsidR="003A69DF">
              <w:rPr>
                <w:noProof/>
                <w:webHidden/>
              </w:rPr>
              <w:fldChar w:fldCharType="separate"/>
            </w:r>
            <w:r w:rsidR="003A69DF">
              <w:rPr>
                <w:noProof/>
                <w:webHidden/>
              </w:rPr>
              <w:t>16</w:t>
            </w:r>
            <w:r w:rsidR="003A69DF">
              <w:rPr>
                <w:noProof/>
                <w:webHidden/>
              </w:rPr>
              <w:fldChar w:fldCharType="end"/>
            </w:r>
          </w:hyperlink>
        </w:p>
        <w:p w14:paraId="269391C8" w14:textId="77777777" w:rsidR="003A69DF" w:rsidRDefault="00AB0292">
          <w:pPr>
            <w:pStyle w:val="TOC3"/>
            <w:rPr>
              <w:rFonts w:asciiTheme="minorHAnsi" w:eastAsiaTheme="minorEastAsia" w:hAnsiTheme="minorHAnsi" w:cstheme="minorBidi"/>
              <w:noProof/>
              <w:lang w:eastAsia="en-AU"/>
            </w:rPr>
          </w:pPr>
          <w:hyperlink w:anchor="_Toc8053813" w:history="1">
            <w:r w:rsidR="003A69DF" w:rsidRPr="00636B28">
              <w:rPr>
                <w:rStyle w:val="Hyperlink"/>
                <w:noProof/>
              </w:rPr>
              <w:t>Introduction</w:t>
            </w:r>
            <w:r w:rsidR="003A69DF">
              <w:rPr>
                <w:noProof/>
                <w:webHidden/>
              </w:rPr>
              <w:tab/>
            </w:r>
            <w:r w:rsidR="003A69DF">
              <w:rPr>
                <w:noProof/>
                <w:webHidden/>
              </w:rPr>
              <w:fldChar w:fldCharType="begin"/>
            </w:r>
            <w:r w:rsidR="003A69DF">
              <w:rPr>
                <w:noProof/>
                <w:webHidden/>
              </w:rPr>
              <w:instrText xml:space="preserve"> PAGEREF _Toc8053813 \h </w:instrText>
            </w:r>
            <w:r w:rsidR="003A69DF">
              <w:rPr>
                <w:noProof/>
                <w:webHidden/>
              </w:rPr>
            </w:r>
            <w:r w:rsidR="003A69DF">
              <w:rPr>
                <w:noProof/>
                <w:webHidden/>
              </w:rPr>
              <w:fldChar w:fldCharType="separate"/>
            </w:r>
            <w:r w:rsidR="003A69DF">
              <w:rPr>
                <w:noProof/>
                <w:webHidden/>
              </w:rPr>
              <w:t>16</w:t>
            </w:r>
            <w:r w:rsidR="003A69DF">
              <w:rPr>
                <w:noProof/>
                <w:webHidden/>
              </w:rPr>
              <w:fldChar w:fldCharType="end"/>
            </w:r>
          </w:hyperlink>
        </w:p>
        <w:p w14:paraId="064C7F93" w14:textId="77777777" w:rsidR="003A69DF" w:rsidRDefault="00AB0292">
          <w:pPr>
            <w:pStyle w:val="TOC3"/>
            <w:rPr>
              <w:rFonts w:asciiTheme="minorHAnsi" w:eastAsiaTheme="minorEastAsia" w:hAnsiTheme="minorHAnsi" w:cstheme="minorBidi"/>
              <w:noProof/>
              <w:lang w:eastAsia="en-AU"/>
            </w:rPr>
          </w:pPr>
          <w:hyperlink w:anchor="_Toc8053814" w:history="1">
            <w:r w:rsidR="003A69DF" w:rsidRPr="00636B28">
              <w:rPr>
                <w:rStyle w:val="Hyperlink"/>
                <w:noProof/>
              </w:rPr>
              <w:t>Pharmacology</w:t>
            </w:r>
            <w:r w:rsidR="003A69DF">
              <w:rPr>
                <w:noProof/>
                <w:webHidden/>
              </w:rPr>
              <w:tab/>
            </w:r>
            <w:r w:rsidR="003A69DF">
              <w:rPr>
                <w:noProof/>
                <w:webHidden/>
              </w:rPr>
              <w:fldChar w:fldCharType="begin"/>
            </w:r>
            <w:r w:rsidR="003A69DF">
              <w:rPr>
                <w:noProof/>
                <w:webHidden/>
              </w:rPr>
              <w:instrText xml:space="preserve"> PAGEREF _Toc8053814 \h </w:instrText>
            </w:r>
            <w:r w:rsidR="003A69DF">
              <w:rPr>
                <w:noProof/>
                <w:webHidden/>
              </w:rPr>
            </w:r>
            <w:r w:rsidR="003A69DF">
              <w:rPr>
                <w:noProof/>
                <w:webHidden/>
              </w:rPr>
              <w:fldChar w:fldCharType="separate"/>
            </w:r>
            <w:r w:rsidR="003A69DF">
              <w:rPr>
                <w:noProof/>
                <w:webHidden/>
              </w:rPr>
              <w:t>16</w:t>
            </w:r>
            <w:r w:rsidR="003A69DF">
              <w:rPr>
                <w:noProof/>
                <w:webHidden/>
              </w:rPr>
              <w:fldChar w:fldCharType="end"/>
            </w:r>
          </w:hyperlink>
        </w:p>
        <w:p w14:paraId="3FC6DCAE" w14:textId="77777777" w:rsidR="003A69DF" w:rsidRDefault="00AB0292">
          <w:pPr>
            <w:pStyle w:val="TOC3"/>
            <w:rPr>
              <w:rFonts w:asciiTheme="minorHAnsi" w:eastAsiaTheme="minorEastAsia" w:hAnsiTheme="minorHAnsi" w:cstheme="minorBidi"/>
              <w:noProof/>
              <w:lang w:eastAsia="en-AU"/>
            </w:rPr>
          </w:pPr>
          <w:hyperlink w:anchor="_Toc8053815" w:history="1">
            <w:r w:rsidR="003A69DF" w:rsidRPr="00636B28">
              <w:rPr>
                <w:rStyle w:val="Hyperlink"/>
                <w:noProof/>
              </w:rPr>
              <w:t>Pharmacokinetics</w:t>
            </w:r>
            <w:r w:rsidR="003A69DF">
              <w:rPr>
                <w:noProof/>
                <w:webHidden/>
              </w:rPr>
              <w:tab/>
            </w:r>
            <w:r w:rsidR="003A69DF">
              <w:rPr>
                <w:noProof/>
                <w:webHidden/>
              </w:rPr>
              <w:fldChar w:fldCharType="begin"/>
            </w:r>
            <w:r w:rsidR="003A69DF">
              <w:rPr>
                <w:noProof/>
                <w:webHidden/>
              </w:rPr>
              <w:instrText xml:space="preserve"> PAGEREF _Toc8053815 \h </w:instrText>
            </w:r>
            <w:r w:rsidR="003A69DF">
              <w:rPr>
                <w:noProof/>
                <w:webHidden/>
              </w:rPr>
            </w:r>
            <w:r w:rsidR="003A69DF">
              <w:rPr>
                <w:noProof/>
                <w:webHidden/>
              </w:rPr>
              <w:fldChar w:fldCharType="separate"/>
            </w:r>
            <w:r w:rsidR="003A69DF">
              <w:rPr>
                <w:noProof/>
                <w:webHidden/>
              </w:rPr>
              <w:t>18</w:t>
            </w:r>
            <w:r w:rsidR="003A69DF">
              <w:rPr>
                <w:noProof/>
                <w:webHidden/>
              </w:rPr>
              <w:fldChar w:fldCharType="end"/>
            </w:r>
          </w:hyperlink>
        </w:p>
        <w:p w14:paraId="4B0CD47B" w14:textId="77777777" w:rsidR="003A69DF" w:rsidRDefault="00AB0292">
          <w:pPr>
            <w:pStyle w:val="TOC3"/>
            <w:rPr>
              <w:rFonts w:asciiTheme="minorHAnsi" w:eastAsiaTheme="minorEastAsia" w:hAnsiTheme="minorHAnsi" w:cstheme="minorBidi"/>
              <w:noProof/>
              <w:lang w:eastAsia="en-AU"/>
            </w:rPr>
          </w:pPr>
          <w:hyperlink w:anchor="_Toc8053816" w:history="1">
            <w:r w:rsidR="003A69DF" w:rsidRPr="00636B28">
              <w:rPr>
                <w:rStyle w:val="Hyperlink"/>
                <w:noProof/>
              </w:rPr>
              <w:t>Toxicology</w:t>
            </w:r>
            <w:r w:rsidR="003A69DF">
              <w:rPr>
                <w:noProof/>
                <w:webHidden/>
              </w:rPr>
              <w:tab/>
            </w:r>
            <w:r w:rsidR="003A69DF">
              <w:rPr>
                <w:noProof/>
                <w:webHidden/>
              </w:rPr>
              <w:fldChar w:fldCharType="begin"/>
            </w:r>
            <w:r w:rsidR="003A69DF">
              <w:rPr>
                <w:noProof/>
                <w:webHidden/>
              </w:rPr>
              <w:instrText xml:space="preserve"> PAGEREF _Toc8053816 \h </w:instrText>
            </w:r>
            <w:r w:rsidR="003A69DF">
              <w:rPr>
                <w:noProof/>
                <w:webHidden/>
              </w:rPr>
            </w:r>
            <w:r w:rsidR="003A69DF">
              <w:rPr>
                <w:noProof/>
                <w:webHidden/>
              </w:rPr>
              <w:fldChar w:fldCharType="separate"/>
            </w:r>
            <w:r w:rsidR="003A69DF">
              <w:rPr>
                <w:noProof/>
                <w:webHidden/>
              </w:rPr>
              <w:t>21</w:t>
            </w:r>
            <w:r w:rsidR="003A69DF">
              <w:rPr>
                <w:noProof/>
                <w:webHidden/>
              </w:rPr>
              <w:fldChar w:fldCharType="end"/>
            </w:r>
          </w:hyperlink>
        </w:p>
        <w:p w14:paraId="46404149" w14:textId="77777777" w:rsidR="003A69DF" w:rsidRDefault="00AB0292">
          <w:pPr>
            <w:pStyle w:val="TOC3"/>
            <w:rPr>
              <w:rFonts w:asciiTheme="minorHAnsi" w:eastAsiaTheme="minorEastAsia" w:hAnsiTheme="minorHAnsi" w:cstheme="minorBidi"/>
              <w:noProof/>
              <w:lang w:eastAsia="en-AU"/>
            </w:rPr>
          </w:pPr>
          <w:hyperlink w:anchor="_Toc8053817" w:history="1">
            <w:r w:rsidR="003A69DF" w:rsidRPr="00636B28">
              <w:rPr>
                <w:rStyle w:val="Hyperlink"/>
                <w:noProof/>
              </w:rPr>
              <w:t>Nonclinical summary and conclusions</w:t>
            </w:r>
            <w:r w:rsidR="003A69DF">
              <w:rPr>
                <w:noProof/>
                <w:webHidden/>
              </w:rPr>
              <w:tab/>
            </w:r>
            <w:r w:rsidR="003A69DF">
              <w:rPr>
                <w:noProof/>
                <w:webHidden/>
              </w:rPr>
              <w:fldChar w:fldCharType="begin"/>
            </w:r>
            <w:r w:rsidR="003A69DF">
              <w:rPr>
                <w:noProof/>
                <w:webHidden/>
              </w:rPr>
              <w:instrText xml:space="preserve"> PAGEREF _Toc8053817 \h </w:instrText>
            </w:r>
            <w:r w:rsidR="003A69DF">
              <w:rPr>
                <w:noProof/>
                <w:webHidden/>
              </w:rPr>
            </w:r>
            <w:r w:rsidR="003A69DF">
              <w:rPr>
                <w:noProof/>
                <w:webHidden/>
              </w:rPr>
              <w:fldChar w:fldCharType="separate"/>
            </w:r>
            <w:r w:rsidR="003A69DF">
              <w:rPr>
                <w:noProof/>
                <w:webHidden/>
              </w:rPr>
              <w:t>26</w:t>
            </w:r>
            <w:r w:rsidR="003A69DF">
              <w:rPr>
                <w:noProof/>
                <w:webHidden/>
              </w:rPr>
              <w:fldChar w:fldCharType="end"/>
            </w:r>
          </w:hyperlink>
        </w:p>
        <w:p w14:paraId="2A1555C1" w14:textId="77777777" w:rsidR="003A69DF" w:rsidRDefault="00AB0292">
          <w:pPr>
            <w:pStyle w:val="TOC2"/>
            <w:rPr>
              <w:rFonts w:asciiTheme="minorHAnsi" w:eastAsiaTheme="minorEastAsia" w:hAnsiTheme="minorHAnsi" w:cstheme="minorBidi"/>
              <w:b w:val="0"/>
              <w:noProof/>
              <w:sz w:val="22"/>
              <w:lang w:eastAsia="en-AU"/>
            </w:rPr>
          </w:pPr>
          <w:hyperlink w:anchor="_Toc8053818" w:history="1">
            <w:r w:rsidR="003A69DF" w:rsidRPr="00636B28">
              <w:rPr>
                <w:rStyle w:val="Hyperlink"/>
                <w:noProof/>
              </w:rPr>
              <w:t>V. Clinical findings</w:t>
            </w:r>
            <w:r w:rsidR="003A69DF">
              <w:rPr>
                <w:noProof/>
                <w:webHidden/>
              </w:rPr>
              <w:tab/>
            </w:r>
            <w:r w:rsidR="003A69DF">
              <w:rPr>
                <w:noProof/>
                <w:webHidden/>
              </w:rPr>
              <w:fldChar w:fldCharType="begin"/>
            </w:r>
            <w:r w:rsidR="003A69DF">
              <w:rPr>
                <w:noProof/>
                <w:webHidden/>
              </w:rPr>
              <w:instrText xml:space="preserve"> PAGEREF _Toc8053818 \h </w:instrText>
            </w:r>
            <w:r w:rsidR="003A69DF">
              <w:rPr>
                <w:noProof/>
                <w:webHidden/>
              </w:rPr>
            </w:r>
            <w:r w:rsidR="003A69DF">
              <w:rPr>
                <w:noProof/>
                <w:webHidden/>
              </w:rPr>
              <w:fldChar w:fldCharType="separate"/>
            </w:r>
            <w:r w:rsidR="003A69DF">
              <w:rPr>
                <w:noProof/>
                <w:webHidden/>
              </w:rPr>
              <w:t>28</w:t>
            </w:r>
            <w:r w:rsidR="003A69DF">
              <w:rPr>
                <w:noProof/>
                <w:webHidden/>
              </w:rPr>
              <w:fldChar w:fldCharType="end"/>
            </w:r>
          </w:hyperlink>
        </w:p>
        <w:p w14:paraId="0F87847D" w14:textId="77777777" w:rsidR="003A69DF" w:rsidRDefault="00AB0292">
          <w:pPr>
            <w:pStyle w:val="TOC3"/>
            <w:rPr>
              <w:rFonts w:asciiTheme="minorHAnsi" w:eastAsiaTheme="minorEastAsia" w:hAnsiTheme="minorHAnsi" w:cstheme="minorBidi"/>
              <w:noProof/>
              <w:lang w:eastAsia="en-AU"/>
            </w:rPr>
          </w:pPr>
          <w:hyperlink w:anchor="_Toc8053819" w:history="1">
            <w:r w:rsidR="003A69DF" w:rsidRPr="00636B28">
              <w:rPr>
                <w:rStyle w:val="Hyperlink"/>
                <w:noProof/>
              </w:rPr>
              <w:t>Introduction</w:t>
            </w:r>
            <w:r w:rsidR="003A69DF">
              <w:rPr>
                <w:noProof/>
                <w:webHidden/>
              </w:rPr>
              <w:tab/>
            </w:r>
            <w:r w:rsidR="003A69DF">
              <w:rPr>
                <w:noProof/>
                <w:webHidden/>
              </w:rPr>
              <w:fldChar w:fldCharType="begin"/>
            </w:r>
            <w:r w:rsidR="003A69DF">
              <w:rPr>
                <w:noProof/>
                <w:webHidden/>
              </w:rPr>
              <w:instrText xml:space="preserve"> PAGEREF _Toc8053819 \h </w:instrText>
            </w:r>
            <w:r w:rsidR="003A69DF">
              <w:rPr>
                <w:noProof/>
                <w:webHidden/>
              </w:rPr>
            </w:r>
            <w:r w:rsidR="003A69DF">
              <w:rPr>
                <w:noProof/>
                <w:webHidden/>
              </w:rPr>
              <w:fldChar w:fldCharType="separate"/>
            </w:r>
            <w:r w:rsidR="003A69DF">
              <w:rPr>
                <w:noProof/>
                <w:webHidden/>
              </w:rPr>
              <w:t>28</w:t>
            </w:r>
            <w:r w:rsidR="003A69DF">
              <w:rPr>
                <w:noProof/>
                <w:webHidden/>
              </w:rPr>
              <w:fldChar w:fldCharType="end"/>
            </w:r>
          </w:hyperlink>
        </w:p>
        <w:p w14:paraId="5CF26BCD" w14:textId="77777777" w:rsidR="003A69DF" w:rsidRDefault="00AB0292">
          <w:pPr>
            <w:pStyle w:val="TOC3"/>
            <w:rPr>
              <w:rFonts w:asciiTheme="minorHAnsi" w:eastAsiaTheme="minorEastAsia" w:hAnsiTheme="minorHAnsi" w:cstheme="minorBidi"/>
              <w:noProof/>
              <w:lang w:eastAsia="en-AU"/>
            </w:rPr>
          </w:pPr>
          <w:hyperlink w:anchor="_Toc8053820" w:history="1">
            <w:r w:rsidR="003A69DF" w:rsidRPr="00636B28">
              <w:rPr>
                <w:rStyle w:val="Hyperlink"/>
                <w:noProof/>
              </w:rPr>
              <w:t>Pharmacokinetics</w:t>
            </w:r>
            <w:r w:rsidR="003A69DF">
              <w:rPr>
                <w:noProof/>
                <w:webHidden/>
              </w:rPr>
              <w:tab/>
            </w:r>
            <w:r w:rsidR="003A69DF">
              <w:rPr>
                <w:noProof/>
                <w:webHidden/>
              </w:rPr>
              <w:fldChar w:fldCharType="begin"/>
            </w:r>
            <w:r w:rsidR="003A69DF">
              <w:rPr>
                <w:noProof/>
                <w:webHidden/>
              </w:rPr>
              <w:instrText xml:space="preserve"> PAGEREF _Toc8053820 \h </w:instrText>
            </w:r>
            <w:r w:rsidR="003A69DF">
              <w:rPr>
                <w:noProof/>
                <w:webHidden/>
              </w:rPr>
            </w:r>
            <w:r w:rsidR="003A69DF">
              <w:rPr>
                <w:noProof/>
                <w:webHidden/>
              </w:rPr>
              <w:fldChar w:fldCharType="separate"/>
            </w:r>
            <w:r w:rsidR="003A69DF">
              <w:rPr>
                <w:noProof/>
                <w:webHidden/>
              </w:rPr>
              <w:t>32</w:t>
            </w:r>
            <w:r w:rsidR="003A69DF">
              <w:rPr>
                <w:noProof/>
                <w:webHidden/>
              </w:rPr>
              <w:fldChar w:fldCharType="end"/>
            </w:r>
          </w:hyperlink>
        </w:p>
        <w:p w14:paraId="5B1E80BF" w14:textId="77777777" w:rsidR="003A69DF" w:rsidRDefault="00AB0292">
          <w:pPr>
            <w:pStyle w:val="TOC3"/>
            <w:rPr>
              <w:rFonts w:asciiTheme="minorHAnsi" w:eastAsiaTheme="minorEastAsia" w:hAnsiTheme="minorHAnsi" w:cstheme="minorBidi"/>
              <w:noProof/>
              <w:lang w:eastAsia="en-AU"/>
            </w:rPr>
          </w:pPr>
          <w:hyperlink w:anchor="_Toc8053821" w:history="1">
            <w:r w:rsidR="003A69DF" w:rsidRPr="00636B28">
              <w:rPr>
                <w:rStyle w:val="Hyperlink"/>
                <w:noProof/>
              </w:rPr>
              <w:t>Pharmacodynamics</w:t>
            </w:r>
            <w:r w:rsidR="003A69DF">
              <w:rPr>
                <w:noProof/>
                <w:webHidden/>
              </w:rPr>
              <w:tab/>
            </w:r>
            <w:r w:rsidR="003A69DF">
              <w:rPr>
                <w:noProof/>
                <w:webHidden/>
              </w:rPr>
              <w:fldChar w:fldCharType="begin"/>
            </w:r>
            <w:r w:rsidR="003A69DF">
              <w:rPr>
                <w:noProof/>
                <w:webHidden/>
              </w:rPr>
              <w:instrText xml:space="preserve"> PAGEREF _Toc8053821 \h </w:instrText>
            </w:r>
            <w:r w:rsidR="003A69DF">
              <w:rPr>
                <w:noProof/>
                <w:webHidden/>
              </w:rPr>
            </w:r>
            <w:r w:rsidR="003A69DF">
              <w:rPr>
                <w:noProof/>
                <w:webHidden/>
              </w:rPr>
              <w:fldChar w:fldCharType="separate"/>
            </w:r>
            <w:r w:rsidR="003A69DF">
              <w:rPr>
                <w:noProof/>
                <w:webHidden/>
              </w:rPr>
              <w:t>34</w:t>
            </w:r>
            <w:r w:rsidR="003A69DF">
              <w:rPr>
                <w:noProof/>
                <w:webHidden/>
              </w:rPr>
              <w:fldChar w:fldCharType="end"/>
            </w:r>
          </w:hyperlink>
        </w:p>
        <w:p w14:paraId="3C3E0118" w14:textId="77777777" w:rsidR="003A69DF" w:rsidRDefault="00AB0292">
          <w:pPr>
            <w:pStyle w:val="TOC3"/>
            <w:rPr>
              <w:rFonts w:asciiTheme="minorHAnsi" w:eastAsiaTheme="minorEastAsia" w:hAnsiTheme="minorHAnsi" w:cstheme="minorBidi"/>
              <w:noProof/>
              <w:lang w:eastAsia="en-AU"/>
            </w:rPr>
          </w:pPr>
          <w:hyperlink w:anchor="_Toc8053822" w:history="1">
            <w:r w:rsidR="003A69DF" w:rsidRPr="00636B28">
              <w:rPr>
                <w:rStyle w:val="Hyperlink"/>
                <w:noProof/>
              </w:rPr>
              <w:t>Dosage selection for the pivotal studies</w:t>
            </w:r>
            <w:r w:rsidR="003A69DF">
              <w:rPr>
                <w:noProof/>
                <w:webHidden/>
              </w:rPr>
              <w:tab/>
            </w:r>
            <w:r w:rsidR="003A69DF">
              <w:rPr>
                <w:noProof/>
                <w:webHidden/>
              </w:rPr>
              <w:fldChar w:fldCharType="begin"/>
            </w:r>
            <w:r w:rsidR="003A69DF">
              <w:rPr>
                <w:noProof/>
                <w:webHidden/>
              </w:rPr>
              <w:instrText xml:space="preserve"> PAGEREF _Toc8053822 \h </w:instrText>
            </w:r>
            <w:r w:rsidR="003A69DF">
              <w:rPr>
                <w:noProof/>
                <w:webHidden/>
              </w:rPr>
            </w:r>
            <w:r w:rsidR="003A69DF">
              <w:rPr>
                <w:noProof/>
                <w:webHidden/>
              </w:rPr>
              <w:fldChar w:fldCharType="separate"/>
            </w:r>
            <w:r w:rsidR="003A69DF">
              <w:rPr>
                <w:noProof/>
                <w:webHidden/>
              </w:rPr>
              <w:t>35</w:t>
            </w:r>
            <w:r w:rsidR="003A69DF">
              <w:rPr>
                <w:noProof/>
                <w:webHidden/>
              </w:rPr>
              <w:fldChar w:fldCharType="end"/>
            </w:r>
          </w:hyperlink>
        </w:p>
        <w:p w14:paraId="31BCCA2A" w14:textId="77777777" w:rsidR="003A69DF" w:rsidRDefault="00AB0292">
          <w:pPr>
            <w:pStyle w:val="TOC3"/>
            <w:rPr>
              <w:rFonts w:asciiTheme="minorHAnsi" w:eastAsiaTheme="minorEastAsia" w:hAnsiTheme="minorHAnsi" w:cstheme="minorBidi"/>
              <w:noProof/>
              <w:lang w:eastAsia="en-AU"/>
            </w:rPr>
          </w:pPr>
          <w:hyperlink w:anchor="_Toc8053823" w:history="1">
            <w:r w:rsidR="003A69DF" w:rsidRPr="00636B28">
              <w:rPr>
                <w:rStyle w:val="Hyperlink"/>
                <w:noProof/>
              </w:rPr>
              <w:t>Efficacy</w:t>
            </w:r>
            <w:r w:rsidR="003A69DF">
              <w:rPr>
                <w:noProof/>
                <w:webHidden/>
              </w:rPr>
              <w:tab/>
            </w:r>
            <w:r w:rsidR="003A69DF">
              <w:rPr>
                <w:noProof/>
                <w:webHidden/>
              </w:rPr>
              <w:fldChar w:fldCharType="begin"/>
            </w:r>
            <w:r w:rsidR="003A69DF">
              <w:rPr>
                <w:noProof/>
                <w:webHidden/>
              </w:rPr>
              <w:instrText xml:space="preserve"> PAGEREF _Toc8053823 \h </w:instrText>
            </w:r>
            <w:r w:rsidR="003A69DF">
              <w:rPr>
                <w:noProof/>
                <w:webHidden/>
              </w:rPr>
            </w:r>
            <w:r w:rsidR="003A69DF">
              <w:rPr>
                <w:noProof/>
                <w:webHidden/>
              </w:rPr>
              <w:fldChar w:fldCharType="separate"/>
            </w:r>
            <w:r w:rsidR="003A69DF">
              <w:rPr>
                <w:noProof/>
                <w:webHidden/>
              </w:rPr>
              <w:t>35</w:t>
            </w:r>
            <w:r w:rsidR="003A69DF">
              <w:rPr>
                <w:noProof/>
                <w:webHidden/>
              </w:rPr>
              <w:fldChar w:fldCharType="end"/>
            </w:r>
          </w:hyperlink>
        </w:p>
        <w:p w14:paraId="32A47BEF" w14:textId="77777777" w:rsidR="003A69DF" w:rsidRDefault="00AB0292">
          <w:pPr>
            <w:pStyle w:val="TOC3"/>
            <w:rPr>
              <w:rFonts w:asciiTheme="minorHAnsi" w:eastAsiaTheme="minorEastAsia" w:hAnsiTheme="minorHAnsi" w:cstheme="minorBidi"/>
              <w:noProof/>
              <w:lang w:eastAsia="en-AU"/>
            </w:rPr>
          </w:pPr>
          <w:hyperlink w:anchor="_Toc8053824" w:history="1">
            <w:r w:rsidR="003A69DF" w:rsidRPr="00636B28">
              <w:rPr>
                <w:rStyle w:val="Hyperlink"/>
                <w:noProof/>
              </w:rPr>
              <w:t>Safety</w:t>
            </w:r>
            <w:r w:rsidR="003A69DF">
              <w:rPr>
                <w:noProof/>
                <w:webHidden/>
              </w:rPr>
              <w:tab/>
            </w:r>
            <w:r w:rsidR="003A69DF">
              <w:rPr>
                <w:noProof/>
                <w:webHidden/>
              </w:rPr>
              <w:fldChar w:fldCharType="begin"/>
            </w:r>
            <w:r w:rsidR="003A69DF">
              <w:rPr>
                <w:noProof/>
                <w:webHidden/>
              </w:rPr>
              <w:instrText xml:space="preserve"> PAGEREF _Toc8053824 \h </w:instrText>
            </w:r>
            <w:r w:rsidR="003A69DF">
              <w:rPr>
                <w:noProof/>
                <w:webHidden/>
              </w:rPr>
            </w:r>
            <w:r w:rsidR="003A69DF">
              <w:rPr>
                <w:noProof/>
                <w:webHidden/>
              </w:rPr>
              <w:fldChar w:fldCharType="separate"/>
            </w:r>
            <w:r w:rsidR="003A69DF">
              <w:rPr>
                <w:noProof/>
                <w:webHidden/>
              </w:rPr>
              <w:t>37</w:t>
            </w:r>
            <w:r w:rsidR="003A69DF">
              <w:rPr>
                <w:noProof/>
                <w:webHidden/>
              </w:rPr>
              <w:fldChar w:fldCharType="end"/>
            </w:r>
          </w:hyperlink>
        </w:p>
        <w:p w14:paraId="6B334F05" w14:textId="77777777" w:rsidR="003A69DF" w:rsidRDefault="00AB0292">
          <w:pPr>
            <w:pStyle w:val="TOC3"/>
            <w:rPr>
              <w:rFonts w:asciiTheme="minorHAnsi" w:eastAsiaTheme="minorEastAsia" w:hAnsiTheme="minorHAnsi" w:cstheme="minorBidi"/>
              <w:noProof/>
              <w:lang w:eastAsia="en-AU"/>
            </w:rPr>
          </w:pPr>
          <w:hyperlink w:anchor="_Toc8053825" w:history="1">
            <w:r w:rsidR="003A69DF" w:rsidRPr="00636B28">
              <w:rPr>
                <w:rStyle w:val="Hyperlink"/>
                <w:noProof/>
              </w:rPr>
              <w:t>First round benefit-risk assessment</w:t>
            </w:r>
            <w:r w:rsidR="003A69DF">
              <w:rPr>
                <w:noProof/>
                <w:webHidden/>
              </w:rPr>
              <w:tab/>
            </w:r>
            <w:r w:rsidR="003A69DF">
              <w:rPr>
                <w:noProof/>
                <w:webHidden/>
              </w:rPr>
              <w:fldChar w:fldCharType="begin"/>
            </w:r>
            <w:r w:rsidR="003A69DF">
              <w:rPr>
                <w:noProof/>
                <w:webHidden/>
              </w:rPr>
              <w:instrText xml:space="preserve"> PAGEREF _Toc8053825 \h </w:instrText>
            </w:r>
            <w:r w:rsidR="003A69DF">
              <w:rPr>
                <w:noProof/>
                <w:webHidden/>
              </w:rPr>
            </w:r>
            <w:r w:rsidR="003A69DF">
              <w:rPr>
                <w:noProof/>
                <w:webHidden/>
              </w:rPr>
              <w:fldChar w:fldCharType="separate"/>
            </w:r>
            <w:r w:rsidR="003A69DF">
              <w:rPr>
                <w:noProof/>
                <w:webHidden/>
              </w:rPr>
              <w:t>41</w:t>
            </w:r>
            <w:r w:rsidR="003A69DF">
              <w:rPr>
                <w:noProof/>
                <w:webHidden/>
              </w:rPr>
              <w:fldChar w:fldCharType="end"/>
            </w:r>
          </w:hyperlink>
        </w:p>
        <w:p w14:paraId="2A6B72CC" w14:textId="77777777" w:rsidR="003A69DF" w:rsidRDefault="00AB0292">
          <w:pPr>
            <w:pStyle w:val="TOC3"/>
            <w:rPr>
              <w:rFonts w:asciiTheme="minorHAnsi" w:eastAsiaTheme="minorEastAsia" w:hAnsiTheme="minorHAnsi" w:cstheme="minorBidi"/>
              <w:noProof/>
              <w:lang w:eastAsia="en-AU"/>
            </w:rPr>
          </w:pPr>
          <w:hyperlink w:anchor="_Toc8053826" w:history="1">
            <w:r w:rsidR="003A69DF" w:rsidRPr="00636B28">
              <w:rPr>
                <w:rStyle w:val="Hyperlink"/>
                <w:noProof/>
              </w:rPr>
              <w:t>First round recommendation regarding authorisation</w:t>
            </w:r>
            <w:r w:rsidR="003A69DF">
              <w:rPr>
                <w:noProof/>
                <w:webHidden/>
              </w:rPr>
              <w:tab/>
            </w:r>
            <w:r w:rsidR="003A69DF">
              <w:rPr>
                <w:noProof/>
                <w:webHidden/>
              </w:rPr>
              <w:fldChar w:fldCharType="begin"/>
            </w:r>
            <w:r w:rsidR="003A69DF">
              <w:rPr>
                <w:noProof/>
                <w:webHidden/>
              </w:rPr>
              <w:instrText xml:space="preserve"> PAGEREF _Toc8053826 \h </w:instrText>
            </w:r>
            <w:r w:rsidR="003A69DF">
              <w:rPr>
                <w:noProof/>
                <w:webHidden/>
              </w:rPr>
            </w:r>
            <w:r w:rsidR="003A69DF">
              <w:rPr>
                <w:noProof/>
                <w:webHidden/>
              </w:rPr>
              <w:fldChar w:fldCharType="separate"/>
            </w:r>
            <w:r w:rsidR="003A69DF">
              <w:rPr>
                <w:noProof/>
                <w:webHidden/>
              </w:rPr>
              <w:t>42</w:t>
            </w:r>
            <w:r w:rsidR="003A69DF">
              <w:rPr>
                <w:noProof/>
                <w:webHidden/>
              </w:rPr>
              <w:fldChar w:fldCharType="end"/>
            </w:r>
          </w:hyperlink>
        </w:p>
        <w:p w14:paraId="771FB8E0" w14:textId="77777777" w:rsidR="003A69DF" w:rsidRDefault="00AB0292">
          <w:pPr>
            <w:pStyle w:val="TOC3"/>
            <w:rPr>
              <w:rFonts w:asciiTheme="minorHAnsi" w:eastAsiaTheme="minorEastAsia" w:hAnsiTheme="minorHAnsi" w:cstheme="minorBidi"/>
              <w:noProof/>
              <w:lang w:eastAsia="en-AU"/>
            </w:rPr>
          </w:pPr>
          <w:hyperlink w:anchor="_Toc8053827" w:history="1">
            <w:r w:rsidR="003A69DF" w:rsidRPr="00636B28">
              <w:rPr>
                <w:rStyle w:val="Hyperlink"/>
                <w:noProof/>
              </w:rPr>
              <w:t>Clinical questions</w:t>
            </w:r>
            <w:r w:rsidR="003A69DF">
              <w:rPr>
                <w:noProof/>
                <w:webHidden/>
              </w:rPr>
              <w:tab/>
            </w:r>
            <w:r w:rsidR="003A69DF">
              <w:rPr>
                <w:noProof/>
                <w:webHidden/>
              </w:rPr>
              <w:fldChar w:fldCharType="begin"/>
            </w:r>
            <w:r w:rsidR="003A69DF">
              <w:rPr>
                <w:noProof/>
                <w:webHidden/>
              </w:rPr>
              <w:instrText xml:space="preserve"> PAGEREF _Toc8053827 \h </w:instrText>
            </w:r>
            <w:r w:rsidR="003A69DF">
              <w:rPr>
                <w:noProof/>
                <w:webHidden/>
              </w:rPr>
            </w:r>
            <w:r w:rsidR="003A69DF">
              <w:rPr>
                <w:noProof/>
                <w:webHidden/>
              </w:rPr>
              <w:fldChar w:fldCharType="separate"/>
            </w:r>
            <w:r w:rsidR="003A69DF">
              <w:rPr>
                <w:noProof/>
                <w:webHidden/>
              </w:rPr>
              <w:t>42</w:t>
            </w:r>
            <w:r w:rsidR="003A69DF">
              <w:rPr>
                <w:noProof/>
                <w:webHidden/>
              </w:rPr>
              <w:fldChar w:fldCharType="end"/>
            </w:r>
          </w:hyperlink>
        </w:p>
        <w:p w14:paraId="17044F21" w14:textId="77777777" w:rsidR="003A69DF" w:rsidRDefault="00AB0292">
          <w:pPr>
            <w:pStyle w:val="TOC3"/>
            <w:rPr>
              <w:rFonts w:asciiTheme="minorHAnsi" w:eastAsiaTheme="minorEastAsia" w:hAnsiTheme="minorHAnsi" w:cstheme="minorBidi"/>
              <w:noProof/>
              <w:lang w:eastAsia="en-AU"/>
            </w:rPr>
          </w:pPr>
          <w:hyperlink w:anchor="_Toc8053828" w:history="1">
            <w:r w:rsidR="003A69DF" w:rsidRPr="00636B28">
              <w:rPr>
                <w:rStyle w:val="Hyperlink"/>
                <w:noProof/>
              </w:rPr>
              <w:t>Second round evaluation</w:t>
            </w:r>
            <w:r w:rsidR="003A69DF">
              <w:rPr>
                <w:noProof/>
                <w:webHidden/>
              </w:rPr>
              <w:tab/>
            </w:r>
            <w:r w:rsidR="003A69DF">
              <w:rPr>
                <w:noProof/>
                <w:webHidden/>
              </w:rPr>
              <w:fldChar w:fldCharType="begin"/>
            </w:r>
            <w:r w:rsidR="003A69DF">
              <w:rPr>
                <w:noProof/>
                <w:webHidden/>
              </w:rPr>
              <w:instrText xml:space="preserve"> PAGEREF _Toc8053828 \h </w:instrText>
            </w:r>
            <w:r w:rsidR="003A69DF">
              <w:rPr>
                <w:noProof/>
                <w:webHidden/>
              </w:rPr>
            </w:r>
            <w:r w:rsidR="003A69DF">
              <w:rPr>
                <w:noProof/>
                <w:webHidden/>
              </w:rPr>
              <w:fldChar w:fldCharType="separate"/>
            </w:r>
            <w:r w:rsidR="003A69DF">
              <w:rPr>
                <w:noProof/>
                <w:webHidden/>
              </w:rPr>
              <w:t>42</w:t>
            </w:r>
            <w:r w:rsidR="003A69DF">
              <w:rPr>
                <w:noProof/>
                <w:webHidden/>
              </w:rPr>
              <w:fldChar w:fldCharType="end"/>
            </w:r>
          </w:hyperlink>
        </w:p>
        <w:p w14:paraId="1B5C7218" w14:textId="77777777" w:rsidR="003A69DF" w:rsidRDefault="00AB0292">
          <w:pPr>
            <w:pStyle w:val="TOC2"/>
            <w:rPr>
              <w:rFonts w:asciiTheme="minorHAnsi" w:eastAsiaTheme="minorEastAsia" w:hAnsiTheme="minorHAnsi" w:cstheme="minorBidi"/>
              <w:b w:val="0"/>
              <w:noProof/>
              <w:sz w:val="22"/>
              <w:lang w:eastAsia="en-AU"/>
            </w:rPr>
          </w:pPr>
          <w:hyperlink w:anchor="_Toc8053829" w:history="1">
            <w:r w:rsidR="003A69DF" w:rsidRPr="00636B28">
              <w:rPr>
                <w:rStyle w:val="Hyperlink"/>
                <w:noProof/>
              </w:rPr>
              <w:t>VI. Pharmacovigilance findings</w:t>
            </w:r>
            <w:r w:rsidR="003A69DF">
              <w:rPr>
                <w:noProof/>
                <w:webHidden/>
              </w:rPr>
              <w:tab/>
            </w:r>
            <w:r w:rsidR="003A69DF">
              <w:rPr>
                <w:noProof/>
                <w:webHidden/>
              </w:rPr>
              <w:fldChar w:fldCharType="begin"/>
            </w:r>
            <w:r w:rsidR="003A69DF">
              <w:rPr>
                <w:noProof/>
                <w:webHidden/>
              </w:rPr>
              <w:instrText xml:space="preserve"> PAGEREF _Toc8053829 \h </w:instrText>
            </w:r>
            <w:r w:rsidR="003A69DF">
              <w:rPr>
                <w:noProof/>
                <w:webHidden/>
              </w:rPr>
            </w:r>
            <w:r w:rsidR="003A69DF">
              <w:rPr>
                <w:noProof/>
                <w:webHidden/>
              </w:rPr>
              <w:fldChar w:fldCharType="separate"/>
            </w:r>
            <w:r w:rsidR="003A69DF">
              <w:rPr>
                <w:noProof/>
                <w:webHidden/>
              </w:rPr>
              <w:t>43</w:t>
            </w:r>
            <w:r w:rsidR="003A69DF">
              <w:rPr>
                <w:noProof/>
                <w:webHidden/>
              </w:rPr>
              <w:fldChar w:fldCharType="end"/>
            </w:r>
          </w:hyperlink>
        </w:p>
        <w:p w14:paraId="4491B2AC" w14:textId="77777777" w:rsidR="003A69DF" w:rsidRDefault="00AB0292">
          <w:pPr>
            <w:pStyle w:val="TOC3"/>
            <w:rPr>
              <w:rFonts w:asciiTheme="minorHAnsi" w:eastAsiaTheme="minorEastAsia" w:hAnsiTheme="minorHAnsi" w:cstheme="minorBidi"/>
              <w:noProof/>
              <w:lang w:eastAsia="en-AU"/>
            </w:rPr>
          </w:pPr>
          <w:hyperlink w:anchor="_Toc8053830" w:history="1">
            <w:r w:rsidR="003A69DF" w:rsidRPr="00636B28">
              <w:rPr>
                <w:rStyle w:val="Hyperlink"/>
                <w:noProof/>
                <w:lang w:eastAsia="en-AU"/>
              </w:rPr>
              <w:t>Risk management plan</w:t>
            </w:r>
            <w:r w:rsidR="003A69DF">
              <w:rPr>
                <w:noProof/>
                <w:webHidden/>
              </w:rPr>
              <w:tab/>
            </w:r>
            <w:r w:rsidR="003A69DF">
              <w:rPr>
                <w:noProof/>
                <w:webHidden/>
              </w:rPr>
              <w:fldChar w:fldCharType="begin"/>
            </w:r>
            <w:r w:rsidR="003A69DF">
              <w:rPr>
                <w:noProof/>
                <w:webHidden/>
              </w:rPr>
              <w:instrText xml:space="preserve"> PAGEREF _Toc8053830 \h </w:instrText>
            </w:r>
            <w:r w:rsidR="003A69DF">
              <w:rPr>
                <w:noProof/>
                <w:webHidden/>
              </w:rPr>
            </w:r>
            <w:r w:rsidR="003A69DF">
              <w:rPr>
                <w:noProof/>
                <w:webHidden/>
              </w:rPr>
              <w:fldChar w:fldCharType="separate"/>
            </w:r>
            <w:r w:rsidR="003A69DF">
              <w:rPr>
                <w:noProof/>
                <w:webHidden/>
              </w:rPr>
              <w:t>43</w:t>
            </w:r>
            <w:r w:rsidR="003A69DF">
              <w:rPr>
                <w:noProof/>
                <w:webHidden/>
              </w:rPr>
              <w:fldChar w:fldCharType="end"/>
            </w:r>
          </w:hyperlink>
        </w:p>
        <w:p w14:paraId="248053EB" w14:textId="77777777" w:rsidR="003A69DF" w:rsidRDefault="00AB0292">
          <w:pPr>
            <w:pStyle w:val="TOC2"/>
            <w:rPr>
              <w:rFonts w:asciiTheme="minorHAnsi" w:eastAsiaTheme="minorEastAsia" w:hAnsiTheme="minorHAnsi" w:cstheme="minorBidi"/>
              <w:b w:val="0"/>
              <w:noProof/>
              <w:sz w:val="22"/>
              <w:lang w:eastAsia="en-AU"/>
            </w:rPr>
          </w:pPr>
          <w:hyperlink w:anchor="_Toc8053831" w:history="1">
            <w:r w:rsidR="003A69DF" w:rsidRPr="00636B28">
              <w:rPr>
                <w:rStyle w:val="Hyperlink"/>
                <w:noProof/>
              </w:rPr>
              <w:t>VII. Overall conclusion and risk/benefit assessment</w:t>
            </w:r>
            <w:r w:rsidR="003A69DF">
              <w:rPr>
                <w:noProof/>
                <w:webHidden/>
              </w:rPr>
              <w:tab/>
            </w:r>
            <w:r w:rsidR="003A69DF">
              <w:rPr>
                <w:noProof/>
                <w:webHidden/>
              </w:rPr>
              <w:fldChar w:fldCharType="begin"/>
            </w:r>
            <w:r w:rsidR="003A69DF">
              <w:rPr>
                <w:noProof/>
                <w:webHidden/>
              </w:rPr>
              <w:instrText xml:space="preserve"> PAGEREF _Toc8053831 \h </w:instrText>
            </w:r>
            <w:r w:rsidR="003A69DF">
              <w:rPr>
                <w:noProof/>
                <w:webHidden/>
              </w:rPr>
            </w:r>
            <w:r w:rsidR="003A69DF">
              <w:rPr>
                <w:noProof/>
                <w:webHidden/>
              </w:rPr>
              <w:fldChar w:fldCharType="separate"/>
            </w:r>
            <w:r w:rsidR="003A69DF">
              <w:rPr>
                <w:noProof/>
                <w:webHidden/>
              </w:rPr>
              <w:t>55</w:t>
            </w:r>
            <w:r w:rsidR="003A69DF">
              <w:rPr>
                <w:noProof/>
                <w:webHidden/>
              </w:rPr>
              <w:fldChar w:fldCharType="end"/>
            </w:r>
          </w:hyperlink>
        </w:p>
        <w:p w14:paraId="6A201345" w14:textId="77777777" w:rsidR="003A69DF" w:rsidRDefault="00AB0292">
          <w:pPr>
            <w:pStyle w:val="TOC3"/>
            <w:rPr>
              <w:rFonts w:asciiTheme="minorHAnsi" w:eastAsiaTheme="minorEastAsia" w:hAnsiTheme="minorHAnsi" w:cstheme="minorBidi"/>
              <w:noProof/>
              <w:lang w:eastAsia="en-AU"/>
            </w:rPr>
          </w:pPr>
          <w:hyperlink w:anchor="_Toc8053832" w:history="1">
            <w:r w:rsidR="003A69DF" w:rsidRPr="00636B28">
              <w:rPr>
                <w:rStyle w:val="Hyperlink"/>
                <w:noProof/>
              </w:rPr>
              <w:t>Introduction</w:t>
            </w:r>
            <w:r w:rsidR="003A69DF">
              <w:rPr>
                <w:noProof/>
                <w:webHidden/>
              </w:rPr>
              <w:tab/>
            </w:r>
            <w:r w:rsidR="003A69DF">
              <w:rPr>
                <w:noProof/>
                <w:webHidden/>
              </w:rPr>
              <w:fldChar w:fldCharType="begin"/>
            </w:r>
            <w:r w:rsidR="003A69DF">
              <w:rPr>
                <w:noProof/>
                <w:webHidden/>
              </w:rPr>
              <w:instrText xml:space="preserve"> PAGEREF _Toc8053832 \h </w:instrText>
            </w:r>
            <w:r w:rsidR="003A69DF">
              <w:rPr>
                <w:noProof/>
                <w:webHidden/>
              </w:rPr>
            </w:r>
            <w:r w:rsidR="003A69DF">
              <w:rPr>
                <w:noProof/>
                <w:webHidden/>
              </w:rPr>
              <w:fldChar w:fldCharType="separate"/>
            </w:r>
            <w:r w:rsidR="003A69DF">
              <w:rPr>
                <w:noProof/>
                <w:webHidden/>
              </w:rPr>
              <w:t>55</w:t>
            </w:r>
            <w:r w:rsidR="003A69DF">
              <w:rPr>
                <w:noProof/>
                <w:webHidden/>
              </w:rPr>
              <w:fldChar w:fldCharType="end"/>
            </w:r>
          </w:hyperlink>
        </w:p>
        <w:p w14:paraId="6B90210B" w14:textId="77777777" w:rsidR="003A69DF" w:rsidRDefault="00AB0292">
          <w:pPr>
            <w:pStyle w:val="TOC3"/>
            <w:rPr>
              <w:rFonts w:asciiTheme="minorHAnsi" w:eastAsiaTheme="minorEastAsia" w:hAnsiTheme="minorHAnsi" w:cstheme="minorBidi"/>
              <w:noProof/>
              <w:lang w:eastAsia="en-AU"/>
            </w:rPr>
          </w:pPr>
          <w:hyperlink w:anchor="_Toc8053833" w:history="1">
            <w:r w:rsidR="003A69DF" w:rsidRPr="00636B28">
              <w:rPr>
                <w:rStyle w:val="Hyperlink"/>
                <w:noProof/>
              </w:rPr>
              <w:t>Quality</w:t>
            </w:r>
            <w:r w:rsidR="003A69DF">
              <w:rPr>
                <w:noProof/>
                <w:webHidden/>
              </w:rPr>
              <w:tab/>
            </w:r>
            <w:r w:rsidR="003A69DF">
              <w:rPr>
                <w:noProof/>
                <w:webHidden/>
              </w:rPr>
              <w:fldChar w:fldCharType="begin"/>
            </w:r>
            <w:r w:rsidR="003A69DF">
              <w:rPr>
                <w:noProof/>
                <w:webHidden/>
              </w:rPr>
              <w:instrText xml:space="preserve"> PAGEREF _Toc8053833 \h </w:instrText>
            </w:r>
            <w:r w:rsidR="003A69DF">
              <w:rPr>
                <w:noProof/>
                <w:webHidden/>
              </w:rPr>
            </w:r>
            <w:r w:rsidR="003A69DF">
              <w:rPr>
                <w:noProof/>
                <w:webHidden/>
              </w:rPr>
              <w:fldChar w:fldCharType="separate"/>
            </w:r>
            <w:r w:rsidR="003A69DF">
              <w:rPr>
                <w:noProof/>
                <w:webHidden/>
              </w:rPr>
              <w:t>57</w:t>
            </w:r>
            <w:r w:rsidR="003A69DF">
              <w:rPr>
                <w:noProof/>
                <w:webHidden/>
              </w:rPr>
              <w:fldChar w:fldCharType="end"/>
            </w:r>
          </w:hyperlink>
        </w:p>
        <w:p w14:paraId="1350A12E" w14:textId="77777777" w:rsidR="003A69DF" w:rsidRDefault="00AB0292">
          <w:pPr>
            <w:pStyle w:val="TOC3"/>
            <w:rPr>
              <w:rFonts w:asciiTheme="minorHAnsi" w:eastAsiaTheme="minorEastAsia" w:hAnsiTheme="minorHAnsi" w:cstheme="minorBidi"/>
              <w:noProof/>
              <w:lang w:eastAsia="en-AU"/>
            </w:rPr>
          </w:pPr>
          <w:hyperlink w:anchor="_Toc8053834" w:history="1">
            <w:r w:rsidR="003A69DF" w:rsidRPr="00636B28">
              <w:rPr>
                <w:rStyle w:val="Hyperlink"/>
                <w:noProof/>
              </w:rPr>
              <w:t>Nonclinical</w:t>
            </w:r>
            <w:r w:rsidR="003A69DF">
              <w:rPr>
                <w:noProof/>
                <w:webHidden/>
              </w:rPr>
              <w:tab/>
            </w:r>
            <w:r w:rsidR="003A69DF">
              <w:rPr>
                <w:noProof/>
                <w:webHidden/>
              </w:rPr>
              <w:fldChar w:fldCharType="begin"/>
            </w:r>
            <w:r w:rsidR="003A69DF">
              <w:rPr>
                <w:noProof/>
                <w:webHidden/>
              </w:rPr>
              <w:instrText xml:space="preserve"> PAGEREF _Toc8053834 \h </w:instrText>
            </w:r>
            <w:r w:rsidR="003A69DF">
              <w:rPr>
                <w:noProof/>
                <w:webHidden/>
              </w:rPr>
            </w:r>
            <w:r w:rsidR="003A69DF">
              <w:rPr>
                <w:noProof/>
                <w:webHidden/>
              </w:rPr>
              <w:fldChar w:fldCharType="separate"/>
            </w:r>
            <w:r w:rsidR="003A69DF">
              <w:rPr>
                <w:noProof/>
                <w:webHidden/>
              </w:rPr>
              <w:t>57</w:t>
            </w:r>
            <w:r w:rsidR="003A69DF">
              <w:rPr>
                <w:noProof/>
                <w:webHidden/>
              </w:rPr>
              <w:fldChar w:fldCharType="end"/>
            </w:r>
          </w:hyperlink>
        </w:p>
        <w:p w14:paraId="174410B2" w14:textId="77777777" w:rsidR="003A69DF" w:rsidRDefault="00AB0292">
          <w:pPr>
            <w:pStyle w:val="TOC3"/>
            <w:rPr>
              <w:rFonts w:asciiTheme="minorHAnsi" w:eastAsiaTheme="minorEastAsia" w:hAnsiTheme="minorHAnsi" w:cstheme="minorBidi"/>
              <w:noProof/>
              <w:lang w:eastAsia="en-AU"/>
            </w:rPr>
          </w:pPr>
          <w:hyperlink w:anchor="_Toc8053835" w:history="1">
            <w:r w:rsidR="003A69DF" w:rsidRPr="00636B28">
              <w:rPr>
                <w:rStyle w:val="Hyperlink"/>
                <w:noProof/>
              </w:rPr>
              <w:t>Clinical</w:t>
            </w:r>
            <w:r w:rsidR="003A69DF">
              <w:rPr>
                <w:noProof/>
                <w:webHidden/>
              </w:rPr>
              <w:tab/>
            </w:r>
            <w:r w:rsidR="003A69DF">
              <w:rPr>
                <w:noProof/>
                <w:webHidden/>
              </w:rPr>
              <w:fldChar w:fldCharType="begin"/>
            </w:r>
            <w:r w:rsidR="003A69DF">
              <w:rPr>
                <w:noProof/>
                <w:webHidden/>
              </w:rPr>
              <w:instrText xml:space="preserve"> PAGEREF _Toc8053835 \h </w:instrText>
            </w:r>
            <w:r w:rsidR="003A69DF">
              <w:rPr>
                <w:noProof/>
                <w:webHidden/>
              </w:rPr>
            </w:r>
            <w:r w:rsidR="003A69DF">
              <w:rPr>
                <w:noProof/>
                <w:webHidden/>
              </w:rPr>
              <w:fldChar w:fldCharType="separate"/>
            </w:r>
            <w:r w:rsidR="003A69DF">
              <w:rPr>
                <w:noProof/>
                <w:webHidden/>
              </w:rPr>
              <w:t>57</w:t>
            </w:r>
            <w:r w:rsidR="003A69DF">
              <w:rPr>
                <w:noProof/>
                <w:webHidden/>
              </w:rPr>
              <w:fldChar w:fldCharType="end"/>
            </w:r>
          </w:hyperlink>
        </w:p>
        <w:p w14:paraId="29412BDF" w14:textId="77777777" w:rsidR="003A69DF" w:rsidRDefault="00AB0292">
          <w:pPr>
            <w:pStyle w:val="TOC3"/>
            <w:rPr>
              <w:rFonts w:asciiTheme="minorHAnsi" w:eastAsiaTheme="minorEastAsia" w:hAnsiTheme="minorHAnsi" w:cstheme="minorBidi"/>
              <w:noProof/>
              <w:lang w:eastAsia="en-AU"/>
            </w:rPr>
          </w:pPr>
          <w:hyperlink w:anchor="_Toc8053836" w:history="1">
            <w:r w:rsidR="003A69DF" w:rsidRPr="00636B28">
              <w:rPr>
                <w:rStyle w:val="Hyperlink"/>
                <w:noProof/>
                <w:lang w:eastAsia="en-AU"/>
              </w:rPr>
              <w:t>Risk management plan</w:t>
            </w:r>
            <w:r w:rsidR="003A69DF">
              <w:rPr>
                <w:noProof/>
                <w:webHidden/>
              </w:rPr>
              <w:tab/>
            </w:r>
            <w:r w:rsidR="003A69DF">
              <w:rPr>
                <w:noProof/>
                <w:webHidden/>
              </w:rPr>
              <w:fldChar w:fldCharType="begin"/>
            </w:r>
            <w:r w:rsidR="003A69DF">
              <w:rPr>
                <w:noProof/>
                <w:webHidden/>
              </w:rPr>
              <w:instrText xml:space="preserve"> PAGEREF _Toc8053836 \h </w:instrText>
            </w:r>
            <w:r w:rsidR="003A69DF">
              <w:rPr>
                <w:noProof/>
                <w:webHidden/>
              </w:rPr>
            </w:r>
            <w:r w:rsidR="003A69DF">
              <w:rPr>
                <w:noProof/>
                <w:webHidden/>
              </w:rPr>
              <w:fldChar w:fldCharType="separate"/>
            </w:r>
            <w:r w:rsidR="003A69DF">
              <w:rPr>
                <w:noProof/>
                <w:webHidden/>
              </w:rPr>
              <w:t>77</w:t>
            </w:r>
            <w:r w:rsidR="003A69DF">
              <w:rPr>
                <w:noProof/>
                <w:webHidden/>
              </w:rPr>
              <w:fldChar w:fldCharType="end"/>
            </w:r>
          </w:hyperlink>
        </w:p>
        <w:p w14:paraId="443CCE1F" w14:textId="77777777" w:rsidR="003A69DF" w:rsidRDefault="00AB0292">
          <w:pPr>
            <w:pStyle w:val="TOC3"/>
            <w:rPr>
              <w:rFonts w:asciiTheme="minorHAnsi" w:eastAsiaTheme="minorEastAsia" w:hAnsiTheme="minorHAnsi" w:cstheme="minorBidi"/>
              <w:noProof/>
              <w:lang w:eastAsia="en-AU"/>
            </w:rPr>
          </w:pPr>
          <w:hyperlink w:anchor="_Toc8053837" w:history="1">
            <w:r w:rsidR="003A69DF" w:rsidRPr="00636B28">
              <w:rPr>
                <w:rStyle w:val="Hyperlink"/>
                <w:noProof/>
              </w:rPr>
              <w:t>Risk-benefit analysis</w:t>
            </w:r>
            <w:r w:rsidR="003A69DF">
              <w:rPr>
                <w:noProof/>
                <w:webHidden/>
              </w:rPr>
              <w:tab/>
            </w:r>
            <w:r w:rsidR="003A69DF">
              <w:rPr>
                <w:noProof/>
                <w:webHidden/>
              </w:rPr>
              <w:fldChar w:fldCharType="begin"/>
            </w:r>
            <w:r w:rsidR="003A69DF">
              <w:rPr>
                <w:noProof/>
                <w:webHidden/>
              </w:rPr>
              <w:instrText xml:space="preserve"> PAGEREF _Toc8053837 \h </w:instrText>
            </w:r>
            <w:r w:rsidR="003A69DF">
              <w:rPr>
                <w:noProof/>
                <w:webHidden/>
              </w:rPr>
            </w:r>
            <w:r w:rsidR="003A69DF">
              <w:rPr>
                <w:noProof/>
                <w:webHidden/>
              </w:rPr>
              <w:fldChar w:fldCharType="separate"/>
            </w:r>
            <w:r w:rsidR="003A69DF">
              <w:rPr>
                <w:noProof/>
                <w:webHidden/>
              </w:rPr>
              <w:t>77</w:t>
            </w:r>
            <w:r w:rsidR="003A69DF">
              <w:rPr>
                <w:noProof/>
                <w:webHidden/>
              </w:rPr>
              <w:fldChar w:fldCharType="end"/>
            </w:r>
          </w:hyperlink>
        </w:p>
        <w:p w14:paraId="6BBC595F" w14:textId="77777777" w:rsidR="003A69DF" w:rsidRDefault="00AB0292">
          <w:pPr>
            <w:pStyle w:val="TOC3"/>
            <w:rPr>
              <w:rFonts w:asciiTheme="minorHAnsi" w:eastAsiaTheme="minorEastAsia" w:hAnsiTheme="minorHAnsi" w:cstheme="minorBidi"/>
              <w:noProof/>
              <w:lang w:eastAsia="en-AU"/>
            </w:rPr>
          </w:pPr>
          <w:hyperlink w:anchor="_Toc8053838" w:history="1">
            <w:r w:rsidR="003A69DF" w:rsidRPr="00636B28">
              <w:rPr>
                <w:rStyle w:val="Hyperlink"/>
                <w:noProof/>
              </w:rPr>
              <w:t>Outcome</w:t>
            </w:r>
            <w:r w:rsidR="003A69DF">
              <w:rPr>
                <w:noProof/>
                <w:webHidden/>
              </w:rPr>
              <w:tab/>
            </w:r>
            <w:r w:rsidR="003A69DF">
              <w:rPr>
                <w:noProof/>
                <w:webHidden/>
              </w:rPr>
              <w:fldChar w:fldCharType="begin"/>
            </w:r>
            <w:r w:rsidR="003A69DF">
              <w:rPr>
                <w:noProof/>
                <w:webHidden/>
              </w:rPr>
              <w:instrText xml:space="preserve"> PAGEREF _Toc8053838 \h </w:instrText>
            </w:r>
            <w:r w:rsidR="003A69DF">
              <w:rPr>
                <w:noProof/>
                <w:webHidden/>
              </w:rPr>
            </w:r>
            <w:r w:rsidR="003A69DF">
              <w:rPr>
                <w:noProof/>
                <w:webHidden/>
              </w:rPr>
              <w:fldChar w:fldCharType="separate"/>
            </w:r>
            <w:r w:rsidR="003A69DF">
              <w:rPr>
                <w:noProof/>
                <w:webHidden/>
              </w:rPr>
              <w:t>83</w:t>
            </w:r>
            <w:r w:rsidR="003A69DF">
              <w:rPr>
                <w:noProof/>
                <w:webHidden/>
              </w:rPr>
              <w:fldChar w:fldCharType="end"/>
            </w:r>
          </w:hyperlink>
        </w:p>
        <w:p w14:paraId="33BD70BF" w14:textId="77777777" w:rsidR="003A69DF" w:rsidRDefault="00AB0292">
          <w:pPr>
            <w:pStyle w:val="TOC2"/>
            <w:rPr>
              <w:rFonts w:asciiTheme="minorHAnsi" w:eastAsiaTheme="minorEastAsia" w:hAnsiTheme="minorHAnsi" w:cstheme="minorBidi"/>
              <w:b w:val="0"/>
              <w:noProof/>
              <w:sz w:val="22"/>
              <w:lang w:eastAsia="en-AU"/>
            </w:rPr>
          </w:pPr>
          <w:hyperlink w:anchor="_Toc8053839" w:history="1">
            <w:r w:rsidR="003A69DF" w:rsidRPr="00636B28">
              <w:rPr>
                <w:rStyle w:val="Hyperlink"/>
                <w:noProof/>
              </w:rPr>
              <w:t>Attachment 1. Product Information</w:t>
            </w:r>
            <w:r w:rsidR="003A69DF">
              <w:rPr>
                <w:noProof/>
                <w:webHidden/>
              </w:rPr>
              <w:tab/>
            </w:r>
            <w:r w:rsidR="003A69DF">
              <w:rPr>
                <w:noProof/>
                <w:webHidden/>
              </w:rPr>
              <w:fldChar w:fldCharType="begin"/>
            </w:r>
            <w:r w:rsidR="003A69DF">
              <w:rPr>
                <w:noProof/>
                <w:webHidden/>
              </w:rPr>
              <w:instrText xml:space="preserve"> PAGEREF _Toc8053839 \h </w:instrText>
            </w:r>
            <w:r w:rsidR="003A69DF">
              <w:rPr>
                <w:noProof/>
                <w:webHidden/>
              </w:rPr>
            </w:r>
            <w:r w:rsidR="003A69DF">
              <w:rPr>
                <w:noProof/>
                <w:webHidden/>
              </w:rPr>
              <w:fldChar w:fldCharType="separate"/>
            </w:r>
            <w:r w:rsidR="003A69DF">
              <w:rPr>
                <w:noProof/>
                <w:webHidden/>
              </w:rPr>
              <w:t>84</w:t>
            </w:r>
            <w:r w:rsidR="003A69DF">
              <w:rPr>
                <w:noProof/>
                <w:webHidden/>
              </w:rPr>
              <w:fldChar w:fldCharType="end"/>
            </w:r>
          </w:hyperlink>
        </w:p>
        <w:p w14:paraId="5D2B1A6F" w14:textId="77777777" w:rsidR="003A7F6C" w:rsidRPr="00B811C6" w:rsidRDefault="00DB6124" w:rsidP="00B811C6">
          <w:pPr>
            <w:pStyle w:val="TOC2"/>
          </w:pPr>
          <w:r>
            <w:fldChar w:fldCharType="end"/>
          </w:r>
        </w:p>
      </w:sdtContent>
    </w:sdt>
    <w:bookmarkStart w:id="3" w:name="_Toc314842482" w:displacedByCustomXml="prev"/>
    <w:p w14:paraId="59A1FFB2" w14:textId="77777777" w:rsidR="00FD119B" w:rsidRDefault="00FD119B">
      <w:pPr>
        <w:spacing w:before="0" w:after="200" w:line="0" w:lineRule="auto"/>
      </w:pPr>
      <w:r>
        <w:br w:type="page"/>
      </w:r>
    </w:p>
    <w:p w14:paraId="36DB34AB"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8053798"/>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14:paraId="4D9F8155"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12805845"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60C701DE" w14:textId="77777777" w:rsidR="00FD119B" w:rsidRPr="00FD119B" w:rsidRDefault="00FD119B" w:rsidP="00FD119B">
            <w:pPr>
              <w:keepNext w:val="0"/>
              <w:ind w:left="0" w:right="0"/>
              <w:rPr>
                <w:szCs w:val="22"/>
                <w:lang w:eastAsia="en-US"/>
              </w:rPr>
            </w:pPr>
            <w:r w:rsidRPr="00FD119B">
              <w:rPr>
                <w:szCs w:val="22"/>
                <w:lang w:eastAsia="en-US"/>
              </w:rPr>
              <w:t>Meaning</w:t>
            </w:r>
          </w:p>
        </w:tc>
      </w:tr>
      <w:tr w:rsidR="002B698E" w:rsidRPr="00FD119B" w14:paraId="180BBCEF" w14:textId="77777777" w:rsidTr="00FD119B">
        <w:tc>
          <w:tcPr>
            <w:tcW w:w="1809" w:type="dxa"/>
          </w:tcPr>
          <w:p w14:paraId="7B3171FE" w14:textId="77777777" w:rsidR="002B698E" w:rsidRDefault="002B698E" w:rsidP="0087127E">
            <w:r w:rsidRPr="008F5336">
              <w:t>~</w:t>
            </w:r>
          </w:p>
        </w:tc>
        <w:tc>
          <w:tcPr>
            <w:tcW w:w="6911" w:type="dxa"/>
          </w:tcPr>
          <w:p w14:paraId="32EF0E7E" w14:textId="77777777" w:rsidR="002B698E" w:rsidRPr="00875AB5" w:rsidRDefault="002B698E" w:rsidP="0087127E">
            <w:r>
              <w:t>Approximately</w:t>
            </w:r>
          </w:p>
        </w:tc>
      </w:tr>
      <w:tr w:rsidR="0087127E" w:rsidRPr="00FD119B" w14:paraId="1C4B83B5" w14:textId="77777777" w:rsidTr="00FD119B">
        <w:tc>
          <w:tcPr>
            <w:tcW w:w="1809" w:type="dxa"/>
          </w:tcPr>
          <w:p w14:paraId="155BE967" w14:textId="77777777" w:rsidR="0087127E" w:rsidRPr="00875AB5" w:rsidRDefault="0087127E" w:rsidP="0087127E">
            <w:r>
              <w:t>AE</w:t>
            </w:r>
          </w:p>
        </w:tc>
        <w:tc>
          <w:tcPr>
            <w:tcW w:w="6911" w:type="dxa"/>
          </w:tcPr>
          <w:p w14:paraId="0215E053" w14:textId="77777777" w:rsidR="0087127E" w:rsidRPr="00875AB5" w:rsidRDefault="0087127E" w:rsidP="0087127E">
            <w:r w:rsidRPr="00875AB5">
              <w:t>Adverse event</w:t>
            </w:r>
          </w:p>
        </w:tc>
      </w:tr>
      <w:tr w:rsidR="0087127E" w:rsidRPr="00FD119B" w14:paraId="72EE5E3E" w14:textId="77777777" w:rsidTr="00FD119B">
        <w:tc>
          <w:tcPr>
            <w:tcW w:w="1809" w:type="dxa"/>
          </w:tcPr>
          <w:p w14:paraId="18086909" w14:textId="77777777" w:rsidR="0087127E" w:rsidRPr="00875AB5" w:rsidRDefault="0087127E" w:rsidP="0087127E">
            <w:r>
              <w:t>ALT</w:t>
            </w:r>
          </w:p>
        </w:tc>
        <w:tc>
          <w:tcPr>
            <w:tcW w:w="6911" w:type="dxa"/>
          </w:tcPr>
          <w:p w14:paraId="15B2442E" w14:textId="77777777" w:rsidR="0087127E" w:rsidRPr="00875AB5" w:rsidRDefault="0087127E" w:rsidP="0087127E">
            <w:r w:rsidRPr="00875AB5">
              <w:t>Alanine transaminase</w:t>
            </w:r>
          </w:p>
        </w:tc>
      </w:tr>
      <w:tr w:rsidR="0087127E" w:rsidRPr="00FD119B" w14:paraId="66C49946" w14:textId="77777777" w:rsidTr="00FD119B">
        <w:tc>
          <w:tcPr>
            <w:tcW w:w="1809" w:type="dxa"/>
          </w:tcPr>
          <w:p w14:paraId="3DA25FF1" w14:textId="77777777" w:rsidR="0087127E" w:rsidRPr="00875AB5" w:rsidRDefault="0087127E" w:rsidP="0087127E">
            <w:r>
              <w:t>AML</w:t>
            </w:r>
          </w:p>
        </w:tc>
        <w:tc>
          <w:tcPr>
            <w:tcW w:w="6911" w:type="dxa"/>
          </w:tcPr>
          <w:p w14:paraId="19477E4A" w14:textId="77777777" w:rsidR="0087127E" w:rsidRPr="00875AB5" w:rsidRDefault="0087127E" w:rsidP="0087127E">
            <w:r w:rsidRPr="00875AB5">
              <w:t>Acute myeloid leukaemia</w:t>
            </w:r>
          </w:p>
        </w:tc>
      </w:tr>
      <w:tr w:rsidR="0087127E" w:rsidRPr="00FD119B" w14:paraId="3D193587" w14:textId="77777777" w:rsidTr="00FD119B">
        <w:tc>
          <w:tcPr>
            <w:tcW w:w="1809" w:type="dxa"/>
          </w:tcPr>
          <w:p w14:paraId="1F38FBB5" w14:textId="77777777" w:rsidR="0087127E" w:rsidRPr="00875AB5" w:rsidRDefault="0087127E" w:rsidP="0087127E">
            <w:r>
              <w:t>AST</w:t>
            </w:r>
          </w:p>
        </w:tc>
        <w:tc>
          <w:tcPr>
            <w:tcW w:w="6911" w:type="dxa"/>
          </w:tcPr>
          <w:p w14:paraId="681D0A18" w14:textId="77777777" w:rsidR="0087127E" w:rsidRPr="00875AB5" w:rsidRDefault="0087127E" w:rsidP="0087127E">
            <w:r w:rsidRPr="00875AB5">
              <w:t>Aspartate transaminase</w:t>
            </w:r>
          </w:p>
        </w:tc>
      </w:tr>
      <w:tr w:rsidR="0087127E" w:rsidRPr="00FD119B" w14:paraId="70C1339C" w14:textId="77777777" w:rsidTr="00FD119B">
        <w:tc>
          <w:tcPr>
            <w:tcW w:w="1809" w:type="dxa"/>
          </w:tcPr>
          <w:p w14:paraId="0B274AB9" w14:textId="77777777" w:rsidR="0087127E" w:rsidRPr="00875AB5" w:rsidRDefault="0087127E" w:rsidP="0087127E">
            <w:r>
              <w:t>AUC</w:t>
            </w:r>
          </w:p>
        </w:tc>
        <w:tc>
          <w:tcPr>
            <w:tcW w:w="6911" w:type="dxa"/>
          </w:tcPr>
          <w:p w14:paraId="7D6A440A" w14:textId="77777777" w:rsidR="0087127E" w:rsidRPr="00875AB5" w:rsidRDefault="0087127E" w:rsidP="0087127E">
            <w:r w:rsidRPr="00875AB5">
              <w:t>Area under plasma concentration-time curve</w:t>
            </w:r>
          </w:p>
        </w:tc>
      </w:tr>
      <w:tr w:rsidR="002B698E" w:rsidRPr="00FD119B" w14:paraId="31F25E0B" w14:textId="77777777" w:rsidTr="00FD119B">
        <w:tc>
          <w:tcPr>
            <w:tcW w:w="1809" w:type="dxa"/>
          </w:tcPr>
          <w:p w14:paraId="3EE5CACD" w14:textId="77777777" w:rsidR="002B698E" w:rsidRDefault="002B698E" w:rsidP="0087127E">
            <w:r w:rsidRPr="008F5336">
              <w:rPr>
                <w:rFonts w:cs="Arial"/>
              </w:rPr>
              <w:t>AUC</w:t>
            </w:r>
            <w:r w:rsidRPr="008F5336">
              <w:rPr>
                <w:rFonts w:cs="Arial"/>
                <w:vertAlign w:val="subscript"/>
              </w:rPr>
              <w:t>0</w:t>
            </w:r>
            <w:r w:rsidRPr="008F5336">
              <w:rPr>
                <w:rFonts w:cs="Arial"/>
                <w:vertAlign w:val="subscript"/>
              </w:rPr>
              <w:noBreakHyphen/>
              <w:t>∞</w:t>
            </w:r>
          </w:p>
        </w:tc>
        <w:tc>
          <w:tcPr>
            <w:tcW w:w="6911" w:type="dxa"/>
          </w:tcPr>
          <w:p w14:paraId="10A2004E" w14:textId="77777777" w:rsidR="002B698E" w:rsidRPr="00875AB5" w:rsidRDefault="002B698E" w:rsidP="0087127E">
            <w:r w:rsidRPr="00875AB5">
              <w:t>Area under plasma concentration-time curve</w:t>
            </w:r>
            <w:r>
              <w:t xml:space="preserve"> from time zero to infinity</w:t>
            </w:r>
          </w:p>
        </w:tc>
      </w:tr>
      <w:tr w:rsidR="0087127E" w:rsidRPr="00FD119B" w14:paraId="345F8F0D" w14:textId="77777777" w:rsidTr="00FD119B">
        <w:tc>
          <w:tcPr>
            <w:tcW w:w="1809" w:type="dxa"/>
          </w:tcPr>
          <w:p w14:paraId="3A0E9E31" w14:textId="77777777" w:rsidR="0087127E" w:rsidRPr="00875AB5" w:rsidRDefault="0087127E" w:rsidP="0087127E">
            <w:r>
              <w:t>AZD2281</w:t>
            </w:r>
          </w:p>
        </w:tc>
        <w:tc>
          <w:tcPr>
            <w:tcW w:w="6911" w:type="dxa"/>
          </w:tcPr>
          <w:p w14:paraId="5DD7A19B" w14:textId="77777777" w:rsidR="0087127E" w:rsidRPr="00875AB5" w:rsidRDefault="0087127E" w:rsidP="0087127E">
            <w:r w:rsidRPr="00875AB5">
              <w:t>The generic name olaparib is generally used when referring to the drug substance known by the laboratory code AZD2281 or KU-0059436</w:t>
            </w:r>
          </w:p>
        </w:tc>
      </w:tr>
      <w:tr w:rsidR="0087127E" w:rsidRPr="00FD119B" w14:paraId="1369FBAB" w14:textId="77777777" w:rsidTr="00FD119B">
        <w:tc>
          <w:tcPr>
            <w:tcW w:w="1809" w:type="dxa"/>
          </w:tcPr>
          <w:p w14:paraId="50FFB419" w14:textId="77777777" w:rsidR="0087127E" w:rsidRPr="00875AB5" w:rsidRDefault="0087127E" w:rsidP="0087127E">
            <w:r>
              <w:t>BCRP</w:t>
            </w:r>
          </w:p>
        </w:tc>
        <w:tc>
          <w:tcPr>
            <w:tcW w:w="6911" w:type="dxa"/>
          </w:tcPr>
          <w:p w14:paraId="7CACFCC5" w14:textId="77777777" w:rsidR="0087127E" w:rsidRPr="00875AB5" w:rsidRDefault="0087127E" w:rsidP="0087127E">
            <w:r w:rsidRPr="00875AB5">
              <w:t>Breast cancer resistance protein</w:t>
            </w:r>
          </w:p>
        </w:tc>
      </w:tr>
      <w:tr w:rsidR="0094739B" w:rsidRPr="00FD119B" w14:paraId="299010A2" w14:textId="77777777" w:rsidTr="00FD119B">
        <w:tc>
          <w:tcPr>
            <w:tcW w:w="1809" w:type="dxa"/>
          </w:tcPr>
          <w:p w14:paraId="63E88A63" w14:textId="77777777" w:rsidR="0094739B" w:rsidRDefault="0094739B" w:rsidP="0087127E">
            <w:r w:rsidRPr="0094739B">
              <w:t>BCS</w:t>
            </w:r>
          </w:p>
        </w:tc>
        <w:tc>
          <w:tcPr>
            <w:tcW w:w="6911" w:type="dxa"/>
          </w:tcPr>
          <w:p w14:paraId="6B11EBCD" w14:textId="77777777" w:rsidR="0094739B" w:rsidRPr="0094739B" w:rsidRDefault="0094739B" w:rsidP="0094739B">
            <w:r w:rsidRPr="0094739B">
              <w:t>Biopharmaceutics</w:t>
            </w:r>
            <w:r>
              <w:t xml:space="preserve"> </w:t>
            </w:r>
            <w:r w:rsidRPr="0094739B">
              <w:t>Classification</w:t>
            </w:r>
            <w:r>
              <w:t xml:space="preserve"> System</w:t>
            </w:r>
          </w:p>
        </w:tc>
      </w:tr>
      <w:tr w:rsidR="0087127E" w:rsidRPr="00FD119B" w14:paraId="1054D0D0" w14:textId="77777777" w:rsidTr="00FD119B">
        <w:tc>
          <w:tcPr>
            <w:tcW w:w="1809" w:type="dxa"/>
          </w:tcPr>
          <w:p w14:paraId="16DAE5C1" w14:textId="77777777" w:rsidR="0087127E" w:rsidRPr="00875AB5" w:rsidRDefault="0087127E" w:rsidP="0087127E">
            <w:r>
              <w:t>BD</w:t>
            </w:r>
          </w:p>
        </w:tc>
        <w:tc>
          <w:tcPr>
            <w:tcW w:w="6911" w:type="dxa"/>
          </w:tcPr>
          <w:p w14:paraId="66ACDADA" w14:textId="77777777" w:rsidR="0087127E" w:rsidRPr="00875AB5" w:rsidRDefault="0087127E" w:rsidP="0087127E">
            <w:r w:rsidRPr="00875AB5">
              <w:t>Twice daily</w:t>
            </w:r>
          </w:p>
        </w:tc>
      </w:tr>
      <w:tr w:rsidR="0087127E" w:rsidRPr="00FD119B" w14:paraId="0DCA9C88" w14:textId="77777777" w:rsidTr="00FD119B">
        <w:tc>
          <w:tcPr>
            <w:tcW w:w="1809" w:type="dxa"/>
          </w:tcPr>
          <w:p w14:paraId="20DB7975" w14:textId="77777777" w:rsidR="0087127E" w:rsidRPr="00875AB5" w:rsidRDefault="0087127E" w:rsidP="0087127E">
            <w:r>
              <w:t>BRCA</w:t>
            </w:r>
          </w:p>
        </w:tc>
        <w:tc>
          <w:tcPr>
            <w:tcW w:w="6911" w:type="dxa"/>
          </w:tcPr>
          <w:p w14:paraId="1ECF3255" w14:textId="77777777" w:rsidR="0087127E" w:rsidRPr="00875AB5" w:rsidRDefault="0087127E" w:rsidP="0087127E">
            <w:r w:rsidRPr="00875AB5">
              <w:t>Breast cancer susceptibility gene (in accordance with scientific convention, gene and mutation is italicised whereas protein is not italicised).</w:t>
            </w:r>
          </w:p>
        </w:tc>
      </w:tr>
      <w:tr w:rsidR="0087127E" w:rsidRPr="00FD119B" w14:paraId="405F6D42" w14:textId="77777777" w:rsidTr="00FD119B">
        <w:tc>
          <w:tcPr>
            <w:tcW w:w="1809" w:type="dxa"/>
          </w:tcPr>
          <w:p w14:paraId="30E3C2FB" w14:textId="77777777" w:rsidR="0087127E" w:rsidRPr="00875AB5" w:rsidRDefault="0087127E" w:rsidP="0087127E">
            <w:proofErr w:type="spellStart"/>
            <w:r>
              <w:t>BRCAm</w:t>
            </w:r>
            <w:proofErr w:type="spellEnd"/>
          </w:p>
        </w:tc>
        <w:tc>
          <w:tcPr>
            <w:tcW w:w="6911" w:type="dxa"/>
          </w:tcPr>
          <w:p w14:paraId="2CBBEC27" w14:textId="77777777" w:rsidR="0087127E" w:rsidRPr="00875AB5" w:rsidRDefault="0087127E" w:rsidP="0087127E">
            <w:proofErr w:type="spellStart"/>
            <w:r>
              <w:t>gBRCA</w:t>
            </w:r>
            <w:proofErr w:type="spellEnd"/>
            <w:r>
              <w:t xml:space="preserve"> and/or </w:t>
            </w:r>
            <w:proofErr w:type="spellStart"/>
            <w:r>
              <w:t>tBRCA</w:t>
            </w:r>
            <w:proofErr w:type="spellEnd"/>
            <w:r>
              <w:t xml:space="preserve"> mutated</w:t>
            </w:r>
          </w:p>
        </w:tc>
      </w:tr>
      <w:tr w:rsidR="0087127E" w:rsidRPr="00FD119B" w14:paraId="48A6CF9D" w14:textId="77777777" w:rsidTr="00FD119B">
        <w:tc>
          <w:tcPr>
            <w:tcW w:w="1809" w:type="dxa"/>
          </w:tcPr>
          <w:p w14:paraId="27EF55B2" w14:textId="401CB194" w:rsidR="0087127E" w:rsidRPr="00875AB5" w:rsidRDefault="0041711A" w:rsidP="0087127E">
            <w:r>
              <w:t>CA 125</w:t>
            </w:r>
          </w:p>
        </w:tc>
        <w:tc>
          <w:tcPr>
            <w:tcW w:w="6911" w:type="dxa"/>
          </w:tcPr>
          <w:p w14:paraId="23B7438A" w14:textId="77777777" w:rsidR="0087127E" w:rsidRPr="00875AB5" w:rsidRDefault="0087127E" w:rsidP="0087127E">
            <w:r w:rsidRPr="00875AB5">
              <w:t>Cancer antigen (CA)-125 (tumour biomarker)</w:t>
            </w:r>
          </w:p>
        </w:tc>
      </w:tr>
      <w:tr w:rsidR="0087127E" w:rsidRPr="00FD119B" w14:paraId="6EC0E4E5" w14:textId="77777777" w:rsidTr="00FD119B">
        <w:tc>
          <w:tcPr>
            <w:tcW w:w="1809" w:type="dxa"/>
          </w:tcPr>
          <w:p w14:paraId="427782A4" w14:textId="77777777" w:rsidR="0087127E" w:rsidRPr="00875AB5" w:rsidRDefault="0087127E" w:rsidP="0087127E">
            <w:r>
              <w:t>CHMP</w:t>
            </w:r>
          </w:p>
        </w:tc>
        <w:tc>
          <w:tcPr>
            <w:tcW w:w="6911" w:type="dxa"/>
          </w:tcPr>
          <w:p w14:paraId="7DDBA7CA" w14:textId="77777777" w:rsidR="0087127E" w:rsidRPr="00875AB5" w:rsidRDefault="0087127E" w:rsidP="0087127E">
            <w:r w:rsidRPr="00875AB5">
              <w:t>Committee for Medicinal Products for Human Use</w:t>
            </w:r>
          </w:p>
        </w:tc>
      </w:tr>
      <w:tr w:rsidR="0087127E" w:rsidRPr="00FD119B" w14:paraId="7B5188BB" w14:textId="77777777" w:rsidTr="00FD119B">
        <w:tc>
          <w:tcPr>
            <w:tcW w:w="1809" w:type="dxa"/>
          </w:tcPr>
          <w:p w14:paraId="791A1069" w14:textId="77777777" w:rsidR="0087127E" w:rsidRPr="00875AB5" w:rsidRDefault="0087127E" w:rsidP="0087127E">
            <w:r>
              <w:t>CI</w:t>
            </w:r>
          </w:p>
        </w:tc>
        <w:tc>
          <w:tcPr>
            <w:tcW w:w="6911" w:type="dxa"/>
          </w:tcPr>
          <w:p w14:paraId="77F489A5" w14:textId="77777777" w:rsidR="0087127E" w:rsidRPr="00875AB5" w:rsidRDefault="0087127E" w:rsidP="0087127E">
            <w:r w:rsidRPr="00875AB5">
              <w:t>Confidence interval</w:t>
            </w:r>
          </w:p>
        </w:tc>
      </w:tr>
      <w:tr w:rsidR="0087127E" w:rsidRPr="00FD119B" w14:paraId="060A030B" w14:textId="77777777" w:rsidTr="00FD119B">
        <w:tc>
          <w:tcPr>
            <w:tcW w:w="1809" w:type="dxa"/>
          </w:tcPr>
          <w:p w14:paraId="01F76FA3" w14:textId="77777777" w:rsidR="0087127E" w:rsidRPr="00875AB5" w:rsidRDefault="00E032DB" w:rsidP="0087127E">
            <w:r w:rsidRPr="00386C85">
              <w:t>C</w:t>
            </w:r>
            <w:r w:rsidRPr="00E032DB">
              <w:rPr>
                <w:vertAlign w:val="subscript"/>
              </w:rPr>
              <w:t>max</w:t>
            </w:r>
          </w:p>
        </w:tc>
        <w:tc>
          <w:tcPr>
            <w:tcW w:w="6911" w:type="dxa"/>
          </w:tcPr>
          <w:p w14:paraId="0C8283E1" w14:textId="77777777" w:rsidR="0087127E" w:rsidRPr="00875AB5" w:rsidRDefault="0087127E" w:rsidP="0087127E">
            <w:r w:rsidRPr="00875AB5">
              <w:t>Maximum plasma concentration</w:t>
            </w:r>
          </w:p>
        </w:tc>
      </w:tr>
      <w:tr w:rsidR="009703D3" w:rsidRPr="00FD119B" w14:paraId="025EE01E" w14:textId="77777777" w:rsidTr="00FD119B">
        <w:tc>
          <w:tcPr>
            <w:tcW w:w="1809" w:type="dxa"/>
          </w:tcPr>
          <w:p w14:paraId="49237F39" w14:textId="77777777" w:rsidR="009703D3" w:rsidRPr="000A643A" w:rsidRDefault="009703D3" w:rsidP="0087127E">
            <w:r w:rsidRPr="00806575">
              <w:t>C</w:t>
            </w:r>
            <w:r w:rsidRPr="009703D3">
              <w:rPr>
                <w:vertAlign w:val="subscript"/>
              </w:rPr>
              <w:t>min</w:t>
            </w:r>
          </w:p>
        </w:tc>
        <w:tc>
          <w:tcPr>
            <w:tcW w:w="6911" w:type="dxa"/>
          </w:tcPr>
          <w:p w14:paraId="71D48E2A" w14:textId="77777777" w:rsidR="009703D3" w:rsidRPr="00875AB5" w:rsidRDefault="009703D3" w:rsidP="0087127E">
            <w:r>
              <w:t>Minimum serum concentration</w:t>
            </w:r>
          </w:p>
        </w:tc>
      </w:tr>
      <w:tr w:rsidR="00E032DB" w:rsidRPr="00FD119B" w14:paraId="1156B024" w14:textId="77777777" w:rsidTr="00FD119B">
        <w:tc>
          <w:tcPr>
            <w:tcW w:w="1809" w:type="dxa"/>
          </w:tcPr>
          <w:p w14:paraId="0CC87FF2" w14:textId="77777777" w:rsidR="00E032DB" w:rsidRPr="00806575" w:rsidRDefault="00E032DB" w:rsidP="0087127E">
            <w:r w:rsidRPr="00386C85">
              <w:t>CNS</w:t>
            </w:r>
          </w:p>
        </w:tc>
        <w:tc>
          <w:tcPr>
            <w:tcW w:w="6911" w:type="dxa"/>
          </w:tcPr>
          <w:p w14:paraId="02E11E5E" w14:textId="77777777" w:rsidR="00E032DB" w:rsidRDefault="00E032DB" w:rsidP="00E032DB">
            <w:r>
              <w:t>Central nervous system</w:t>
            </w:r>
          </w:p>
        </w:tc>
      </w:tr>
      <w:tr w:rsidR="0087127E" w:rsidRPr="00FD119B" w14:paraId="71126D73" w14:textId="77777777" w:rsidTr="00FD119B">
        <w:tc>
          <w:tcPr>
            <w:tcW w:w="1809" w:type="dxa"/>
          </w:tcPr>
          <w:p w14:paraId="45B021E9" w14:textId="77777777" w:rsidR="0087127E" w:rsidRPr="00875AB5" w:rsidRDefault="0087127E" w:rsidP="0087127E">
            <w:r>
              <w:t>CR</w:t>
            </w:r>
          </w:p>
        </w:tc>
        <w:tc>
          <w:tcPr>
            <w:tcW w:w="6911" w:type="dxa"/>
          </w:tcPr>
          <w:p w14:paraId="1111C07E" w14:textId="77777777" w:rsidR="0087127E" w:rsidRPr="00875AB5" w:rsidRDefault="0087127E" w:rsidP="0087127E">
            <w:r w:rsidRPr="00875AB5">
              <w:t>Complete response</w:t>
            </w:r>
          </w:p>
        </w:tc>
      </w:tr>
      <w:tr w:rsidR="0087127E" w:rsidRPr="00FD119B" w14:paraId="4B2EF74A" w14:textId="77777777" w:rsidTr="00FD119B">
        <w:tc>
          <w:tcPr>
            <w:tcW w:w="1809" w:type="dxa"/>
          </w:tcPr>
          <w:p w14:paraId="6AFDC026" w14:textId="77777777" w:rsidR="0087127E" w:rsidRPr="00875AB5" w:rsidRDefault="0087127E" w:rsidP="0087127E">
            <w:r>
              <w:t>CRF</w:t>
            </w:r>
          </w:p>
        </w:tc>
        <w:tc>
          <w:tcPr>
            <w:tcW w:w="6911" w:type="dxa"/>
          </w:tcPr>
          <w:p w14:paraId="23C156E3" w14:textId="77777777" w:rsidR="0087127E" w:rsidRPr="00875AB5" w:rsidRDefault="0087127E" w:rsidP="0087127E">
            <w:r w:rsidRPr="00875AB5">
              <w:t>Case report form</w:t>
            </w:r>
          </w:p>
        </w:tc>
      </w:tr>
      <w:tr w:rsidR="0087127E" w:rsidRPr="00FD119B" w14:paraId="3B3CF4F5" w14:textId="77777777" w:rsidTr="00FD119B">
        <w:tc>
          <w:tcPr>
            <w:tcW w:w="1809" w:type="dxa"/>
          </w:tcPr>
          <w:p w14:paraId="63D1ADE5" w14:textId="77777777" w:rsidR="0087127E" w:rsidRPr="00875AB5" w:rsidRDefault="0087127E" w:rsidP="0087127E">
            <w:r>
              <w:t>CSR</w:t>
            </w:r>
          </w:p>
        </w:tc>
        <w:tc>
          <w:tcPr>
            <w:tcW w:w="6911" w:type="dxa"/>
          </w:tcPr>
          <w:p w14:paraId="7E090620" w14:textId="77777777" w:rsidR="0087127E" w:rsidRPr="00875AB5" w:rsidRDefault="0087127E" w:rsidP="0087127E">
            <w:r w:rsidRPr="00875AB5">
              <w:t>Clinical study report</w:t>
            </w:r>
          </w:p>
        </w:tc>
      </w:tr>
      <w:tr w:rsidR="0087127E" w:rsidRPr="00FD119B" w14:paraId="01743359" w14:textId="77777777" w:rsidTr="00FD119B">
        <w:tc>
          <w:tcPr>
            <w:tcW w:w="1809" w:type="dxa"/>
          </w:tcPr>
          <w:p w14:paraId="2C8E343F" w14:textId="77777777" w:rsidR="0087127E" w:rsidRPr="00875AB5" w:rsidRDefault="0087127E" w:rsidP="0087127E">
            <w:r>
              <w:lastRenderedPageBreak/>
              <w:t>CTCAE</w:t>
            </w:r>
          </w:p>
        </w:tc>
        <w:tc>
          <w:tcPr>
            <w:tcW w:w="6911" w:type="dxa"/>
          </w:tcPr>
          <w:p w14:paraId="6677152C" w14:textId="77777777" w:rsidR="0087127E" w:rsidRPr="00875AB5" w:rsidRDefault="0087127E" w:rsidP="0087127E">
            <w:r w:rsidRPr="00875AB5">
              <w:t>Common Terminology Criteria for Adverse Events</w:t>
            </w:r>
          </w:p>
        </w:tc>
      </w:tr>
      <w:tr w:rsidR="0087127E" w:rsidRPr="00FD119B" w14:paraId="0B6F7530" w14:textId="77777777" w:rsidTr="00FD119B">
        <w:tc>
          <w:tcPr>
            <w:tcW w:w="1809" w:type="dxa"/>
          </w:tcPr>
          <w:p w14:paraId="61E28232" w14:textId="77777777" w:rsidR="0087127E" w:rsidRPr="00875AB5" w:rsidRDefault="0087127E" w:rsidP="0087127E">
            <w:r>
              <w:t>CYP</w:t>
            </w:r>
          </w:p>
        </w:tc>
        <w:tc>
          <w:tcPr>
            <w:tcW w:w="6911" w:type="dxa"/>
          </w:tcPr>
          <w:p w14:paraId="49A9A017" w14:textId="77777777" w:rsidR="0087127E" w:rsidRPr="00875AB5" w:rsidRDefault="0087127E" w:rsidP="0087127E">
            <w:r w:rsidRPr="00875AB5">
              <w:t>Cytochrome P450</w:t>
            </w:r>
          </w:p>
        </w:tc>
      </w:tr>
      <w:tr w:rsidR="0087127E" w:rsidRPr="00FD119B" w14:paraId="2CDD00E9" w14:textId="77777777" w:rsidTr="00FD119B">
        <w:tc>
          <w:tcPr>
            <w:tcW w:w="1809" w:type="dxa"/>
          </w:tcPr>
          <w:p w14:paraId="4DEF7C51" w14:textId="77777777" w:rsidR="0087127E" w:rsidRPr="00875AB5" w:rsidRDefault="0087127E" w:rsidP="0087127E">
            <w:r>
              <w:t>DCO</w:t>
            </w:r>
          </w:p>
        </w:tc>
        <w:tc>
          <w:tcPr>
            <w:tcW w:w="6911" w:type="dxa"/>
          </w:tcPr>
          <w:p w14:paraId="77810D02" w14:textId="77777777" w:rsidR="0087127E" w:rsidRPr="00875AB5" w:rsidRDefault="0087127E" w:rsidP="0087127E">
            <w:r w:rsidRPr="00875AB5">
              <w:t>Data cut-off</w:t>
            </w:r>
          </w:p>
        </w:tc>
      </w:tr>
      <w:tr w:rsidR="0087127E" w:rsidRPr="00FD119B" w14:paraId="11514BAB" w14:textId="77777777" w:rsidTr="00FD119B">
        <w:tc>
          <w:tcPr>
            <w:tcW w:w="1809" w:type="dxa"/>
          </w:tcPr>
          <w:p w14:paraId="3578B5CC" w14:textId="77777777" w:rsidR="0087127E" w:rsidRPr="00875AB5" w:rsidRDefault="0087127E" w:rsidP="0087127E">
            <w:r w:rsidRPr="00875AB5">
              <w:t>DCR</w:t>
            </w:r>
          </w:p>
        </w:tc>
        <w:tc>
          <w:tcPr>
            <w:tcW w:w="6911" w:type="dxa"/>
          </w:tcPr>
          <w:p w14:paraId="72E33410" w14:textId="77777777" w:rsidR="0087127E" w:rsidRPr="00875AB5" w:rsidRDefault="008C6418" w:rsidP="0087127E">
            <w:r>
              <w:t>D</w:t>
            </w:r>
            <w:r w:rsidR="0087127E" w:rsidRPr="00875AB5">
              <w:t>isease control rate</w:t>
            </w:r>
          </w:p>
        </w:tc>
      </w:tr>
      <w:tr w:rsidR="0087127E" w:rsidRPr="00FD119B" w14:paraId="16B81C08" w14:textId="77777777" w:rsidTr="00FD119B">
        <w:tc>
          <w:tcPr>
            <w:tcW w:w="1809" w:type="dxa"/>
          </w:tcPr>
          <w:p w14:paraId="76D08A5A" w14:textId="77777777" w:rsidR="0087127E" w:rsidRPr="00875AB5" w:rsidRDefault="0087127E" w:rsidP="0087127E">
            <w:proofErr w:type="spellStart"/>
            <w:r w:rsidRPr="00875AB5">
              <w:t>DoR</w:t>
            </w:r>
            <w:proofErr w:type="spellEnd"/>
          </w:p>
        </w:tc>
        <w:tc>
          <w:tcPr>
            <w:tcW w:w="6911" w:type="dxa"/>
          </w:tcPr>
          <w:p w14:paraId="3958977B" w14:textId="77777777" w:rsidR="0087127E" w:rsidRPr="00875AB5" w:rsidRDefault="008C6418" w:rsidP="0087127E">
            <w:r>
              <w:t>D</w:t>
            </w:r>
            <w:r w:rsidR="0087127E" w:rsidRPr="00875AB5">
              <w:t>uration of response</w:t>
            </w:r>
          </w:p>
        </w:tc>
      </w:tr>
      <w:tr w:rsidR="0087127E" w:rsidRPr="00FD119B" w14:paraId="692948F0" w14:textId="77777777" w:rsidTr="00FD119B">
        <w:tc>
          <w:tcPr>
            <w:tcW w:w="1809" w:type="dxa"/>
          </w:tcPr>
          <w:p w14:paraId="30182A49" w14:textId="77777777" w:rsidR="0087127E" w:rsidRPr="00875AB5" w:rsidRDefault="0087127E" w:rsidP="0087127E">
            <w:r>
              <w:t>ECG</w:t>
            </w:r>
          </w:p>
        </w:tc>
        <w:tc>
          <w:tcPr>
            <w:tcW w:w="6911" w:type="dxa"/>
          </w:tcPr>
          <w:p w14:paraId="2A1B0205" w14:textId="77777777" w:rsidR="0087127E" w:rsidRPr="00875AB5" w:rsidRDefault="0087127E" w:rsidP="0087127E">
            <w:r w:rsidRPr="00875AB5">
              <w:t>Electrocardiogram</w:t>
            </w:r>
          </w:p>
        </w:tc>
      </w:tr>
      <w:tr w:rsidR="0087127E" w:rsidRPr="00FD119B" w14:paraId="292E510A" w14:textId="77777777" w:rsidTr="00FD119B">
        <w:tc>
          <w:tcPr>
            <w:tcW w:w="1809" w:type="dxa"/>
          </w:tcPr>
          <w:p w14:paraId="6FE01832" w14:textId="77777777" w:rsidR="0087127E" w:rsidRPr="00875AB5" w:rsidRDefault="0087127E" w:rsidP="0087127E">
            <w:r>
              <w:t>ECOG</w:t>
            </w:r>
          </w:p>
        </w:tc>
        <w:tc>
          <w:tcPr>
            <w:tcW w:w="6911" w:type="dxa"/>
          </w:tcPr>
          <w:p w14:paraId="030D1D6B" w14:textId="77777777" w:rsidR="0087127E" w:rsidRPr="00875AB5" w:rsidRDefault="0087127E" w:rsidP="0087127E">
            <w:r w:rsidRPr="00875AB5">
              <w:t>Eastern Cooperative Oncology Group</w:t>
            </w:r>
          </w:p>
        </w:tc>
      </w:tr>
      <w:tr w:rsidR="0087127E" w:rsidRPr="00FD119B" w14:paraId="24907645" w14:textId="77777777" w:rsidTr="00FD119B">
        <w:tc>
          <w:tcPr>
            <w:tcW w:w="1809" w:type="dxa"/>
          </w:tcPr>
          <w:p w14:paraId="70E7A4D4" w14:textId="77777777" w:rsidR="0087127E" w:rsidRPr="00875AB5" w:rsidRDefault="0087127E" w:rsidP="0087127E">
            <w:r>
              <w:t>EMA</w:t>
            </w:r>
          </w:p>
        </w:tc>
        <w:tc>
          <w:tcPr>
            <w:tcW w:w="6911" w:type="dxa"/>
          </w:tcPr>
          <w:p w14:paraId="01AB52B4" w14:textId="77777777" w:rsidR="0087127E" w:rsidRPr="00875AB5" w:rsidRDefault="0087127E" w:rsidP="0087127E">
            <w:r w:rsidRPr="00875AB5">
              <w:t>European Medicines Agency</w:t>
            </w:r>
          </w:p>
        </w:tc>
      </w:tr>
      <w:tr w:rsidR="0087127E" w:rsidRPr="00FD119B" w14:paraId="33E6F49D" w14:textId="77777777" w:rsidTr="00FD119B">
        <w:tc>
          <w:tcPr>
            <w:tcW w:w="1809" w:type="dxa"/>
          </w:tcPr>
          <w:p w14:paraId="5515F55B" w14:textId="77777777" w:rsidR="0087127E" w:rsidRPr="00875AB5" w:rsidRDefault="0087127E" w:rsidP="0087127E">
            <w:r>
              <w:t>EU</w:t>
            </w:r>
          </w:p>
        </w:tc>
        <w:tc>
          <w:tcPr>
            <w:tcW w:w="6911" w:type="dxa"/>
          </w:tcPr>
          <w:p w14:paraId="46728F0E" w14:textId="77777777" w:rsidR="0087127E" w:rsidRPr="00875AB5" w:rsidRDefault="0087127E" w:rsidP="0087127E">
            <w:r w:rsidRPr="00875AB5">
              <w:t>European Union</w:t>
            </w:r>
          </w:p>
        </w:tc>
      </w:tr>
      <w:tr w:rsidR="0087127E" w:rsidRPr="00FD119B" w14:paraId="621548F8" w14:textId="77777777" w:rsidTr="00FD119B">
        <w:tc>
          <w:tcPr>
            <w:tcW w:w="1809" w:type="dxa"/>
          </w:tcPr>
          <w:p w14:paraId="3E42ED6C" w14:textId="77777777" w:rsidR="0087127E" w:rsidRPr="00875AB5" w:rsidRDefault="0087127E" w:rsidP="0087127E">
            <w:r>
              <w:t>FACT-O</w:t>
            </w:r>
          </w:p>
        </w:tc>
        <w:tc>
          <w:tcPr>
            <w:tcW w:w="6911" w:type="dxa"/>
          </w:tcPr>
          <w:p w14:paraId="289B1F87" w14:textId="77777777" w:rsidR="0087127E" w:rsidRPr="00875AB5" w:rsidRDefault="0087127E" w:rsidP="0087127E">
            <w:r w:rsidRPr="00875AB5">
              <w:t>Functional Assessment of Cancer Therapy – Ovarian</w:t>
            </w:r>
          </w:p>
        </w:tc>
      </w:tr>
      <w:tr w:rsidR="0087127E" w:rsidRPr="00FD119B" w14:paraId="64342AA9" w14:textId="77777777" w:rsidTr="00FD119B">
        <w:tc>
          <w:tcPr>
            <w:tcW w:w="1809" w:type="dxa"/>
          </w:tcPr>
          <w:p w14:paraId="659D4482" w14:textId="77777777" w:rsidR="0087127E" w:rsidRPr="00875AB5" w:rsidRDefault="0087127E" w:rsidP="0087127E">
            <w:r>
              <w:t>FAS</w:t>
            </w:r>
          </w:p>
        </w:tc>
        <w:tc>
          <w:tcPr>
            <w:tcW w:w="6911" w:type="dxa"/>
          </w:tcPr>
          <w:p w14:paraId="5D5A1713" w14:textId="77777777" w:rsidR="0087127E" w:rsidRPr="00875AB5" w:rsidRDefault="0087127E" w:rsidP="0087127E">
            <w:r w:rsidRPr="00875AB5">
              <w:t>Full analysis set (the overall study p</w:t>
            </w:r>
            <w:r>
              <w:t xml:space="preserve">opulation, unselected for BRCA </w:t>
            </w:r>
            <w:r w:rsidRPr="00875AB5">
              <w:t>mutation status, equivalent to intent to treat [ITT] population)</w:t>
            </w:r>
          </w:p>
        </w:tc>
      </w:tr>
      <w:tr w:rsidR="0087127E" w:rsidRPr="00FD119B" w14:paraId="2A98DE95" w14:textId="77777777" w:rsidTr="00FD119B">
        <w:tc>
          <w:tcPr>
            <w:tcW w:w="1809" w:type="dxa"/>
          </w:tcPr>
          <w:p w14:paraId="405591C7" w14:textId="77777777" w:rsidR="0087127E" w:rsidRPr="00875AB5" w:rsidRDefault="0087127E" w:rsidP="0087127E">
            <w:r>
              <w:t>FDA</w:t>
            </w:r>
          </w:p>
        </w:tc>
        <w:tc>
          <w:tcPr>
            <w:tcW w:w="6911" w:type="dxa"/>
          </w:tcPr>
          <w:p w14:paraId="2DC646DA" w14:textId="77777777" w:rsidR="0087127E" w:rsidRPr="00875AB5" w:rsidRDefault="0087127E" w:rsidP="0087127E">
            <w:r w:rsidRPr="00875AB5">
              <w:t>Food and Drug Administration</w:t>
            </w:r>
          </w:p>
        </w:tc>
      </w:tr>
      <w:tr w:rsidR="0087127E" w:rsidRPr="00FD119B" w14:paraId="61127B6B" w14:textId="77777777" w:rsidTr="00FD119B">
        <w:tc>
          <w:tcPr>
            <w:tcW w:w="1809" w:type="dxa"/>
          </w:tcPr>
          <w:p w14:paraId="459FB53F" w14:textId="77777777" w:rsidR="0087127E" w:rsidRPr="00875AB5" w:rsidRDefault="0087127E" w:rsidP="0087127E">
            <w:proofErr w:type="spellStart"/>
            <w:r>
              <w:t>gBRCAm</w:t>
            </w:r>
            <w:proofErr w:type="spellEnd"/>
          </w:p>
        </w:tc>
        <w:tc>
          <w:tcPr>
            <w:tcW w:w="6911" w:type="dxa"/>
          </w:tcPr>
          <w:p w14:paraId="1AF917CB" w14:textId="77777777" w:rsidR="0087127E" w:rsidRPr="00875AB5" w:rsidRDefault="0087127E" w:rsidP="0087127E">
            <w:r w:rsidRPr="00875AB5">
              <w:t>Germline BRCA mutated</w:t>
            </w:r>
          </w:p>
        </w:tc>
      </w:tr>
      <w:tr w:rsidR="0087127E" w:rsidRPr="00FD119B" w14:paraId="48C629F5" w14:textId="77777777" w:rsidTr="00FD119B">
        <w:tc>
          <w:tcPr>
            <w:tcW w:w="1809" w:type="dxa"/>
          </w:tcPr>
          <w:p w14:paraId="1D15AC50" w14:textId="77777777" w:rsidR="0087127E" w:rsidRPr="00875AB5" w:rsidRDefault="0087127E" w:rsidP="0087127E">
            <w:proofErr w:type="spellStart"/>
            <w:r>
              <w:t>gBRCAwt</w:t>
            </w:r>
            <w:proofErr w:type="spellEnd"/>
            <w:r>
              <w:t xml:space="preserve"> /VUS</w:t>
            </w:r>
          </w:p>
        </w:tc>
        <w:tc>
          <w:tcPr>
            <w:tcW w:w="6911" w:type="dxa"/>
          </w:tcPr>
          <w:p w14:paraId="638036E0" w14:textId="77777777" w:rsidR="0087127E" w:rsidRPr="00875AB5" w:rsidRDefault="0087127E" w:rsidP="0087127E">
            <w:r w:rsidRPr="00875AB5">
              <w:t>Germline BRCA wildtype/variant of unknown significance</w:t>
            </w:r>
          </w:p>
        </w:tc>
      </w:tr>
      <w:tr w:rsidR="002B698E" w:rsidRPr="00FD119B" w14:paraId="46D84A6F" w14:textId="77777777" w:rsidTr="00FD119B">
        <w:tc>
          <w:tcPr>
            <w:tcW w:w="1809" w:type="dxa"/>
          </w:tcPr>
          <w:p w14:paraId="75447C22" w14:textId="77777777" w:rsidR="002B698E" w:rsidRDefault="002B698E" w:rsidP="0087127E">
            <w:r w:rsidRPr="007D45EE">
              <w:rPr>
                <w:rFonts w:asciiTheme="minorHAnsi" w:eastAsia="Times New Roman" w:hAnsiTheme="minorHAnsi"/>
              </w:rPr>
              <w:t>GC</w:t>
            </w:r>
          </w:p>
        </w:tc>
        <w:tc>
          <w:tcPr>
            <w:tcW w:w="6911" w:type="dxa"/>
          </w:tcPr>
          <w:p w14:paraId="5F5B2647" w14:textId="77777777" w:rsidR="002B698E" w:rsidRPr="00875AB5" w:rsidRDefault="002B698E" w:rsidP="0087127E">
            <w:r>
              <w:rPr>
                <w:rFonts w:asciiTheme="minorHAnsi" w:eastAsia="Times New Roman" w:hAnsiTheme="minorHAnsi"/>
              </w:rPr>
              <w:t>Gas chromatography</w:t>
            </w:r>
          </w:p>
        </w:tc>
      </w:tr>
      <w:tr w:rsidR="0087127E" w:rsidRPr="00FD119B" w14:paraId="6D3E4298" w14:textId="77777777" w:rsidTr="00FD119B">
        <w:tc>
          <w:tcPr>
            <w:tcW w:w="1809" w:type="dxa"/>
          </w:tcPr>
          <w:p w14:paraId="72AC5997" w14:textId="77777777" w:rsidR="0087127E" w:rsidRPr="00875AB5" w:rsidRDefault="0087127E" w:rsidP="0087127E">
            <w:r>
              <w:t>GCP</w:t>
            </w:r>
          </w:p>
        </w:tc>
        <w:tc>
          <w:tcPr>
            <w:tcW w:w="6911" w:type="dxa"/>
          </w:tcPr>
          <w:p w14:paraId="58F5EAD1" w14:textId="77777777" w:rsidR="0087127E" w:rsidRPr="00875AB5" w:rsidRDefault="0087127E" w:rsidP="0087127E">
            <w:r w:rsidRPr="00875AB5">
              <w:t>Good Clinical Practice</w:t>
            </w:r>
          </w:p>
        </w:tc>
      </w:tr>
      <w:tr w:rsidR="0087127E" w:rsidRPr="00FD119B" w14:paraId="099058CD" w14:textId="77777777" w:rsidTr="00FD119B">
        <w:tc>
          <w:tcPr>
            <w:tcW w:w="1809" w:type="dxa"/>
          </w:tcPr>
          <w:p w14:paraId="088DA5ED" w14:textId="77777777" w:rsidR="0087127E" w:rsidRPr="00875AB5" w:rsidRDefault="0087127E" w:rsidP="0087127E">
            <w:r>
              <w:t>GFR</w:t>
            </w:r>
          </w:p>
        </w:tc>
        <w:tc>
          <w:tcPr>
            <w:tcW w:w="6911" w:type="dxa"/>
          </w:tcPr>
          <w:p w14:paraId="3D232D5F" w14:textId="77777777" w:rsidR="0087127E" w:rsidRPr="00875AB5" w:rsidRDefault="0087127E" w:rsidP="0087127E">
            <w:r w:rsidRPr="00875AB5">
              <w:t>Glomerular filtration rate</w:t>
            </w:r>
          </w:p>
        </w:tc>
      </w:tr>
      <w:tr w:rsidR="00472330" w:rsidRPr="00FD119B" w14:paraId="7B716B53" w14:textId="77777777" w:rsidTr="00FD119B">
        <w:tc>
          <w:tcPr>
            <w:tcW w:w="1809" w:type="dxa"/>
          </w:tcPr>
          <w:p w14:paraId="01AB684C" w14:textId="77777777" w:rsidR="00472330" w:rsidRDefault="00472330" w:rsidP="0087127E">
            <w:r>
              <w:t>GI</w:t>
            </w:r>
          </w:p>
        </w:tc>
        <w:tc>
          <w:tcPr>
            <w:tcW w:w="6911" w:type="dxa"/>
          </w:tcPr>
          <w:p w14:paraId="27CCEB73" w14:textId="77777777" w:rsidR="00472330" w:rsidRPr="00875AB5" w:rsidRDefault="00472330" w:rsidP="00472330">
            <w:r>
              <w:t>Gastro intestinal</w:t>
            </w:r>
          </w:p>
        </w:tc>
      </w:tr>
      <w:tr w:rsidR="00107063" w:rsidRPr="00FD119B" w14:paraId="0E36F5DA" w14:textId="77777777" w:rsidTr="00FD119B">
        <w:tc>
          <w:tcPr>
            <w:tcW w:w="1809" w:type="dxa"/>
          </w:tcPr>
          <w:p w14:paraId="492F4A1C" w14:textId="77777777" w:rsidR="00107063" w:rsidRDefault="00107063" w:rsidP="0087127E">
            <w:r w:rsidRPr="00806575">
              <w:t>GLP</w:t>
            </w:r>
          </w:p>
        </w:tc>
        <w:tc>
          <w:tcPr>
            <w:tcW w:w="6911" w:type="dxa"/>
          </w:tcPr>
          <w:p w14:paraId="363AF0DC" w14:textId="77777777" w:rsidR="00107063" w:rsidRPr="00875AB5" w:rsidRDefault="00472330" w:rsidP="00107063">
            <w:r>
              <w:t>G</w:t>
            </w:r>
            <w:r w:rsidR="00107063">
              <w:t>ood laboratory practice</w:t>
            </w:r>
          </w:p>
        </w:tc>
      </w:tr>
      <w:tr w:rsidR="0087127E" w:rsidRPr="00FD119B" w14:paraId="21F3CC52" w14:textId="77777777" w:rsidTr="00FD119B">
        <w:tc>
          <w:tcPr>
            <w:tcW w:w="1809" w:type="dxa"/>
          </w:tcPr>
          <w:p w14:paraId="6D825C12" w14:textId="77777777" w:rsidR="0087127E" w:rsidRPr="00875AB5" w:rsidRDefault="0087127E" w:rsidP="0087127E">
            <w:r>
              <w:t>hERG</w:t>
            </w:r>
          </w:p>
        </w:tc>
        <w:tc>
          <w:tcPr>
            <w:tcW w:w="6911" w:type="dxa"/>
          </w:tcPr>
          <w:p w14:paraId="3D13215D" w14:textId="77777777" w:rsidR="0087127E" w:rsidRPr="00875AB5" w:rsidRDefault="0087127E" w:rsidP="0087127E">
            <w:r w:rsidRPr="00875AB5">
              <w:t>Human ether-a-go-go-related gene</w:t>
            </w:r>
          </w:p>
        </w:tc>
      </w:tr>
      <w:tr w:rsidR="005D64FB" w:rsidRPr="00FD119B" w14:paraId="23A4EC23" w14:textId="77777777" w:rsidTr="00FD119B">
        <w:tc>
          <w:tcPr>
            <w:tcW w:w="1809" w:type="dxa"/>
          </w:tcPr>
          <w:p w14:paraId="20F22FF8" w14:textId="77777777" w:rsidR="005D64FB" w:rsidRDefault="005D64FB" w:rsidP="0087127E">
            <w:r w:rsidRPr="0031524E">
              <w:rPr>
                <w:rFonts w:asciiTheme="minorHAnsi" w:eastAsia="Times New Roman" w:hAnsiTheme="minorHAnsi"/>
              </w:rPr>
              <w:t>HPLC</w:t>
            </w:r>
          </w:p>
        </w:tc>
        <w:tc>
          <w:tcPr>
            <w:tcW w:w="6911" w:type="dxa"/>
          </w:tcPr>
          <w:p w14:paraId="06271031" w14:textId="77777777" w:rsidR="005D64FB" w:rsidRPr="00875AB5" w:rsidRDefault="005D64FB" w:rsidP="005D64FB">
            <w:r w:rsidRPr="005D64FB">
              <w:t>High performance liquid chromatography</w:t>
            </w:r>
          </w:p>
        </w:tc>
      </w:tr>
      <w:tr w:rsidR="0087127E" w:rsidRPr="00FD119B" w14:paraId="494C799C" w14:textId="77777777" w:rsidTr="00FD119B">
        <w:tc>
          <w:tcPr>
            <w:tcW w:w="1809" w:type="dxa"/>
          </w:tcPr>
          <w:p w14:paraId="0903C75F" w14:textId="77777777" w:rsidR="0087127E" w:rsidRPr="00875AB5" w:rsidRDefault="0087127E" w:rsidP="0087127E">
            <w:r>
              <w:t>HR</w:t>
            </w:r>
          </w:p>
        </w:tc>
        <w:tc>
          <w:tcPr>
            <w:tcW w:w="6911" w:type="dxa"/>
          </w:tcPr>
          <w:p w14:paraId="71043404" w14:textId="77777777" w:rsidR="0087127E" w:rsidRPr="00875AB5" w:rsidRDefault="0087127E" w:rsidP="0087127E">
            <w:r w:rsidRPr="00875AB5">
              <w:t>Hazard ratio</w:t>
            </w:r>
          </w:p>
        </w:tc>
      </w:tr>
      <w:tr w:rsidR="0087127E" w:rsidRPr="00FD119B" w14:paraId="347C6ED3" w14:textId="77777777" w:rsidTr="00FD119B">
        <w:tc>
          <w:tcPr>
            <w:tcW w:w="1809" w:type="dxa"/>
          </w:tcPr>
          <w:p w14:paraId="15E22EC4" w14:textId="77777777" w:rsidR="0087127E" w:rsidRPr="00875AB5" w:rsidRDefault="0087127E" w:rsidP="0087127E">
            <w:r>
              <w:t>HRD</w:t>
            </w:r>
          </w:p>
        </w:tc>
        <w:tc>
          <w:tcPr>
            <w:tcW w:w="6911" w:type="dxa"/>
          </w:tcPr>
          <w:p w14:paraId="2128C78F" w14:textId="77777777" w:rsidR="0087127E" w:rsidRPr="00875AB5" w:rsidRDefault="0087127E" w:rsidP="0087127E">
            <w:r w:rsidRPr="00875AB5">
              <w:t>Homologous recombination deficient/deficiency</w:t>
            </w:r>
          </w:p>
        </w:tc>
      </w:tr>
      <w:tr w:rsidR="0087127E" w:rsidRPr="00FD119B" w14:paraId="74B18837" w14:textId="77777777" w:rsidTr="00FD119B">
        <w:tc>
          <w:tcPr>
            <w:tcW w:w="1809" w:type="dxa"/>
          </w:tcPr>
          <w:p w14:paraId="24B45F22" w14:textId="77777777" w:rsidR="0087127E" w:rsidRPr="00875AB5" w:rsidRDefault="0087127E" w:rsidP="0087127E">
            <w:proofErr w:type="spellStart"/>
            <w:r>
              <w:t>HRQoL</w:t>
            </w:r>
            <w:proofErr w:type="spellEnd"/>
          </w:p>
        </w:tc>
        <w:tc>
          <w:tcPr>
            <w:tcW w:w="6911" w:type="dxa"/>
          </w:tcPr>
          <w:p w14:paraId="36B263F5" w14:textId="77777777" w:rsidR="0087127E" w:rsidRPr="00875AB5" w:rsidRDefault="0087127E" w:rsidP="0087127E">
            <w:r w:rsidRPr="00875AB5">
              <w:t>Health-related quality of life</w:t>
            </w:r>
          </w:p>
        </w:tc>
      </w:tr>
      <w:tr w:rsidR="0087127E" w:rsidRPr="00FD119B" w14:paraId="774E13B3" w14:textId="77777777" w:rsidTr="00FD119B">
        <w:tc>
          <w:tcPr>
            <w:tcW w:w="1809" w:type="dxa"/>
          </w:tcPr>
          <w:p w14:paraId="59C39A7E" w14:textId="77777777" w:rsidR="0087127E" w:rsidRPr="00875AB5" w:rsidRDefault="009703D3" w:rsidP="0087127E">
            <w:r>
              <w:t>IC</w:t>
            </w:r>
            <w:r w:rsidRPr="009703D3">
              <w:rPr>
                <w:vertAlign w:val="subscript"/>
              </w:rPr>
              <w:t>50</w:t>
            </w:r>
          </w:p>
        </w:tc>
        <w:tc>
          <w:tcPr>
            <w:tcW w:w="6911" w:type="dxa"/>
          </w:tcPr>
          <w:p w14:paraId="400ABEFF" w14:textId="77777777" w:rsidR="0087127E" w:rsidRPr="00875AB5" w:rsidRDefault="0087127E" w:rsidP="0087127E">
            <w:r w:rsidRPr="00875AB5">
              <w:t>Half maximal inhibitory concentration</w:t>
            </w:r>
          </w:p>
        </w:tc>
      </w:tr>
      <w:tr w:rsidR="00475D5E" w:rsidRPr="00FD119B" w14:paraId="70CC4459" w14:textId="77777777" w:rsidTr="00FD119B">
        <w:tc>
          <w:tcPr>
            <w:tcW w:w="1809" w:type="dxa"/>
          </w:tcPr>
          <w:p w14:paraId="0956BCC8" w14:textId="77777777" w:rsidR="00475D5E" w:rsidRDefault="00475D5E" w:rsidP="0087127E">
            <w:r>
              <w:lastRenderedPageBreak/>
              <w:t>IC</w:t>
            </w:r>
            <w:r>
              <w:rPr>
                <w:vertAlign w:val="subscript"/>
              </w:rPr>
              <w:t>9</w:t>
            </w:r>
            <w:r w:rsidRPr="009703D3">
              <w:rPr>
                <w:vertAlign w:val="subscript"/>
              </w:rPr>
              <w:t>0</w:t>
            </w:r>
          </w:p>
        </w:tc>
        <w:tc>
          <w:tcPr>
            <w:tcW w:w="6911" w:type="dxa"/>
          </w:tcPr>
          <w:p w14:paraId="5F94F6C8" w14:textId="77777777" w:rsidR="00475D5E" w:rsidRPr="00875AB5" w:rsidRDefault="00475D5E" w:rsidP="0087127E">
            <w:r>
              <w:t xml:space="preserve">90% </w:t>
            </w:r>
            <w:r w:rsidRPr="00875AB5">
              <w:t>maximal inhibitory concentration</w:t>
            </w:r>
          </w:p>
        </w:tc>
      </w:tr>
      <w:tr w:rsidR="0087127E" w:rsidRPr="00FD119B" w14:paraId="66BC4BAF" w14:textId="77777777" w:rsidTr="00FD119B">
        <w:tc>
          <w:tcPr>
            <w:tcW w:w="1809" w:type="dxa"/>
          </w:tcPr>
          <w:p w14:paraId="67670789" w14:textId="77777777" w:rsidR="0087127E" w:rsidRPr="00875AB5" w:rsidRDefault="0087127E" w:rsidP="0087127E">
            <w:r>
              <w:t>ICH</w:t>
            </w:r>
          </w:p>
        </w:tc>
        <w:tc>
          <w:tcPr>
            <w:tcW w:w="6911" w:type="dxa"/>
          </w:tcPr>
          <w:p w14:paraId="769900B0" w14:textId="77777777" w:rsidR="0087127E" w:rsidRPr="00875AB5" w:rsidRDefault="0087127E" w:rsidP="0087127E">
            <w:r w:rsidRPr="00875AB5">
              <w:t>International Conference on Harmonisation</w:t>
            </w:r>
          </w:p>
        </w:tc>
      </w:tr>
      <w:tr w:rsidR="0087127E" w:rsidRPr="00FD119B" w14:paraId="48CE88BB" w14:textId="77777777" w:rsidTr="00FD119B">
        <w:tc>
          <w:tcPr>
            <w:tcW w:w="1809" w:type="dxa"/>
          </w:tcPr>
          <w:p w14:paraId="60B05A34" w14:textId="77777777" w:rsidR="0087127E" w:rsidRPr="00875AB5" w:rsidRDefault="0087127E" w:rsidP="0087127E">
            <w:r>
              <w:t>ITT</w:t>
            </w:r>
          </w:p>
        </w:tc>
        <w:tc>
          <w:tcPr>
            <w:tcW w:w="6911" w:type="dxa"/>
          </w:tcPr>
          <w:p w14:paraId="688170BA" w14:textId="77777777" w:rsidR="0087127E" w:rsidRPr="00875AB5" w:rsidRDefault="0087127E" w:rsidP="0087127E">
            <w:r w:rsidRPr="00875AB5">
              <w:t>Intention to treat</w:t>
            </w:r>
          </w:p>
        </w:tc>
      </w:tr>
      <w:tr w:rsidR="002B698E" w:rsidRPr="00FD119B" w14:paraId="34B54769" w14:textId="77777777" w:rsidTr="00FD119B">
        <w:tc>
          <w:tcPr>
            <w:tcW w:w="1809" w:type="dxa"/>
          </w:tcPr>
          <w:p w14:paraId="36603CC2" w14:textId="77777777" w:rsidR="002B698E" w:rsidRDefault="002B698E" w:rsidP="0087127E">
            <w:r w:rsidRPr="008F5336">
              <w:t>IV</w:t>
            </w:r>
          </w:p>
        </w:tc>
        <w:tc>
          <w:tcPr>
            <w:tcW w:w="6911" w:type="dxa"/>
          </w:tcPr>
          <w:p w14:paraId="2507BB9D" w14:textId="27D553A2" w:rsidR="002B698E" w:rsidRPr="00875AB5" w:rsidRDefault="00D81FEC" w:rsidP="002B698E">
            <w:r>
              <w:t>I</w:t>
            </w:r>
            <w:r w:rsidR="002B698E">
              <w:t>ntravenous</w:t>
            </w:r>
          </w:p>
        </w:tc>
      </w:tr>
      <w:tr w:rsidR="005D64FB" w:rsidRPr="00FD119B" w14:paraId="650F6410" w14:textId="77777777" w:rsidTr="00FD119B">
        <w:tc>
          <w:tcPr>
            <w:tcW w:w="1809" w:type="dxa"/>
          </w:tcPr>
          <w:p w14:paraId="298144AA" w14:textId="77777777" w:rsidR="005D64FB" w:rsidRDefault="005D64FB" w:rsidP="0087127E">
            <w:r w:rsidRPr="0031524E">
              <w:rPr>
                <w:rFonts w:asciiTheme="minorHAnsi" w:eastAsia="Times New Roman" w:hAnsiTheme="minorHAnsi"/>
              </w:rPr>
              <w:t>KF</w:t>
            </w:r>
          </w:p>
        </w:tc>
        <w:tc>
          <w:tcPr>
            <w:tcW w:w="6911" w:type="dxa"/>
          </w:tcPr>
          <w:p w14:paraId="5F33E61A" w14:textId="77777777" w:rsidR="005D64FB" w:rsidRPr="00875AB5" w:rsidRDefault="005D64FB" w:rsidP="005D64FB">
            <w:r>
              <w:rPr>
                <w:rFonts w:asciiTheme="minorHAnsi" w:eastAsia="Times New Roman" w:hAnsiTheme="minorHAnsi"/>
              </w:rPr>
              <w:t>Karl Fischer titration</w:t>
            </w:r>
          </w:p>
        </w:tc>
      </w:tr>
      <w:tr w:rsidR="0087127E" w:rsidRPr="00FD119B" w14:paraId="4DA503AB" w14:textId="77777777" w:rsidTr="00FD119B">
        <w:tc>
          <w:tcPr>
            <w:tcW w:w="1809" w:type="dxa"/>
          </w:tcPr>
          <w:p w14:paraId="1A7E93E1" w14:textId="77777777" w:rsidR="0087127E" w:rsidRPr="00875AB5" w:rsidRDefault="0087127E" w:rsidP="0087127E">
            <w:r>
              <w:t>Ki</w:t>
            </w:r>
          </w:p>
        </w:tc>
        <w:tc>
          <w:tcPr>
            <w:tcW w:w="6911" w:type="dxa"/>
          </w:tcPr>
          <w:p w14:paraId="04FBDEF5" w14:textId="77777777" w:rsidR="0087127E" w:rsidRPr="00875AB5" w:rsidRDefault="0087127E" w:rsidP="0087127E">
            <w:r w:rsidRPr="00875AB5">
              <w:t>Dissociation constant</w:t>
            </w:r>
          </w:p>
        </w:tc>
      </w:tr>
      <w:tr w:rsidR="0087127E" w:rsidRPr="00FD119B" w14:paraId="74AE1354" w14:textId="77777777" w:rsidTr="00FD119B">
        <w:tc>
          <w:tcPr>
            <w:tcW w:w="1809" w:type="dxa"/>
          </w:tcPr>
          <w:p w14:paraId="4E8A8678" w14:textId="77777777" w:rsidR="0087127E" w:rsidRPr="00875AB5" w:rsidRDefault="0087127E" w:rsidP="0087127E">
            <w:r>
              <w:t>LMG</w:t>
            </w:r>
          </w:p>
        </w:tc>
        <w:tc>
          <w:tcPr>
            <w:tcW w:w="6911" w:type="dxa"/>
          </w:tcPr>
          <w:p w14:paraId="33559125" w14:textId="77777777" w:rsidR="0087127E" w:rsidRPr="00875AB5" w:rsidRDefault="0087127E" w:rsidP="0087127E">
            <w:proofErr w:type="spellStart"/>
            <w:r w:rsidRPr="00875AB5">
              <w:t>Lauroyl</w:t>
            </w:r>
            <w:proofErr w:type="spellEnd"/>
            <w:r w:rsidRPr="00875AB5">
              <w:t xml:space="preserve"> macrogol-32 glycerides</w:t>
            </w:r>
          </w:p>
        </w:tc>
      </w:tr>
      <w:tr w:rsidR="0087127E" w:rsidRPr="00FD119B" w14:paraId="3B6039D9" w14:textId="77777777" w:rsidTr="00FD119B">
        <w:tc>
          <w:tcPr>
            <w:tcW w:w="1809" w:type="dxa"/>
          </w:tcPr>
          <w:p w14:paraId="55286404" w14:textId="77777777" w:rsidR="0087127E" w:rsidRPr="00875AB5" w:rsidRDefault="0087127E" w:rsidP="0087127E">
            <w:r>
              <w:t>MCV</w:t>
            </w:r>
          </w:p>
        </w:tc>
        <w:tc>
          <w:tcPr>
            <w:tcW w:w="6911" w:type="dxa"/>
          </w:tcPr>
          <w:p w14:paraId="0991D9E1" w14:textId="77777777" w:rsidR="0087127E" w:rsidRPr="00875AB5" w:rsidRDefault="0087127E" w:rsidP="0087127E">
            <w:r w:rsidRPr="00875AB5">
              <w:t>Mean corpuscular volume</w:t>
            </w:r>
          </w:p>
        </w:tc>
      </w:tr>
      <w:tr w:rsidR="0087127E" w:rsidRPr="00FD119B" w14:paraId="1A37D371" w14:textId="77777777" w:rsidTr="00FD119B">
        <w:tc>
          <w:tcPr>
            <w:tcW w:w="1809" w:type="dxa"/>
          </w:tcPr>
          <w:p w14:paraId="7597FAA4" w14:textId="77777777" w:rsidR="0087127E" w:rsidRPr="00875AB5" w:rsidRDefault="0087127E" w:rsidP="0087127E">
            <w:r>
              <w:t>MDR</w:t>
            </w:r>
          </w:p>
        </w:tc>
        <w:tc>
          <w:tcPr>
            <w:tcW w:w="6911" w:type="dxa"/>
          </w:tcPr>
          <w:p w14:paraId="62776A59" w14:textId="77777777" w:rsidR="0087127E" w:rsidRPr="00875AB5" w:rsidRDefault="0087127E" w:rsidP="0087127E">
            <w:r w:rsidRPr="00875AB5">
              <w:t>Multi-drug resistance protein</w:t>
            </w:r>
          </w:p>
        </w:tc>
      </w:tr>
      <w:tr w:rsidR="0087127E" w:rsidRPr="00FD119B" w14:paraId="7F15307C" w14:textId="77777777" w:rsidTr="00FD119B">
        <w:tc>
          <w:tcPr>
            <w:tcW w:w="1809" w:type="dxa"/>
          </w:tcPr>
          <w:p w14:paraId="6AB75A3C" w14:textId="77777777" w:rsidR="0087127E" w:rsidRPr="00875AB5" w:rsidRDefault="0087127E" w:rsidP="0087127E">
            <w:r>
              <w:t>MDS</w:t>
            </w:r>
          </w:p>
        </w:tc>
        <w:tc>
          <w:tcPr>
            <w:tcW w:w="6911" w:type="dxa"/>
          </w:tcPr>
          <w:p w14:paraId="170D94E1" w14:textId="77777777" w:rsidR="0087127E" w:rsidRPr="00875AB5" w:rsidRDefault="0087127E" w:rsidP="0087127E">
            <w:r w:rsidRPr="00875AB5">
              <w:t>Myelodysplastic syndrome</w:t>
            </w:r>
          </w:p>
        </w:tc>
      </w:tr>
      <w:tr w:rsidR="0087127E" w:rsidRPr="00FD119B" w14:paraId="14E35312" w14:textId="77777777" w:rsidTr="00FD119B">
        <w:tc>
          <w:tcPr>
            <w:tcW w:w="1809" w:type="dxa"/>
          </w:tcPr>
          <w:p w14:paraId="6AF20074" w14:textId="77777777" w:rsidR="0087127E" w:rsidRPr="00875AB5" w:rsidRDefault="0087127E" w:rsidP="0087127E">
            <w:r>
              <w:t>MedDRA</w:t>
            </w:r>
          </w:p>
        </w:tc>
        <w:tc>
          <w:tcPr>
            <w:tcW w:w="6911" w:type="dxa"/>
          </w:tcPr>
          <w:p w14:paraId="61084246" w14:textId="77777777" w:rsidR="0087127E" w:rsidRPr="00875AB5" w:rsidRDefault="0087127E" w:rsidP="0087127E">
            <w:r w:rsidRPr="00875AB5">
              <w:t>Medical Dictionary for Regulatory Activities</w:t>
            </w:r>
          </w:p>
        </w:tc>
      </w:tr>
      <w:tr w:rsidR="009703D3" w:rsidRPr="00FD119B" w14:paraId="5D223EE3" w14:textId="77777777" w:rsidTr="00FD119B">
        <w:tc>
          <w:tcPr>
            <w:tcW w:w="1809" w:type="dxa"/>
          </w:tcPr>
          <w:p w14:paraId="6FF692A2" w14:textId="77777777" w:rsidR="009703D3" w:rsidRDefault="009703D3" w:rsidP="0087127E">
            <w:r w:rsidRPr="00806575">
              <w:t>MMS</w:t>
            </w:r>
          </w:p>
        </w:tc>
        <w:tc>
          <w:tcPr>
            <w:tcW w:w="6911" w:type="dxa"/>
          </w:tcPr>
          <w:p w14:paraId="61643A6C" w14:textId="77777777" w:rsidR="009703D3" w:rsidRPr="00875AB5" w:rsidRDefault="009703D3" w:rsidP="009703D3">
            <w:r>
              <w:t xml:space="preserve">methane </w:t>
            </w:r>
            <w:proofErr w:type="spellStart"/>
            <w:r>
              <w:t>methylsulfate</w:t>
            </w:r>
            <w:proofErr w:type="spellEnd"/>
          </w:p>
        </w:tc>
      </w:tr>
      <w:tr w:rsidR="0087127E" w:rsidRPr="00FD119B" w14:paraId="2A255BE5" w14:textId="77777777" w:rsidTr="00FD119B">
        <w:tc>
          <w:tcPr>
            <w:tcW w:w="1809" w:type="dxa"/>
          </w:tcPr>
          <w:p w14:paraId="05D37BC3" w14:textId="77777777" w:rsidR="0087127E" w:rsidRPr="00875AB5" w:rsidRDefault="0087127E" w:rsidP="0087127E">
            <w:r>
              <w:t>MRP2</w:t>
            </w:r>
          </w:p>
        </w:tc>
        <w:tc>
          <w:tcPr>
            <w:tcW w:w="6911" w:type="dxa"/>
          </w:tcPr>
          <w:p w14:paraId="1D3F8D88" w14:textId="77777777" w:rsidR="0087127E" w:rsidRPr="00875AB5" w:rsidRDefault="0087127E" w:rsidP="0087127E">
            <w:r w:rsidRPr="00875AB5">
              <w:t>Multi-drug resistance protein 2</w:t>
            </w:r>
          </w:p>
        </w:tc>
      </w:tr>
      <w:tr w:rsidR="0087127E" w:rsidRPr="00FD119B" w14:paraId="7FC4E6EE" w14:textId="77777777" w:rsidTr="00FD119B">
        <w:tc>
          <w:tcPr>
            <w:tcW w:w="1809" w:type="dxa"/>
          </w:tcPr>
          <w:p w14:paraId="76433096" w14:textId="77777777" w:rsidR="0087127E" w:rsidRPr="00875AB5" w:rsidRDefault="0087127E" w:rsidP="0087127E">
            <w:r>
              <w:t>MTD</w:t>
            </w:r>
          </w:p>
        </w:tc>
        <w:tc>
          <w:tcPr>
            <w:tcW w:w="6911" w:type="dxa"/>
          </w:tcPr>
          <w:p w14:paraId="0AABE6E0" w14:textId="77777777" w:rsidR="0087127E" w:rsidRPr="00875AB5" w:rsidRDefault="0087127E" w:rsidP="0087127E">
            <w:r w:rsidRPr="00875AB5">
              <w:t>Maximum tolerated dose</w:t>
            </w:r>
          </w:p>
        </w:tc>
      </w:tr>
      <w:tr w:rsidR="0087127E" w:rsidRPr="00FD119B" w14:paraId="0F575FF2" w14:textId="77777777" w:rsidTr="00FD119B">
        <w:tc>
          <w:tcPr>
            <w:tcW w:w="1809" w:type="dxa"/>
          </w:tcPr>
          <w:p w14:paraId="3FDC2435" w14:textId="77777777" w:rsidR="0087127E" w:rsidRPr="00875AB5" w:rsidRDefault="0087127E" w:rsidP="0087127E">
            <w:r>
              <w:t>NC</w:t>
            </w:r>
          </w:p>
        </w:tc>
        <w:tc>
          <w:tcPr>
            <w:tcW w:w="6911" w:type="dxa"/>
          </w:tcPr>
          <w:p w14:paraId="7B65E6E2" w14:textId="77777777" w:rsidR="0087127E" w:rsidRPr="00875AB5" w:rsidRDefault="0087127E" w:rsidP="0087127E">
            <w:r w:rsidRPr="00875AB5">
              <w:t>Not calculated</w:t>
            </w:r>
          </w:p>
        </w:tc>
      </w:tr>
      <w:tr w:rsidR="005D64FB" w:rsidRPr="00FD119B" w14:paraId="18266B74" w14:textId="77777777" w:rsidTr="00FD119B">
        <w:tc>
          <w:tcPr>
            <w:tcW w:w="1809" w:type="dxa"/>
          </w:tcPr>
          <w:p w14:paraId="26087380" w14:textId="77777777" w:rsidR="005D64FB" w:rsidRDefault="005D64FB" w:rsidP="0087127E">
            <w:r w:rsidRPr="0031524E">
              <w:rPr>
                <w:rFonts w:asciiTheme="minorHAnsi" w:eastAsia="Times New Roman" w:hAnsiTheme="minorHAnsi"/>
              </w:rPr>
              <w:t>NIR</w:t>
            </w:r>
          </w:p>
        </w:tc>
        <w:tc>
          <w:tcPr>
            <w:tcW w:w="6911" w:type="dxa"/>
          </w:tcPr>
          <w:p w14:paraId="2D43ABE6" w14:textId="3DF631AA" w:rsidR="005D64FB" w:rsidRPr="00875AB5" w:rsidRDefault="00D81FEC" w:rsidP="005D64FB">
            <w:r>
              <w:rPr>
                <w:rFonts w:asciiTheme="minorHAnsi" w:eastAsia="Times New Roman" w:hAnsiTheme="minorHAnsi"/>
              </w:rPr>
              <w:t>N</w:t>
            </w:r>
            <w:r w:rsidR="005D64FB">
              <w:rPr>
                <w:rFonts w:asciiTheme="minorHAnsi" w:eastAsia="Times New Roman" w:hAnsiTheme="minorHAnsi"/>
              </w:rPr>
              <w:t>ear infrared spectroscopy</w:t>
            </w:r>
          </w:p>
        </w:tc>
      </w:tr>
      <w:tr w:rsidR="002B698E" w:rsidRPr="00FD119B" w14:paraId="5C4EA830" w14:textId="77777777" w:rsidTr="00FD119B">
        <w:tc>
          <w:tcPr>
            <w:tcW w:w="1809" w:type="dxa"/>
          </w:tcPr>
          <w:p w14:paraId="14F4ECE7" w14:textId="77777777" w:rsidR="002B698E" w:rsidRPr="0031524E" w:rsidRDefault="002B698E" w:rsidP="0087127E">
            <w:pPr>
              <w:rPr>
                <w:rFonts w:asciiTheme="minorHAnsi" w:eastAsia="Times New Roman" w:hAnsiTheme="minorHAnsi"/>
              </w:rPr>
            </w:pPr>
            <w:r>
              <w:rPr>
                <w:rFonts w:asciiTheme="minorHAnsi" w:eastAsia="Times New Roman" w:hAnsiTheme="minorHAnsi"/>
              </w:rPr>
              <w:t>NLT</w:t>
            </w:r>
          </w:p>
        </w:tc>
        <w:tc>
          <w:tcPr>
            <w:tcW w:w="6911" w:type="dxa"/>
          </w:tcPr>
          <w:p w14:paraId="13311065" w14:textId="77777777" w:rsidR="002B698E" w:rsidRDefault="002B698E" w:rsidP="005D64FB">
            <w:pPr>
              <w:rPr>
                <w:rFonts w:asciiTheme="minorHAnsi" w:eastAsia="Times New Roman" w:hAnsiTheme="minorHAnsi"/>
              </w:rPr>
            </w:pPr>
            <w:r>
              <w:rPr>
                <w:rFonts w:asciiTheme="minorHAnsi" w:eastAsia="Times New Roman" w:hAnsiTheme="minorHAnsi"/>
              </w:rPr>
              <w:t>Not less than</w:t>
            </w:r>
          </w:p>
        </w:tc>
      </w:tr>
      <w:tr w:rsidR="0087127E" w:rsidRPr="00FD119B" w14:paraId="680587EA" w14:textId="77777777" w:rsidTr="00FD119B">
        <w:tc>
          <w:tcPr>
            <w:tcW w:w="1809" w:type="dxa"/>
          </w:tcPr>
          <w:p w14:paraId="50972DCD" w14:textId="77777777" w:rsidR="0087127E" w:rsidRPr="00875AB5" w:rsidRDefault="0087127E" w:rsidP="0087127E">
            <w:r>
              <w:t>OATP</w:t>
            </w:r>
          </w:p>
        </w:tc>
        <w:tc>
          <w:tcPr>
            <w:tcW w:w="6911" w:type="dxa"/>
          </w:tcPr>
          <w:p w14:paraId="52C4EEAF" w14:textId="77777777" w:rsidR="0087127E" w:rsidRPr="00875AB5" w:rsidRDefault="0087127E" w:rsidP="0087127E">
            <w:r w:rsidRPr="00875AB5">
              <w:t>Organic anion-transporting polypeptide</w:t>
            </w:r>
          </w:p>
        </w:tc>
      </w:tr>
      <w:tr w:rsidR="0087127E" w:rsidRPr="00FD119B" w14:paraId="2A0B769E" w14:textId="77777777" w:rsidTr="00FD119B">
        <w:tc>
          <w:tcPr>
            <w:tcW w:w="1809" w:type="dxa"/>
          </w:tcPr>
          <w:p w14:paraId="373BFBC4" w14:textId="77777777" w:rsidR="0087127E" w:rsidRPr="00875AB5" w:rsidRDefault="0087127E" w:rsidP="0087127E">
            <w:r>
              <w:t>OCT</w:t>
            </w:r>
          </w:p>
        </w:tc>
        <w:tc>
          <w:tcPr>
            <w:tcW w:w="6911" w:type="dxa"/>
          </w:tcPr>
          <w:p w14:paraId="13366D4A" w14:textId="77777777" w:rsidR="0087127E" w:rsidRPr="00875AB5" w:rsidRDefault="0087127E" w:rsidP="0087127E">
            <w:r w:rsidRPr="00875AB5">
              <w:t>Organic cation-transporter</w:t>
            </w:r>
          </w:p>
        </w:tc>
      </w:tr>
      <w:tr w:rsidR="0087127E" w:rsidRPr="00FD119B" w14:paraId="12769083" w14:textId="77777777" w:rsidTr="00FD119B">
        <w:tc>
          <w:tcPr>
            <w:tcW w:w="1809" w:type="dxa"/>
          </w:tcPr>
          <w:p w14:paraId="14D250DC" w14:textId="77777777" w:rsidR="0087127E" w:rsidRPr="00875AB5" w:rsidRDefault="0087127E" w:rsidP="0087127E">
            <w:r>
              <w:t>ORR</w:t>
            </w:r>
          </w:p>
        </w:tc>
        <w:tc>
          <w:tcPr>
            <w:tcW w:w="6911" w:type="dxa"/>
          </w:tcPr>
          <w:p w14:paraId="6374CA02" w14:textId="77777777" w:rsidR="0087127E" w:rsidRPr="00875AB5" w:rsidRDefault="0087127E" w:rsidP="0087127E">
            <w:r w:rsidRPr="00875AB5">
              <w:t>Objective response rate</w:t>
            </w:r>
          </w:p>
        </w:tc>
      </w:tr>
      <w:tr w:rsidR="0087127E" w:rsidRPr="00FD119B" w14:paraId="064B63EE" w14:textId="77777777" w:rsidTr="00FD119B">
        <w:tc>
          <w:tcPr>
            <w:tcW w:w="1809" w:type="dxa"/>
          </w:tcPr>
          <w:p w14:paraId="6992A6A3" w14:textId="77777777" w:rsidR="0087127E" w:rsidRPr="00875AB5" w:rsidRDefault="0087127E" w:rsidP="0087127E">
            <w:r>
              <w:t>OS</w:t>
            </w:r>
          </w:p>
        </w:tc>
        <w:tc>
          <w:tcPr>
            <w:tcW w:w="6911" w:type="dxa"/>
          </w:tcPr>
          <w:p w14:paraId="3A0FAC22" w14:textId="77777777" w:rsidR="0087127E" w:rsidRPr="00875AB5" w:rsidRDefault="0087127E" w:rsidP="0087127E">
            <w:r w:rsidRPr="00875AB5">
              <w:t>Overall survival</w:t>
            </w:r>
          </w:p>
        </w:tc>
      </w:tr>
      <w:tr w:rsidR="0087127E" w:rsidRPr="00FD119B" w14:paraId="3E48BEC7" w14:textId="77777777" w:rsidTr="00FD119B">
        <w:tc>
          <w:tcPr>
            <w:tcW w:w="1809" w:type="dxa"/>
          </w:tcPr>
          <w:p w14:paraId="15455131" w14:textId="77777777" w:rsidR="0087127E" w:rsidRPr="00875AB5" w:rsidRDefault="0087127E" w:rsidP="0087127E">
            <w:r>
              <w:t>P-gp</w:t>
            </w:r>
          </w:p>
        </w:tc>
        <w:tc>
          <w:tcPr>
            <w:tcW w:w="6911" w:type="dxa"/>
          </w:tcPr>
          <w:p w14:paraId="1F489354" w14:textId="77777777" w:rsidR="0087127E" w:rsidRPr="00875AB5" w:rsidRDefault="0087127E" w:rsidP="0087127E">
            <w:r w:rsidRPr="00875AB5">
              <w:t>P-glycoprotein</w:t>
            </w:r>
          </w:p>
        </w:tc>
      </w:tr>
      <w:tr w:rsidR="0087127E" w:rsidRPr="00FD119B" w14:paraId="0012C5E0" w14:textId="77777777" w:rsidTr="00FD119B">
        <w:tc>
          <w:tcPr>
            <w:tcW w:w="1809" w:type="dxa"/>
          </w:tcPr>
          <w:p w14:paraId="07CBBA27" w14:textId="77777777" w:rsidR="0087127E" w:rsidRPr="00875AB5" w:rsidRDefault="0087127E" w:rsidP="0087127E">
            <w:r>
              <w:t>PARP</w:t>
            </w:r>
          </w:p>
        </w:tc>
        <w:tc>
          <w:tcPr>
            <w:tcW w:w="6911" w:type="dxa"/>
          </w:tcPr>
          <w:p w14:paraId="2DB12630" w14:textId="77777777" w:rsidR="0087127E" w:rsidRPr="00875AB5" w:rsidRDefault="0087127E" w:rsidP="0087127E">
            <w:proofErr w:type="spellStart"/>
            <w:r w:rsidRPr="00875AB5">
              <w:t>Polyadenosine</w:t>
            </w:r>
            <w:proofErr w:type="spellEnd"/>
            <w:r w:rsidRPr="00875AB5">
              <w:t xml:space="preserve"> 5’diphosphoribose polymerase</w:t>
            </w:r>
          </w:p>
        </w:tc>
      </w:tr>
      <w:tr w:rsidR="0087127E" w:rsidRPr="00FD119B" w14:paraId="239ADB42" w14:textId="77777777" w:rsidTr="00FD119B">
        <w:tc>
          <w:tcPr>
            <w:tcW w:w="1809" w:type="dxa"/>
          </w:tcPr>
          <w:p w14:paraId="6B3DCBF5" w14:textId="77777777" w:rsidR="0087127E" w:rsidRPr="00875AB5" w:rsidRDefault="0087127E" w:rsidP="0087127E">
            <w:r>
              <w:t>PBMC</w:t>
            </w:r>
          </w:p>
        </w:tc>
        <w:tc>
          <w:tcPr>
            <w:tcW w:w="6911" w:type="dxa"/>
          </w:tcPr>
          <w:p w14:paraId="3CC66EF1" w14:textId="77777777" w:rsidR="0087127E" w:rsidRPr="00875AB5" w:rsidRDefault="0087127E" w:rsidP="0087127E">
            <w:r w:rsidRPr="00875AB5">
              <w:t>Peripheral blood mononuclear cells</w:t>
            </w:r>
          </w:p>
        </w:tc>
      </w:tr>
      <w:tr w:rsidR="0087127E" w:rsidRPr="00FD119B" w14:paraId="4CF22D7C" w14:textId="77777777" w:rsidTr="00FD119B">
        <w:tc>
          <w:tcPr>
            <w:tcW w:w="1809" w:type="dxa"/>
          </w:tcPr>
          <w:p w14:paraId="06DA464D" w14:textId="77777777" w:rsidR="0087127E" w:rsidRPr="00875AB5" w:rsidRDefault="0087127E" w:rsidP="0087127E">
            <w:r>
              <w:t>PD</w:t>
            </w:r>
          </w:p>
        </w:tc>
        <w:tc>
          <w:tcPr>
            <w:tcW w:w="6911" w:type="dxa"/>
          </w:tcPr>
          <w:p w14:paraId="7EC7AAD8" w14:textId="77777777" w:rsidR="0087127E" w:rsidRPr="00875AB5" w:rsidRDefault="0087127E" w:rsidP="0087127E">
            <w:r w:rsidRPr="00875AB5">
              <w:t>Pharmacodynamic(s)</w:t>
            </w:r>
          </w:p>
        </w:tc>
      </w:tr>
      <w:tr w:rsidR="0087127E" w:rsidRPr="00FD119B" w14:paraId="0EB8A56B" w14:textId="77777777" w:rsidTr="00FD119B">
        <w:tc>
          <w:tcPr>
            <w:tcW w:w="1809" w:type="dxa"/>
          </w:tcPr>
          <w:p w14:paraId="01C7C232" w14:textId="77777777" w:rsidR="0087127E" w:rsidRPr="00875AB5" w:rsidRDefault="0087127E" w:rsidP="0087127E">
            <w:r>
              <w:t>PFS</w:t>
            </w:r>
          </w:p>
        </w:tc>
        <w:tc>
          <w:tcPr>
            <w:tcW w:w="6911" w:type="dxa"/>
          </w:tcPr>
          <w:p w14:paraId="6771AAF7" w14:textId="77777777" w:rsidR="0087127E" w:rsidRPr="00875AB5" w:rsidRDefault="0087127E" w:rsidP="0087127E">
            <w:r w:rsidRPr="00875AB5">
              <w:t>Progression-free survival</w:t>
            </w:r>
          </w:p>
        </w:tc>
      </w:tr>
      <w:tr w:rsidR="002B698E" w:rsidRPr="00FD119B" w14:paraId="7979D5B3" w14:textId="77777777" w:rsidTr="00FD119B">
        <w:tc>
          <w:tcPr>
            <w:tcW w:w="1809" w:type="dxa"/>
          </w:tcPr>
          <w:p w14:paraId="5CAEC2A0" w14:textId="77777777" w:rsidR="002B698E" w:rsidRDefault="002B698E" w:rsidP="0087127E">
            <w:r w:rsidRPr="0031524E">
              <w:rPr>
                <w:rFonts w:asciiTheme="minorHAnsi" w:eastAsia="Times New Roman" w:hAnsiTheme="minorHAnsi"/>
              </w:rPr>
              <w:lastRenderedPageBreak/>
              <w:t>Ph.</w:t>
            </w:r>
            <w:r>
              <w:rPr>
                <w:rFonts w:asciiTheme="minorHAnsi" w:eastAsia="Times New Roman" w:hAnsiTheme="minorHAnsi"/>
              </w:rPr>
              <w:t xml:space="preserve"> </w:t>
            </w:r>
            <w:proofErr w:type="spellStart"/>
            <w:r w:rsidRPr="0031524E">
              <w:rPr>
                <w:rFonts w:asciiTheme="minorHAnsi" w:eastAsia="Times New Roman" w:hAnsiTheme="minorHAnsi"/>
              </w:rPr>
              <w:t>Eur</w:t>
            </w:r>
            <w:proofErr w:type="spellEnd"/>
          </w:p>
        </w:tc>
        <w:tc>
          <w:tcPr>
            <w:tcW w:w="6911" w:type="dxa"/>
          </w:tcPr>
          <w:p w14:paraId="376D5C47" w14:textId="77777777" w:rsidR="002B698E" w:rsidRPr="00875AB5" w:rsidRDefault="002B698E" w:rsidP="002B698E">
            <w:r>
              <w:rPr>
                <w:rFonts w:asciiTheme="minorHAnsi" w:eastAsia="Times New Roman" w:hAnsiTheme="minorHAnsi"/>
              </w:rPr>
              <w:t>European Pharmacopeia</w:t>
            </w:r>
          </w:p>
        </w:tc>
      </w:tr>
      <w:tr w:rsidR="0087127E" w:rsidRPr="00FD119B" w14:paraId="2F5005D4" w14:textId="77777777" w:rsidTr="00FD119B">
        <w:tc>
          <w:tcPr>
            <w:tcW w:w="1809" w:type="dxa"/>
          </w:tcPr>
          <w:p w14:paraId="52081FEC" w14:textId="77777777" w:rsidR="0087127E" w:rsidRPr="00875AB5" w:rsidRDefault="0087127E" w:rsidP="0087127E">
            <w:r>
              <w:t>PK</w:t>
            </w:r>
          </w:p>
        </w:tc>
        <w:tc>
          <w:tcPr>
            <w:tcW w:w="6911" w:type="dxa"/>
          </w:tcPr>
          <w:p w14:paraId="1CBD9028" w14:textId="77777777" w:rsidR="0087127E" w:rsidRPr="00875AB5" w:rsidRDefault="0087127E" w:rsidP="0087127E">
            <w:r w:rsidRPr="00875AB5">
              <w:t>Pharmacokinetic(s)</w:t>
            </w:r>
          </w:p>
        </w:tc>
      </w:tr>
      <w:tr w:rsidR="0087127E" w:rsidRPr="00FD119B" w14:paraId="2C28CFFB" w14:textId="77777777" w:rsidTr="00FD119B">
        <w:tc>
          <w:tcPr>
            <w:tcW w:w="1809" w:type="dxa"/>
          </w:tcPr>
          <w:p w14:paraId="2BFC71CE" w14:textId="77777777" w:rsidR="0087127E" w:rsidRPr="00875AB5" w:rsidRDefault="0087127E" w:rsidP="0087127E">
            <w:r>
              <w:t>PLD</w:t>
            </w:r>
          </w:p>
        </w:tc>
        <w:tc>
          <w:tcPr>
            <w:tcW w:w="6911" w:type="dxa"/>
          </w:tcPr>
          <w:p w14:paraId="0EA6B2DF" w14:textId="77777777" w:rsidR="0087127E" w:rsidRPr="00875AB5" w:rsidRDefault="0087127E" w:rsidP="0087127E">
            <w:r w:rsidRPr="00875AB5">
              <w:t>Pegylated liposomal doxorubicin</w:t>
            </w:r>
          </w:p>
        </w:tc>
      </w:tr>
      <w:tr w:rsidR="00E032DB" w:rsidRPr="00FD119B" w14:paraId="74712251" w14:textId="77777777" w:rsidTr="00FD119B">
        <w:tc>
          <w:tcPr>
            <w:tcW w:w="1809" w:type="dxa"/>
          </w:tcPr>
          <w:p w14:paraId="34BFA827" w14:textId="77777777" w:rsidR="00E032DB" w:rsidRDefault="00E032DB" w:rsidP="0087127E">
            <w:r w:rsidRPr="00386C85">
              <w:t>PO</w:t>
            </w:r>
          </w:p>
        </w:tc>
        <w:tc>
          <w:tcPr>
            <w:tcW w:w="6911" w:type="dxa"/>
          </w:tcPr>
          <w:p w14:paraId="37A29D16" w14:textId="77777777" w:rsidR="00E032DB" w:rsidRPr="00875AB5" w:rsidRDefault="00E032DB" w:rsidP="00E032DB">
            <w:r>
              <w:t>per oral</w:t>
            </w:r>
          </w:p>
        </w:tc>
      </w:tr>
      <w:tr w:rsidR="0094739B" w:rsidRPr="00FD119B" w14:paraId="77C31BC4" w14:textId="77777777" w:rsidTr="00FD119B">
        <w:tc>
          <w:tcPr>
            <w:tcW w:w="1809" w:type="dxa"/>
          </w:tcPr>
          <w:p w14:paraId="333E68A6" w14:textId="77777777" w:rsidR="0094739B" w:rsidRPr="00386C85" w:rsidRDefault="0094739B" w:rsidP="0087127E">
            <w:r>
              <w:t>PPF</w:t>
            </w:r>
          </w:p>
        </w:tc>
        <w:tc>
          <w:tcPr>
            <w:tcW w:w="6911" w:type="dxa"/>
          </w:tcPr>
          <w:p w14:paraId="7C417F71" w14:textId="77777777" w:rsidR="0094739B" w:rsidRDefault="0094739B" w:rsidP="0094739B">
            <w:r>
              <w:t>Pre submission planning form (TGA)</w:t>
            </w:r>
          </w:p>
        </w:tc>
      </w:tr>
      <w:tr w:rsidR="0087127E" w:rsidRPr="00FD119B" w14:paraId="2A3DDC46" w14:textId="77777777" w:rsidTr="00FD119B">
        <w:tc>
          <w:tcPr>
            <w:tcW w:w="1809" w:type="dxa"/>
          </w:tcPr>
          <w:p w14:paraId="130D2903" w14:textId="77777777" w:rsidR="0087127E" w:rsidRPr="00875AB5" w:rsidRDefault="0087127E" w:rsidP="0087127E">
            <w:r>
              <w:t>PR</w:t>
            </w:r>
          </w:p>
        </w:tc>
        <w:tc>
          <w:tcPr>
            <w:tcW w:w="6911" w:type="dxa"/>
          </w:tcPr>
          <w:p w14:paraId="7AEB26D6" w14:textId="77777777" w:rsidR="0087127E" w:rsidRPr="00875AB5" w:rsidRDefault="0087127E" w:rsidP="0087127E">
            <w:r w:rsidRPr="00875AB5">
              <w:t>Partial response</w:t>
            </w:r>
          </w:p>
        </w:tc>
      </w:tr>
      <w:tr w:rsidR="0087127E" w:rsidRPr="00FD119B" w14:paraId="27BF252D" w14:textId="77777777" w:rsidTr="00FD119B">
        <w:tc>
          <w:tcPr>
            <w:tcW w:w="1809" w:type="dxa"/>
          </w:tcPr>
          <w:p w14:paraId="22383F13" w14:textId="77777777" w:rsidR="0087127E" w:rsidRPr="00875AB5" w:rsidRDefault="0087127E" w:rsidP="0087127E">
            <w:r>
              <w:t>PSR</w:t>
            </w:r>
          </w:p>
        </w:tc>
        <w:tc>
          <w:tcPr>
            <w:tcW w:w="6911" w:type="dxa"/>
          </w:tcPr>
          <w:p w14:paraId="62D886FB" w14:textId="77777777" w:rsidR="0087127E" w:rsidRPr="00875AB5" w:rsidRDefault="00881C3F" w:rsidP="0087127E">
            <w:r>
              <w:t xml:space="preserve">Platinum </w:t>
            </w:r>
            <w:r w:rsidR="0087127E" w:rsidRPr="00875AB5">
              <w:t>sensitive relapsed</w:t>
            </w:r>
          </w:p>
        </w:tc>
      </w:tr>
      <w:tr w:rsidR="0087127E" w:rsidRPr="00FD119B" w14:paraId="44604533" w14:textId="77777777" w:rsidTr="00FD119B">
        <w:tc>
          <w:tcPr>
            <w:tcW w:w="1809" w:type="dxa"/>
          </w:tcPr>
          <w:p w14:paraId="6B01E897" w14:textId="77777777" w:rsidR="0087127E" w:rsidRPr="00875AB5" w:rsidRDefault="0087127E" w:rsidP="0087127E">
            <w:r>
              <w:t>QT</w:t>
            </w:r>
          </w:p>
        </w:tc>
        <w:tc>
          <w:tcPr>
            <w:tcW w:w="6911" w:type="dxa"/>
          </w:tcPr>
          <w:p w14:paraId="4344E05E" w14:textId="77777777" w:rsidR="0087127E" w:rsidRPr="00875AB5" w:rsidRDefault="0087127E" w:rsidP="0087127E">
            <w:r w:rsidRPr="00875AB5">
              <w:t>ECG interval measured from the beginning of the QRS complex to the end of the T wave</w:t>
            </w:r>
          </w:p>
        </w:tc>
      </w:tr>
      <w:tr w:rsidR="0087127E" w:rsidRPr="00FD119B" w14:paraId="59265658" w14:textId="77777777" w:rsidTr="00FD119B">
        <w:tc>
          <w:tcPr>
            <w:tcW w:w="1809" w:type="dxa"/>
          </w:tcPr>
          <w:p w14:paraId="3C4B8135" w14:textId="77777777" w:rsidR="0087127E" w:rsidRPr="00875AB5" w:rsidRDefault="0087127E" w:rsidP="0087127E">
            <w:r w:rsidRPr="00875AB5">
              <w:t>RECIST</w:t>
            </w:r>
          </w:p>
        </w:tc>
        <w:tc>
          <w:tcPr>
            <w:tcW w:w="6911" w:type="dxa"/>
          </w:tcPr>
          <w:p w14:paraId="37A89344" w14:textId="77777777" w:rsidR="0087127E" w:rsidRPr="00875AB5" w:rsidRDefault="0087127E" w:rsidP="0087127E">
            <w:r w:rsidRPr="00875AB5">
              <w:t>Response Evaluation Criteria in Solid Tumours</w:t>
            </w:r>
          </w:p>
        </w:tc>
      </w:tr>
      <w:tr w:rsidR="0087127E" w:rsidRPr="00FD119B" w14:paraId="08FD51B7" w14:textId="77777777" w:rsidTr="00FD119B">
        <w:tc>
          <w:tcPr>
            <w:tcW w:w="1809" w:type="dxa"/>
          </w:tcPr>
          <w:p w14:paraId="2ECB421D" w14:textId="77777777" w:rsidR="0087127E" w:rsidRPr="00875AB5" w:rsidRDefault="0087127E" w:rsidP="0087127E">
            <w:r>
              <w:t>SAE</w:t>
            </w:r>
          </w:p>
        </w:tc>
        <w:tc>
          <w:tcPr>
            <w:tcW w:w="6911" w:type="dxa"/>
          </w:tcPr>
          <w:p w14:paraId="46B42BB3" w14:textId="77777777" w:rsidR="0087127E" w:rsidRPr="00875AB5" w:rsidRDefault="0087127E" w:rsidP="0087127E">
            <w:r w:rsidRPr="00875AB5">
              <w:t>Serious adverse event</w:t>
            </w:r>
          </w:p>
        </w:tc>
      </w:tr>
      <w:tr w:rsidR="0087127E" w:rsidRPr="00FD119B" w14:paraId="579F96D3" w14:textId="77777777" w:rsidTr="00FD119B">
        <w:tc>
          <w:tcPr>
            <w:tcW w:w="1809" w:type="dxa"/>
          </w:tcPr>
          <w:p w14:paraId="79348B3B" w14:textId="77777777" w:rsidR="0087127E" w:rsidRPr="00875AB5" w:rsidRDefault="0087127E" w:rsidP="0087127E">
            <w:r>
              <w:t>SmPC</w:t>
            </w:r>
          </w:p>
        </w:tc>
        <w:tc>
          <w:tcPr>
            <w:tcW w:w="6911" w:type="dxa"/>
          </w:tcPr>
          <w:p w14:paraId="6FCE47A6" w14:textId="77777777" w:rsidR="0087127E" w:rsidRPr="00875AB5" w:rsidRDefault="0087127E" w:rsidP="0087127E">
            <w:r w:rsidRPr="00875AB5">
              <w:t>Summary of Product Characteristics</w:t>
            </w:r>
          </w:p>
        </w:tc>
      </w:tr>
      <w:tr w:rsidR="0087127E" w:rsidRPr="00FD119B" w14:paraId="1E6F1712" w14:textId="77777777" w:rsidTr="00FD119B">
        <w:tc>
          <w:tcPr>
            <w:tcW w:w="1809" w:type="dxa"/>
          </w:tcPr>
          <w:p w14:paraId="206A0FAB" w14:textId="77777777" w:rsidR="0087127E" w:rsidRPr="00875AB5" w:rsidRDefault="0087127E" w:rsidP="0087127E">
            <w:r>
              <w:t>SOC</w:t>
            </w:r>
          </w:p>
        </w:tc>
        <w:tc>
          <w:tcPr>
            <w:tcW w:w="6911" w:type="dxa"/>
          </w:tcPr>
          <w:p w14:paraId="1FE7E5FE" w14:textId="77777777" w:rsidR="0087127E" w:rsidRPr="00875AB5" w:rsidRDefault="0087127E" w:rsidP="0087127E">
            <w:r w:rsidRPr="00875AB5">
              <w:t>System Organ Class</w:t>
            </w:r>
          </w:p>
        </w:tc>
      </w:tr>
      <w:tr w:rsidR="0087127E" w:rsidRPr="00FD119B" w14:paraId="3E558038" w14:textId="77777777" w:rsidTr="00FD119B">
        <w:tc>
          <w:tcPr>
            <w:tcW w:w="1809" w:type="dxa"/>
          </w:tcPr>
          <w:p w14:paraId="26D4C031" w14:textId="77777777" w:rsidR="0087127E" w:rsidRPr="00875AB5" w:rsidRDefault="0087127E" w:rsidP="0087127E">
            <w:proofErr w:type="spellStart"/>
            <w:r>
              <w:t>tBRCAm</w:t>
            </w:r>
            <w:proofErr w:type="spellEnd"/>
          </w:p>
        </w:tc>
        <w:tc>
          <w:tcPr>
            <w:tcW w:w="6911" w:type="dxa"/>
          </w:tcPr>
          <w:p w14:paraId="4ADDE98C" w14:textId="77777777" w:rsidR="0087127E" w:rsidRPr="00875AB5" w:rsidRDefault="0087127E" w:rsidP="0087127E">
            <w:r w:rsidRPr="00875AB5">
              <w:t>Tumour BRCA</w:t>
            </w:r>
            <w:r>
              <w:t xml:space="preserve"> </w:t>
            </w:r>
            <w:r w:rsidRPr="00875AB5">
              <w:t>mutated</w:t>
            </w:r>
          </w:p>
        </w:tc>
      </w:tr>
      <w:tr w:rsidR="0087127E" w:rsidRPr="00FD119B" w14:paraId="2664B5BD" w14:textId="77777777" w:rsidTr="00FD119B">
        <w:tc>
          <w:tcPr>
            <w:tcW w:w="1809" w:type="dxa"/>
          </w:tcPr>
          <w:p w14:paraId="7124AE72" w14:textId="77777777" w:rsidR="0087127E" w:rsidRPr="00875AB5" w:rsidRDefault="0087127E" w:rsidP="0087127E">
            <w:r>
              <w:t>TDT</w:t>
            </w:r>
          </w:p>
        </w:tc>
        <w:tc>
          <w:tcPr>
            <w:tcW w:w="6911" w:type="dxa"/>
          </w:tcPr>
          <w:p w14:paraId="27453DE8" w14:textId="77777777" w:rsidR="0087127E" w:rsidRPr="00875AB5" w:rsidRDefault="0087127E" w:rsidP="0087127E">
            <w:r w:rsidRPr="00875AB5">
              <w:t>Time to discontinuation of treatment (defined as time from randomisation to discontinuation of study treatment or death)</w:t>
            </w:r>
          </w:p>
        </w:tc>
      </w:tr>
      <w:tr w:rsidR="0087127E" w:rsidRPr="00FD119B" w14:paraId="6719A82A" w14:textId="77777777" w:rsidTr="00FD119B">
        <w:tc>
          <w:tcPr>
            <w:tcW w:w="1809" w:type="dxa"/>
          </w:tcPr>
          <w:p w14:paraId="009CDFF1" w14:textId="77777777" w:rsidR="0087127E" w:rsidRPr="00875AB5" w:rsidRDefault="0087127E" w:rsidP="0087127E">
            <w:r>
              <w:t>TFST</w:t>
            </w:r>
          </w:p>
        </w:tc>
        <w:tc>
          <w:tcPr>
            <w:tcW w:w="6911" w:type="dxa"/>
          </w:tcPr>
          <w:p w14:paraId="1D47D095" w14:textId="77777777" w:rsidR="0087127E" w:rsidRPr="00875AB5" w:rsidRDefault="0087127E" w:rsidP="0087127E">
            <w:r w:rsidRPr="00875AB5">
              <w:t>Time to first subsequent therapy (defined as time from randomisation to start of first subsequent therapy or death (</w:t>
            </w:r>
            <w:r>
              <w:t>that is,</w:t>
            </w:r>
            <w:r w:rsidRPr="00875AB5">
              <w:t xml:space="preserve"> following discontinuation of randomised study treatment) </w:t>
            </w:r>
            <w:r w:rsidRPr="000A643A">
              <w:t>t</w:t>
            </w:r>
            <w:r w:rsidRPr="00D23426">
              <w:rPr>
                <w:vertAlign w:val="subscript"/>
              </w:rPr>
              <w:t>max</w:t>
            </w:r>
            <w:r>
              <w:t xml:space="preserve"> </w:t>
            </w:r>
            <w:r w:rsidRPr="00875AB5">
              <w:t>Time to reach maximum concentration</w:t>
            </w:r>
          </w:p>
        </w:tc>
      </w:tr>
      <w:tr w:rsidR="002B698E" w:rsidRPr="00FD119B" w14:paraId="08FA7498" w14:textId="77777777" w:rsidTr="00FD119B">
        <w:tc>
          <w:tcPr>
            <w:tcW w:w="1809" w:type="dxa"/>
          </w:tcPr>
          <w:p w14:paraId="5E5535E6" w14:textId="77777777" w:rsidR="002B698E" w:rsidRDefault="002B698E" w:rsidP="0087127E">
            <w:r w:rsidRPr="008F5336">
              <w:t>t</w:t>
            </w:r>
            <w:r w:rsidRPr="008F5336">
              <w:rPr>
                <w:vertAlign w:val="subscript"/>
              </w:rPr>
              <w:t>max</w:t>
            </w:r>
          </w:p>
        </w:tc>
        <w:tc>
          <w:tcPr>
            <w:tcW w:w="6911" w:type="dxa"/>
          </w:tcPr>
          <w:p w14:paraId="0601AA99" w14:textId="77777777" w:rsidR="002B698E" w:rsidRPr="00875AB5" w:rsidRDefault="00107063" w:rsidP="00107063">
            <w:r>
              <w:t xml:space="preserve">Time at which the </w:t>
            </w:r>
            <w:r w:rsidR="00E032DB" w:rsidRPr="00386C85">
              <w:t>C</w:t>
            </w:r>
            <w:r w:rsidR="00E032DB" w:rsidRPr="00E032DB">
              <w:rPr>
                <w:vertAlign w:val="subscript"/>
              </w:rPr>
              <w:t>max</w:t>
            </w:r>
            <w:r>
              <w:t xml:space="preserve"> of the drug is achieved</w:t>
            </w:r>
          </w:p>
        </w:tc>
      </w:tr>
      <w:tr w:rsidR="0087127E" w:rsidRPr="00FD119B" w14:paraId="7D933256" w14:textId="77777777" w:rsidTr="00FD119B">
        <w:tc>
          <w:tcPr>
            <w:tcW w:w="1809" w:type="dxa"/>
          </w:tcPr>
          <w:p w14:paraId="0B57A9DD" w14:textId="77777777" w:rsidR="0087127E" w:rsidRPr="00875AB5" w:rsidRDefault="0087127E" w:rsidP="0087127E">
            <w:r>
              <w:t>TOI</w:t>
            </w:r>
          </w:p>
        </w:tc>
        <w:tc>
          <w:tcPr>
            <w:tcW w:w="6911" w:type="dxa"/>
          </w:tcPr>
          <w:p w14:paraId="3D1C3111" w14:textId="77777777" w:rsidR="0087127E" w:rsidRPr="00875AB5" w:rsidRDefault="0087127E" w:rsidP="0087127E">
            <w:r w:rsidRPr="00875AB5">
              <w:t>Trial Outcomes Index</w:t>
            </w:r>
          </w:p>
        </w:tc>
      </w:tr>
      <w:tr w:rsidR="0087127E" w:rsidRPr="00FD119B" w14:paraId="688868B9" w14:textId="77777777" w:rsidTr="00FD119B">
        <w:tc>
          <w:tcPr>
            <w:tcW w:w="1809" w:type="dxa"/>
          </w:tcPr>
          <w:p w14:paraId="12FF134B" w14:textId="77777777" w:rsidR="0087127E" w:rsidRPr="00875AB5" w:rsidRDefault="0087127E" w:rsidP="0087127E">
            <w:r>
              <w:t>TSST</w:t>
            </w:r>
          </w:p>
        </w:tc>
        <w:tc>
          <w:tcPr>
            <w:tcW w:w="6911" w:type="dxa"/>
          </w:tcPr>
          <w:p w14:paraId="5E93D612" w14:textId="77777777" w:rsidR="0087127E" w:rsidRPr="00875AB5" w:rsidRDefault="0087127E" w:rsidP="0087127E">
            <w:r w:rsidRPr="00875AB5">
              <w:t>Time to second subsequent therapy (defined as time from randomisation to the start of second subsequent therapy or death)</w:t>
            </w:r>
          </w:p>
        </w:tc>
      </w:tr>
      <w:tr w:rsidR="0087127E" w:rsidRPr="00FD119B" w14:paraId="6CA0599D" w14:textId="77777777" w:rsidTr="00FD119B">
        <w:tc>
          <w:tcPr>
            <w:tcW w:w="1809" w:type="dxa"/>
          </w:tcPr>
          <w:p w14:paraId="54266888" w14:textId="77777777" w:rsidR="0087127E" w:rsidRPr="00875AB5" w:rsidRDefault="0087127E" w:rsidP="0087127E">
            <w:r>
              <w:t>ULN</w:t>
            </w:r>
          </w:p>
        </w:tc>
        <w:tc>
          <w:tcPr>
            <w:tcW w:w="6911" w:type="dxa"/>
          </w:tcPr>
          <w:p w14:paraId="608515C0" w14:textId="77777777" w:rsidR="0087127E" w:rsidRPr="00875AB5" w:rsidRDefault="0087127E" w:rsidP="0087127E">
            <w:r w:rsidRPr="00875AB5">
              <w:t>Upper limit of normal</w:t>
            </w:r>
          </w:p>
        </w:tc>
      </w:tr>
      <w:tr w:rsidR="0087127E" w:rsidRPr="00FD119B" w14:paraId="45CA1A46" w14:textId="77777777" w:rsidTr="00FD119B">
        <w:tc>
          <w:tcPr>
            <w:tcW w:w="1809" w:type="dxa"/>
          </w:tcPr>
          <w:p w14:paraId="5E9AC755" w14:textId="77777777" w:rsidR="0087127E" w:rsidRPr="00875AB5" w:rsidRDefault="0087127E" w:rsidP="0087127E">
            <w:r>
              <w:t>USA</w:t>
            </w:r>
          </w:p>
        </w:tc>
        <w:tc>
          <w:tcPr>
            <w:tcW w:w="6911" w:type="dxa"/>
          </w:tcPr>
          <w:p w14:paraId="72DDE5E9" w14:textId="77777777" w:rsidR="0087127E" w:rsidRPr="00875AB5" w:rsidRDefault="0087127E" w:rsidP="0087127E">
            <w:r w:rsidRPr="00875AB5">
              <w:t>United States of America</w:t>
            </w:r>
          </w:p>
        </w:tc>
      </w:tr>
      <w:tr w:rsidR="0087127E" w:rsidRPr="00FD119B" w14:paraId="50068E83" w14:textId="77777777" w:rsidTr="00FD119B">
        <w:tc>
          <w:tcPr>
            <w:tcW w:w="1809" w:type="dxa"/>
          </w:tcPr>
          <w:p w14:paraId="755EC85E" w14:textId="77777777" w:rsidR="0087127E" w:rsidRPr="00875AB5" w:rsidRDefault="0087127E" w:rsidP="0087127E">
            <w:r>
              <w:t>VUS</w:t>
            </w:r>
          </w:p>
        </w:tc>
        <w:tc>
          <w:tcPr>
            <w:tcW w:w="6911" w:type="dxa"/>
          </w:tcPr>
          <w:p w14:paraId="5039AF4A" w14:textId="77777777" w:rsidR="0087127E" w:rsidRPr="00875AB5" w:rsidRDefault="0087127E" w:rsidP="0087127E">
            <w:r w:rsidRPr="00875AB5">
              <w:t>V</w:t>
            </w:r>
            <w:r>
              <w:t>ariants of unknown significance</w:t>
            </w:r>
          </w:p>
        </w:tc>
      </w:tr>
      <w:tr w:rsidR="0087127E" w:rsidRPr="00FD119B" w14:paraId="159E736A" w14:textId="77777777" w:rsidTr="00FD119B">
        <w:tc>
          <w:tcPr>
            <w:tcW w:w="1809" w:type="dxa"/>
          </w:tcPr>
          <w:p w14:paraId="26960F42" w14:textId="77777777" w:rsidR="0087127E" w:rsidRPr="00875AB5" w:rsidRDefault="0087127E" w:rsidP="0087127E">
            <w:r>
              <w:t>wt</w:t>
            </w:r>
          </w:p>
        </w:tc>
        <w:tc>
          <w:tcPr>
            <w:tcW w:w="6911" w:type="dxa"/>
          </w:tcPr>
          <w:p w14:paraId="65D41E62" w14:textId="77777777" w:rsidR="0087127E" w:rsidRPr="00875AB5" w:rsidRDefault="0087127E" w:rsidP="0087127E">
            <w:r w:rsidRPr="00875AB5">
              <w:t>Wildtype</w:t>
            </w:r>
          </w:p>
        </w:tc>
      </w:tr>
    </w:tbl>
    <w:p w14:paraId="7ABE6CDD" w14:textId="77777777" w:rsidR="00FD119B" w:rsidRDefault="00FD119B" w:rsidP="00FD119B"/>
    <w:p w14:paraId="766365CC" w14:textId="77777777" w:rsidR="00FD119B" w:rsidRPr="00FD119B" w:rsidRDefault="00FD119B" w:rsidP="00FD119B">
      <w:pPr>
        <w:spacing w:before="0" w:after="200" w:line="0" w:lineRule="auto"/>
        <w:rPr>
          <w:b/>
          <w:i/>
          <w:sz w:val="24"/>
          <w:szCs w:val="24"/>
        </w:rPr>
      </w:pPr>
      <w:r w:rsidRPr="00FD119B">
        <w:rPr>
          <w:b/>
          <w:i/>
          <w:sz w:val="24"/>
          <w:szCs w:val="24"/>
        </w:rPr>
        <w:br w:type="page"/>
      </w:r>
    </w:p>
    <w:p w14:paraId="5E454BB4" w14:textId="77777777" w:rsidR="008E7846" w:rsidRDefault="00F53C07" w:rsidP="008E7846">
      <w:pPr>
        <w:pStyle w:val="Heading2"/>
      </w:pPr>
      <w:bookmarkStart w:id="9" w:name="_Toc8053799"/>
      <w:r>
        <w:lastRenderedPageBreak/>
        <w:t>I.</w:t>
      </w:r>
      <w:r w:rsidR="008E7846">
        <w:t xml:space="preserve"> Introduction to product submission</w:t>
      </w:r>
      <w:bookmarkEnd w:id="9"/>
      <w:bookmarkEnd w:id="3"/>
      <w:bookmarkEnd w:id="1"/>
    </w:p>
    <w:p w14:paraId="23761754" w14:textId="77777777" w:rsidR="008E7846" w:rsidRDefault="008E7846" w:rsidP="008E7846">
      <w:pPr>
        <w:pStyle w:val="Heading3"/>
        <w:rPr>
          <w:lang w:eastAsia="en-AU"/>
        </w:rPr>
      </w:pPr>
      <w:bookmarkStart w:id="10" w:name="_Toc247691502"/>
      <w:bookmarkStart w:id="11" w:name="_Toc314842483"/>
      <w:bookmarkStart w:id="12" w:name="_Toc8053800"/>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709FFC8A" w14:textId="77777777" w:rsidTr="00500337">
        <w:trPr>
          <w:trHeight w:hRule="exact" w:val="454"/>
        </w:trPr>
        <w:tc>
          <w:tcPr>
            <w:tcW w:w="2907" w:type="dxa"/>
          </w:tcPr>
          <w:p w14:paraId="0469AA51"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64B78CC3" w14:textId="77777777" w:rsidR="008E7846" w:rsidRPr="003D1E62" w:rsidRDefault="008E7846" w:rsidP="00097125">
            <w:r w:rsidRPr="003D1E62">
              <w:t xml:space="preserve">New </w:t>
            </w:r>
            <w:r w:rsidR="001B5C90">
              <w:t>c</w:t>
            </w:r>
            <w:r w:rsidRPr="003D1E62">
              <w:t xml:space="preserve">hemical </w:t>
            </w:r>
            <w:r w:rsidR="001B5C90">
              <w:t>e</w:t>
            </w:r>
            <w:r w:rsidRPr="003D1E62">
              <w:t>ntity</w:t>
            </w:r>
          </w:p>
        </w:tc>
      </w:tr>
      <w:tr w:rsidR="008E7846" w:rsidRPr="003D1E62" w14:paraId="3F57AA62" w14:textId="77777777" w:rsidTr="00500337">
        <w:trPr>
          <w:trHeight w:hRule="exact" w:val="454"/>
        </w:trPr>
        <w:tc>
          <w:tcPr>
            <w:tcW w:w="2907" w:type="dxa"/>
          </w:tcPr>
          <w:p w14:paraId="44A822F5" w14:textId="77777777" w:rsidR="008E7846" w:rsidRPr="003D1E62" w:rsidRDefault="008E7846" w:rsidP="003D1E62">
            <w:r w:rsidRPr="003D1E62">
              <w:rPr>
                <w:i/>
              </w:rPr>
              <w:t>Decision</w:t>
            </w:r>
            <w:r w:rsidRPr="003D1E62">
              <w:t>:</w:t>
            </w:r>
          </w:p>
        </w:tc>
        <w:tc>
          <w:tcPr>
            <w:tcW w:w="6307" w:type="dxa"/>
          </w:tcPr>
          <w:p w14:paraId="0151EF58" w14:textId="77777777" w:rsidR="008E7846" w:rsidRPr="003D1E62" w:rsidRDefault="00097125" w:rsidP="00097125">
            <w:r>
              <w:t>Approved</w:t>
            </w:r>
          </w:p>
        </w:tc>
      </w:tr>
      <w:tr w:rsidR="008E7846" w:rsidRPr="003D1E62" w14:paraId="401C3765" w14:textId="77777777" w:rsidTr="00500337">
        <w:trPr>
          <w:trHeight w:hRule="exact" w:val="454"/>
        </w:trPr>
        <w:tc>
          <w:tcPr>
            <w:tcW w:w="2907" w:type="dxa"/>
          </w:tcPr>
          <w:p w14:paraId="213039E9"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522A6973" w14:textId="77777777" w:rsidR="008E7846" w:rsidRPr="003D1E62" w:rsidRDefault="00A9459F" w:rsidP="001B5C90">
            <w:r>
              <w:t>23 December 2015</w:t>
            </w:r>
          </w:p>
        </w:tc>
      </w:tr>
      <w:tr w:rsidR="00ED2922" w:rsidRPr="003D1E62" w14:paraId="4EEE57F7" w14:textId="77777777" w:rsidTr="00500337">
        <w:trPr>
          <w:trHeight w:hRule="exact" w:val="454"/>
        </w:trPr>
        <w:tc>
          <w:tcPr>
            <w:tcW w:w="2907" w:type="dxa"/>
          </w:tcPr>
          <w:p w14:paraId="1585F6A2" w14:textId="77777777" w:rsidR="00ED2922" w:rsidRPr="00441C3F" w:rsidRDefault="00ED2922" w:rsidP="001B5C90">
            <w:pPr>
              <w:rPr>
                <w:i/>
              </w:rPr>
            </w:pPr>
            <w:r w:rsidRPr="00441C3F">
              <w:rPr>
                <w:i/>
              </w:rPr>
              <w:t>Date of entry onto ARTG</w:t>
            </w:r>
            <w:r w:rsidR="00500337">
              <w:rPr>
                <w:i/>
              </w:rPr>
              <w:t>:</w:t>
            </w:r>
          </w:p>
        </w:tc>
        <w:tc>
          <w:tcPr>
            <w:tcW w:w="6307" w:type="dxa"/>
          </w:tcPr>
          <w:p w14:paraId="4F536FA1" w14:textId="77777777" w:rsidR="00ED2922" w:rsidRPr="00441C3F" w:rsidRDefault="00A9459F" w:rsidP="00EC463D">
            <w:pPr>
              <w:rPr>
                <w:i/>
              </w:rPr>
            </w:pPr>
            <w:r>
              <w:t>7 January 2016</w:t>
            </w:r>
          </w:p>
        </w:tc>
      </w:tr>
      <w:tr w:rsidR="00500337" w:rsidRPr="003D1E62" w14:paraId="0DCEDB09" w14:textId="77777777" w:rsidTr="00500337">
        <w:trPr>
          <w:trHeight w:hRule="exact" w:val="454"/>
        </w:trPr>
        <w:tc>
          <w:tcPr>
            <w:tcW w:w="2907" w:type="dxa"/>
          </w:tcPr>
          <w:p w14:paraId="28B18ED3" w14:textId="77777777" w:rsidR="00500337" w:rsidRPr="00441C3F" w:rsidRDefault="00097125" w:rsidP="001B5C90">
            <w:pPr>
              <w:rPr>
                <w:i/>
              </w:rPr>
            </w:pPr>
            <w:r>
              <w:rPr>
                <w:i/>
              </w:rPr>
              <w:t>ARTG number</w:t>
            </w:r>
            <w:r w:rsidR="00500337">
              <w:rPr>
                <w:i/>
              </w:rPr>
              <w:t>:</w:t>
            </w:r>
          </w:p>
        </w:tc>
        <w:tc>
          <w:tcPr>
            <w:tcW w:w="6307" w:type="dxa"/>
          </w:tcPr>
          <w:p w14:paraId="3EC1044D" w14:textId="77777777" w:rsidR="00500337" w:rsidRPr="00441C3F" w:rsidRDefault="00097125" w:rsidP="00EC463D">
            <w:r>
              <w:t>234008</w:t>
            </w:r>
          </w:p>
        </w:tc>
      </w:tr>
      <w:tr w:rsidR="008E7846" w:rsidRPr="00487162" w14:paraId="1E0B5C74" w14:textId="77777777" w:rsidTr="00BF1190">
        <w:tc>
          <w:tcPr>
            <w:tcW w:w="2907" w:type="dxa"/>
          </w:tcPr>
          <w:p w14:paraId="7C94587B" w14:textId="77777777" w:rsidR="008E7846" w:rsidRPr="00487162" w:rsidRDefault="00A9459F" w:rsidP="00E45619">
            <w:pPr>
              <w:rPr>
                <w:i/>
              </w:rPr>
            </w:pPr>
            <w:r>
              <w:rPr>
                <w:i/>
              </w:rPr>
              <w:t>Active ingredient</w:t>
            </w:r>
            <w:r w:rsidR="001B5C90">
              <w:rPr>
                <w:i/>
              </w:rPr>
              <w:t>:</w:t>
            </w:r>
          </w:p>
        </w:tc>
        <w:tc>
          <w:tcPr>
            <w:tcW w:w="6307" w:type="dxa"/>
          </w:tcPr>
          <w:p w14:paraId="62136B61" w14:textId="28DC08FF" w:rsidR="008E7846" w:rsidRPr="00487162" w:rsidRDefault="005A7379" w:rsidP="00E45619">
            <w:r>
              <w:t>Olaparib</w:t>
            </w:r>
          </w:p>
        </w:tc>
      </w:tr>
      <w:tr w:rsidR="008E7846" w:rsidRPr="00487162" w14:paraId="276F6D5E" w14:textId="77777777" w:rsidTr="00BF1190">
        <w:tc>
          <w:tcPr>
            <w:tcW w:w="2907" w:type="dxa"/>
          </w:tcPr>
          <w:p w14:paraId="34E69D6A" w14:textId="77777777" w:rsidR="008E7846" w:rsidRPr="00487162" w:rsidRDefault="008E7846" w:rsidP="001B5C90">
            <w:pPr>
              <w:rPr>
                <w:i/>
              </w:rPr>
            </w:pPr>
            <w:r w:rsidRPr="00487162">
              <w:rPr>
                <w:i/>
              </w:rPr>
              <w:t>Product</w:t>
            </w:r>
            <w:r w:rsidR="00A9459F">
              <w:rPr>
                <w:i/>
              </w:rPr>
              <w:t xml:space="preserve"> name</w:t>
            </w:r>
            <w:r w:rsidR="001B5C90">
              <w:rPr>
                <w:i/>
              </w:rPr>
              <w:t>:</w:t>
            </w:r>
          </w:p>
        </w:tc>
        <w:tc>
          <w:tcPr>
            <w:tcW w:w="6307" w:type="dxa"/>
          </w:tcPr>
          <w:p w14:paraId="0E31CC18" w14:textId="77777777" w:rsidR="008E7846" w:rsidRPr="00487162" w:rsidRDefault="002B698E" w:rsidP="00A9459F">
            <w:r>
              <w:t>Lynparza</w:t>
            </w:r>
          </w:p>
        </w:tc>
      </w:tr>
      <w:tr w:rsidR="008E7846" w:rsidRPr="00487162" w14:paraId="141FDF7E" w14:textId="77777777" w:rsidTr="00BF1190">
        <w:tc>
          <w:tcPr>
            <w:tcW w:w="2907" w:type="dxa"/>
          </w:tcPr>
          <w:p w14:paraId="78C36EE9"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7C82D096" w14:textId="77777777" w:rsidR="008E7846" w:rsidRDefault="00A9459F" w:rsidP="00E45619">
            <w:r>
              <w:t>AstraZeneca Pty Ltd</w:t>
            </w:r>
          </w:p>
          <w:p w14:paraId="4188F2B8" w14:textId="77777777" w:rsidR="00A9459F" w:rsidRDefault="00A9459F" w:rsidP="00E45619">
            <w:r>
              <w:t>PO Box 131</w:t>
            </w:r>
          </w:p>
          <w:p w14:paraId="3DD449CC" w14:textId="77777777" w:rsidR="00A9459F" w:rsidRPr="00487162" w:rsidRDefault="00A9459F" w:rsidP="00E45619">
            <w:r>
              <w:t>North Ryde NSW 1670</w:t>
            </w:r>
          </w:p>
        </w:tc>
      </w:tr>
      <w:tr w:rsidR="008E7846" w:rsidRPr="00487162" w14:paraId="2ADEC91A" w14:textId="77777777" w:rsidTr="00BF1190">
        <w:tc>
          <w:tcPr>
            <w:tcW w:w="2907" w:type="dxa"/>
          </w:tcPr>
          <w:p w14:paraId="25CDAA16" w14:textId="77777777" w:rsidR="008E7846" w:rsidRPr="00487162" w:rsidRDefault="00A9459F" w:rsidP="00E45619">
            <w:pPr>
              <w:rPr>
                <w:i/>
              </w:rPr>
            </w:pPr>
            <w:r>
              <w:rPr>
                <w:i/>
              </w:rPr>
              <w:t>Dose form</w:t>
            </w:r>
            <w:r w:rsidR="001B5C90">
              <w:rPr>
                <w:i/>
              </w:rPr>
              <w:t>:</w:t>
            </w:r>
          </w:p>
        </w:tc>
        <w:tc>
          <w:tcPr>
            <w:tcW w:w="6307" w:type="dxa"/>
          </w:tcPr>
          <w:p w14:paraId="5E02C224" w14:textId="1C51E7FE" w:rsidR="008E7846" w:rsidRPr="00487162" w:rsidRDefault="005A7379" w:rsidP="00E45619">
            <w:r>
              <w:t>Capsule</w:t>
            </w:r>
          </w:p>
        </w:tc>
      </w:tr>
      <w:tr w:rsidR="008E7846" w:rsidRPr="00487162" w14:paraId="63131BFC" w14:textId="77777777" w:rsidTr="00BF1190">
        <w:tc>
          <w:tcPr>
            <w:tcW w:w="2907" w:type="dxa"/>
          </w:tcPr>
          <w:p w14:paraId="3FD5C51C" w14:textId="77777777" w:rsidR="008E7846" w:rsidRPr="00487162" w:rsidRDefault="00A9459F" w:rsidP="00E45619">
            <w:pPr>
              <w:rPr>
                <w:i/>
              </w:rPr>
            </w:pPr>
            <w:r>
              <w:rPr>
                <w:i/>
              </w:rPr>
              <w:t>Strength</w:t>
            </w:r>
            <w:r w:rsidR="008E7846" w:rsidRPr="00487162">
              <w:rPr>
                <w:i/>
              </w:rPr>
              <w:t xml:space="preserve">: </w:t>
            </w:r>
          </w:p>
        </w:tc>
        <w:tc>
          <w:tcPr>
            <w:tcW w:w="6307" w:type="dxa"/>
          </w:tcPr>
          <w:p w14:paraId="06F794C6" w14:textId="77777777" w:rsidR="008E7846" w:rsidRPr="00487162" w:rsidRDefault="00A9459F" w:rsidP="00E45619">
            <w:r>
              <w:t>50 mg</w:t>
            </w:r>
          </w:p>
        </w:tc>
      </w:tr>
      <w:tr w:rsidR="008E7846" w:rsidRPr="00487162" w14:paraId="016B28B6" w14:textId="77777777" w:rsidTr="00BF1190">
        <w:tc>
          <w:tcPr>
            <w:tcW w:w="2907" w:type="dxa"/>
          </w:tcPr>
          <w:p w14:paraId="6F258B41" w14:textId="77777777" w:rsidR="008E7846" w:rsidRPr="00487162" w:rsidRDefault="008E7846" w:rsidP="00E45619">
            <w:pPr>
              <w:rPr>
                <w:i/>
              </w:rPr>
            </w:pPr>
            <w:r w:rsidRPr="00487162">
              <w:rPr>
                <w:i/>
              </w:rPr>
              <w:t>Conta</w:t>
            </w:r>
            <w:r w:rsidR="00A9459F">
              <w:rPr>
                <w:i/>
              </w:rPr>
              <w:t>iner</w:t>
            </w:r>
            <w:r w:rsidRPr="00487162">
              <w:rPr>
                <w:i/>
              </w:rPr>
              <w:t>:</w:t>
            </w:r>
          </w:p>
        </w:tc>
        <w:tc>
          <w:tcPr>
            <w:tcW w:w="6307" w:type="dxa"/>
          </w:tcPr>
          <w:p w14:paraId="0E5C2E5C" w14:textId="77777777" w:rsidR="008E7846" w:rsidRPr="00487162" w:rsidRDefault="00A9459F" w:rsidP="00E45619">
            <w:r>
              <w:t>Bottle</w:t>
            </w:r>
          </w:p>
        </w:tc>
      </w:tr>
      <w:tr w:rsidR="008E7846" w:rsidRPr="00487162" w14:paraId="18105A05" w14:textId="77777777" w:rsidTr="00BF1190">
        <w:tc>
          <w:tcPr>
            <w:tcW w:w="2907" w:type="dxa"/>
          </w:tcPr>
          <w:p w14:paraId="070584D2" w14:textId="77777777" w:rsidR="008E7846" w:rsidRPr="00487162" w:rsidRDefault="00A9459F" w:rsidP="00E45619">
            <w:pPr>
              <w:rPr>
                <w:i/>
              </w:rPr>
            </w:pPr>
            <w:r>
              <w:rPr>
                <w:i/>
              </w:rPr>
              <w:t>Pack size</w:t>
            </w:r>
            <w:r w:rsidR="008E7846" w:rsidRPr="00487162">
              <w:rPr>
                <w:i/>
              </w:rPr>
              <w:t>:</w:t>
            </w:r>
          </w:p>
        </w:tc>
        <w:tc>
          <w:tcPr>
            <w:tcW w:w="6307" w:type="dxa"/>
          </w:tcPr>
          <w:p w14:paraId="79C51054" w14:textId="064BD362" w:rsidR="008E7846" w:rsidRPr="00487162" w:rsidRDefault="00A9459F" w:rsidP="00E45619">
            <w:r>
              <w:t>4 x 112</w:t>
            </w:r>
            <w:r w:rsidR="005A7379">
              <w:t xml:space="preserve"> capsules</w:t>
            </w:r>
          </w:p>
        </w:tc>
      </w:tr>
      <w:tr w:rsidR="008E7846" w:rsidRPr="00487162" w14:paraId="308317C6" w14:textId="77777777" w:rsidTr="00BF1190">
        <w:tc>
          <w:tcPr>
            <w:tcW w:w="2907" w:type="dxa"/>
          </w:tcPr>
          <w:p w14:paraId="465A3879"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0E355ED0" w14:textId="77777777" w:rsidR="008E7846" w:rsidRPr="008903A9" w:rsidRDefault="008903A9" w:rsidP="0087127E">
            <w:pPr>
              <w:rPr>
                <w:i/>
              </w:rPr>
            </w:pPr>
            <w:r w:rsidRPr="008903A9">
              <w:rPr>
                <w:i/>
              </w:rPr>
              <w:t>Olaparib is indica</w:t>
            </w:r>
            <w:r w:rsidR="0087127E" w:rsidRPr="008903A9">
              <w:rPr>
                <w:i/>
              </w:rPr>
              <w:t xml:space="preserve">ted </w:t>
            </w:r>
            <w:r w:rsidRPr="008903A9">
              <w:rPr>
                <w:i/>
              </w:rPr>
              <w:t>as</w:t>
            </w:r>
            <w:r w:rsidR="0087127E" w:rsidRPr="008903A9">
              <w:rPr>
                <w:i/>
              </w:rPr>
              <w:t xml:space="preserve"> </w:t>
            </w:r>
            <w:r w:rsidRPr="008903A9">
              <w:rPr>
                <w:i/>
              </w:rPr>
              <w:t xml:space="preserve">monotherapy </w:t>
            </w:r>
            <w:r w:rsidR="0087127E" w:rsidRPr="008903A9">
              <w:rPr>
                <w:i/>
              </w:rPr>
              <w:t xml:space="preserve">for the </w:t>
            </w:r>
            <w:r w:rsidRPr="008903A9">
              <w:rPr>
                <w:i/>
              </w:rPr>
              <w:t>maintenance</w:t>
            </w:r>
            <w:r w:rsidR="0087127E" w:rsidRPr="008903A9">
              <w:rPr>
                <w:i/>
              </w:rPr>
              <w:t xml:space="preserve"> </w:t>
            </w:r>
            <w:r w:rsidRPr="008903A9">
              <w:rPr>
                <w:i/>
              </w:rPr>
              <w:t>treatment</w:t>
            </w:r>
            <w:r w:rsidR="0087127E" w:rsidRPr="008903A9">
              <w:rPr>
                <w:i/>
              </w:rPr>
              <w:t xml:space="preserve"> of </w:t>
            </w:r>
            <w:r w:rsidRPr="008903A9">
              <w:rPr>
                <w:i/>
              </w:rPr>
              <w:t>patients</w:t>
            </w:r>
            <w:r w:rsidR="0087127E" w:rsidRPr="008903A9">
              <w:rPr>
                <w:i/>
              </w:rPr>
              <w:t xml:space="preserve"> with </w:t>
            </w:r>
            <w:r w:rsidRPr="008903A9">
              <w:rPr>
                <w:i/>
              </w:rPr>
              <w:t>platinum sensitive relapsed</w:t>
            </w:r>
            <w:r w:rsidR="0087127E" w:rsidRPr="008903A9">
              <w:rPr>
                <w:i/>
              </w:rPr>
              <w:t xml:space="preserve"> BRCA-</w:t>
            </w:r>
            <w:r w:rsidRPr="008903A9">
              <w:rPr>
                <w:i/>
              </w:rPr>
              <w:t>mutated (</w:t>
            </w:r>
            <w:r w:rsidR="0087127E" w:rsidRPr="008903A9">
              <w:rPr>
                <w:i/>
              </w:rPr>
              <w:t>germline or</w:t>
            </w:r>
            <w:r w:rsidRPr="008903A9">
              <w:rPr>
                <w:i/>
              </w:rPr>
              <w:t xml:space="preserve"> somatic</w:t>
            </w:r>
            <w:r w:rsidR="0087127E" w:rsidRPr="008903A9">
              <w:rPr>
                <w:i/>
              </w:rPr>
              <w:t xml:space="preserve">) high </w:t>
            </w:r>
            <w:r w:rsidRPr="008903A9">
              <w:rPr>
                <w:i/>
              </w:rPr>
              <w:t>grade</w:t>
            </w:r>
            <w:r w:rsidR="0087127E" w:rsidRPr="008903A9">
              <w:rPr>
                <w:i/>
              </w:rPr>
              <w:t xml:space="preserve"> serous </w:t>
            </w:r>
            <w:r w:rsidRPr="008903A9">
              <w:rPr>
                <w:i/>
              </w:rPr>
              <w:t>epithelial ovarian, fallopian</w:t>
            </w:r>
            <w:r w:rsidR="0087127E" w:rsidRPr="008903A9">
              <w:rPr>
                <w:i/>
              </w:rPr>
              <w:t xml:space="preserve"> tube or </w:t>
            </w:r>
            <w:r w:rsidRPr="008903A9">
              <w:rPr>
                <w:i/>
              </w:rPr>
              <w:t>primary</w:t>
            </w:r>
            <w:r w:rsidR="0087127E" w:rsidRPr="008903A9">
              <w:rPr>
                <w:i/>
              </w:rPr>
              <w:t xml:space="preserve"> </w:t>
            </w:r>
            <w:r w:rsidRPr="008903A9">
              <w:rPr>
                <w:i/>
              </w:rPr>
              <w:t>peritoneal cancer who a</w:t>
            </w:r>
            <w:r w:rsidR="0087127E" w:rsidRPr="008903A9">
              <w:rPr>
                <w:i/>
              </w:rPr>
              <w:t xml:space="preserve">re in response (complete response or </w:t>
            </w:r>
            <w:r w:rsidRPr="008903A9">
              <w:rPr>
                <w:i/>
              </w:rPr>
              <w:t xml:space="preserve">partial </w:t>
            </w:r>
            <w:r w:rsidR="0087127E" w:rsidRPr="008903A9">
              <w:rPr>
                <w:i/>
              </w:rPr>
              <w:t>response</w:t>
            </w:r>
            <w:r w:rsidRPr="008903A9">
              <w:rPr>
                <w:i/>
              </w:rPr>
              <w:t xml:space="preserve">) after </w:t>
            </w:r>
            <w:r w:rsidR="007607D4">
              <w:rPr>
                <w:i/>
              </w:rPr>
              <w:t>platinum based</w:t>
            </w:r>
            <w:r w:rsidR="0087127E" w:rsidRPr="008903A9">
              <w:rPr>
                <w:i/>
              </w:rPr>
              <w:t xml:space="preserve"> chemotherapy. Prior </w:t>
            </w:r>
            <w:r w:rsidRPr="008903A9">
              <w:rPr>
                <w:i/>
              </w:rPr>
              <w:t>treatment must have included a</w:t>
            </w:r>
            <w:r w:rsidR="0087127E" w:rsidRPr="008903A9">
              <w:rPr>
                <w:i/>
              </w:rPr>
              <w:t>t</w:t>
            </w:r>
            <w:r w:rsidRPr="008903A9">
              <w:rPr>
                <w:i/>
              </w:rPr>
              <w:t xml:space="preserve"> least 2 </w:t>
            </w:r>
            <w:r w:rsidR="0087127E" w:rsidRPr="008903A9">
              <w:rPr>
                <w:i/>
              </w:rPr>
              <w:t xml:space="preserve">courses of </w:t>
            </w:r>
            <w:r w:rsidR="007607D4">
              <w:rPr>
                <w:i/>
              </w:rPr>
              <w:t>platinum based</w:t>
            </w:r>
            <w:r w:rsidRPr="008903A9">
              <w:rPr>
                <w:i/>
              </w:rPr>
              <w:t xml:space="preserve"> reg</w:t>
            </w:r>
            <w:r w:rsidR="0087127E" w:rsidRPr="008903A9">
              <w:rPr>
                <w:i/>
              </w:rPr>
              <w:t>imens</w:t>
            </w:r>
            <w:r w:rsidRPr="008903A9">
              <w:rPr>
                <w:i/>
              </w:rPr>
              <w:t>.</w:t>
            </w:r>
          </w:p>
        </w:tc>
      </w:tr>
      <w:tr w:rsidR="008E7846" w:rsidRPr="00487162" w14:paraId="7C70777C" w14:textId="77777777" w:rsidTr="00BF1190">
        <w:tc>
          <w:tcPr>
            <w:tcW w:w="2907" w:type="dxa"/>
          </w:tcPr>
          <w:p w14:paraId="3033C1F9" w14:textId="77777777" w:rsidR="008E7846" w:rsidRPr="00487162" w:rsidRDefault="00A9459F" w:rsidP="00E45619">
            <w:pPr>
              <w:rPr>
                <w:i/>
              </w:rPr>
            </w:pPr>
            <w:r>
              <w:rPr>
                <w:i/>
              </w:rPr>
              <w:t>Route</w:t>
            </w:r>
            <w:r w:rsidR="008E7846" w:rsidRPr="00487162">
              <w:rPr>
                <w:i/>
              </w:rPr>
              <w:t xml:space="preserve"> of administration:</w:t>
            </w:r>
          </w:p>
        </w:tc>
        <w:tc>
          <w:tcPr>
            <w:tcW w:w="6307" w:type="dxa"/>
          </w:tcPr>
          <w:p w14:paraId="4CA54C64" w14:textId="0D3DCE73" w:rsidR="008E7846" w:rsidRPr="00487162" w:rsidRDefault="005A7379" w:rsidP="00E45619">
            <w:r>
              <w:t>Oral</w:t>
            </w:r>
          </w:p>
        </w:tc>
      </w:tr>
      <w:tr w:rsidR="008E7846" w:rsidRPr="00487162" w14:paraId="42E95586" w14:textId="77777777" w:rsidTr="00BF1190">
        <w:tc>
          <w:tcPr>
            <w:tcW w:w="2907" w:type="dxa"/>
          </w:tcPr>
          <w:p w14:paraId="01A4C41D" w14:textId="77777777" w:rsidR="008E7846" w:rsidRPr="00487162" w:rsidRDefault="008E7846" w:rsidP="00E45619">
            <w:pPr>
              <w:rPr>
                <w:i/>
              </w:rPr>
            </w:pPr>
            <w:r w:rsidRPr="00487162">
              <w:rPr>
                <w:i/>
              </w:rPr>
              <w:t>Dosage:</w:t>
            </w:r>
          </w:p>
        </w:tc>
        <w:tc>
          <w:tcPr>
            <w:tcW w:w="6307" w:type="dxa"/>
          </w:tcPr>
          <w:p w14:paraId="29044DF3" w14:textId="77777777" w:rsidR="00570669" w:rsidRDefault="00570669" w:rsidP="00570669">
            <w:r w:rsidRPr="00570669">
              <w:t xml:space="preserve">Treatment with </w:t>
            </w:r>
            <w:r w:rsidR="002B698E">
              <w:t>Lynparza</w:t>
            </w:r>
            <w:r w:rsidRPr="00570669">
              <w:t xml:space="preserve"> should be initiated and supervise</w:t>
            </w:r>
            <w:r>
              <w:t xml:space="preserve">d by a physician experienced in </w:t>
            </w:r>
            <w:r w:rsidRPr="00570669">
              <w:t>the use of anticancer medicinal products.</w:t>
            </w:r>
          </w:p>
          <w:p w14:paraId="252F2CB6" w14:textId="77777777" w:rsidR="008E7846" w:rsidRDefault="00570669" w:rsidP="00570669">
            <w:r w:rsidRPr="00570669">
              <w:t xml:space="preserve">The recommended dose of </w:t>
            </w:r>
            <w:r w:rsidR="002B698E">
              <w:t>Lynparza</w:t>
            </w:r>
            <w:r w:rsidRPr="00570669">
              <w:t xml:space="preserve"> is 400 mg (eight 50 mg capsules) taken twice daily, equivalent to a total daily dose of 800 mg.</w:t>
            </w:r>
          </w:p>
          <w:p w14:paraId="1DD30166" w14:textId="0203F59B" w:rsidR="00570669" w:rsidRPr="00570669" w:rsidRDefault="00570669" w:rsidP="00570669">
            <w:r>
              <w:t>Please see the Product Information</w:t>
            </w:r>
            <w:r w:rsidR="005A7379">
              <w:t xml:space="preserve"> (PI)</w:t>
            </w:r>
            <w:r>
              <w:t xml:space="preserve"> for further details.</w:t>
            </w:r>
          </w:p>
        </w:tc>
      </w:tr>
    </w:tbl>
    <w:p w14:paraId="0C82BF00" w14:textId="77777777" w:rsidR="008E7846" w:rsidRDefault="008E7846" w:rsidP="00541721">
      <w:pPr>
        <w:pStyle w:val="Heading3"/>
        <w:pageBreakBefore/>
      </w:pPr>
      <w:bookmarkStart w:id="13" w:name="_Toc247691503"/>
      <w:bookmarkStart w:id="14" w:name="_Toc314842484"/>
      <w:bookmarkStart w:id="15" w:name="_Toc8053801"/>
      <w:r>
        <w:lastRenderedPageBreak/>
        <w:t>Product background</w:t>
      </w:r>
      <w:bookmarkEnd w:id="13"/>
      <w:bookmarkEnd w:id="14"/>
      <w:bookmarkEnd w:id="15"/>
    </w:p>
    <w:p w14:paraId="0EE61F8C" w14:textId="77777777" w:rsidR="00D1252E" w:rsidRDefault="00940A89" w:rsidP="00940A89">
      <w:r w:rsidRPr="00940A89">
        <w:t xml:space="preserve">This AusPAR describes the application by </w:t>
      </w:r>
      <w:r w:rsidR="00D1252E">
        <w:t>AstraZeneca Pty</w:t>
      </w:r>
      <w:r w:rsidR="00D1252E" w:rsidRPr="00940A89">
        <w:t xml:space="preserve"> </w:t>
      </w:r>
      <w:r w:rsidR="00D1252E">
        <w:t>Ltd (</w:t>
      </w:r>
      <w:r w:rsidRPr="00940A89">
        <w:t>the sponsor</w:t>
      </w:r>
      <w:r w:rsidR="00D1252E">
        <w:t>)</w:t>
      </w:r>
      <w:r w:rsidRPr="00940A89">
        <w:t xml:space="preserve"> to register </w:t>
      </w:r>
      <w:r w:rsidR="002B698E">
        <w:t>Lynparza</w:t>
      </w:r>
      <w:r w:rsidR="00D1252E" w:rsidRPr="00940A89">
        <w:t xml:space="preserve"> </w:t>
      </w:r>
      <w:r w:rsidR="00D1252E">
        <w:t>olaparib</w:t>
      </w:r>
      <w:r w:rsidR="00D1252E" w:rsidRPr="00940A89">
        <w:t xml:space="preserve"> </w:t>
      </w:r>
      <w:r w:rsidR="00D1252E">
        <w:t>50 mg</w:t>
      </w:r>
      <w:r w:rsidR="00D1252E" w:rsidRPr="00940A89">
        <w:t xml:space="preserve"> </w:t>
      </w:r>
      <w:r w:rsidR="00D1252E">
        <w:t>capsule</w:t>
      </w:r>
      <w:r w:rsidR="00D1252E" w:rsidRPr="00940A89">
        <w:t xml:space="preserve"> </w:t>
      </w:r>
      <w:r w:rsidRPr="00940A89">
        <w:t>f</w:t>
      </w:r>
      <w:r w:rsidR="005D64FB">
        <w:t>or the following indication</w:t>
      </w:r>
    </w:p>
    <w:p w14:paraId="2D54E858" w14:textId="77777777" w:rsidR="008E7846" w:rsidRPr="00D1252E" w:rsidRDefault="002B698E" w:rsidP="00D1252E">
      <w:pPr>
        <w:ind w:left="720"/>
        <w:rPr>
          <w:i/>
        </w:rPr>
      </w:pPr>
      <w:r>
        <w:rPr>
          <w:i/>
        </w:rPr>
        <w:t>Lynparza</w:t>
      </w:r>
      <w:r w:rsidR="00D1252E" w:rsidRPr="00D1252E">
        <w:rPr>
          <w:i/>
        </w:rPr>
        <w:t xml:space="preserve"> is indicated as monotherapy for the maintenance treatment of adult patients with platinum-sensitive relapsed BRCA-mutated high grade serous ovarian cancer (including fallopian tube or primary peritoneal) who are in response (complete response or partial response) to </w:t>
      </w:r>
      <w:r w:rsidR="007607D4">
        <w:rPr>
          <w:i/>
        </w:rPr>
        <w:t>platinum based</w:t>
      </w:r>
      <w:r w:rsidR="00D1252E" w:rsidRPr="00D1252E">
        <w:rPr>
          <w:i/>
        </w:rPr>
        <w:t xml:space="preserve"> chemotherapy.</w:t>
      </w:r>
    </w:p>
    <w:p w14:paraId="2D62516F" w14:textId="6CF1DDEC" w:rsidR="00D1252E" w:rsidRDefault="005D64FB" w:rsidP="00940A89">
      <w:proofErr w:type="spellStart"/>
      <w:r w:rsidRPr="00541721">
        <w:t>Olaparib</w:t>
      </w:r>
      <w:proofErr w:type="spellEnd"/>
      <w:r w:rsidRPr="00541721">
        <w:t xml:space="preserve"> is a potent inhibitor of </w:t>
      </w:r>
      <w:proofErr w:type="spellStart"/>
      <w:r w:rsidRPr="00541721">
        <w:t>polyadenosine</w:t>
      </w:r>
      <w:proofErr w:type="spellEnd"/>
      <w:r w:rsidRPr="00541721">
        <w:t xml:space="preserve"> 5’diphosphoribose polymerase (PARP)</w:t>
      </w:r>
      <w:r w:rsidRPr="009012D9">
        <w:t xml:space="preserve"> which exploits deficiencies in DNA repair mechanisms (</w:t>
      </w:r>
      <w:r w:rsidR="00AA60FE">
        <w:t>for example</w:t>
      </w:r>
      <w:r w:rsidR="005A7379">
        <w:t>,</w:t>
      </w:r>
      <w:r>
        <w:t xml:space="preserve"> </w:t>
      </w:r>
      <w:r w:rsidR="008C6418">
        <w:t>breast cancer susceptibility gene (</w:t>
      </w:r>
      <w:r w:rsidRPr="009012D9">
        <w:t>BRCA</w:t>
      </w:r>
      <w:r w:rsidR="008C6418">
        <w:t>)</w:t>
      </w:r>
      <w:r w:rsidRPr="009012D9">
        <w:t xml:space="preserve"> mutation), to preferentially kill cancer cells.</w:t>
      </w:r>
      <w:r>
        <w:t xml:space="preserve"> </w:t>
      </w:r>
      <w:r w:rsidRPr="009012D9">
        <w:t>Mutations in the BRCA genes are prevalent in high-grade serous ovarian cancer</w:t>
      </w:r>
      <w:r>
        <w:t>.</w:t>
      </w:r>
    </w:p>
    <w:p w14:paraId="2FDAE485" w14:textId="1725B6B8" w:rsidR="005D43E1" w:rsidRDefault="005D43E1" w:rsidP="005D43E1">
      <w:r w:rsidRPr="00875AB5">
        <w:t>Ovarian cancer patients with a BRCA1 or BRCA2 mutation represent a selected patient group whose tumours have a defective homologous recombination DNA repair pathway (HRD) that can be targeted by the PARP inhibitor olaparib. Olaparib increases the amount of DNA damage in a cell by inhibiting PARP repair enzymes. Tumour cells with non</w:t>
      </w:r>
      <w:r w:rsidR="005A7379">
        <w:noBreakHyphen/>
      </w:r>
      <w:r w:rsidRPr="00875AB5">
        <w:t>functioning BRCA proteins cannot effectively repair the DNA damage resulting from PARP inhibition by olaparib, whilst non-tumour cells in patients with BRCA mutated cancers produce normal, functional BRCA proteins and can repair DNA damage effectively and efficiently. This targeting of olaparib in BRCA mutated tumour cells over normal cells leads to a therapeutic window and favourab</w:t>
      </w:r>
      <w:r>
        <w:t>le benefit-</w:t>
      </w:r>
      <w:r w:rsidRPr="00875AB5">
        <w:t>risk for olaparib</w:t>
      </w:r>
      <w:r>
        <w:t>.</w:t>
      </w:r>
    </w:p>
    <w:p w14:paraId="7B7D89F2" w14:textId="77777777" w:rsidR="00012622" w:rsidRPr="00F243CB" w:rsidRDefault="00012622" w:rsidP="00012622">
      <w:pPr>
        <w:pStyle w:val="Heading4"/>
      </w:pPr>
      <w:bookmarkStart w:id="16" w:name="_Toc272414607"/>
      <w:bookmarkStart w:id="17" w:name="_Toc290888455"/>
      <w:bookmarkStart w:id="18" w:name="_Toc522177132"/>
      <w:r w:rsidRPr="00F243CB">
        <w:t>Orphan drug designation</w:t>
      </w:r>
      <w:bookmarkEnd w:id="16"/>
      <w:bookmarkEnd w:id="17"/>
      <w:bookmarkEnd w:id="18"/>
    </w:p>
    <w:p w14:paraId="1A21FBA2" w14:textId="7DCDC98B" w:rsidR="00012622" w:rsidRPr="00F243CB" w:rsidRDefault="00012622" w:rsidP="00012622">
      <w:r w:rsidRPr="00A5248F">
        <w:t>Application PM-2013-03913-1</w:t>
      </w:r>
      <w:r w:rsidR="005A7379">
        <w:t>:</w:t>
      </w:r>
      <w:r>
        <w:t xml:space="preserve"> </w:t>
      </w:r>
      <w:r w:rsidRPr="00F243CB">
        <w:t xml:space="preserve">Orphan drug designation as monotherapy for the maintenance treatment of adult patients with </w:t>
      </w:r>
      <w:r>
        <w:t xml:space="preserve">platinum sensitive relapse BRCA </w:t>
      </w:r>
      <w:r w:rsidRPr="00F243CB">
        <w:t xml:space="preserve">mutated ovarian, fallopian tube or primary peritoneal cancer </w:t>
      </w:r>
      <w:proofErr w:type="gramStart"/>
      <w:r w:rsidRPr="00F243CB">
        <w:t>who</w:t>
      </w:r>
      <w:proofErr w:type="gramEnd"/>
      <w:r w:rsidRPr="00F243CB">
        <w:t xml:space="preserve"> are in response to </w:t>
      </w:r>
      <w:r>
        <w:t>platinum based</w:t>
      </w:r>
      <w:r w:rsidRPr="00F243CB">
        <w:t xml:space="preserve"> chemotherapy.</w:t>
      </w:r>
    </w:p>
    <w:p w14:paraId="24BF2CED" w14:textId="77777777" w:rsidR="00012622" w:rsidRDefault="00012622" w:rsidP="00940A89">
      <w:r w:rsidRPr="00F243CB">
        <w:t>The current TGA submission is synonymous with the orphan drug indication.</w:t>
      </w:r>
    </w:p>
    <w:p w14:paraId="552B46FB" w14:textId="77777777" w:rsidR="008E7846" w:rsidRPr="003F31A2" w:rsidRDefault="00386150" w:rsidP="008E7846">
      <w:pPr>
        <w:pStyle w:val="Heading3"/>
      </w:pPr>
      <w:bookmarkStart w:id="19" w:name="_Toc314842485"/>
      <w:bookmarkStart w:id="20" w:name="_Toc247691504"/>
      <w:bookmarkStart w:id="21" w:name="_Toc8053802"/>
      <w:r>
        <w:t>Regulatory s</w:t>
      </w:r>
      <w:r w:rsidR="008E7846">
        <w:t>tatus</w:t>
      </w:r>
      <w:bookmarkEnd w:id="19"/>
      <w:bookmarkEnd w:id="20"/>
      <w:bookmarkEnd w:id="21"/>
    </w:p>
    <w:p w14:paraId="784EDE93" w14:textId="77777777" w:rsidR="00940A89" w:rsidRPr="00940A89" w:rsidRDefault="00940A89" w:rsidP="00940A89">
      <w:bookmarkStart w:id="22" w:name="_Toc247691505"/>
      <w:bookmarkStart w:id="23" w:name="_Toc314842486"/>
      <w:r w:rsidRPr="00940A89">
        <w:t>The product received initial registration on the Australian Register of Therapeutic Goods (ARTG) on</w:t>
      </w:r>
      <w:r w:rsidR="00D1252E">
        <w:t xml:space="preserve"> 7 January 2016.</w:t>
      </w:r>
    </w:p>
    <w:p w14:paraId="04BDB3FA" w14:textId="77777777" w:rsidR="00940A89" w:rsidRDefault="00940A89" w:rsidP="00940A89">
      <w:r w:rsidRPr="00940A89">
        <w:t xml:space="preserve">At the time the TGA considered this </w:t>
      </w:r>
      <w:r w:rsidR="00121EAE" w:rsidRPr="00940A89">
        <w:t>application;</w:t>
      </w:r>
      <w:r w:rsidRPr="00940A89">
        <w:t xml:space="preserve"> a similar application had been approved in (country, date) </w:t>
      </w:r>
      <w:r w:rsidR="00235934">
        <w:t xml:space="preserve">or </w:t>
      </w:r>
      <w:r w:rsidRPr="00940A89">
        <w:t>was under co</w:t>
      </w:r>
      <w:r>
        <w:t>nsideration in (country date)</w:t>
      </w:r>
      <w:r w:rsidR="00235934">
        <w:t xml:space="preserve"> as outlined in Table 1</w:t>
      </w:r>
      <w:r>
        <w:t>.</w:t>
      </w:r>
    </w:p>
    <w:p w14:paraId="7CAE39FC" w14:textId="77777777" w:rsidR="00235934" w:rsidRDefault="00235934" w:rsidP="00235934">
      <w:pPr>
        <w:pStyle w:val="TableTitle"/>
      </w:pPr>
      <w:r>
        <w:t>Table 1: International regulatory status</w:t>
      </w:r>
    </w:p>
    <w:tbl>
      <w:tblPr>
        <w:tblStyle w:val="TableTGAblue"/>
        <w:tblW w:w="0" w:type="auto"/>
        <w:tblLook w:val="04A0" w:firstRow="1" w:lastRow="0" w:firstColumn="1" w:lastColumn="0" w:noHBand="0" w:noVBand="1"/>
      </w:tblPr>
      <w:tblGrid>
        <w:gridCol w:w="1809"/>
        <w:gridCol w:w="2694"/>
        <w:gridCol w:w="4217"/>
      </w:tblGrid>
      <w:tr w:rsidR="00235934" w:rsidRPr="00235934" w14:paraId="4D4E8C54" w14:textId="77777777" w:rsidTr="00541721">
        <w:trPr>
          <w:cnfStyle w:val="100000000000" w:firstRow="1" w:lastRow="0" w:firstColumn="0" w:lastColumn="0" w:oddVBand="0" w:evenVBand="0" w:oddHBand="0" w:evenHBand="0" w:firstRowFirstColumn="0" w:firstRowLastColumn="0" w:lastRowFirstColumn="0" w:lastRowLastColumn="0"/>
        </w:trPr>
        <w:tc>
          <w:tcPr>
            <w:tcW w:w="1809" w:type="dxa"/>
          </w:tcPr>
          <w:p w14:paraId="42F37348" w14:textId="77777777" w:rsidR="00235934" w:rsidRPr="00235934" w:rsidRDefault="00235934" w:rsidP="00235934">
            <w:pPr>
              <w:rPr>
                <w:sz w:val="20"/>
                <w:szCs w:val="20"/>
              </w:rPr>
            </w:pPr>
            <w:r w:rsidRPr="00235934">
              <w:rPr>
                <w:sz w:val="20"/>
                <w:szCs w:val="20"/>
              </w:rPr>
              <w:t>Country</w:t>
            </w:r>
          </w:p>
        </w:tc>
        <w:tc>
          <w:tcPr>
            <w:tcW w:w="2694" w:type="dxa"/>
          </w:tcPr>
          <w:p w14:paraId="109A5904" w14:textId="77777777" w:rsidR="00235934" w:rsidRPr="00235934" w:rsidRDefault="00235934" w:rsidP="00235934">
            <w:pPr>
              <w:rPr>
                <w:sz w:val="20"/>
                <w:szCs w:val="20"/>
              </w:rPr>
            </w:pPr>
            <w:r w:rsidRPr="00235934">
              <w:rPr>
                <w:sz w:val="20"/>
                <w:szCs w:val="20"/>
              </w:rPr>
              <w:t>Submission /approval date</w:t>
            </w:r>
          </w:p>
        </w:tc>
        <w:tc>
          <w:tcPr>
            <w:tcW w:w="4217" w:type="dxa"/>
          </w:tcPr>
          <w:p w14:paraId="0C55A95A" w14:textId="77777777" w:rsidR="00235934" w:rsidRPr="00235934" w:rsidRDefault="00235934" w:rsidP="00235934">
            <w:pPr>
              <w:rPr>
                <w:sz w:val="20"/>
                <w:szCs w:val="20"/>
              </w:rPr>
            </w:pPr>
            <w:r w:rsidRPr="00235934">
              <w:rPr>
                <w:sz w:val="20"/>
                <w:szCs w:val="20"/>
              </w:rPr>
              <w:t>Indication</w:t>
            </w:r>
          </w:p>
        </w:tc>
      </w:tr>
      <w:tr w:rsidR="00235934" w:rsidRPr="00235934" w14:paraId="28DD8614" w14:textId="77777777" w:rsidTr="00541721">
        <w:tc>
          <w:tcPr>
            <w:tcW w:w="1809" w:type="dxa"/>
          </w:tcPr>
          <w:p w14:paraId="596A59EA" w14:textId="77777777" w:rsidR="00235934" w:rsidRPr="00235934" w:rsidRDefault="00235934" w:rsidP="00235934">
            <w:pPr>
              <w:rPr>
                <w:sz w:val="20"/>
                <w:szCs w:val="20"/>
              </w:rPr>
            </w:pPr>
            <w:r w:rsidRPr="00235934">
              <w:rPr>
                <w:sz w:val="20"/>
                <w:szCs w:val="20"/>
              </w:rPr>
              <w:t>European Union</w:t>
            </w:r>
          </w:p>
        </w:tc>
        <w:tc>
          <w:tcPr>
            <w:tcW w:w="2694" w:type="dxa"/>
          </w:tcPr>
          <w:p w14:paraId="60085952" w14:textId="5AB9D5BA" w:rsidR="00235934" w:rsidRPr="00235934" w:rsidRDefault="00235934" w:rsidP="00235934">
            <w:pPr>
              <w:rPr>
                <w:sz w:val="20"/>
                <w:szCs w:val="20"/>
              </w:rPr>
            </w:pPr>
            <w:r w:rsidRPr="00235934">
              <w:rPr>
                <w:sz w:val="20"/>
                <w:szCs w:val="20"/>
              </w:rPr>
              <w:t xml:space="preserve">3 </w:t>
            </w:r>
            <w:r>
              <w:rPr>
                <w:sz w:val="20"/>
                <w:szCs w:val="20"/>
              </w:rPr>
              <w:t>S</w:t>
            </w:r>
            <w:r w:rsidRPr="00235934">
              <w:rPr>
                <w:sz w:val="20"/>
                <w:szCs w:val="20"/>
              </w:rPr>
              <w:t>ep</w:t>
            </w:r>
            <w:r>
              <w:rPr>
                <w:sz w:val="20"/>
                <w:szCs w:val="20"/>
              </w:rPr>
              <w:t>tember</w:t>
            </w:r>
            <w:r w:rsidRPr="00235934">
              <w:rPr>
                <w:sz w:val="20"/>
                <w:szCs w:val="20"/>
              </w:rPr>
              <w:t xml:space="preserve"> 2013/ </w:t>
            </w:r>
            <w:r w:rsidR="00996E08">
              <w:rPr>
                <w:sz w:val="20"/>
                <w:szCs w:val="20"/>
              </w:rPr>
              <w:t>16 </w:t>
            </w:r>
            <w:r w:rsidRPr="00235934">
              <w:rPr>
                <w:sz w:val="20"/>
                <w:szCs w:val="20"/>
              </w:rPr>
              <w:t>D</w:t>
            </w:r>
            <w:r>
              <w:rPr>
                <w:sz w:val="20"/>
                <w:szCs w:val="20"/>
              </w:rPr>
              <w:t>ecember</w:t>
            </w:r>
            <w:r w:rsidRPr="00235934">
              <w:rPr>
                <w:sz w:val="20"/>
                <w:szCs w:val="20"/>
              </w:rPr>
              <w:t xml:space="preserve"> 2014</w:t>
            </w:r>
          </w:p>
        </w:tc>
        <w:tc>
          <w:tcPr>
            <w:tcW w:w="4217" w:type="dxa"/>
          </w:tcPr>
          <w:p w14:paraId="3B578D89" w14:textId="77777777" w:rsidR="00235934" w:rsidRPr="00235934" w:rsidRDefault="002B698E" w:rsidP="00235934">
            <w:pPr>
              <w:rPr>
                <w:sz w:val="20"/>
                <w:szCs w:val="20"/>
              </w:rPr>
            </w:pPr>
            <w:r>
              <w:rPr>
                <w:sz w:val="20"/>
                <w:szCs w:val="20"/>
              </w:rPr>
              <w:t>Lynparza</w:t>
            </w:r>
            <w:r w:rsidR="00235934" w:rsidRPr="00235934">
              <w:rPr>
                <w:sz w:val="20"/>
                <w:szCs w:val="20"/>
              </w:rPr>
              <w:t xml:space="preserve"> </w:t>
            </w:r>
            <w:r w:rsidR="00235934">
              <w:rPr>
                <w:sz w:val="20"/>
                <w:szCs w:val="20"/>
              </w:rPr>
              <w:t xml:space="preserve">is indicated as monotherapy for </w:t>
            </w:r>
            <w:r w:rsidR="00235934" w:rsidRPr="00235934">
              <w:rPr>
                <w:sz w:val="20"/>
                <w:szCs w:val="20"/>
              </w:rPr>
              <w:t>the maintena</w:t>
            </w:r>
            <w:r w:rsidR="00235934">
              <w:rPr>
                <w:sz w:val="20"/>
                <w:szCs w:val="20"/>
              </w:rPr>
              <w:t xml:space="preserve">nce treatment of adult patients </w:t>
            </w:r>
            <w:r w:rsidR="00235934" w:rsidRPr="00235934">
              <w:rPr>
                <w:sz w:val="20"/>
                <w:szCs w:val="20"/>
              </w:rPr>
              <w:t>with platinum-sensitive relapsed BRCA</w:t>
            </w:r>
            <w:r w:rsidR="00235934">
              <w:rPr>
                <w:sz w:val="20"/>
                <w:szCs w:val="20"/>
              </w:rPr>
              <w:t xml:space="preserve"> mutated (germline and/or somatic) high </w:t>
            </w:r>
            <w:r w:rsidR="00235934" w:rsidRPr="00235934">
              <w:rPr>
                <w:sz w:val="20"/>
                <w:szCs w:val="20"/>
              </w:rPr>
              <w:t>grade serous epithelial ovaria</w:t>
            </w:r>
            <w:r w:rsidR="00235934">
              <w:rPr>
                <w:sz w:val="20"/>
                <w:szCs w:val="20"/>
              </w:rPr>
              <w:t xml:space="preserve">n, fallopian </w:t>
            </w:r>
            <w:r w:rsidR="00235934" w:rsidRPr="00235934">
              <w:rPr>
                <w:sz w:val="20"/>
                <w:szCs w:val="20"/>
              </w:rPr>
              <w:t>tube, or pr</w:t>
            </w:r>
            <w:r w:rsidR="00235934">
              <w:rPr>
                <w:sz w:val="20"/>
                <w:szCs w:val="20"/>
              </w:rPr>
              <w:t xml:space="preserve">imary peritoneal cancer who are </w:t>
            </w:r>
            <w:r w:rsidR="00235934" w:rsidRPr="00235934">
              <w:rPr>
                <w:sz w:val="20"/>
                <w:szCs w:val="20"/>
              </w:rPr>
              <w:t>in respons</w:t>
            </w:r>
            <w:r w:rsidR="00235934">
              <w:rPr>
                <w:sz w:val="20"/>
                <w:szCs w:val="20"/>
              </w:rPr>
              <w:t xml:space="preserve">e (complete response or partial </w:t>
            </w:r>
            <w:r w:rsidR="00235934" w:rsidRPr="00235934">
              <w:rPr>
                <w:sz w:val="20"/>
                <w:szCs w:val="20"/>
              </w:rPr>
              <w:t xml:space="preserve">response) to </w:t>
            </w:r>
            <w:r w:rsidR="007607D4">
              <w:rPr>
                <w:sz w:val="20"/>
                <w:szCs w:val="20"/>
              </w:rPr>
              <w:t>platinum based</w:t>
            </w:r>
            <w:r w:rsidR="00235934" w:rsidRPr="00235934">
              <w:rPr>
                <w:sz w:val="20"/>
                <w:szCs w:val="20"/>
              </w:rPr>
              <w:t xml:space="preserve"> chemotherapy.</w:t>
            </w:r>
          </w:p>
        </w:tc>
      </w:tr>
      <w:tr w:rsidR="00235934" w:rsidRPr="00235934" w14:paraId="4FCDC8F4" w14:textId="77777777" w:rsidTr="00541721">
        <w:tc>
          <w:tcPr>
            <w:tcW w:w="1809" w:type="dxa"/>
          </w:tcPr>
          <w:p w14:paraId="556D87C7" w14:textId="77777777" w:rsidR="00235934" w:rsidRPr="00235934" w:rsidRDefault="00235934" w:rsidP="00235934">
            <w:pPr>
              <w:rPr>
                <w:sz w:val="20"/>
                <w:szCs w:val="20"/>
              </w:rPr>
            </w:pPr>
            <w:r w:rsidRPr="00235934">
              <w:rPr>
                <w:sz w:val="20"/>
                <w:szCs w:val="20"/>
              </w:rPr>
              <w:lastRenderedPageBreak/>
              <w:t>Switzerland</w:t>
            </w:r>
          </w:p>
        </w:tc>
        <w:tc>
          <w:tcPr>
            <w:tcW w:w="2694" w:type="dxa"/>
          </w:tcPr>
          <w:p w14:paraId="65FEC751" w14:textId="77777777" w:rsidR="00235934" w:rsidRPr="00235934" w:rsidRDefault="00235934" w:rsidP="00996E08">
            <w:pPr>
              <w:rPr>
                <w:sz w:val="20"/>
                <w:szCs w:val="20"/>
              </w:rPr>
            </w:pPr>
            <w:r w:rsidRPr="00235934">
              <w:rPr>
                <w:sz w:val="20"/>
                <w:szCs w:val="20"/>
              </w:rPr>
              <w:t>16 O</w:t>
            </w:r>
            <w:r w:rsidR="00996E08">
              <w:rPr>
                <w:sz w:val="20"/>
                <w:szCs w:val="20"/>
              </w:rPr>
              <w:t>ctober</w:t>
            </w:r>
            <w:r w:rsidRPr="00235934">
              <w:rPr>
                <w:sz w:val="20"/>
                <w:szCs w:val="20"/>
              </w:rPr>
              <w:t xml:space="preserve"> 2014/Not yet approved</w:t>
            </w:r>
          </w:p>
        </w:tc>
        <w:tc>
          <w:tcPr>
            <w:tcW w:w="4217" w:type="dxa"/>
          </w:tcPr>
          <w:p w14:paraId="7A314916" w14:textId="77777777" w:rsidR="00235934" w:rsidRPr="00235934" w:rsidRDefault="00235934" w:rsidP="00235934">
            <w:pPr>
              <w:rPr>
                <w:sz w:val="20"/>
                <w:szCs w:val="20"/>
              </w:rPr>
            </w:pPr>
          </w:p>
        </w:tc>
      </w:tr>
      <w:tr w:rsidR="00235934" w:rsidRPr="00235934" w14:paraId="2FF6FC22" w14:textId="77777777" w:rsidTr="00541721">
        <w:tc>
          <w:tcPr>
            <w:tcW w:w="1809" w:type="dxa"/>
          </w:tcPr>
          <w:p w14:paraId="24A30B23" w14:textId="77777777" w:rsidR="00235934" w:rsidRPr="00235934" w:rsidRDefault="00235934" w:rsidP="00235934">
            <w:pPr>
              <w:rPr>
                <w:sz w:val="20"/>
                <w:szCs w:val="20"/>
              </w:rPr>
            </w:pPr>
            <w:r w:rsidRPr="00235934">
              <w:rPr>
                <w:sz w:val="20"/>
                <w:szCs w:val="20"/>
              </w:rPr>
              <w:t>United States</w:t>
            </w:r>
          </w:p>
        </w:tc>
        <w:tc>
          <w:tcPr>
            <w:tcW w:w="2694" w:type="dxa"/>
          </w:tcPr>
          <w:p w14:paraId="1DEF1708" w14:textId="2649208E" w:rsidR="00235934" w:rsidRPr="00235934" w:rsidRDefault="00235934" w:rsidP="00996E08">
            <w:pPr>
              <w:rPr>
                <w:sz w:val="20"/>
                <w:szCs w:val="20"/>
              </w:rPr>
            </w:pPr>
            <w:r w:rsidRPr="00235934">
              <w:rPr>
                <w:sz w:val="20"/>
                <w:szCs w:val="20"/>
              </w:rPr>
              <w:t>3 F</w:t>
            </w:r>
            <w:r w:rsidR="00996E08">
              <w:rPr>
                <w:sz w:val="20"/>
                <w:szCs w:val="20"/>
              </w:rPr>
              <w:t>ebruary</w:t>
            </w:r>
            <w:r w:rsidRPr="00235934">
              <w:rPr>
                <w:sz w:val="20"/>
                <w:szCs w:val="20"/>
              </w:rPr>
              <w:t xml:space="preserve"> 2014/ </w:t>
            </w:r>
            <w:r w:rsidR="00996E08">
              <w:rPr>
                <w:sz w:val="20"/>
                <w:szCs w:val="20"/>
              </w:rPr>
              <w:t>19 </w:t>
            </w:r>
            <w:r w:rsidRPr="00235934">
              <w:rPr>
                <w:sz w:val="20"/>
                <w:szCs w:val="20"/>
              </w:rPr>
              <w:t>D</w:t>
            </w:r>
            <w:r w:rsidR="00996E08">
              <w:rPr>
                <w:sz w:val="20"/>
                <w:szCs w:val="20"/>
              </w:rPr>
              <w:t>ecember</w:t>
            </w:r>
            <w:r w:rsidRPr="00235934">
              <w:rPr>
                <w:sz w:val="20"/>
                <w:szCs w:val="20"/>
              </w:rPr>
              <w:t xml:space="preserve"> 2014</w:t>
            </w:r>
          </w:p>
        </w:tc>
        <w:tc>
          <w:tcPr>
            <w:tcW w:w="4217" w:type="dxa"/>
          </w:tcPr>
          <w:p w14:paraId="78535529" w14:textId="77777777" w:rsidR="00235934" w:rsidRPr="00235934" w:rsidRDefault="002B698E" w:rsidP="00996E08">
            <w:pPr>
              <w:rPr>
                <w:sz w:val="20"/>
                <w:szCs w:val="20"/>
              </w:rPr>
            </w:pPr>
            <w:r>
              <w:rPr>
                <w:sz w:val="20"/>
                <w:szCs w:val="20"/>
              </w:rPr>
              <w:t>Lynparza</w:t>
            </w:r>
            <w:r w:rsidR="00235934" w:rsidRPr="00235934">
              <w:rPr>
                <w:sz w:val="20"/>
                <w:szCs w:val="20"/>
              </w:rPr>
              <w:t xml:space="preserve"> is</w:t>
            </w:r>
            <w:r w:rsidR="00996E08">
              <w:rPr>
                <w:sz w:val="20"/>
                <w:szCs w:val="20"/>
              </w:rPr>
              <w:t xml:space="preserve"> a poly (ADP-ribose) polymerase </w:t>
            </w:r>
            <w:r w:rsidR="00235934" w:rsidRPr="00235934">
              <w:rPr>
                <w:sz w:val="20"/>
                <w:szCs w:val="20"/>
              </w:rPr>
              <w:t>(PARP) inh</w:t>
            </w:r>
            <w:r w:rsidR="00996E08">
              <w:rPr>
                <w:sz w:val="20"/>
                <w:szCs w:val="20"/>
              </w:rPr>
              <w:t xml:space="preserve">ibitor indicated as monotherapy </w:t>
            </w:r>
            <w:r w:rsidR="00235934" w:rsidRPr="00235934">
              <w:rPr>
                <w:sz w:val="20"/>
                <w:szCs w:val="20"/>
              </w:rPr>
              <w:t>in patient</w:t>
            </w:r>
            <w:r w:rsidR="00996E08">
              <w:rPr>
                <w:sz w:val="20"/>
                <w:szCs w:val="20"/>
              </w:rPr>
              <w:t xml:space="preserve">s with deleterious or suspected </w:t>
            </w:r>
            <w:r w:rsidR="00235934" w:rsidRPr="00235934">
              <w:rPr>
                <w:sz w:val="20"/>
                <w:szCs w:val="20"/>
              </w:rPr>
              <w:t>delete</w:t>
            </w:r>
            <w:r w:rsidR="00996E08">
              <w:rPr>
                <w:sz w:val="20"/>
                <w:szCs w:val="20"/>
              </w:rPr>
              <w:t xml:space="preserve">rious germline BRCA mutated (as </w:t>
            </w:r>
            <w:r w:rsidR="00235934" w:rsidRPr="00235934">
              <w:rPr>
                <w:sz w:val="20"/>
                <w:szCs w:val="20"/>
              </w:rPr>
              <w:t>de</w:t>
            </w:r>
            <w:r w:rsidR="00996E08">
              <w:rPr>
                <w:sz w:val="20"/>
                <w:szCs w:val="20"/>
              </w:rPr>
              <w:t xml:space="preserve">tected by an FDA-approved test) </w:t>
            </w:r>
            <w:r w:rsidR="00235934" w:rsidRPr="00235934">
              <w:rPr>
                <w:sz w:val="20"/>
                <w:szCs w:val="20"/>
              </w:rPr>
              <w:t>advanc</w:t>
            </w:r>
            <w:r w:rsidR="00996E08">
              <w:rPr>
                <w:sz w:val="20"/>
                <w:szCs w:val="20"/>
              </w:rPr>
              <w:t xml:space="preserve">ed ovarian cancer who have been </w:t>
            </w:r>
            <w:r w:rsidR="00235934" w:rsidRPr="00235934">
              <w:rPr>
                <w:sz w:val="20"/>
                <w:szCs w:val="20"/>
              </w:rPr>
              <w:t>treated wi</w:t>
            </w:r>
            <w:r w:rsidR="00996E08">
              <w:rPr>
                <w:sz w:val="20"/>
                <w:szCs w:val="20"/>
              </w:rPr>
              <w:t xml:space="preserve">th three or more prior lines of </w:t>
            </w:r>
            <w:r w:rsidR="00235934" w:rsidRPr="00235934">
              <w:rPr>
                <w:sz w:val="20"/>
                <w:szCs w:val="20"/>
              </w:rPr>
              <w:t>chemotherapy.</w:t>
            </w:r>
          </w:p>
        </w:tc>
      </w:tr>
      <w:tr w:rsidR="00235934" w:rsidRPr="00235934" w14:paraId="691D146F" w14:textId="77777777" w:rsidTr="00541721">
        <w:tc>
          <w:tcPr>
            <w:tcW w:w="1809" w:type="dxa"/>
          </w:tcPr>
          <w:p w14:paraId="3133701B" w14:textId="77777777" w:rsidR="00235934" w:rsidRPr="00235934" w:rsidRDefault="00235934" w:rsidP="00235934">
            <w:pPr>
              <w:rPr>
                <w:sz w:val="20"/>
                <w:szCs w:val="20"/>
              </w:rPr>
            </w:pPr>
            <w:r w:rsidRPr="00235934">
              <w:rPr>
                <w:sz w:val="20"/>
                <w:szCs w:val="20"/>
              </w:rPr>
              <w:t>Israel</w:t>
            </w:r>
          </w:p>
        </w:tc>
        <w:tc>
          <w:tcPr>
            <w:tcW w:w="2694" w:type="dxa"/>
          </w:tcPr>
          <w:p w14:paraId="1D6087CA" w14:textId="77777777" w:rsidR="00235934" w:rsidRPr="00235934" w:rsidRDefault="00235934" w:rsidP="00996E08">
            <w:pPr>
              <w:rPr>
                <w:sz w:val="20"/>
                <w:szCs w:val="20"/>
              </w:rPr>
            </w:pPr>
            <w:r w:rsidRPr="00235934">
              <w:rPr>
                <w:sz w:val="20"/>
                <w:szCs w:val="20"/>
              </w:rPr>
              <w:t>29 S</w:t>
            </w:r>
            <w:r w:rsidR="00996E08">
              <w:rPr>
                <w:sz w:val="20"/>
                <w:szCs w:val="20"/>
              </w:rPr>
              <w:t>eptember</w:t>
            </w:r>
            <w:r w:rsidRPr="00235934">
              <w:rPr>
                <w:sz w:val="20"/>
                <w:szCs w:val="20"/>
              </w:rPr>
              <w:t xml:space="preserve"> 2014/Not yet approved</w:t>
            </w:r>
          </w:p>
        </w:tc>
        <w:tc>
          <w:tcPr>
            <w:tcW w:w="4217" w:type="dxa"/>
          </w:tcPr>
          <w:p w14:paraId="1B460AE8" w14:textId="77777777" w:rsidR="00235934" w:rsidRPr="00235934" w:rsidRDefault="00235934" w:rsidP="00235934">
            <w:pPr>
              <w:rPr>
                <w:sz w:val="20"/>
                <w:szCs w:val="20"/>
              </w:rPr>
            </w:pPr>
          </w:p>
        </w:tc>
      </w:tr>
    </w:tbl>
    <w:p w14:paraId="45E8A1F5" w14:textId="77777777" w:rsidR="008E7846" w:rsidRDefault="008E7846" w:rsidP="00940A89">
      <w:pPr>
        <w:pStyle w:val="Heading3"/>
      </w:pPr>
      <w:bookmarkStart w:id="24" w:name="_Toc8053803"/>
      <w:r>
        <w:t>Product Information</w:t>
      </w:r>
      <w:bookmarkEnd w:id="22"/>
      <w:bookmarkEnd w:id="23"/>
      <w:bookmarkEnd w:id="24"/>
    </w:p>
    <w:p w14:paraId="089A0DFF" w14:textId="77777777" w:rsidR="00940A89" w:rsidRDefault="006136D7" w:rsidP="00940A89">
      <w:bookmarkStart w:id="25" w:name="_Toc247691506"/>
      <w:bookmarkStart w:id="26"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2B698E">
        <w:t xml:space="preserve">&lt; </w:t>
      </w:r>
      <w:hyperlink r:id="rId14" w:history="1">
        <w:r w:rsidR="00441C3F" w:rsidRPr="00441C3F">
          <w:rPr>
            <w:rStyle w:val="Hyperlink"/>
          </w:rPr>
          <w:t>https://www.tga.gov.au/product-information-pi</w:t>
        </w:r>
      </w:hyperlink>
      <w:r w:rsidR="00441C3F">
        <w:t>&gt;</w:t>
      </w:r>
      <w:r w:rsidR="00940A89" w:rsidRPr="00940A89">
        <w:t>.</w:t>
      </w:r>
    </w:p>
    <w:p w14:paraId="1917A8E2" w14:textId="77777777" w:rsidR="00500337" w:rsidRDefault="00500337" w:rsidP="00500337">
      <w:pPr>
        <w:pStyle w:val="Heading2"/>
      </w:pPr>
      <w:bookmarkStart w:id="27" w:name="_Toc504480011"/>
      <w:bookmarkStart w:id="28" w:name="_Toc8053804"/>
      <w:r>
        <w:t>II. Registration time line</w:t>
      </w:r>
      <w:bookmarkEnd w:id="27"/>
      <w:bookmarkEnd w:id="28"/>
    </w:p>
    <w:p w14:paraId="3BB6B740" w14:textId="77777777" w:rsidR="00500337" w:rsidRDefault="00500337" w:rsidP="00500337">
      <w:r>
        <w:t>The following table captures the key steps and dates for this application and which are detailed and discussed in this AusPAR.</w:t>
      </w:r>
    </w:p>
    <w:p w14:paraId="6BA0E139" w14:textId="77777777" w:rsidR="00500337" w:rsidRPr="00A9459F" w:rsidRDefault="00996E08" w:rsidP="00996E08">
      <w:pPr>
        <w:pStyle w:val="TableTitle"/>
      </w:pPr>
      <w:r>
        <w:t>Table 2: Timeline for Submission PM-2014-04684-1-4</w:t>
      </w:r>
    </w:p>
    <w:tbl>
      <w:tblPr>
        <w:tblStyle w:val="TableTGAblue"/>
        <w:tblW w:w="0" w:type="auto"/>
        <w:tblLook w:val="04A0" w:firstRow="1" w:lastRow="0" w:firstColumn="1" w:lastColumn="0" w:noHBand="0" w:noVBand="1"/>
      </w:tblPr>
      <w:tblGrid>
        <w:gridCol w:w="4503"/>
        <w:gridCol w:w="4217"/>
      </w:tblGrid>
      <w:tr w:rsidR="00500337" w14:paraId="75824284" w14:textId="77777777" w:rsidTr="00541721">
        <w:trPr>
          <w:cnfStyle w:val="100000000000" w:firstRow="1" w:lastRow="0" w:firstColumn="0" w:lastColumn="0" w:oddVBand="0" w:evenVBand="0" w:oddHBand="0" w:evenHBand="0" w:firstRowFirstColumn="0" w:firstRowLastColumn="0" w:lastRowFirstColumn="0" w:lastRowLastColumn="0"/>
          <w:cantSplit/>
        </w:trPr>
        <w:tc>
          <w:tcPr>
            <w:tcW w:w="4503" w:type="dxa"/>
          </w:tcPr>
          <w:p w14:paraId="15ED32C8" w14:textId="77777777" w:rsidR="00500337" w:rsidRDefault="00500337" w:rsidP="00500337">
            <w:pPr>
              <w:ind w:left="0" w:right="0"/>
            </w:pPr>
            <w:r>
              <w:t>Description</w:t>
            </w:r>
          </w:p>
        </w:tc>
        <w:tc>
          <w:tcPr>
            <w:tcW w:w="4217" w:type="dxa"/>
          </w:tcPr>
          <w:p w14:paraId="47C1EBDC" w14:textId="77777777" w:rsidR="00500337" w:rsidRDefault="00500337" w:rsidP="00500337">
            <w:pPr>
              <w:ind w:left="0" w:right="0"/>
            </w:pPr>
            <w:r>
              <w:t>Date</w:t>
            </w:r>
          </w:p>
        </w:tc>
      </w:tr>
      <w:tr w:rsidR="00500337" w14:paraId="3A32A756" w14:textId="77777777" w:rsidTr="00541721">
        <w:tc>
          <w:tcPr>
            <w:tcW w:w="4503" w:type="dxa"/>
          </w:tcPr>
          <w:p w14:paraId="213EBBDD" w14:textId="77777777" w:rsidR="00500337" w:rsidRDefault="00500337" w:rsidP="00500337">
            <w:pPr>
              <w:ind w:left="0" w:right="0"/>
            </w:pPr>
            <w:r>
              <w:t>Submission dossier accepted and first round evaluation commenced</w:t>
            </w:r>
          </w:p>
        </w:tc>
        <w:tc>
          <w:tcPr>
            <w:tcW w:w="4217" w:type="dxa"/>
          </w:tcPr>
          <w:p w14:paraId="7EB9D523" w14:textId="77777777" w:rsidR="00500337" w:rsidRDefault="00A9459F" w:rsidP="00500337">
            <w:pPr>
              <w:ind w:left="0" w:right="0"/>
            </w:pPr>
            <w:r>
              <w:t>31 March 2015</w:t>
            </w:r>
          </w:p>
        </w:tc>
      </w:tr>
      <w:tr w:rsidR="00500337" w14:paraId="7BDACB0B" w14:textId="77777777" w:rsidTr="00541721">
        <w:tc>
          <w:tcPr>
            <w:tcW w:w="4503" w:type="dxa"/>
          </w:tcPr>
          <w:p w14:paraId="444A5F64" w14:textId="77777777" w:rsidR="00500337" w:rsidRDefault="00500337" w:rsidP="00500337">
            <w:pPr>
              <w:ind w:left="0" w:right="0"/>
            </w:pPr>
            <w:r>
              <w:t>First round evaluation completed</w:t>
            </w:r>
          </w:p>
        </w:tc>
        <w:tc>
          <w:tcPr>
            <w:tcW w:w="4217" w:type="dxa"/>
          </w:tcPr>
          <w:p w14:paraId="743A4E4D" w14:textId="77777777" w:rsidR="00500337" w:rsidRDefault="00A9459F" w:rsidP="00500337">
            <w:pPr>
              <w:ind w:left="0" w:right="0"/>
            </w:pPr>
            <w:r>
              <w:t>24 September 2015</w:t>
            </w:r>
          </w:p>
        </w:tc>
      </w:tr>
      <w:tr w:rsidR="00500337" w14:paraId="6DE6B50F" w14:textId="77777777" w:rsidTr="00541721">
        <w:tc>
          <w:tcPr>
            <w:tcW w:w="4503" w:type="dxa"/>
          </w:tcPr>
          <w:p w14:paraId="13AC5491" w14:textId="77777777" w:rsidR="00500337" w:rsidRDefault="00500337" w:rsidP="00500337">
            <w:pPr>
              <w:ind w:left="0" w:right="0"/>
            </w:pPr>
            <w:r>
              <w:t>Sponsor provides responses on questions raised in first round evaluation</w:t>
            </w:r>
          </w:p>
        </w:tc>
        <w:tc>
          <w:tcPr>
            <w:tcW w:w="4217" w:type="dxa"/>
          </w:tcPr>
          <w:p w14:paraId="553503FC" w14:textId="77777777" w:rsidR="00500337" w:rsidRDefault="005E6C4F" w:rsidP="00500337">
            <w:pPr>
              <w:ind w:left="0" w:right="0"/>
            </w:pPr>
            <w:r>
              <w:t>18 November 2015</w:t>
            </w:r>
          </w:p>
        </w:tc>
      </w:tr>
      <w:tr w:rsidR="00500337" w14:paraId="27E6CB3B" w14:textId="77777777" w:rsidTr="00541721">
        <w:tc>
          <w:tcPr>
            <w:tcW w:w="4503" w:type="dxa"/>
          </w:tcPr>
          <w:p w14:paraId="46BCEA79" w14:textId="77777777" w:rsidR="00500337" w:rsidRDefault="00500337" w:rsidP="00500337">
            <w:pPr>
              <w:ind w:left="0" w:right="0"/>
            </w:pPr>
            <w:r>
              <w:t>Second round evaluation completed</w:t>
            </w:r>
          </w:p>
        </w:tc>
        <w:tc>
          <w:tcPr>
            <w:tcW w:w="4217" w:type="dxa"/>
          </w:tcPr>
          <w:p w14:paraId="587BFEB2" w14:textId="77777777" w:rsidR="00500337" w:rsidRDefault="005E6C4F" w:rsidP="00500337">
            <w:pPr>
              <w:ind w:left="0" w:right="0"/>
            </w:pPr>
            <w:r>
              <w:t>21 November 2015</w:t>
            </w:r>
          </w:p>
        </w:tc>
      </w:tr>
      <w:tr w:rsidR="00500337" w14:paraId="4FB5AEAC" w14:textId="77777777" w:rsidTr="00541721">
        <w:tc>
          <w:tcPr>
            <w:tcW w:w="4503" w:type="dxa"/>
          </w:tcPr>
          <w:p w14:paraId="5C0F64BB" w14:textId="77777777" w:rsidR="00500337" w:rsidRDefault="00500337" w:rsidP="00500337">
            <w:pPr>
              <w:ind w:left="0" w:right="0"/>
            </w:pPr>
            <w:r>
              <w:t>Delegate’s Overall benefit-risk assessment and request for Advisory Committee advice</w:t>
            </w:r>
          </w:p>
        </w:tc>
        <w:tc>
          <w:tcPr>
            <w:tcW w:w="4217" w:type="dxa"/>
          </w:tcPr>
          <w:p w14:paraId="55985304" w14:textId="77777777" w:rsidR="00500337" w:rsidRDefault="003032AA" w:rsidP="00500337">
            <w:pPr>
              <w:ind w:left="0" w:right="0"/>
            </w:pPr>
            <w:r>
              <w:t>15 December 2015</w:t>
            </w:r>
          </w:p>
        </w:tc>
      </w:tr>
      <w:tr w:rsidR="00500337" w14:paraId="762A0E37" w14:textId="77777777" w:rsidTr="00541721">
        <w:tc>
          <w:tcPr>
            <w:tcW w:w="4503" w:type="dxa"/>
          </w:tcPr>
          <w:p w14:paraId="07FADDBF" w14:textId="77777777" w:rsidR="00500337" w:rsidRDefault="00500337" w:rsidP="00500337">
            <w:pPr>
              <w:ind w:left="0" w:right="0"/>
            </w:pPr>
            <w:r>
              <w:t>Sponsor’s pre-Advisory Committee response</w:t>
            </w:r>
          </w:p>
        </w:tc>
        <w:tc>
          <w:tcPr>
            <w:tcW w:w="4217" w:type="dxa"/>
          </w:tcPr>
          <w:p w14:paraId="3E199305" w14:textId="77777777" w:rsidR="00500337" w:rsidRDefault="003032AA" w:rsidP="00500337">
            <w:pPr>
              <w:ind w:left="0" w:right="0"/>
            </w:pPr>
            <w:r>
              <w:t>21 December 2015</w:t>
            </w:r>
          </w:p>
        </w:tc>
      </w:tr>
      <w:tr w:rsidR="00500337" w14:paraId="34F21374" w14:textId="77777777" w:rsidTr="00541721">
        <w:tc>
          <w:tcPr>
            <w:tcW w:w="4503" w:type="dxa"/>
          </w:tcPr>
          <w:p w14:paraId="4670474C" w14:textId="77777777" w:rsidR="00500337" w:rsidRDefault="00500337" w:rsidP="00500337">
            <w:pPr>
              <w:ind w:left="0" w:right="0"/>
            </w:pPr>
            <w:r>
              <w:t>Advisory Committee meeting</w:t>
            </w:r>
          </w:p>
        </w:tc>
        <w:tc>
          <w:tcPr>
            <w:tcW w:w="4217" w:type="dxa"/>
          </w:tcPr>
          <w:p w14:paraId="5C6BF710" w14:textId="77777777" w:rsidR="00500337" w:rsidRDefault="005E6C4F" w:rsidP="00500337">
            <w:pPr>
              <w:ind w:left="0" w:right="0"/>
            </w:pPr>
            <w:r>
              <w:t>Submission did not go to ACM</w:t>
            </w:r>
          </w:p>
        </w:tc>
      </w:tr>
      <w:tr w:rsidR="00500337" w14:paraId="1A0A4BFB" w14:textId="77777777" w:rsidTr="00541721">
        <w:tc>
          <w:tcPr>
            <w:tcW w:w="4503" w:type="dxa"/>
          </w:tcPr>
          <w:p w14:paraId="45E11F88" w14:textId="77777777" w:rsidR="00500337" w:rsidRDefault="00500337" w:rsidP="00500337">
            <w:pPr>
              <w:ind w:left="0" w:right="0"/>
            </w:pPr>
            <w:r>
              <w:t>Registration decision (Outcome)</w:t>
            </w:r>
          </w:p>
        </w:tc>
        <w:tc>
          <w:tcPr>
            <w:tcW w:w="4217" w:type="dxa"/>
          </w:tcPr>
          <w:p w14:paraId="68838ECD" w14:textId="77777777" w:rsidR="00500337" w:rsidRDefault="005E6C4F" w:rsidP="00500337">
            <w:pPr>
              <w:ind w:left="0" w:right="0"/>
            </w:pPr>
            <w:r>
              <w:t>23 December 2015</w:t>
            </w:r>
          </w:p>
        </w:tc>
      </w:tr>
      <w:tr w:rsidR="00500337" w14:paraId="63B3A5AD" w14:textId="77777777" w:rsidTr="00541721">
        <w:tc>
          <w:tcPr>
            <w:tcW w:w="4503" w:type="dxa"/>
          </w:tcPr>
          <w:p w14:paraId="1811992E" w14:textId="77777777" w:rsidR="00500337" w:rsidRDefault="00500337" w:rsidP="00500337">
            <w:pPr>
              <w:ind w:left="0" w:right="0"/>
            </w:pPr>
            <w:r>
              <w:t xml:space="preserve">Completion of administrative activities and </w:t>
            </w:r>
            <w:r>
              <w:lastRenderedPageBreak/>
              <w:t>registration on ARTG</w:t>
            </w:r>
          </w:p>
        </w:tc>
        <w:tc>
          <w:tcPr>
            <w:tcW w:w="4217" w:type="dxa"/>
          </w:tcPr>
          <w:p w14:paraId="762E27A4" w14:textId="77777777" w:rsidR="00500337" w:rsidRDefault="005E6C4F" w:rsidP="00500337">
            <w:pPr>
              <w:ind w:left="0" w:right="0"/>
            </w:pPr>
            <w:r>
              <w:lastRenderedPageBreak/>
              <w:t>7 January 2016</w:t>
            </w:r>
          </w:p>
        </w:tc>
      </w:tr>
      <w:tr w:rsidR="00500337" w14:paraId="03B741BC" w14:textId="77777777" w:rsidTr="00541721">
        <w:tc>
          <w:tcPr>
            <w:tcW w:w="4503" w:type="dxa"/>
          </w:tcPr>
          <w:p w14:paraId="7DE7DBA6" w14:textId="77777777" w:rsidR="00500337" w:rsidRDefault="00500337" w:rsidP="00500337">
            <w:pPr>
              <w:ind w:left="0" w:right="0"/>
            </w:pPr>
            <w:r>
              <w:lastRenderedPageBreak/>
              <w:t>Number of working days from submission dossier acceptance to registration decision*</w:t>
            </w:r>
          </w:p>
        </w:tc>
        <w:tc>
          <w:tcPr>
            <w:tcW w:w="4217" w:type="dxa"/>
          </w:tcPr>
          <w:p w14:paraId="42E26E88" w14:textId="77777777" w:rsidR="00500337" w:rsidRDefault="005E6C4F" w:rsidP="00500337">
            <w:pPr>
              <w:ind w:left="0" w:right="0"/>
            </w:pPr>
            <w:r>
              <w:t>149</w:t>
            </w:r>
          </w:p>
        </w:tc>
      </w:tr>
    </w:tbl>
    <w:p w14:paraId="2861731C" w14:textId="77777777" w:rsidR="00500337" w:rsidRDefault="00500337" w:rsidP="00500337">
      <w:pPr>
        <w:pStyle w:val="TableDescription"/>
      </w:pPr>
      <w:r>
        <w:t>*</w:t>
      </w:r>
      <w:r w:rsidR="005E6C4F">
        <w:t>Statutory</w:t>
      </w:r>
      <w:r>
        <w:t xml:space="preserve"> timeframe for standard applications is 2</w:t>
      </w:r>
      <w:r w:rsidR="005E6C4F">
        <w:t>55</w:t>
      </w:r>
      <w:r>
        <w:t xml:space="preserve"> working days</w:t>
      </w:r>
    </w:p>
    <w:p w14:paraId="3D89BA49" w14:textId="77777777" w:rsidR="008E7846" w:rsidRPr="003602A9" w:rsidRDefault="00500337" w:rsidP="008E7846">
      <w:pPr>
        <w:pStyle w:val="Heading2"/>
        <w:ind w:left="-11"/>
      </w:pPr>
      <w:bookmarkStart w:id="29" w:name="_Toc8053805"/>
      <w:r>
        <w:t>I</w:t>
      </w:r>
      <w:r w:rsidR="008E7846">
        <w:t>II. Quality</w:t>
      </w:r>
      <w:bookmarkEnd w:id="2"/>
      <w:r w:rsidR="008E7846">
        <w:t xml:space="preserve"> findings</w:t>
      </w:r>
      <w:bookmarkEnd w:id="25"/>
      <w:bookmarkEnd w:id="26"/>
      <w:bookmarkEnd w:id="29"/>
    </w:p>
    <w:p w14:paraId="67BC5670" w14:textId="77777777" w:rsidR="00940A89" w:rsidRDefault="00940A89" w:rsidP="00940A89">
      <w:pPr>
        <w:pStyle w:val="Heading3"/>
      </w:pPr>
      <w:bookmarkStart w:id="30" w:name="_Toc8053806"/>
      <w:bookmarkStart w:id="31" w:name="_Toc247691507"/>
      <w:bookmarkStart w:id="32" w:name="_Toc314842488"/>
      <w:r w:rsidRPr="00940A89">
        <w:t>Introduction</w:t>
      </w:r>
      <w:bookmarkEnd w:id="30"/>
    </w:p>
    <w:p w14:paraId="3F4CF150" w14:textId="0BE18C9C" w:rsidR="00880F40" w:rsidRDefault="00880F40" w:rsidP="005D64FB">
      <w:r w:rsidRPr="009012D9">
        <w:t xml:space="preserve">AstraZeneca Pty Ltd applied to register olaparib 50 mg hard capsules under the trade name </w:t>
      </w:r>
      <w:r w:rsidR="002B698E" w:rsidRPr="00A5248F">
        <w:t>Lynparza</w:t>
      </w:r>
      <w:r w:rsidRPr="009012D9">
        <w:t xml:space="preserve"> in </w:t>
      </w:r>
      <w:r w:rsidR="005A7379">
        <w:t>high density polyethylene (</w:t>
      </w:r>
      <w:r w:rsidRPr="009012D9">
        <w:t>HDPE</w:t>
      </w:r>
      <w:r w:rsidR="005A7379">
        <w:t>)</w:t>
      </w:r>
      <w:r w:rsidRPr="009012D9">
        <w:t xml:space="preserve"> bottles with </w:t>
      </w:r>
      <w:r w:rsidR="005A7379">
        <w:t xml:space="preserve">child resistance </w:t>
      </w:r>
      <w:r w:rsidR="00A5248F">
        <w:t>closure,</w:t>
      </w:r>
      <w:r w:rsidR="005A7379">
        <w:t xml:space="preserve"> to be </w:t>
      </w:r>
      <w:r w:rsidRPr="009012D9">
        <w:t>stored below 30°</w:t>
      </w:r>
      <w:r w:rsidR="005D64FB">
        <w:t>C with an 18 month shelf life.</w:t>
      </w:r>
    </w:p>
    <w:p w14:paraId="2007ED3F" w14:textId="6B255FD4" w:rsidR="005A7379" w:rsidRPr="009012D9" w:rsidRDefault="005A7379" w:rsidP="005D64FB">
      <w:r>
        <w:t>The chemical structure of olaparib is shown in Figure 1, below.</w:t>
      </w:r>
    </w:p>
    <w:p w14:paraId="05D24FC0" w14:textId="77777777" w:rsidR="004E22FE" w:rsidRDefault="004E22FE" w:rsidP="004E22FE">
      <w:pPr>
        <w:pStyle w:val="FigureTitle"/>
      </w:pPr>
      <w:r>
        <w:t>Figure 1: Structure of olaparib</w:t>
      </w:r>
    </w:p>
    <w:p w14:paraId="704A2960" w14:textId="77777777" w:rsidR="004E22FE" w:rsidRDefault="004E22FE" w:rsidP="004E22FE">
      <w:r>
        <w:rPr>
          <w:noProof/>
          <w:lang w:eastAsia="en-AU"/>
        </w:rPr>
        <w:drawing>
          <wp:inline distT="0" distB="0" distL="0" distR="0" wp14:anchorId="618DF213" wp14:editId="1D8C9E64">
            <wp:extent cx="2657475" cy="1733550"/>
            <wp:effectExtent l="0" t="0" r="9525" b="0"/>
            <wp:docPr id="13" name="Picture 13" descr="Figure 1: Structure of olapar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57475" cy="1733550"/>
                    </a:xfrm>
                    <a:prstGeom prst="rect">
                      <a:avLst/>
                    </a:prstGeom>
                  </pic:spPr>
                </pic:pic>
              </a:graphicData>
            </a:graphic>
          </wp:inline>
        </w:drawing>
      </w:r>
    </w:p>
    <w:p w14:paraId="682243A8" w14:textId="77777777" w:rsidR="005D64FB" w:rsidRDefault="00880F40" w:rsidP="00880F40">
      <w:r w:rsidRPr="009012D9">
        <w:t xml:space="preserve">Olaparib is a potent inhibitor of </w:t>
      </w:r>
      <w:proofErr w:type="spellStart"/>
      <w:r w:rsidRPr="009012D9">
        <w:t>polyadenosine</w:t>
      </w:r>
      <w:proofErr w:type="spellEnd"/>
      <w:r w:rsidRPr="009012D9">
        <w:t xml:space="preserve"> 5’diphosphoribose polymerase (PARP) which exploits deficiencies in DNA repair mechanisms (</w:t>
      </w:r>
      <w:r w:rsidR="005D64FB">
        <w:t xml:space="preserve">that is </w:t>
      </w:r>
      <w:r w:rsidRPr="009012D9">
        <w:t>BRCA mutation), to preferentially kill cancer cells.</w:t>
      </w:r>
      <w:r w:rsidR="005D64FB">
        <w:t xml:space="preserve"> </w:t>
      </w:r>
      <w:r w:rsidRPr="009012D9">
        <w:t>Mutations in the BRCA genes are prevalent in high-grade serous ovarian cancer</w:t>
      </w:r>
      <w:r w:rsidR="005D64FB">
        <w:t>.</w:t>
      </w:r>
    </w:p>
    <w:p w14:paraId="058A6092" w14:textId="1D3AD9E8" w:rsidR="00880F40" w:rsidRPr="009012D9" w:rsidRDefault="00880F40" w:rsidP="00880F40">
      <w:r w:rsidRPr="009012D9">
        <w:t>The recommended dosing</w:t>
      </w:r>
      <w:r>
        <w:t xml:space="preserve"> in adults</w:t>
      </w:r>
      <w:r w:rsidRPr="009012D9">
        <w:t xml:space="preserve"> is 400 mg (</w:t>
      </w:r>
      <w:r w:rsidR="005A7379">
        <w:t xml:space="preserve">8 x </w:t>
      </w:r>
      <w:r w:rsidRPr="009012D9">
        <w:t xml:space="preserve">50 mg capsules) taken </w:t>
      </w:r>
      <w:r w:rsidR="005A7379">
        <w:t>twice daily (</w:t>
      </w:r>
      <w:proofErr w:type="spellStart"/>
      <w:r w:rsidR="00A5248F">
        <w:t>bd</w:t>
      </w:r>
      <w:proofErr w:type="spellEnd"/>
      <w:r w:rsidR="005A7379">
        <w:t>)</w:t>
      </w:r>
      <w:r w:rsidRPr="009012D9">
        <w:t>, giving a total daily dose of 800</w:t>
      </w:r>
      <w:r>
        <w:t xml:space="preserve"> </w:t>
      </w:r>
      <w:r w:rsidRPr="009012D9">
        <w:t>mg.</w:t>
      </w:r>
      <w:r w:rsidR="005D64FB">
        <w:t xml:space="preserve"> </w:t>
      </w:r>
      <w:r w:rsidRPr="009012D9">
        <w:t>The capsules should be taken on an empty stomach and food should be avoided for two hours after dosing.</w:t>
      </w:r>
    </w:p>
    <w:p w14:paraId="28A78108" w14:textId="77777777" w:rsidR="005D64FB" w:rsidRDefault="00880F40" w:rsidP="00880F40">
      <w:r w:rsidRPr="009012D9">
        <w:t>It is recommended that treatment be continued until progression of the underlying disease.</w:t>
      </w:r>
      <w:r w:rsidR="005D64FB">
        <w:t xml:space="preserve"> </w:t>
      </w:r>
      <w:r w:rsidRPr="009012D9">
        <w:t>There are no data to support retreatment with olaparib as maintenance following subsequent relapse</w:t>
      </w:r>
      <w:r w:rsidR="005D64FB">
        <w:t>.</w:t>
      </w:r>
    </w:p>
    <w:p w14:paraId="3D0DC807" w14:textId="77777777" w:rsidR="005D64FB" w:rsidRDefault="00880F40" w:rsidP="00880F40">
      <w:r>
        <w:t xml:space="preserve">The PI includes a warning not to open the capsules as the </w:t>
      </w:r>
      <w:r w:rsidR="005D64FB">
        <w:t>active pharmaceutical ingredient (</w:t>
      </w:r>
      <w:r>
        <w:t>API</w:t>
      </w:r>
      <w:r w:rsidR="005D64FB">
        <w:t>)</w:t>
      </w:r>
      <w:r>
        <w:t xml:space="preserve"> is genotoxic</w:t>
      </w:r>
      <w:r w:rsidR="005D64FB">
        <w:t>.</w:t>
      </w:r>
    </w:p>
    <w:p w14:paraId="54BF9041" w14:textId="77777777" w:rsidR="004E22FE" w:rsidRPr="004E22FE" w:rsidRDefault="004E22FE" w:rsidP="00880F40">
      <w:r w:rsidRPr="004E22FE">
        <w:t xml:space="preserve">A </w:t>
      </w:r>
      <w:r w:rsidR="005D64FB">
        <w:t>food effect</w:t>
      </w:r>
      <w:r w:rsidRPr="004E22FE">
        <w:t xml:space="preserve"> study (</w:t>
      </w:r>
      <w:r w:rsidR="005D64FB">
        <w:t xml:space="preserve">Study </w:t>
      </w:r>
      <w:r w:rsidRPr="004E22FE">
        <w:t>D081AC00001) was conducted in patients with advanced solid tumours.</w:t>
      </w:r>
    </w:p>
    <w:p w14:paraId="540DF40A" w14:textId="77777777" w:rsidR="008E7846" w:rsidRDefault="008E7846" w:rsidP="00940A89">
      <w:pPr>
        <w:pStyle w:val="Heading3"/>
      </w:pPr>
      <w:bookmarkStart w:id="33" w:name="_Toc8053807"/>
      <w:r w:rsidRPr="008751DC">
        <w:t xml:space="preserve">Drug </w:t>
      </w:r>
      <w:r>
        <w:t>s</w:t>
      </w:r>
      <w:r w:rsidRPr="008751DC">
        <w:t>ubstance</w:t>
      </w:r>
      <w:r>
        <w:t xml:space="preserve"> (active ingredient)</w:t>
      </w:r>
      <w:bookmarkEnd w:id="31"/>
      <w:bookmarkEnd w:id="32"/>
      <w:bookmarkEnd w:id="33"/>
    </w:p>
    <w:p w14:paraId="36580916" w14:textId="72976E69" w:rsidR="005D64FB" w:rsidRDefault="00880F40" w:rsidP="00880F40">
      <w:r>
        <w:t xml:space="preserve">Olaparib </w:t>
      </w:r>
      <w:r w:rsidR="005D64FB">
        <w:t>API</w:t>
      </w:r>
      <w:r>
        <w:t xml:space="preserve"> is</w:t>
      </w:r>
      <w:r w:rsidRPr="00D142FD">
        <w:t xml:space="preserve"> </w:t>
      </w:r>
      <w:r>
        <w:t xml:space="preserve">a </w:t>
      </w:r>
      <w:r w:rsidRPr="00D142FD">
        <w:t>white to pale yellow crystalline powder.</w:t>
      </w:r>
      <w:r w:rsidR="005D64FB">
        <w:t xml:space="preserve"> </w:t>
      </w:r>
      <w:r w:rsidRPr="00D142FD">
        <w:t xml:space="preserve">Olaparib exhibits polymorphism and </w:t>
      </w:r>
      <w:r>
        <w:t>a</w:t>
      </w:r>
      <w:r w:rsidRPr="00D142FD">
        <w:t>queous solubility is low (~ 0.1 mg/mL: a 400 mg dose would require ~ 3</w:t>
      </w:r>
      <w:r>
        <w:t>000</w:t>
      </w:r>
      <w:r w:rsidR="005D64FB">
        <w:t xml:space="preserve"> to</w:t>
      </w:r>
      <w:r w:rsidRPr="00D142FD">
        <w:t xml:space="preserve"> 4</w:t>
      </w:r>
      <w:r>
        <w:t>000</w:t>
      </w:r>
      <w:r w:rsidR="00D81FEC">
        <w:t> </w:t>
      </w:r>
      <w:r>
        <w:t>m</w:t>
      </w:r>
      <w:r w:rsidRPr="00D142FD">
        <w:t xml:space="preserve">L to completely dissolve </w:t>
      </w:r>
      <w:r w:rsidRPr="00A5248F">
        <w:t>in vitro</w:t>
      </w:r>
      <w:r w:rsidRPr="00D142FD">
        <w:t>).</w:t>
      </w:r>
      <w:r w:rsidR="005D64FB">
        <w:t xml:space="preserve"> </w:t>
      </w:r>
      <w:r w:rsidRPr="00D142FD">
        <w:t xml:space="preserve">Solubility is </w:t>
      </w:r>
      <w:r>
        <w:t xml:space="preserve">low </w:t>
      </w:r>
      <w:r w:rsidRPr="00D142FD">
        <w:t>independent of pH</w:t>
      </w:r>
      <w:r>
        <w:t>: o</w:t>
      </w:r>
      <w:r w:rsidRPr="00BC3629">
        <w:t xml:space="preserve">laparib </w:t>
      </w:r>
      <w:r w:rsidRPr="00BC3629">
        <w:lastRenderedPageBreak/>
        <w:t>remains un-ionised across the physiological pH range, so does not form salts.</w:t>
      </w:r>
      <w:r w:rsidR="005D64FB">
        <w:t xml:space="preserve"> </w:t>
      </w:r>
      <w:r>
        <w:t>Olaparib is slightly soluble in ethanol (5.5 mg/mL at 37°C).</w:t>
      </w:r>
      <w:r w:rsidR="005D64FB">
        <w:t xml:space="preserve"> </w:t>
      </w:r>
      <w:r w:rsidRPr="005E1BEB">
        <w:t>The partition coefficient of olaparib is 1.49.</w:t>
      </w:r>
      <w:r w:rsidR="005D64FB">
        <w:t xml:space="preserve"> </w:t>
      </w:r>
      <w:r w:rsidRPr="005E1BEB">
        <w:t>The API is not hygroscopic</w:t>
      </w:r>
      <w:r>
        <w:t>.</w:t>
      </w:r>
      <w:r w:rsidRPr="005C386B">
        <w:t xml:space="preserve"> </w:t>
      </w:r>
      <w:r w:rsidRPr="00D142FD">
        <w:t xml:space="preserve">The API is a </w:t>
      </w:r>
      <w:r w:rsidR="0094739B" w:rsidRPr="0094739B">
        <w:t>Biopharmaceutics</w:t>
      </w:r>
      <w:r w:rsidR="0094739B">
        <w:t xml:space="preserve"> </w:t>
      </w:r>
      <w:r w:rsidR="0094739B" w:rsidRPr="0094739B">
        <w:t>Classification</w:t>
      </w:r>
      <w:r w:rsidR="0094739B">
        <w:t xml:space="preserve"> </w:t>
      </w:r>
      <w:r w:rsidR="0094739B" w:rsidRPr="0094739B">
        <w:t>System (BCS)</w:t>
      </w:r>
      <w:r w:rsidR="0094739B" w:rsidRPr="00D142FD">
        <w:t xml:space="preserve"> </w:t>
      </w:r>
      <w:r w:rsidRPr="00D142FD">
        <w:t>class IV compound (low solubility and moderate permeability)</w:t>
      </w:r>
      <w:r w:rsidR="005D64FB">
        <w:t>.</w:t>
      </w:r>
    </w:p>
    <w:p w14:paraId="6A616895" w14:textId="708BABFD" w:rsidR="005D64FB" w:rsidRDefault="00880F40" w:rsidP="00880F40">
      <w:pPr>
        <w:rPr>
          <w:rFonts w:asciiTheme="minorHAnsi" w:hAnsiTheme="minorHAnsi"/>
        </w:rPr>
      </w:pPr>
      <w:r w:rsidRPr="00BC3629">
        <w:t xml:space="preserve">The drug substance olaparib </w:t>
      </w:r>
      <w:r w:rsidR="007F104F">
        <w:t>(International Non-proprietary Name (</w:t>
      </w:r>
      <w:r w:rsidRPr="00BC3629">
        <w:t>INN</w:t>
      </w:r>
      <w:r w:rsidR="007F104F">
        <w:t>)</w:t>
      </w:r>
      <w:r w:rsidRPr="00BC3629">
        <w:t xml:space="preserve"> and </w:t>
      </w:r>
      <w:r w:rsidR="007F104F">
        <w:t>United States Adopted Name (</w:t>
      </w:r>
      <w:r w:rsidRPr="00BC3629">
        <w:t>USAN</w:t>
      </w:r>
      <w:r w:rsidR="007F104F">
        <w:t>)</w:t>
      </w:r>
      <w:r w:rsidRPr="00BC3629">
        <w:t>)</w:t>
      </w:r>
      <w:r>
        <w:t xml:space="preserve"> has the</w:t>
      </w:r>
      <w:r w:rsidRPr="00BC3629">
        <w:t xml:space="preserve"> chemical name 4-[(3-{[4-(cyclopropylcarbonyl</w:t>
      </w:r>
      <w:proofErr w:type="gramStart"/>
      <w:r w:rsidRPr="00BC3629">
        <w:t>)piperazin</w:t>
      </w:r>
      <w:proofErr w:type="gramEnd"/>
      <w:r w:rsidRPr="00BC3629">
        <w:t>-1-yl]carbonyl}-4-fluorophenyl)methyl]phthalazin-1(2</w:t>
      </w:r>
      <w:r w:rsidRPr="00BC3629">
        <w:rPr>
          <w:i/>
          <w:iCs/>
        </w:rPr>
        <w:t>H</w:t>
      </w:r>
      <w:r w:rsidRPr="00BC3629">
        <w:t>)-</w:t>
      </w:r>
      <w:r w:rsidRPr="00D44D18">
        <w:rPr>
          <w:rFonts w:asciiTheme="minorHAnsi" w:hAnsiTheme="minorHAnsi"/>
        </w:rPr>
        <w:t xml:space="preserve">one, </w:t>
      </w:r>
      <w:r>
        <w:rPr>
          <w:rFonts w:asciiTheme="minorHAnsi" w:hAnsiTheme="minorHAnsi"/>
        </w:rPr>
        <w:t xml:space="preserve">the </w:t>
      </w:r>
      <w:r w:rsidR="007F104F">
        <w:rPr>
          <w:rFonts w:asciiTheme="minorHAnsi" w:hAnsiTheme="minorHAnsi"/>
        </w:rPr>
        <w:t xml:space="preserve">Chemical Abstracts Service Registry Number (CAS </w:t>
      </w:r>
      <w:r w:rsidRPr="00D44D18">
        <w:rPr>
          <w:rFonts w:asciiTheme="minorHAnsi" w:hAnsiTheme="minorHAnsi"/>
        </w:rPr>
        <w:t>RN</w:t>
      </w:r>
      <w:r w:rsidR="007F104F">
        <w:rPr>
          <w:rFonts w:asciiTheme="minorHAnsi" w:hAnsiTheme="minorHAnsi"/>
        </w:rPr>
        <w:t>)</w:t>
      </w:r>
      <w:r>
        <w:rPr>
          <w:rFonts w:asciiTheme="minorHAnsi" w:hAnsiTheme="minorHAnsi"/>
        </w:rPr>
        <w:t xml:space="preserve"> is </w:t>
      </w:r>
      <w:r w:rsidRPr="00D44D18">
        <w:rPr>
          <w:rFonts w:asciiTheme="minorHAnsi" w:hAnsiTheme="minorHAnsi"/>
        </w:rPr>
        <w:t>763113-22-0</w:t>
      </w:r>
      <w:r w:rsidR="005D64FB">
        <w:rPr>
          <w:rFonts w:asciiTheme="minorHAnsi" w:hAnsiTheme="minorHAnsi"/>
        </w:rPr>
        <w:t>.</w:t>
      </w:r>
    </w:p>
    <w:p w14:paraId="35F602EE" w14:textId="0C9951F9" w:rsidR="00880F40" w:rsidRPr="00BC3629" w:rsidRDefault="00880F40" w:rsidP="00880F40">
      <w:r w:rsidRPr="00BC3629">
        <w:t>Olaparib is achiral.</w:t>
      </w:r>
      <w:r w:rsidR="005D64FB">
        <w:t xml:space="preserve"> </w:t>
      </w:r>
      <w:r w:rsidRPr="00413C21">
        <w:t>The structure is not closely related to</w:t>
      </w:r>
      <w:r>
        <w:t xml:space="preserve"> registered kinase inhibitors, </w:t>
      </w:r>
      <w:r w:rsidRPr="00413C21">
        <w:t xml:space="preserve">or to </w:t>
      </w:r>
      <w:proofErr w:type="spellStart"/>
      <w:r w:rsidRPr="00413C21">
        <w:t>veliparib</w:t>
      </w:r>
      <w:proofErr w:type="spellEnd"/>
      <w:r w:rsidRPr="00413C21">
        <w:t xml:space="preserve"> (an experimental PARP inhibitor).</w:t>
      </w:r>
    </w:p>
    <w:p w14:paraId="39DB4665" w14:textId="77777777" w:rsidR="00880F40" w:rsidRPr="0031524E" w:rsidRDefault="00880F40" w:rsidP="00880F40">
      <w:r w:rsidRPr="005E1BEB">
        <w:rPr>
          <w:rFonts w:asciiTheme="minorHAnsi" w:hAnsiTheme="minorHAnsi"/>
        </w:rPr>
        <w:t>The API is made by a synthetic process.</w:t>
      </w:r>
      <w:r w:rsidR="005D64FB">
        <w:rPr>
          <w:rFonts w:asciiTheme="minorHAnsi" w:hAnsiTheme="minorHAnsi"/>
        </w:rPr>
        <w:t xml:space="preserve"> </w:t>
      </w:r>
      <w:r w:rsidRPr="005E1BEB">
        <w:t xml:space="preserve">The API is purified by </w:t>
      </w:r>
      <w:proofErr w:type="spellStart"/>
      <w:r w:rsidRPr="005E1BEB">
        <w:t>recrystallisation</w:t>
      </w:r>
      <w:proofErr w:type="spellEnd"/>
      <w:r w:rsidRPr="005E1BEB">
        <w:t xml:space="preserve"> and </w:t>
      </w:r>
      <w:proofErr w:type="spellStart"/>
      <w:r w:rsidRPr="005E1BEB">
        <w:t>micronised</w:t>
      </w:r>
      <w:proofErr w:type="spellEnd"/>
      <w:r w:rsidRPr="005E1BEB">
        <w:t>.</w:t>
      </w:r>
      <w:r w:rsidR="005D64FB">
        <w:t xml:space="preserve"> </w:t>
      </w:r>
      <w:r w:rsidRPr="0031524E">
        <w:t>Structural characterisation was provided using appropriate methods.</w:t>
      </w:r>
    </w:p>
    <w:p w14:paraId="2C2853AE" w14:textId="6898E835" w:rsidR="005D64FB" w:rsidRDefault="00880F40" w:rsidP="00880F40">
      <w:pPr>
        <w:rPr>
          <w:rFonts w:asciiTheme="minorHAnsi" w:eastAsia="Times New Roman" w:hAnsiTheme="minorHAnsi"/>
        </w:rPr>
      </w:pPr>
      <w:r w:rsidRPr="0031524E">
        <w:rPr>
          <w:rFonts w:asciiTheme="minorHAnsi" w:eastAsia="Times New Roman" w:hAnsiTheme="minorHAnsi"/>
        </w:rPr>
        <w:t>The drug substance specification includes tests and limits for 3 identif</w:t>
      </w:r>
      <w:r>
        <w:rPr>
          <w:rFonts w:asciiTheme="minorHAnsi" w:eastAsia="Times New Roman" w:hAnsiTheme="minorHAnsi"/>
        </w:rPr>
        <w:t>ied related substances</w:t>
      </w:r>
      <w:r w:rsidRPr="0031524E">
        <w:rPr>
          <w:rFonts w:asciiTheme="minorHAnsi" w:eastAsia="Times New Roman" w:hAnsiTheme="minorHAnsi"/>
        </w:rPr>
        <w:t>.</w:t>
      </w:r>
      <w:r w:rsidR="005D64FB">
        <w:rPr>
          <w:rFonts w:asciiTheme="minorHAnsi" w:eastAsia="Times New Roman" w:hAnsiTheme="minorHAnsi"/>
        </w:rPr>
        <w:t xml:space="preserve"> </w:t>
      </w:r>
      <w:r w:rsidRPr="0031524E">
        <w:rPr>
          <w:rFonts w:asciiTheme="minorHAnsi" w:eastAsia="Times New Roman" w:hAnsiTheme="minorHAnsi"/>
        </w:rPr>
        <w:t xml:space="preserve">The limit for each unspecified impurity </w:t>
      </w:r>
      <w:r>
        <w:rPr>
          <w:rFonts w:asciiTheme="minorHAnsi" w:eastAsia="Times New Roman" w:hAnsiTheme="minorHAnsi"/>
        </w:rPr>
        <w:t>is</w:t>
      </w:r>
      <w:r w:rsidRPr="0031524E">
        <w:rPr>
          <w:rFonts w:asciiTheme="minorHAnsi" w:eastAsia="Times New Roman" w:hAnsiTheme="minorHAnsi"/>
        </w:rPr>
        <w:t xml:space="preserve"> </w:t>
      </w:r>
      <w:r>
        <w:rPr>
          <w:rFonts w:asciiTheme="minorHAnsi" w:eastAsia="Times New Roman" w:hAnsiTheme="minorHAnsi"/>
        </w:rPr>
        <w:t xml:space="preserve">consistent </w:t>
      </w:r>
      <w:r w:rsidRPr="0031524E">
        <w:rPr>
          <w:rFonts w:asciiTheme="minorHAnsi" w:eastAsia="Times New Roman" w:hAnsiTheme="minorHAnsi"/>
        </w:rPr>
        <w:t xml:space="preserve">with the </w:t>
      </w:r>
      <w:r w:rsidR="00475D5E">
        <w:t>International Conference on Harmonisation</w:t>
      </w:r>
      <w:r w:rsidR="00475D5E" w:rsidRPr="0031524E">
        <w:rPr>
          <w:rFonts w:asciiTheme="minorHAnsi" w:eastAsia="Times New Roman" w:hAnsiTheme="minorHAnsi"/>
        </w:rPr>
        <w:t xml:space="preserve"> </w:t>
      </w:r>
      <w:r w:rsidR="00475D5E">
        <w:rPr>
          <w:rFonts w:asciiTheme="minorHAnsi" w:eastAsia="Times New Roman" w:hAnsiTheme="minorHAnsi"/>
        </w:rPr>
        <w:t>(</w:t>
      </w:r>
      <w:r w:rsidRPr="0031524E">
        <w:rPr>
          <w:rFonts w:asciiTheme="minorHAnsi" w:eastAsia="Times New Roman" w:hAnsiTheme="minorHAnsi"/>
        </w:rPr>
        <w:t>ICH</w:t>
      </w:r>
      <w:r w:rsidR="00475D5E">
        <w:rPr>
          <w:rFonts w:asciiTheme="minorHAnsi" w:eastAsia="Times New Roman" w:hAnsiTheme="minorHAnsi"/>
        </w:rPr>
        <w:t>)</w:t>
      </w:r>
      <w:r w:rsidRPr="0031524E">
        <w:rPr>
          <w:rFonts w:asciiTheme="minorHAnsi" w:eastAsia="Times New Roman" w:hAnsiTheme="minorHAnsi"/>
        </w:rPr>
        <w:t xml:space="preserve"> identification threshold.</w:t>
      </w:r>
      <w:r w:rsidR="005D64FB">
        <w:rPr>
          <w:rFonts w:asciiTheme="minorHAnsi" w:eastAsia="Times New Roman" w:hAnsiTheme="minorHAnsi"/>
        </w:rPr>
        <w:t xml:space="preserve"> </w:t>
      </w:r>
      <w:r w:rsidRPr="0031524E">
        <w:rPr>
          <w:rFonts w:asciiTheme="minorHAnsi" w:eastAsia="Times New Roman" w:hAnsiTheme="minorHAnsi"/>
        </w:rPr>
        <w:t>The active substance specifications include tests for appearance (white to pale yellow powder), identification</w:t>
      </w:r>
      <w:r w:rsidR="005D64FB">
        <w:rPr>
          <w:rFonts w:asciiTheme="minorHAnsi" w:eastAsia="Times New Roman" w:hAnsiTheme="minorHAnsi"/>
        </w:rPr>
        <w:t>,</w:t>
      </w:r>
      <w:r w:rsidRPr="0031524E">
        <w:rPr>
          <w:rFonts w:asciiTheme="minorHAnsi" w:eastAsia="Times New Roman" w:hAnsiTheme="minorHAnsi"/>
        </w:rPr>
        <w:t xml:space="preserve"> </w:t>
      </w:r>
      <w:r w:rsidR="005D64FB">
        <w:rPr>
          <w:rFonts w:asciiTheme="minorHAnsi" w:eastAsia="Times New Roman" w:hAnsiTheme="minorHAnsi"/>
        </w:rPr>
        <w:t xml:space="preserve">near infrared spectroscopy </w:t>
      </w:r>
      <w:r w:rsidRPr="0031524E">
        <w:rPr>
          <w:rFonts w:asciiTheme="minorHAnsi" w:eastAsia="Times New Roman" w:hAnsiTheme="minorHAnsi"/>
        </w:rPr>
        <w:t xml:space="preserve">(NIR), </w:t>
      </w:r>
      <w:r>
        <w:rPr>
          <w:rFonts w:asciiTheme="minorHAnsi" w:eastAsia="Times New Roman" w:hAnsiTheme="minorHAnsi"/>
        </w:rPr>
        <w:t xml:space="preserve">a limit for other </w:t>
      </w:r>
      <w:r w:rsidRPr="0031524E">
        <w:rPr>
          <w:rFonts w:asciiTheme="minorHAnsi" w:eastAsia="Times New Roman" w:hAnsiTheme="minorHAnsi"/>
        </w:rPr>
        <w:t>polymorph</w:t>
      </w:r>
      <w:r>
        <w:rPr>
          <w:rFonts w:asciiTheme="minorHAnsi" w:eastAsia="Times New Roman" w:hAnsiTheme="minorHAnsi"/>
        </w:rPr>
        <w:t>ic forms</w:t>
      </w:r>
      <w:r w:rsidRPr="0031524E">
        <w:rPr>
          <w:rFonts w:asciiTheme="minorHAnsi" w:eastAsia="Times New Roman" w:hAnsiTheme="minorHAnsi"/>
        </w:rPr>
        <w:t xml:space="preserve"> (NIR), </w:t>
      </w:r>
      <w:proofErr w:type="spellStart"/>
      <w:r w:rsidRPr="0031524E">
        <w:rPr>
          <w:rFonts w:asciiTheme="minorHAnsi" w:eastAsia="Times New Roman" w:hAnsiTheme="minorHAnsi"/>
        </w:rPr>
        <w:t>sulfated</w:t>
      </w:r>
      <w:proofErr w:type="spellEnd"/>
      <w:r w:rsidRPr="0031524E">
        <w:rPr>
          <w:rFonts w:asciiTheme="minorHAnsi" w:eastAsia="Times New Roman" w:hAnsiTheme="minorHAnsi"/>
        </w:rPr>
        <w:t xml:space="preserve"> ash </w:t>
      </w:r>
      <w:r w:rsidR="002B698E">
        <w:rPr>
          <w:rFonts w:asciiTheme="minorHAnsi" w:eastAsia="Times New Roman" w:hAnsiTheme="minorHAnsi"/>
        </w:rPr>
        <w:t xml:space="preserve">European Pharmacopeia, </w:t>
      </w:r>
      <w:r w:rsidRPr="0031524E">
        <w:rPr>
          <w:rFonts w:asciiTheme="minorHAnsi" w:eastAsia="Times New Roman" w:hAnsiTheme="minorHAnsi"/>
        </w:rPr>
        <w:t xml:space="preserve">(Ph.Eur.), particle size distribution, assay </w:t>
      </w:r>
      <w:r w:rsidR="002B698E" w:rsidRPr="005D64FB">
        <w:t>high performance liquid chromatography</w:t>
      </w:r>
      <w:r w:rsidR="002B698E" w:rsidRPr="0031524E">
        <w:rPr>
          <w:rFonts w:asciiTheme="minorHAnsi" w:eastAsia="Times New Roman" w:hAnsiTheme="minorHAnsi"/>
        </w:rPr>
        <w:t xml:space="preserve"> </w:t>
      </w:r>
      <w:r w:rsidRPr="0031524E">
        <w:rPr>
          <w:rFonts w:asciiTheme="minorHAnsi" w:eastAsia="Times New Roman" w:hAnsiTheme="minorHAnsi"/>
        </w:rPr>
        <w:t>(HPLC), related substances (HPLC), water content</w:t>
      </w:r>
      <w:r w:rsidR="005D64FB">
        <w:rPr>
          <w:rFonts w:asciiTheme="minorHAnsi" w:eastAsia="Times New Roman" w:hAnsiTheme="minorHAnsi"/>
        </w:rPr>
        <w:t>,</w:t>
      </w:r>
      <w:r w:rsidRPr="0031524E">
        <w:rPr>
          <w:rFonts w:asciiTheme="minorHAnsi" w:eastAsia="Times New Roman" w:hAnsiTheme="minorHAnsi"/>
        </w:rPr>
        <w:t xml:space="preserve"> </w:t>
      </w:r>
      <w:r w:rsidR="005D64FB">
        <w:rPr>
          <w:rFonts w:asciiTheme="minorHAnsi" w:eastAsia="Times New Roman" w:hAnsiTheme="minorHAnsi"/>
        </w:rPr>
        <w:t xml:space="preserve">Karl Fischer titration </w:t>
      </w:r>
      <w:r w:rsidRPr="0031524E">
        <w:rPr>
          <w:rFonts w:asciiTheme="minorHAnsi" w:eastAsia="Times New Roman" w:hAnsiTheme="minorHAnsi"/>
        </w:rPr>
        <w:t>(KF) and residual solvents</w:t>
      </w:r>
      <w:r w:rsidR="002B698E">
        <w:rPr>
          <w:rFonts w:asciiTheme="minorHAnsi" w:eastAsia="Times New Roman" w:hAnsiTheme="minorHAnsi"/>
        </w:rPr>
        <w:t>,</w:t>
      </w:r>
      <w:r w:rsidRPr="0031524E">
        <w:rPr>
          <w:rFonts w:asciiTheme="minorHAnsi" w:eastAsia="Times New Roman" w:hAnsiTheme="minorHAnsi"/>
        </w:rPr>
        <w:t xml:space="preserve"> </w:t>
      </w:r>
      <w:r w:rsidR="002B698E">
        <w:rPr>
          <w:rFonts w:asciiTheme="minorHAnsi" w:eastAsia="Times New Roman" w:hAnsiTheme="minorHAnsi"/>
        </w:rPr>
        <w:t xml:space="preserve">gas chromatography </w:t>
      </w:r>
      <w:r w:rsidRPr="0031524E">
        <w:rPr>
          <w:rFonts w:asciiTheme="minorHAnsi" w:eastAsia="Times New Roman" w:hAnsiTheme="minorHAnsi"/>
        </w:rPr>
        <w:t>(</w:t>
      </w:r>
      <w:r w:rsidRPr="007D45EE">
        <w:rPr>
          <w:rFonts w:asciiTheme="minorHAnsi" w:eastAsia="Times New Roman" w:hAnsiTheme="minorHAnsi"/>
        </w:rPr>
        <w:t>GC)</w:t>
      </w:r>
      <w:r w:rsidR="005D64FB">
        <w:rPr>
          <w:rFonts w:asciiTheme="minorHAnsi" w:eastAsia="Times New Roman" w:hAnsiTheme="minorHAnsi"/>
        </w:rPr>
        <w:t>.</w:t>
      </w:r>
    </w:p>
    <w:p w14:paraId="221EFC86" w14:textId="77777777" w:rsidR="005D64FB" w:rsidRDefault="00880F40" w:rsidP="00940A89">
      <w:pPr>
        <w:rPr>
          <w:rFonts w:asciiTheme="minorHAnsi" w:eastAsia="Times New Roman" w:hAnsiTheme="minorHAnsi"/>
        </w:rPr>
      </w:pPr>
      <w:r w:rsidRPr="007D45EE">
        <w:rPr>
          <w:rFonts w:asciiTheme="minorHAnsi" w:eastAsia="Times New Roman" w:hAnsiTheme="minorHAnsi"/>
        </w:rPr>
        <w:t>Impurities were described, classified as process-related impurities and possible degradation products, and qualified.</w:t>
      </w:r>
      <w:r w:rsidR="005D64FB">
        <w:rPr>
          <w:rFonts w:asciiTheme="minorHAnsi" w:eastAsia="Times New Roman" w:hAnsiTheme="minorHAnsi"/>
        </w:rPr>
        <w:t xml:space="preserve"> </w:t>
      </w:r>
      <w:r w:rsidRPr="007D45EE">
        <w:rPr>
          <w:rFonts w:asciiTheme="minorHAnsi" w:eastAsia="Times New Roman" w:hAnsiTheme="minorHAnsi"/>
        </w:rPr>
        <w:t xml:space="preserve">Residual solvents limits in the API meet </w:t>
      </w:r>
      <w:r w:rsidR="002B698E">
        <w:t>International Conference on Harmonisation</w:t>
      </w:r>
      <w:r w:rsidR="002B698E" w:rsidRPr="007D45EE">
        <w:rPr>
          <w:rFonts w:asciiTheme="minorHAnsi" w:eastAsia="Times New Roman" w:hAnsiTheme="minorHAnsi"/>
        </w:rPr>
        <w:t xml:space="preserve"> </w:t>
      </w:r>
      <w:r w:rsidR="002B698E">
        <w:rPr>
          <w:rFonts w:asciiTheme="minorHAnsi" w:eastAsia="Times New Roman" w:hAnsiTheme="minorHAnsi"/>
        </w:rPr>
        <w:t>(</w:t>
      </w:r>
      <w:r w:rsidRPr="007D45EE">
        <w:rPr>
          <w:rFonts w:asciiTheme="minorHAnsi" w:eastAsia="Times New Roman" w:hAnsiTheme="minorHAnsi"/>
        </w:rPr>
        <w:t>ICH</w:t>
      </w:r>
      <w:r w:rsidR="002B698E">
        <w:rPr>
          <w:rFonts w:asciiTheme="minorHAnsi" w:eastAsia="Times New Roman" w:hAnsiTheme="minorHAnsi"/>
        </w:rPr>
        <w:t>)</w:t>
      </w:r>
      <w:r w:rsidRPr="007D45EE">
        <w:rPr>
          <w:rFonts w:asciiTheme="minorHAnsi" w:eastAsia="Times New Roman" w:hAnsiTheme="minorHAnsi"/>
        </w:rPr>
        <w:t xml:space="preserve"> requirements</w:t>
      </w:r>
      <w:r w:rsidR="005D64FB">
        <w:rPr>
          <w:rFonts w:asciiTheme="minorHAnsi" w:eastAsia="Times New Roman" w:hAnsiTheme="minorHAnsi"/>
        </w:rPr>
        <w:t>.</w:t>
      </w:r>
    </w:p>
    <w:p w14:paraId="19CA7101" w14:textId="77777777" w:rsidR="008E7846" w:rsidRDefault="008E7846" w:rsidP="008E7846">
      <w:pPr>
        <w:pStyle w:val="Heading3"/>
      </w:pPr>
      <w:bookmarkStart w:id="34" w:name="_Toc247691508"/>
      <w:bookmarkStart w:id="35" w:name="_Toc314842490"/>
      <w:bookmarkStart w:id="36" w:name="_Toc8053808"/>
      <w:r w:rsidRPr="008751DC">
        <w:t xml:space="preserve">Drug </w:t>
      </w:r>
      <w:r>
        <w:t>p</w:t>
      </w:r>
      <w:r w:rsidRPr="008751DC">
        <w:t>roduct</w:t>
      </w:r>
      <w:bookmarkEnd w:id="34"/>
      <w:bookmarkEnd w:id="35"/>
      <w:bookmarkEnd w:id="36"/>
    </w:p>
    <w:p w14:paraId="065E026B" w14:textId="252A1978" w:rsidR="005D64FB" w:rsidRDefault="002B698E" w:rsidP="00880F40">
      <w:r>
        <w:t>Lynparza</w:t>
      </w:r>
      <w:r w:rsidR="00880F40" w:rsidRPr="00B84953">
        <w:t xml:space="preserve"> </w:t>
      </w:r>
      <w:r w:rsidR="00880F40">
        <w:t xml:space="preserve">olaparib </w:t>
      </w:r>
      <w:r w:rsidR="00880F40" w:rsidRPr="00B84953">
        <w:t xml:space="preserve">capsules are white and are marked with </w:t>
      </w:r>
      <w:r w:rsidR="007F104F">
        <w:t>‘</w:t>
      </w:r>
      <w:r w:rsidR="00880F40" w:rsidRPr="00B84953">
        <w:t>OLAPARIB 50 mg</w:t>
      </w:r>
      <w:r w:rsidR="007F104F">
        <w:t>’</w:t>
      </w:r>
      <w:r w:rsidR="00880F40" w:rsidRPr="00B84953">
        <w:t xml:space="preserve"> and the AstraZeneca logo printed in black ink.</w:t>
      </w:r>
      <w:r w:rsidR="005D64FB">
        <w:t xml:space="preserve"> </w:t>
      </w:r>
      <w:r w:rsidR="00880F40">
        <w:t xml:space="preserve">The </w:t>
      </w:r>
      <w:r w:rsidR="00880F40" w:rsidRPr="00413C21">
        <w:t>capsules are size 0 (approximately 22 mm in length and 7 mm in diameter)</w:t>
      </w:r>
      <w:r w:rsidR="005D64FB">
        <w:t>.</w:t>
      </w:r>
    </w:p>
    <w:p w14:paraId="5F8F682F" w14:textId="77777777" w:rsidR="00880F40" w:rsidRPr="00B84953" w:rsidRDefault="00880F40" w:rsidP="00880F40">
      <w:r w:rsidRPr="00B84953">
        <w:t xml:space="preserve">The capsules consist of 50 mg olaparib drug </w:t>
      </w:r>
      <w:r w:rsidR="002B698E">
        <w:t xml:space="preserve">substance suspended in the semi </w:t>
      </w:r>
      <w:r w:rsidRPr="00B84953">
        <w:t xml:space="preserve">solid </w:t>
      </w:r>
      <w:proofErr w:type="spellStart"/>
      <w:r w:rsidRPr="00B84953">
        <w:t>lipidic</w:t>
      </w:r>
      <w:proofErr w:type="spellEnd"/>
      <w:r w:rsidRPr="00B84953">
        <w:t xml:space="preserve"> excipient </w:t>
      </w:r>
      <w:proofErr w:type="spellStart"/>
      <w:r w:rsidRPr="00B84953">
        <w:t>lauroyl</w:t>
      </w:r>
      <w:proofErr w:type="spellEnd"/>
      <w:r w:rsidRPr="00B84953">
        <w:t xml:space="preserve"> macrogol-32 glycerides, within a hypromellose capsule shell which also contains </w:t>
      </w:r>
      <w:proofErr w:type="spellStart"/>
      <w:r w:rsidRPr="00B84953">
        <w:t>gellan</w:t>
      </w:r>
      <w:proofErr w:type="spellEnd"/>
      <w:r w:rsidRPr="00B84953">
        <w:t xml:space="preserve"> gum, titanium dioxide and potassium acetate.</w:t>
      </w:r>
      <w:r w:rsidR="005D64FB">
        <w:t xml:space="preserve"> </w:t>
      </w:r>
      <w:r w:rsidRPr="00413C21">
        <w:t>The capsule shell is made of hypromellose (not gelatin).</w:t>
      </w:r>
    </w:p>
    <w:p w14:paraId="1B9CBE73" w14:textId="15F79FFF" w:rsidR="00880F40" w:rsidRDefault="00880F40" w:rsidP="00880F40">
      <w:r w:rsidRPr="00413C21">
        <w:t xml:space="preserve">The formulation is unusual: the fill consists of olaparib drug </w:t>
      </w:r>
      <w:r w:rsidR="002B698E">
        <w:t xml:space="preserve">substance suspended in the semi </w:t>
      </w:r>
      <w:r w:rsidRPr="00413C21">
        <w:t xml:space="preserve">solid excipient </w:t>
      </w:r>
      <w:proofErr w:type="spellStart"/>
      <w:r w:rsidRPr="00413C21">
        <w:t>lauroyl</w:t>
      </w:r>
      <w:proofErr w:type="spellEnd"/>
      <w:r w:rsidRPr="00413C21">
        <w:t xml:space="preserve"> macrogol-32 glycerides</w:t>
      </w:r>
      <w:r>
        <w:t xml:space="preserve">, which </w:t>
      </w:r>
      <w:r w:rsidRPr="00A23F66">
        <w:t xml:space="preserve">is a mixture of components, both partially hydrolysed oil (the glyceride fraction) and esterified </w:t>
      </w:r>
      <w:proofErr w:type="spellStart"/>
      <w:r w:rsidRPr="00A23F66">
        <w:t>macrogols</w:t>
      </w:r>
      <w:proofErr w:type="spellEnd"/>
      <w:r w:rsidRPr="00413C21">
        <w:t>.</w:t>
      </w:r>
      <w:r>
        <w:t xml:space="preserve"> </w:t>
      </w:r>
      <w:proofErr w:type="spellStart"/>
      <w:r>
        <w:t>L</w:t>
      </w:r>
      <w:r w:rsidRPr="00413C21">
        <w:t>auroyl</w:t>
      </w:r>
      <w:proofErr w:type="spellEnd"/>
      <w:r w:rsidRPr="00413C21">
        <w:t xml:space="preserve"> macrogol-32 glycerides</w:t>
      </w:r>
      <w:r w:rsidR="00121EAE">
        <w:t>;</w:t>
      </w:r>
      <w:r>
        <w:t xml:space="preserve"> forms a</w:t>
      </w:r>
      <w:r w:rsidRPr="00BC1D0D">
        <w:t xml:space="preserve"> microemulsion</w:t>
      </w:r>
      <w:r>
        <w:t xml:space="preserve"> in water.</w:t>
      </w:r>
      <w:r w:rsidR="005D64FB">
        <w:t xml:space="preserve"> </w:t>
      </w:r>
      <w:r>
        <w:t xml:space="preserve">The dose of </w:t>
      </w:r>
      <w:proofErr w:type="spellStart"/>
      <w:r w:rsidRPr="00413C21">
        <w:t>lauroyl</w:t>
      </w:r>
      <w:proofErr w:type="spellEnd"/>
      <w:r w:rsidRPr="00413C21">
        <w:t xml:space="preserve"> macrogol-32 glycerides</w:t>
      </w:r>
      <w:r>
        <w:t xml:space="preserve"> is critical in giving reasonable olaparib bioavailability.</w:t>
      </w:r>
      <w:r w:rsidR="005D64FB">
        <w:t xml:space="preserve"> </w:t>
      </w:r>
      <w:proofErr w:type="spellStart"/>
      <w:r>
        <w:t>L</w:t>
      </w:r>
      <w:r w:rsidRPr="00413C21">
        <w:t>auroyl</w:t>
      </w:r>
      <w:proofErr w:type="spellEnd"/>
      <w:r w:rsidRPr="00413C21">
        <w:t xml:space="preserve"> macrogol-32 </w:t>
      </w:r>
      <w:proofErr w:type="gramStart"/>
      <w:r w:rsidRPr="00413C21">
        <w:t>glycerides</w:t>
      </w:r>
      <w:r w:rsidRPr="00A23F66">
        <w:t xml:space="preserve"> is</w:t>
      </w:r>
      <w:proofErr w:type="gramEnd"/>
      <w:r w:rsidRPr="00A23F66">
        <w:t xml:space="preserve"> included in a very small number of tablet formulations on the ARTG, but at dramatically lower </w:t>
      </w:r>
      <w:r>
        <w:t>doses.</w:t>
      </w:r>
      <w:r w:rsidR="005D64FB">
        <w:t xml:space="preserve"> </w:t>
      </w:r>
      <w:r>
        <w:t xml:space="preserve">Qualification of this level of the excipient is based on submitted </w:t>
      </w:r>
      <w:r w:rsidR="002B698E">
        <w:t>Lynparza</w:t>
      </w:r>
      <w:r>
        <w:t xml:space="preserve"> data.</w:t>
      </w:r>
    </w:p>
    <w:p w14:paraId="6743006A" w14:textId="77777777" w:rsidR="00880F40" w:rsidRDefault="00880F40" w:rsidP="00880F40">
      <w:r w:rsidRPr="00892642">
        <w:t>The capsule manufacturing process involves suspension in molten excipient, filling/encapsulation and packaging</w:t>
      </w:r>
      <w:bookmarkStart w:id="37" w:name="_Hlk531184442"/>
      <w:r w:rsidRPr="00892642">
        <w:t>.</w:t>
      </w:r>
      <w:r w:rsidR="005D64FB">
        <w:t xml:space="preserve"> </w:t>
      </w:r>
      <w:r>
        <w:t>High pharmacokinetic variability</w:t>
      </w:r>
      <w:r w:rsidRPr="0090554A">
        <w:t xml:space="preserve"> </w:t>
      </w:r>
      <w:r>
        <w:t>for o</w:t>
      </w:r>
      <w:r w:rsidRPr="0090554A">
        <w:t xml:space="preserve">laparib </w:t>
      </w:r>
      <w:r>
        <w:t xml:space="preserve">might be in part due to product variability in some earlier batches (which showed slower </w:t>
      </w:r>
      <w:r w:rsidRPr="00A5248F">
        <w:rPr>
          <w:i/>
        </w:rPr>
        <w:t>in vitro</w:t>
      </w:r>
      <w:r>
        <w:t xml:space="preserve"> dissolution).</w:t>
      </w:r>
    </w:p>
    <w:bookmarkEnd w:id="37"/>
    <w:p w14:paraId="1073DD05" w14:textId="77777777" w:rsidR="00880F40" w:rsidRPr="00413C21" w:rsidRDefault="00880F40" w:rsidP="00880F40">
      <w:r w:rsidRPr="00A252CC">
        <w:t xml:space="preserve">The capsules are packed in HDPE bottles with </w:t>
      </w:r>
      <w:r w:rsidR="002B698E">
        <w:t xml:space="preserve">child </w:t>
      </w:r>
      <w:r>
        <w:t>resistant closures</w:t>
      </w:r>
      <w:r w:rsidR="002B698E">
        <w:t>, each with 112 </w:t>
      </w:r>
      <w:r w:rsidRPr="00A252CC">
        <w:t>capsules</w:t>
      </w:r>
      <w:r>
        <w:t>,</w:t>
      </w:r>
      <w:r w:rsidRPr="00A252CC">
        <w:t xml:space="preserve"> in a carton of 4 bottles (total 448 capsules).</w:t>
      </w:r>
    </w:p>
    <w:p w14:paraId="47F2BB9E" w14:textId="77777777" w:rsidR="005D64FB" w:rsidRDefault="00880F40" w:rsidP="00880F40">
      <w:r w:rsidRPr="0031524E">
        <w:t xml:space="preserve">The </w:t>
      </w:r>
      <w:r w:rsidRPr="005265FA">
        <w:t xml:space="preserve">finished product specifications include tests for </w:t>
      </w:r>
      <w:r>
        <w:t>appearance</w:t>
      </w:r>
      <w:r w:rsidRPr="005265FA">
        <w:t xml:space="preserve">, identification (HPLC, UV), </w:t>
      </w:r>
      <w:r>
        <w:t xml:space="preserve">a limit for other </w:t>
      </w:r>
      <w:r w:rsidRPr="0031524E">
        <w:t>polymorph</w:t>
      </w:r>
      <w:r>
        <w:t>ic forms (NIR)</w:t>
      </w:r>
      <w:r w:rsidRPr="005265FA">
        <w:t xml:space="preserve">, assay (HPLC), impurities (HPLC), uniformity of </w:t>
      </w:r>
      <w:r w:rsidRPr="005265FA">
        <w:lastRenderedPageBreak/>
        <w:t>dosage units (EP), dissolution (HPLC/UV detection) and microbial quality (EP).</w:t>
      </w:r>
      <w:r w:rsidR="005D64FB">
        <w:t xml:space="preserve"> </w:t>
      </w:r>
      <w:r w:rsidRPr="005265FA">
        <w:t xml:space="preserve">Assay limits comply with </w:t>
      </w:r>
      <w:r w:rsidR="002B698E">
        <w:t>Therapeutic Goods Order (</w:t>
      </w:r>
      <w:r w:rsidRPr="005265FA">
        <w:t>TGO</w:t>
      </w:r>
      <w:r w:rsidR="002B698E">
        <w:t>)</w:t>
      </w:r>
      <w:r w:rsidRPr="005265FA">
        <w:t xml:space="preserve"> 78 at release and expiry</w:t>
      </w:r>
      <w:r w:rsidR="005D64FB">
        <w:t>.</w:t>
      </w:r>
    </w:p>
    <w:p w14:paraId="46147C15" w14:textId="657765A5" w:rsidR="00880F40" w:rsidRDefault="00880F40" w:rsidP="00880F40">
      <w:pPr>
        <w:rPr>
          <w:highlight w:val="yellow"/>
        </w:rPr>
      </w:pPr>
      <w:r w:rsidRPr="005265FA">
        <w:t>Capsule dissolution is tested using a paddle apparatus</w:t>
      </w:r>
      <w:r w:rsidR="000B5ED0">
        <w:t xml:space="preserve"> to an appropriate specification</w:t>
      </w:r>
      <w:r w:rsidRPr="005265FA">
        <w:t>.</w:t>
      </w:r>
    </w:p>
    <w:p w14:paraId="1AE909BF" w14:textId="77777777" w:rsidR="00880F40" w:rsidRPr="00095ED1" w:rsidRDefault="00880F40" w:rsidP="00880F40">
      <w:pPr>
        <w:rPr>
          <w:highlight w:val="yellow"/>
        </w:rPr>
      </w:pPr>
      <w:r>
        <w:t>One degradant increases on storage because of reaction of the olaparib with the formulation; the proposed limit for this w</w:t>
      </w:r>
      <w:r w:rsidRPr="00604436">
        <w:t>as not toxicologically qualified</w:t>
      </w:r>
      <w:r>
        <w:t>.</w:t>
      </w:r>
      <w:r w:rsidR="005D64FB">
        <w:t xml:space="preserve"> </w:t>
      </w:r>
      <w:r>
        <w:t>The product was approved based on clinical experience.</w:t>
      </w:r>
    </w:p>
    <w:p w14:paraId="7927AF3D" w14:textId="77777777" w:rsidR="00940A89" w:rsidRPr="00940A89" w:rsidRDefault="00880F40" w:rsidP="00940A89">
      <w:r>
        <w:t>S</w:t>
      </w:r>
      <w:r w:rsidRPr="00650F73">
        <w:t>tability data support</w:t>
      </w:r>
      <w:r>
        <w:t>ed</w:t>
      </w:r>
      <w:r w:rsidRPr="00650F73">
        <w:t xml:space="preserve"> a shelf life of 24 months</w:t>
      </w:r>
      <w:r>
        <w:t>,</w:t>
      </w:r>
      <w:r w:rsidRPr="00650F73">
        <w:t xml:space="preserve"> store below 30</w:t>
      </w:r>
      <w:r w:rsidR="002B698E">
        <w:rPr>
          <w:rFonts w:ascii="Cambria Math" w:hAnsi="Cambria Math" w:cs="Cambria Math"/>
        </w:rPr>
        <w:t>℃;</w:t>
      </w:r>
      <w:r w:rsidRPr="00650F73">
        <w:rPr>
          <w:rFonts w:ascii="Cambria Math" w:hAnsi="Cambria Math" w:cs="Cambria Math"/>
        </w:rPr>
        <w:t xml:space="preserve"> store in original container</w:t>
      </w:r>
      <w:r w:rsidR="002B698E">
        <w:t>.</w:t>
      </w:r>
    </w:p>
    <w:p w14:paraId="027AA29D" w14:textId="77777777" w:rsidR="008E7846" w:rsidRDefault="008E7846" w:rsidP="008E7846">
      <w:pPr>
        <w:pStyle w:val="Heading3"/>
      </w:pPr>
      <w:bookmarkStart w:id="38" w:name="_Toc314842491"/>
      <w:bookmarkStart w:id="39" w:name="_Toc8053809"/>
      <w:r>
        <w:t>Biopharmaceutics</w:t>
      </w:r>
      <w:bookmarkEnd w:id="38"/>
      <w:bookmarkEnd w:id="39"/>
    </w:p>
    <w:p w14:paraId="35BD006E" w14:textId="77777777" w:rsidR="00880F40" w:rsidRPr="008F5336" w:rsidRDefault="00880F40" w:rsidP="00880F40">
      <w:bookmarkStart w:id="40" w:name="_Toc247691509"/>
      <w:bookmarkStart w:id="41" w:name="_Toc314842493"/>
      <w:r w:rsidRPr="008F5336">
        <w:t>The same formulation proposed for registration was used in clinical studies.</w:t>
      </w:r>
    </w:p>
    <w:p w14:paraId="2EC659ED" w14:textId="77777777" w:rsidR="00880F40" w:rsidRPr="008F5336" w:rsidRDefault="00880F40" w:rsidP="00880F40">
      <w:pPr>
        <w:rPr>
          <w:highlight w:val="yellow"/>
        </w:rPr>
      </w:pPr>
      <w:r w:rsidRPr="008F5336">
        <w:t>Following oral administration of olaparib capsule formulation, absorption is rapid with peak plasma concentrations typically achieved between 1 to 3 hours after dosing.</w:t>
      </w:r>
      <w:r w:rsidR="005D64FB">
        <w:t xml:space="preserve"> </w:t>
      </w:r>
      <w:r w:rsidRPr="008F5336">
        <w:t>On multiple dosing there is no marked accumulation, with steady state exposures achieved within ~3 to 4 days.</w:t>
      </w:r>
    </w:p>
    <w:p w14:paraId="0A749B0A" w14:textId="77777777" w:rsidR="00880F40" w:rsidRPr="008F5336" w:rsidRDefault="00880F40" w:rsidP="00880F40">
      <w:r w:rsidRPr="008F5336">
        <w:t>Co-administration with food slowed the rate (t</w:t>
      </w:r>
      <w:r w:rsidRPr="008F5336">
        <w:rPr>
          <w:vertAlign w:val="subscript"/>
        </w:rPr>
        <w:t>max</w:t>
      </w:r>
      <w:r w:rsidRPr="008F5336">
        <w:t xml:space="preserve"> delayed by 2 hours) and increased the extent of absorption of olaparib (</w:t>
      </w:r>
      <w:r w:rsidR="002B698E">
        <w:t xml:space="preserve">Area under plasma concentration </w:t>
      </w:r>
      <w:r w:rsidR="002B698E" w:rsidRPr="00875AB5">
        <w:t>time curve</w:t>
      </w:r>
      <w:r w:rsidR="002B698E">
        <w:t xml:space="preserve"> (</w:t>
      </w:r>
      <w:r w:rsidRPr="008F5336">
        <w:t>AUC</w:t>
      </w:r>
      <w:r w:rsidR="002B698E">
        <w:t>)</w:t>
      </w:r>
      <w:r w:rsidRPr="008F5336">
        <w:t xml:space="preserve"> increased by approximately 20%).</w:t>
      </w:r>
      <w:r w:rsidR="005D64FB">
        <w:t xml:space="preserve"> </w:t>
      </w:r>
      <w:r w:rsidRPr="008F5336">
        <w:t xml:space="preserve">Consequently, patients should take </w:t>
      </w:r>
      <w:r w:rsidR="002B698E">
        <w:t>Lynparza</w:t>
      </w:r>
      <w:r w:rsidRPr="008F5336">
        <w:t xml:space="preserve"> at least one hour after food, and should refrain from eating for 2 hours afterwards.</w:t>
      </w:r>
    </w:p>
    <w:p w14:paraId="366C7C1D" w14:textId="77777777" w:rsidR="00880F40" w:rsidRPr="008F5336" w:rsidRDefault="00880F40" w:rsidP="00880F40">
      <w:r w:rsidRPr="008F5336">
        <w:t>The pharmacokinetics of olaparib at the 400 mg twice daily capsule dose are characterised by an apparent plasma clearance of ~</w:t>
      </w:r>
      <w:r w:rsidR="002B698E">
        <w:t xml:space="preserve"> </w:t>
      </w:r>
      <w:r w:rsidRPr="008F5336">
        <w:t>8.6 L/h</w:t>
      </w:r>
      <w:r w:rsidR="002B698E">
        <w:t>our</w:t>
      </w:r>
      <w:r w:rsidRPr="008F5336">
        <w:t>, an apparent volume of distribution of ~</w:t>
      </w:r>
      <w:r w:rsidR="002B698E">
        <w:t> </w:t>
      </w:r>
      <w:r w:rsidRPr="008F5336">
        <w:t>167 L and a terminal half-life of 11.9 hours.</w:t>
      </w:r>
      <w:r w:rsidR="005D64FB">
        <w:t xml:space="preserve"> </w:t>
      </w:r>
      <w:r w:rsidRPr="008F5336">
        <w:rPr>
          <w:color w:val="000000"/>
          <w:lang w:eastAsia="en-AU"/>
        </w:rPr>
        <w:t xml:space="preserve">Olaparib is approximately 82% protein bound </w:t>
      </w:r>
      <w:r w:rsidRPr="00A5248F">
        <w:rPr>
          <w:i/>
          <w:color w:val="000000"/>
          <w:lang w:eastAsia="en-AU"/>
        </w:rPr>
        <w:t>in vitro</w:t>
      </w:r>
      <w:r w:rsidRPr="008F5336">
        <w:rPr>
          <w:color w:val="000000"/>
          <w:lang w:eastAsia="en-AU"/>
        </w:rPr>
        <w:t xml:space="preserve"> at plasma concentrations equivalent to those achieved following dosing at 400 mg twice daily.</w:t>
      </w:r>
    </w:p>
    <w:p w14:paraId="7AE24830" w14:textId="2B9B6BB5" w:rsidR="00880F40" w:rsidRPr="008F5336" w:rsidRDefault="00880F40" w:rsidP="00880F40">
      <w:r w:rsidRPr="008F5336">
        <w:t xml:space="preserve">Following oral dosing of </w:t>
      </w:r>
      <w:r w:rsidRPr="008F5336">
        <w:rPr>
          <w:vertAlign w:val="superscript"/>
        </w:rPr>
        <w:t>14</w:t>
      </w:r>
      <w:r w:rsidRPr="008F5336">
        <w:t>C-olaparib to female patients, unchanged olaparib accounted for the majority of the circulating radioactivity in plasma (70%) and was the major component found in both urine and faeces (15% and 6% of the dose respectively).</w:t>
      </w:r>
      <w:r w:rsidR="005D64FB">
        <w:t xml:space="preserve"> </w:t>
      </w:r>
      <w:r w:rsidRPr="008F5336">
        <w:t xml:space="preserve">The metabolism of olaparib is extensive with the main site of metabolism being the </w:t>
      </w:r>
      <w:proofErr w:type="spellStart"/>
      <w:r w:rsidRPr="008F5336">
        <w:t>piperazine</w:t>
      </w:r>
      <w:proofErr w:type="spellEnd"/>
      <w:r w:rsidRPr="008F5336">
        <w:t xml:space="preserve"> </w:t>
      </w:r>
      <w:proofErr w:type="spellStart"/>
      <w:r w:rsidRPr="008F5336">
        <w:t>carboxycyclopropyl</w:t>
      </w:r>
      <w:proofErr w:type="spellEnd"/>
      <w:r w:rsidRPr="008F5336">
        <w:t xml:space="preserve"> ring structure and, to a lesser extent the </w:t>
      </w:r>
      <w:proofErr w:type="spellStart"/>
      <w:r w:rsidRPr="008F5336">
        <w:t>fluorophenyl</w:t>
      </w:r>
      <w:proofErr w:type="spellEnd"/>
      <w:r w:rsidRPr="008F5336">
        <w:t xml:space="preserve"> and the </w:t>
      </w:r>
      <w:proofErr w:type="spellStart"/>
      <w:r w:rsidRPr="008F5336">
        <w:t>phathalazinone</w:t>
      </w:r>
      <w:proofErr w:type="spellEnd"/>
      <w:r w:rsidRPr="008F5336">
        <w:t xml:space="preserve"> ring systems.</w:t>
      </w:r>
      <w:r w:rsidR="005D64FB">
        <w:t xml:space="preserve"> </w:t>
      </w:r>
      <w:r w:rsidRPr="008F5336">
        <w:t>The majority of the metabolism was attributable to oxidation reactions with a number of the components produced undergoing subsequent glucuronide or sulphate conjugation.</w:t>
      </w:r>
      <w:r w:rsidR="005D64FB">
        <w:t xml:space="preserve"> </w:t>
      </w:r>
      <w:r w:rsidRPr="008F5336">
        <w:t xml:space="preserve">Up to 20, 37 and 20 metabolites were detected in plasma, urine and faeces respectively, the majority of them representing </w:t>
      </w:r>
      <w:r w:rsidR="002B698E">
        <w:t xml:space="preserve">&lt; </w:t>
      </w:r>
      <w:r w:rsidRPr="008F5336">
        <w:t>1% of the dosed material.</w:t>
      </w:r>
      <w:r w:rsidR="005D64FB">
        <w:t xml:space="preserve"> </w:t>
      </w:r>
      <w:r w:rsidRPr="008F5336">
        <w:t xml:space="preserve">A ring-opened </w:t>
      </w:r>
      <w:proofErr w:type="spellStart"/>
      <w:r w:rsidRPr="008F5336">
        <w:t>hydroxy-cyclopropyl</w:t>
      </w:r>
      <w:proofErr w:type="spellEnd"/>
      <w:r w:rsidRPr="008F5336">
        <w:t xml:space="preserve"> moiety, and two mono-oxygenated metabolites (each</w:t>
      </w:r>
      <w:r w:rsidR="007F104F">
        <w:t> </w:t>
      </w:r>
      <w:r w:rsidRPr="008F5336">
        <w:t>~</w:t>
      </w:r>
      <w:r w:rsidR="002B698E">
        <w:t> </w:t>
      </w:r>
      <w:r w:rsidRPr="008F5336">
        <w:t>10%) were the major circulating components, with one of the mono-oxygenated metabolites also being the major metabolite in the excreta (6% and 5% of the urinary and faecal radioactivity respectively).</w:t>
      </w:r>
    </w:p>
    <w:p w14:paraId="55F8499B" w14:textId="77777777" w:rsidR="005D64FB" w:rsidRDefault="00880F40" w:rsidP="00880F40">
      <w:r w:rsidRPr="008F5336">
        <w:t>No absolute bioavailability study of olaparib has been conducted in man</w:t>
      </w:r>
      <w:r w:rsidR="005D64FB">
        <w:t>.</w:t>
      </w:r>
    </w:p>
    <w:p w14:paraId="312C9600" w14:textId="77777777" w:rsidR="00880F40" w:rsidRPr="008F5336" w:rsidRDefault="00880F40" w:rsidP="00880F40">
      <w:r w:rsidRPr="008F5336">
        <w:t>Except for changes to the printing on the capsule shells, no changes to the product or manufacturing process have been made between the pivotal clinical study capsule formulation and that proposed for registration, so bioequivalence studies were not required.</w:t>
      </w:r>
    </w:p>
    <w:p w14:paraId="16835DE9" w14:textId="77777777" w:rsidR="005D64FB" w:rsidRDefault="00880F40" w:rsidP="00880F40">
      <w:r w:rsidRPr="008F5336">
        <w:t>No studies have been conducted in man to determine the relative bioavailability of any of capsule variants during formulation development</w:t>
      </w:r>
      <w:r w:rsidR="005D64FB">
        <w:t>.</w:t>
      </w:r>
    </w:p>
    <w:p w14:paraId="47364030" w14:textId="47E330F1" w:rsidR="001D725A" w:rsidRPr="008F5336" w:rsidRDefault="001D725A" w:rsidP="001D725A">
      <w:r w:rsidRPr="008F5336">
        <w:t>A</w:t>
      </w:r>
      <w:r w:rsidR="007F104F">
        <w:t> </w:t>
      </w:r>
      <w:r w:rsidRPr="008F5336">
        <w:t>pre</w:t>
      </w:r>
      <w:r w:rsidR="007F104F">
        <w:noBreakHyphen/>
      </w:r>
      <w:r w:rsidRPr="008F5336">
        <w:t>clinical study was undertaken in dogs (Study 0641KD) to investigate the impact of drug loading on exposure from the capsule formulation.</w:t>
      </w:r>
      <w:r>
        <w:t xml:space="preserve"> </w:t>
      </w:r>
      <w:r w:rsidRPr="008F5336">
        <w:t xml:space="preserve">This study included an </w:t>
      </w:r>
      <w:r>
        <w:t>intravenous (</w:t>
      </w:r>
      <w:r w:rsidRPr="008F5336">
        <w:t>IV</w:t>
      </w:r>
      <w:r>
        <w:t>)</w:t>
      </w:r>
      <w:r w:rsidRPr="008F5336">
        <w:t xml:space="preserve"> arm to investigate absolute bioavailability.</w:t>
      </w:r>
      <w:r>
        <w:t xml:space="preserve"> A</w:t>
      </w:r>
      <w:r w:rsidRPr="008F5336">
        <w:t>s the drug loading increased a decrease in exposure was observed.</w:t>
      </w:r>
      <w:r>
        <w:t xml:space="preserve"> </w:t>
      </w:r>
      <w:r w:rsidRPr="008F5336">
        <w:t xml:space="preserve">Reduction in bioavailability with increasing drug </w:t>
      </w:r>
      <w:r w:rsidRPr="008F5336">
        <w:lastRenderedPageBreak/>
        <w:t xml:space="preserve">loading was attributed to decreased </w:t>
      </w:r>
      <w:r w:rsidRPr="008F5336">
        <w:rPr>
          <w:i/>
        </w:rPr>
        <w:t>in-situ</w:t>
      </w:r>
      <w:r w:rsidRPr="008F5336">
        <w:t xml:space="preserve"> solubility in luminal fluids resulting from decreased availability of LMG to solubilise olaparib.</w:t>
      </w:r>
    </w:p>
    <w:p w14:paraId="1B7EC0D4" w14:textId="77777777" w:rsidR="00880F40" w:rsidRDefault="00880F40" w:rsidP="001D725A">
      <w:r w:rsidRPr="008F5336">
        <w:t xml:space="preserve">A </w:t>
      </w:r>
      <w:r w:rsidR="005D64FB">
        <w:t>food effect</w:t>
      </w:r>
      <w:r w:rsidR="002B698E">
        <w:t xml:space="preserve"> study (Study </w:t>
      </w:r>
      <w:r w:rsidRPr="008F5336">
        <w:t>D081AC00001) was conducted in patients with advanced solid tumours using the proposed capsules.</w:t>
      </w:r>
      <w:r w:rsidR="005D64FB">
        <w:t xml:space="preserve"> </w:t>
      </w:r>
      <w:r w:rsidRPr="008F5336">
        <w:t>Pharmacokinetic studies including food effects included are discussed in the</w:t>
      </w:r>
      <w:r w:rsidRPr="008F5336">
        <w:rPr>
          <w:b/>
        </w:rPr>
        <w:t xml:space="preserve"> </w:t>
      </w:r>
      <w:r w:rsidR="002B698E">
        <w:t>clinical evaluation report</w:t>
      </w:r>
      <w:r w:rsidRPr="008F5336">
        <w:t>.</w:t>
      </w:r>
      <w:r w:rsidR="005D64FB">
        <w:t xml:space="preserve"> </w:t>
      </w:r>
      <w:r w:rsidRPr="008F5336">
        <w:rPr>
          <w:rFonts w:eastAsia="Times New Roman"/>
        </w:rPr>
        <w:t xml:space="preserve">The key biopharmaceutic </w:t>
      </w:r>
      <w:r w:rsidRPr="008F5336">
        <w:t>findings are summarised below.</w:t>
      </w:r>
    </w:p>
    <w:p w14:paraId="68B84B39" w14:textId="77777777" w:rsidR="00880F40" w:rsidRPr="008F5336" w:rsidRDefault="00880F40" w:rsidP="001D725A">
      <w:pPr>
        <w:pStyle w:val="Heading4"/>
      </w:pPr>
      <w:r w:rsidRPr="008F5336">
        <w:t>Food effect Study D081AC00001</w:t>
      </w:r>
    </w:p>
    <w:p w14:paraId="012AAB1E" w14:textId="77777777" w:rsidR="005D64FB" w:rsidRDefault="00880F40" w:rsidP="001D725A">
      <w:r w:rsidRPr="008F5336">
        <w:rPr>
          <w:bCs/>
        </w:rPr>
        <w:t>The study used 50 mg capsules, dosed at 400 mg (8 x 50 mg tablets) comparing bioavailability when dosed fasting, with a standard mean and with a high fat meal in patients.</w:t>
      </w:r>
      <w:r w:rsidR="005D64FB">
        <w:rPr>
          <w:bCs/>
        </w:rPr>
        <w:t xml:space="preserve"> </w:t>
      </w:r>
      <w:r w:rsidRPr="008F5336">
        <w:t>The capsule formulation was identical to the proposed capsule formulation for registration</w:t>
      </w:r>
      <w:r w:rsidR="005D64FB">
        <w:t>.</w:t>
      </w:r>
    </w:p>
    <w:p w14:paraId="5CF35678" w14:textId="77777777" w:rsidR="00880F40" w:rsidRPr="008F5336" w:rsidRDefault="00880F40" w:rsidP="001D725A">
      <w:r w:rsidRPr="008F5336">
        <w:t>Pharmacokinetic profiles are broadly conventional but quite variable between subjects.</w:t>
      </w:r>
      <w:r w:rsidR="005D64FB">
        <w:t xml:space="preserve"> </w:t>
      </w:r>
      <w:r w:rsidRPr="008F5336">
        <w:t>The study showed that food increased mean exposure to olaparib by approximately 20% when administered following either a standard meal or high fat meal compared to the fasted state.</w:t>
      </w:r>
      <w:r w:rsidR="005D64FB">
        <w:t xml:space="preserve"> </w:t>
      </w:r>
      <w:r w:rsidRPr="008F5336">
        <w:t xml:space="preserve">The 90% confidence interval for </w:t>
      </w:r>
      <w:r w:rsidR="002B698E">
        <w:t>Area under plasma concentration-time curve from time zero to infinity</w:t>
      </w:r>
      <w:r w:rsidR="002B698E" w:rsidRPr="008F5336">
        <w:rPr>
          <w:rFonts w:cs="Arial"/>
        </w:rPr>
        <w:t xml:space="preserve"> </w:t>
      </w:r>
      <w:r w:rsidR="002B698E">
        <w:rPr>
          <w:rFonts w:cs="Arial"/>
        </w:rPr>
        <w:t>(</w:t>
      </w:r>
      <w:r w:rsidRPr="008F5336">
        <w:rPr>
          <w:rFonts w:cs="Arial"/>
        </w:rPr>
        <w:t>AUC</w:t>
      </w:r>
      <w:r w:rsidRPr="008F5336">
        <w:rPr>
          <w:rFonts w:cs="Arial"/>
          <w:vertAlign w:val="subscript"/>
        </w:rPr>
        <w:t>0</w:t>
      </w:r>
      <w:r w:rsidRPr="008F5336">
        <w:rPr>
          <w:rFonts w:cs="Arial"/>
          <w:vertAlign w:val="subscript"/>
        </w:rPr>
        <w:noBreakHyphen/>
        <w:t>∞</w:t>
      </w:r>
      <w:r w:rsidR="002B698E">
        <w:rPr>
          <w:rFonts w:cs="Arial"/>
        </w:rPr>
        <w:t>)</w:t>
      </w:r>
      <w:r w:rsidR="002B698E">
        <w:t xml:space="preserve"> was 1.10 to</w:t>
      </w:r>
      <w:r w:rsidRPr="008F5336">
        <w:t xml:space="preserve"> 1.33 (high fat fed/fasted), somewhat outside standard bioequivalence ranges.</w:t>
      </w:r>
    </w:p>
    <w:p w14:paraId="7E4918C0" w14:textId="549830D1" w:rsidR="00880F40" w:rsidRPr="008F5336" w:rsidRDefault="002B698E" w:rsidP="00880F40">
      <w:r>
        <w:t>Maximum plasma concentration</w:t>
      </w:r>
      <w:r w:rsidRPr="008F5336">
        <w:t xml:space="preserve"> </w:t>
      </w:r>
      <w:r>
        <w:t>(</w:t>
      </w:r>
      <w:r w:rsidR="00E032DB" w:rsidRPr="00386C85">
        <w:t>C</w:t>
      </w:r>
      <w:r w:rsidR="00E032DB" w:rsidRPr="00E032DB">
        <w:rPr>
          <w:vertAlign w:val="subscript"/>
        </w:rPr>
        <w:t>max</w:t>
      </w:r>
      <w:r>
        <w:t>)</w:t>
      </w:r>
      <w:r w:rsidR="00880F40" w:rsidRPr="008F5336">
        <w:t xml:space="preserve"> increased by 10% following </w:t>
      </w:r>
      <w:r w:rsidR="00880F40" w:rsidRPr="002B698E">
        <w:t>a standard meal,</w:t>
      </w:r>
      <w:r w:rsidR="00880F40">
        <w:t xml:space="preserve"> which</w:t>
      </w:r>
      <w:r w:rsidR="00880F40" w:rsidRPr="008F5336">
        <w:t xml:space="preserve"> was attributed to the delay </w:t>
      </w:r>
      <w:proofErr w:type="spellStart"/>
      <w:r w:rsidR="00880F40" w:rsidRPr="008F5336">
        <w:t>int</w:t>
      </w:r>
      <w:r w:rsidR="00880F40" w:rsidRPr="008F5336">
        <w:rPr>
          <w:vertAlign w:val="subscript"/>
        </w:rPr>
        <w:t>max</w:t>
      </w:r>
      <w:proofErr w:type="spellEnd"/>
      <w:r w:rsidR="007F104F">
        <w:t>;</w:t>
      </w:r>
      <w:r w:rsidR="00107063">
        <w:rPr>
          <w:rStyle w:val="FootnoteReference"/>
        </w:rPr>
        <w:footnoteReference w:id="1"/>
      </w:r>
      <w:r w:rsidR="00880F40" w:rsidRPr="008F5336">
        <w:t xml:space="preserve"> </w:t>
      </w:r>
      <w:r w:rsidR="00880F40">
        <w:t>from 1.8 hours to four hours</w:t>
      </w:r>
      <w:r w:rsidR="00880F40" w:rsidRPr="008F5336">
        <w:t xml:space="preserve"> with food.</w:t>
      </w:r>
      <w:r w:rsidR="005D64FB">
        <w:t xml:space="preserve"> </w:t>
      </w:r>
      <w:r w:rsidR="00880F40">
        <w:t xml:space="preserve">Curiously, while with </w:t>
      </w:r>
      <w:r w:rsidR="00880F40" w:rsidRPr="008F5336">
        <w:t xml:space="preserve">a </w:t>
      </w:r>
      <w:r w:rsidR="00880F40" w:rsidRPr="00107063">
        <w:t>high fat</w:t>
      </w:r>
      <w:r w:rsidR="00880F40" w:rsidRPr="008F5336">
        <w:t xml:space="preserve"> meal</w:t>
      </w:r>
      <w:r w:rsidR="00880F40">
        <w:t xml:space="preserve"> </w:t>
      </w:r>
      <w:r w:rsidR="00880F40" w:rsidRPr="008F5336">
        <w:t>t</w:t>
      </w:r>
      <w:r w:rsidR="00880F40" w:rsidRPr="008F5336">
        <w:rPr>
          <w:vertAlign w:val="subscript"/>
        </w:rPr>
        <w:t>max</w:t>
      </w:r>
      <w:r w:rsidR="00880F40" w:rsidRPr="008F5336">
        <w:t xml:space="preserve"> </w:t>
      </w:r>
      <w:r w:rsidR="00880F40">
        <w:t xml:space="preserve">was also 4 hours, </w:t>
      </w:r>
      <w:r w:rsidR="00880F40" w:rsidRPr="008F5336">
        <w:t>there was no obvious food effect</w:t>
      </w:r>
      <w:r w:rsidR="00880F40">
        <w:t xml:space="preserve"> on </w:t>
      </w:r>
      <w:r w:rsidR="00E032DB" w:rsidRPr="00386C85">
        <w:t>C</w:t>
      </w:r>
      <w:r w:rsidR="00E032DB" w:rsidRPr="00E032DB">
        <w:rPr>
          <w:vertAlign w:val="subscript"/>
        </w:rPr>
        <w:t>max</w:t>
      </w:r>
      <w:r w:rsidR="00880F40" w:rsidRPr="008F5336">
        <w:t xml:space="preserve"> </w:t>
      </w:r>
      <w:r w:rsidR="00880F40">
        <w:t>(</w:t>
      </w:r>
      <w:r w:rsidR="00880F40" w:rsidRPr="008F5336">
        <w:t xml:space="preserve">90% confidence interval for </w:t>
      </w:r>
      <w:r w:rsidR="00E032DB" w:rsidRPr="00386C85">
        <w:t>C</w:t>
      </w:r>
      <w:r w:rsidR="00E032DB" w:rsidRPr="00E032DB">
        <w:rPr>
          <w:vertAlign w:val="subscript"/>
        </w:rPr>
        <w:t>max</w:t>
      </w:r>
      <w:r w:rsidR="00880F40" w:rsidRPr="008F5336">
        <w:t xml:space="preserve"> </w:t>
      </w:r>
      <w:r w:rsidR="00107063">
        <w:rPr>
          <w:rFonts w:cs="Arial"/>
        </w:rPr>
        <w:t xml:space="preserve">0.92 to </w:t>
      </w:r>
      <w:r w:rsidR="00880F40" w:rsidRPr="008F5336">
        <w:rPr>
          <w:rFonts w:cs="Arial"/>
        </w:rPr>
        <w:t>1.09</w:t>
      </w:r>
      <w:r w:rsidR="00880F40" w:rsidRPr="008F5336">
        <w:t xml:space="preserve"> high fat fed/fasted).</w:t>
      </w:r>
    </w:p>
    <w:p w14:paraId="55477D47" w14:textId="77777777" w:rsidR="00880F40" w:rsidRPr="008F5336" w:rsidRDefault="00880F40" w:rsidP="00880F40">
      <w:r w:rsidRPr="008F5336">
        <w:t xml:space="preserve">The study design, conduct and analysis were considered to be satisfactory from a </w:t>
      </w:r>
      <w:r w:rsidR="00107063">
        <w:t xml:space="preserve">quality </w:t>
      </w:r>
      <w:r w:rsidRPr="008F5336">
        <w:t>perspective.</w:t>
      </w:r>
    </w:p>
    <w:p w14:paraId="329DECA1" w14:textId="104AF66F" w:rsidR="00880F40" w:rsidRPr="008F5336" w:rsidRDefault="00880F40" w:rsidP="00880F40">
      <w:r w:rsidRPr="008F5336">
        <w:t>Another study</w:t>
      </w:r>
      <w:r w:rsidR="00107063">
        <w:t xml:space="preserve">, Study </w:t>
      </w:r>
      <w:r w:rsidRPr="008F5336">
        <w:t xml:space="preserve">D0816C00004 evaluated the effect of food on a </w:t>
      </w:r>
      <w:r w:rsidRPr="00107063">
        <w:t xml:space="preserve">tablet </w:t>
      </w:r>
      <w:r w:rsidRPr="008F5336">
        <w:t>formulation, increasing exposures 8%, but is not relevant to capsule registration.</w:t>
      </w:r>
    </w:p>
    <w:p w14:paraId="6F8B9C2D" w14:textId="77777777" w:rsidR="00880F40" w:rsidRPr="008F5336" w:rsidRDefault="00880F40" w:rsidP="00880F40">
      <w:r w:rsidRPr="008F5336">
        <w:t>The PI recommends:</w:t>
      </w:r>
    </w:p>
    <w:p w14:paraId="59F35352" w14:textId="77777777" w:rsidR="00880F40" w:rsidRPr="00A5248F" w:rsidRDefault="002B698E" w:rsidP="00107063">
      <w:pPr>
        <w:ind w:left="720"/>
        <w:rPr>
          <w:rFonts w:cs="Arial"/>
          <w:i/>
        </w:rPr>
      </w:pPr>
      <w:r w:rsidRPr="00A5248F">
        <w:rPr>
          <w:rFonts w:cs="Arial"/>
          <w:i/>
        </w:rPr>
        <w:t>Lynparza</w:t>
      </w:r>
      <w:r w:rsidR="00880F40" w:rsidRPr="00A5248F">
        <w:rPr>
          <w:rFonts w:cs="Arial"/>
          <w:i/>
        </w:rPr>
        <w:t xml:space="preserve"> should be taken on an empty stomach (at least 1 hour after a meal).</w:t>
      </w:r>
      <w:r w:rsidR="005D64FB" w:rsidRPr="00A5248F">
        <w:rPr>
          <w:rFonts w:cs="Arial"/>
          <w:i/>
        </w:rPr>
        <w:t xml:space="preserve"> </w:t>
      </w:r>
      <w:r w:rsidR="00880F40" w:rsidRPr="00A5248F">
        <w:rPr>
          <w:rFonts w:cs="Arial"/>
          <w:i/>
        </w:rPr>
        <w:t xml:space="preserve">Once </w:t>
      </w:r>
      <w:r w:rsidRPr="00A5248F">
        <w:rPr>
          <w:rFonts w:cs="Arial"/>
          <w:i/>
        </w:rPr>
        <w:t>Lynparza</w:t>
      </w:r>
      <w:r w:rsidR="00880F40" w:rsidRPr="00A5248F">
        <w:rPr>
          <w:rFonts w:cs="Arial"/>
          <w:i/>
        </w:rPr>
        <w:t xml:space="preserve"> is taken, refrain from eating for 2 hours.</w:t>
      </w:r>
    </w:p>
    <w:p w14:paraId="66D05D0F" w14:textId="77777777" w:rsidR="00880F40" w:rsidRPr="00107063" w:rsidRDefault="00880F40" w:rsidP="00880F40">
      <w:pPr>
        <w:rPr>
          <w:rFonts w:cs="TimesNewRoman"/>
          <w:color w:val="000000"/>
        </w:rPr>
      </w:pPr>
      <w:r w:rsidRPr="008F5336">
        <w:rPr>
          <w:rFonts w:cs="TimesNewRoman"/>
          <w:color w:val="000000"/>
        </w:rPr>
        <w:t>Th</w:t>
      </w:r>
      <w:r>
        <w:rPr>
          <w:rFonts w:cs="TimesNewRoman"/>
          <w:color w:val="000000"/>
        </w:rPr>
        <w:t>e PI recommendations match food instructions used th</w:t>
      </w:r>
      <w:r w:rsidRPr="008F5336">
        <w:rPr>
          <w:rFonts w:cs="TimesNewRoman"/>
          <w:color w:val="000000"/>
        </w:rPr>
        <w:t>rough</w:t>
      </w:r>
      <w:r w:rsidR="00107063">
        <w:rPr>
          <w:rFonts w:cs="TimesNewRoman"/>
          <w:color w:val="000000"/>
        </w:rPr>
        <w:t>out the clinical trial program.</w:t>
      </w:r>
    </w:p>
    <w:p w14:paraId="628EF458" w14:textId="2971A825" w:rsidR="00880F40" w:rsidRDefault="00107063" w:rsidP="00880F40">
      <w:pPr>
        <w:pStyle w:val="Heading3"/>
      </w:pPr>
      <w:bookmarkStart w:id="42" w:name="_Toc8053810"/>
      <w:r w:rsidRPr="00880F40">
        <w:t xml:space="preserve">Pharmaceutical </w:t>
      </w:r>
      <w:r w:rsidR="00541721">
        <w:t>s</w:t>
      </w:r>
      <w:r w:rsidRPr="00880F40">
        <w:t>ubcommittee</w:t>
      </w:r>
      <w:bookmarkEnd w:id="42"/>
    </w:p>
    <w:p w14:paraId="2140C364" w14:textId="26DCB91F" w:rsidR="00880F40" w:rsidRDefault="00880F40" w:rsidP="00880F40">
      <w:r>
        <w:t>The application was considered at the 165</w:t>
      </w:r>
      <w:r>
        <w:rPr>
          <w:vertAlign w:val="superscript"/>
        </w:rPr>
        <w:t>th</w:t>
      </w:r>
      <w:r>
        <w:t xml:space="preserve"> </w:t>
      </w:r>
      <w:r w:rsidRPr="00880F40">
        <w:t>meeting of the Pharmaceutical Subcommittee</w:t>
      </w:r>
      <w:r>
        <w:t xml:space="preserve"> (PSC) of </w:t>
      </w:r>
      <w:r w:rsidR="00107063">
        <w:t>Advisory Committee for Prescription Medicines (</w:t>
      </w:r>
      <w:r>
        <w:t>ACPM</w:t>
      </w:r>
      <w:r w:rsidR="00107063">
        <w:t>)</w:t>
      </w:r>
      <w:r>
        <w:t xml:space="preserve"> held Tuesday 24 November 2015. The meeting considered population pharmacokinetic, quality and biopharmaceutic aspects.</w:t>
      </w:r>
    </w:p>
    <w:p w14:paraId="4C948AA0" w14:textId="7CB6A7F5" w:rsidR="00880F40" w:rsidRDefault="00880F40" w:rsidP="00880F40">
      <w:r>
        <w:t xml:space="preserve">The PSC </w:t>
      </w:r>
      <w:r w:rsidR="007F104F">
        <w:t>recommendation follows</w:t>
      </w:r>
      <w:r>
        <w:t>:</w:t>
      </w:r>
    </w:p>
    <w:p w14:paraId="7996F7E9" w14:textId="77777777" w:rsidR="00880F40" w:rsidRDefault="00880F40" w:rsidP="00880F40">
      <w:r>
        <w:t xml:space="preserve">The PSC considered the application submitted by AstraZeneca Pty Ltd to register </w:t>
      </w:r>
      <w:r w:rsidR="002B698E">
        <w:t>Lynparza</w:t>
      </w:r>
      <w:r>
        <w:t xml:space="preserve"> capsule containing 50 mg of a new chemical entity, olaparib.</w:t>
      </w:r>
    </w:p>
    <w:p w14:paraId="2FB1930B" w14:textId="77777777" w:rsidR="00880F40" w:rsidRDefault="00880F40" w:rsidP="00880F40">
      <w:r>
        <w:t xml:space="preserve">The PSC advised that it supported the </w:t>
      </w:r>
      <w:proofErr w:type="spellStart"/>
      <w:r>
        <w:t>pharmacometrician’s</w:t>
      </w:r>
      <w:proofErr w:type="spellEnd"/>
      <w:r>
        <w:t xml:space="preserve"> conclusions.</w:t>
      </w:r>
    </w:p>
    <w:p w14:paraId="4A62C7F7" w14:textId="77777777" w:rsidR="00880F40" w:rsidRDefault="00880F40" w:rsidP="00880F40">
      <w:r>
        <w:t>The PSC provided the following advice:</w:t>
      </w:r>
    </w:p>
    <w:p w14:paraId="4A9E26B2" w14:textId="77777777" w:rsidR="00880F40" w:rsidRDefault="00880F40" w:rsidP="00880F40">
      <w:pPr>
        <w:pStyle w:val="ListBullet"/>
      </w:pPr>
      <w:proofErr w:type="gramStart"/>
      <w:r>
        <w:t>batch</w:t>
      </w:r>
      <w:proofErr w:type="gramEnd"/>
      <w:r>
        <w:t xml:space="preserve"> variability is no longer an issue.</w:t>
      </w:r>
    </w:p>
    <w:p w14:paraId="303F5DF2" w14:textId="77777777" w:rsidR="00880F40" w:rsidRDefault="00880F40" w:rsidP="00880F40">
      <w:pPr>
        <w:pStyle w:val="ListBullet"/>
      </w:pPr>
      <w:proofErr w:type="gramStart"/>
      <w:r>
        <w:lastRenderedPageBreak/>
        <w:t>there</w:t>
      </w:r>
      <w:proofErr w:type="gramEnd"/>
      <w:r>
        <w:t xml:space="preserve"> was no useful information about covariates.</w:t>
      </w:r>
    </w:p>
    <w:p w14:paraId="0A03DA3E" w14:textId="77777777" w:rsidR="00880F40" w:rsidRDefault="00880F40" w:rsidP="00880F40">
      <w:pPr>
        <w:pStyle w:val="ListBullet"/>
      </w:pPr>
      <w:proofErr w:type="gramStart"/>
      <w:r>
        <w:t>the</w:t>
      </w:r>
      <w:proofErr w:type="gramEnd"/>
      <w:r>
        <w:t xml:space="preserve"> 400 mg dose of olaparib was more effective.</w:t>
      </w:r>
    </w:p>
    <w:p w14:paraId="50D84162" w14:textId="77777777" w:rsidR="00880F40" w:rsidRDefault="00880F40" w:rsidP="00880F40">
      <w:pPr>
        <w:pStyle w:val="ListBullet"/>
      </w:pPr>
      <w:proofErr w:type="gramStart"/>
      <w:r>
        <w:t>there</w:t>
      </w:r>
      <w:proofErr w:type="gramEnd"/>
      <w:r>
        <w:t xml:space="preserve"> were no significant exposure </w:t>
      </w:r>
      <w:r w:rsidR="008C6418">
        <w:t>adverse event (</w:t>
      </w:r>
      <w:r>
        <w:t>AE</w:t>
      </w:r>
      <w:r w:rsidR="008C6418">
        <w:t xml:space="preserve">) </w:t>
      </w:r>
      <w:r>
        <w:t>relationships.</w:t>
      </w:r>
    </w:p>
    <w:p w14:paraId="135123AC" w14:textId="77777777" w:rsidR="00880F40" w:rsidRDefault="00880F40" w:rsidP="00880F40">
      <w:r>
        <w:t>The PSC also advised that the PI should be amended to reflect the recommendations of the PSC.</w:t>
      </w:r>
    </w:p>
    <w:p w14:paraId="2AD23382" w14:textId="77777777" w:rsidR="008E7846" w:rsidRPr="008751DC" w:rsidRDefault="008E7846" w:rsidP="008E7846">
      <w:pPr>
        <w:pStyle w:val="Heading3"/>
      </w:pPr>
      <w:bookmarkStart w:id="43" w:name="_Toc8053811"/>
      <w:r>
        <w:t>Quality s</w:t>
      </w:r>
      <w:r w:rsidRPr="008751DC">
        <w:t>ummary</w:t>
      </w:r>
      <w:r>
        <w:t xml:space="preserve"> and conclusions</w:t>
      </w:r>
      <w:bookmarkEnd w:id="40"/>
      <w:bookmarkEnd w:id="41"/>
      <w:bookmarkEnd w:id="43"/>
    </w:p>
    <w:p w14:paraId="5D0EDAA4" w14:textId="77777777" w:rsidR="008E7846" w:rsidRDefault="00880F40" w:rsidP="008E7846">
      <w:r w:rsidRPr="00C06A23">
        <w:t>Registration was recommended with respect to chemistry and quality perspective</w:t>
      </w:r>
      <w:r w:rsidR="00107063">
        <w:t>.</w:t>
      </w:r>
    </w:p>
    <w:p w14:paraId="1DE6AC4F" w14:textId="77777777" w:rsidR="008E7846" w:rsidRDefault="008E7846" w:rsidP="008E7846">
      <w:pPr>
        <w:pStyle w:val="Heading2"/>
      </w:pPr>
      <w:bookmarkStart w:id="44" w:name="_Toc196046439"/>
      <w:bookmarkStart w:id="45" w:name="_Toc247691510"/>
      <w:bookmarkStart w:id="46" w:name="_Toc314842494"/>
      <w:bookmarkStart w:id="47" w:name="_Toc8053812"/>
      <w:r>
        <w:t>I</w:t>
      </w:r>
      <w:r w:rsidR="00500337">
        <w:t>V</w:t>
      </w:r>
      <w:r>
        <w:t>. Nonclinical</w:t>
      </w:r>
      <w:bookmarkEnd w:id="44"/>
      <w:r>
        <w:t xml:space="preserve"> findings</w:t>
      </w:r>
      <w:bookmarkEnd w:id="45"/>
      <w:bookmarkEnd w:id="46"/>
      <w:bookmarkEnd w:id="47"/>
    </w:p>
    <w:p w14:paraId="356D074D" w14:textId="77777777" w:rsidR="008E7846" w:rsidRDefault="008E7846" w:rsidP="00940A89">
      <w:pPr>
        <w:pStyle w:val="Heading3"/>
      </w:pPr>
      <w:bookmarkStart w:id="48" w:name="_Toc247691511"/>
      <w:bookmarkStart w:id="49" w:name="_Toc314842495"/>
      <w:bookmarkStart w:id="50" w:name="_Toc8053813"/>
      <w:r>
        <w:t>Introduction</w:t>
      </w:r>
      <w:bookmarkEnd w:id="48"/>
      <w:bookmarkEnd w:id="49"/>
      <w:bookmarkEnd w:id="50"/>
    </w:p>
    <w:p w14:paraId="32BDDC15" w14:textId="06567012" w:rsidR="005D64FB" w:rsidRDefault="007F104F" w:rsidP="00806575">
      <w:bookmarkStart w:id="51" w:name="_Toc247691512"/>
      <w:bookmarkStart w:id="52" w:name="_Toc314842496"/>
      <w:r>
        <w:t>The sponsor</w:t>
      </w:r>
      <w:r w:rsidR="00806575" w:rsidRPr="00806575">
        <w:t xml:space="preserve"> has applied to register a new chemical entity, olaparib (</w:t>
      </w:r>
      <w:r w:rsidR="002B698E">
        <w:t>Lynparza</w:t>
      </w:r>
      <w:r w:rsidR="00806575" w:rsidRPr="00806575">
        <w:t xml:space="preserve">), a </w:t>
      </w:r>
      <w:proofErr w:type="gramStart"/>
      <w:r w:rsidR="00806575" w:rsidRPr="00806575">
        <w:t>poly(</w:t>
      </w:r>
      <w:proofErr w:type="gramEnd"/>
      <w:r w:rsidR="00806575" w:rsidRPr="00806575">
        <w:t xml:space="preserve">ADP-ribose) polymerase (PARP) inhibitor. </w:t>
      </w:r>
      <w:r w:rsidR="002B698E">
        <w:t>Lynparza</w:t>
      </w:r>
      <w:r w:rsidR="00806575" w:rsidRPr="00806575">
        <w:t xml:space="preserve"> is proposed to be used for the maintenance treatment of adult patients with platinum-sensitive relapsed BRCA-mutated high grade serous ovarian cancer (including fallopian tube or primary peritoneal) who are in response (complete response or partial response) to </w:t>
      </w:r>
      <w:r w:rsidR="007607D4">
        <w:t>platinum based</w:t>
      </w:r>
      <w:r w:rsidR="00806575" w:rsidRPr="00806575">
        <w:t xml:space="preserve"> chemotherapy. The proposed dosing regimen involves oral administrati</w:t>
      </w:r>
      <w:r w:rsidR="00107063">
        <w:t>on of eight 50 mg capsules (400 </w:t>
      </w:r>
      <w:r w:rsidR="00806575" w:rsidRPr="00806575">
        <w:t>mg) taken twice daily, equivalent to a total daily dose of 800 mg</w:t>
      </w:r>
      <w:r w:rsidR="005D64FB">
        <w:t>.</w:t>
      </w:r>
    </w:p>
    <w:p w14:paraId="38B0D391" w14:textId="77777777" w:rsidR="005D64FB" w:rsidRDefault="00806575" w:rsidP="00806575">
      <w:r w:rsidRPr="00806575">
        <w:t xml:space="preserve">The submitted </w:t>
      </w:r>
      <w:r w:rsidR="00107063">
        <w:t>nonclinical</w:t>
      </w:r>
      <w:r w:rsidRPr="00806575">
        <w:t xml:space="preserve"> dossier was in accordance with the relevant ICH guideline for the nonclinical assessment of anticancer pharmaceuticals</w:t>
      </w:r>
      <w:r w:rsidR="00107063">
        <w:t>.</w:t>
      </w:r>
      <w:r w:rsidR="00107063">
        <w:rPr>
          <w:rStyle w:val="FootnoteReference"/>
        </w:rPr>
        <w:footnoteReference w:id="2"/>
      </w:r>
      <w:r w:rsidRPr="00806575">
        <w:t xml:space="preserve"> The overall quality of the dossier was reasonable with all pivotal safety studies conducted under </w:t>
      </w:r>
      <w:r w:rsidR="00107063">
        <w:t>good laboratory practice (</w:t>
      </w:r>
      <w:r w:rsidRPr="00806575">
        <w:t>GLP</w:t>
      </w:r>
      <w:r w:rsidR="00107063">
        <w:t>)</w:t>
      </w:r>
      <w:r w:rsidRPr="00806575">
        <w:t xml:space="preserve"> conditions. The major limitation of the submitted toxicity studies is that exposures were extremely low, generally subclinical. Therefore, the full toxicity profile of olaparib is unlikely to have been revealed in the submitted dossier</w:t>
      </w:r>
      <w:r w:rsidR="005D64FB">
        <w:t>.</w:t>
      </w:r>
    </w:p>
    <w:p w14:paraId="72B13585" w14:textId="77777777" w:rsidR="008E7846" w:rsidRDefault="008E7846" w:rsidP="00806575">
      <w:pPr>
        <w:pStyle w:val="Heading3"/>
      </w:pPr>
      <w:bookmarkStart w:id="53" w:name="_Toc8053814"/>
      <w:r w:rsidRPr="00020030">
        <w:t>Pharmacology</w:t>
      </w:r>
      <w:bookmarkEnd w:id="51"/>
      <w:bookmarkEnd w:id="52"/>
      <w:bookmarkEnd w:id="53"/>
    </w:p>
    <w:p w14:paraId="135F12F9" w14:textId="77777777" w:rsidR="00806575" w:rsidRPr="00806575" w:rsidRDefault="00107063" w:rsidP="00806575">
      <w:pPr>
        <w:pStyle w:val="Heading4"/>
      </w:pPr>
      <w:r>
        <w:t>Primary pharmacology</w:t>
      </w:r>
    </w:p>
    <w:p w14:paraId="4167A469" w14:textId="77777777" w:rsidR="00806575" w:rsidRPr="00806575" w:rsidRDefault="00806575" w:rsidP="00806575">
      <w:pPr>
        <w:pStyle w:val="Heading5"/>
        <w:rPr>
          <w:rFonts w:eastAsiaTheme="minorHAnsi"/>
        </w:rPr>
      </w:pPr>
      <w:r w:rsidRPr="00806575">
        <w:rPr>
          <w:rFonts w:eastAsiaTheme="minorHAnsi"/>
        </w:rPr>
        <w:t>Ra</w:t>
      </w:r>
      <w:r w:rsidR="00107063">
        <w:rPr>
          <w:rFonts w:eastAsiaTheme="minorHAnsi"/>
        </w:rPr>
        <w:t>tionale and mechanism of action</w:t>
      </w:r>
    </w:p>
    <w:p w14:paraId="401B34B3" w14:textId="77777777" w:rsidR="005D64FB" w:rsidRDefault="00806575" w:rsidP="00806575">
      <w:r w:rsidRPr="00806575">
        <w:t xml:space="preserve">BRCA1 and BRCA2 proteins are important for the repair of </w:t>
      </w:r>
      <w:r w:rsidR="00107063">
        <w:t>double strand</w:t>
      </w:r>
      <w:r w:rsidRPr="00806575">
        <w:t xml:space="preserve"> DNA breaks by the </w:t>
      </w:r>
      <w:r w:rsidR="00107063">
        <w:t>error free</w:t>
      </w:r>
      <w:r w:rsidRPr="00806575">
        <w:t xml:space="preserve"> homologous recombination repair pathway. Mutations in BRCA1 or BRCA2 can lead to errors in DNA repair, predisposing an individual to breast or ovarian cancer. </w:t>
      </w:r>
      <w:proofErr w:type="gramStart"/>
      <w:r w:rsidRPr="00806575">
        <w:t>Poly(</w:t>
      </w:r>
      <w:proofErr w:type="gramEnd"/>
      <w:r w:rsidRPr="00806575">
        <w:t xml:space="preserve">ADP-ribose) polymerase-1 (PARP-1) is involved in signalling of DNA damage through its ability to recognise and rapidly bind DNA </w:t>
      </w:r>
      <w:r w:rsidR="00107063">
        <w:t>single strand</w:t>
      </w:r>
      <w:r w:rsidRPr="00806575">
        <w:t xml:space="preserve"> breaks. PARP-1 is also involved in other cellular functions including gene amplification and transcriptional regulation, cell division and differentiation as well as apoptosis and chromosome stability. PARP-2 also has the ability to bind DNA and compensate for PARP-1 activity in DNA </w:t>
      </w:r>
      <w:r w:rsidR="00107063">
        <w:t>single strand</w:t>
      </w:r>
      <w:r w:rsidRPr="00806575">
        <w:t xml:space="preserve"> break repair. Inhibition of PARP-1 or PARP-2 by olaparib is intended to lead to the persistence of </w:t>
      </w:r>
      <w:r w:rsidR="00107063">
        <w:t>single strand</w:t>
      </w:r>
      <w:r w:rsidRPr="00806575">
        <w:t xml:space="preserve"> breaks in DNA, generating a protein-DNA adduct. During replication, the </w:t>
      </w:r>
      <w:r w:rsidR="00107063">
        <w:t>single strand</w:t>
      </w:r>
      <w:r w:rsidRPr="00806575">
        <w:t xml:space="preserve"> breaks bound by trapped PARP results in fork collapse and DNA double strand break formation. In normal cells, these </w:t>
      </w:r>
      <w:r w:rsidR="00107063">
        <w:t>double strand</w:t>
      </w:r>
      <w:r w:rsidRPr="00806575">
        <w:t xml:space="preserve"> breaks are repaired by homologous recombination. In cells lacking BRCA1 or BRCA2 (</w:t>
      </w:r>
      <w:r w:rsidR="00107063">
        <w:t>for example</w:t>
      </w:r>
      <w:r w:rsidR="009703D3">
        <w:t xml:space="preserve">, BRCA </w:t>
      </w:r>
      <w:r w:rsidRPr="00806575">
        <w:t xml:space="preserve">mutated </w:t>
      </w:r>
      <w:r w:rsidRPr="00806575">
        <w:lastRenderedPageBreak/>
        <w:t>ovarian tumour cells), there is no effective homologous recombination repair mechanism and the severity of DNA damage leads to cell death</w:t>
      </w:r>
      <w:r w:rsidR="005D64FB">
        <w:t>.</w:t>
      </w:r>
    </w:p>
    <w:p w14:paraId="6EC187B9" w14:textId="77777777" w:rsidR="00806575" w:rsidRPr="00806575" w:rsidRDefault="009703D3" w:rsidP="00806575">
      <w:pPr>
        <w:pStyle w:val="Heading5"/>
        <w:rPr>
          <w:rFonts w:eastAsiaTheme="minorHAnsi"/>
        </w:rPr>
      </w:pPr>
      <w:r>
        <w:rPr>
          <w:rFonts w:eastAsiaTheme="minorHAnsi"/>
        </w:rPr>
        <w:t>In vitro</w:t>
      </w:r>
    </w:p>
    <w:p w14:paraId="1180B61A" w14:textId="243101DA" w:rsidR="004334C7" w:rsidRDefault="00806575" w:rsidP="00806575">
      <w:r w:rsidRPr="00A5248F">
        <w:rPr>
          <w:i/>
        </w:rPr>
        <w:t>In vitro</w:t>
      </w:r>
      <w:r w:rsidRPr="007F104F">
        <w:t>,</w:t>
      </w:r>
      <w:r w:rsidRPr="00806575">
        <w:t xml:space="preserve"> ol</w:t>
      </w:r>
      <w:r w:rsidR="009703D3">
        <w:t xml:space="preserve">aparib inhibited heterologously </w:t>
      </w:r>
      <w:r w:rsidRPr="00806575">
        <w:t>expressed PARP-1, PARP-2 and PARP-3 enzyme activity</w:t>
      </w:r>
      <w:r w:rsidR="009703D3">
        <w:t xml:space="preserve"> with nanomolar potency (IC</w:t>
      </w:r>
      <w:r w:rsidR="009703D3" w:rsidRPr="009703D3">
        <w:rPr>
          <w:vertAlign w:val="subscript"/>
        </w:rPr>
        <w:t>50</w:t>
      </w:r>
      <w:r w:rsidR="009703D3">
        <w:t xml:space="preserve"> 1 to </w:t>
      </w:r>
      <w:r w:rsidRPr="00806575">
        <w:t xml:space="preserve">5 </w:t>
      </w:r>
      <w:proofErr w:type="spellStart"/>
      <w:r w:rsidRPr="00806575">
        <w:t>nM</w:t>
      </w:r>
      <w:proofErr w:type="spellEnd"/>
      <w:r w:rsidRPr="00806575">
        <w:t>;</w:t>
      </w:r>
      <w:r w:rsidR="00573130">
        <w:rPr>
          <w:rStyle w:val="FootnoteReference"/>
        </w:rPr>
        <w:footnoteReference w:id="3"/>
      </w:r>
      <w:r w:rsidRPr="00806575">
        <w:t xml:space="preserve"> well below the clinical free </w:t>
      </w:r>
      <w:r w:rsidR="009703D3">
        <w:t>minimum serum concentration</w:t>
      </w:r>
      <w:r w:rsidR="009703D3" w:rsidRPr="00806575">
        <w:t xml:space="preserve"> </w:t>
      </w:r>
      <w:r w:rsidR="009703D3">
        <w:t>(</w:t>
      </w:r>
      <w:r w:rsidRPr="00806575">
        <w:t>C</w:t>
      </w:r>
      <w:r w:rsidRPr="009703D3">
        <w:rPr>
          <w:vertAlign w:val="subscript"/>
        </w:rPr>
        <w:t>min</w:t>
      </w:r>
      <w:r w:rsidR="009703D3">
        <w:t>) of 220 </w:t>
      </w:r>
      <w:r w:rsidRPr="00806575">
        <w:t>nM</w:t>
      </w:r>
      <w:r w:rsidR="00573130">
        <w:t>).</w:t>
      </w:r>
      <w:r w:rsidR="00386C85">
        <w:rPr>
          <w:rStyle w:val="FootnoteReference"/>
        </w:rPr>
        <w:footnoteReference w:id="4"/>
      </w:r>
      <w:r w:rsidRPr="00806575">
        <w:t xml:space="preserve"> In SW620 cell extracts (a human colorectal</w:t>
      </w:r>
      <w:r w:rsidR="009703D3">
        <w:t xml:space="preserve"> adenocarcinoma cell line </w:t>
      </w:r>
      <w:r w:rsidR="00573130">
        <w:t>(</w:t>
      </w:r>
      <w:r w:rsidR="009703D3">
        <w:t xml:space="preserve">wild </w:t>
      </w:r>
      <w:r w:rsidRPr="00806575">
        <w:t>type BRCA cell line</w:t>
      </w:r>
      <w:r w:rsidR="00573130">
        <w:t>)</w:t>
      </w:r>
      <w:r w:rsidRPr="00806575">
        <w:t xml:space="preserve">), olaparib inhibited PARP activity in a </w:t>
      </w:r>
      <w:r w:rsidR="00E032DB">
        <w:t>concentration dependent</w:t>
      </w:r>
      <w:r w:rsidRPr="00806575">
        <w:t xml:space="preserve"> manner with an </w:t>
      </w:r>
      <w:r w:rsidR="009703D3">
        <w:t>IC</w:t>
      </w:r>
      <w:r w:rsidR="009703D3" w:rsidRPr="009703D3">
        <w:rPr>
          <w:vertAlign w:val="subscript"/>
        </w:rPr>
        <w:t>50</w:t>
      </w:r>
      <w:r w:rsidRPr="00806575">
        <w:t xml:space="preserve"> and IC</w:t>
      </w:r>
      <w:r w:rsidRPr="009703D3">
        <w:rPr>
          <w:vertAlign w:val="subscript"/>
        </w:rPr>
        <w:t>90</w:t>
      </w:r>
      <w:r w:rsidRPr="00806575">
        <w:t xml:space="preserve"> of 5.4 nM and 60 nM, respectively.</w:t>
      </w:r>
    </w:p>
    <w:p w14:paraId="11D6BA85" w14:textId="77777777" w:rsidR="005D64FB" w:rsidRDefault="00806575" w:rsidP="00806575">
      <w:proofErr w:type="spellStart"/>
      <w:r w:rsidRPr="00806575">
        <w:t>Olaparib</w:t>
      </w:r>
      <w:proofErr w:type="spellEnd"/>
      <w:r w:rsidRPr="00806575">
        <w:t xml:space="preserve"> (</w:t>
      </w:r>
      <w:r w:rsidR="009703D3">
        <w:t xml:space="preserve">≤ </w:t>
      </w:r>
      <w:r w:rsidRPr="00806575">
        <w:t xml:space="preserve">300 </w:t>
      </w:r>
      <w:proofErr w:type="spellStart"/>
      <w:r w:rsidRPr="00806575">
        <w:t>nM</w:t>
      </w:r>
      <w:proofErr w:type="spellEnd"/>
      <w:r w:rsidRPr="00806575">
        <w:t xml:space="preserve">) had no effect on the viability of SW620 cells. However, olaparib potentiated the growth inhibitory activity of the alkylating agent, methane </w:t>
      </w:r>
      <w:proofErr w:type="spellStart"/>
      <w:r w:rsidRPr="00806575">
        <w:t>methylsulfate</w:t>
      </w:r>
      <w:proofErr w:type="spellEnd"/>
      <w:r w:rsidRPr="00806575">
        <w:t xml:space="preserve"> (MMS) with a potentiation factor of 3.2 with 300 </w:t>
      </w:r>
      <w:proofErr w:type="spellStart"/>
      <w:r w:rsidRPr="00806575">
        <w:t>nM</w:t>
      </w:r>
      <w:proofErr w:type="spellEnd"/>
      <w:r w:rsidRPr="00806575">
        <w:t xml:space="preserve"> </w:t>
      </w:r>
      <w:proofErr w:type="spellStart"/>
      <w:r w:rsidRPr="00806575">
        <w:t>olaparib</w:t>
      </w:r>
      <w:proofErr w:type="spellEnd"/>
      <w:r w:rsidRPr="00806575">
        <w:t xml:space="preserve"> (the </w:t>
      </w:r>
      <w:r w:rsidR="009703D3">
        <w:t>IC</w:t>
      </w:r>
      <w:r w:rsidR="009703D3" w:rsidRPr="009703D3">
        <w:rPr>
          <w:vertAlign w:val="subscript"/>
        </w:rPr>
        <w:t>50</w:t>
      </w:r>
      <w:r w:rsidRPr="00806575">
        <w:t xml:space="preserve"> for MMS decreased </w:t>
      </w:r>
      <w:proofErr w:type="gramStart"/>
      <w:r w:rsidRPr="00806575">
        <w:t>from 4.35 μg/mL with no added olaparib</w:t>
      </w:r>
      <w:proofErr w:type="gramEnd"/>
      <w:r w:rsidRPr="00806575">
        <w:t xml:space="preserve"> to 1.34 μg/mL in the presence of 300 </w:t>
      </w:r>
      <w:proofErr w:type="spellStart"/>
      <w:r w:rsidRPr="00806575">
        <w:t>nM</w:t>
      </w:r>
      <w:proofErr w:type="spellEnd"/>
      <w:r w:rsidRPr="00806575">
        <w:t xml:space="preserve"> </w:t>
      </w:r>
      <w:proofErr w:type="spellStart"/>
      <w:r w:rsidRPr="00806575">
        <w:t>olaparib</w:t>
      </w:r>
      <w:proofErr w:type="spellEnd"/>
      <w:r w:rsidRPr="00806575">
        <w:t>). In the presence of MMS, olaparib treatment resulted in PARP1 and PARP2 binding to the chromatin in a number of cells. This was reversible following removal of olaparib. The binding of inhibited PARP-1/2 to chromatin is considered to be important for the cell killing activity associated with olaparib treatment</w:t>
      </w:r>
      <w:r w:rsidR="005D64FB">
        <w:t>.</w:t>
      </w:r>
    </w:p>
    <w:p w14:paraId="75BE4732" w14:textId="77777777" w:rsidR="005D64FB" w:rsidRDefault="00806575" w:rsidP="00386C85">
      <w:r w:rsidRPr="00386C85">
        <w:t>Olaparib inhibited the growth of a variety of cell lines (breast, ovarian, pancreatic, non-small cell lung and colorectal cancer, and head and neck small carcinoma). Cell lines with BRCA1/2 mutations or</w:t>
      </w:r>
      <w:r w:rsidR="00386C85" w:rsidRPr="00386C85">
        <w:t xml:space="preserve"> low expression of recombination repair genes/proteins (</w:t>
      </w:r>
      <w:r w:rsidR="009703D3">
        <w:t>that is</w:t>
      </w:r>
      <w:r w:rsidR="00386C85" w:rsidRPr="00386C85">
        <w:t xml:space="preserve"> non-BRCA) were more sensitive (</w:t>
      </w:r>
      <w:r w:rsidR="009703D3">
        <w:t>IC</w:t>
      </w:r>
      <w:r w:rsidR="009703D3" w:rsidRPr="009703D3">
        <w:rPr>
          <w:vertAlign w:val="subscript"/>
        </w:rPr>
        <w:t>50</w:t>
      </w:r>
      <w:r w:rsidR="00386C85" w:rsidRPr="00386C85">
        <w:t xml:space="preserve"> </w:t>
      </w:r>
      <w:r w:rsidR="002B698E">
        <w:t xml:space="preserve">&lt; </w:t>
      </w:r>
      <w:r w:rsidR="00386C85" w:rsidRPr="00386C85">
        <w:t xml:space="preserve">1 </w:t>
      </w:r>
      <w:proofErr w:type="spellStart"/>
      <w:r w:rsidR="00386C85" w:rsidRPr="00386C85">
        <w:t>μM</w:t>
      </w:r>
      <w:proofErr w:type="spellEnd"/>
      <w:r w:rsidR="00386C85" w:rsidRPr="00386C85">
        <w:t>) to the growth inhibitory activity of olaparib. There was a significant correlation in the sensitivity to olaparib, cisplatin and carboplatin</w:t>
      </w:r>
      <w:r w:rsidR="005D64FB">
        <w:t>.</w:t>
      </w:r>
    </w:p>
    <w:p w14:paraId="1FBE42ED" w14:textId="77777777" w:rsidR="00386C85" w:rsidRPr="00386C85" w:rsidRDefault="009703D3" w:rsidP="00386C85">
      <w:pPr>
        <w:pStyle w:val="Heading5"/>
        <w:rPr>
          <w:rFonts w:eastAsiaTheme="minorHAnsi"/>
        </w:rPr>
      </w:pPr>
      <w:r>
        <w:rPr>
          <w:rFonts w:eastAsiaTheme="minorHAnsi"/>
        </w:rPr>
        <w:t>In vivo</w:t>
      </w:r>
    </w:p>
    <w:p w14:paraId="611A3804" w14:textId="0F6794AA" w:rsidR="005D64FB" w:rsidRDefault="00386C85" w:rsidP="00386C85">
      <w:r w:rsidRPr="00386C85">
        <w:t>The anti-tumour efficacy of olaparib was demonstrated in mouse xenograft/allograft models (human ductal adenocarcinoma and mouse</w:t>
      </w:r>
      <w:r w:rsidR="009703D3">
        <w:t xml:space="preserve"> mammary tumour; both were BRCA </w:t>
      </w:r>
      <w:r w:rsidRPr="00386C85">
        <w:t>deficient). Treatment with 50 and 100 mg/kg/day olaparib once daily resulted in decreased tumour volume (8.6% and 1.4%, respectively, of the starting volume by Day</w:t>
      </w:r>
      <w:r w:rsidR="00573130">
        <w:t> </w:t>
      </w:r>
      <w:r w:rsidRPr="00386C85">
        <w:t>30). Continuous daily dosing was more efficaci</w:t>
      </w:r>
      <w:r w:rsidR="009703D3">
        <w:t xml:space="preserve">ous than intermittent dosing (1 to </w:t>
      </w:r>
      <w:r w:rsidRPr="00386C85">
        <w:t>2</w:t>
      </w:r>
      <w:r w:rsidR="00573130">
        <w:t> </w:t>
      </w:r>
      <w:r w:rsidRPr="00386C85">
        <w:t>weeks on/1 week off), suggesting sustained inhibition of PARP is important for efficacy. Relapse occurred after cessation of treatment and with prolonged treatment. Olaparib treatment after relapse was less efficacious than that observed with initial treatment. These effects were associated with olaparib resistance (see below). The combination of olaparib with platinum drugs increased animal survival and delayed tumour relapse</w:t>
      </w:r>
      <w:r w:rsidR="005D64FB">
        <w:t>.</w:t>
      </w:r>
    </w:p>
    <w:p w14:paraId="45E3DAF4" w14:textId="77777777" w:rsidR="005D64FB" w:rsidRDefault="00386C85" w:rsidP="00386C85">
      <w:r w:rsidRPr="00386C85">
        <w:t>The anti-tumour activity of olaparib was significantly less efficacious in cells with a functional BRCA</w:t>
      </w:r>
      <w:r w:rsidR="005D64FB">
        <w:t>.</w:t>
      </w:r>
    </w:p>
    <w:p w14:paraId="515392E3" w14:textId="77777777" w:rsidR="005D64FB" w:rsidRDefault="00386C85" w:rsidP="00386C85">
      <w:r w:rsidRPr="00386C85">
        <w:t>The combination of olaparib and platinum therapies delayed tumour relapse and increased mouse survival</w:t>
      </w:r>
      <w:r w:rsidR="005D64FB">
        <w:t>.</w:t>
      </w:r>
    </w:p>
    <w:p w14:paraId="0E36FCEA" w14:textId="77777777" w:rsidR="00806575" w:rsidRPr="00386C85" w:rsidRDefault="00386C85" w:rsidP="00386C85">
      <w:r w:rsidRPr="00386C85">
        <w:t xml:space="preserve">A </w:t>
      </w:r>
      <w:r w:rsidR="009703D3">
        <w:t>pharmacokinetic/pharmacodynamic</w:t>
      </w:r>
      <w:r w:rsidRPr="00386C85">
        <w:t xml:space="preserve"> model indicated that the clinical unbound steady state trough concentrations in patients who received 200 and 400 mg </w:t>
      </w:r>
      <w:r w:rsidR="007607D4">
        <w:t>twice daily (</w:t>
      </w:r>
      <w:r w:rsidR="009703D3">
        <w:t>BD</w:t>
      </w:r>
      <w:r w:rsidR="007607D4">
        <w:t>)</w:t>
      </w:r>
      <w:r w:rsidRPr="00386C85">
        <w:t xml:space="preserve"> olaparib exceeded the estimated IC</w:t>
      </w:r>
      <w:r w:rsidRPr="009703D3">
        <w:rPr>
          <w:vertAlign w:val="subscript"/>
        </w:rPr>
        <w:t>90</w:t>
      </w:r>
      <w:r w:rsidRPr="00386C85">
        <w:t xml:space="preserve"> values from nonclinical studies.</w:t>
      </w:r>
    </w:p>
    <w:p w14:paraId="6E914671" w14:textId="77777777" w:rsidR="00386C85" w:rsidRPr="00386C85" w:rsidRDefault="007607D4" w:rsidP="00386C85">
      <w:pPr>
        <w:pStyle w:val="Heading5"/>
        <w:rPr>
          <w:rFonts w:eastAsiaTheme="minorHAnsi"/>
        </w:rPr>
      </w:pPr>
      <w:r>
        <w:rPr>
          <w:rFonts w:eastAsiaTheme="minorHAnsi"/>
        </w:rPr>
        <w:t>Resistance</w:t>
      </w:r>
    </w:p>
    <w:p w14:paraId="5648480C" w14:textId="13BF094A" w:rsidR="005D64FB" w:rsidRDefault="00386C85" w:rsidP="00386C85">
      <w:r w:rsidRPr="00386C85">
        <w:t xml:space="preserve">Resistance to olaparib treatment was observed in both in vitro and in vivo studies and was associated with an increased expression of P-glycoprotein or </w:t>
      </w:r>
      <w:r w:rsidR="008C6418">
        <w:t>breast cancer resistance protein</w:t>
      </w:r>
      <w:r w:rsidR="008C6418" w:rsidRPr="00386C85">
        <w:t xml:space="preserve"> </w:t>
      </w:r>
      <w:r w:rsidR="008C6418">
        <w:t>(</w:t>
      </w:r>
      <w:r w:rsidRPr="00386C85">
        <w:t>BCRP</w:t>
      </w:r>
      <w:r w:rsidR="008C6418">
        <w:t>)</w:t>
      </w:r>
      <w:r w:rsidRPr="00386C85">
        <w:t xml:space="preserve">. Resistance developed rather quickly in treated mice. If resistance involves up-regulation of transporters such as P-glycoprotein and BCRP, this is unlikely to confer </w:t>
      </w:r>
      <w:r w:rsidR="007607D4">
        <w:t>cross resistance</w:t>
      </w:r>
      <w:r w:rsidRPr="00386C85">
        <w:t xml:space="preserve"> to </w:t>
      </w:r>
      <w:r w:rsidR="007607D4">
        <w:t>platinum based</w:t>
      </w:r>
      <w:r w:rsidRPr="00386C85">
        <w:t xml:space="preserve"> therapies. A number of published papers indicated another mechanism for olaparib resistance was an intragenic deletion in BRCA2, restoring </w:t>
      </w:r>
      <w:r w:rsidRPr="00386C85">
        <w:lastRenderedPageBreak/>
        <w:t xml:space="preserve">wild-type function. This mechanism would also confer resistance to </w:t>
      </w:r>
      <w:r w:rsidR="007607D4">
        <w:t>platinum based</w:t>
      </w:r>
      <w:r w:rsidRPr="00386C85">
        <w:t xml:space="preserve"> therapies</w:t>
      </w:r>
      <w:proofErr w:type="gramStart"/>
      <w:r w:rsidR="007607D4">
        <w:t>.</w:t>
      </w:r>
      <w:r w:rsidR="007607D4" w:rsidRPr="00573130">
        <w:rPr>
          <w:rStyle w:val="FootnoteReference"/>
        </w:rPr>
        <w:footnoteReference w:id="5"/>
      </w:r>
      <w:r w:rsidR="00573130" w:rsidRPr="00A5248F">
        <w:rPr>
          <w:vertAlign w:val="superscript"/>
        </w:rPr>
        <w:t>,</w:t>
      </w:r>
      <w:proofErr w:type="gramEnd"/>
      <w:r w:rsidR="007607D4">
        <w:rPr>
          <w:rStyle w:val="FootnoteReference"/>
        </w:rPr>
        <w:footnoteReference w:id="6"/>
      </w:r>
    </w:p>
    <w:p w14:paraId="2E00DCE3" w14:textId="77777777" w:rsidR="005D64FB" w:rsidRDefault="00386C85" w:rsidP="00386C85">
      <w:r w:rsidRPr="00386C85">
        <w:t>Overall, the pharmacology studies support the use of olaparib to treat tumours with a mutated BRCA background</w:t>
      </w:r>
      <w:r w:rsidR="005D64FB">
        <w:t>.</w:t>
      </w:r>
    </w:p>
    <w:p w14:paraId="7226B2D9" w14:textId="77777777" w:rsidR="00386C85" w:rsidRPr="00386C85" w:rsidRDefault="00386C85" w:rsidP="00386C85">
      <w:pPr>
        <w:pStyle w:val="Heading4"/>
      </w:pPr>
      <w:r w:rsidRPr="00386C85">
        <w:t xml:space="preserve">Secondary pharmacodynamics and safety pharmacology </w:t>
      </w:r>
    </w:p>
    <w:p w14:paraId="51A82C7C" w14:textId="3CE807E3" w:rsidR="00386C85" w:rsidRDefault="00386C85" w:rsidP="00386C85">
      <w:r w:rsidRPr="00386C85">
        <w:t xml:space="preserve">Olaparib had activity against PARP-1, </w:t>
      </w:r>
      <w:r w:rsidR="00E032DB">
        <w:t xml:space="preserve">PARP-2 and PARP-3 at clinically </w:t>
      </w:r>
      <w:r w:rsidRPr="00386C85">
        <w:t>relevant concentrations. Inhibitory activity on PARP-1 and PARP-2 are likely responsible for the desired pharmacological effect. PARP-3 also has a role in DNA repair with some interactions with PARP-1</w:t>
      </w:r>
      <w:r w:rsidR="00E032DB">
        <w:t>.</w:t>
      </w:r>
      <w:bookmarkStart w:id="54" w:name="_Ref528669702"/>
      <w:r w:rsidR="00E032DB">
        <w:rPr>
          <w:rStyle w:val="FootnoteReference"/>
        </w:rPr>
        <w:footnoteReference w:id="7"/>
      </w:r>
      <w:bookmarkEnd w:id="54"/>
      <w:r w:rsidR="00E032DB">
        <w:t xml:space="preserve"> </w:t>
      </w:r>
      <w:r w:rsidRPr="00386C85">
        <w:t>There are at least 18 members of the PARP superfamily</w:t>
      </w:r>
      <w:r w:rsidR="007607D4">
        <w:t>.</w:t>
      </w:r>
      <w:bookmarkStart w:id="55" w:name="_Ref528665980"/>
      <w:r w:rsidR="007607D4">
        <w:rPr>
          <w:rStyle w:val="FootnoteReference"/>
        </w:rPr>
        <w:footnoteReference w:id="8"/>
      </w:r>
      <w:bookmarkEnd w:id="55"/>
      <w:r w:rsidRPr="00386C85">
        <w:t xml:space="preserve"> Aside from PARP-1, -2 and -3, olaparib has only been tested for inhibitory activity against one of these enzymes</w:t>
      </w:r>
      <w:r w:rsidR="00573130">
        <w:t>,</w:t>
      </w:r>
      <w:r w:rsidRPr="00386C85">
        <w:t xml:space="preserve"> tankyrase-1, which has 52% sequence similarity to PARP-1</w:t>
      </w:r>
      <w:r w:rsidR="007607D4">
        <w:t>.</w:t>
      </w:r>
      <w:r w:rsidR="007607D4" w:rsidRPr="007607D4">
        <w:rPr>
          <w:vertAlign w:val="superscript"/>
        </w:rPr>
        <w:fldChar w:fldCharType="begin"/>
      </w:r>
      <w:r w:rsidR="007607D4" w:rsidRPr="007607D4">
        <w:rPr>
          <w:vertAlign w:val="superscript"/>
        </w:rPr>
        <w:instrText xml:space="preserve"> NOTEREF _Ref528665980 \h </w:instrText>
      </w:r>
      <w:r w:rsidR="007607D4">
        <w:rPr>
          <w:vertAlign w:val="superscript"/>
        </w:rPr>
        <w:instrText xml:space="preserve"> \* MERGEFORMAT </w:instrText>
      </w:r>
      <w:r w:rsidR="007607D4" w:rsidRPr="007607D4">
        <w:rPr>
          <w:vertAlign w:val="superscript"/>
        </w:rPr>
      </w:r>
      <w:r w:rsidR="007607D4" w:rsidRPr="007607D4">
        <w:rPr>
          <w:vertAlign w:val="superscript"/>
        </w:rPr>
        <w:fldChar w:fldCharType="separate"/>
      </w:r>
      <w:r w:rsidR="00121EAE">
        <w:rPr>
          <w:vertAlign w:val="superscript"/>
        </w:rPr>
        <w:t>8</w:t>
      </w:r>
      <w:r w:rsidR="007607D4" w:rsidRPr="007607D4">
        <w:rPr>
          <w:vertAlign w:val="superscript"/>
        </w:rPr>
        <w:fldChar w:fldCharType="end"/>
      </w:r>
      <w:r w:rsidRPr="00386C85">
        <w:t xml:space="preserve"> The inhibitory activity of olaparib on tankyrase-1 was 300 times lower than its activity on PARP-1 (</w:t>
      </w:r>
      <w:r w:rsidR="009703D3">
        <w:t>IC</w:t>
      </w:r>
      <w:r w:rsidR="009703D3" w:rsidRPr="009703D3">
        <w:rPr>
          <w:vertAlign w:val="subscript"/>
        </w:rPr>
        <w:t>50</w:t>
      </w:r>
      <w:r w:rsidRPr="00386C85">
        <w:t xml:space="preserve"> 1.5 </w:t>
      </w:r>
      <w:r w:rsidR="00573130">
        <w:t>µ</w:t>
      </w:r>
      <w:r w:rsidRPr="00386C85">
        <w:t>M). Some inhibitory activity on tankyrase-1 and other PARP family members may occur in patients. The effects of this are unknown.</w:t>
      </w:r>
    </w:p>
    <w:p w14:paraId="3BBF826A" w14:textId="594B3E85" w:rsidR="005D64FB" w:rsidRDefault="00386C85" w:rsidP="00386C85">
      <w:r w:rsidRPr="00386C85">
        <w:t xml:space="preserve">Olaparib had no significant inhibitory activity on &gt;220 receptors, enzymes or ion channels at 10 </w:t>
      </w:r>
      <w:r w:rsidR="00573130">
        <w:t>µ</w:t>
      </w:r>
      <w:r w:rsidRPr="00386C85">
        <w:t xml:space="preserve">M (5 times the free clinical </w:t>
      </w:r>
      <w:r w:rsidR="00E032DB" w:rsidRPr="00386C85">
        <w:t>C</w:t>
      </w:r>
      <w:r w:rsidR="00E032DB" w:rsidRPr="00E032DB">
        <w:rPr>
          <w:vertAlign w:val="subscript"/>
        </w:rPr>
        <w:t>max</w:t>
      </w:r>
      <w:r w:rsidR="00573130" w:rsidRPr="00A5248F">
        <w:t>);</w:t>
      </w:r>
      <w:r>
        <w:rPr>
          <w:rStyle w:val="FootnoteReference"/>
        </w:rPr>
        <w:footnoteReference w:id="9"/>
      </w:r>
      <w:r w:rsidRPr="00386C85">
        <w:t xml:space="preserve"> and no inhibitory activity against 7</w:t>
      </w:r>
      <w:r w:rsidR="00E032DB">
        <w:t xml:space="preserve"> voltage </w:t>
      </w:r>
      <w:r w:rsidRPr="00386C85">
        <w:t>gated cardiac ion</w:t>
      </w:r>
      <w:r>
        <w:t xml:space="preserve"> </w:t>
      </w:r>
      <w:r w:rsidRPr="00386C85">
        <w:t xml:space="preserve">channels at 31.6 </w:t>
      </w:r>
      <w:r w:rsidR="00573130">
        <w:t>µ</w:t>
      </w:r>
      <w:r w:rsidRPr="00386C85">
        <w:t xml:space="preserve">M (16 times the free clinical </w:t>
      </w:r>
      <w:r w:rsidR="00E032DB" w:rsidRPr="00386C85">
        <w:t>C</w:t>
      </w:r>
      <w:r w:rsidR="00E032DB" w:rsidRPr="00E032DB">
        <w:rPr>
          <w:vertAlign w:val="subscript"/>
        </w:rPr>
        <w:t>max</w:t>
      </w:r>
      <w:r w:rsidRPr="00386C85">
        <w:t>). Aside from possible effects on other PARP family members, no off-target effects are expected with the proposed clinical use of olaparib</w:t>
      </w:r>
      <w:r w:rsidR="005D64FB">
        <w:t>.</w:t>
      </w:r>
    </w:p>
    <w:p w14:paraId="3CFAEF87" w14:textId="4EC52394" w:rsidR="00386C85" w:rsidRPr="00386C85" w:rsidRDefault="00386C85" w:rsidP="00386C85">
      <w:r w:rsidRPr="00386C85">
        <w:t xml:space="preserve">Specialised safety pharmacology studies assessed effects on the cardiovascular, </w:t>
      </w:r>
      <w:r w:rsidR="00E032DB">
        <w:t>central nervous system (</w:t>
      </w:r>
      <w:r w:rsidRPr="00386C85">
        <w:t>CNS</w:t>
      </w:r>
      <w:r w:rsidR="00E032DB">
        <w:t>)</w:t>
      </w:r>
      <w:r w:rsidRPr="00386C85">
        <w:t xml:space="preserve"> and respirator</w:t>
      </w:r>
      <w:r w:rsidR="00E032DB">
        <w:t xml:space="preserve">y systems. All studies were GLP </w:t>
      </w:r>
      <w:r w:rsidRPr="00386C85">
        <w:t xml:space="preserve">compliant. CNS function in rats (at </w:t>
      </w:r>
      <w:r w:rsidR="009703D3">
        <w:t xml:space="preserve">≤ </w:t>
      </w:r>
      <w:r w:rsidRPr="00386C85">
        <w:t xml:space="preserve">250 mg/kg </w:t>
      </w:r>
      <w:r w:rsidR="00573130">
        <w:t>orally (</w:t>
      </w:r>
      <w:r w:rsidR="00E032DB">
        <w:t xml:space="preserve">per </w:t>
      </w:r>
      <w:proofErr w:type="spellStart"/>
      <w:r w:rsidR="00E032DB">
        <w:t>o</w:t>
      </w:r>
      <w:r w:rsidR="00573130">
        <w:t>s</w:t>
      </w:r>
      <w:proofErr w:type="spellEnd"/>
      <w:r w:rsidR="00E032DB">
        <w:t xml:space="preserve"> (</w:t>
      </w:r>
      <w:r w:rsidRPr="00386C85">
        <w:t>PO</w:t>
      </w:r>
      <w:r w:rsidR="00E032DB">
        <w:t>)</w:t>
      </w:r>
      <w:r w:rsidRPr="00386C85">
        <w:t xml:space="preserve">) and respiratory function in dogs (at </w:t>
      </w:r>
      <w:r w:rsidR="00E032DB">
        <w:t>≤ 5 </w:t>
      </w:r>
      <w:r w:rsidRPr="00386C85">
        <w:t xml:space="preserve">mg/kg PO) were unaffected by treatment. Estimated </w:t>
      </w:r>
      <w:r w:rsidR="00E032DB" w:rsidRPr="00386C85">
        <w:t>C</w:t>
      </w:r>
      <w:r w:rsidR="00E032DB" w:rsidRPr="00E032DB">
        <w:rPr>
          <w:vertAlign w:val="subscript"/>
        </w:rPr>
        <w:t>max</w:t>
      </w:r>
      <w:r w:rsidRPr="00386C85">
        <w:t xml:space="preserve"> values were </w:t>
      </w:r>
      <w:proofErr w:type="gramStart"/>
      <w:r w:rsidRPr="00386C85">
        <w:t>29 μg/mL in rats (from Study 2229/040-DMPK)</w:t>
      </w:r>
      <w:proofErr w:type="gramEnd"/>
      <w:r w:rsidRPr="00386C85">
        <w:t xml:space="preserve"> and 2.13 μg/mL in dogs (from Study D2281 KMD008), 6 and 0.5 times the clinical </w:t>
      </w:r>
      <w:r w:rsidR="00E032DB" w:rsidRPr="00386C85">
        <w:t>C</w:t>
      </w:r>
      <w:r w:rsidR="00E032DB" w:rsidRPr="00E032DB">
        <w:rPr>
          <w:vertAlign w:val="subscript"/>
        </w:rPr>
        <w:t>max</w:t>
      </w:r>
      <w:r w:rsidRPr="00386C85">
        <w:t xml:space="preserve">. While a </w:t>
      </w:r>
      <w:r w:rsidR="00E032DB">
        <w:t>concentration dependent</w:t>
      </w:r>
      <w:r w:rsidRPr="00386C85">
        <w:t xml:space="preserve"> inhibition of </w:t>
      </w:r>
      <w:r w:rsidR="00E032DB">
        <w:t>human ether-a-go-go-related gene</w:t>
      </w:r>
      <w:r w:rsidR="00E032DB" w:rsidRPr="00386C85">
        <w:t xml:space="preserve"> </w:t>
      </w:r>
      <w:r w:rsidR="00E032DB">
        <w:t>(</w:t>
      </w:r>
      <w:r w:rsidRPr="00386C85">
        <w:t>hERG</w:t>
      </w:r>
      <w:r w:rsidR="00E032DB">
        <w:t>)</w:t>
      </w:r>
      <w:r w:rsidRPr="00386C85">
        <w:t xml:space="preserve"> K</w:t>
      </w:r>
      <w:r w:rsidRPr="00A5248F">
        <w:rPr>
          <w:vertAlign w:val="superscript"/>
        </w:rPr>
        <w:t>+</w:t>
      </w:r>
      <w:r w:rsidRPr="00386C85">
        <w:t xml:space="preserve"> channel tail current was seen with olaparib, the </w:t>
      </w:r>
      <w:r w:rsidR="009703D3">
        <w:t>IC</w:t>
      </w:r>
      <w:r w:rsidR="009703D3" w:rsidRPr="009703D3">
        <w:rPr>
          <w:vertAlign w:val="subscript"/>
        </w:rPr>
        <w:t>50</w:t>
      </w:r>
      <w:r w:rsidRPr="00386C85">
        <w:t xml:space="preserve"> value (226 </w:t>
      </w:r>
      <w:r w:rsidR="00573130">
        <w:t>µ</w:t>
      </w:r>
      <w:r w:rsidRPr="00386C85">
        <w:t xml:space="preserve">M) is approximately 114 times higher than the clinical free plasma </w:t>
      </w:r>
      <w:proofErr w:type="spellStart"/>
      <w:r w:rsidR="00E032DB" w:rsidRPr="00386C85">
        <w:t>C</w:t>
      </w:r>
      <w:r w:rsidR="00E032DB" w:rsidRPr="00E032DB">
        <w:rPr>
          <w:vertAlign w:val="subscript"/>
        </w:rPr>
        <w:t>max</w:t>
      </w:r>
      <w:proofErr w:type="spellEnd"/>
      <w:r w:rsidRPr="00386C85">
        <w:t xml:space="preserve">, and therefore </w:t>
      </w:r>
      <w:proofErr w:type="spellStart"/>
      <w:r w:rsidRPr="00386C85">
        <w:t>olaparib</w:t>
      </w:r>
      <w:proofErr w:type="spellEnd"/>
      <w:r w:rsidRPr="00386C85">
        <w:t xml:space="preserve"> is not predicted to prolong the QT interval in patients.</w:t>
      </w:r>
      <w:r w:rsidR="00573130">
        <w:rPr>
          <w:rStyle w:val="FootnoteReference"/>
        </w:rPr>
        <w:footnoteReference w:id="10"/>
      </w:r>
      <w:r w:rsidRPr="00386C85">
        <w:t xml:space="preserve"> Consistent with this, no abnormalities were seen in electrocardiograms from dogs treated with </w:t>
      </w:r>
      <w:r w:rsidR="009703D3">
        <w:t xml:space="preserve">≤ </w:t>
      </w:r>
      <w:r w:rsidRPr="00386C85">
        <w:t xml:space="preserve">50 mg/kg PO (in the general toxicity Study 2229/039), though exposures were low; exposure ratio based on </w:t>
      </w:r>
      <w:proofErr w:type="spellStart"/>
      <w:r w:rsidR="00E032DB" w:rsidRPr="00386C85">
        <w:t>C</w:t>
      </w:r>
      <w:r w:rsidR="00E032DB" w:rsidRPr="00E032DB">
        <w:rPr>
          <w:vertAlign w:val="subscript"/>
        </w:rPr>
        <w:t>max</w:t>
      </w:r>
      <w:proofErr w:type="spellEnd"/>
      <w:r w:rsidRPr="00386C85">
        <w:t xml:space="preserve"> </w:t>
      </w:r>
      <w:r w:rsidR="00573130">
        <w:t>(</w:t>
      </w:r>
      <w:proofErr w:type="spellStart"/>
      <w:r w:rsidRPr="00386C85">
        <w:t>ER</w:t>
      </w:r>
      <w:r w:rsidR="00E032DB" w:rsidRPr="00386C85">
        <w:t>C</w:t>
      </w:r>
      <w:r w:rsidR="00E032DB" w:rsidRPr="00E032DB">
        <w:rPr>
          <w:vertAlign w:val="subscript"/>
        </w:rPr>
        <w:t>max</w:t>
      </w:r>
      <w:proofErr w:type="spellEnd"/>
      <w:r w:rsidR="00573130">
        <w:t>)</w:t>
      </w:r>
      <w:r w:rsidRPr="00386C85">
        <w:t>, 0.9. Overall, no adverse effects on CNS, respiratory or cardiovascular function are predicted during clinical use.</w:t>
      </w:r>
    </w:p>
    <w:p w14:paraId="01C3F1C7" w14:textId="77777777" w:rsidR="008E7846" w:rsidRDefault="008E7846" w:rsidP="008E7846">
      <w:pPr>
        <w:pStyle w:val="Heading3"/>
      </w:pPr>
      <w:bookmarkStart w:id="56" w:name="_Toc247691513"/>
      <w:bookmarkStart w:id="57" w:name="_Toc314842497"/>
      <w:bookmarkStart w:id="58" w:name="_Toc8053815"/>
      <w:r>
        <w:t>Pharmacokinetics</w:t>
      </w:r>
      <w:bookmarkEnd w:id="56"/>
      <w:bookmarkEnd w:id="57"/>
      <w:bookmarkEnd w:id="58"/>
    </w:p>
    <w:p w14:paraId="551F09B4" w14:textId="6D9A2557" w:rsidR="005D64FB" w:rsidRDefault="00386C85" w:rsidP="00386C85">
      <w:bookmarkStart w:id="59" w:name="_Toc247691514"/>
      <w:bookmarkStart w:id="60" w:name="_Toc314842498"/>
      <w:r w:rsidRPr="00386C85">
        <w:t>Absorption by the oral route in mice, rats, dogs and humans was rapid (T</w:t>
      </w:r>
      <w:r w:rsidRPr="00E032DB">
        <w:rPr>
          <w:vertAlign w:val="subscript"/>
        </w:rPr>
        <w:t>max</w:t>
      </w:r>
      <w:r w:rsidR="00E032DB">
        <w:t xml:space="preserve"> 0.3 to </w:t>
      </w:r>
      <w:r w:rsidRPr="00386C85">
        <w:t>3 h</w:t>
      </w:r>
      <w:r w:rsidR="00E032DB">
        <w:t>ours</w:t>
      </w:r>
      <w:r w:rsidRPr="00386C85">
        <w:t>) and bioavailabil</w:t>
      </w:r>
      <w:r w:rsidR="00E032DB">
        <w:t xml:space="preserve">ity in animals was variable (11 to </w:t>
      </w:r>
      <w:r w:rsidRPr="00386C85">
        <w:t xml:space="preserve">79%), depending on formulation. The apparent bioavailability of a 400 mg dose was estimated to be 26% in human subjects. Olaparib was a substrate of P-glycoprotein and there was evidence that efflux from this transporter affected apparent permeability in Caco-2 cells. Saturation of P-glycoprotein appeared to occur at concentrations </w:t>
      </w:r>
      <w:r w:rsidR="00E032DB">
        <w:t xml:space="preserve">≥ </w:t>
      </w:r>
      <w:r w:rsidRPr="00386C85">
        <w:t xml:space="preserve">260 </w:t>
      </w:r>
      <w:r w:rsidR="00573130">
        <w:t>µ</w:t>
      </w:r>
      <w:r w:rsidRPr="00386C85">
        <w:t xml:space="preserve">M. Intestinal concentrations of olaparib from a </w:t>
      </w:r>
      <w:r w:rsidRPr="00386C85">
        <w:lastRenderedPageBreak/>
        <w:t xml:space="preserve">400 mg dose are estimated to be 3683 </w:t>
      </w:r>
      <w:r w:rsidR="00573130">
        <w:t>µ</w:t>
      </w:r>
      <w:r w:rsidRPr="00386C85">
        <w:t>M (based on an intestinal volume of 250 mL), and efflux by P-glycoprotein is anticipated to be saturated at the proposed clinical dose. Following IV administration, elimination half-lives were short in m</w:t>
      </w:r>
      <w:r w:rsidR="00E032DB">
        <w:t xml:space="preserve">ice, male rats and dogs (t½ 0.7 to </w:t>
      </w:r>
      <w:r w:rsidRPr="00386C85">
        <w:t>1.7 h</w:t>
      </w:r>
      <w:r w:rsidR="00E032DB">
        <w:t>ours compared with</w:t>
      </w:r>
      <w:r w:rsidRPr="00386C85">
        <w:t xml:space="preserve"> an apparent elimination half-life of 17.3 h</w:t>
      </w:r>
      <w:r w:rsidR="00E032DB">
        <w:t>ours</w:t>
      </w:r>
      <w:r w:rsidRPr="00386C85">
        <w:t xml:space="preserve"> in human subjects). Elimination half-lives were longer in female rats (t½ 8.9</w:t>
      </w:r>
      <w:r w:rsidR="00E032DB">
        <w:t xml:space="preserve"> hours</w:t>
      </w:r>
      <w:r w:rsidRPr="00386C85">
        <w:t>)</w:t>
      </w:r>
      <w:proofErr w:type="gramStart"/>
      <w:r w:rsidRPr="00386C85">
        <w:t>,</w:t>
      </w:r>
      <w:proofErr w:type="gramEnd"/>
      <w:r w:rsidRPr="00386C85">
        <w:t xml:space="preserve"> leading to higher exposures in female rats </w:t>
      </w:r>
      <w:r w:rsidR="00E032DB">
        <w:t>compared with</w:t>
      </w:r>
      <w:r w:rsidRPr="00386C85">
        <w:t xml:space="preserve"> their male counterparts (AUC values were 5 times higher in females). Apparent elimination half-lives in male rats and dogs were longer foll</w:t>
      </w:r>
      <w:r w:rsidR="00E032DB">
        <w:t xml:space="preserve">owing oral dosing (2.4 to </w:t>
      </w:r>
      <w:r w:rsidRPr="00386C85">
        <w:t>4.6</w:t>
      </w:r>
      <w:r w:rsidR="00E032DB">
        <w:t xml:space="preserve"> hours</w:t>
      </w:r>
      <w:r w:rsidRPr="00386C85">
        <w:t>). There were no sex differences in any pharmacokinetic parameters in mice or dogs. There was no evidence of accumulation in rats or dogs. In mice, ex</w:t>
      </w:r>
      <w:r w:rsidR="00E032DB">
        <w:t xml:space="preserve">posures on day 14 were lower (2 to </w:t>
      </w:r>
      <w:r w:rsidRPr="00386C85">
        <w:t>7 times lower based on AUC) than those seen on day 1, suggesting a possible induction of metabolism in this species. Olaparib exposure was approximately dose-proportional in mice and dogs and greater than dose proportional in rats</w:t>
      </w:r>
      <w:r w:rsidR="005D64FB">
        <w:t>.</w:t>
      </w:r>
    </w:p>
    <w:p w14:paraId="22C410E4" w14:textId="77777777" w:rsidR="005D64FB" w:rsidRDefault="00386C85" w:rsidP="00386C85">
      <w:r w:rsidRPr="00386C85">
        <w:t>The extent of protein binding in all species was moderate in mice, rat</w:t>
      </w:r>
      <w:r w:rsidR="00E032DB">
        <w:t xml:space="preserve">s and dogs (% free fraction 27 to </w:t>
      </w:r>
      <w:r w:rsidRPr="00386C85">
        <w:t xml:space="preserve">48%) and higher in </w:t>
      </w:r>
      <w:r w:rsidR="00E032DB">
        <w:t xml:space="preserve">human plasma (% free fraction 9 to </w:t>
      </w:r>
      <w:r w:rsidRPr="00386C85">
        <w:t xml:space="preserve">30%). No concentration-dependence was observed in mouse and rat plasma, but protein binding appeared to be </w:t>
      </w:r>
      <w:r w:rsidR="00E032DB">
        <w:t>concentration dependent</w:t>
      </w:r>
      <w:r w:rsidRPr="00386C85">
        <w:t xml:space="preserve"> in dog and </w:t>
      </w:r>
      <w:r w:rsidR="00E032DB">
        <w:t xml:space="preserve">human plasma (over the range 10 to 40 μg/mL but not at 0.01 to </w:t>
      </w:r>
      <w:r w:rsidRPr="00386C85">
        <w:t xml:space="preserve">1.0 μg/mL), associated with saturable binding to alpha-1 acid glycoprotein. The extent of binding to human serum albumin was independent of concentration. The free fraction in human plasma at </w:t>
      </w:r>
      <w:r w:rsidR="00472330">
        <w:t>clinically relevant</w:t>
      </w:r>
      <w:r w:rsidRPr="00386C85">
        <w:t xml:space="preserve"> plasma levels is </w:t>
      </w:r>
      <w:r w:rsidR="00E032DB">
        <w:t>≤ </w:t>
      </w:r>
      <w:r w:rsidRPr="00386C85">
        <w:t xml:space="preserve">18%. The volume of distribution was similar to or less than total body water in mice, dogs and humans. Following oral administration of </w:t>
      </w:r>
      <w:r w:rsidRPr="00E032DB">
        <w:rPr>
          <w:vertAlign w:val="superscript"/>
        </w:rPr>
        <w:t>14</w:t>
      </w:r>
      <w:r w:rsidRPr="00386C85">
        <w:t>C-olaparib to mice and rats dogs, radioactivity was widely distributed, but tissue levels were generally similar to plasma/blood levels (except for tissues involved in absorption/excretion). There was m</w:t>
      </w:r>
      <w:r w:rsidR="00E032DB">
        <w:t xml:space="preserve">inimal penetration of the blood </w:t>
      </w:r>
      <w:r w:rsidRPr="00386C85">
        <w:t>brain barrier (levels in the CNS were undetectable). There appeared to be some retention of drug-related material to pigmented tissues (skin and eyes), based on a slow elimination from these tissues</w:t>
      </w:r>
      <w:r w:rsidR="005D64FB">
        <w:t>.</w:t>
      </w:r>
    </w:p>
    <w:p w14:paraId="56C8C4C8" w14:textId="26AAFBD5" w:rsidR="005D64FB" w:rsidRDefault="00386C85" w:rsidP="00386C85">
      <w:r w:rsidRPr="00386C85">
        <w:t xml:space="preserve">Metabolism of olaparib involved removal of the </w:t>
      </w:r>
      <w:proofErr w:type="spellStart"/>
      <w:r w:rsidRPr="00386C85">
        <w:t>carbonylcyclopropyl</w:t>
      </w:r>
      <w:proofErr w:type="spellEnd"/>
      <w:r w:rsidRPr="00386C85">
        <w:t xml:space="preserve"> group, </w:t>
      </w:r>
      <w:proofErr w:type="spellStart"/>
      <w:r w:rsidRPr="00386C85">
        <w:t>cyclopropyl</w:t>
      </w:r>
      <w:proofErr w:type="spellEnd"/>
      <w:r w:rsidRPr="00386C85">
        <w:t xml:space="preserve"> ring opening and hydroxylation, </w:t>
      </w:r>
      <w:proofErr w:type="spellStart"/>
      <w:r w:rsidRPr="00386C85">
        <w:t>monooxygenation</w:t>
      </w:r>
      <w:proofErr w:type="spellEnd"/>
      <w:r w:rsidRPr="00386C85">
        <w:t xml:space="preserve"> of the </w:t>
      </w:r>
      <w:proofErr w:type="spellStart"/>
      <w:r w:rsidRPr="00386C85">
        <w:t>fluorophenyl</w:t>
      </w:r>
      <w:proofErr w:type="spellEnd"/>
      <w:r w:rsidRPr="00386C85">
        <w:t xml:space="preserve"> group, dihydroxylation of the </w:t>
      </w:r>
      <w:proofErr w:type="spellStart"/>
      <w:r w:rsidRPr="00386C85">
        <w:t>piperazine</w:t>
      </w:r>
      <w:proofErr w:type="spellEnd"/>
      <w:r w:rsidRPr="00386C85">
        <w:t xml:space="preserve"> group, </w:t>
      </w:r>
      <w:proofErr w:type="spellStart"/>
      <w:r w:rsidRPr="00386C85">
        <w:t>monooxygenation</w:t>
      </w:r>
      <w:proofErr w:type="spellEnd"/>
      <w:r w:rsidRPr="00386C85">
        <w:t xml:space="preserve"> of the </w:t>
      </w:r>
      <w:proofErr w:type="spellStart"/>
      <w:r w:rsidRPr="00386C85">
        <w:t>fluorophenyl</w:t>
      </w:r>
      <w:proofErr w:type="spellEnd"/>
      <w:r w:rsidRPr="00386C85">
        <w:t xml:space="preserve">-carbonyl </w:t>
      </w:r>
      <w:proofErr w:type="spellStart"/>
      <w:r w:rsidRPr="00386C85">
        <w:t>piperazine</w:t>
      </w:r>
      <w:proofErr w:type="spellEnd"/>
      <w:r w:rsidRPr="00386C85">
        <w:t xml:space="preserve"> moiety and deoxygenation</w:t>
      </w:r>
      <w:r>
        <w:t xml:space="preserve"> </w:t>
      </w:r>
      <w:r w:rsidRPr="00386C85">
        <w:t>(</w:t>
      </w:r>
      <w:proofErr w:type="spellStart"/>
      <w:r w:rsidRPr="00386C85">
        <w:t>fluorophenyl</w:t>
      </w:r>
      <w:proofErr w:type="spellEnd"/>
      <w:r w:rsidRPr="00386C85">
        <w:t xml:space="preserve"> and </w:t>
      </w:r>
      <w:proofErr w:type="spellStart"/>
      <w:r w:rsidRPr="00386C85">
        <w:t>carbonylcyclopropyl</w:t>
      </w:r>
      <w:proofErr w:type="spellEnd"/>
      <w:r w:rsidRPr="00386C85">
        <w:t xml:space="preserve"> </w:t>
      </w:r>
      <w:proofErr w:type="spellStart"/>
      <w:r w:rsidRPr="00386C85">
        <w:t>piperazine</w:t>
      </w:r>
      <w:proofErr w:type="spellEnd"/>
      <w:r w:rsidRPr="00386C85">
        <w:t xml:space="preserve"> groups). Other metabolites were formed by other hydroxylation or oxidation reactions, ring opening of the </w:t>
      </w:r>
      <w:proofErr w:type="spellStart"/>
      <w:r w:rsidRPr="00386C85">
        <w:t>piperazine</w:t>
      </w:r>
      <w:proofErr w:type="spellEnd"/>
      <w:r w:rsidRPr="00386C85">
        <w:t xml:space="preserve"> group followed by de</w:t>
      </w:r>
      <w:r w:rsidR="00121EAE">
        <w:t>-</w:t>
      </w:r>
      <w:proofErr w:type="spellStart"/>
      <w:r w:rsidRPr="00386C85">
        <w:t>ethylation</w:t>
      </w:r>
      <w:proofErr w:type="spellEnd"/>
      <w:r w:rsidRPr="00386C85">
        <w:t xml:space="preserve">, sulfation or </w:t>
      </w:r>
      <w:proofErr w:type="spellStart"/>
      <w:r w:rsidRPr="00386C85">
        <w:t>glucuronidation</w:t>
      </w:r>
      <w:proofErr w:type="spellEnd"/>
      <w:r w:rsidRPr="00386C85">
        <w:t xml:space="preserve"> conjugation reactions. Unchanged olaparib was by far the dominant circulating species in humans and laboratory animals. There were three notable circulating metabolites (M12, M15 and M18; a ring open </w:t>
      </w:r>
      <w:proofErr w:type="spellStart"/>
      <w:r w:rsidRPr="00386C85">
        <w:t>hydroxycyclopropyl</w:t>
      </w:r>
      <w:proofErr w:type="spellEnd"/>
      <w:r w:rsidRPr="00386C85">
        <w:t xml:space="preserve"> and two mono</w:t>
      </w:r>
      <w:r w:rsidR="00D81FEC">
        <w:t>-</w:t>
      </w:r>
      <w:r w:rsidRPr="00386C85">
        <w:t xml:space="preserve">oxygenated metabolites) and several trace metabolites in humans. M12, M15 and M18 were also seen in the plasma of male but not female rats. The metabolite profile in female rats (plasma, urine and faeces) indicated less metabolism of olaparib than that seen in male rats (consistent with the longer half-lives and higher AUC values seen in females </w:t>
      </w:r>
      <w:r w:rsidR="00E032DB">
        <w:t>compared with</w:t>
      </w:r>
      <w:r w:rsidRPr="00386C85">
        <w:t xml:space="preserve"> males). In vitro studies indicated a major role for </w:t>
      </w:r>
      <w:r w:rsidR="008C6418">
        <w:t xml:space="preserve">cytochrome P450 (CYP); </w:t>
      </w:r>
      <w:r w:rsidRPr="00386C85">
        <w:t>CYP3A4/5</w:t>
      </w:r>
      <w:r w:rsidR="00573130">
        <w:t>;</w:t>
      </w:r>
      <w:r w:rsidR="00E032DB">
        <w:rPr>
          <w:rStyle w:val="FootnoteReference"/>
        </w:rPr>
        <w:footnoteReference w:id="11"/>
      </w:r>
      <w:r w:rsidRPr="00386C85">
        <w:t xml:space="preserve"> with a very minor role of CYP1A1 in the formation of metabolites</w:t>
      </w:r>
      <w:r w:rsidR="005D64FB">
        <w:t>.</w:t>
      </w:r>
    </w:p>
    <w:p w14:paraId="6F321135" w14:textId="77777777" w:rsidR="005D64FB" w:rsidRDefault="00386C85" w:rsidP="00386C85">
      <w:r w:rsidRPr="00386C85">
        <w:t>Excretion of olaparib and/or its metabolites was predominantly via the faeces in rats and dogs, while drug-related material was excreted significantly in both the urine and faeces in human subjects. Biliary excretion was demonstrated in rats, though more significant biliary excretion was seen in males than females, which probably accounts for the more significant faecal excretion of radioactivity seen in males</w:t>
      </w:r>
      <w:r w:rsidR="005D64FB">
        <w:t>.</w:t>
      </w:r>
    </w:p>
    <w:p w14:paraId="6ECB1550" w14:textId="77777777" w:rsidR="00386C85" w:rsidRDefault="00386C85" w:rsidP="00386C85">
      <w:r w:rsidRPr="00386C85">
        <w:t>Overall, the pharmacokinetic profile of olaparib was qualitatively similar in rats, dogs and humans, thus supporting the choice of animal species for toxicity studies.</w:t>
      </w:r>
    </w:p>
    <w:p w14:paraId="7FFD9006" w14:textId="4D9769E0" w:rsidR="00386C85" w:rsidRPr="00386C85" w:rsidRDefault="00386C85" w:rsidP="00386C85">
      <w:pPr>
        <w:pStyle w:val="Heading4"/>
      </w:pPr>
      <w:r w:rsidRPr="00386C85">
        <w:lastRenderedPageBreak/>
        <w:t>Pharmacokinetic drug interactions</w:t>
      </w:r>
      <w:r>
        <w:rPr>
          <w:rStyle w:val="FootnoteReference"/>
        </w:rPr>
        <w:footnoteReference w:id="12"/>
      </w:r>
    </w:p>
    <w:p w14:paraId="3D8B4106" w14:textId="44C5862C" w:rsidR="005D64FB" w:rsidRDefault="00386C85" w:rsidP="00386C85">
      <w:r w:rsidRPr="00386C85">
        <w:t xml:space="preserve">As olaparib is a substrate for CYP3A and P-glycoprotein, inducers/inhibitors of these may affect the systemic exposure to olaparib. </w:t>
      </w:r>
      <w:proofErr w:type="spellStart"/>
      <w:r w:rsidRPr="00386C85">
        <w:t>Olaparib</w:t>
      </w:r>
      <w:proofErr w:type="spellEnd"/>
      <w:r w:rsidRPr="00386C85">
        <w:t xml:space="preserve"> exposures (</w:t>
      </w:r>
      <w:proofErr w:type="spellStart"/>
      <w:r w:rsidR="00E032DB" w:rsidRPr="00386C85">
        <w:t>C</w:t>
      </w:r>
      <w:r w:rsidR="00E032DB" w:rsidRPr="00E032DB">
        <w:rPr>
          <w:vertAlign w:val="subscript"/>
        </w:rPr>
        <w:t>max</w:t>
      </w:r>
      <w:proofErr w:type="spellEnd"/>
      <w:r w:rsidRPr="00386C85">
        <w:t xml:space="preserve"> and AUC) were increased (by 1.42-fold and 2.7-fold, respectively) in human subjects when the drug was co-administered with a CYP inhibitor and co-administration with a CYP inducer decreased </w:t>
      </w:r>
      <w:proofErr w:type="spellStart"/>
      <w:r w:rsidRPr="00386C85">
        <w:t>olaparib</w:t>
      </w:r>
      <w:proofErr w:type="spellEnd"/>
      <w:r w:rsidRPr="00386C85">
        <w:t xml:space="preserve"> exposures (</w:t>
      </w:r>
      <w:proofErr w:type="spellStart"/>
      <w:r w:rsidR="00E032DB" w:rsidRPr="00386C85">
        <w:t>C</w:t>
      </w:r>
      <w:r w:rsidR="00E032DB" w:rsidRPr="00E032DB">
        <w:rPr>
          <w:vertAlign w:val="subscript"/>
        </w:rPr>
        <w:t>max</w:t>
      </w:r>
      <w:proofErr w:type="spellEnd"/>
      <w:r w:rsidRPr="00386C85">
        <w:t xml:space="preserve"> and AUC by 71% and 87%, respectively) (draft </w:t>
      </w:r>
      <w:r w:rsidR="00573130">
        <w:t>PI</w:t>
      </w:r>
      <w:r w:rsidRPr="00386C85">
        <w:t xml:space="preserve"> document). Olaparib was not a substrate for BCRP, MRP2, OATP1B1, OATP1B3 or OCT1</w:t>
      </w:r>
      <w:r w:rsidR="005D64FB">
        <w:t>.</w:t>
      </w:r>
      <w:r w:rsidR="00E032DB">
        <w:rPr>
          <w:rStyle w:val="FootnoteReference"/>
        </w:rPr>
        <w:footnoteReference w:id="13"/>
      </w:r>
    </w:p>
    <w:p w14:paraId="224A4CFC" w14:textId="2398F5B6" w:rsidR="005D64FB" w:rsidRDefault="00386C85" w:rsidP="00386C85">
      <w:r w:rsidRPr="00386C85">
        <w:t>Olaparib was neither a reversible nor a time-dependent inhibitor of CYP1A2, 2A6, 2B6, 2C8, 2C9, 2C19, 2D6 or 2E1. Olaparib was both a reversibl</w:t>
      </w:r>
      <w:r w:rsidR="00E032DB">
        <w:t xml:space="preserve">e and a time </w:t>
      </w:r>
      <w:r w:rsidRPr="00386C85">
        <w:t xml:space="preserve">dependent inhibitor of CYP3A4/5 activity (with midazolam as a substrate). Based on an </w:t>
      </w:r>
      <w:r w:rsidR="009703D3">
        <w:t>IC</w:t>
      </w:r>
      <w:r w:rsidR="009703D3" w:rsidRPr="009703D3">
        <w:rPr>
          <w:vertAlign w:val="subscript"/>
        </w:rPr>
        <w:t>50</w:t>
      </w:r>
      <w:r w:rsidRPr="00386C85">
        <w:t xml:space="preserve"> of 119 </w:t>
      </w:r>
      <w:r w:rsidR="00573130">
        <w:t>µ</w:t>
      </w:r>
      <w:r w:rsidRPr="00386C85">
        <w:t>M for reversible inhibition, systemic exposures are unlikely to inhibit hepatic CYP3A activity, but given the much higher concentrations in the gastrointes</w:t>
      </w:r>
      <w:r w:rsidR="00E032DB">
        <w:t xml:space="preserve">tinal tract (3683 </w:t>
      </w:r>
      <w:r w:rsidR="00573130">
        <w:t>µ</w:t>
      </w:r>
      <w:r w:rsidR="00E032DB">
        <w:t>M from a 400 </w:t>
      </w:r>
      <w:r w:rsidRPr="00386C85">
        <w:t>mg dose), inhibition of intestinal CYP3A activity is possible. Hence, olaparib has the potential to alter the exposure of co-administered drugs that are substrates of intestinal CYP3A4. Olaparib was a time-dependent inhibitor of CYP3A activity. This has unknown clinical relevance</w:t>
      </w:r>
      <w:r w:rsidR="005D64FB">
        <w:t>.</w:t>
      </w:r>
    </w:p>
    <w:p w14:paraId="1778362B" w14:textId="14D47128" w:rsidR="005D64FB" w:rsidRDefault="00386C85" w:rsidP="00386C85">
      <w:r w:rsidRPr="00386C85">
        <w:t>Some induction of CYP1A2 (mRNA and activity), 2B6 (mRNA and activity) and 3A4 (mRNA only, but by 65 fold) was observed in in vitro studies with human hepatocytes. Given the concentrations at which induction was observed (</w:t>
      </w:r>
      <w:r w:rsidR="00E032DB">
        <w:t xml:space="preserve">≥ </w:t>
      </w:r>
      <w:r w:rsidRPr="00386C85">
        <w:t xml:space="preserve">4.9 </w:t>
      </w:r>
      <w:r w:rsidR="00573130">
        <w:t>µ</w:t>
      </w:r>
      <w:r w:rsidRPr="00386C85">
        <w:t xml:space="preserve">M </w:t>
      </w:r>
      <w:r w:rsidR="00E032DB">
        <w:t>compared with</w:t>
      </w:r>
      <w:r w:rsidRPr="00386C85">
        <w:t xml:space="preserve"> a clinical free </w:t>
      </w:r>
      <w:proofErr w:type="spellStart"/>
      <w:r w:rsidR="00E032DB" w:rsidRPr="00386C85">
        <w:t>C</w:t>
      </w:r>
      <w:r w:rsidR="00E032DB" w:rsidRPr="00E032DB">
        <w:rPr>
          <w:vertAlign w:val="subscript"/>
        </w:rPr>
        <w:t>max</w:t>
      </w:r>
      <w:proofErr w:type="spellEnd"/>
      <w:r w:rsidRPr="00386C85">
        <w:t xml:space="preserve"> of 0.97 </w:t>
      </w:r>
      <w:r w:rsidR="00573130">
        <w:t>µ</w:t>
      </w:r>
      <w:r w:rsidRPr="00386C85">
        <w:t xml:space="preserve">M), induction of these CYP450 enzymes is unlikely to occur during clinical use. The </w:t>
      </w:r>
      <w:r w:rsidR="00214786">
        <w:t>sponsor</w:t>
      </w:r>
      <w:r w:rsidRPr="00386C85">
        <w:t xml:space="preserve"> states that the possibility of induction at clinical exposures cannot be completely dismissed and has proposed text to be included in the </w:t>
      </w:r>
      <w:r w:rsidR="00E032DB">
        <w:t>PI</w:t>
      </w:r>
      <w:r w:rsidRPr="00386C85">
        <w:t xml:space="preserve"> document. As clinical exposures were reasonably variable combined with the</w:t>
      </w:r>
      <w:r>
        <w:t xml:space="preserve"> </w:t>
      </w:r>
      <w:r w:rsidRPr="00386C85">
        <w:t xml:space="preserve">extent of induction of CYP3A4 mRNA, it may be prudent to retain the information in the final </w:t>
      </w:r>
      <w:r w:rsidR="00E032DB">
        <w:t>PI</w:t>
      </w:r>
      <w:r w:rsidRPr="00386C85">
        <w:t xml:space="preserve"> document</w:t>
      </w:r>
      <w:r w:rsidR="005D64FB">
        <w:t>.</w:t>
      </w:r>
    </w:p>
    <w:p w14:paraId="79C2C232" w14:textId="3505D676" w:rsidR="005D64FB" w:rsidRDefault="00386C85" w:rsidP="00386C85">
      <w:r w:rsidRPr="00386C85">
        <w:t xml:space="preserve">No </w:t>
      </w:r>
      <w:r w:rsidR="00472330">
        <w:t>clinically relevant</w:t>
      </w:r>
      <w:r w:rsidRPr="00386C85">
        <w:t xml:space="preserve"> inhibitory activity was seen on OATP1B3, OAT1, OCT1 or MRP2. Olaparib had inhibitory activity on P-glycoprotein and BCRP. This activity is unlikely to be relevant for hepatic efflux, but is potentially relevant for intestinally-expressed transporters. Inhibitory activity was also observed on OATP1B1, OAT3, OCT2, MATE1 and MATE2K (</w:t>
      </w:r>
      <w:r w:rsidR="009703D3">
        <w:t>IC</w:t>
      </w:r>
      <w:r w:rsidR="009703D3" w:rsidRPr="009703D3">
        <w:rPr>
          <w:vertAlign w:val="subscript"/>
        </w:rPr>
        <w:t>50</w:t>
      </w:r>
      <w:r w:rsidR="00E032DB">
        <w:t xml:space="preserve"> values ranging 5.5 to </w:t>
      </w:r>
      <w:r w:rsidRPr="00386C85">
        <w:t xml:space="preserve">47.1 </w:t>
      </w:r>
      <w:r w:rsidR="00573130">
        <w:t>µ</w:t>
      </w:r>
      <w:r w:rsidRPr="00386C85">
        <w:t>M). An in vivo interaction with these transporters cannot be dismissed</w:t>
      </w:r>
      <w:r w:rsidR="005D64FB">
        <w:t>.</w:t>
      </w:r>
    </w:p>
    <w:p w14:paraId="3FA0E94E" w14:textId="6469204D" w:rsidR="00386C85" w:rsidRPr="00386C85" w:rsidRDefault="00386C85" w:rsidP="00386C85">
      <w:r w:rsidRPr="00386C85">
        <w:t xml:space="preserve">In summary, inducers/inhibitors of CYP3A or P-glycoprotein may alter olaparib exposures. Olaparib may alter the exposures of co-administered drugs that are substrates of CYP3A (in the intestine), P-glycoprotein (in the intestine), BCRP (in the intestine), OATP1B1, OAT3, </w:t>
      </w:r>
      <w:r w:rsidRPr="00472330">
        <w:t xml:space="preserve">OCT2, </w:t>
      </w:r>
      <w:r w:rsidR="00472330">
        <w:t>m</w:t>
      </w:r>
      <w:r w:rsidR="00472330" w:rsidRPr="00472330">
        <w:t>ulti-antimicrobial extrusion protein</w:t>
      </w:r>
      <w:r w:rsidR="00573130">
        <w:t>s</w:t>
      </w:r>
      <w:r w:rsidR="00472330" w:rsidRPr="00472330">
        <w:t xml:space="preserve"> </w:t>
      </w:r>
      <w:r w:rsidR="00472330">
        <w:t>(</w:t>
      </w:r>
      <w:r w:rsidRPr="00472330">
        <w:t>MATE</w:t>
      </w:r>
      <w:r w:rsidR="00472330">
        <w:t>)</w:t>
      </w:r>
      <w:r w:rsidR="00573130">
        <w:t xml:space="preserve"> MATE</w:t>
      </w:r>
      <w:r w:rsidRPr="00472330">
        <w:t>1</w:t>
      </w:r>
      <w:r w:rsidRPr="00386C85">
        <w:t xml:space="preserve"> and MATE2K.</w:t>
      </w:r>
    </w:p>
    <w:p w14:paraId="1B2339F8" w14:textId="77777777" w:rsidR="001B5C90" w:rsidRDefault="008E7846" w:rsidP="001B5C90">
      <w:pPr>
        <w:pStyle w:val="Heading3"/>
      </w:pPr>
      <w:bookmarkStart w:id="61" w:name="_Toc8053816"/>
      <w:r>
        <w:lastRenderedPageBreak/>
        <w:t>Toxicology</w:t>
      </w:r>
      <w:bookmarkEnd w:id="59"/>
      <w:bookmarkEnd w:id="60"/>
      <w:bookmarkEnd w:id="61"/>
    </w:p>
    <w:p w14:paraId="31739066" w14:textId="73C4BA76" w:rsidR="00386C85" w:rsidRPr="00386C85" w:rsidRDefault="00541721" w:rsidP="00386C85">
      <w:pPr>
        <w:pStyle w:val="Heading4"/>
      </w:pPr>
      <w:r>
        <w:t>Acute toxicity</w:t>
      </w:r>
    </w:p>
    <w:p w14:paraId="39776076" w14:textId="3C0138EC" w:rsidR="00386C85" w:rsidRPr="00386C85" w:rsidRDefault="00386C85" w:rsidP="00386C85">
      <w:r w:rsidRPr="00386C85">
        <w:t xml:space="preserve">The single-dose toxicity of olaparib was assessed in mice and rats using the oral and IV routes. All studies were </w:t>
      </w:r>
      <w:r w:rsidR="00472330">
        <w:t xml:space="preserve">GLP compliant, used a 14 </w:t>
      </w:r>
      <w:r w:rsidRPr="00386C85">
        <w:t>day observation period and were adequately conducted. The maximum non-lethal oral dose was 300 mg/kg in mice (the highest dose tested) and 240 mg/kg in rats (1.7 and 2.7 times, respectively, the clinical dose of 800 mg/day based on body surface area</w:t>
      </w:r>
      <w:r w:rsidR="00573130">
        <w:t>);</w:t>
      </w:r>
      <w:r w:rsidR="002A0319">
        <w:rPr>
          <w:rStyle w:val="FootnoteReference"/>
        </w:rPr>
        <w:footnoteReference w:id="14"/>
      </w:r>
      <w:r w:rsidRPr="00386C85">
        <w:t xml:space="preserve"> indicating a high order of toxicity by the oral route. The maximum non-lethal IV dose was 70 mg/kg in both species. At higher IV doses, deaths occurred</w:t>
      </w:r>
      <w:r w:rsidR="00472330">
        <w:t xml:space="preserve"> immediately post </w:t>
      </w:r>
      <w:r w:rsidRPr="00386C85">
        <w:t xml:space="preserve">dose. The cause of death was unknown. No clinical signs of toxicity were seen in mice given oral doses of </w:t>
      </w:r>
      <w:r w:rsidR="009703D3">
        <w:t xml:space="preserve">≤ </w:t>
      </w:r>
      <w:r w:rsidRPr="00386C85">
        <w:t xml:space="preserve">300 mg/kg olaparib. Clinical signs in rats following oral dosing included palpebral closure, decreased activity, hypothermia and tremors at </w:t>
      </w:r>
      <w:r w:rsidR="00E032DB">
        <w:t xml:space="preserve">≥ </w:t>
      </w:r>
      <w:r w:rsidRPr="00386C85">
        <w:t>240 mg/kg and salivation, piloerection, lachrymation, hunched posture and diarrhoea at 300 mg/kg. Similar clinical signs were seen in both species following non-lethal IV doses. All clinical signs were reversible. No target organ</w:t>
      </w:r>
      <w:r w:rsidR="002A0319">
        <w:t>s for toxicity were identified.</w:t>
      </w:r>
    </w:p>
    <w:p w14:paraId="33BC6CAE" w14:textId="77777777" w:rsidR="00386C85" w:rsidRPr="00386C85" w:rsidRDefault="00472330" w:rsidP="00386C85">
      <w:pPr>
        <w:pStyle w:val="Heading5"/>
        <w:rPr>
          <w:rFonts w:eastAsiaTheme="minorHAnsi"/>
        </w:rPr>
      </w:pPr>
      <w:r>
        <w:rPr>
          <w:rFonts w:eastAsiaTheme="minorHAnsi"/>
        </w:rPr>
        <w:t xml:space="preserve">Repeat </w:t>
      </w:r>
      <w:r w:rsidR="002A0319">
        <w:rPr>
          <w:rFonts w:eastAsiaTheme="minorHAnsi"/>
        </w:rPr>
        <w:t>dose toxicity</w:t>
      </w:r>
    </w:p>
    <w:p w14:paraId="5EA21292" w14:textId="77777777" w:rsidR="00C9747E" w:rsidRPr="00386C85" w:rsidRDefault="00472330" w:rsidP="00386C85">
      <w:r>
        <w:t xml:space="preserve">Repeat </w:t>
      </w:r>
      <w:r w:rsidR="00386C85" w:rsidRPr="00386C85">
        <w:t xml:space="preserve">dose toxicity studies by the oral route were conducted in mice (2 weeks), rats (up to 6 months) and dogs (up to 6 months). All studies were </w:t>
      </w:r>
      <w:r>
        <w:t>GLP compliant</w:t>
      </w:r>
      <w:r w:rsidR="00386C85" w:rsidRPr="00386C85">
        <w:t>. There was limited reporting in the mouse study, thus the discussion below will focus primarily on findings in rats and dogs, two species that were considered appropriate models based on ph</w:t>
      </w:r>
      <w:r>
        <w:t xml:space="preserve">armacokinetic parameters. Short </w:t>
      </w:r>
      <w:r w:rsidR="00386C85" w:rsidRPr="00386C85">
        <w:t>term (7 days) studies were conducted in rats and dogs. The full set of parameters were not assessed in these studies, but as exposures in the longer term studies were subclinical and higher exposures were achieved in</w:t>
      </w:r>
      <w:r>
        <w:t xml:space="preserve"> these short </w:t>
      </w:r>
      <w:r w:rsidR="00386C85" w:rsidRPr="00386C85">
        <w:t>term studies, the findings in these studies are included in the discussion below. The duration of the pivotal studies (6 months), group sizes and the use of both sexes were consistent with ICH guidelines</w:t>
      </w:r>
      <w:r>
        <w:t>.</w:t>
      </w:r>
      <w:r w:rsidR="002A0319">
        <w:rPr>
          <w:rStyle w:val="FootnoteReference"/>
        </w:rPr>
        <w:footnoteReference w:id="15"/>
      </w:r>
    </w:p>
    <w:p w14:paraId="0AAF5032" w14:textId="77777777" w:rsidR="00386C85" w:rsidRPr="002A0319" w:rsidRDefault="002A0319" w:rsidP="002A0319">
      <w:r w:rsidRPr="002A0319">
        <w:t>The clinical route (PO) was used in all studies. However, animals were dosed only once daily (</w:t>
      </w:r>
      <w:r w:rsidR="00E032DB">
        <w:t>compared with</w:t>
      </w:r>
      <w:r w:rsidRPr="002A0319">
        <w:t xml:space="preserve"> the proposed clinical dosing regimen of twice daily) and exposures achieved in the 4 and 26 week studies were subclinical. Doses were selected based on toxicity findings in preliminary 7 day </w:t>
      </w:r>
      <w:r w:rsidR="00472330">
        <w:t>repeat dose</w:t>
      </w:r>
      <w:r w:rsidRPr="002A0319">
        <w:t xml:space="preserve"> toxicity studies. There were no premature deaths and bodyweight gain was only impaired at the highest doses in the rat studies. Higher doses may have been achievable in these longer term studies. Due to the low exposures achieved, the full toxicity profile of olaparib is unlikely to be seen in these submitted studies and the majority of the findings described below should be assumed to be potentially </w:t>
      </w:r>
      <w:r w:rsidR="00472330">
        <w:t>clinically relevant</w:t>
      </w:r>
      <w:r w:rsidRPr="002A0319">
        <w:t>.</w:t>
      </w:r>
    </w:p>
    <w:p w14:paraId="02A449E3" w14:textId="77777777" w:rsidR="00386C85" w:rsidRDefault="002A0319" w:rsidP="00541721">
      <w:pPr>
        <w:pStyle w:val="TableTitle"/>
        <w:pageBreakBefore/>
      </w:pPr>
      <w:r>
        <w:lastRenderedPageBreak/>
        <w:t>Table</w:t>
      </w:r>
      <w:r w:rsidR="00F03EBB">
        <w:t>3:</w:t>
      </w:r>
      <w:r>
        <w:t xml:space="preserve"> </w:t>
      </w:r>
      <w:r w:rsidRPr="002A0319">
        <w:t xml:space="preserve">Relative exposure in </w:t>
      </w:r>
      <w:r w:rsidR="00472330">
        <w:t>repeat dose</w:t>
      </w:r>
      <w:r w:rsidRPr="002A0319">
        <w:t xml:space="preserve"> toxicity studies</w:t>
      </w:r>
    </w:p>
    <w:tbl>
      <w:tblPr>
        <w:tblStyle w:val="TableTGAblue"/>
        <w:tblW w:w="8616" w:type="dxa"/>
        <w:tblLayout w:type="fixed"/>
        <w:tblLook w:val="01E0" w:firstRow="1" w:lastRow="1" w:firstColumn="1" w:lastColumn="1" w:noHBand="0" w:noVBand="0"/>
      </w:tblPr>
      <w:tblGrid>
        <w:gridCol w:w="1807"/>
        <w:gridCol w:w="1805"/>
        <w:gridCol w:w="1668"/>
        <w:gridCol w:w="833"/>
        <w:gridCol w:w="835"/>
        <w:gridCol w:w="833"/>
        <w:gridCol w:w="835"/>
      </w:tblGrid>
      <w:tr w:rsidR="00E25D3F" w:rsidRPr="00472330" w14:paraId="04D57081" w14:textId="77777777" w:rsidTr="00E25D3F">
        <w:trPr>
          <w:cnfStyle w:val="100000000000" w:firstRow="1" w:lastRow="0" w:firstColumn="0" w:lastColumn="0" w:oddVBand="0" w:evenVBand="0" w:oddHBand="0" w:evenHBand="0" w:firstRowFirstColumn="0" w:firstRowLastColumn="0" w:lastRowFirstColumn="0" w:lastRowLastColumn="0"/>
          <w:trHeight w:val="737"/>
        </w:trPr>
        <w:tc>
          <w:tcPr>
            <w:tcW w:w="1807" w:type="dxa"/>
            <w:vMerge w:val="restart"/>
          </w:tcPr>
          <w:p w14:paraId="73B33405" w14:textId="77777777" w:rsidR="00E25D3F" w:rsidRPr="00472330" w:rsidRDefault="00E25D3F" w:rsidP="00472330">
            <w:pPr>
              <w:ind w:left="0" w:right="0"/>
              <w:rPr>
                <w:sz w:val="20"/>
                <w:szCs w:val="20"/>
              </w:rPr>
            </w:pPr>
            <w:r w:rsidRPr="00472330">
              <w:rPr>
                <w:sz w:val="20"/>
                <w:szCs w:val="20"/>
              </w:rPr>
              <w:t>Species</w:t>
            </w:r>
          </w:p>
        </w:tc>
        <w:tc>
          <w:tcPr>
            <w:tcW w:w="1805" w:type="dxa"/>
            <w:vMerge w:val="restart"/>
          </w:tcPr>
          <w:p w14:paraId="3CDFAA9E" w14:textId="77777777" w:rsidR="00E25D3F" w:rsidRPr="00472330" w:rsidRDefault="00E25D3F" w:rsidP="00472330">
            <w:pPr>
              <w:ind w:left="0" w:right="0"/>
              <w:rPr>
                <w:sz w:val="20"/>
                <w:szCs w:val="20"/>
              </w:rPr>
            </w:pPr>
            <w:r w:rsidRPr="00472330">
              <w:rPr>
                <w:sz w:val="20"/>
                <w:szCs w:val="20"/>
              </w:rPr>
              <w:t>Study duration</w:t>
            </w:r>
          </w:p>
        </w:tc>
        <w:tc>
          <w:tcPr>
            <w:tcW w:w="1668" w:type="dxa"/>
            <w:vMerge w:val="restart"/>
          </w:tcPr>
          <w:p w14:paraId="6BA1311C" w14:textId="77777777" w:rsidR="00E25D3F" w:rsidRPr="00472330" w:rsidRDefault="00E25D3F" w:rsidP="00472330">
            <w:pPr>
              <w:ind w:left="0" w:right="0"/>
              <w:rPr>
                <w:sz w:val="20"/>
                <w:szCs w:val="20"/>
              </w:rPr>
            </w:pPr>
            <w:r w:rsidRPr="00472330">
              <w:rPr>
                <w:sz w:val="20"/>
                <w:szCs w:val="20"/>
              </w:rPr>
              <w:t>Dose (mg/kg/day PO)</w:t>
            </w:r>
          </w:p>
        </w:tc>
        <w:tc>
          <w:tcPr>
            <w:tcW w:w="1668" w:type="dxa"/>
            <w:gridSpan w:val="2"/>
          </w:tcPr>
          <w:p w14:paraId="21E5E47A" w14:textId="77777777" w:rsidR="00E25D3F" w:rsidRPr="00472330" w:rsidRDefault="00E25D3F" w:rsidP="00472330">
            <w:pPr>
              <w:ind w:left="0" w:right="0"/>
              <w:rPr>
                <w:sz w:val="20"/>
                <w:szCs w:val="20"/>
              </w:rPr>
            </w:pPr>
            <w:r w:rsidRPr="00472330">
              <w:rPr>
                <w:sz w:val="20"/>
                <w:szCs w:val="20"/>
              </w:rPr>
              <w:t>AUC0–24</w:t>
            </w:r>
            <w:r w:rsidR="00E032DB" w:rsidRPr="00472330">
              <w:rPr>
                <w:sz w:val="20"/>
                <w:szCs w:val="20"/>
              </w:rPr>
              <w:t xml:space="preserve"> hours</w:t>
            </w:r>
            <w:r w:rsidRPr="00472330">
              <w:rPr>
                <w:sz w:val="20"/>
                <w:szCs w:val="20"/>
              </w:rPr>
              <w:t xml:space="preserve"> (</w:t>
            </w:r>
            <w:proofErr w:type="spellStart"/>
            <w:r w:rsidRPr="00472330">
              <w:rPr>
                <w:sz w:val="20"/>
                <w:szCs w:val="20"/>
              </w:rPr>
              <w:t>μg∙h</w:t>
            </w:r>
            <w:proofErr w:type="spellEnd"/>
            <w:r w:rsidRPr="00472330">
              <w:rPr>
                <w:sz w:val="20"/>
                <w:szCs w:val="20"/>
              </w:rPr>
              <w:t>/mL)</w:t>
            </w:r>
          </w:p>
        </w:tc>
        <w:tc>
          <w:tcPr>
            <w:tcW w:w="1668" w:type="dxa"/>
            <w:gridSpan w:val="2"/>
          </w:tcPr>
          <w:p w14:paraId="0B7AE5FA" w14:textId="77777777" w:rsidR="00E25D3F" w:rsidRPr="00472330" w:rsidRDefault="00E25D3F" w:rsidP="00472330">
            <w:pPr>
              <w:ind w:left="0" w:right="0"/>
              <w:rPr>
                <w:sz w:val="20"/>
                <w:szCs w:val="20"/>
              </w:rPr>
            </w:pPr>
            <w:r w:rsidRPr="00472330">
              <w:rPr>
                <w:sz w:val="20"/>
                <w:szCs w:val="20"/>
              </w:rPr>
              <w:t>Exposure ratio#</w:t>
            </w:r>
          </w:p>
        </w:tc>
      </w:tr>
      <w:tr w:rsidR="00E25D3F" w:rsidRPr="00472330" w14:paraId="4BA5C1E6" w14:textId="77777777" w:rsidTr="00E25D3F">
        <w:trPr>
          <w:trHeight w:val="142"/>
        </w:trPr>
        <w:tc>
          <w:tcPr>
            <w:tcW w:w="1807" w:type="dxa"/>
            <w:vMerge/>
          </w:tcPr>
          <w:p w14:paraId="0B49BFAF" w14:textId="77777777" w:rsidR="00E25D3F" w:rsidRPr="00472330" w:rsidRDefault="00E25D3F" w:rsidP="00472330">
            <w:pPr>
              <w:ind w:left="0" w:right="0"/>
              <w:rPr>
                <w:sz w:val="20"/>
                <w:szCs w:val="20"/>
              </w:rPr>
            </w:pPr>
          </w:p>
        </w:tc>
        <w:tc>
          <w:tcPr>
            <w:tcW w:w="1805" w:type="dxa"/>
            <w:vMerge/>
          </w:tcPr>
          <w:p w14:paraId="274B669B" w14:textId="77777777" w:rsidR="00E25D3F" w:rsidRPr="00472330" w:rsidRDefault="00E25D3F" w:rsidP="00472330">
            <w:pPr>
              <w:ind w:left="0" w:right="0"/>
              <w:rPr>
                <w:sz w:val="20"/>
                <w:szCs w:val="20"/>
              </w:rPr>
            </w:pPr>
          </w:p>
        </w:tc>
        <w:tc>
          <w:tcPr>
            <w:tcW w:w="1668" w:type="dxa"/>
            <w:vMerge/>
          </w:tcPr>
          <w:p w14:paraId="12AC0D78" w14:textId="77777777" w:rsidR="00E25D3F" w:rsidRPr="00472330" w:rsidRDefault="00E25D3F" w:rsidP="00472330">
            <w:pPr>
              <w:ind w:left="0" w:right="0"/>
              <w:rPr>
                <w:sz w:val="20"/>
                <w:szCs w:val="20"/>
              </w:rPr>
            </w:pPr>
          </w:p>
        </w:tc>
        <w:tc>
          <w:tcPr>
            <w:tcW w:w="833" w:type="dxa"/>
          </w:tcPr>
          <w:p w14:paraId="6D8D812B" w14:textId="77777777" w:rsidR="00E25D3F" w:rsidRPr="00472330" w:rsidRDefault="00E25D3F" w:rsidP="00472330">
            <w:pPr>
              <w:ind w:left="0" w:right="0"/>
              <w:rPr>
                <w:sz w:val="20"/>
                <w:szCs w:val="20"/>
              </w:rPr>
            </w:pPr>
            <w:r w:rsidRPr="00472330">
              <w:rPr>
                <w:rFonts w:ascii="Times New Roman" w:hAnsi="Times New Roman"/>
                <w:sz w:val="20"/>
                <w:szCs w:val="20"/>
              </w:rPr>
              <w:t>M</w:t>
            </w:r>
          </w:p>
        </w:tc>
        <w:tc>
          <w:tcPr>
            <w:tcW w:w="835" w:type="dxa"/>
          </w:tcPr>
          <w:p w14:paraId="68A140E2" w14:textId="77777777" w:rsidR="00E25D3F" w:rsidRPr="00472330" w:rsidRDefault="00E25D3F" w:rsidP="00472330">
            <w:pPr>
              <w:ind w:left="0" w:right="0"/>
              <w:rPr>
                <w:sz w:val="20"/>
                <w:szCs w:val="20"/>
              </w:rPr>
            </w:pPr>
            <w:r w:rsidRPr="00472330">
              <w:rPr>
                <w:rFonts w:ascii="Times New Roman" w:hAnsi="Times New Roman"/>
                <w:sz w:val="20"/>
                <w:szCs w:val="20"/>
              </w:rPr>
              <w:t>F</w:t>
            </w:r>
          </w:p>
        </w:tc>
        <w:tc>
          <w:tcPr>
            <w:tcW w:w="833" w:type="dxa"/>
          </w:tcPr>
          <w:p w14:paraId="0D431E75" w14:textId="77777777" w:rsidR="00E25D3F" w:rsidRPr="00472330" w:rsidRDefault="00E25D3F" w:rsidP="00472330">
            <w:pPr>
              <w:ind w:left="0" w:right="0"/>
              <w:rPr>
                <w:sz w:val="20"/>
                <w:szCs w:val="20"/>
              </w:rPr>
            </w:pPr>
            <w:r w:rsidRPr="00472330">
              <w:rPr>
                <w:rFonts w:ascii="Times New Roman" w:hAnsi="Times New Roman"/>
                <w:sz w:val="20"/>
                <w:szCs w:val="20"/>
              </w:rPr>
              <w:t>M</w:t>
            </w:r>
          </w:p>
        </w:tc>
        <w:tc>
          <w:tcPr>
            <w:tcW w:w="835" w:type="dxa"/>
          </w:tcPr>
          <w:p w14:paraId="62F427BF" w14:textId="77777777" w:rsidR="00E25D3F" w:rsidRPr="00472330" w:rsidRDefault="00E25D3F" w:rsidP="00472330">
            <w:pPr>
              <w:ind w:left="0" w:right="0"/>
              <w:rPr>
                <w:sz w:val="20"/>
                <w:szCs w:val="20"/>
              </w:rPr>
            </w:pPr>
            <w:r w:rsidRPr="00472330">
              <w:rPr>
                <w:rFonts w:ascii="Times New Roman" w:hAnsi="Times New Roman"/>
                <w:sz w:val="20"/>
                <w:szCs w:val="20"/>
              </w:rPr>
              <w:t>F</w:t>
            </w:r>
          </w:p>
        </w:tc>
      </w:tr>
      <w:tr w:rsidR="00E25D3F" w:rsidRPr="00472330" w14:paraId="11A574D8" w14:textId="77777777" w:rsidTr="00E25D3F">
        <w:trPr>
          <w:trHeight w:val="223"/>
        </w:trPr>
        <w:tc>
          <w:tcPr>
            <w:tcW w:w="1807" w:type="dxa"/>
            <w:vMerge w:val="restart"/>
          </w:tcPr>
          <w:p w14:paraId="310C6388" w14:textId="77777777" w:rsidR="00E25D3F" w:rsidRPr="00472330" w:rsidRDefault="00E25D3F" w:rsidP="00472330">
            <w:pPr>
              <w:ind w:left="0" w:right="0"/>
              <w:rPr>
                <w:sz w:val="20"/>
                <w:szCs w:val="20"/>
              </w:rPr>
            </w:pPr>
            <w:r w:rsidRPr="00472330">
              <w:rPr>
                <w:sz w:val="20"/>
                <w:szCs w:val="20"/>
              </w:rPr>
              <w:t>Rat (</w:t>
            </w:r>
            <w:proofErr w:type="spellStart"/>
            <w:r w:rsidRPr="00472330">
              <w:rPr>
                <w:sz w:val="20"/>
                <w:szCs w:val="20"/>
              </w:rPr>
              <w:t>Wistar</w:t>
            </w:r>
            <w:proofErr w:type="spellEnd"/>
            <w:r w:rsidRPr="00472330">
              <w:rPr>
                <w:sz w:val="20"/>
                <w:szCs w:val="20"/>
              </w:rPr>
              <w:t xml:space="preserve"> Han)</w:t>
            </w:r>
          </w:p>
        </w:tc>
        <w:tc>
          <w:tcPr>
            <w:tcW w:w="1805" w:type="dxa"/>
            <w:vMerge w:val="restart"/>
          </w:tcPr>
          <w:p w14:paraId="43531D1E" w14:textId="77777777" w:rsidR="00E25D3F" w:rsidRPr="00472330" w:rsidRDefault="00E25D3F" w:rsidP="00472330">
            <w:pPr>
              <w:ind w:left="0" w:right="0"/>
              <w:rPr>
                <w:sz w:val="20"/>
                <w:szCs w:val="20"/>
              </w:rPr>
            </w:pPr>
            <w:r w:rsidRPr="00472330">
              <w:rPr>
                <w:sz w:val="20"/>
                <w:szCs w:val="20"/>
              </w:rPr>
              <w:t>7 days [2229/040]</w:t>
            </w:r>
          </w:p>
        </w:tc>
        <w:tc>
          <w:tcPr>
            <w:tcW w:w="1668" w:type="dxa"/>
          </w:tcPr>
          <w:p w14:paraId="6690D107" w14:textId="77777777" w:rsidR="00E25D3F" w:rsidRPr="00472330" w:rsidRDefault="00E25D3F" w:rsidP="00472330">
            <w:pPr>
              <w:ind w:left="0" w:right="0"/>
              <w:rPr>
                <w:sz w:val="20"/>
                <w:szCs w:val="20"/>
              </w:rPr>
            </w:pPr>
            <w:r w:rsidRPr="00472330">
              <w:rPr>
                <w:sz w:val="20"/>
                <w:szCs w:val="20"/>
              </w:rPr>
              <w:t>15</w:t>
            </w:r>
          </w:p>
        </w:tc>
        <w:tc>
          <w:tcPr>
            <w:tcW w:w="833" w:type="dxa"/>
          </w:tcPr>
          <w:p w14:paraId="5CAFDE2C" w14:textId="77777777" w:rsidR="00E25D3F" w:rsidRPr="00472330" w:rsidRDefault="00E25D3F" w:rsidP="00472330">
            <w:pPr>
              <w:ind w:left="0" w:right="0"/>
              <w:rPr>
                <w:sz w:val="20"/>
                <w:szCs w:val="20"/>
              </w:rPr>
            </w:pPr>
            <w:r w:rsidRPr="00472330">
              <w:rPr>
                <w:sz w:val="20"/>
                <w:szCs w:val="20"/>
              </w:rPr>
              <w:t>3.68</w:t>
            </w:r>
          </w:p>
        </w:tc>
        <w:tc>
          <w:tcPr>
            <w:tcW w:w="835" w:type="dxa"/>
          </w:tcPr>
          <w:p w14:paraId="61EB15A6" w14:textId="77777777" w:rsidR="00E25D3F" w:rsidRPr="00472330" w:rsidRDefault="00E25D3F" w:rsidP="00472330">
            <w:pPr>
              <w:ind w:left="0" w:right="0"/>
              <w:rPr>
                <w:sz w:val="20"/>
                <w:szCs w:val="20"/>
              </w:rPr>
            </w:pPr>
            <w:r w:rsidRPr="00472330">
              <w:rPr>
                <w:sz w:val="20"/>
                <w:szCs w:val="20"/>
              </w:rPr>
              <w:t>6.26</w:t>
            </w:r>
          </w:p>
        </w:tc>
        <w:tc>
          <w:tcPr>
            <w:tcW w:w="833" w:type="dxa"/>
          </w:tcPr>
          <w:p w14:paraId="12AA6F14" w14:textId="77777777" w:rsidR="00E25D3F" w:rsidRPr="00472330" w:rsidRDefault="00E25D3F" w:rsidP="00472330">
            <w:pPr>
              <w:ind w:left="0" w:right="0"/>
              <w:rPr>
                <w:sz w:val="20"/>
                <w:szCs w:val="20"/>
              </w:rPr>
            </w:pPr>
            <w:r w:rsidRPr="00472330">
              <w:rPr>
                <w:sz w:val="20"/>
                <w:szCs w:val="20"/>
              </w:rPr>
              <w:t>0.05</w:t>
            </w:r>
          </w:p>
        </w:tc>
        <w:tc>
          <w:tcPr>
            <w:tcW w:w="835" w:type="dxa"/>
          </w:tcPr>
          <w:p w14:paraId="2F7409B7" w14:textId="77777777" w:rsidR="00E25D3F" w:rsidRPr="00472330" w:rsidRDefault="00E25D3F" w:rsidP="00472330">
            <w:pPr>
              <w:ind w:left="0" w:right="0"/>
              <w:rPr>
                <w:sz w:val="20"/>
                <w:szCs w:val="20"/>
              </w:rPr>
            </w:pPr>
            <w:r w:rsidRPr="00472330">
              <w:rPr>
                <w:sz w:val="20"/>
                <w:szCs w:val="20"/>
              </w:rPr>
              <w:t>0.08</w:t>
            </w:r>
          </w:p>
        </w:tc>
      </w:tr>
      <w:tr w:rsidR="00E25D3F" w:rsidRPr="00472330" w14:paraId="055C2785" w14:textId="77777777" w:rsidTr="00E25D3F">
        <w:trPr>
          <w:trHeight w:val="223"/>
        </w:trPr>
        <w:tc>
          <w:tcPr>
            <w:tcW w:w="1807" w:type="dxa"/>
            <w:vMerge/>
          </w:tcPr>
          <w:p w14:paraId="13804143" w14:textId="77777777" w:rsidR="00E25D3F" w:rsidRPr="00472330" w:rsidRDefault="00E25D3F" w:rsidP="00472330">
            <w:pPr>
              <w:ind w:left="0" w:right="0"/>
              <w:rPr>
                <w:sz w:val="20"/>
                <w:szCs w:val="20"/>
              </w:rPr>
            </w:pPr>
          </w:p>
        </w:tc>
        <w:tc>
          <w:tcPr>
            <w:tcW w:w="1805" w:type="dxa"/>
            <w:vMerge/>
          </w:tcPr>
          <w:p w14:paraId="3A54630F" w14:textId="77777777" w:rsidR="00E25D3F" w:rsidRPr="00472330" w:rsidRDefault="00E25D3F" w:rsidP="00472330">
            <w:pPr>
              <w:ind w:left="0" w:right="0"/>
              <w:rPr>
                <w:sz w:val="20"/>
                <w:szCs w:val="20"/>
              </w:rPr>
            </w:pPr>
          </w:p>
        </w:tc>
        <w:tc>
          <w:tcPr>
            <w:tcW w:w="1668" w:type="dxa"/>
          </w:tcPr>
          <w:p w14:paraId="5269075F" w14:textId="77777777" w:rsidR="00E25D3F" w:rsidRPr="00472330" w:rsidRDefault="00E25D3F" w:rsidP="00472330">
            <w:pPr>
              <w:ind w:left="0" w:right="0"/>
              <w:rPr>
                <w:sz w:val="20"/>
                <w:szCs w:val="20"/>
              </w:rPr>
            </w:pPr>
            <w:r w:rsidRPr="00472330">
              <w:rPr>
                <w:sz w:val="20"/>
                <w:szCs w:val="20"/>
              </w:rPr>
              <w:t>100</w:t>
            </w:r>
          </w:p>
        </w:tc>
        <w:tc>
          <w:tcPr>
            <w:tcW w:w="833" w:type="dxa"/>
          </w:tcPr>
          <w:p w14:paraId="224CA7F2" w14:textId="77777777" w:rsidR="00E25D3F" w:rsidRPr="00472330" w:rsidRDefault="00E25D3F" w:rsidP="00472330">
            <w:pPr>
              <w:ind w:left="0" w:right="0"/>
              <w:rPr>
                <w:sz w:val="20"/>
                <w:szCs w:val="20"/>
              </w:rPr>
            </w:pPr>
            <w:r w:rsidRPr="00472330">
              <w:rPr>
                <w:sz w:val="20"/>
                <w:szCs w:val="20"/>
              </w:rPr>
              <w:t>58.3</w:t>
            </w:r>
          </w:p>
        </w:tc>
        <w:tc>
          <w:tcPr>
            <w:tcW w:w="835" w:type="dxa"/>
          </w:tcPr>
          <w:p w14:paraId="71D3BFFC" w14:textId="77777777" w:rsidR="00E25D3F" w:rsidRPr="00472330" w:rsidRDefault="00E25D3F" w:rsidP="00472330">
            <w:pPr>
              <w:ind w:left="0" w:right="0"/>
              <w:rPr>
                <w:sz w:val="20"/>
                <w:szCs w:val="20"/>
              </w:rPr>
            </w:pPr>
            <w:r w:rsidRPr="00472330">
              <w:rPr>
                <w:sz w:val="20"/>
                <w:szCs w:val="20"/>
              </w:rPr>
              <w:t>123</w:t>
            </w:r>
          </w:p>
        </w:tc>
        <w:tc>
          <w:tcPr>
            <w:tcW w:w="833" w:type="dxa"/>
          </w:tcPr>
          <w:p w14:paraId="637914EA" w14:textId="77777777" w:rsidR="00E25D3F" w:rsidRPr="00472330" w:rsidRDefault="00E25D3F" w:rsidP="00472330">
            <w:pPr>
              <w:ind w:left="0" w:right="0"/>
              <w:rPr>
                <w:sz w:val="20"/>
                <w:szCs w:val="20"/>
              </w:rPr>
            </w:pPr>
            <w:r w:rsidRPr="00472330">
              <w:rPr>
                <w:sz w:val="20"/>
                <w:szCs w:val="20"/>
              </w:rPr>
              <w:t>0.7</w:t>
            </w:r>
          </w:p>
        </w:tc>
        <w:tc>
          <w:tcPr>
            <w:tcW w:w="835" w:type="dxa"/>
          </w:tcPr>
          <w:p w14:paraId="37244447" w14:textId="77777777" w:rsidR="00E25D3F" w:rsidRPr="00472330" w:rsidRDefault="00E25D3F" w:rsidP="00472330">
            <w:pPr>
              <w:ind w:left="0" w:right="0"/>
              <w:rPr>
                <w:sz w:val="20"/>
                <w:szCs w:val="20"/>
              </w:rPr>
            </w:pPr>
            <w:r w:rsidRPr="00472330">
              <w:rPr>
                <w:sz w:val="20"/>
                <w:szCs w:val="20"/>
              </w:rPr>
              <w:t>1.5</w:t>
            </w:r>
          </w:p>
        </w:tc>
      </w:tr>
      <w:tr w:rsidR="00E25D3F" w:rsidRPr="00472330" w14:paraId="1D3B7C9A" w14:textId="77777777" w:rsidTr="00E25D3F">
        <w:trPr>
          <w:trHeight w:val="223"/>
        </w:trPr>
        <w:tc>
          <w:tcPr>
            <w:tcW w:w="1807" w:type="dxa"/>
            <w:vMerge/>
          </w:tcPr>
          <w:p w14:paraId="3B64D6FC" w14:textId="77777777" w:rsidR="00E25D3F" w:rsidRPr="00472330" w:rsidRDefault="00E25D3F" w:rsidP="00472330">
            <w:pPr>
              <w:ind w:left="0" w:right="0"/>
              <w:rPr>
                <w:sz w:val="20"/>
                <w:szCs w:val="20"/>
              </w:rPr>
            </w:pPr>
          </w:p>
        </w:tc>
        <w:tc>
          <w:tcPr>
            <w:tcW w:w="1805" w:type="dxa"/>
            <w:vMerge/>
          </w:tcPr>
          <w:p w14:paraId="269847D5" w14:textId="77777777" w:rsidR="00E25D3F" w:rsidRPr="00472330" w:rsidRDefault="00E25D3F" w:rsidP="00472330">
            <w:pPr>
              <w:ind w:left="0" w:right="0"/>
              <w:rPr>
                <w:sz w:val="20"/>
                <w:szCs w:val="20"/>
              </w:rPr>
            </w:pPr>
          </w:p>
        </w:tc>
        <w:tc>
          <w:tcPr>
            <w:tcW w:w="1668" w:type="dxa"/>
          </w:tcPr>
          <w:p w14:paraId="3B087864" w14:textId="77777777" w:rsidR="00E25D3F" w:rsidRPr="00472330" w:rsidRDefault="00E25D3F" w:rsidP="00472330">
            <w:pPr>
              <w:ind w:left="0" w:right="0"/>
              <w:rPr>
                <w:sz w:val="20"/>
                <w:szCs w:val="20"/>
              </w:rPr>
            </w:pPr>
            <w:r w:rsidRPr="00472330">
              <w:rPr>
                <w:sz w:val="20"/>
                <w:szCs w:val="20"/>
              </w:rPr>
              <w:t>200</w:t>
            </w:r>
          </w:p>
        </w:tc>
        <w:tc>
          <w:tcPr>
            <w:tcW w:w="833" w:type="dxa"/>
          </w:tcPr>
          <w:p w14:paraId="4EFF6F24" w14:textId="77777777" w:rsidR="00E25D3F" w:rsidRPr="00472330" w:rsidRDefault="00E25D3F" w:rsidP="00472330">
            <w:pPr>
              <w:ind w:left="0" w:right="0"/>
              <w:rPr>
                <w:sz w:val="20"/>
                <w:szCs w:val="20"/>
              </w:rPr>
            </w:pPr>
            <w:r w:rsidRPr="00472330">
              <w:rPr>
                <w:sz w:val="20"/>
                <w:szCs w:val="20"/>
              </w:rPr>
              <w:t>99.4</w:t>
            </w:r>
          </w:p>
        </w:tc>
        <w:tc>
          <w:tcPr>
            <w:tcW w:w="835" w:type="dxa"/>
          </w:tcPr>
          <w:p w14:paraId="3857979D" w14:textId="77777777" w:rsidR="00E25D3F" w:rsidRPr="00472330" w:rsidRDefault="00E25D3F" w:rsidP="00472330">
            <w:pPr>
              <w:ind w:left="0" w:right="0"/>
              <w:rPr>
                <w:sz w:val="20"/>
                <w:szCs w:val="20"/>
              </w:rPr>
            </w:pPr>
            <w:r w:rsidRPr="00472330">
              <w:rPr>
                <w:sz w:val="20"/>
                <w:szCs w:val="20"/>
              </w:rPr>
              <w:t>173</w:t>
            </w:r>
          </w:p>
        </w:tc>
        <w:tc>
          <w:tcPr>
            <w:tcW w:w="833" w:type="dxa"/>
          </w:tcPr>
          <w:p w14:paraId="13602C38" w14:textId="77777777" w:rsidR="00E25D3F" w:rsidRPr="00472330" w:rsidRDefault="00E25D3F" w:rsidP="00472330">
            <w:pPr>
              <w:ind w:left="0" w:right="0"/>
              <w:rPr>
                <w:sz w:val="20"/>
                <w:szCs w:val="20"/>
              </w:rPr>
            </w:pPr>
            <w:r w:rsidRPr="00472330">
              <w:rPr>
                <w:sz w:val="20"/>
                <w:szCs w:val="20"/>
              </w:rPr>
              <w:t>1.2</w:t>
            </w:r>
          </w:p>
        </w:tc>
        <w:tc>
          <w:tcPr>
            <w:tcW w:w="835" w:type="dxa"/>
          </w:tcPr>
          <w:p w14:paraId="6B8D0D13" w14:textId="77777777" w:rsidR="00E25D3F" w:rsidRPr="00472330" w:rsidRDefault="00E25D3F" w:rsidP="00472330">
            <w:pPr>
              <w:ind w:left="0" w:right="0"/>
              <w:rPr>
                <w:sz w:val="20"/>
                <w:szCs w:val="20"/>
              </w:rPr>
            </w:pPr>
            <w:r w:rsidRPr="00472330">
              <w:rPr>
                <w:sz w:val="20"/>
                <w:szCs w:val="20"/>
              </w:rPr>
              <w:t>2.1</w:t>
            </w:r>
          </w:p>
        </w:tc>
      </w:tr>
      <w:tr w:rsidR="00E25D3F" w:rsidRPr="00472330" w14:paraId="5405CF6D" w14:textId="77777777" w:rsidTr="00E25D3F">
        <w:trPr>
          <w:trHeight w:val="223"/>
        </w:trPr>
        <w:tc>
          <w:tcPr>
            <w:tcW w:w="1807" w:type="dxa"/>
            <w:vMerge/>
          </w:tcPr>
          <w:p w14:paraId="0E27EC9A" w14:textId="77777777" w:rsidR="00E25D3F" w:rsidRPr="00472330" w:rsidRDefault="00E25D3F" w:rsidP="00472330">
            <w:pPr>
              <w:ind w:left="0" w:right="0"/>
              <w:rPr>
                <w:sz w:val="20"/>
                <w:szCs w:val="20"/>
              </w:rPr>
            </w:pPr>
          </w:p>
        </w:tc>
        <w:tc>
          <w:tcPr>
            <w:tcW w:w="1805" w:type="dxa"/>
            <w:vMerge w:val="restart"/>
          </w:tcPr>
          <w:p w14:paraId="2CAC7C74" w14:textId="77777777" w:rsidR="00E25D3F" w:rsidRPr="00472330" w:rsidRDefault="00E25D3F" w:rsidP="00472330">
            <w:pPr>
              <w:ind w:left="0" w:right="0"/>
              <w:rPr>
                <w:sz w:val="20"/>
                <w:szCs w:val="20"/>
              </w:rPr>
            </w:pPr>
            <w:r w:rsidRPr="00472330">
              <w:rPr>
                <w:sz w:val="20"/>
                <w:szCs w:val="20"/>
              </w:rPr>
              <w:t>4 weeks [Study 2229/037]</w:t>
            </w:r>
          </w:p>
        </w:tc>
        <w:tc>
          <w:tcPr>
            <w:tcW w:w="1668" w:type="dxa"/>
          </w:tcPr>
          <w:p w14:paraId="702F43EE" w14:textId="77777777" w:rsidR="00E25D3F" w:rsidRPr="00472330" w:rsidRDefault="00E25D3F" w:rsidP="00472330">
            <w:pPr>
              <w:ind w:left="0" w:right="0"/>
              <w:rPr>
                <w:sz w:val="20"/>
                <w:szCs w:val="20"/>
              </w:rPr>
            </w:pPr>
            <w:r w:rsidRPr="00472330">
              <w:rPr>
                <w:sz w:val="20"/>
                <w:szCs w:val="20"/>
              </w:rPr>
              <w:t>5</w:t>
            </w:r>
          </w:p>
        </w:tc>
        <w:tc>
          <w:tcPr>
            <w:tcW w:w="833" w:type="dxa"/>
          </w:tcPr>
          <w:p w14:paraId="604E00D6" w14:textId="77777777" w:rsidR="00E25D3F" w:rsidRPr="00472330" w:rsidRDefault="00E25D3F" w:rsidP="00472330">
            <w:pPr>
              <w:ind w:left="0" w:right="0"/>
              <w:rPr>
                <w:sz w:val="20"/>
                <w:szCs w:val="20"/>
              </w:rPr>
            </w:pPr>
            <w:r w:rsidRPr="00472330">
              <w:rPr>
                <w:sz w:val="20"/>
                <w:szCs w:val="20"/>
              </w:rPr>
              <w:t>0.24</w:t>
            </w:r>
          </w:p>
        </w:tc>
        <w:tc>
          <w:tcPr>
            <w:tcW w:w="835" w:type="dxa"/>
          </w:tcPr>
          <w:p w14:paraId="2B8309DB" w14:textId="77777777" w:rsidR="00E25D3F" w:rsidRPr="00472330" w:rsidRDefault="00E25D3F" w:rsidP="00472330">
            <w:pPr>
              <w:ind w:left="0" w:right="0"/>
              <w:rPr>
                <w:sz w:val="20"/>
                <w:szCs w:val="20"/>
              </w:rPr>
            </w:pPr>
            <w:r w:rsidRPr="00472330">
              <w:rPr>
                <w:sz w:val="20"/>
                <w:szCs w:val="20"/>
              </w:rPr>
              <w:t>1.64</w:t>
            </w:r>
          </w:p>
        </w:tc>
        <w:tc>
          <w:tcPr>
            <w:tcW w:w="833" w:type="dxa"/>
          </w:tcPr>
          <w:p w14:paraId="5D1DD08D" w14:textId="77777777" w:rsidR="00E25D3F" w:rsidRPr="00472330" w:rsidRDefault="00E25D3F" w:rsidP="00472330">
            <w:pPr>
              <w:ind w:left="0" w:right="0"/>
              <w:rPr>
                <w:sz w:val="20"/>
                <w:szCs w:val="20"/>
              </w:rPr>
            </w:pPr>
            <w:r w:rsidRPr="00472330">
              <w:rPr>
                <w:sz w:val="20"/>
                <w:szCs w:val="20"/>
              </w:rPr>
              <w:t>0.003</w:t>
            </w:r>
          </w:p>
        </w:tc>
        <w:tc>
          <w:tcPr>
            <w:tcW w:w="835" w:type="dxa"/>
          </w:tcPr>
          <w:p w14:paraId="5BD6A1B0" w14:textId="77777777" w:rsidR="00E25D3F" w:rsidRPr="00472330" w:rsidRDefault="00E25D3F" w:rsidP="00472330">
            <w:pPr>
              <w:ind w:left="0" w:right="0"/>
              <w:rPr>
                <w:sz w:val="20"/>
                <w:szCs w:val="20"/>
              </w:rPr>
            </w:pPr>
            <w:r w:rsidRPr="00472330">
              <w:rPr>
                <w:sz w:val="20"/>
                <w:szCs w:val="20"/>
              </w:rPr>
              <w:t>0.02</w:t>
            </w:r>
          </w:p>
        </w:tc>
      </w:tr>
      <w:tr w:rsidR="00E25D3F" w:rsidRPr="00472330" w14:paraId="03BC20B4" w14:textId="77777777" w:rsidTr="00E25D3F">
        <w:trPr>
          <w:trHeight w:val="223"/>
        </w:trPr>
        <w:tc>
          <w:tcPr>
            <w:tcW w:w="1807" w:type="dxa"/>
            <w:vMerge/>
          </w:tcPr>
          <w:p w14:paraId="7DF3776A" w14:textId="77777777" w:rsidR="00E25D3F" w:rsidRPr="00472330" w:rsidRDefault="00E25D3F" w:rsidP="00472330">
            <w:pPr>
              <w:ind w:left="0" w:right="0"/>
              <w:rPr>
                <w:sz w:val="20"/>
                <w:szCs w:val="20"/>
              </w:rPr>
            </w:pPr>
          </w:p>
        </w:tc>
        <w:tc>
          <w:tcPr>
            <w:tcW w:w="1805" w:type="dxa"/>
            <w:vMerge/>
          </w:tcPr>
          <w:p w14:paraId="00391027" w14:textId="77777777" w:rsidR="00E25D3F" w:rsidRPr="00472330" w:rsidRDefault="00E25D3F" w:rsidP="00472330">
            <w:pPr>
              <w:ind w:left="0" w:right="0"/>
              <w:rPr>
                <w:sz w:val="20"/>
                <w:szCs w:val="20"/>
              </w:rPr>
            </w:pPr>
          </w:p>
        </w:tc>
        <w:tc>
          <w:tcPr>
            <w:tcW w:w="1668" w:type="dxa"/>
          </w:tcPr>
          <w:p w14:paraId="282D5859" w14:textId="77777777" w:rsidR="00E25D3F" w:rsidRPr="00472330" w:rsidRDefault="00E25D3F" w:rsidP="00472330">
            <w:pPr>
              <w:ind w:left="0" w:right="0"/>
              <w:rPr>
                <w:sz w:val="20"/>
                <w:szCs w:val="20"/>
              </w:rPr>
            </w:pPr>
            <w:r w:rsidRPr="00472330">
              <w:rPr>
                <w:sz w:val="20"/>
                <w:szCs w:val="20"/>
              </w:rPr>
              <w:t>15</w:t>
            </w:r>
          </w:p>
        </w:tc>
        <w:tc>
          <w:tcPr>
            <w:tcW w:w="833" w:type="dxa"/>
          </w:tcPr>
          <w:p w14:paraId="6EA3204D" w14:textId="77777777" w:rsidR="00E25D3F" w:rsidRPr="00472330" w:rsidRDefault="00E25D3F" w:rsidP="00472330">
            <w:pPr>
              <w:ind w:left="0" w:right="0"/>
              <w:rPr>
                <w:sz w:val="20"/>
                <w:szCs w:val="20"/>
              </w:rPr>
            </w:pPr>
            <w:r w:rsidRPr="00472330">
              <w:rPr>
                <w:sz w:val="20"/>
                <w:szCs w:val="20"/>
              </w:rPr>
              <w:t>1.06</w:t>
            </w:r>
          </w:p>
        </w:tc>
        <w:tc>
          <w:tcPr>
            <w:tcW w:w="835" w:type="dxa"/>
          </w:tcPr>
          <w:p w14:paraId="031B2DA0" w14:textId="77777777" w:rsidR="00E25D3F" w:rsidRPr="00472330" w:rsidRDefault="00E25D3F" w:rsidP="00472330">
            <w:pPr>
              <w:ind w:left="0" w:right="0"/>
              <w:rPr>
                <w:sz w:val="20"/>
                <w:szCs w:val="20"/>
              </w:rPr>
            </w:pPr>
            <w:r w:rsidRPr="00472330">
              <w:rPr>
                <w:sz w:val="20"/>
                <w:szCs w:val="20"/>
              </w:rPr>
              <w:t>6.27</w:t>
            </w:r>
          </w:p>
        </w:tc>
        <w:tc>
          <w:tcPr>
            <w:tcW w:w="833" w:type="dxa"/>
          </w:tcPr>
          <w:p w14:paraId="44B20C25" w14:textId="77777777" w:rsidR="00E25D3F" w:rsidRPr="00472330" w:rsidRDefault="00E25D3F" w:rsidP="00472330">
            <w:pPr>
              <w:ind w:left="0" w:right="0"/>
              <w:rPr>
                <w:sz w:val="20"/>
                <w:szCs w:val="20"/>
              </w:rPr>
            </w:pPr>
            <w:r w:rsidRPr="00472330">
              <w:rPr>
                <w:sz w:val="20"/>
                <w:szCs w:val="20"/>
              </w:rPr>
              <w:t>0.01</w:t>
            </w:r>
          </w:p>
        </w:tc>
        <w:tc>
          <w:tcPr>
            <w:tcW w:w="835" w:type="dxa"/>
          </w:tcPr>
          <w:p w14:paraId="7D88CA0C" w14:textId="77777777" w:rsidR="00E25D3F" w:rsidRPr="00472330" w:rsidRDefault="00E25D3F" w:rsidP="00472330">
            <w:pPr>
              <w:ind w:left="0" w:right="0"/>
              <w:rPr>
                <w:sz w:val="20"/>
                <w:szCs w:val="20"/>
              </w:rPr>
            </w:pPr>
            <w:r w:rsidRPr="00472330">
              <w:rPr>
                <w:sz w:val="20"/>
                <w:szCs w:val="20"/>
              </w:rPr>
              <w:t>0.08</w:t>
            </w:r>
          </w:p>
        </w:tc>
      </w:tr>
      <w:tr w:rsidR="00E25D3F" w:rsidRPr="00472330" w14:paraId="29C0960D" w14:textId="77777777" w:rsidTr="00E25D3F">
        <w:trPr>
          <w:trHeight w:val="223"/>
        </w:trPr>
        <w:tc>
          <w:tcPr>
            <w:tcW w:w="1807" w:type="dxa"/>
            <w:vMerge/>
          </w:tcPr>
          <w:p w14:paraId="633F540F" w14:textId="77777777" w:rsidR="00E25D3F" w:rsidRPr="00472330" w:rsidRDefault="00E25D3F" w:rsidP="00472330">
            <w:pPr>
              <w:ind w:left="0" w:right="0"/>
              <w:rPr>
                <w:sz w:val="20"/>
                <w:szCs w:val="20"/>
              </w:rPr>
            </w:pPr>
          </w:p>
        </w:tc>
        <w:tc>
          <w:tcPr>
            <w:tcW w:w="1805" w:type="dxa"/>
            <w:vMerge/>
          </w:tcPr>
          <w:p w14:paraId="0F88A5E9" w14:textId="77777777" w:rsidR="00E25D3F" w:rsidRPr="00472330" w:rsidRDefault="00E25D3F" w:rsidP="00472330">
            <w:pPr>
              <w:ind w:left="0" w:right="0"/>
              <w:rPr>
                <w:sz w:val="20"/>
                <w:szCs w:val="20"/>
              </w:rPr>
            </w:pPr>
          </w:p>
        </w:tc>
        <w:tc>
          <w:tcPr>
            <w:tcW w:w="1668" w:type="dxa"/>
          </w:tcPr>
          <w:p w14:paraId="085182B0" w14:textId="77777777" w:rsidR="00E25D3F" w:rsidRPr="00472330" w:rsidRDefault="00E25D3F" w:rsidP="00472330">
            <w:pPr>
              <w:ind w:left="0" w:right="0"/>
              <w:rPr>
                <w:sz w:val="20"/>
                <w:szCs w:val="20"/>
              </w:rPr>
            </w:pPr>
            <w:r w:rsidRPr="00472330">
              <w:rPr>
                <w:sz w:val="20"/>
                <w:szCs w:val="20"/>
              </w:rPr>
              <w:t>40</w:t>
            </w:r>
          </w:p>
        </w:tc>
        <w:tc>
          <w:tcPr>
            <w:tcW w:w="833" w:type="dxa"/>
          </w:tcPr>
          <w:p w14:paraId="3A0F3F67" w14:textId="77777777" w:rsidR="00E25D3F" w:rsidRPr="00472330" w:rsidRDefault="00E25D3F" w:rsidP="00472330">
            <w:pPr>
              <w:ind w:left="0" w:right="0"/>
              <w:rPr>
                <w:sz w:val="20"/>
                <w:szCs w:val="20"/>
              </w:rPr>
            </w:pPr>
            <w:r w:rsidRPr="00472330">
              <w:rPr>
                <w:sz w:val="20"/>
                <w:szCs w:val="20"/>
              </w:rPr>
              <w:t>5.75</w:t>
            </w:r>
          </w:p>
        </w:tc>
        <w:tc>
          <w:tcPr>
            <w:tcW w:w="835" w:type="dxa"/>
          </w:tcPr>
          <w:p w14:paraId="7600255C" w14:textId="77777777" w:rsidR="00E25D3F" w:rsidRPr="00472330" w:rsidRDefault="00E25D3F" w:rsidP="00472330">
            <w:pPr>
              <w:ind w:left="0" w:right="0"/>
              <w:rPr>
                <w:sz w:val="20"/>
                <w:szCs w:val="20"/>
              </w:rPr>
            </w:pPr>
            <w:r w:rsidRPr="00472330">
              <w:rPr>
                <w:sz w:val="20"/>
                <w:szCs w:val="20"/>
              </w:rPr>
              <w:t>15.6</w:t>
            </w:r>
          </w:p>
        </w:tc>
        <w:tc>
          <w:tcPr>
            <w:tcW w:w="833" w:type="dxa"/>
          </w:tcPr>
          <w:p w14:paraId="7EA63D8B" w14:textId="77777777" w:rsidR="00E25D3F" w:rsidRPr="00472330" w:rsidRDefault="00E25D3F" w:rsidP="00472330">
            <w:pPr>
              <w:ind w:left="0" w:right="0"/>
              <w:rPr>
                <w:sz w:val="20"/>
                <w:szCs w:val="20"/>
              </w:rPr>
            </w:pPr>
            <w:r w:rsidRPr="00472330">
              <w:rPr>
                <w:sz w:val="20"/>
                <w:szCs w:val="20"/>
              </w:rPr>
              <w:t>0.07</w:t>
            </w:r>
          </w:p>
        </w:tc>
        <w:tc>
          <w:tcPr>
            <w:tcW w:w="835" w:type="dxa"/>
          </w:tcPr>
          <w:p w14:paraId="4A93F8E7" w14:textId="77777777" w:rsidR="00E25D3F" w:rsidRPr="00472330" w:rsidRDefault="00E25D3F" w:rsidP="00472330">
            <w:pPr>
              <w:ind w:left="0" w:right="0"/>
              <w:rPr>
                <w:sz w:val="20"/>
                <w:szCs w:val="20"/>
              </w:rPr>
            </w:pPr>
            <w:r w:rsidRPr="00472330">
              <w:rPr>
                <w:sz w:val="20"/>
                <w:szCs w:val="20"/>
              </w:rPr>
              <w:t>0.2</w:t>
            </w:r>
          </w:p>
        </w:tc>
      </w:tr>
      <w:tr w:rsidR="00E25D3F" w:rsidRPr="00472330" w14:paraId="14E272B4" w14:textId="77777777" w:rsidTr="00E25D3F">
        <w:trPr>
          <w:trHeight w:val="223"/>
        </w:trPr>
        <w:tc>
          <w:tcPr>
            <w:tcW w:w="1807" w:type="dxa"/>
            <w:vMerge/>
          </w:tcPr>
          <w:p w14:paraId="5C494C49" w14:textId="77777777" w:rsidR="00E25D3F" w:rsidRPr="00472330" w:rsidRDefault="00E25D3F" w:rsidP="00472330">
            <w:pPr>
              <w:ind w:left="0" w:right="0"/>
              <w:rPr>
                <w:sz w:val="20"/>
                <w:szCs w:val="20"/>
              </w:rPr>
            </w:pPr>
          </w:p>
        </w:tc>
        <w:tc>
          <w:tcPr>
            <w:tcW w:w="1805" w:type="dxa"/>
            <w:vMerge w:val="restart"/>
          </w:tcPr>
          <w:p w14:paraId="03006504" w14:textId="77777777" w:rsidR="00E25D3F" w:rsidRPr="00472330" w:rsidRDefault="00E25D3F" w:rsidP="00472330">
            <w:pPr>
              <w:ind w:left="0" w:right="0"/>
              <w:rPr>
                <w:sz w:val="20"/>
                <w:szCs w:val="20"/>
              </w:rPr>
            </w:pPr>
            <w:r w:rsidRPr="00472330">
              <w:rPr>
                <w:sz w:val="20"/>
                <w:szCs w:val="20"/>
              </w:rPr>
              <w:t>26 weeks [Study TII0012]</w:t>
            </w:r>
          </w:p>
        </w:tc>
        <w:tc>
          <w:tcPr>
            <w:tcW w:w="1668" w:type="dxa"/>
          </w:tcPr>
          <w:p w14:paraId="412FEB6C" w14:textId="77777777" w:rsidR="00E25D3F" w:rsidRPr="00472330" w:rsidRDefault="00E25D3F" w:rsidP="00472330">
            <w:pPr>
              <w:ind w:left="0" w:right="0"/>
              <w:rPr>
                <w:sz w:val="20"/>
                <w:szCs w:val="20"/>
              </w:rPr>
            </w:pPr>
            <w:r w:rsidRPr="00472330">
              <w:rPr>
                <w:sz w:val="20"/>
                <w:szCs w:val="20"/>
              </w:rPr>
              <w:t>1</w:t>
            </w:r>
          </w:p>
        </w:tc>
        <w:tc>
          <w:tcPr>
            <w:tcW w:w="833" w:type="dxa"/>
          </w:tcPr>
          <w:p w14:paraId="66676514" w14:textId="77777777" w:rsidR="00E25D3F" w:rsidRPr="00472330" w:rsidRDefault="00E25D3F" w:rsidP="00472330">
            <w:pPr>
              <w:ind w:left="0" w:right="0"/>
              <w:rPr>
                <w:sz w:val="20"/>
                <w:szCs w:val="20"/>
              </w:rPr>
            </w:pPr>
            <w:r w:rsidRPr="00472330">
              <w:rPr>
                <w:sz w:val="20"/>
                <w:szCs w:val="20"/>
              </w:rPr>
              <w:t>–</w:t>
            </w:r>
          </w:p>
        </w:tc>
        <w:tc>
          <w:tcPr>
            <w:tcW w:w="835" w:type="dxa"/>
          </w:tcPr>
          <w:p w14:paraId="279D8EC1" w14:textId="77777777" w:rsidR="00E25D3F" w:rsidRPr="00472330" w:rsidRDefault="00E25D3F" w:rsidP="00472330">
            <w:pPr>
              <w:ind w:left="0" w:right="0"/>
              <w:rPr>
                <w:sz w:val="20"/>
                <w:szCs w:val="20"/>
              </w:rPr>
            </w:pPr>
            <w:r w:rsidRPr="00472330">
              <w:rPr>
                <w:sz w:val="20"/>
                <w:szCs w:val="20"/>
              </w:rPr>
              <w:t>0.37</w:t>
            </w:r>
          </w:p>
        </w:tc>
        <w:tc>
          <w:tcPr>
            <w:tcW w:w="833" w:type="dxa"/>
          </w:tcPr>
          <w:p w14:paraId="627A3776" w14:textId="77777777" w:rsidR="00E25D3F" w:rsidRPr="00472330" w:rsidRDefault="00472330" w:rsidP="00472330">
            <w:pPr>
              <w:ind w:left="0" w:right="0"/>
              <w:rPr>
                <w:sz w:val="20"/>
                <w:szCs w:val="20"/>
              </w:rPr>
            </w:pPr>
            <w:r>
              <w:rPr>
                <w:sz w:val="20"/>
                <w:szCs w:val="20"/>
              </w:rPr>
              <w:t>–</w:t>
            </w:r>
          </w:p>
        </w:tc>
        <w:tc>
          <w:tcPr>
            <w:tcW w:w="835" w:type="dxa"/>
          </w:tcPr>
          <w:p w14:paraId="05AE904C" w14:textId="77777777" w:rsidR="00E25D3F" w:rsidRPr="00472330" w:rsidRDefault="00E25D3F" w:rsidP="00472330">
            <w:pPr>
              <w:ind w:left="0" w:right="0"/>
              <w:rPr>
                <w:sz w:val="20"/>
                <w:szCs w:val="20"/>
              </w:rPr>
            </w:pPr>
            <w:r w:rsidRPr="00472330">
              <w:rPr>
                <w:sz w:val="20"/>
                <w:szCs w:val="20"/>
              </w:rPr>
              <w:t>0.005</w:t>
            </w:r>
          </w:p>
        </w:tc>
      </w:tr>
      <w:tr w:rsidR="00E25D3F" w:rsidRPr="00472330" w14:paraId="5EF10329" w14:textId="77777777" w:rsidTr="00E25D3F">
        <w:trPr>
          <w:trHeight w:val="223"/>
        </w:trPr>
        <w:tc>
          <w:tcPr>
            <w:tcW w:w="1807" w:type="dxa"/>
            <w:vMerge/>
          </w:tcPr>
          <w:p w14:paraId="4E57149E" w14:textId="77777777" w:rsidR="00E25D3F" w:rsidRPr="00472330" w:rsidRDefault="00E25D3F" w:rsidP="00472330">
            <w:pPr>
              <w:ind w:left="0" w:right="0"/>
              <w:rPr>
                <w:sz w:val="20"/>
                <w:szCs w:val="20"/>
              </w:rPr>
            </w:pPr>
          </w:p>
        </w:tc>
        <w:tc>
          <w:tcPr>
            <w:tcW w:w="1805" w:type="dxa"/>
            <w:vMerge/>
          </w:tcPr>
          <w:p w14:paraId="7DBED832" w14:textId="77777777" w:rsidR="00E25D3F" w:rsidRPr="00472330" w:rsidRDefault="00E25D3F" w:rsidP="00472330">
            <w:pPr>
              <w:ind w:left="0" w:right="0"/>
              <w:rPr>
                <w:sz w:val="20"/>
                <w:szCs w:val="20"/>
              </w:rPr>
            </w:pPr>
          </w:p>
        </w:tc>
        <w:tc>
          <w:tcPr>
            <w:tcW w:w="1668" w:type="dxa"/>
          </w:tcPr>
          <w:p w14:paraId="1D78FE76" w14:textId="77777777" w:rsidR="00E25D3F" w:rsidRPr="00472330" w:rsidRDefault="00E25D3F" w:rsidP="00472330">
            <w:pPr>
              <w:ind w:left="0" w:right="0"/>
              <w:rPr>
                <w:sz w:val="20"/>
                <w:szCs w:val="20"/>
              </w:rPr>
            </w:pPr>
            <w:r w:rsidRPr="00472330">
              <w:rPr>
                <w:sz w:val="20"/>
                <w:szCs w:val="20"/>
              </w:rPr>
              <w:t>5</w:t>
            </w:r>
          </w:p>
        </w:tc>
        <w:tc>
          <w:tcPr>
            <w:tcW w:w="833" w:type="dxa"/>
          </w:tcPr>
          <w:p w14:paraId="45C6B7EE" w14:textId="77777777" w:rsidR="00E25D3F" w:rsidRPr="00472330" w:rsidRDefault="00E25D3F" w:rsidP="00472330">
            <w:pPr>
              <w:ind w:left="0" w:right="0"/>
              <w:rPr>
                <w:sz w:val="20"/>
                <w:szCs w:val="20"/>
              </w:rPr>
            </w:pPr>
            <w:r w:rsidRPr="00472330">
              <w:rPr>
                <w:sz w:val="20"/>
                <w:szCs w:val="20"/>
              </w:rPr>
              <w:t>0.23</w:t>
            </w:r>
          </w:p>
        </w:tc>
        <w:tc>
          <w:tcPr>
            <w:tcW w:w="835" w:type="dxa"/>
          </w:tcPr>
          <w:p w14:paraId="738AEEBD" w14:textId="77777777" w:rsidR="00E25D3F" w:rsidRPr="00472330" w:rsidRDefault="00E25D3F" w:rsidP="00472330">
            <w:pPr>
              <w:ind w:left="0" w:right="0"/>
              <w:rPr>
                <w:sz w:val="20"/>
                <w:szCs w:val="20"/>
              </w:rPr>
            </w:pPr>
            <w:r w:rsidRPr="00472330">
              <w:rPr>
                <w:sz w:val="20"/>
                <w:szCs w:val="20"/>
              </w:rPr>
              <w:t>3.15</w:t>
            </w:r>
          </w:p>
        </w:tc>
        <w:tc>
          <w:tcPr>
            <w:tcW w:w="833" w:type="dxa"/>
          </w:tcPr>
          <w:p w14:paraId="33F5BB3A" w14:textId="77777777" w:rsidR="00E25D3F" w:rsidRPr="00472330" w:rsidRDefault="00E25D3F" w:rsidP="00472330">
            <w:pPr>
              <w:ind w:left="0" w:right="0"/>
              <w:rPr>
                <w:sz w:val="20"/>
                <w:szCs w:val="20"/>
              </w:rPr>
            </w:pPr>
            <w:r w:rsidRPr="00472330">
              <w:rPr>
                <w:sz w:val="20"/>
                <w:szCs w:val="20"/>
              </w:rPr>
              <w:t>0.003</w:t>
            </w:r>
          </w:p>
        </w:tc>
        <w:tc>
          <w:tcPr>
            <w:tcW w:w="835" w:type="dxa"/>
          </w:tcPr>
          <w:p w14:paraId="751C6F91" w14:textId="77777777" w:rsidR="00E25D3F" w:rsidRPr="00472330" w:rsidRDefault="00E25D3F" w:rsidP="00472330">
            <w:pPr>
              <w:ind w:left="0" w:right="0"/>
              <w:rPr>
                <w:sz w:val="20"/>
                <w:szCs w:val="20"/>
              </w:rPr>
            </w:pPr>
            <w:r w:rsidRPr="00472330">
              <w:rPr>
                <w:sz w:val="20"/>
                <w:szCs w:val="20"/>
              </w:rPr>
              <w:t>0.04</w:t>
            </w:r>
          </w:p>
        </w:tc>
      </w:tr>
      <w:tr w:rsidR="00E25D3F" w:rsidRPr="00472330" w14:paraId="044FD15D" w14:textId="77777777" w:rsidTr="00E25D3F">
        <w:trPr>
          <w:trHeight w:val="223"/>
        </w:trPr>
        <w:tc>
          <w:tcPr>
            <w:tcW w:w="1807" w:type="dxa"/>
            <w:vMerge/>
          </w:tcPr>
          <w:p w14:paraId="5F1334E7" w14:textId="77777777" w:rsidR="00E25D3F" w:rsidRPr="00472330" w:rsidRDefault="00E25D3F" w:rsidP="00472330">
            <w:pPr>
              <w:ind w:left="0" w:right="0"/>
              <w:rPr>
                <w:sz w:val="20"/>
                <w:szCs w:val="20"/>
              </w:rPr>
            </w:pPr>
          </w:p>
        </w:tc>
        <w:tc>
          <w:tcPr>
            <w:tcW w:w="1805" w:type="dxa"/>
            <w:vMerge/>
          </w:tcPr>
          <w:p w14:paraId="7EE1692A" w14:textId="77777777" w:rsidR="00E25D3F" w:rsidRPr="00472330" w:rsidRDefault="00E25D3F" w:rsidP="00472330">
            <w:pPr>
              <w:ind w:left="0" w:right="0"/>
              <w:rPr>
                <w:sz w:val="20"/>
                <w:szCs w:val="20"/>
              </w:rPr>
            </w:pPr>
          </w:p>
        </w:tc>
        <w:tc>
          <w:tcPr>
            <w:tcW w:w="1668" w:type="dxa"/>
          </w:tcPr>
          <w:p w14:paraId="288C7C00" w14:textId="77777777" w:rsidR="00E25D3F" w:rsidRPr="00472330" w:rsidRDefault="00E25D3F" w:rsidP="00472330">
            <w:pPr>
              <w:ind w:left="0" w:right="0"/>
              <w:rPr>
                <w:sz w:val="20"/>
                <w:szCs w:val="20"/>
              </w:rPr>
            </w:pPr>
            <w:r w:rsidRPr="00472330">
              <w:rPr>
                <w:sz w:val="20"/>
                <w:szCs w:val="20"/>
              </w:rPr>
              <w:t>15</w:t>
            </w:r>
          </w:p>
        </w:tc>
        <w:tc>
          <w:tcPr>
            <w:tcW w:w="833" w:type="dxa"/>
          </w:tcPr>
          <w:p w14:paraId="307DDCB3" w14:textId="77777777" w:rsidR="00E25D3F" w:rsidRPr="00472330" w:rsidRDefault="00E25D3F" w:rsidP="00472330">
            <w:pPr>
              <w:ind w:left="0" w:right="0"/>
              <w:rPr>
                <w:sz w:val="20"/>
                <w:szCs w:val="20"/>
              </w:rPr>
            </w:pPr>
            <w:r w:rsidRPr="00472330">
              <w:rPr>
                <w:sz w:val="20"/>
                <w:szCs w:val="20"/>
              </w:rPr>
              <w:t>1.64</w:t>
            </w:r>
          </w:p>
        </w:tc>
        <w:tc>
          <w:tcPr>
            <w:tcW w:w="835" w:type="dxa"/>
          </w:tcPr>
          <w:p w14:paraId="67888A8E" w14:textId="77777777" w:rsidR="00E25D3F" w:rsidRPr="00472330" w:rsidRDefault="00E25D3F" w:rsidP="00472330">
            <w:pPr>
              <w:ind w:left="0" w:right="0"/>
              <w:rPr>
                <w:sz w:val="20"/>
                <w:szCs w:val="20"/>
              </w:rPr>
            </w:pPr>
            <w:r w:rsidRPr="00472330">
              <w:rPr>
                <w:sz w:val="20"/>
                <w:szCs w:val="20"/>
              </w:rPr>
              <w:t>6.75</w:t>
            </w:r>
          </w:p>
        </w:tc>
        <w:tc>
          <w:tcPr>
            <w:tcW w:w="833" w:type="dxa"/>
          </w:tcPr>
          <w:p w14:paraId="7C384705" w14:textId="77777777" w:rsidR="00E25D3F" w:rsidRPr="00472330" w:rsidRDefault="00E25D3F" w:rsidP="00472330">
            <w:pPr>
              <w:ind w:left="0" w:right="0"/>
              <w:rPr>
                <w:sz w:val="20"/>
                <w:szCs w:val="20"/>
              </w:rPr>
            </w:pPr>
            <w:r w:rsidRPr="00472330">
              <w:rPr>
                <w:sz w:val="20"/>
                <w:szCs w:val="20"/>
              </w:rPr>
              <w:t>0.02</w:t>
            </w:r>
          </w:p>
        </w:tc>
        <w:tc>
          <w:tcPr>
            <w:tcW w:w="835" w:type="dxa"/>
          </w:tcPr>
          <w:p w14:paraId="16097811" w14:textId="77777777" w:rsidR="00E25D3F" w:rsidRPr="00472330" w:rsidRDefault="00E25D3F" w:rsidP="00472330">
            <w:pPr>
              <w:ind w:left="0" w:right="0"/>
              <w:rPr>
                <w:sz w:val="20"/>
                <w:szCs w:val="20"/>
              </w:rPr>
            </w:pPr>
            <w:r w:rsidRPr="00472330">
              <w:rPr>
                <w:sz w:val="20"/>
                <w:szCs w:val="20"/>
              </w:rPr>
              <w:t>0.08</w:t>
            </w:r>
          </w:p>
        </w:tc>
      </w:tr>
      <w:tr w:rsidR="00E25D3F" w:rsidRPr="00472330" w14:paraId="35C9E56F" w14:textId="77777777" w:rsidTr="00E25D3F">
        <w:trPr>
          <w:trHeight w:val="223"/>
        </w:trPr>
        <w:tc>
          <w:tcPr>
            <w:tcW w:w="1807" w:type="dxa"/>
            <w:vMerge/>
          </w:tcPr>
          <w:p w14:paraId="051F7E35" w14:textId="77777777" w:rsidR="00E25D3F" w:rsidRPr="00472330" w:rsidRDefault="00E25D3F" w:rsidP="00472330">
            <w:pPr>
              <w:ind w:left="0" w:right="0"/>
              <w:rPr>
                <w:sz w:val="20"/>
                <w:szCs w:val="20"/>
              </w:rPr>
            </w:pPr>
          </w:p>
        </w:tc>
        <w:tc>
          <w:tcPr>
            <w:tcW w:w="1805" w:type="dxa"/>
            <w:vMerge/>
          </w:tcPr>
          <w:p w14:paraId="24396B2E" w14:textId="77777777" w:rsidR="00E25D3F" w:rsidRPr="00472330" w:rsidRDefault="00E25D3F" w:rsidP="00472330">
            <w:pPr>
              <w:ind w:left="0" w:right="0"/>
              <w:rPr>
                <w:sz w:val="20"/>
                <w:szCs w:val="20"/>
              </w:rPr>
            </w:pPr>
          </w:p>
        </w:tc>
        <w:tc>
          <w:tcPr>
            <w:tcW w:w="1668" w:type="dxa"/>
          </w:tcPr>
          <w:p w14:paraId="49D198D4" w14:textId="77777777" w:rsidR="00E25D3F" w:rsidRPr="00472330" w:rsidRDefault="00E25D3F" w:rsidP="00472330">
            <w:pPr>
              <w:ind w:left="0" w:right="0"/>
              <w:rPr>
                <w:sz w:val="20"/>
                <w:szCs w:val="20"/>
              </w:rPr>
            </w:pPr>
            <w:r w:rsidRPr="00472330">
              <w:rPr>
                <w:sz w:val="20"/>
                <w:szCs w:val="20"/>
              </w:rPr>
              <w:t>40</w:t>
            </w:r>
          </w:p>
        </w:tc>
        <w:tc>
          <w:tcPr>
            <w:tcW w:w="833" w:type="dxa"/>
          </w:tcPr>
          <w:p w14:paraId="08E0E40C" w14:textId="77777777" w:rsidR="00E25D3F" w:rsidRPr="00472330" w:rsidRDefault="00E25D3F" w:rsidP="00472330">
            <w:pPr>
              <w:ind w:left="0" w:right="0"/>
              <w:rPr>
                <w:sz w:val="20"/>
                <w:szCs w:val="20"/>
              </w:rPr>
            </w:pPr>
            <w:r w:rsidRPr="00472330">
              <w:rPr>
                <w:sz w:val="20"/>
                <w:szCs w:val="20"/>
              </w:rPr>
              <w:t>4.23</w:t>
            </w:r>
          </w:p>
        </w:tc>
        <w:tc>
          <w:tcPr>
            <w:tcW w:w="835" w:type="dxa"/>
          </w:tcPr>
          <w:p w14:paraId="36994A78" w14:textId="77777777" w:rsidR="00E25D3F" w:rsidRPr="00472330" w:rsidRDefault="00E25D3F" w:rsidP="00472330">
            <w:pPr>
              <w:ind w:left="0" w:right="0"/>
              <w:rPr>
                <w:sz w:val="20"/>
                <w:szCs w:val="20"/>
              </w:rPr>
            </w:pPr>
            <w:r w:rsidRPr="00472330">
              <w:rPr>
                <w:sz w:val="20"/>
                <w:szCs w:val="20"/>
              </w:rPr>
              <w:t>–</w:t>
            </w:r>
          </w:p>
        </w:tc>
        <w:tc>
          <w:tcPr>
            <w:tcW w:w="833" w:type="dxa"/>
          </w:tcPr>
          <w:p w14:paraId="31CABA95" w14:textId="77777777" w:rsidR="00E25D3F" w:rsidRPr="00472330" w:rsidRDefault="00E25D3F" w:rsidP="00472330">
            <w:pPr>
              <w:ind w:left="0" w:right="0"/>
              <w:rPr>
                <w:sz w:val="20"/>
                <w:szCs w:val="20"/>
              </w:rPr>
            </w:pPr>
            <w:r w:rsidRPr="00472330">
              <w:rPr>
                <w:sz w:val="20"/>
                <w:szCs w:val="20"/>
              </w:rPr>
              <w:t>0.05</w:t>
            </w:r>
          </w:p>
        </w:tc>
        <w:tc>
          <w:tcPr>
            <w:tcW w:w="835" w:type="dxa"/>
          </w:tcPr>
          <w:p w14:paraId="4964A990" w14:textId="77777777" w:rsidR="00E25D3F" w:rsidRPr="00472330" w:rsidRDefault="00472330" w:rsidP="00472330">
            <w:pPr>
              <w:ind w:left="0" w:right="0"/>
              <w:rPr>
                <w:sz w:val="20"/>
                <w:szCs w:val="20"/>
              </w:rPr>
            </w:pPr>
            <w:r>
              <w:rPr>
                <w:sz w:val="20"/>
                <w:szCs w:val="20"/>
              </w:rPr>
              <w:t>–</w:t>
            </w:r>
          </w:p>
        </w:tc>
      </w:tr>
      <w:tr w:rsidR="00E25D3F" w:rsidRPr="00472330" w14:paraId="7F227CBD" w14:textId="77777777" w:rsidTr="00E25D3F">
        <w:trPr>
          <w:trHeight w:val="223"/>
        </w:trPr>
        <w:tc>
          <w:tcPr>
            <w:tcW w:w="1807" w:type="dxa"/>
            <w:vMerge w:val="restart"/>
          </w:tcPr>
          <w:p w14:paraId="1D73B149" w14:textId="77777777" w:rsidR="00E25D3F" w:rsidRPr="00472330" w:rsidRDefault="00E25D3F" w:rsidP="00472330">
            <w:pPr>
              <w:ind w:left="0" w:right="0"/>
              <w:rPr>
                <w:sz w:val="20"/>
                <w:szCs w:val="20"/>
              </w:rPr>
            </w:pPr>
            <w:r w:rsidRPr="00472330">
              <w:rPr>
                <w:sz w:val="20"/>
                <w:szCs w:val="20"/>
              </w:rPr>
              <w:t>Dog (Beagle)</w:t>
            </w:r>
          </w:p>
        </w:tc>
        <w:tc>
          <w:tcPr>
            <w:tcW w:w="1805" w:type="dxa"/>
            <w:vMerge w:val="restart"/>
          </w:tcPr>
          <w:p w14:paraId="7A650ED0" w14:textId="77777777" w:rsidR="00E25D3F" w:rsidRPr="00472330" w:rsidRDefault="00E25D3F" w:rsidP="00472330">
            <w:pPr>
              <w:ind w:left="0" w:right="0"/>
              <w:rPr>
                <w:sz w:val="20"/>
                <w:szCs w:val="20"/>
              </w:rPr>
            </w:pPr>
            <w:r w:rsidRPr="00472330">
              <w:rPr>
                <w:sz w:val="20"/>
                <w:szCs w:val="20"/>
              </w:rPr>
              <w:t>4 weeks [Study 2229/038]</w:t>
            </w:r>
          </w:p>
        </w:tc>
        <w:tc>
          <w:tcPr>
            <w:tcW w:w="1668" w:type="dxa"/>
          </w:tcPr>
          <w:p w14:paraId="11F644D7" w14:textId="77777777" w:rsidR="00E25D3F" w:rsidRPr="00472330" w:rsidRDefault="00E25D3F" w:rsidP="00472330">
            <w:pPr>
              <w:ind w:left="0" w:right="0"/>
              <w:rPr>
                <w:sz w:val="20"/>
                <w:szCs w:val="20"/>
              </w:rPr>
            </w:pPr>
            <w:r w:rsidRPr="00472330">
              <w:rPr>
                <w:sz w:val="20"/>
                <w:szCs w:val="20"/>
              </w:rPr>
              <w:t>2.5</w:t>
            </w:r>
          </w:p>
        </w:tc>
        <w:tc>
          <w:tcPr>
            <w:tcW w:w="1668" w:type="dxa"/>
            <w:gridSpan w:val="2"/>
          </w:tcPr>
          <w:p w14:paraId="2FBBA893" w14:textId="77777777" w:rsidR="00E25D3F" w:rsidRPr="00472330" w:rsidRDefault="00E25D3F" w:rsidP="00472330">
            <w:pPr>
              <w:ind w:left="0" w:right="0"/>
              <w:rPr>
                <w:sz w:val="20"/>
                <w:szCs w:val="20"/>
              </w:rPr>
            </w:pPr>
            <w:r w:rsidRPr="00472330">
              <w:rPr>
                <w:sz w:val="20"/>
                <w:szCs w:val="20"/>
              </w:rPr>
              <w:t>4.17</w:t>
            </w:r>
          </w:p>
        </w:tc>
        <w:tc>
          <w:tcPr>
            <w:tcW w:w="1668" w:type="dxa"/>
            <w:gridSpan w:val="2"/>
          </w:tcPr>
          <w:p w14:paraId="4D3ED948" w14:textId="77777777" w:rsidR="00E25D3F" w:rsidRPr="00472330" w:rsidRDefault="00E25D3F" w:rsidP="00472330">
            <w:pPr>
              <w:ind w:left="0" w:right="0"/>
              <w:rPr>
                <w:sz w:val="20"/>
                <w:szCs w:val="20"/>
              </w:rPr>
            </w:pPr>
            <w:r w:rsidRPr="00472330">
              <w:rPr>
                <w:sz w:val="20"/>
                <w:szCs w:val="20"/>
              </w:rPr>
              <w:t>0.05</w:t>
            </w:r>
          </w:p>
        </w:tc>
      </w:tr>
      <w:tr w:rsidR="00E25D3F" w:rsidRPr="00472330" w14:paraId="330890DF" w14:textId="77777777" w:rsidTr="00E25D3F">
        <w:trPr>
          <w:trHeight w:val="223"/>
        </w:trPr>
        <w:tc>
          <w:tcPr>
            <w:tcW w:w="1807" w:type="dxa"/>
            <w:vMerge/>
          </w:tcPr>
          <w:p w14:paraId="691859D7" w14:textId="77777777" w:rsidR="00E25D3F" w:rsidRPr="00472330" w:rsidRDefault="00E25D3F" w:rsidP="00472330">
            <w:pPr>
              <w:ind w:left="0" w:right="0"/>
              <w:rPr>
                <w:sz w:val="20"/>
                <w:szCs w:val="20"/>
              </w:rPr>
            </w:pPr>
          </w:p>
        </w:tc>
        <w:tc>
          <w:tcPr>
            <w:tcW w:w="1805" w:type="dxa"/>
            <w:vMerge/>
          </w:tcPr>
          <w:p w14:paraId="663B7E9F" w14:textId="77777777" w:rsidR="00E25D3F" w:rsidRPr="00472330" w:rsidRDefault="00E25D3F" w:rsidP="00472330">
            <w:pPr>
              <w:ind w:left="0" w:right="0"/>
              <w:rPr>
                <w:sz w:val="20"/>
                <w:szCs w:val="20"/>
              </w:rPr>
            </w:pPr>
          </w:p>
        </w:tc>
        <w:tc>
          <w:tcPr>
            <w:tcW w:w="1668" w:type="dxa"/>
          </w:tcPr>
          <w:p w14:paraId="13757AB9" w14:textId="77777777" w:rsidR="00E25D3F" w:rsidRPr="00472330" w:rsidRDefault="00E25D3F" w:rsidP="00472330">
            <w:pPr>
              <w:ind w:left="0" w:right="0"/>
              <w:rPr>
                <w:sz w:val="20"/>
                <w:szCs w:val="20"/>
              </w:rPr>
            </w:pPr>
            <w:r w:rsidRPr="00472330">
              <w:rPr>
                <w:sz w:val="20"/>
                <w:szCs w:val="20"/>
              </w:rPr>
              <w:t>5</w:t>
            </w:r>
          </w:p>
        </w:tc>
        <w:tc>
          <w:tcPr>
            <w:tcW w:w="1668" w:type="dxa"/>
            <w:gridSpan w:val="2"/>
          </w:tcPr>
          <w:p w14:paraId="1CF1C055" w14:textId="77777777" w:rsidR="00E25D3F" w:rsidRPr="00472330" w:rsidRDefault="00E25D3F" w:rsidP="00472330">
            <w:pPr>
              <w:ind w:left="0" w:right="0"/>
              <w:rPr>
                <w:sz w:val="20"/>
                <w:szCs w:val="20"/>
              </w:rPr>
            </w:pPr>
            <w:r w:rsidRPr="00472330">
              <w:rPr>
                <w:sz w:val="20"/>
                <w:szCs w:val="20"/>
              </w:rPr>
              <w:t>6.04</w:t>
            </w:r>
          </w:p>
        </w:tc>
        <w:tc>
          <w:tcPr>
            <w:tcW w:w="1668" w:type="dxa"/>
            <w:gridSpan w:val="2"/>
          </w:tcPr>
          <w:p w14:paraId="016C4E68" w14:textId="77777777" w:rsidR="00E25D3F" w:rsidRPr="00472330" w:rsidRDefault="00E25D3F" w:rsidP="00472330">
            <w:pPr>
              <w:ind w:left="0" w:right="0"/>
              <w:rPr>
                <w:sz w:val="20"/>
                <w:szCs w:val="20"/>
              </w:rPr>
            </w:pPr>
            <w:r w:rsidRPr="00472330">
              <w:rPr>
                <w:sz w:val="20"/>
                <w:szCs w:val="20"/>
              </w:rPr>
              <w:t>0.07</w:t>
            </w:r>
          </w:p>
        </w:tc>
      </w:tr>
      <w:tr w:rsidR="00E25D3F" w:rsidRPr="00472330" w14:paraId="69E44325" w14:textId="77777777" w:rsidTr="00E25D3F">
        <w:trPr>
          <w:trHeight w:val="223"/>
        </w:trPr>
        <w:tc>
          <w:tcPr>
            <w:tcW w:w="1807" w:type="dxa"/>
            <w:vMerge/>
          </w:tcPr>
          <w:p w14:paraId="6AAA917A" w14:textId="77777777" w:rsidR="00E25D3F" w:rsidRPr="00472330" w:rsidRDefault="00E25D3F" w:rsidP="00472330">
            <w:pPr>
              <w:ind w:left="0" w:right="0"/>
              <w:rPr>
                <w:sz w:val="20"/>
                <w:szCs w:val="20"/>
              </w:rPr>
            </w:pPr>
          </w:p>
        </w:tc>
        <w:tc>
          <w:tcPr>
            <w:tcW w:w="1805" w:type="dxa"/>
            <w:vMerge/>
          </w:tcPr>
          <w:p w14:paraId="2C9BF231" w14:textId="77777777" w:rsidR="00E25D3F" w:rsidRPr="00472330" w:rsidRDefault="00E25D3F" w:rsidP="00472330">
            <w:pPr>
              <w:ind w:left="0" w:right="0"/>
              <w:rPr>
                <w:sz w:val="20"/>
                <w:szCs w:val="20"/>
              </w:rPr>
            </w:pPr>
          </w:p>
        </w:tc>
        <w:tc>
          <w:tcPr>
            <w:tcW w:w="1668" w:type="dxa"/>
          </w:tcPr>
          <w:p w14:paraId="75A6FD24" w14:textId="77777777" w:rsidR="00E25D3F" w:rsidRPr="00472330" w:rsidRDefault="00E25D3F" w:rsidP="00472330">
            <w:pPr>
              <w:ind w:left="0" w:right="0"/>
              <w:rPr>
                <w:sz w:val="20"/>
                <w:szCs w:val="20"/>
              </w:rPr>
            </w:pPr>
            <w:r w:rsidRPr="00472330">
              <w:rPr>
                <w:sz w:val="20"/>
                <w:szCs w:val="20"/>
              </w:rPr>
              <w:t>15</w:t>
            </w:r>
          </w:p>
        </w:tc>
        <w:tc>
          <w:tcPr>
            <w:tcW w:w="1668" w:type="dxa"/>
            <w:gridSpan w:val="2"/>
          </w:tcPr>
          <w:p w14:paraId="224A48E3" w14:textId="77777777" w:rsidR="00E25D3F" w:rsidRPr="00472330" w:rsidRDefault="00E25D3F" w:rsidP="00472330">
            <w:pPr>
              <w:ind w:left="0" w:right="0"/>
              <w:rPr>
                <w:sz w:val="20"/>
                <w:szCs w:val="20"/>
              </w:rPr>
            </w:pPr>
            <w:r w:rsidRPr="00472330">
              <w:rPr>
                <w:sz w:val="20"/>
                <w:szCs w:val="20"/>
              </w:rPr>
              <w:t>16.5</w:t>
            </w:r>
          </w:p>
        </w:tc>
        <w:tc>
          <w:tcPr>
            <w:tcW w:w="1668" w:type="dxa"/>
            <w:gridSpan w:val="2"/>
          </w:tcPr>
          <w:p w14:paraId="16DAFB38" w14:textId="77777777" w:rsidR="00E25D3F" w:rsidRPr="00472330" w:rsidRDefault="00E25D3F" w:rsidP="00472330">
            <w:pPr>
              <w:ind w:left="0" w:right="0"/>
              <w:rPr>
                <w:sz w:val="20"/>
                <w:szCs w:val="20"/>
              </w:rPr>
            </w:pPr>
            <w:r w:rsidRPr="00472330">
              <w:rPr>
                <w:sz w:val="20"/>
                <w:szCs w:val="20"/>
              </w:rPr>
              <w:t>0.2</w:t>
            </w:r>
          </w:p>
        </w:tc>
      </w:tr>
      <w:tr w:rsidR="00E25D3F" w:rsidRPr="00472330" w14:paraId="10C9CB30" w14:textId="77777777" w:rsidTr="00E25D3F">
        <w:trPr>
          <w:trHeight w:val="223"/>
        </w:trPr>
        <w:tc>
          <w:tcPr>
            <w:tcW w:w="1807" w:type="dxa"/>
            <w:vMerge/>
          </w:tcPr>
          <w:p w14:paraId="74F0DE4C" w14:textId="77777777" w:rsidR="00E25D3F" w:rsidRPr="00472330" w:rsidRDefault="00E25D3F" w:rsidP="00472330">
            <w:pPr>
              <w:ind w:left="0" w:right="0"/>
              <w:rPr>
                <w:sz w:val="20"/>
                <w:szCs w:val="20"/>
              </w:rPr>
            </w:pPr>
          </w:p>
        </w:tc>
        <w:tc>
          <w:tcPr>
            <w:tcW w:w="1805" w:type="dxa"/>
            <w:vMerge w:val="restart"/>
          </w:tcPr>
          <w:p w14:paraId="578CED1D" w14:textId="77777777" w:rsidR="00E25D3F" w:rsidRPr="00472330" w:rsidRDefault="00E25D3F" w:rsidP="00472330">
            <w:pPr>
              <w:ind w:left="0" w:right="0"/>
              <w:rPr>
                <w:sz w:val="20"/>
                <w:szCs w:val="20"/>
              </w:rPr>
            </w:pPr>
            <w:r w:rsidRPr="00472330">
              <w:rPr>
                <w:sz w:val="20"/>
                <w:szCs w:val="20"/>
              </w:rPr>
              <w:t>26 weeks [Study TII0011]</w:t>
            </w:r>
          </w:p>
        </w:tc>
        <w:tc>
          <w:tcPr>
            <w:tcW w:w="1668" w:type="dxa"/>
          </w:tcPr>
          <w:p w14:paraId="547153C4" w14:textId="77777777" w:rsidR="00E25D3F" w:rsidRPr="00472330" w:rsidRDefault="00E25D3F" w:rsidP="00472330">
            <w:pPr>
              <w:ind w:left="0" w:right="0"/>
              <w:rPr>
                <w:sz w:val="20"/>
                <w:szCs w:val="20"/>
              </w:rPr>
            </w:pPr>
            <w:r w:rsidRPr="00472330">
              <w:rPr>
                <w:sz w:val="20"/>
                <w:szCs w:val="20"/>
              </w:rPr>
              <w:t>1</w:t>
            </w:r>
          </w:p>
        </w:tc>
        <w:tc>
          <w:tcPr>
            <w:tcW w:w="1668" w:type="dxa"/>
            <w:gridSpan w:val="2"/>
          </w:tcPr>
          <w:p w14:paraId="1AA76511" w14:textId="77777777" w:rsidR="00E25D3F" w:rsidRPr="00472330" w:rsidRDefault="00E25D3F" w:rsidP="00472330">
            <w:pPr>
              <w:ind w:left="0" w:right="0"/>
              <w:rPr>
                <w:sz w:val="20"/>
                <w:szCs w:val="20"/>
              </w:rPr>
            </w:pPr>
            <w:r w:rsidRPr="00472330">
              <w:rPr>
                <w:sz w:val="20"/>
                <w:szCs w:val="20"/>
              </w:rPr>
              <w:t>1.69</w:t>
            </w:r>
          </w:p>
        </w:tc>
        <w:tc>
          <w:tcPr>
            <w:tcW w:w="1668" w:type="dxa"/>
            <w:gridSpan w:val="2"/>
          </w:tcPr>
          <w:p w14:paraId="22DCEF01" w14:textId="77777777" w:rsidR="00E25D3F" w:rsidRPr="00472330" w:rsidRDefault="00E25D3F" w:rsidP="00472330">
            <w:pPr>
              <w:ind w:left="0" w:right="0"/>
              <w:rPr>
                <w:sz w:val="20"/>
                <w:szCs w:val="20"/>
              </w:rPr>
            </w:pPr>
            <w:r w:rsidRPr="00472330">
              <w:rPr>
                <w:sz w:val="20"/>
                <w:szCs w:val="20"/>
              </w:rPr>
              <w:t>0.02</w:t>
            </w:r>
          </w:p>
        </w:tc>
      </w:tr>
      <w:tr w:rsidR="00E25D3F" w:rsidRPr="00472330" w14:paraId="037A97CD" w14:textId="77777777" w:rsidTr="00E25D3F">
        <w:trPr>
          <w:trHeight w:val="223"/>
        </w:trPr>
        <w:tc>
          <w:tcPr>
            <w:tcW w:w="1807" w:type="dxa"/>
            <w:vMerge/>
          </w:tcPr>
          <w:p w14:paraId="2884B167" w14:textId="77777777" w:rsidR="00E25D3F" w:rsidRPr="00472330" w:rsidRDefault="00E25D3F" w:rsidP="00472330">
            <w:pPr>
              <w:ind w:left="0" w:right="0"/>
              <w:rPr>
                <w:sz w:val="20"/>
                <w:szCs w:val="20"/>
              </w:rPr>
            </w:pPr>
          </w:p>
        </w:tc>
        <w:tc>
          <w:tcPr>
            <w:tcW w:w="1805" w:type="dxa"/>
            <w:vMerge/>
          </w:tcPr>
          <w:p w14:paraId="05968268" w14:textId="77777777" w:rsidR="00E25D3F" w:rsidRPr="00472330" w:rsidRDefault="00E25D3F" w:rsidP="00472330">
            <w:pPr>
              <w:ind w:left="0" w:right="0"/>
              <w:rPr>
                <w:sz w:val="20"/>
                <w:szCs w:val="20"/>
              </w:rPr>
            </w:pPr>
          </w:p>
        </w:tc>
        <w:tc>
          <w:tcPr>
            <w:tcW w:w="1668" w:type="dxa"/>
          </w:tcPr>
          <w:p w14:paraId="7A1575EB" w14:textId="77777777" w:rsidR="00E25D3F" w:rsidRPr="00472330" w:rsidRDefault="00E25D3F" w:rsidP="00472330">
            <w:pPr>
              <w:ind w:left="0" w:right="0"/>
              <w:rPr>
                <w:sz w:val="20"/>
                <w:szCs w:val="20"/>
              </w:rPr>
            </w:pPr>
            <w:r w:rsidRPr="00472330">
              <w:rPr>
                <w:sz w:val="20"/>
                <w:szCs w:val="20"/>
              </w:rPr>
              <w:t>3</w:t>
            </w:r>
          </w:p>
        </w:tc>
        <w:tc>
          <w:tcPr>
            <w:tcW w:w="1668" w:type="dxa"/>
            <w:gridSpan w:val="2"/>
          </w:tcPr>
          <w:p w14:paraId="2459A3AC" w14:textId="77777777" w:rsidR="00E25D3F" w:rsidRPr="00472330" w:rsidRDefault="00E25D3F" w:rsidP="00472330">
            <w:pPr>
              <w:ind w:left="0" w:right="0"/>
              <w:rPr>
                <w:sz w:val="20"/>
                <w:szCs w:val="20"/>
              </w:rPr>
            </w:pPr>
            <w:r w:rsidRPr="00472330">
              <w:rPr>
                <w:sz w:val="20"/>
                <w:szCs w:val="20"/>
              </w:rPr>
              <w:t>3.72</w:t>
            </w:r>
          </w:p>
        </w:tc>
        <w:tc>
          <w:tcPr>
            <w:tcW w:w="1668" w:type="dxa"/>
            <w:gridSpan w:val="2"/>
          </w:tcPr>
          <w:p w14:paraId="1DE8B529" w14:textId="77777777" w:rsidR="00E25D3F" w:rsidRPr="00472330" w:rsidRDefault="00E25D3F" w:rsidP="00472330">
            <w:pPr>
              <w:ind w:left="0" w:right="0"/>
              <w:rPr>
                <w:sz w:val="20"/>
                <w:szCs w:val="20"/>
              </w:rPr>
            </w:pPr>
            <w:r w:rsidRPr="00472330">
              <w:rPr>
                <w:sz w:val="20"/>
                <w:szCs w:val="20"/>
              </w:rPr>
              <w:t>0.05</w:t>
            </w:r>
          </w:p>
        </w:tc>
      </w:tr>
      <w:tr w:rsidR="00E25D3F" w:rsidRPr="00472330" w14:paraId="69106F48" w14:textId="77777777" w:rsidTr="00E25D3F">
        <w:trPr>
          <w:trHeight w:val="223"/>
        </w:trPr>
        <w:tc>
          <w:tcPr>
            <w:tcW w:w="1807" w:type="dxa"/>
            <w:vMerge/>
          </w:tcPr>
          <w:p w14:paraId="111E45E7" w14:textId="77777777" w:rsidR="00E25D3F" w:rsidRPr="00472330" w:rsidRDefault="00E25D3F" w:rsidP="00472330">
            <w:pPr>
              <w:ind w:left="0" w:right="0"/>
              <w:rPr>
                <w:sz w:val="20"/>
                <w:szCs w:val="20"/>
              </w:rPr>
            </w:pPr>
          </w:p>
        </w:tc>
        <w:tc>
          <w:tcPr>
            <w:tcW w:w="1805" w:type="dxa"/>
            <w:vMerge/>
          </w:tcPr>
          <w:p w14:paraId="516C6BC2" w14:textId="77777777" w:rsidR="00E25D3F" w:rsidRPr="00472330" w:rsidRDefault="00E25D3F" w:rsidP="00472330">
            <w:pPr>
              <w:ind w:left="0" w:right="0"/>
              <w:rPr>
                <w:sz w:val="20"/>
                <w:szCs w:val="20"/>
              </w:rPr>
            </w:pPr>
          </w:p>
        </w:tc>
        <w:tc>
          <w:tcPr>
            <w:tcW w:w="1668" w:type="dxa"/>
          </w:tcPr>
          <w:p w14:paraId="476EDE33" w14:textId="77777777" w:rsidR="00E25D3F" w:rsidRPr="00472330" w:rsidRDefault="00E25D3F" w:rsidP="00472330">
            <w:pPr>
              <w:ind w:left="0" w:right="0"/>
              <w:rPr>
                <w:sz w:val="20"/>
                <w:szCs w:val="20"/>
              </w:rPr>
            </w:pPr>
            <w:r w:rsidRPr="00472330">
              <w:rPr>
                <w:sz w:val="20"/>
                <w:szCs w:val="20"/>
              </w:rPr>
              <w:t>10</w:t>
            </w:r>
          </w:p>
        </w:tc>
        <w:tc>
          <w:tcPr>
            <w:tcW w:w="1668" w:type="dxa"/>
            <w:gridSpan w:val="2"/>
          </w:tcPr>
          <w:p w14:paraId="034F1383" w14:textId="77777777" w:rsidR="00E25D3F" w:rsidRPr="00472330" w:rsidRDefault="00E25D3F" w:rsidP="00472330">
            <w:pPr>
              <w:ind w:left="0" w:right="0"/>
              <w:rPr>
                <w:sz w:val="20"/>
                <w:szCs w:val="20"/>
              </w:rPr>
            </w:pPr>
            <w:r w:rsidRPr="00472330">
              <w:rPr>
                <w:sz w:val="20"/>
                <w:szCs w:val="20"/>
              </w:rPr>
              <w:t>14.8</w:t>
            </w:r>
          </w:p>
        </w:tc>
        <w:tc>
          <w:tcPr>
            <w:tcW w:w="1668" w:type="dxa"/>
            <w:gridSpan w:val="2"/>
          </w:tcPr>
          <w:p w14:paraId="0BAC38EC" w14:textId="77777777" w:rsidR="00E25D3F" w:rsidRPr="00472330" w:rsidRDefault="00E25D3F" w:rsidP="00472330">
            <w:pPr>
              <w:ind w:left="0" w:right="0"/>
              <w:rPr>
                <w:sz w:val="20"/>
                <w:szCs w:val="20"/>
              </w:rPr>
            </w:pPr>
            <w:r w:rsidRPr="00472330">
              <w:rPr>
                <w:sz w:val="20"/>
                <w:szCs w:val="20"/>
              </w:rPr>
              <w:t>0.2</w:t>
            </w:r>
          </w:p>
        </w:tc>
      </w:tr>
      <w:tr w:rsidR="00E25D3F" w:rsidRPr="00472330" w14:paraId="6DA11E2E" w14:textId="77777777" w:rsidTr="00E25D3F">
        <w:trPr>
          <w:trHeight w:val="223"/>
        </w:trPr>
        <w:tc>
          <w:tcPr>
            <w:tcW w:w="1807" w:type="dxa"/>
          </w:tcPr>
          <w:p w14:paraId="3689FACF" w14:textId="77777777" w:rsidR="00E25D3F" w:rsidRPr="00472330" w:rsidRDefault="00E25D3F" w:rsidP="00472330">
            <w:pPr>
              <w:ind w:left="0" w:right="0"/>
              <w:rPr>
                <w:sz w:val="20"/>
                <w:szCs w:val="20"/>
              </w:rPr>
            </w:pPr>
            <w:r w:rsidRPr="00472330">
              <w:rPr>
                <w:sz w:val="20"/>
                <w:szCs w:val="20"/>
              </w:rPr>
              <w:t>Human (patients)</w:t>
            </w:r>
          </w:p>
        </w:tc>
        <w:tc>
          <w:tcPr>
            <w:tcW w:w="1805" w:type="dxa"/>
          </w:tcPr>
          <w:p w14:paraId="6667A3B3" w14:textId="77777777" w:rsidR="00E25D3F" w:rsidRPr="00472330" w:rsidRDefault="00E25D3F" w:rsidP="00472330">
            <w:pPr>
              <w:ind w:left="0" w:right="0"/>
              <w:rPr>
                <w:sz w:val="20"/>
                <w:szCs w:val="20"/>
              </w:rPr>
            </w:pPr>
            <w:r w:rsidRPr="00472330">
              <w:rPr>
                <w:sz w:val="20"/>
                <w:szCs w:val="20"/>
              </w:rPr>
              <w:t>steady state</w:t>
            </w:r>
          </w:p>
        </w:tc>
        <w:tc>
          <w:tcPr>
            <w:tcW w:w="1668" w:type="dxa"/>
          </w:tcPr>
          <w:p w14:paraId="30FFF553" w14:textId="77777777" w:rsidR="00E25D3F" w:rsidRPr="00472330" w:rsidRDefault="00E25D3F" w:rsidP="00472330">
            <w:pPr>
              <w:ind w:left="0" w:right="0"/>
              <w:rPr>
                <w:sz w:val="20"/>
                <w:szCs w:val="20"/>
              </w:rPr>
            </w:pPr>
            <w:r w:rsidRPr="00472330">
              <w:rPr>
                <w:sz w:val="20"/>
                <w:szCs w:val="20"/>
              </w:rPr>
              <w:t>[400 mg bid]</w:t>
            </w:r>
          </w:p>
        </w:tc>
        <w:tc>
          <w:tcPr>
            <w:tcW w:w="1668" w:type="dxa"/>
            <w:gridSpan w:val="2"/>
          </w:tcPr>
          <w:p w14:paraId="66734F2F" w14:textId="77777777" w:rsidR="00E25D3F" w:rsidRPr="00472330" w:rsidRDefault="00E25D3F" w:rsidP="00472330">
            <w:pPr>
              <w:ind w:left="0" w:right="0"/>
              <w:rPr>
                <w:sz w:val="20"/>
                <w:szCs w:val="20"/>
              </w:rPr>
            </w:pPr>
            <w:r w:rsidRPr="00472330">
              <w:rPr>
                <w:sz w:val="20"/>
                <w:szCs w:val="20"/>
              </w:rPr>
              <w:t>80.8</w:t>
            </w:r>
          </w:p>
        </w:tc>
        <w:tc>
          <w:tcPr>
            <w:tcW w:w="1668" w:type="dxa"/>
            <w:gridSpan w:val="2"/>
          </w:tcPr>
          <w:p w14:paraId="70B1BCB3" w14:textId="77777777" w:rsidR="00E25D3F" w:rsidRPr="00472330" w:rsidRDefault="00E25D3F" w:rsidP="00472330">
            <w:pPr>
              <w:ind w:left="0" w:right="0"/>
              <w:rPr>
                <w:sz w:val="20"/>
                <w:szCs w:val="20"/>
              </w:rPr>
            </w:pPr>
            <w:r w:rsidRPr="00472330">
              <w:rPr>
                <w:sz w:val="20"/>
                <w:szCs w:val="20"/>
              </w:rPr>
              <w:t>–</w:t>
            </w:r>
          </w:p>
        </w:tc>
      </w:tr>
    </w:tbl>
    <w:p w14:paraId="590FADFD" w14:textId="69E05AD0" w:rsidR="00386C85" w:rsidRDefault="00E25D3F" w:rsidP="00E25D3F">
      <w:pPr>
        <w:pStyle w:val="TableDescription"/>
      </w:pPr>
      <w:r w:rsidRPr="00EB69F1">
        <w:rPr>
          <w:position w:val="-2"/>
          <w:vertAlign w:val="superscript"/>
        </w:rPr>
        <w:t>#</w:t>
      </w:r>
      <w:r w:rsidRPr="00EB69F1">
        <w:t xml:space="preserve"> = animal:</w:t>
      </w:r>
      <w:r w:rsidR="00573130">
        <w:t xml:space="preserve"> </w:t>
      </w:r>
      <w:r w:rsidRPr="00EB69F1">
        <w:t>human plasma AUC</w:t>
      </w:r>
      <w:r w:rsidRPr="00EB69F1">
        <w:rPr>
          <w:vertAlign w:val="subscript"/>
        </w:rPr>
        <w:t>0–24</w:t>
      </w:r>
      <w:r w:rsidRPr="00EB69F1">
        <w:rPr>
          <w:w w:val="50"/>
          <w:vertAlign w:val="subscript"/>
        </w:rPr>
        <w:t> </w:t>
      </w:r>
      <w:r w:rsidRPr="00EB69F1">
        <w:rPr>
          <w:vertAlign w:val="subscript"/>
        </w:rPr>
        <w:t>h</w:t>
      </w:r>
      <w:r w:rsidRPr="00EB69F1">
        <w:t xml:space="preserve"> </w:t>
      </w:r>
      <w:r>
        <w:t>M = male F = female</w:t>
      </w:r>
    </w:p>
    <w:p w14:paraId="4992B6AD" w14:textId="77777777" w:rsidR="002A0319" w:rsidRPr="002A0319" w:rsidRDefault="00472330" w:rsidP="002A0319">
      <w:pPr>
        <w:pStyle w:val="Heading5"/>
        <w:rPr>
          <w:rFonts w:eastAsiaTheme="minorHAnsi"/>
        </w:rPr>
      </w:pPr>
      <w:r>
        <w:rPr>
          <w:rFonts w:eastAsiaTheme="minorHAnsi"/>
        </w:rPr>
        <w:t>Major toxicities</w:t>
      </w:r>
    </w:p>
    <w:p w14:paraId="1C76D6AD" w14:textId="77777777" w:rsidR="005D64FB" w:rsidRDefault="002A0319" w:rsidP="002A0319">
      <w:r w:rsidRPr="002A0319">
        <w:t xml:space="preserve">The main target organs for toxicity in both species were the haematopoietic system (including the bone marrow, spleen and thymus), liver and kidney. Other findings were seen in the </w:t>
      </w:r>
      <w:r w:rsidR="00472330">
        <w:t>gastro intestinal (</w:t>
      </w:r>
      <w:r w:rsidRPr="002A0319">
        <w:t>GI</w:t>
      </w:r>
      <w:r w:rsidR="00472330">
        <w:t>)</w:t>
      </w:r>
      <w:r w:rsidRPr="002A0319">
        <w:t xml:space="preserve"> tract, urinary bladder, prostate and thyroid of dogs. All of the findings were reversible or showed a trend to reversion</w:t>
      </w:r>
      <w:r w:rsidR="005D64FB">
        <w:t>.</w:t>
      </w:r>
    </w:p>
    <w:p w14:paraId="16167DCC" w14:textId="0F188B68" w:rsidR="005D64FB" w:rsidRDefault="002A0319" w:rsidP="002A0319">
      <w:r w:rsidRPr="002A0319">
        <w:t xml:space="preserve">The most prominent organ for toxicity was the bone marrow with atrophy and myelotoxicity evident in rats (including animals in the micronucleus test) and dogs. </w:t>
      </w:r>
      <w:r w:rsidRPr="00F12C72">
        <w:rPr>
          <w:i/>
        </w:rPr>
        <w:t>In vitro</w:t>
      </w:r>
      <w:r w:rsidRPr="002A0319">
        <w:t xml:space="preserve">, olaparib inhibited the proliferation of bone marrow cells. Extensive examination of blood cell progenitors in treated rats revealed an increase in total </w:t>
      </w:r>
      <w:proofErr w:type="spellStart"/>
      <w:r w:rsidRPr="002A0319">
        <w:t>myelopoietic</w:t>
      </w:r>
      <w:proofErr w:type="spellEnd"/>
      <w:r w:rsidRPr="002A0319">
        <w:t xml:space="preserve"> cells and a delay in erythroid cell differentiation, resulting in an increase in the myeloid: erythroid ratio. As a consequence, there was a decrease in circulating red blood cells and reticulocytes, platelets and white blood cells (such as neutrophils, lymphocytes and </w:t>
      </w:r>
      <w:r w:rsidRPr="002A0319">
        <w:lastRenderedPageBreak/>
        <w:t>monocytes). Secondary to this were alterations in haematopoiesis in the spleen and thymic atrophy/involution. This is an anticipated pharmacological effect of olaparib, as PARP-1 is involved in differentiation processes in the bone marrow and PARP-2 has a role in erythroid differentiation</w:t>
      </w:r>
      <w:r w:rsidR="007607D4">
        <w:t>.</w:t>
      </w:r>
      <w:r w:rsidR="00E032DB" w:rsidRPr="00E032DB">
        <w:rPr>
          <w:vertAlign w:val="superscript"/>
        </w:rPr>
        <w:fldChar w:fldCharType="begin"/>
      </w:r>
      <w:r w:rsidR="00E032DB" w:rsidRPr="00E032DB">
        <w:rPr>
          <w:vertAlign w:val="superscript"/>
        </w:rPr>
        <w:instrText xml:space="preserve"> NOTEREF _Ref528669702 \h </w:instrText>
      </w:r>
      <w:r w:rsidR="00E032DB">
        <w:rPr>
          <w:vertAlign w:val="superscript"/>
        </w:rPr>
        <w:instrText xml:space="preserve"> \* MERGEFORMAT </w:instrText>
      </w:r>
      <w:r w:rsidR="00E032DB" w:rsidRPr="00E032DB">
        <w:rPr>
          <w:vertAlign w:val="superscript"/>
        </w:rPr>
      </w:r>
      <w:r w:rsidR="00E032DB" w:rsidRPr="00E032DB">
        <w:rPr>
          <w:vertAlign w:val="superscript"/>
        </w:rPr>
        <w:fldChar w:fldCharType="separate"/>
      </w:r>
      <w:r w:rsidR="00121EAE">
        <w:rPr>
          <w:vertAlign w:val="superscript"/>
        </w:rPr>
        <w:t>7</w:t>
      </w:r>
      <w:r w:rsidR="00E032DB" w:rsidRPr="00E032DB">
        <w:rPr>
          <w:vertAlign w:val="superscript"/>
        </w:rPr>
        <w:fldChar w:fldCharType="end"/>
      </w:r>
      <w:r w:rsidR="00573130" w:rsidRPr="00F12C72">
        <w:rPr>
          <w:vertAlign w:val="superscript"/>
        </w:rPr>
        <w:t>,</w:t>
      </w:r>
      <w:bookmarkStart w:id="62" w:name="_Ref528666198"/>
      <w:r w:rsidR="007607D4">
        <w:rPr>
          <w:rStyle w:val="FootnoteReference"/>
        </w:rPr>
        <w:footnoteReference w:id="16"/>
      </w:r>
      <w:bookmarkEnd w:id="62"/>
    </w:p>
    <w:p w14:paraId="77E4B181" w14:textId="77777777" w:rsidR="005D64FB" w:rsidRDefault="002A0319" w:rsidP="002A0319">
      <w:r w:rsidRPr="002A0319">
        <w:t>Extravascular haemolytic anaemia was shown to occur in PARP-2 knockout mice</w:t>
      </w:r>
      <w:r w:rsidR="00C005AD">
        <w:t>.</w:t>
      </w:r>
      <w:r w:rsidR="00C005AD" w:rsidRPr="00C005AD">
        <w:rPr>
          <w:vertAlign w:val="superscript"/>
        </w:rPr>
        <w:fldChar w:fldCharType="begin"/>
      </w:r>
      <w:r w:rsidR="00C005AD" w:rsidRPr="00C005AD">
        <w:rPr>
          <w:vertAlign w:val="superscript"/>
        </w:rPr>
        <w:instrText xml:space="preserve"> NOTEREF _Ref528666198 \h </w:instrText>
      </w:r>
      <w:r w:rsidR="00C005AD">
        <w:rPr>
          <w:vertAlign w:val="superscript"/>
        </w:rPr>
        <w:instrText xml:space="preserve"> \* MERGEFORMAT </w:instrText>
      </w:r>
      <w:r w:rsidR="00C005AD" w:rsidRPr="00C005AD">
        <w:rPr>
          <w:vertAlign w:val="superscript"/>
        </w:rPr>
      </w:r>
      <w:r w:rsidR="00C005AD" w:rsidRPr="00C005AD">
        <w:rPr>
          <w:vertAlign w:val="superscript"/>
        </w:rPr>
        <w:fldChar w:fldCharType="separate"/>
      </w:r>
      <w:r w:rsidR="00121EAE">
        <w:rPr>
          <w:vertAlign w:val="superscript"/>
        </w:rPr>
        <w:t>16</w:t>
      </w:r>
      <w:r w:rsidR="00C005AD" w:rsidRPr="00C005AD">
        <w:rPr>
          <w:vertAlign w:val="superscript"/>
        </w:rPr>
        <w:fldChar w:fldCharType="end"/>
      </w:r>
      <w:r w:rsidRPr="002A0319">
        <w:t xml:space="preserve"> As well as bone marrow effects, lower red blood cell parameters in olaparib-treated animals may also be attributable to haemolytic anaemia. Changes in the liver (brown pigment and pigmented</w:t>
      </w:r>
      <w:r>
        <w:t xml:space="preserve"> </w:t>
      </w:r>
      <w:r w:rsidRPr="002A0319">
        <w:t>macrophages) as well as agonal congestion/haemorrhage in multiple organs (liver, kidney, GI tract, and bladder) may be secondary to haemolytic anaemia as a result of PARP-2 inhibition</w:t>
      </w:r>
      <w:r w:rsidR="005D64FB">
        <w:t>.</w:t>
      </w:r>
    </w:p>
    <w:p w14:paraId="1B7A9D1F" w14:textId="77777777" w:rsidR="005D64FB" w:rsidRDefault="002A0319" w:rsidP="002A0319">
      <w:r w:rsidRPr="002A0319">
        <w:t xml:space="preserve">Other histopathological changes (papillary mineralisation and pyelitis in the kidney, interstitial inflammatory cell infiltrates and lymphoid aggregates in the prostate, cyst in the parathyroid, cystitis in the bladder, lymphocytic gastritis in the stomach and dilated glands/crypt </w:t>
      </w:r>
      <w:proofErr w:type="spellStart"/>
      <w:r w:rsidRPr="002A0319">
        <w:t>microabscesses</w:t>
      </w:r>
      <w:proofErr w:type="spellEnd"/>
      <w:r w:rsidRPr="002A0319">
        <w:t xml:space="preserve"> in the caecum) did not always show a relationship with dose, were not consistently seen across studies or across sexes. These findings have an uncertain relationship with olaparib treatment</w:t>
      </w:r>
      <w:r w:rsidR="005D64FB">
        <w:t>.</w:t>
      </w:r>
    </w:p>
    <w:p w14:paraId="49EA8075" w14:textId="77777777" w:rsidR="002A0319" w:rsidRPr="002A0319" w:rsidRDefault="00472330" w:rsidP="002A0319">
      <w:pPr>
        <w:pStyle w:val="Heading4"/>
      </w:pPr>
      <w:r>
        <w:t>Genotoxicity</w:t>
      </w:r>
    </w:p>
    <w:p w14:paraId="444EEC4F" w14:textId="3BA8C975" w:rsidR="005D64FB" w:rsidRDefault="002A0319" w:rsidP="002A0319">
      <w:r w:rsidRPr="002A0319">
        <w:t>The potential genotoxicity of olaparib was investigated in the standard battery of tests (bacterial mutagenesis and in vitro clastogenicity assays and a rodent micronucleus test), conducted in accordance with ICH guidelines</w:t>
      </w:r>
      <w:r w:rsidR="00757690">
        <w:t>.</w:t>
      </w:r>
      <w:r>
        <w:rPr>
          <w:rStyle w:val="FootnoteReference"/>
        </w:rPr>
        <w:footnoteReference w:id="17"/>
      </w:r>
      <w:r w:rsidRPr="002A0319">
        <w:t xml:space="preserve"> All assays were appropriately validated and conducted under GLP conditions. Appropriate bacterial strains were used in the Ames test and concentrations used in the in vitro assays were appropriate. The highest dose in the rat micronucleus study (400 mg/kg PO) is estimated to result in an exposure twice that of the clinical AUC. Negative results were returned in the bacterial mutagenicity test. Olaparib was clastogenic in </w:t>
      </w:r>
      <w:r w:rsidR="00472330">
        <w:t>Chinese hamster ovary (</w:t>
      </w:r>
      <w:r w:rsidRPr="002A0319">
        <w:t>CHO</w:t>
      </w:r>
      <w:r w:rsidR="00472330">
        <w:t>)</w:t>
      </w:r>
      <w:r w:rsidRPr="002A0319">
        <w:t xml:space="preserve"> cells (both with and without metabolic activation) and micronuclei were induced in the rat micronucleus test, indicating olaparib was clastogenic. Given the role of PARP in maintaining genomic stability and repairing DNA strand breakage, these positive findings may be expected based on the pharmacological activity of olaparib. Indeed, micronuclei have been reported in the erythrocytes of mice deficient in PARP-2</w:t>
      </w:r>
      <w:r w:rsidR="00C005AD">
        <w:t>.</w:t>
      </w:r>
      <w:r w:rsidR="00E032DB" w:rsidRPr="00E032DB">
        <w:rPr>
          <w:vertAlign w:val="superscript"/>
        </w:rPr>
        <w:fldChar w:fldCharType="begin"/>
      </w:r>
      <w:r w:rsidR="00E032DB" w:rsidRPr="00E032DB">
        <w:rPr>
          <w:vertAlign w:val="superscript"/>
        </w:rPr>
        <w:instrText xml:space="preserve"> NOTEREF _Ref528669702 \h  \* MERGEFORMAT </w:instrText>
      </w:r>
      <w:r w:rsidR="00E032DB" w:rsidRPr="00E032DB">
        <w:rPr>
          <w:vertAlign w:val="superscript"/>
        </w:rPr>
      </w:r>
      <w:r w:rsidR="00E032DB" w:rsidRPr="00E032DB">
        <w:rPr>
          <w:vertAlign w:val="superscript"/>
        </w:rPr>
        <w:fldChar w:fldCharType="separate"/>
      </w:r>
      <w:r w:rsidR="00121EAE">
        <w:rPr>
          <w:vertAlign w:val="superscript"/>
        </w:rPr>
        <w:t>7</w:t>
      </w:r>
      <w:r w:rsidR="00E032DB" w:rsidRPr="00E032DB">
        <w:rPr>
          <w:vertAlign w:val="superscript"/>
        </w:rPr>
        <w:fldChar w:fldCharType="end"/>
      </w:r>
    </w:p>
    <w:p w14:paraId="22CC6A71" w14:textId="77777777" w:rsidR="002A0319" w:rsidRPr="002A0319" w:rsidRDefault="00472330" w:rsidP="002A0319">
      <w:pPr>
        <w:pStyle w:val="Heading4"/>
      </w:pPr>
      <w:r>
        <w:t>Carcinogenicity</w:t>
      </w:r>
    </w:p>
    <w:p w14:paraId="171C3F6E" w14:textId="77777777" w:rsidR="002A0319" w:rsidRPr="002A0319" w:rsidRDefault="002A0319" w:rsidP="002A0319">
      <w:r w:rsidRPr="002A0319">
        <w:t>No carcinogenicity studies were conducted, which is considered acceptable, given the intended patient group (ICH S9). Olaparib is clastogenic and secondary malignancies are possible.</w:t>
      </w:r>
    </w:p>
    <w:p w14:paraId="31BA124A" w14:textId="77777777" w:rsidR="002A0319" w:rsidRPr="002A0319" w:rsidRDefault="00472330" w:rsidP="002A0319">
      <w:pPr>
        <w:pStyle w:val="Heading5"/>
        <w:rPr>
          <w:rFonts w:eastAsiaTheme="minorHAnsi"/>
        </w:rPr>
      </w:pPr>
      <w:r>
        <w:rPr>
          <w:rFonts w:eastAsiaTheme="minorHAnsi"/>
        </w:rPr>
        <w:t>Reproductive toxicity</w:t>
      </w:r>
    </w:p>
    <w:p w14:paraId="4A5C649E" w14:textId="55455B94" w:rsidR="002A0319" w:rsidRPr="002A0319" w:rsidRDefault="002A0319" w:rsidP="002A0319">
      <w:r w:rsidRPr="002A0319">
        <w:t>The only reproductive toxicity studies submitted examined effects on fertility (male and female) and embryofetal development toxicity in rats. The lack of a postnatal development study is considered acceptable, given the indication</w:t>
      </w:r>
      <w:r w:rsidR="00757690">
        <w:t>;</w:t>
      </w:r>
      <w:r>
        <w:rPr>
          <w:rStyle w:val="FootnoteReference"/>
        </w:rPr>
        <w:footnoteReference w:id="18"/>
      </w:r>
      <w:r w:rsidRPr="002A0319">
        <w:t xml:space="preserve"> and the assessment of embryofetal development toxicity in a single animal species is considered acceptable, given the demonstration of embryofetal lethality and teratogenicity in the rat study. Adequate animal numbers were used and the study designs were satisfactory. The major limitation of the submitted studies is that all exposures were subclinical.</w:t>
      </w:r>
    </w:p>
    <w:p w14:paraId="558CE307" w14:textId="77777777" w:rsidR="002A0319" w:rsidRDefault="002A0319" w:rsidP="002A0319">
      <w:pPr>
        <w:pStyle w:val="TableTitle"/>
      </w:pPr>
      <w:r>
        <w:lastRenderedPageBreak/>
        <w:t xml:space="preserve">Table </w:t>
      </w:r>
      <w:r w:rsidR="00F03EBB">
        <w:t xml:space="preserve">4: </w:t>
      </w:r>
      <w:r w:rsidRPr="002A0319">
        <w:t>Relative exposure in reproductive toxicity studies</w:t>
      </w:r>
    </w:p>
    <w:tbl>
      <w:tblPr>
        <w:tblStyle w:val="TableTGAblue"/>
        <w:tblW w:w="8637" w:type="dxa"/>
        <w:tblLayout w:type="fixed"/>
        <w:tblLook w:val="01E0" w:firstRow="1" w:lastRow="1" w:firstColumn="1" w:lastColumn="1" w:noHBand="0" w:noVBand="0"/>
      </w:tblPr>
      <w:tblGrid>
        <w:gridCol w:w="1552"/>
        <w:gridCol w:w="2069"/>
        <w:gridCol w:w="1672"/>
        <w:gridCol w:w="1672"/>
        <w:gridCol w:w="1672"/>
      </w:tblGrid>
      <w:tr w:rsidR="00E25D3F" w:rsidRPr="00472330" w14:paraId="7BD7F122" w14:textId="77777777" w:rsidTr="00472330">
        <w:trPr>
          <w:cnfStyle w:val="100000000000" w:firstRow="1" w:lastRow="0" w:firstColumn="0" w:lastColumn="0" w:oddVBand="0" w:evenVBand="0" w:oddHBand="0" w:evenHBand="0" w:firstRowFirstColumn="0" w:firstRowLastColumn="0" w:lastRowFirstColumn="0" w:lastRowLastColumn="0"/>
          <w:trHeight w:val="982"/>
        </w:trPr>
        <w:tc>
          <w:tcPr>
            <w:tcW w:w="1552" w:type="dxa"/>
          </w:tcPr>
          <w:p w14:paraId="18EE7763" w14:textId="77777777" w:rsidR="00E25D3F" w:rsidRPr="00472330" w:rsidRDefault="00E25D3F" w:rsidP="00472330">
            <w:pPr>
              <w:ind w:left="0" w:right="0"/>
              <w:rPr>
                <w:sz w:val="20"/>
                <w:szCs w:val="20"/>
              </w:rPr>
            </w:pPr>
            <w:r w:rsidRPr="00472330">
              <w:rPr>
                <w:sz w:val="20"/>
                <w:szCs w:val="20"/>
              </w:rPr>
              <w:t>Species</w:t>
            </w:r>
          </w:p>
        </w:tc>
        <w:tc>
          <w:tcPr>
            <w:tcW w:w="2069" w:type="dxa"/>
          </w:tcPr>
          <w:p w14:paraId="0F66BD67" w14:textId="77777777" w:rsidR="00E25D3F" w:rsidRPr="00472330" w:rsidRDefault="00E25D3F" w:rsidP="00472330">
            <w:pPr>
              <w:ind w:left="0" w:right="0"/>
              <w:rPr>
                <w:sz w:val="20"/>
                <w:szCs w:val="20"/>
              </w:rPr>
            </w:pPr>
            <w:r w:rsidRPr="00472330">
              <w:rPr>
                <w:sz w:val="20"/>
                <w:szCs w:val="20"/>
              </w:rPr>
              <w:t>Study</w:t>
            </w:r>
          </w:p>
        </w:tc>
        <w:tc>
          <w:tcPr>
            <w:tcW w:w="1672" w:type="dxa"/>
          </w:tcPr>
          <w:p w14:paraId="737CC0E0" w14:textId="77777777" w:rsidR="00E25D3F" w:rsidRPr="00472330" w:rsidRDefault="00E25D3F" w:rsidP="00472330">
            <w:pPr>
              <w:ind w:left="0" w:right="0"/>
              <w:rPr>
                <w:sz w:val="20"/>
                <w:szCs w:val="20"/>
              </w:rPr>
            </w:pPr>
            <w:r w:rsidRPr="00472330">
              <w:rPr>
                <w:sz w:val="20"/>
                <w:szCs w:val="20"/>
              </w:rPr>
              <w:t>Dose (mg/kg/day PO)</w:t>
            </w:r>
          </w:p>
        </w:tc>
        <w:tc>
          <w:tcPr>
            <w:tcW w:w="1672" w:type="dxa"/>
          </w:tcPr>
          <w:p w14:paraId="140054E1" w14:textId="77777777" w:rsidR="00E25D3F" w:rsidRPr="00472330" w:rsidRDefault="00E25D3F" w:rsidP="00472330">
            <w:pPr>
              <w:ind w:left="0" w:right="0"/>
              <w:rPr>
                <w:sz w:val="20"/>
                <w:szCs w:val="20"/>
              </w:rPr>
            </w:pPr>
            <w:r w:rsidRPr="00472330">
              <w:rPr>
                <w:sz w:val="20"/>
                <w:szCs w:val="20"/>
              </w:rPr>
              <w:t>AUC</w:t>
            </w:r>
            <w:r w:rsidRPr="00472330">
              <w:rPr>
                <w:sz w:val="20"/>
                <w:szCs w:val="20"/>
                <w:vertAlign w:val="subscript"/>
              </w:rPr>
              <w:t>0–24</w:t>
            </w:r>
            <w:r w:rsidR="00E032DB" w:rsidRPr="00472330">
              <w:rPr>
                <w:sz w:val="20"/>
                <w:szCs w:val="20"/>
                <w:vertAlign w:val="subscript"/>
              </w:rPr>
              <w:t xml:space="preserve"> hours</w:t>
            </w:r>
            <w:r w:rsidRPr="00472330">
              <w:rPr>
                <w:sz w:val="20"/>
                <w:szCs w:val="20"/>
              </w:rPr>
              <w:t xml:space="preserve"> (</w:t>
            </w:r>
            <w:proofErr w:type="spellStart"/>
            <w:r w:rsidRPr="00472330">
              <w:rPr>
                <w:sz w:val="20"/>
                <w:szCs w:val="20"/>
              </w:rPr>
              <w:t>μg∙h</w:t>
            </w:r>
            <w:proofErr w:type="spellEnd"/>
            <w:r w:rsidRPr="00472330">
              <w:rPr>
                <w:sz w:val="20"/>
                <w:szCs w:val="20"/>
              </w:rPr>
              <w:t>/mL)</w:t>
            </w:r>
          </w:p>
        </w:tc>
        <w:tc>
          <w:tcPr>
            <w:tcW w:w="1672" w:type="dxa"/>
          </w:tcPr>
          <w:p w14:paraId="6BC4E6D2" w14:textId="77777777" w:rsidR="00E25D3F" w:rsidRPr="00472330" w:rsidRDefault="00E25D3F" w:rsidP="00472330">
            <w:pPr>
              <w:ind w:left="0" w:right="0"/>
              <w:rPr>
                <w:sz w:val="20"/>
                <w:szCs w:val="20"/>
              </w:rPr>
            </w:pPr>
            <w:r w:rsidRPr="00472330">
              <w:rPr>
                <w:sz w:val="20"/>
                <w:szCs w:val="20"/>
              </w:rPr>
              <w:t>Exposure ratio#</w:t>
            </w:r>
          </w:p>
        </w:tc>
      </w:tr>
      <w:tr w:rsidR="00E25D3F" w:rsidRPr="00472330" w14:paraId="21FE5B96" w14:textId="77777777" w:rsidTr="00472330">
        <w:trPr>
          <w:trHeight w:val="222"/>
        </w:trPr>
        <w:tc>
          <w:tcPr>
            <w:tcW w:w="1552" w:type="dxa"/>
            <w:vMerge w:val="restart"/>
          </w:tcPr>
          <w:p w14:paraId="264AA674" w14:textId="77777777" w:rsidR="00E25D3F" w:rsidRPr="00472330" w:rsidRDefault="00E25D3F" w:rsidP="00472330">
            <w:pPr>
              <w:ind w:left="0" w:right="0"/>
              <w:rPr>
                <w:sz w:val="20"/>
                <w:szCs w:val="20"/>
              </w:rPr>
            </w:pPr>
            <w:r w:rsidRPr="00472330">
              <w:rPr>
                <w:sz w:val="20"/>
                <w:szCs w:val="20"/>
              </w:rPr>
              <w:t>Rat (</w:t>
            </w:r>
            <w:proofErr w:type="spellStart"/>
            <w:r w:rsidRPr="00472330">
              <w:rPr>
                <w:sz w:val="20"/>
                <w:szCs w:val="20"/>
              </w:rPr>
              <w:t>Wistar</w:t>
            </w:r>
            <w:proofErr w:type="spellEnd"/>
            <w:r w:rsidRPr="00472330">
              <w:rPr>
                <w:sz w:val="20"/>
                <w:szCs w:val="20"/>
              </w:rPr>
              <w:t xml:space="preserve"> Han)</w:t>
            </w:r>
          </w:p>
        </w:tc>
        <w:tc>
          <w:tcPr>
            <w:tcW w:w="2069" w:type="dxa"/>
            <w:vMerge w:val="restart"/>
          </w:tcPr>
          <w:p w14:paraId="18E088C9" w14:textId="77777777" w:rsidR="00E25D3F" w:rsidRPr="00472330" w:rsidRDefault="00E25D3F" w:rsidP="00472330">
            <w:pPr>
              <w:ind w:left="0" w:right="0"/>
              <w:rPr>
                <w:sz w:val="20"/>
                <w:szCs w:val="20"/>
              </w:rPr>
            </w:pPr>
            <w:r w:rsidRPr="00472330">
              <w:rPr>
                <w:sz w:val="20"/>
                <w:szCs w:val="20"/>
              </w:rPr>
              <w:t>Male fertility [Study 1558GR]a</w:t>
            </w:r>
          </w:p>
        </w:tc>
        <w:tc>
          <w:tcPr>
            <w:tcW w:w="1672" w:type="dxa"/>
          </w:tcPr>
          <w:p w14:paraId="78EC35EC" w14:textId="77777777" w:rsidR="00E25D3F" w:rsidRPr="00472330" w:rsidRDefault="00E25D3F" w:rsidP="00472330">
            <w:pPr>
              <w:ind w:left="0" w:right="0"/>
              <w:rPr>
                <w:sz w:val="20"/>
                <w:szCs w:val="20"/>
              </w:rPr>
            </w:pPr>
            <w:r w:rsidRPr="00472330">
              <w:rPr>
                <w:sz w:val="20"/>
                <w:szCs w:val="20"/>
              </w:rPr>
              <w:t>5</w:t>
            </w:r>
          </w:p>
        </w:tc>
        <w:tc>
          <w:tcPr>
            <w:tcW w:w="1672" w:type="dxa"/>
          </w:tcPr>
          <w:p w14:paraId="18DD93B3" w14:textId="77777777" w:rsidR="00E25D3F" w:rsidRPr="00472330" w:rsidRDefault="00E25D3F" w:rsidP="00472330">
            <w:pPr>
              <w:ind w:left="0" w:right="0"/>
              <w:rPr>
                <w:sz w:val="20"/>
                <w:szCs w:val="20"/>
              </w:rPr>
            </w:pPr>
            <w:r w:rsidRPr="00472330">
              <w:rPr>
                <w:sz w:val="20"/>
                <w:szCs w:val="20"/>
              </w:rPr>
              <w:t>0.24</w:t>
            </w:r>
          </w:p>
        </w:tc>
        <w:tc>
          <w:tcPr>
            <w:tcW w:w="1672" w:type="dxa"/>
          </w:tcPr>
          <w:p w14:paraId="07780256" w14:textId="77777777" w:rsidR="00E25D3F" w:rsidRPr="00472330" w:rsidRDefault="00E25D3F" w:rsidP="00472330">
            <w:pPr>
              <w:ind w:left="0" w:right="0"/>
              <w:rPr>
                <w:sz w:val="20"/>
                <w:szCs w:val="20"/>
              </w:rPr>
            </w:pPr>
            <w:r w:rsidRPr="00472330">
              <w:rPr>
                <w:sz w:val="20"/>
                <w:szCs w:val="20"/>
              </w:rPr>
              <w:t>0.003</w:t>
            </w:r>
          </w:p>
        </w:tc>
      </w:tr>
      <w:tr w:rsidR="00E25D3F" w:rsidRPr="00472330" w14:paraId="6597409C" w14:textId="77777777" w:rsidTr="00472330">
        <w:trPr>
          <w:trHeight w:val="222"/>
        </w:trPr>
        <w:tc>
          <w:tcPr>
            <w:tcW w:w="1552" w:type="dxa"/>
            <w:vMerge/>
          </w:tcPr>
          <w:p w14:paraId="360C41C4" w14:textId="77777777" w:rsidR="00E25D3F" w:rsidRPr="00472330" w:rsidRDefault="00E25D3F" w:rsidP="00472330">
            <w:pPr>
              <w:ind w:left="0" w:right="0"/>
              <w:rPr>
                <w:sz w:val="20"/>
                <w:szCs w:val="20"/>
              </w:rPr>
            </w:pPr>
          </w:p>
        </w:tc>
        <w:tc>
          <w:tcPr>
            <w:tcW w:w="2069" w:type="dxa"/>
            <w:vMerge/>
          </w:tcPr>
          <w:p w14:paraId="0F43BF7E" w14:textId="77777777" w:rsidR="00E25D3F" w:rsidRPr="00472330" w:rsidRDefault="00E25D3F" w:rsidP="00472330">
            <w:pPr>
              <w:ind w:left="0" w:right="0"/>
              <w:rPr>
                <w:sz w:val="20"/>
                <w:szCs w:val="20"/>
              </w:rPr>
            </w:pPr>
          </w:p>
        </w:tc>
        <w:tc>
          <w:tcPr>
            <w:tcW w:w="1672" w:type="dxa"/>
          </w:tcPr>
          <w:p w14:paraId="3515FC99" w14:textId="77777777" w:rsidR="00E25D3F" w:rsidRPr="00472330" w:rsidRDefault="00E25D3F" w:rsidP="00472330">
            <w:pPr>
              <w:ind w:left="0" w:right="0"/>
              <w:rPr>
                <w:sz w:val="20"/>
                <w:szCs w:val="20"/>
              </w:rPr>
            </w:pPr>
            <w:r w:rsidRPr="00472330">
              <w:rPr>
                <w:sz w:val="20"/>
                <w:szCs w:val="20"/>
              </w:rPr>
              <w:t>15</w:t>
            </w:r>
          </w:p>
        </w:tc>
        <w:tc>
          <w:tcPr>
            <w:tcW w:w="1672" w:type="dxa"/>
          </w:tcPr>
          <w:p w14:paraId="2788396C" w14:textId="77777777" w:rsidR="00E25D3F" w:rsidRPr="00472330" w:rsidRDefault="00E25D3F" w:rsidP="00472330">
            <w:pPr>
              <w:ind w:left="0" w:right="0"/>
              <w:rPr>
                <w:sz w:val="20"/>
                <w:szCs w:val="20"/>
              </w:rPr>
            </w:pPr>
            <w:r w:rsidRPr="00472330">
              <w:rPr>
                <w:sz w:val="20"/>
                <w:szCs w:val="20"/>
              </w:rPr>
              <w:t>1.06</w:t>
            </w:r>
          </w:p>
        </w:tc>
        <w:tc>
          <w:tcPr>
            <w:tcW w:w="1672" w:type="dxa"/>
          </w:tcPr>
          <w:p w14:paraId="300FB4C9" w14:textId="77777777" w:rsidR="00E25D3F" w:rsidRPr="00472330" w:rsidRDefault="00E25D3F" w:rsidP="00472330">
            <w:pPr>
              <w:ind w:left="0" w:right="0"/>
              <w:rPr>
                <w:sz w:val="20"/>
                <w:szCs w:val="20"/>
              </w:rPr>
            </w:pPr>
            <w:r w:rsidRPr="00472330">
              <w:rPr>
                <w:sz w:val="20"/>
                <w:szCs w:val="20"/>
              </w:rPr>
              <w:t>0.01</w:t>
            </w:r>
          </w:p>
        </w:tc>
      </w:tr>
      <w:tr w:rsidR="00E25D3F" w:rsidRPr="00472330" w14:paraId="5FCADF7F" w14:textId="77777777" w:rsidTr="00472330">
        <w:trPr>
          <w:trHeight w:val="222"/>
        </w:trPr>
        <w:tc>
          <w:tcPr>
            <w:tcW w:w="1552" w:type="dxa"/>
            <w:vMerge/>
          </w:tcPr>
          <w:p w14:paraId="76968659" w14:textId="77777777" w:rsidR="00E25D3F" w:rsidRPr="00472330" w:rsidRDefault="00E25D3F" w:rsidP="00472330">
            <w:pPr>
              <w:ind w:left="0" w:right="0"/>
              <w:rPr>
                <w:sz w:val="20"/>
                <w:szCs w:val="20"/>
              </w:rPr>
            </w:pPr>
          </w:p>
        </w:tc>
        <w:tc>
          <w:tcPr>
            <w:tcW w:w="2069" w:type="dxa"/>
            <w:vMerge/>
          </w:tcPr>
          <w:p w14:paraId="07ACF0D5" w14:textId="77777777" w:rsidR="00E25D3F" w:rsidRPr="00472330" w:rsidRDefault="00E25D3F" w:rsidP="00472330">
            <w:pPr>
              <w:ind w:left="0" w:right="0"/>
              <w:rPr>
                <w:sz w:val="20"/>
                <w:szCs w:val="20"/>
              </w:rPr>
            </w:pPr>
          </w:p>
        </w:tc>
        <w:tc>
          <w:tcPr>
            <w:tcW w:w="1672" w:type="dxa"/>
          </w:tcPr>
          <w:p w14:paraId="109FCF75" w14:textId="77777777" w:rsidR="00E25D3F" w:rsidRPr="00472330" w:rsidRDefault="00E25D3F" w:rsidP="00472330">
            <w:pPr>
              <w:ind w:left="0" w:right="0"/>
              <w:rPr>
                <w:sz w:val="20"/>
                <w:szCs w:val="20"/>
              </w:rPr>
            </w:pPr>
            <w:r w:rsidRPr="00472330">
              <w:rPr>
                <w:sz w:val="20"/>
                <w:szCs w:val="20"/>
              </w:rPr>
              <w:t>40</w:t>
            </w:r>
          </w:p>
        </w:tc>
        <w:tc>
          <w:tcPr>
            <w:tcW w:w="1672" w:type="dxa"/>
          </w:tcPr>
          <w:p w14:paraId="5DE67832" w14:textId="77777777" w:rsidR="00E25D3F" w:rsidRPr="00472330" w:rsidRDefault="00E25D3F" w:rsidP="00472330">
            <w:pPr>
              <w:ind w:left="0" w:right="0"/>
              <w:rPr>
                <w:sz w:val="20"/>
                <w:szCs w:val="20"/>
              </w:rPr>
            </w:pPr>
            <w:r w:rsidRPr="00472330">
              <w:rPr>
                <w:sz w:val="20"/>
                <w:szCs w:val="20"/>
              </w:rPr>
              <w:t>5.75</w:t>
            </w:r>
          </w:p>
        </w:tc>
        <w:tc>
          <w:tcPr>
            <w:tcW w:w="1672" w:type="dxa"/>
          </w:tcPr>
          <w:p w14:paraId="6D9DF4F2" w14:textId="77777777" w:rsidR="00E25D3F" w:rsidRPr="00472330" w:rsidRDefault="00E25D3F" w:rsidP="00472330">
            <w:pPr>
              <w:ind w:left="0" w:right="0"/>
              <w:rPr>
                <w:sz w:val="20"/>
                <w:szCs w:val="20"/>
              </w:rPr>
            </w:pPr>
            <w:r w:rsidRPr="00472330">
              <w:rPr>
                <w:sz w:val="20"/>
                <w:szCs w:val="20"/>
              </w:rPr>
              <w:t>0.07</w:t>
            </w:r>
          </w:p>
        </w:tc>
      </w:tr>
      <w:tr w:rsidR="00E25D3F" w:rsidRPr="00472330" w14:paraId="187FC16A" w14:textId="77777777" w:rsidTr="00472330">
        <w:trPr>
          <w:trHeight w:val="222"/>
        </w:trPr>
        <w:tc>
          <w:tcPr>
            <w:tcW w:w="1552" w:type="dxa"/>
            <w:vMerge/>
          </w:tcPr>
          <w:p w14:paraId="04ED0772" w14:textId="77777777" w:rsidR="00E25D3F" w:rsidRPr="00472330" w:rsidRDefault="00E25D3F" w:rsidP="00472330">
            <w:pPr>
              <w:ind w:left="0" w:right="0"/>
              <w:rPr>
                <w:sz w:val="20"/>
                <w:szCs w:val="20"/>
              </w:rPr>
            </w:pPr>
          </w:p>
        </w:tc>
        <w:tc>
          <w:tcPr>
            <w:tcW w:w="2069" w:type="dxa"/>
            <w:vMerge w:val="restart"/>
          </w:tcPr>
          <w:p w14:paraId="14436101" w14:textId="77777777" w:rsidR="00E25D3F" w:rsidRPr="00472330" w:rsidRDefault="00E25D3F" w:rsidP="00472330">
            <w:pPr>
              <w:ind w:left="0" w:right="0"/>
              <w:rPr>
                <w:sz w:val="20"/>
                <w:szCs w:val="20"/>
              </w:rPr>
            </w:pPr>
            <w:r w:rsidRPr="00472330">
              <w:rPr>
                <w:sz w:val="20"/>
                <w:szCs w:val="20"/>
              </w:rPr>
              <w:t>Female fertility [Study 1557GR]</w:t>
            </w:r>
          </w:p>
        </w:tc>
        <w:tc>
          <w:tcPr>
            <w:tcW w:w="1672" w:type="dxa"/>
          </w:tcPr>
          <w:p w14:paraId="77ED2CDD" w14:textId="77777777" w:rsidR="00E25D3F" w:rsidRPr="00472330" w:rsidRDefault="00E25D3F" w:rsidP="00472330">
            <w:pPr>
              <w:ind w:left="0" w:right="0"/>
              <w:rPr>
                <w:sz w:val="20"/>
                <w:szCs w:val="20"/>
              </w:rPr>
            </w:pPr>
            <w:r w:rsidRPr="00472330">
              <w:rPr>
                <w:sz w:val="20"/>
                <w:szCs w:val="20"/>
              </w:rPr>
              <w:t>0.5</w:t>
            </w:r>
          </w:p>
        </w:tc>
        <w:tc>
          <w:tcPr>
            <w:tcW w:w="1672" w:type="dxa"/>
          </w:tcPr>
          <w:p w14:paraId="60DF21C1" w14:textId="77777777" w:rsidR="00E25D3F" w:rsidRPr="00472330" w:rsidRDefault="00E25D3F" w:rsidP="00472330">
            <w:pPr>
              <w:ind w:left="0" w:right="0"/>
              <w:rPr>
                <w:sz w:val="20"/>
                <w:szCs w:val="20"/>
              </w:rPr>
            </w:pPr>
            <w:r w:rsidRPr="00472330">
              <w:rPr>
                <w:sz w:val="20"/>
                <w:szCs w:val="20"/>
              </w:rPr>
              <w:t>0.257</w:t>
            </w:r>
          </w:p>
        </w:tc>
        <w:tc>
          <w:tcPr>
            <w:tcW w:w="1672" w:type="dxa"/>
          </w:tcPr>
          <w:p w14:paraId="6B1ED289" w14:textId="77777777" w:rsidR="00E25D3F" w:rsidRPr="00472330" w:rsidRDefault="00E25D3F" w:rsidP="00472330">
            <w:pPr>
              <w:ind w:left="0" w:right="0"/>
              <w:rPr>
                <w:sz w:val="20"/>
                <w:szCs w:val="20"/>
              </w:rPr>
            </w:pPr>
            <w:r w:rsidRPr="00472330">
              <w:rPr>
                <w:sz w:val="20"/>
                <w:szCs w:val="20"/>
              </w:rPr>
              <w:t>0.003</w:t>
            </w:r>
          </w:p>
        </w:tc>
      </w:tr>
      <w:tr w:rsidR="00E25D3F" w:rsidRPr="00472330" w14:paraId="43C6DD76" w14:textId="77777777" w:rsidTr="00472330">
        <w:trPr>
          <w:trHeight w:val="222"/>
        </w:trPr>
        <w:tc>
          <w:tcPr>
            <w:tcW w:w="1552" w:type="dxa"/>
            <w:vMerge/>
          </w:tcPr>
          <w:p w14:paraId="782BCBDB" w14:textId="77777777" w:rsidR="00E25D3F" w:rsidRPr="00472330" w:rsidRDefault="00E25D3F" w:rsidP="00472330">
            <w:pPr>
              <w:ind w:left="0" w:right="0"/>
              <w:rPr>
                <w:sz w:val="20"/>
                <w:szCs w:val="20"/>
              </w:rPr>
            </w:pPr>
          </w:p>
        </w:tc>
        <w:tc>
          <w:tcPr>
            <w:tcW w:w="2069" w:type="dxa"/>
            <w:vMerge/>
          </w:tcPr>
          <w:p w14:paraId="43389448" w14:textId="77777777" w:rsidR="00E25D3F" w:rsidRPr="00472330" w:rsidRDefault="00E25D3F" w:rsidP="00472330">
            <w:pPr>
              <w:ind w:left="0" w:right="0"/>
              <w:rPr>
                <w:sz w:val="20"/>
                <w:szCs w:val="20"/>
              </w:rPr>
            </w:pPr>
          </w:p>
        </w:tc>
        <w:tc>
          <w:tcPr>
            <w:tcW w:w="1672" w:type="dxa"/>
          </w:tcPr>
          <w:p w14:paraId="6C9D7495" w14:textId="77777777" w:rsidR="00E25D3F" w:rsidRPr="00472330" w:rsidRDefault="00E25D3F" w:rsidP="00472330">
            <w:pPr>
              <w:ind w:left="0" w:right="0"/>
              <w:rPr>
                <w:sz w:val="20"/>
                <w:szCs w:val="20"/>
              </w:rPr>
            </w:pPr>
            <w:r w:rsidRPr="00472330">
              <w:rPr>
                <w:sz w:val="20"/>
                <w:szCs w:val="20"/>
              </w:rPr>
              <w:t>15</w:t>
            </w:r>
          </w:p>
        </w:tc>
        <w:tc>
          <w:tcPr>
            <w:tcW w:w="1672" w:type="dxa"/>
          </w:tcPr>
          <w:p w14:paraId="6F8E5D94" w14:textId="77777777" w:rsidR="00E25D3F" w:rsidRPr="00472330" w:rsidRDefault="00E25D3F" w:rsidP="00472330">
            <w:pPr>
              <w:ind w:left="0" w:right="0"/>
              <w:rPr>
                <w:sz w:val="20"/>
                <w:szCs w:val="20"/>
              </w:rPr>
            </w:pPr>
            <w:r w:rsidRPr="00472330">
              <w:rPr>
                <w:sz w:val="20"/>
                <w:szCs w:val="20"/>
              </w:rPr>
              <w:t>8.25</w:t>
            </w:r>
          </w:p>
        </w:tc>
        <w:tc>
          <w:tcPr>
            <w:tcW w:w="1672" w:type="dxa"/>
          </w:tcPr>
          <w:p w14:paraId="43A8F4DF" w14:textId="77777777" w:rsidR="00E25D3F" w:rsidRPr="00472330" w:rsidRDefault="00E25D3F" w:rsidP="00472330">
            <w:pPr>
              <w:ind w:left="0" w:right="0"/>
              <w:rPr>
                <w:sz w:val="20"/>
                <w:szCs w:val="20"/>
              </w:rPr>
            </w:pPr>
            <w:r w:rsidRPr="00472330">
              <w:rPr>
                <w:sz w:val="20"/>
                <w:szCs w:val="20"/>
              </w:rPr>
              <w:t>0.1</w:t>
            </w:r>
          </w:p>
        </w:tc>
      </w:tr>
      <w:tr w:rsidR="00E25D3F" w:rsidRPr="00472330" w14:paraId="0460CE10" w14:textId="77777777" w:rsidTr="00472330">
        <w:trPr>
          <w:trHeight w:val="521"/>
        </w:trPr>
        <w:tc>
          <w:tcPr>
            <w:tcW w:w="1552" w:type="dxa"/>
            <w:vMerge/>
          </w:tcPr>
          <w:p w14:paraId="3F2AD886" w14:textId="77777777" w:rsidR="00E25D3F" w:rsidRPr="00472330" w:rsidRDefault="00E25D3F" w:rsidP="00472330">
            <w:pPr>
              <w:ind w:left="0" w:right="0"/>
              <w:rPr>
                <w:sz w:val="20"/>
                <w:szCs w:val="20"/>
              </w:rPr>
            </w:pPr>
          </w:p>
        </w:tc>
        <w:tc>
          <w:tcPr>
            <w:tcW w:w="2069" w:type="dxa"/>
          </w:tcPr>
          <w:p w14:paraId="69C172A8" w14:textId="77777777" w:rsidR="00E25D3F" w:rsidRPr="00472330" w:rsidRDefault="00E25D3F" w:rsidP="00472330">
            <w:pPr>
              <w:ind w:left="0" w:right="0"/>
              <w:rPr>
                <w:sz w:val="20"/>
                <w:szCs w:val="20"/>
              </w:rPr>
            </w:pPr>
            <w:r w:rsidRPr="00472330">
              <w:rPr>
                <w:sz w:val="20"/>
                <w:szCs w:val="20"/>
              </w:rPr>
              <w:t>Embryofetal development [Study 1556TR]b</w:t>
            </w:r>
          </w:p>
        </w:tc>
        <w:tc>
          <w:tcPr>
            <w:tcW w:w="1672" w:type="dxa"/>
          </w:tcPr>
          <w:p w14:paraId="3D58790A" w14:textId="77777777" w:rsidR="00E25D3F" w:rsidRPr="00472330" w:rsidRDefault="00E25D3F" w:rsidP="00472330">
            <w:pPr>
              <w:ind w:left="0" w:right="0"/>
              <w:rPr>
                <w:sz w:val="20"/>
                <w:szCs w:val="20"/>
              </w:rPr>
            </w:pPr>
            <w:r w:rsidRPr="00472330">
              <w:rPr>
                <w:sz w:val="20"/>
                <w:szCs w:val="20"/>
              </w:rPr>
              <w:t>0.5</w:t>
            </w:r>
          </w:p>
        </w:tc>
        <w:tc>
          <w:tcPr>
            <w:tcW w:w="1672" w:type="dxa"/>
          </w:tcPr>
          <w:p w14:paraId="06283E97" w14:textId="77777777" w:rsidR="00E25D3F" w:rsidRPr="00472330" w:rsidRDefault="00E25D3F" w:rsidP="00472330">
            <w:pPr>
              <w:ind w:left="0" w:right="0"/>
              <w:rPr>
                <w:sz w:val="20"/>
                <w:szCs w:val="20"/>
              </w:rPr>
            </w:pPr>
            <w:r w:rsidRPr="00472330">
              <w:rPr>
                <w:sz w:val="20"/>
                <w:szCs w:val="20"/>
              </w:rPr>
              <w:t>0.209</w:t>
            </w:r>
          </w:p>
        </w:tc>
        <w:tc>
          <w:tcPr>
            <w:tcW w:w="1672" w:type="dxa"/>
          </w:tcPr>
          <w:p w14:paraId="50F5E50C" w14:textId="77777777" w:rsidR="00E25D3F" w:rsidRPr="00472330" w:rsidRDefault="00E25D3F" w:rsidP="00472330">
            <w:pPr>
              <w:ind w:left="0" w:right="0"/>
              <w:rPr>
                <w:sz w:val="20"/>
                <w:szCs w:val="20"/>
              </w:rPr>
            </w:pPr>
            <w:r w:rsidRPr="00472330">
              <w:rPr>
                <w:sz w:val="20"/>
                <w:szCs w:val="20"/>
              </w:rPr>
              <w:t>0.003</w:t>
            </w:r>
          </w:p>
        </w:tc>
      </w:tr>
      <w:tr w:rsidR="00E25D3F" w:rsidRPr="00472330" w14:paraId="11BCE963" w14:textId="77777777" w:rsidTr="00472330">
        <w:trPr>
          <w:trHeight w:val="222"/>
        </w:trPr>
        <w:tc>
          <w:tcPr>
            <w:tcW w:w="1552" w:type="dxa"/>
          </w:tcPr>
          <w:p w14:paraId="10CDE0FB" w14:textId="77777777" w:rsidR="00E25D3F" w:rsidRPr="00472330" w:rsidRDefault="00E25D3F" w:rsidP="00472330">
            <w:pPr>
              <w:ind w:left="0" w:right="0"/>
              <w:rPr>
                <w:sz w:val="20"/>
                <w:szCs w:val="20"/>
              </w:rPr>
            </w:pPr>
            <w:r w:rsidRPr="00472330">
              <w:rPr>
                <w:sz w:val="20"/>
                <w:szCs w:val="20"/>
              </w:rPr>
              <w:t>Human (patients)</w:t>
            </w:r>
          </w:p>
        </w:tc>
        <w:tc>
          <w:tcPr>
            <w:tcW w:w="2069" w:type="dxa"/>
          </w:tcPr>
          <w:p w14:paraId="453CB442" w14:textId="77777777" w:rsidR="00E25D3F" w:rsidRPr="00472330" w:rsidRDefault="00E25D3F" w:rsidP="00472330">
            <w:pPr>
              <w:ind w:left="0" w:right="0"/>
              <w:rPr>
                <w:sz w:val="20"/>
                <w:szCs w:val="20"/>
              </w:rPr>
            </w:pPr>
            <w:r w:rsidRPr="00472330">
              <w:rPr>
                <w:sz w:val="20"/>
                <w:szCs w:val="20"/>
              </w:rPr>
              <w:t>steady state</w:t>
            </w:r>
          </w:p>
        </w:tc>
        <w:tc>
          <w:tcPr>
            <w:tcW w:w="1672" w:type="dxa"/>
          </w:tcPr>
          <w:p w14:paraId="44DC0EDC" w14:textId="77777777" w:rsidR="00E25D3F" w:rsidRPr="00472330" w:rsidRDefault="00E25D3F" w:rsidP="00472330">
            <w:pPr>
              <w:ind w:left="0" w:right="0"/>
              <w:rPr>
                <w:sz w:val="20"/>
                <w:szCs w:val="20"/>
              </w:rPr>
            </w:pPr>
            <w:r w:rsidRPr="00472330">
              <w:rPr>
                <w:sz w:val="20"/>
                <w:szCs w:val="20"/>
              </w:rPr>
              <w:t xml:space="preserve">[400 mg </w:t>
            </w:r>
            <w:r w:rsidR="007607D4" w:rsidRPr="00472330">
              <w:rPr>
                <w:sz w:val="20"/>
                <w:szCs w:val="20"/>
              </w:rPr>
              <w:t>BD</w:t>
            </w:r>
            <w:r w:rsidRPr="00472330">
              <w:rPr>
                <w:sz w:val="20"/>
                <w:szCs w:val="20"/>
              </w:rPr>
              <w:t>]</w:t>
            </w:r>
          </w:p>
        </w:tc>
        <w:tc>
          <w:tcPr>
            <w:tcW w:w="1672" w:type="dxa"/>
          </w:tcPr>
          <w:p w14:paraId="4932E151" w14:textId="77777777" w:rsidR="00E25D3F" w:rsidRPr="00472330" w:rsidRDefault="00E25D3F" w:rsidP="00472330">
            <w:pPr>
              <w:ind w:left="0" w:right="0"/>
              <w:rPr>
                <w:sz w:val="20"/>
                <w:szCs w:val="20"/>
              </w:rPr>
            </w:pPr>
            <w:r w:rsidRPr="00472330">
              <w:rPr>
                <w:sz w:val="20"/>
                <w:szCs w:val="20"/>
              </w:rPr>
              <w:t>80.8</w:t>
            </w:r>
          </w:p>
        </w:tc>
        <w:tc>
          <w:tcPr>
            <w:tcW w:w="1672" w:type="dxa"/>
          </w:tcPr>
          <w:p w14:paraId="3FFAC0A2" w14:textId="77777777" w:rsidR="00E25D3F" w:rsidRPr="00472330" w:rsidRDefault="00E25D3F" w:rsidP="00472330">
            <w:pPr>
              <w:ind w:left="0" w:right="0"/>
              <w:rPr>
                <w:sz w:val="20"/>
                <w:szCs w:val="20"/>
              </w:rPr>
            </w:pPr>
            <w:r w:rsidRPr="00472330">
              <w:rPr>
                <w:sz w:val="20"/>
                <w:szCs w:val="20"/>
              </w:rPr>
              <w:t>–</w:t>
            </w:r>
          </w:p>
        </w:tc>
      </w:tr>
    </w:tbl>
    <w:p w14:paraId="175228F9" w14:textId="64F5C907" w:rsidR="002A0319" w:rsidRDefault="00E25D3F" w:rsidP="00E25D3F">
      <w:pPr>
        <w:pStyle w:val="TableDescription"/>
      </w:pPr>
      <w:r w:rsidRPr="00E25D3F">
        <w:t># = animal:</w:t>
      </w:r>
      <w:r w:rsidR="00757690">
        <w:t xml:space="preserve"> </w:t>
      </w:r>
      <w:r w:rsidRPr="00E25D3F">
        <w:t>human plasma AUC</w:t>
      </w:r>
      <w:r w:rsidRPr="00472330">
        <w:rPr>
          <w:vertAlign w:val="subscript"/>
        </w:rPr>
        <w:t>0–24 h</w:t>
      </w:r>
      <w:r w:rsidRPr="00E25D3F">
        <w:t xml:space="preserve">; </w:t>
      </w:r>
      <w:r w:rsidRPr="00E25D3F">
        <w:rPr>
          <w:vertAlign w:val="superscript"/>
        </w:rPr>
        <w:t>a</w:t>
      </w:r>
      <w:r>
        <w:rPr>
          <w:vertAlign w:val="superscript"/>
        </w:rPr>
        <w:t xml:space="preserve"> </w:t>
      </w:r>
      <w:r>
        <w:t xml:space="preserve">data from 4 </w:t>
      </w:r>
      <w:r w:rsidRPr="00E25D3F">
        <w:t xml:space="preserve">week </w:t>
      </w:r>
      <w:r w:rsidR="00472330">
        <w:t>repeat dose</w:t>
      </w:r>
      <w:r w:rsidRPr="00E25D3F">
        <w:t xml:space="preserve"> toxicity study, Study 2229/037;</w:t>
      </w:r>
      <w:r w:rsidR="005D64FB">
        <w:t xml:space="preserve"> </w:t>
      </w:r>
      <w:r w:rsidRPr="00E25D3F">
        <w:rPr>
          <w:vertAlign w:val="superscript"/>
        </w:rPr>
        <w:t>b</w:t>
      </w:r>
      <w:r>
        <w:t> </w:t>
      </w:r>
      <w:r w:rsidRPr="00E25D3F">
        <w:t>data from dose-ranging study, Study 1555RR</w:t>
      </w:r>
    </w:p>
    <w:p w14:paraId="45FAA02A" w14:textId="77777777" w:rsidR="005D64FB" w:rsidRDefault="002A0319" w:rsidP="008373F3">
      <w:r w:rsidRPr="008373F3">
        <w:t>No studies have been conducted to assess placental transfer or excretion into milk of olaparib and/or its metabolites. Based on evidence of embryofetal lethality and teratogenicity in rats, which can be attributed to the pharmacological action of olaparib, it can be assumed that olaparib crosses the placenta</w:t>
      </w:r>
      <w:r w:rsidR="005D64FB">
        <w:t>.</w:t>
      </w:r>
    </w:p>
    <w:p w14:paraId="3ADF3E94" w14:textId="77777777" w:rsidR="005D64FB" w:rsidRDefault="002A0319" w:rsidP="008373F3">
      <w:r w:rsidRPr="008373F3">
        <w:t>Treated female rats had extended oestrus, but when paired with untreated males, there was no apparent effect on mating and fertility. Given the subclinical exposures in treated females, it is unknown how much weight can be placed on the negative findings</w:t>
      </w:r>
      <w:r w:rsidR="005D64FB">
        <w:t>.</w:t>
      </w:r>
    </w:p>
    <w:p w14:paraId="21708D02" w14:textId="77777777" w:rsidR="005D64FB" w:rsidRDefault="002A0319" w:rsidP="008373F3">
      <w:r w:rsidRPr="008373F3">
        <w:t xml:space="preserve">There was no effect on sperm counts, motility or progressiveness in treated male rats, and no obvious functional effects on mating and fertility when treated males were paired with untreated females. However, exposures were subclinical, and the study is unlikely to have adequately assessed the effect of olaparib on male fertility. In adult mice, PARP-2 is expressed in </w:t>
      </w:r>
      <w:proofErr w:type="spellStart"/>
      <w:r w:rsidRPr="008373F3">
        <w:t>pachytene</w:t>
      </w:r>
      <w:proofErr w:type="spellEnd"/>
      <w:r w:rsidRPr="008373F3">
        <w:t xml:space="preserve"> spermatocytes and spermatids. Male mice lacking PARP-2 had reduced sperm counts and reduced functional fertility (fewer numbers of offspring per litter). The rare mutant spermatozoa that were present were immobile and displayed a necrotic appearance</w:t>
      </w:r>
      <w:r w:rsidR="00C005AD">
        <w:t>.</w:t>
      </w:r>
      <w:r w:rsidR="00C005AD">
        <w:rPr>
          <w:rStyle w:val="FootnoteReference"/>
        </w:rPr>
        <w:footnoteReference w:id="19"/>
      </w:r>
      <w:r w:rsidRPr="008373F3">
        <w:t xml:space="preserve"> As olaparib inhibits PARP-2, these findings may be seen with pharmacological inhibition of PARP-2. Therefore, an effect on male fertility may have been seen at higher, more </w:t>
      </w:r>
      <w:r w:rsidR="00472330">
        <w:t>clinically relevant</w:t>
      </w:r>
      <w:r w:rsidRPr="008373F3">
        <w:t>, olaparib exposures</w:t>
      </w:r>
      <w:r w:rsidR="005D64FB">
        <w:t>.</w:t>
      </w:r>
    </w:p>
    <w:p w14:paraId="75DE4603" w14:textId="60D720F1" w:rsidR="005D64FB" w:rsidRDefault="002A0319" w:rsidP="008373F3">
      <w:r w:rsidRPr="008373F3">
        <w:t xml:space="preserve">When pregnant females were treated with olaparib during gestation, there was an increased incidence of intrauterine deaths. PARP-1 and PARP-2 are essential during embryogenesis and mice lacking both PARP-1 and PARP-2 were not viable, with growth arresting in the embryonic phase of </w:t>
      </w:r>
      <w:r w:rsidR="00C005AD">
        <w:t>development.</w:t>
      </w:r>
      <w:r w:rsidR="00C005AD">
        <w:rPr>
          <w:rStyle w:val="FootnoteReference"/>
        </w:rPr>
        <w:footnoteReference w:id="20"/>
      </w:r>
      <w:r w:rsidRPr="008373F3">
        <w:t xml:space="preserve"> Therefore, the intrauterine deaths are likely associated with the pharmacological action of olaparib. Olaparib treatment during the period of organogenesis led to reduced fetal weights and a higher incidence of </w:t>
      </w:r>
      <w:proofErr w:type="spellStart"/>
      <w:r w:rsidRPr="008373F3">
        <w:t>fetal</w:t>
      </w:r>
      <w:proofErr w:type="spellEnd"/>
      <w:r w:rsidRPr="008373F3">
        <w:t xml:space="preserve"> malformations (</w:t>
      </w:r>
      <w:proofErr w:type="spellStart"/>
      <w:r w:rsidRPr="008373F3">
        <w:t>anophthalmia</w:t>
      </w:r>
      <w:proofErr w:type="spellEnd"/>
      <w:r w:rsidRPr="008373F3">
        <w:t xml:space="preserve">, </w:t>
      </w:r>
      <w:proofErr w:type="spellStart"/>
      <w:r w:rsidRPr="008373F3">
        <w:t>microphthalmia</w:t>
      </w:r>
      <w:proofErr w:type="spellEnd"/>
      <w:r w:rsidRPr="008373F3">
        <w:t xml:space="preserve">; misaligned, fused, absent </w:t>
      </w:r>
      <w:proofErr w:type="spellStart"/>
      <w:r w:rsidRPr="008373F3">
        <w:t>sternebrae</w:t>
      </w:r>
      <w:proofErr w:type="spellEnd"/>
      <w:r w:rsidRPr="008373F3">
        <w:t xml:space="preserve"> </w:t>
      </w:r>
      <w:r w:rsidRPr="008373F3">
        <w:lastRenderedPageBreak/>
        <w:t>and/or vertebrae; kinked, dilated ureter) and variations (delayed ossification, increase in ossification sites, extra 14th rib; variations in the abdominal cavity including slightly dilated ureter, left sided umbilical artery and additional liver lobe). Olaparib is clastogenic and the teratogenic findings are not surprising</w:t>
      </w:r>
      <w:r w:rsidR="005D64FB">
        <w:t>.</w:t>
      </w:r>
    </w:p>
    <w:p w14:paraId="6B30DB72" w14:textId="77777777" w:rsidR="002A0319" w:rsidRPr="008373F3" w:rsidRDefault="00472330" w:rsidP="008373F3">
      <w:pPr>
        <w:pStyle w:val="Heading5"/>
        <w:rPr>
          <w:rFonts w:eastAsiaTheme="minorHAnsi"/>
        </w:rPr>
      </w:pPr>
      <w:r>
        <w:rPr>
          <w:rFonts w:eastAsiaTheme="minorHAnsi"/>
        </w:rPr>
        <w:t>Pregnancy classification</w:t>
      </w:r>
    </w:p>
    <w:p w14:paraId="4C5F9614" w14:textId="3817B822" w:rsidR="002A0319" w:rsidRPr="008373F3" w:rsidRDefault="002A0319" w:rsidP="008373F3">
      <w:r w:rsidRPr="008373F3">
        <w:t>The sponsor has proposed Pregnancy Category D</w:t>
      </w:r>
      <w:r w:rsidR="00757690">
        <w:t>.</w:t>
      </w:r>
      <w:r w:rsidR="008373F3">
        <w:rPr>
          <w:rStyle w:val="FootnoteReference"/>
        </w:rPr>
        <w:footnoteReference w:id="21"/>
      </w:r>
      <w:r w:rsidRPr="008373F3">
        <w:t xml:space="preserve"> This is considered appropriate given the malformations observed in the embryofetal development studies.</w:t>
      </w:r>
    </w:p>
    <w:p w14:paraId="0A0D6C3D" w14:textId="77777777" w:rsidR="008373F3" w:rsidRPr="008373F3" w:rsidRDefault="00472330" w:rsidP="008373F3">
      <w:pPr>
        <w:pStyle w:val="Heading4"/>
      </w:pPr>
      <w:r>
        <w:t>Immunotoxicity</w:t>
      </w:r>
    </w:p>
    <w:p w14:paraId="3FFE1403" w14:textId="77777777" w:rsidR="005D64FB" w:rsidRDefault="008373F3" w:rsidP="008373F3">
      <w:r w:rsidRPr="008373F3">
        <w:t>Bone marrow suppression and reduced circulating white blood cells were seen in olaparib-treated animals. There may be some impairment of immune responses in patients</w:t>
      </w:r>
      <w:r w:rsidR="005D64FB">
        <w:t>.</w:t>
      </w:r>
    </w:p>
    <w:p w14:paraId="1152853E" w14:textId="77777777" w:rsidR="008373F3" w:rsidRPr="008373F3" w:rsidRDefault="00472330" w:rsidP="008373F3">
      <w:pPr>
        <w:pStyle w:val="Heading4"/>
      </w:pPr>
      <w:r>
        <w:t>Phototoxicity</w:t>
      </w:r>
    </w:p>
    <w:p w14:paraId="25CE604F" w14:textId="77777777" w:rsidR="005D64FB" w:rsidRDefault="008373F3" w:rsidP="008373F3">
      <w:r w:rsidRPr="008373F3">
        <w:t xml:space="preserve">In tissue distribution studies in rats, pigmented tissues (such as skin and eyes) had some retention of olaparib and/or its metabolites, suggesting a possible concern for phototoxic reactions. Olaparib does not significantly absorb light at </w:t>
      </w:r>
      <w:r w:rsidR="00E032DB">
        <w:t xml:space="preserve">≥ </w:t>
      </w:r>
      <w:r w:rsidRPr="008373F3">
        <w:t xml:space="preserve">300 nm, suggesting a low concern for </w:t>
      </w:r>
      <w:proofErr w:type="spellStart"/>
      <w:r w:rsidRPr="008373F3">
        <w:t>photoreactivity</w:t>
      </w:r>
      <w:proofErr w:type="spellEnd"/>
      <w:r w:rsidRPr="008373F3">
        <w:t>. However, PARP-1 appears to play a role in repairing DNA in skin cells. In vitro, PARP-1 was show</w:t>
      </w:r>
      <w:r w:rsidR="00472330">
        <w:t xml:space="preserve">n to be involved in removing UV </w:t>
      </w:r>
      <w:r w:rsidRPr="008373F3">
        <w:t>induced DNA lesions in human skin fibroblasts</w:t>
      </w:r>
      <w:r w:rsidR="00C005AD">
        <w:t>.</w:t>
      </w:r>
      <w:r w:rsidR="00702114">
        <w:rPr>
          <w:rStyle w:val="FootnoteReference"/>
        </w:rPr>
        <w:footnoteReference w:id="22"/>
      </w:r>
      <w:r w:rsidRPr="008373F3">
        <w:t xml:space="preserve"> Also, mice lacking PARP-1 were more susceptible to damage due to γ-radiation</w:t>
      </w:r>
      <w:r w:rsidR="00702114">
        <w:t>.</w:t>
      </w:r>
      <w:r w:rsidR="00702114">
        <w:rPr>
          <w:rStyle w:val="FootnoteReference"/>
        </w:rPr>
        <w:footnoteReference w:id="23"/>
      </w:r>
      <w:r w:rsidRPr="008373F3">
        <w:t xml:space="preserve"> Therefore, retention of olaparib in the skin may impair the ability of cells to recover following UV exposure. Indeed, PARP-/- mice were susceptible to the spontaneous development of skin lesions (~</w:t>
      </w:r>
      <w:r w:rsidR="00702114">
        <w:t xml:space="preserve"> </w:t>
      </w:r>
      <w:r w:rsidRPr="008373F3">
        <w:t xml:space="preserve">30% of older mice developed skin lesions characterised by acanthosis, parakeratosis and </w:t>
      </w:r>
      <w:proofErr w:type="spellStart"/>
      <w:r w:rsidRPr="008373F3">
        <w:t>spongiosis</w:t>
      </w:r>
      <w:proofErr w:type="spellEnd"/>
      <w:r w:rsidRPr="008373F3">
        <w:t>), possibly due to a poorer reparative response to environmental stresses</w:t>
      </w:r>
      <w:r w:rsidR="00702114">
        <w:t>.</w:t>
      </w:r>
      <w:r w:rsidR="00702114">
        <w:rPr>
          <w:rStyle w:val="FootnoteReference"/>
        </w:rPr>
        <w:footnoteReference w:id="24"/>
      </w:r>
      <w:r w:rsidRPr="008373F3">
        <w:t xml:space="preserve"> There was no evidence of skin lesions in the submitted toxicity studies with olaparib. However, the animals were housed in relatively protected enclosures, the duration of the toxicity studies is relatively short for these effects to manifest, and exposures were extremely low. Therefore, an increased occurrence of skin lesions may be seen in patients. Precautionary warnings regarding UV exposure may be warranted</w:t>
      </w:r>
      <w:r w:rsidR="005D64FB">
        <w:t>.</w:t>
      </w:r>
    </w:p>
    <w:p w14:paraId="795186CB" w14:textId="77777777" w:rsidR="008373F3" w:rsidRPr="008373F3" w:rsidRDefault="00472330" w:rsidP="008373F3">
      <w:pPr>
        <w:pStyle w:val="Heading4"/>
      </w:pPr>
      <w:r>
        <w:t>Excipient</w:t>
      </w:r>
    </w:p>
    <w:p w14:paraId="47AD209E" w14:textId="677EBC7F" w:rsidR="002A0319" w:rsidRPr="008373F3" w:rsidRDefault="002B698E" w:rsidP="008373F3">
      <w:r>
        <w:t>Lynparza</w:t>
      </w:r>
      <w:r w:rsidR="008373F3" w:rsidRPr="008373F3">
        <w:t xml:space="preserve"> contains the excipient </w:t>
      </w:r>
      <w:proofErr w:type="spellStart"/>
      <w:r w:rsidR="008373F3" w:rsidRPr="008373F3">
        <w:t>lauroyl</w:t>
      </w:r>
      <w:proofErr w:type="spellEnd"/>
      <w:r w:rsidR="008373F3" w:rsidRPr="008373F3">
        <w:t xml:space="preserve"> macrogol-32 glycerides. While </w:t>
      </w:r>
      <w:proofErr w:type="spellStart"/>
      <w:r w:rsidR="008373F3" w:rsidRPr="008373F3">
        <w:t>lauroyl</w:t>
      </w:r>
      <w:proofErr w:type="spellEnd"/>
      <w:r w:rsidR="008373F3" w:rsidRPr="008373F3">
        <w:t xml:space="preserve"> macrogol-32 </w:t>
      </w:r>
      <w:proofErr w:type="gramStart"/>
      <w:r w:rsidR="008373F3" w:rsidRPr="008373F3">
        <w:t>glycerides is</w:t>
      </w:r>
      <w:proofErr w:type="gramEnd"/>
      <w:r w:rsidR="008373F3" w:rsidRPr="008373F3">
        <w:t xml:space="preserve"> not a novel excipient, the daily dose of this excipient with </w:t>
      </w:r>
      <w:r>
        <w:t>Lynparza</w:t>
      </w:r>
      <w:r w:rsidR="00472330">
        <w:t xml:space="preserve"> </w:t>
      </w:r>
      <w:r w:rsidR="008373F3" w:rsidRPr="008373F3">
        <w:t xml:space="preserve">exceeds the level achieved with other products. No data assessing the toxicity of </w:t>
      </w:r>
      <w:proofErr w:type="spellStart"/>
      <w:r w:rsidR="008373F3" w:rsidRPr="008373F3">
        <w:t>lauroyl</w:t>
      </w:r>
      <w:proofErr w:type="spellEnd"/>
      <w:r w:rsidR="008373F3" w:rsidRPr="008373F3">
        <w:t xml:space="preserve"> macrogol-32 glycerides were submitted for this evaluation; however, the toxicity of this excipient has been assessed previously by the TGA. The daily intake of </w:t>
      </w:r>
      <w:proofErr w:type="spellStart"/>
      <w:r w:rsidR="008373F3" w:rsidRPr="008373F3">
        <w:t>lauroyl</w:t>
      </w:r>
      <w:proofErr w:type="spellEnd"/>
      <w:r w:rsidR="008373F3" w:rsidRPr="008373F3">
        <w:t xml:space="preserve"> macrogol-32 glycerides from </w:t>
      </w:r>
      <w:r>
        <w:t>Lynparza</w:t>
      </w:r>
      <w:r w:rsidR="008373F3" w:rsidRPr="008373F3">
        <w:t xml:space="preserve"> when taken as directed (according to the draft </w:t>
      </w:r>
      <w:r w:rsidR="00757690">
        <w:t>PI</w:t>
      </w:r>
      <w:r w:rsidR="008373F3" w:rsidRPr="008373F3">
        <w:t xml:space="preserve"> document), is considered acceptable from a toxicological perspective.</w:t>
      </w:r>
    </w:p>
    <w:p w14:paraId="57C92570" w14:textId="17D8E541" w:rsidR="008373F3" w:rsidRPr="008373F3" w:rsidRDefault="00472330" w:rsidP="008373F3">
      <w:pPr>
        <w:pStyle w:val="Heading4"/>
      </w:pPr>
      <w:r>
        <w:lastRenderedPageBreak/>
        <w:t>Impurities</w:t>
      </w:r>
    </w:p>
    <w:p w14:paraId="5AAE23EF" w14:textId="397D1B79" w:rsidR="005D64FB" w:rsidRDefault="008373F3" w:rsidP="008373F3">
      <w:r w:rsidRPr="008373F3">
        <w:t>One impurity in the drug substance and one degradant in the drug product specifications have been specified at levels above the qualification thresholds in the relevant ICH guidelines. The proposed limit for the impurity (but not the degradant) has been adequately qualified in the submitted toxicity studies. Control of the degradant to ICH qualification thresholds may be warranted</w:t>
      </w:r>
      <w:r w:rsidR="005D64FB">
        <w:t>.</w:t>
      </w:r>
    </w:p>
    <w:p w14:paraId="65A57764" w14:textId="77777777" w:rsidR="008373F3" w:rsidRPr="008373F3" w:rsidRDefault="00472330" w:rsidP="008373F3">
      <w:pPr>
        <w:pStyle w:val="Heading4"/>
      </w:pPr>
      <w:r>
        <w:t>Paediatric use</w:t>
      </w:r>
    </w:p>
    <w:p w14:paraId="17E222EE" w14:textId="77777777" w:rsidR="005D64FB" w:rsidRDefault="008373F3" w:rsidP="008373F3">
      <w:r w:rsidRPr="008373F3">
        <w:t>Olaparib is not proposed for paediatric use and no specific studies in juvenile animals were submitted</w:t>
      </w:r>
      <w:r w:rsidR="005D64FB">
        <w:t>.</w:t>
      </w:r>
    </w:p>
    <w:p w14:paraId="5962B1A4" w14:textId="0991027E" w:rsidR="008373F3" w:rsidRPr="008373F3" w:rsidRDefault="008373F3" w:rsidP="008373F3">
      <w:pPr>
        <w:pStyle w:val="Heading4"/>
      </w:pPr>
      <w:r w:rsidRPr="008373F3">
        <w:t xml:space="preserve">Comments on the </w:t>
      </w:r>
      <w:r w:rsidR="00541721" w:rsidRPr="008373F3">
        <w:t>safety specificat</w:t>
      </w:r>
      <w:r w:rsidR="00541721">
        <w:t>ion of the risk management plan</w:t>
      </w:r>
    </w:p>
    <w:p w14:paraId="3A45CEB9" w14:textId="7DF005D1" w:rsidR="008373F3" w:rsidRDefault="008373F3" w:rsidP="00C9747E">
      <w:r w:rsidRPr="008373F3">
        <w:t>Results and conclusions drawn from the nonclinical program for olaparib detailed in the sponsor’s draft Risk Management Plan</w:t>
      </w:r>
      <w:r w:rsidR="00D81FEC">
        <w:t xml:space="preserve"> </w:t>
      </w:r>
      <w:r w:rsidR="00472330">
        <w:t>(RMP)</w:t>
      </w:r>
      <w:r w:rsidRPr="008373F3">
        <w:t xml:space="preserve"> are in general concordance with those of the </w:t>
      </w:r>
      <w:r w:rsidR="00472330">
        <w:t>nonclinical e</w:t>
      </w:r>
      <w:r w:rsidRPr="008373F3">
        <w:t>valuator.</w:t>
      </w:r>
    </w:p>
    <w:p w14:paraId="2318697F" w14:textId="77777777" w:rsidR="008E7846" w:rsidRDefault="008E7846" w:rsidP="008E7846">
      <w:pPr>
        <w:pStyle w:val="Heading3"/>
      </w:pPr>
      <w:bookmarkStart w:id="63" w:name="_Toc247691515"/>
      <w:bookmarkStart w:id="64" w:name="_Toc314842499"/>
      <w:bookmarkStart w:id="65" w:name="_Toc8053817"/>
      <w:r>
        <w:t>Nonclinical summary and conclusions</w:t>
      </w:r>
      <w:bookmarkEnd w:id="63"/>
      <w:bookmarkEnd w:id="64"/>
      <w:bookmarkEnd w:id="65"/>
    </w:p>
    <w:p w14:paraId="7A940241" w14:textId="77777777" w:rsidR="00806575" w:rsidRPr="00806575" w:rsidRDefault="00806575" w:rsidP="00806575">
      <w:pPr>
        <w:pStyle w:val="Heading4"/>
      </w:pPr>
      <w:r w:rsidRPr="00806575">
        <w:t>S</w:t>
      </w:r>
      <w:r>
        <w:t>ummary</w:t>
      </w:r>
    </w:p>
    <w:p w14:paraId="1B275EA4" w14:textId="77777777" w:rsidR="005D64FB" w:rsidRDefault="00806575" w:rsidP="00806575">
      <w:pPr>
        <w:pStyle w:val="ListBullet"/>
      </w:pPr>
      <w:r w:rsidRPr="00806575">
        <w:t>The overall quality of the dossier was reasonable with all pivotal safety studies conducted under GLP conditions. The major limitation of the submitted toxicity studies is that exposures were extremely low, generally subclinical. Therefore, the full toxicity profile of olaparib is unlikely to have been revealed in the submitted dossier</w:t>
      </w:r>
      <w:r w:rsidR="005D64FB">
        <w:t>.</w:t>
      </w:r>
    </w:p>
    <w:p w14:paraId="50668A20" w14:textId="77777777" w:rsidR="005D64FB" w:rsidRDefault="00806575" w:rsidP="00806575">
      <w:pPr>
        <w:pStyle w:val="ListBullet"/>
      </w:pPr>
      <w:r w:rsidRPr="00806575">
        <w:t>Olaparib belongs to a novel pharmacological class (PARP inhibitor). In vitro, olaparib inhibited PARP-1, PARP-2 and PARP-3 enzyme activity with nanomolar potency. Olaparib inhibited the growth of a variety of cell lines with BRCA1/2 mutations or low expression of recombination repair genes/proteins. The anti-tumour efficacy of olaparib was demonstrated in mouse xenograft/allograft BRCA-deficient models. The combination of olaparib with platinum drugs increased animal survival and delayed tumour relapse</w:t>
      </w:r>
      <w:r w:rsidR="005D64FB">
        <w:t>.</w:t>
      </w:r>
    </w:p>
    <w:p w14:paraId="08CDD195" w14:textId="77777777" w:rsidR="00806575" w:rsidRPr="00806575" w:rsidRDefault="00806575" w:rsidP="00806575">
      <w:pPr>
        <w:pStyle w:val="ListBullet"/>
      </w:pPr>
      <w:r w:rsidRPr="00806575">
        <w:t xml:space="preserve">Resistance to olaparib treatment was observed in both in vitro and in vivo studies and was associated with an increased expression of P-glycoprotein or BCRP. This is unlikely to confer </w:t>
      </w:r>
      <w:r w:rsidR="007607D4">
        <w:t>cross resistance</w:t>
      </w:r>
      <w:r w:rsidRPr="00806575">
        <w:t xml:space="preserve"> to </w:t>
      </w:r>
      <w:r w:rsidR="007607D4">
        <w:t>platinum based</w:t>
      </w:r>
      <w:r w:rsidRPr="00806575">
        <w:t xml:space="preserve"> therapies </w:t>
      </w:r>
    </w:p>
    <w:p w14:paraId="5AEE0071" w14:textId="77777777" w:rsidR="005D64FB" w:rsidRDefault="00806575" w:rsidP="00806575">
      <w:pPr>
        <w:pStyle w:val="ListBullet"/>
      </w:pPr>
      <w:r w:rsidRPr="00806575">
        <w:t>Some inhibitory activity on tankyrase-1 and other PARP family members may occur in patients. The effects of this are unknown. Based on a comprehensive screen against several receptors, ion channels and transporters, no other off-target effects are expected with the proposed clinical use of olaparib</w:t>
      </w:r>
      <w:r w:rsidR="005D64FB">
        <w:t>.</w:t>
      </w:r>
    </w:p>
    <w:p w14:paraId="7793DB8B" w14:textId="77777777" w:rsidR="005D64FB" w:rsidRDefault="00806575" w:rsidP="00806575">
      <w:pPr>
        <w:pStyle w:val="ListBullet"/>
      </w:pPr>
      <w:r w:rsidRPr="00806575">
        <w:t xml:space="preserve">CNS function in rats and respiratory function in dogs were unaffected by treatment. No </w:t>
      </w:r>
      <w:r w:rsidR="008C6418">
        <w:t>electrocardiogram</w:t>
      </w:r>
      <w:r w:rsidR="008C6418" w:rsidRPr="00806575">
        <w:t xml:space="preserve"> </w:t>
      </w:r>
      <w:r w:rsidR="008C6418">
        <w:t>(</w:t>
      </w:r>
      <w:r w:rsidRPr="00806575">
        <w:t>ECG</w:t>
      </w:r>
      <w:r w:rsidR="008C6418">
        <w:t>)</w:t>
      </w:r>
      <w:r w:rsidRPr="00806575">
        <w:t xml:space="preserve"> abnormalities were seen in the latter species. Olaparib had no effect on hERG K+ tail current at high concentrations suggesting a low potential for QT prolongation</w:t>
      </w:r>
      <w:r w:rsidR="005D64FB">
        <w:t>.</w:t>
      </w:r>
    </w:p>
    <w:p w14:paraId="7E5A644B" w14:textId="29A6F127" w:rsidR="005D64FB" w:rsidRDefault="00806575" w:rsidP="00806575">
      <w:pPr>
        <w:pStyle w:val="ListBullet"/>
      </w:pPr>
      <w:r w:rsidRPr="00806575">
        <w:t xml:space="preserve">Absorption by the oral route in mice, rats, dogs and humans was rapid and bioavailability in animals was variable, depending on formulation. Exposures were higher in female rats </w:t>
      </w:r>
      <w:r w:rsidR="00E032DB">
        <w:t>compared with</w:t>
      </w:r>
      <w:r w:rsidRPr="00806575">
        <w:t xml:space="preserve"> their male counterparts. No sex differences were seen in other animal species. The extent of protein binding in all species was moderate in mice, rats and dogs and higher in human plasma. A concentration-dependence was only seen in dog and human plasma. Unchanged olaparib was by far the dominant circulating species in humans and laboratory animals. There were no significant </w:t>
      </w:r>
      <w:r w:rsidRPr="00806575">
        <w:lastRenderedPageBreak/>
        <w:t xml:space="preserve">human-specific metabolites. </w:t>
      </w:r>
      <w:r w:rsidRPr="00CC3CF8">
        <w:rPr>
          <w:i/>
        </w:rPr>
        <w:t>In vitro</w:t>
      </w:r>
      <w:r w:rsidRPr="00806575">
        <w:t xml:space="preserve"> studies indicated a major role for CYP3A4/5 with a very minor role of CYP1A1 in the formation of metabolites. Excretion of olaparib and/or its metabolites was predominantly via the faeces in rats and dogs, while drug-related material was excreted significantly in both the urine and faeces in human subjects. Biliary excretion was demonstrated in rats</w:t>
      </w:r>
      <w:r w:rsidR="005D64FB">
        <w:t>.</w:t>
      </w:r>
    </w:p>
    <w:p w14:paraId="6CC69ABD" w14:textId="77777777" w:rsidR="005D64FB" w:rsidRDefault="00806575" w:rsidP="00806575">
      <w:pPr>
        <w:pStyle w:val="ListBullet"/>
      </w:pPr>
      <w:r w:rsidRPr="00806575">
        <w:t>Inducers/inhibitors of CYP3A or P-glycoprotein may alter olaparib exposures. Olaparib may alter the exposures of co-administered drugs that are substrates of CYP3A (in the intestine), P-glycoprotein (in the intestine), BCRP (in the intestine), OATP1B1, OAT3, OCT2, MATE1 and MATE2K</w:t>
      </w:r>
      <w:r w:rsidR="005D64FB">
        <w:t>.</w:t>
      </w:r>
    </w:p>
    <w:p w14:paraId="1A2B2A7E" w14:textId="77777777" w:rsidR="005D64FB" w:rsidRDefault="00CC3CF8" w:rsidP="00806575">
      <w:pPr>
        <w:pStyle w:val="ListBullet"/>
      </w:pPr>
      <w:r>
        <w:t xml:space="preserve">Single </w:t>
      </w:r>
      <w:r w:rsidR="00806575" w:rsidRPr="00806575">
        <w:t>dose toxicity studies in mice and rats indicated a</w:t>
      </w:r>
      <w:r w:rsidR="00806575">
        <w:t xml:space="preserve"> high order of acute toxicity</w:t>
      </w:r>
      <w:r w:rsidR="005D64FB">
        <w:t>.</w:t>
      </w:r>
    </w:p>
    <w:p w14:paraId="0509D18F" w14:textId="28792099" w:rsidR="005D64FB" w:rsidRDefault="00CC3CF8" w:rsidP="00806575">
      <w:pPr>
        <w:pStyle w:val="ListBullet"/>
      </w:pPr>
      <w:r>
        <w:t xml:space="preserve">Repeat </w:t>
      </w:r>
      <w:r w:rsidR="00806575" w:rsidRPr="00806575">
        <w:t xml:space="preserve">dose toxicity studies were conducted in rats and dogs (up to 26 weeks) using the oral route. The clinical dosing regimen (twice daily) was not employed in any of the studies (once daily dosing was used in all studies) and exposures to olaparib were subclinical in the pivotal studies. The main target for toxicity in both species was the haematopoietic system (including the bone marrow </w:t>
      </w:r>
      <w:r w:rsidR="00757690">
        <w:t>(</w:t>
      </w:r>
      <w:r w:rsidR="00806575" w:rsidRPr="00806575">
        <w:t>myelosuppression and effects on erythroid differentiation</w:t>
      </w:r>
      <w:r w:rsidR="00757690">
        <w:t>)</w:t>
      </w:r>
      <w:r w:rsidR="00757690" w:rsidRPr="00806575">
        <w:t xml:space="preserve">, </w:t>
      </w:r>
      <w:r w:rsidR="00806575" w:rsidRPr="00806575">
        <w:t xml:space="preserve">spleen and thymus </w:t>
      </w:r>
      <w:r w:rsidR="00757690">
        <w:t>(</w:t>
      </w:r>
      <w:r w:rsidR="00806575" w:rsidRPr="00806575">
        <w:t>secondary to reductions in circulating blood cells</w:t>
      </w:r>
      <w:r w:rsidR="00757690">
        <w:t>)</w:t>
      </w:r>
      <w:r w:rsidR="00757690" w:rsidRPr="00806575">
        <w:t xml:space="preserve">). </w:t>
      </w:r>
      <w:r w:rsidR="00806575" w:rsidRPr="00806575">
        <w:t>All effects were reversible or showed a trend to reversion</w:t>
      </w:r>
      <w:r w:rsidR="005D64FB">
        <w:t>.</w:t>
      </w:r>
    </w:p>
    <w:p w14:paraId="64B90DC0" w14:textId="77777777" w:rsidR="005D64FB" w:rsidRDefault="00806575" w:rsidP="00806575">
      <w:pPr>
        <w:pStyle w:val="ListBullet"/>
      </w:pPr>
      <w:r w:rsidRPr="00806575">
        <w:t xml:space="preserve">Olaparib was not mutagenic in an Ames test but was clastogenic </w:t>
      </w:r>
      <w:r w:rsidRPr="00F12C72">
        <w:t>in vitro</w:t>
      </w:r>
      <w:r w:rsidRPr="00806575">
        <w:t xml:space="preserve"> (in CHO cells) and </w:t>
      </w:r>
      <w:r w:rsidRPr="00F12C72">
        <w:t>in vivo</w:t>
      </w:r>
      <w:r w:rsidRPr="00806575">
        <w:t xml:space="preserve"> (rat micronucleus test). No carcinogenicity studies were conducted, which is considered acceptable</w:t>
      </w:r>
      <w:r w:rsidR="005D64FB">
        <w:t>.</w:t>
      </w:r>
    </w:p>
    <w:p w14:paraId="2A515E6F" w14:textId="77777777" w:rsidR="005D64FB" w:rsidRDefault="00806575" w:rsidP="00806575">
      <w:pPr>
        <w:pStyle w:val="ListBullet"/>
      </w:pPr>
      <w:r w:rsidRPr="00806575">
        <w:t xml:space="preserve">Reproductive toxicity studies with olaparib examined effects on fertility (male and female) and embryofetal development toxicity in rats. Functional fertility was unaffected in treated male and female rats, despite extended oestrus observed in treated females. Exposures were subclinical; therefore little weight can be placed on the negative findings. </w:t>
      </w:r>
      <w:proofErr w:type="spellStart"/>
      <w:r w:rsidRPr="00806575">
        <w:t>Olaparib</w:t>
      </w:r>
      <w:proofErr w:type="spellEnd"/>
      <w:r w:rsidRPr="00806575">
        <w:t xml:space="preserve"> was </w:t>
      </w:r>
      <w:proofErr w:type="spellStart"/>
      <w:r w:rsidRPr="00806575">
        <w:t>embryofetal</w:t>
      </w:r>
      <w:proofErr w:type="spellEnd"/>
      <w:r w:rsidRPr="00806575">
        <w:t xml:space="preserve"> lethal, </w:t>
      </w:r>
      <w:proofErr w:type="spellStart"/>
      <w:r w:rsidRPr="00806575">
        <w:t>embryofetotoxic</w:t>
      </w:r>
      <w:proofErr w:type="spellEnd"/>
      <w:r w:rsidRPr="00806575">
        <w:t xml:space="preserve"> and teratogenic in rats at subclinical exposures</w:t>
      </w:r>
      <w:r w:rsidR="005D64FB">
        <w:t>.</w:t>
      </w:r>
    </w:p>
    <w:p w14:paraId="0EA0A071" w14:textId="77777777" w:rsidR="005D64FB" w:rsidRDefault="00806575" w:rsidP="00806575">
      <w:pPr>
        <w:pStyle w:val="ListBullet"/>
      </w:pPr>
      <w:r w:rsidRPr="00806575">
        <w:t>In tissue distribution studies, there was some retention of olaparib in pigmented skin. Mice lacking PARP were susceptible to the spontaneous development of skin lesions, possibly due to a poorer reparative response to environmental stresses</w:t>
      </w:r>
      <w:r w:rsidR="005D64FB">
        <w:t>.</w:t>
      </w:r>
    </w:p>
    <w:p w14:paraId="4337D9E7" w14:textId="77777777" w:rsidR="005D64FB" w:rsidRDefault="00806575" w:rsidP="00806575">
      <w:pPr>
        <w:pStyle w:val="ListBullet"/>
      </w:pPr>
      <w:r w:rsidRPr="00806575">
        <w:t xml:space="preserve">The daily intake of </w:t>
      </w:r>
      <w:proofErr w:type="spellStart"/>
      <w:r w:rsidRPr="00806575">
        <w:t>lauroyl</w:t>
      </w:r>
      <w:proofErr w:type="spellEnd"/>
      <w:r w:rsidRPr="00806575">
        <w:t xml:space="preserve"> macrogol-32 glycerides from </w:t>
      </w:r>
      <w:r w:rsidR="002B698E">
        <w:t>Lynparza</w:t>
      </w:r>
      <w:r w:rsidRPr="00806575">
        <w:t xml:space="preserve"> when taken as directed is considered acceptable from a toxicological perspective</w:t>
      </w:r>
      <w:r w:rsidR="005D64FB">
        <w:t>.</w:t>
      </w:r>
    </w:p>
    <w:p w14:paraId="50AF5E5D" w14:textId="77777777" w:rsidR="00806575" w:rsidRDefault="00806575" w:rsidP="00806575">
      <w:pPr>
        <w:pStyle w:val="ListBullet"/>
      </w:pPr>
      <w:r w:rsidRPr="00806575">
        <w:t>The proposed shelf-life limit for a degradant in the drug product has</w:t>
      </w:r>
      <w:r>
        <w:t xml:space="preserve"> not been adequately qualified.</w:t>
      </w:r>
    </w:p>
    <w:p w14:paraId="72C401C1" w14:textId="77777777" w:rsidR="00806575" w:rsidRPr="00806575" w:rsidRDefault="00CC3CF8" w:rsidP="00806575">
      <w:pPr>
        <w:pStyle w:val="Heading4"/>
      </w:pPr>
      <w:r>
        <w:t>Conclusions and recommendation</w:t>
      </w:r>
    </w:p>
    <w:p w14:paraId="64843F80" w14:textId="77777777" w:rsidR="005D64FB" w:rsidRDefault="00806575" w:rsidP="00806575">
      <w:pPr>
        <w:pStyle w:val="ListBullet"/>
      </w:pPr>
      <w:r w:rsidRPr="00806575">
        <w:t>The pharmacology studies support the use of olaparib to treat tumours with a mutated BRCA background</w:t>
      </w:r>
      <w:r w:rsidR="005D64FB">
        <w:t>.</w:t>
      </w:r>
    </w:p>
    <w:p w14:paraId="4084EB0A" w14:textId="77777777" w:rsidR="00806575" w:rsidRDefault="00806575" w:rsidP="00806575">
      <w:pPr>
        <w:pStyle w:val="ListBullet"/>
      </w:pPr>
      <w:r w:rsidRPr="00806575">
        <w:t>The combined animal safety studies revealed the following findings o</w:t>
      </w:r>
      <w:r w:rsidR="00CC3CF8">
        <w:t>f potential clinical relevance:</w:t>
      </w:r>
    </w:p>
    <w:p w14:paraId="4639BACB" w14:textId="77777777" w:rsidR="00806575" w:rsidRPr="00806575" w:rsidRDefault="00806575" w:rsidP="00806575">
      <w:pPr>
        <w:pStyle w:val="ListBullet2"/>
      </w:pPr>
      <w:r w:rsidRPr="00806575">
        <w:t xml:space="preserve">resistance development as a result of over-expression of transporters </w:t>
      </w:r>
      <w:r w:rsidR="00CC3CF8">
        <w:t>such as P-glycoprotein and BCRP</w:t>
      </w:r>
    </w:p>
    <w:p w14:paraId="2FBFE79F" w14:textId="77777777" w:rsidR="00806575" w:rsidRPr="00806575" w:rsidRDefault="00806575" w:rsidP="00806575">
      <w:pPr>
        <w:pStyle w:val="ListBullet2"/>
      </w:pPr>
      <w:r w:rsidRPr="00806575">
        <w:t>myelosuppression and haematological toxicity (includi</w:t>
      </w:r>
      <w:r w:rsidR="00CC3CF8">
        <w:t>ng anaemia and lymphopaenia)</w:t>
      </w:r>
    </w:p>
    <w:p w14:paraId="70258B7C" w14:textId="77777777" w:rsidR="00806575" w:rsidRPr="00806575" w:rsidRDefault="00806575" w:rsidP="00806575">
      <w:pPr>
        <w:pStyle w:val="ListBullet2"/>
      </w:pPr>
      <w:r w:rsidRPr="00806575">
        <w:t>diminished immune reactions and opportunistic infections as a r</w:t>
      </w:r>
      <w:r w:rsidR="00CC3CF8">
        <w:t>esult of effects on blood cells</w:t>
      </w:r>
    </w:p>
    <w:p w14:paraId="6B65143F" w14:textId="77777777" w:rsidR="00806575" w:rsidRPr="00806575" w:rsidRDefault="00806575" w:rsidP="00806575">
      <w:pPr>
        <w:pStyle w:val="ListBullet2"/>
      </w:pPr>
      <w:r w:rsidRPr="00806575">
        <w:t>the development of additional malignancies as a result of the genot</w:t>
      </w:r>
      <w:r w:rsidR="00CC3CF8">
        <w:t>oxic properties of the compound</w:t>
      </w:r>
    </w:p>
    <w:p w14:paraId="1FC6AD00" w14:textId="77777777" w:rsidR="00806575" w:rsidRPr="00806575" w:rsidRDefault="00806575" w:rsidP="00806575">
      <w:pPr>
        <w:pStyle w:val="ListBullet2"/>
      </w:pPr>
      <w:r w:rsidRPr="00806575">
        <w:lastRenderedPageBreak/>
        <w:t>embryofetal toxicity and letha</w:t>
      </w:r>
      <w:r w:rsidR="00CC3CF8">
        <w:t>lity</w:t>
      </w:r>
    </w:p>
    <w:p w14:paraId="23E79312" w14:textId="5F83CA9D" w:rsidR="00806575" w:rsidRPr="00806575" w:rsidRDefault="00806575" w:rsidP="00806575">
      <w:pPr>
        <w:pStyle w:val="ListBullet2"/>
      </w:pPr>
      <w:proofErr w:type="gramStart"/>
      <w:r w:rsidRPr="00806575">
        <w:t>spontaneous</w:t>
      </w:r>
      <w:proofErr w:type="gramEnd"/>
      <w:r w:rsidRPr="00806575">
        <w:t xml:space="preserve"> skin lesions as a result of</w:t>
      </w:r>
      <w:r w:rsidR="00CC3CF8">
        <w:t xml:space="preserve"> a diminished DNA repair system</w:t>
      </w:r>
      <w:r w:rsidR="00757690">
        <w:t>.</w:t>
      </w:r>
    </w:p>
    <w:p w14:paraId="0601EA9E" w14:textId="77777777" w:rsidR="005D64FB" w:rsidRDefault="00806575" w:rsidP="00806575">
      <w:r w:rsidRPr="00806575">
        <w:t xml:space="preserve">There are no objections on nonclinical grounds to the proposed registration of </w:t>
      </w:r>
      <w:r w:rsidR="002B698E">
        <w:t>Lynparza</w:t>
      </w:r>
      <w:r w:rsidR="005D64FB">
        <w:t>.</w:t>
      </w:r>
    </w:p>
    <w:p w14:paraId="1292510B" w14:textId="77777777" w:rsidR="005D64FB" w:rsidRDefault="00806575" w:rsidP="00806575">
      <w:r w:rsidRPr="00806575">
        <w:t xml:space="preserve">The </w:t>
      </w:r>
      <w:r w:rsidR="00CC3CF8">
        <w:t xml:space="preserve">nonclinical evaluator also made comments related to the </w:t>
      </w:r>
      <w:r w:rsidRPr="00806575">
        <w:t xml:space="preserve">draft </w:t>
      </w:r>
      <w:r w:rsidR="00CC3CF8">
        <w:t>PI but these are beyond the scope of the AusPAR.</w:t>
      </w:r>
    </w:p>
    <w:p w14:paraId="123BDBD4" w14:textId="77777777" w:rsidR="008E7846" w:rsidRPr="00254787" w:rsidRDefault="008E7846" w:rsidP="008E7846">
      <w:pPr>
        <w:pStyle w:val="Heading2"/>
      </w:pPr>
      <w:bookmarkStart w:id="66" w:name="_Toc196046462"/>
      <w:bookmarkStart w:id="67" w:name="_Toc247691516"/>
      <w:bookmarkStart w:id="68" w:name="_Toc314842500"/>
      <w:bookmarkStart w:id="69" w:name="_Toc8053818"/>
      <w:bookmarkStart w:id="70" w:name="_Toc163441353"/>
      <w:bookmarkStart w:id="71" w:name="_Toc163441348"/>
      <w:r>
        <w:t xml:space="preserve">V. </w:t>
      </w:r>
      <w:r w:rsidRPr="00254787">
        <w:t>Clinical</w:t>
      </w:r>
      <w:bookmarkEnd w:id="66"/>
      <w:r>
        <w:t xml:space="preserve"> </w:t>
      </w:r>
      <w:r w:rsidR="003A7F6C">
        <w:t>f</w:t>
      </w:r>
      <w:r>
        <w:t>indings</w:t>
      </w:r>
      <w:bookmarkEnd w:id="67"/>
      <w:bookmarkEnd w:id="68"/>
      <w:bookmarkEnd w:id="69"/>
    </w:p>
    <w:p w14:paraId="1D6D1CC6" w14:textId="77777777" w:rsidR="00C80137" w:rsidRDefault="00C80137" w:rsidP="00D425BB">
      <w:bookmarkStart w:id="72" w:name="_Toc196046463"/>
      <w:r>
        <w:t xml:space="preserve">A summary of the </w:t>
      </w:r>
      <w:r w:rsidRPr="00FD70B8">
        <w:t>clinical finding</w:t>
      </w:r>
      <w:r w:rsidR="00996E08">
        <w:t>s is presented in this section.</w:t>
      </w:r>
    </w:p>
    <w:p w14:paraId="7DF599B7" w14:textId="77777777" w:rsidR="008E7846" w:rsidRDefault="008E7846" w:rsidP="008E7846">
      <w:pPr>
        <w:pStyle w:val="Heading3"/>
      </w:pPr>
      <w:bookmarkStart w:id="73" w:name="_Toc247691517"/>
      <w:bookmarkStart w:id="74" w:name="_Toc314842501"/>
      <w:bookmarkStart w:id="75" w:name="_Toc8053819"/>
      <w:r w:rsidRPr="00254787">
        <w:t>Introduction</w:t>
      </w:r>
      <w:bookmarkEnd w:id="72"/>
      <w:bookmarkEnd w:id="73"/>
      <w:bookmarkEnd w:id="74"/>
      <w:bookmarkEnd w:id="75"/>
    </w:p>
    <w:p w14:paraId="5216EDC0" w14:textId="77777777" w:rsidR="00012622" w:rsidRPr="00012622" w:rsidRDefault="00012622" w:rsidP="00012622">
      <w:r w:rsidRPr="00012622">
        <w:t>Olaparib is a new che</w:t>
      </w:r>
      <w:r w:rsidR="005D43E1">
        <w:t>mical entity. It is a potent PARP</w:t>
      </w:r>
      <w:r w:rsidRPr="00012622">
        <w:t xml:space="preserve"> inhibitor (PARP-1, -2 and -3).</w:t>
      </w:r>
    </w:p>
    <w:p w14:paraId="54ABCAB9" w14:textId="77777777" w:rsidR="00012622" w:rsidRPr="00012622" w:rsidRDefault="00012622" w:rsidP="00012622">
      <w:r w:rsidRPr="00012622">
        <w:t>The proposed indication is:</w:t>
      </w:r>
    </w:p>
    <w:p w14:paraId="5D8CEB3B" w14:textId="77777777" w:rsidR="00012622" w:rsidRDefault="00012622" w:rsidP="00012622">
      <w:pPr>
        <w:ind w:left="720"/>
        <w:rPr>
          <w:i/>
        </w:rPr>
      </w:pPr>
      <w:r w:rsidRPr="00875AB5">
        <w:rPr>
          <w:i/>
        </w:rPr>
        <w:t xml:space="preserve">Olaparib capsules are indicated as monotherapy for the maintenance treatment of adult patients with </w:t>
      </w:r>
      <w:r>
        <w:rPr>
          <w:i/>
        </w:rPr>
        <w:t>platinum sensitive</w:t>
      </w:r>
      <w:r w:rsidRPr="00875AB5">
        <w:rPr>
          <w:i/>
        </w:rPr>
        <w:t xml:space="preserve"> relapsed BRCA-mutated high grade serous ovarian cancer (including fallopian tube or primary peritoneal) who are in response (complete response or partial response) </w:t>
      </w:r>
      <w:r>
        <w:rPr>
          <w:i/>
        </w:rPr>
        <w:t>to platinum based chemotherapy.</w:t>
      </w:r>
    </w:p>
    <w:p w14:paraId="02290FFA" w14:textId="77777777" w:rsidR="00012622" w:rsidRPr="00875AB5" w:rsidRDefault="00012622" w:rsidP="00012622">
      <w:pPr>
        <w:pStyle w:val="Heading4"/>
      </w:pPr>
      <w:bookmarkStart w:id="76" w:name="_Toc272414598"/>
      <w:bookmarkStart w:id="77" w:name="_Toc290888446"/>
      <w:bookmarkStart w:id="78" w:name="_Toc297900903"/>
      <w:bookmarkStart w:id="79" w:name="_Toc522177129"/>
      <w:r w:rsidRPr="00875AB5">
        <w:t>Dosage and administration</w:t>
      </w:r>
      <w:bookmarkEnd w:id="76"/>
      <w:bookmarkEnd w:id="77"/>
      <w:bookmarkEnd w:id="78"/>
      <w:bookmarkEnd w:id="79"/>
    </w:p>
    <w:p w14:paraId="7C569F9E" w14:textId="77777777" w:rsidR="00012622" w:rsidRPr="00875AB5" w:rsidRDefault="00012622" w:rsidP="00012622">
      <w:r w:rsidRPr="00875AB5">
        <w:t xml:space="preserve">The dose and administration as set out in the proposed </w:t>
      </w:r>
      <w:r w:rsidR="005D43E1">
        <w:t>PI</w:t>
      </w:r>
      <w:r w:rsidRPr="00875AB5">
        <w:t xml:space="preserve"> is:</w:t>
      </w:r>
    </w:p>
    <w:p w14:paraId="22365A47" w14:textId="77777777" w:rsidR="00012622" w:rsidRPr="00875AB5" w:rsidRDefault="00012622" w:rsidP="00012622">
      <w:pPr>
        <w:ind w:left="720"/>
      </w:pPr>
      <w:r w:rsidRPr="00875AB5">
        <w:t xml:space="preserve">The recommended dose of </w:t>
      </w:r>
      <w:r w:rsidR="002B698E">
        <w:t>Lynparza</w:t>
      </w:r>
      <w:r w:rsidRPr="00875AB5">
        <w:t xml:space="preserve"> is 400 mg (eight 50 mg capsules) taken twice daily, equivalent to a total daily dose of 800 mg.</w:t>
      </w:r>
      <w:r>
        <w:t xml:space="preserve"> </w:t>
      </w:r>
      <w:r w:rsidR="002B698E">
        <w:t>Lynparza</w:t>
      </w:r>
      <w:r w:rsidRPr="00875AB5">
        <w:t xml:space="preserve"> should be taken on an empty stomach (at least 1 hour after a meal). Once </w:t>
      </w:r>
      <w:r w:rsidR="002B698E">
        <w:t>Lynparza</w:t>
      </w:r>
      <w:r w:rsidRPr="00875AB5">
        <w:t xml:space="preserve"> is taken, refrain from eating for 2 hours.</w:t>
      </w:r>
    </w:p>
    <w:p w14:paraId="1A321329" w14:textId="77777777" w:rsidR="00012622" w:rsidRPr="00875AB5" w:rsidRDefault="00012622" w:rsidP="00012622">
      <w:pPr>
        <w:ind w:left="720"/>
      </w:pPr>
      <w:r w:rsidRPr="00875AB5">
        <w:t>It is recommended that treatment be continued until progression of the underlying disease.</w:t>
      </w:r>
    </w:p>
    <w:p w14:paraId="0E15DCAC" w14:textId="77777777" w:rsidR="00012622" w:rsidRPr="00875AB5" w:rsidRDefault="00012622" w:rsidP="00F12C72">
      <w:pPr>
        <w:ind w:firstLine="720"/>
      </w:pPr>
      <w:r w:rsidRPr="00875AB5">
        <w:t>Special populations:</w:t>
      </w:r>
    </w:p>
    <w:p w14:paraId="77BF5E9D" w14:textId="77777777" w:rsidR="00012622" w:rsidRPr="00875AB5" w:rsidRDefault="00012622" w:rsidP="00F12C72">
      <w:pPr>
        <w:ind w:firstLine="720"/>
      </w:pPr>
      <w:r w:rsidRPr="00875AB5">
        <w:t xml:space="preserve">Children or adolescents: </w:t>
      </w:r>
      <w:r w:rsidR="002B698E">
        <w:t>Lynparza</w:t>
      </w:r>
      <w:r w:rsidRPr="00875AB5">
        <w:t xml:space="preserve"> is not indicated for use in paediatric patients.</w:t>
      </w:r>
    </w:p>
    <w:p w14:paraId="039DACB8" w14:textId="77777777" w:rsidR="00012622" w:rsidRDefault="00012622" w:rsidP="00F12C72">
      <w:pPr>
        <w:ind w:left="720"/>
      </w:pPr>
      <w:r w:rsidRPr="00875AB5">
        <w:t>Elderly (</w:t>
      </w:r>
      <w:r>
        <w:t xml:space="preserve">&gt; </w:t>
      </w:r>
      <w:r w:rsidRPr="00875AB5">
        <w:t>65 years): No adjustment in starting dose is required for elderly patients</w:t>
      </w:r>
      <w:r>
        <w:t>.</w:t>
      </w:r>
    </w:p>
    <w:p w14:paraId="52F7AFBD" w14:textId="77777777" w:rsidR="00012622" w:rsidRPr="00875AB5" w:rsidRDefault="00012622" w:rsidP="00F12C72">
      <w:pPr>
        <w:ind w:left="720"/>
      </w:pPr>
      <w:r w:rsidRPr="00875AB5">
        <w:t>Renal impairment:</w:t>
      </w:r>
      <w:r>
        <w:t xml:space="preserve"> </w:t>
      </w:r>
      <w:r w:rsidR="002B698E">
        <w:t>Lynparza</w:t>
      </w:r>
      <w:r w:rsidRPr="00875AB5">
        <w:t xml:space="preserve"> can be administered in patients with mild renal impairment (creatinine clearance </w:t>
      </w:r>
      <w:r>
        <w:t xml:space="preserve">&gt; </w:t>
      </w:r>
      <w:r w:rsidRPr="00875AB5">
        <w:t xml:space="preserve">50 </w:t>
      </w:r>
      <w:r>
        <w:t>mL</w:t>
      </w:r>
      <w:r w:rsidRPr="00875AB5">
        <w:t>/min).</w:t>
      </w:r>
      <w:r>
        <w:t xml:space="preserve"> </w:t>
      </w:r>
      <w:r w:rsidR="002B698E">
        <w:t>Lynparza</w:t>
      </w:r>
      <w:r w:rsidRPr="00875AB5">
        <w:t xml:space="preserve"> is not recommended for use in patients with moderate renal impairment (creatinine clearance </w:t>
      </w:r>
      <w:r w:rsidR="002B698E">
        <w:t>&lt;</w:t>
      </w:r>
      <w:r w:rsidR="005D43E1">
        <w:t xml:space="preserve"> </w:t>
      </w:r>
      <w:r w:rsidRPr="00875AB5">
        <w:t xml:space="preserve">50 </w:t>
      </w:r>
      <w:r>
        <w:t>mL</w:t>
      </w:r>
      <w:r w:rsidRPr="00875AB5">
        <w:t xml:space="preserve">/min) or severe renal impairment (creatinine clearance </w:t>
      </w:r>
      <w:r w:rsidR="002B698E">
        <w:t>&lt;</w:t>
      </w:r>
      <w:r w:rsidR="005D43E1">
        <w:t xml:space="preserve"> </w:t>
      </w:r>
      <w:r w:rsidRPr="00875AB5">
        <w:t xml:space="preserve">30 </w:t>
      </w:r>
      <w:r>
        <w:t>mL</w:t>
      </w:r>
      <w:r w:rsidRPr="00875AB5">
        <w:t>/min).</w:t>
      </w:r>
    </w:p>
    <w:p w14:paraId="031DB58A" w14:textId="77777777" w:rsidR="00012622" w:rsidRPr="00875AB5" w:rsidRDefault="00012622" w:rsidP="00F12C72">
      <w:pPr>
        <w:ind w:left="720"/>
      </w:pPr>
      <w:r w:rsidRPr="00875AB5">
        <w:t xml:space="preserve">Hepatic impairment: </w:t>
      </w:r>
      <w:r w:rsidR="002B698E">
        <w:t>Lynparza</w:t>
      </w:r>
      <w:r w:rsidRPr="00875AB5">
        <w:t xml:space="preserve"> is not recommended for use in patients with hepatic impairment (serum bilirubin greater than 1.5 times upper limit of normal</w:t>
      </w:r>
      <w:r w:rsidR="005D43E1">
        <w:t xml:space="preserve"> (ULN)</w:t>
      </w:r>
      <w:r w:rsidRPr="00875AB5">
        <w:t>).</w:t>
      </w:r>
    </w:p>
    <w:p w14:paraId="25CA1460" w14:textId="77777777" w:rsidR="00012622" w:rsidRPr="00012622" w:rsidRDefault="00012622" w:rsidP="00F12C72">
      <w:pPr>
        <w:ind w:left="720"/>
      </w:pPr>
      <w:r w:rsidRPr="00875AB5">
        <w:t>Women of childbe</w:t>
      </w:r>
      <w:r>
        <w:t>aring potential: Women of child</w:t>
      </w:r>
      <w:r w:rsidRPr="00875AB5">
        <w:t xml:space="preserve">bearing potential must use effective contraception during therapy and for 1 month after receiving the last dose of </w:t>
      </w:r>
      <w:r w:rsidR="002B698E">
        <w:t>Lynparza</w:t>
      </w:r>
      <w:r w:rsidRPr="00875AB5">
        <w:t>.</w:t>
      </w:r>
      <w:r>
        <w:t xml:space="preserve"> </w:t>
      </w:r>
      <w:r w:rsidRPr="00875AB5">
        <w:t xml:space="preserve">Since it cannot be excluded that olaparib may reduce exposure to substrates of CYP3A through enzyme induction, the efficacy of hormonal contraceptives may be reduced if co-administered with </w:t>
      </w:r>
      <w:r w:rsidR="002B698E">
        <w:t>Lynparza</w:t>
      </w:r>
      <w:r w:rsidRPr="00875AB5">
        <w:t>.</w:t>
      </w:r>
    </w:p>
    <w:p w14:paraId="547C64EB" w14:textId="77777777" w:rsidR="00605AD4" w:rsidRDefault="00605AD4" w:rsidP="00605AD4">
      <w:pPr>
        <w:pStyle w:val="Heading4"/>
      </w:pPr>
      <w:bookmarkStart w:id="80" w:name="_Toc196046464"/>
      <w:bookmarkStart w:id="81" w:name="_Toc247691518"/>
      <w:bookmarkStart w:id="82" w:name="_Toc314842502"/>
      <w:r w:rsidRPr="00605AD4">
        <w:lastRenderedPageBreak/>
        <w:t xml:space="preserve">Clinical </w:t>
      </w:r>
      <w:r w:rsidR="00EF59DC">
        <w:t>r</w:t>
      </w:r>
      <w:r w:rsidRPr="00605AD4">
        <w:t>ationale</w:t>
      </w:r>
    </w:p>
    <w:p w14:paraId="43386523" w14:textId="77777777" w:rsidR="00012622" w:rsidRDefault="00012622" w:rsidP="00012622">
      <w:r w:rsidRPr="00875AB5">
        <w:t>Despite the availability of drugs for the treatment of ovarian, fallopian tube and primary peritoneal cancer, there remains a significant medical need for new therapies.</w:t>
      </w:r>
      <w:r>
        <w:t xml:space="preserve"> </w:t>
      </w:r>
      <w:r w:rsidRPr="00875AB5">
        <w:t xml:space="preserve">At diagnosis, most patients have advanced disease. Despite </w:t>
      </w:r>
      <w:r>
        <w:t xml:space="preserve">&gt; </w:t>
      </w:r>
      <w:r w:rsidRPr="00875AB5">
        <w:t xml:space="preserve">80% of patients initially responding to </w:t>
      </w:r>
      <w:r>
        <w:t>platinum based</w:t>
      </w:r>
      <w:r w:rsidRPr="00875AB5">
        <w:t xml:space="preserve"> chemotherapy, the majority of these patients ultimately relapse and require further therapy.</w:t>
      </w:r>
      <w:r>
        <w:t xml:space="preserve"> </w:t>
      </w:r>
      <w:r w:rsidRPr="00875AB5">
        <w:t>For patients who develop relapsed disease there is no curative therapy and further treatment is aimed at disease control and maintaining quality of life.</w:t>
      </w:r>
      <w:r>
        <w:t xml:space="preserve"> </w:t>
      </w:r>
      <w:r w:rsidRPr="00875AB5">
        <w:t>Ovarian cancer is a disease of relapse and remission with progressively shorter disease-free and chemotherapy-free periods with successive treatments and all patients will eventually develop chemotherapy refractory disease</w:t>
      </w:r>
      <w:r>
        <w:t>.</w:t>
      </w:r>
    </w:p>
    <w:p w14:paraId="658CBA6B" w14:textId="77777777" w:rsidR="00012622" w:rsidRDefault="00012622" w:rsidP="00012622">
      <w:r w:rsidRPr="00875AB5">
        <w:t xml:space="preserve">For patients with </w:t>
      </w:r>
      <w:r>
        <w:t>platinum sensitive</w:t>
      </w:r>
      <w:r w:rsidRPr="00875AB5">
        <w:t xml:space="preserve"> disease (as defined by relapse free period </w:t>
      </w:r>
      <w:r>
        <w:t xml:space="preserve">&gt; </w:t>
      </w:r>
      <w:r w:rsidRPr="00875AB5">
        <w:t xml:space="preserve">6 months after the penultimate </w:t>
      </w:r>
      <w:r>
        <w:t>platinum based</w:t>
      </w:r>
      <w:r w:rsidRPr="00875AB5">
        <w:t xml:space="preserve"> chemotherapy) further chemotherapy typically utilises </w:t>
      </w:r>
      <w:r>
        <w:t>platinum based</w:t>
      </w:r>
      <w:r w:rsidRPr="00875AB5">
        <w:t xml:space="preserve"> regimes.</w:t>
      </w:r>
      <w:r>
        <w:t xml:space="preserve"> Platinum based</w:t>
      </w:r>
      <w:r w:rsidRPr="00875AB5">
        <w:t xml:space="preserve"> chemotherapy is associated with significant toxicity and cumulative toxicities usually restrict clinicians to 6 cycles of chemotherapy.</w:t>
      </w:r>
      <w:r>
        <w:t xml:space="preserve"> </w:t>
      </w:r>
      <w:r w:rsidRPr="00875AB5">
        <w:t>There is a strong rationale for considering a maintenance therapy to prolong progression free survival, delay the need for subsequent chemotherapy, maintain quality of life and potentially prolong survival</w:t>
      </w:r>
      <w:r>
        <w:t>.</w:t>
      </w:r>
    </w:p>
    <w:p w14:paraId="62D87861" w14:textId="77777777" w:rsidR="00012622" w:rsidRDefault="00012622" w:rsidP="00012622">
      <w:r w:rsidRPr="00875AB5">
        <w:t>Ovarian cancer patients with a BRCA1 or BRCA2 mutation represent a selected patient group whose tumours have a defective homologous recombination DNA repair pathway (HRD) that can be targeted by the PARP inhibitor olaparib. Olaparib increases the amount of DNA damage in a cell by inhibiting PARP repair enzymes. Tumour cells with non-functioning BRCA proteins cannot effectively repair the DNA damage resulting from PARP inhibition by olaparib, whilst non-tumour cells in patients with BRCA mutated cancers produce normal, functional BRCA proteins and can repair DNA damage effectively and efficiently. This targeting of olaparib in BRCA mutated tumour cells over normal cells leads to a therapeutic window and favourab</w:t>
      </w:r>
      <w:r>
        <w:t>le benefit-</w:t>
      </w:r>
      <w:r w:rsidRPr="00875AB5">
        <w:t>risk for olaparib</w:t>
      </w:r>
      <w:r>
        <w:t>.</w:t>
      </w:r>
    </w:p>
    <w:p w14:paraId="258F1574" w14:textId="67DAD065" w:rsidR="00012622" w:rsidRPr="00875AB5" w:rsidRDefault="00012622" w:rsidP="00012622">
      <w:r w:rsidRPr="00875AB5">
        <w:t xml:space="preserve">Consistent with the biological rationale, the greatest clinical benefit has consistently been observed in the subgroups of patients with a </w:t>
      </w:r>
      <w:proofErr w:type="spellStart"/>
      <w:r w:rsidRPr="00875AB5">
        <w:t>gBRCA</w:t>
      </w:r>
      <w:proofErr w:type="spellEnd"/>
      <w:r w:rsidRPr="00875AB5">
        <w:t xml:space="preserve"> or BRCA mutated tumour.</w:t>
      </w:r>
      <w:r>
        <w:t xml:space="preserve"> </w:t>
      </w:r>
      <w:r w:rsidRPr="00875AB5">
        <w:t xml:space="preserve">In patients receiving olaparib monotherapy after achieving a response to </w:t>
      </w:r>
      <w:r>
        <w:t>platinum based</w:t>
      </w:r>
      <w:r w:rsidRPr="00875AB5">
        <w:t xml:space="preserve"> chemotherapy for relapsed ovarian cancer, there is an improvement in progression free survival without a detriment to </w:t>
      </w:r>
      <w:r w:rsidR="00757690">
        <w:t>quality of life</w:t>
      </w:r>
      <w:r w:rsidRPr="00875AB5">
        <w:t>.</w:t>
      </w:r>
      <w:r>
        <w:t xml:space="preserve"> </w:t>
      </w:r>
      <w:r w:rsidRPr="00875AB5">
        <w:t>Olaparib has an acceptable toxicity profile permitting prolonged administration as a maintenance therapy as monotherapy.</w:t>
      </w:r>
    </w:p>
    <w:p w14:paraId="7D36D269" w14:textId="77777777" w:rsidR="00012622" w:rsidRDefault="00012622" w:rsidP="00012622">
      <w:r w:rsidRPr="00875AB5">
        <w:t>There is a clear ra</w:t>
      </w:r>
      <w:r>
        <w:t>tionale for the development of o</w:t>
      </w:r>
      <w:r w:rsidRPr="00875AB5">
        <w:t>laparib in patients with ovarian, fallopian tube and primary peritoneal cancer with either a BRCA 1 or BRCA 2 germline or somatic mutation.</w:t>
      </w:r>
      <w:r>
        <w:t xml:space="preserve"> </w:t>
      </w:r>
      <w:r w:rsidRPr="00875AB5">
        <w:t>This represents an advance in targeting a specific population of ovarian cancers based on an underlying molecular defect in the homologous recombination DNA repair pathway.</w:t>
      </w:r>
    </w:p>
    <w:p w14:paraId="3B330D17" w14:textId="77777777" w:rsidR="00012622" w:rsidRPr="004859F5" w:rsidRDefault="00012622" w:rsidP="00012622">
      <w:pPr>
        <w:pStyle w:val="Heading4"/>
        <w:rPr>
          <w:caps/>
        </w:rPr>
      </w:pPr>
      <w:bookmarkStart w:id="83" w:name="_Toc272414602"/>
      <w:bookmarkStart w:id="84" w:name="_Toc290888450"/>
      <w:bookmarkStart w:id="85" w:name="_Toc297900907"/>
      <w:bookmarkStart w:id="86" w:name="_Toc522177131"/>
      <w:r w:rsidRPr="004859F5">
        <w:t>Formulation</w:t>
      </w:r>
      <w:bookmarkEnd w:id="83"/>
      <w:bookmarkEnd w:id="84"/>
      <w:bookmarkEnd w:id="85"/>
      <w:bookmarkEnd w:id="86"/>
    </w:p>
    <w:p w14:paraId="308A0A71" w14:textId="77777777" w:rsidR="00012622" w:rsidRDefault="00012622" w:rsidP="00012622">
      <w:r w:rsidRPr="00F243CB">
        <w:t xml:space="preserve">Unit doses of 10 and 50 mg capsules were used in initial </w:t>
      </w:r>
      <w:r>
        <w:t>Phase I</w:t>
      </w:r>
      <w:r w:rsidRPr="00F243CB">
        <w:t xml:space="preserve"> studies, with only 50 mg capsules being progressed thereafter. Hypromellose capsule shells have been used in all clinical studies</w:t>
      </w:r>
      <w:r>
        <w:t>.</w:t>
      </w:r>
    </w:p>
    <w:p w14:paraId="3ABF57C9" w14:textId="77777777" w:rsidR="00012622" w:rsidRDefault="00012622" w:rsidP="00012622">
      <w:r w:rsidRPr="00F243CB">
        <w:t xml:space="preserve">During </w:t>
      </w:r>
      <w:r>
        <w:t>Phase I</w:t>
      </w:r>
      <w:r w:rsidR="005D43E1">
        <w:t xml:space="preserve"> a</w:t>
      </w:r>
      <w:r w:rsidRPr="00F243CB">
        <w:t xml:space="preserve"> decision was made to transfer the manufacturing process to the proposed commercial manufacturing site and scale, thereby eliminating the need for late stage bridging studies</w:t>
      </w:r>
      <w:r>
        <w:t>.</w:t>
      </w:r>
    </w:p>
    <w:p w14:paraId="59977F7A" w14:textId="7C1C255F" w:rsidR="00012622" w:rsidRDefault="00012622" w:rsidP="00012622">
      <w:r>
        <w:t>Phase I</w:t>
      </w:r>
      <w:r w:rsidR="00D81FEC">
        <w:t>,</w:t>
      </w:r>
      <w:r w:rsidRPr="00F243CB">
        <w:t xml:space="preserve"> and </w:t>
      </w:r>
      <w:r>
        <w:t>Phase II</w:t>
      </w:r>
      <w:r w:rsidRPr="00F243CB">
        <w:t xml:space="preserve"> clinical manufacture at the proposed commercial site: Since establishment of the final manufacturing process at the proposed commercial manufacturing site and scale, more than 30 batches of olaparib capsules have been manufactured</w:t>
      </w:r>
      <w:r>
        <w:t>.</w:t>
      </w:r>
    </w:p>
    <w:p w14:paraId="240253C6" w14:textId="77777777" w:rsidR="00012622" w:rsidRDefault="00012622" w:rsidP="00012622">
      <w:r w:rsidRPr="00F243CB">
        <w:lastRenderedPageBreak/>
        <w:t xml:space="preserve">Proposed commercial product: With the exception of minor cosmetic changes made to the ink printing design on the capsule shells, no changes to the product or manufacturing process are planned between the pivotal clinical </w:t>
      </w:r>
      <w:r>
        <w:t>Study</w:t>
      </w:r>
      <w:r w:rsidRPr="00F243CB">
        <w:t xml:space="preserve"> D0810C00019 and the to be marketed product</w:t>
      </w:r>
      <w:r>
        <w:t>.</w:t>
      </w:r>
    </w:p>
    <w:p w14:paraId="08548E5A" w14:textId="50799599" w:rsidR="00012622" w:rsidRPr="005D43E1" w:rsidRDefault="00012622" w:rsidP="005D43E1">
      <w:r w:rsidRPr="005D43E1">
        <w:t>The main difficulty with the olaparib 50 mg capsules is the need for patients to take 16</w:t>
      </w:r>
      <w:r w:rsidR="00757690">
        <w:t> </w:t>
      </w:r>
      <w:r w:rsidRPr="005D43E1">
        <w:t>capsules per day.</w:t>
      </w:r>
    </w:p>
    <w:p w14:paraId="2EE5C7BF" w14:textId="77777777" w:rsidR="00605AD4" w:rsidRDefault="00605AD4" w:rsidP="00605AD4">
      <w:pPr>
        <w:pStyle w:val="Heading4"/>
      </w:pPr>
      <w:r w:rsidRPr="00605AD4">
        <w:t>Guidance</w:t>
      </w:r>
    </w:p>
    <w:p w14:paraId="402CB4F1" w14:textId="77777777" w:rsidR="00012622" w:rsidRPr="00F243CB" w:rsidRDefault="00012622" w:rsidP="00012622">
      <w:r w:rsidRPr="00F243CB">
        <w:t xml:space="preserve">The Core (Global) and </w:t>
      </w:r>
      <w:r w:rsidR="008C6418">
        <w:t>European Union</w:t>
      </w:r>
      <w:r w:rsidR="008C6418" w:rsidRPr="00F243CB">
        <w:t xml:space="preserve"> </w:t>
      </w:r>
      <w:r w:rsidR="008C6418">
        <w:t>(</w:t>
      </w:r>
      <w:r w:rsidRPr="00F243CB">
        <w:t>EU</w:t>
      </w:r>
      <w:r w:rsidR="008C6418">
        <w:t>)</w:t>
      </w:r>
      <w:r w:rsidRPr="00F243CB">
        <w:t xml:space="preserve"> RMPs have been included in this application at the request of the TGA.</w:t>
      </w:r>
    </w:p>
    <w:p w14:paraId="0E265121" w14:textId="77777777" w:rsidR="00012622" w:rsidRPr="004859F5" w:rsidRDefault="00012622" w:rsidP="00012622">
      <w:r w:rsidRPr="004859F5">
        <w:t xml:space="preserve">The sponsor provided </w:t>
      </w:r>
      <w:r w:rsidRPr="005021EE">
        <w:t>justification for the lack of absolute bioavailability data</w:t>
      </w:r>
      <w:r w:rsidRPr="004859F5">
        <w:t xml:space="preserve"> with the following:</w:t>
      </w:r>
    </w:p>
    <w:p w14:paraId="6F030EB7" w14:textId="77777777" w:rsidR="00012622" w:rsidRPr="00012622" w:rsidRDefault="00012622" w:rsidP="00012622">
      <w:pPr>
        <w:pStyle w:val="ListBullet"/>
      </w:pPr>
      <w:r w:rsidRPr="00012622">
        <w:t>Since optimisation of the capsule formulation has already been conducted (based on studies in the dog) and there are no plans to make further changes to it, the benefits of generating absolute bioavailability data (or relative bioavailability data compared to an oral solution/suspension formulation) at this stage of the development of olaparib would be of limited scientific value.</w:t>
      </w:r>
    </w:p>
    <w:p w14:paraId="6358775E" w14:textId="3E8EA152" w:rsidR="00012622" w:rsidRPr="00012622" w:rsidRDefault="00012622" w:rsidP="00012622">
      <w:pPr>
        <w:pStyle w:val="ListBullet"/>
      </w:pPr>
      <w:r w:rsidRPr="00012622">
        <w:t xml:space="preserve">The solubility of olaparib in aqueous media is approximately0.1 mg/mL and is independent of pH; in human intestinal fluid the solubility is 0.16 mg/mL. </w:t>
      </w:r>
      <w:proofErr w:type="spellStart"/>
      <w:r w:rsidRPr="00012622">
        <w:t>Caco</w:t>
      </w:r>
      <w:proofErr w:type="spellEnd"/>
      <w:r w:rsidRPr="00012622">
        <w:t xml:space="preserve"> permeability experiments have shown it to have moderate permeability and that it has a propensity for </w:t>
      </w:r>
      <w:r w:rsidR="00881C3F">
        <w:t>P-glycoprotein (</w:t>
      </w:r>
      <w:r w:rsidR="0094739B">
        <w:t>P-gp</w:t>
      </w:r>
      <w:r w:rsidR="00881C3F">
        <w:t>)</w:t>
      </w:r>
      <w:r w:rsidRPr="00012622">
        <w:t xml:space="preserve"> mediated efflux at low concentrations (10 </w:t>
      </w:r>
      <w:r w:rsidR="00757690">
        <w:t>µ</w:t>
      </w:r>
      <w:r w:rsidRPr="00012622">
        <w:t xml:space="preserve">M) which becomes saturated at concentrations &gt; 260 </w:t>
      </w:r>
      <w:r w:rsidR="00757690">
        <w:t>µ</w:t>
      </w:r>
      <w:r w:rsidRPr="00012622">
        <w:t xml:space="preserve">M. Based upon these data, olaparib is a BCS </w:t>
      </w:r>
      <w:r w:rsidR="00757690">
        <w:t>c</w:t>
      </w:r>
      <w:r w:rsidR="00757690" w:rsidRPr="00012622">
        <w:t xml:space="preserve">lass </w:t>
      </w:r>
      <w:r w:rsidRPr="00012622">
        <w:t xml:space="preserve">4 compound. In vitro experiments have shown olaparib to be a CYP3A substrate. Metabolic clearance has been shown to be a major route of clearance and therefore the bioavailability of the compound could be limited by first pass metabolism. However, at high concentrations, it has also been shown to be an inhibitor of both CYP3A and </w:t>
      </w:r>
      <w:r w:rsidR="0094739B">
        <w:t>P-</w:t>
      </w:r>
      <w:proofErr w:type="spellStart"/>
      <w:r w:rsidR="0094739B">
        <w:t>gp</w:t>
      </w:r>
      <w:proofErr w:type="spellEnd"/>
      <w:r w:rsidRPr="00012622">
        <w:t>.</w:t>
      </w:r>
      <w:r w:rsidR="00466066">
        <w:t xml:space="preserve"> </w:t>
      </w:r>
      <w:bookmarkStart w:id="87" w:name="_Hlk531679164"/>
      <w:bookmarkStart w:id="88" w:name="_Hlk531608996"/>
      <w:r w:rsidR="00466066">
        <w:t xml:space="preserve">These findings, coupled with the inhibitory effect of the </w:t>
      </w:r>
      <w:r w:rsidR="007701EF">
        <w:t>LMG excipient present in the capsule formulation on CYP3A reduce the likelihood of poor bioavailability through P-gp mediated effect or through first pass metabolism at the level of the GI tract.</w:t>
      </w:r>
      <w:bookmarkEnd w:id="87"/>
    </w:p>
    <w:bookmarkEnd w:id="88"/>
    <w:p w14:paraId="53E838C6" w14:textId="77777777" w:rsidR="00012622" w:rsidRPr="00012622" w:rsidRDefault="00012622" w:rsidP="00012622">
      <w:pPr>
        <w:pStyle w:val="ListBullet"/>
      </w:pPr>
      <w:r w:rsidRPr="00012622">
        <w:t>The aqueous solubility of olaparib (0.1 mg/mL independent of pH) makes the development of an IV formulation using standard excipients suitable for use in man, technically challenging.</w:t>
      </w:r>
    </w:p>
    <w:p w14:paraId="0ED6E5CA" w14:textId="77777777" w:rsidR="00012622" w:rsidRPr="00012622" w:rsidRDefault="00012622" w:rsidP="00012622">
      <w:pPr>
        <w:pStyle w:val="ListBullet"/>
      </w:pPr>
      <w:r w:rsidRPr="00012622">
        <w:t>Since there has never been any intention to market an intravenous formulation of olaparib, the pre-clinical toxicity testing conducted by that route has been limited in nature.</w:t>
      </w:r>
    </w:p>
    <w:p w14:paraId="653A3266" w14:textId="77777777" w:rsidR="00012622" w:rsidRPr="00012622" w:rsidRDefault="00012622" w:rsidP="00012622">
      <w:pPr>
        <w:pStyle w:val="ListBullet"/>
      </w:pPr>
      <w:r w:rsidRPr="00012622">
        <w:t>Administration of the IV formulation in an absolute bioavailability study would involve administration of olaparib via an, as yet, untested route. Consequently, in the event that a formulation suitable for IV dosing to man could be delivered, prior to conducting a clinical absolute bioavailability study, GLP toxicology work following IV dosing foll</w:t>
      </w:r>
      <w:r w:rsidR="0094739B">
        <w:t>owed by dose escalation/safety and</w:t>
      </w:r>
      <w:r w:rsidRPr="00012622">
        <w:t xml:space="preserve"> tolerability testing in man would be required.</w:t>
      </w:r>
    </w:p>
    <w:p w14:paraId="04AC5FDB" w14:textId="77777777" w:rsidR="00012622" w:rsidRPr="00012622" w:rsidRDefault="00012622" w:rsidP="00012622">
      <w:pPr>
        <w:pStyle w:val="ListBullet"/>
      </w:pPr>
      <w:r w:rsidRPr="00012622">
        <w:t>Olaparib, because of its pharmacological properties, is not suitable for dosing to healthy volunteers and consequently any study would have to be conducted in a late stage cancer patient population in whom all standard treatment options have been exhausted as it would not be ethical to withhold proven treatments from cancer patients for whom other treatment options are available.</w:t>
      </w:r>
    </w:p>
    <w:p w14:paraId="63E5FE24" w14:textId="77777777" w:rsidR="00012622" w:rsidRPr="00012622" w:rsidRDefault="00012622" w:rsidP="00012622">
      <w:pPr>
        <w:pStyle w:val="ListBullet"/>
      </w:pPr>
      <w:r w:rsidRPr="00012622">
        <w:t xml:space="preserve">Late stage cancer patients would be unlikely to receive a therapeutic benefit from dosing in a conventional absolute/relative bioavailability study due to the single dose nature of the study and the washout periods required between dose administrations. </w:t>
      </w:r>
      <w:r w:rsidRPr="00012622">
        <w:lastRenderedPageBreak/>
        <w:t>The ethics of subjecting late stage cancer patients to an interrupted non therapeutic dosing schedule, the required intensive sampling and visit schedule and restrictions on concomitant medications makes recruitment of suitable patients and obtaining ethics committee approval to conduct an absolute/relative bioavailability study so late in the olaparib development programme a significant challenge.</w:t>
      </w:r>
    </w:p>
    <w:p w14:paraId="0953A404" w14:textId="77777777" w:rsidR="00012622" w:rsidRPr="00012622" w:rsidRDefault="00012622" w:rsidP="00012622">
      <w:pPr>
        <w:pStyle w:val="ListBullet"/>
      </w:pPr>
      <w:r w:rsidRPr="00012622">
        <w:t xml:space="preserve">Although it may be possible to overcome some of these issues through the use of a micro-dosing approach, preliminary discussions with Contract Research Organisations </w:t>
      </w:r>
      <w:r w:rsidR="0094739B">
        <w:t>(</w:t>
      </w:r>
      <w:r w:rsidR="0094739B" w:rsidRPr="00012622">
        <w:t>CRO</w:t>
      </w:r>
      <w:r w:rsidR="0094739B">
        <w:t xml:space="preserve">s) </w:t>
      </w:r>
      <w:r w:rsidRPr="00012622">
        <w:t>able to deliver such studies have indicated that they have little/no experience or ability to conduct such studies in a cancer patient setting. Recruitment of patients into such a study would require the protocol to offer continued access to olaparib beyond completion of the ‘</w:t>
      </w:r>
      <w:r w:rsidR="0094739B">
        <w:t>pharmacokinetic (</w:t>
      </w:r>
      <w:r w:rsidRPr="00012622">
        <w:t>PK</w:t>
      </w:r>
      <w:r w:rsidR="0094739B">
        <w:t>)</w:t>
      </w:r>
      <w:r w:rsidRPr="00012622">
        <w:t xml:space="preserve"> phase’, which in turn would require patient support and adverse event monitoring that these CROs are not used to providing. Thus delivery of such a study, if ethical approval was achieved, would require the involvement of multiple organisations and would be logistically challenging.</w:t>
      </w:r>
    </w:p>
    <w:p w14:paraId="68C7E75F" w14:textId="77777777" w:rsidR="00012622" w:rsidRPr="004859F5" w:rsidRDefault="00012622" w:rsidP="00012622">
      <w:r w:rsidRPr="004859F5">
        <w:t>The sponsor provides the assurance that the submission is consistent with the lodged pre- submission planning form in both scope and scale</w:t>
      </w:r>
      <w:r>
        <w:t xml:space="preserve"> with the following exceptions:</w:t>
      </w:r>
    </w:p>
    <w:p w14:paraId="58041102" w14:textId="00CF9D8F" w:rsidR="00012622" w:rsidRPr="004859F5" w:rsidRDefault="00012622" w:rsidP="00012622">
      <w:pPr>
        <w:pStyle w:val="ListBullet"/>
      </w:pPr>
      <w:r>
        <w:t>The clinical module</w:t>
      </w:r>
      <w:r w:rsidRPr="004859F5">
        <w:t xml:space="preserve"> cont</w:t>
      </w:r>
      <w:r>
        <w:t xml:space="preserve">ains 2 documents not in the </w:t>
      </w:r>
      <w:r w:rsidR="0094739B">
        <w:t>pre submission planning form (</w:t>
      </w:r>
      <w:r>
        <w:t>PPF</w:t>
      </w:r>
      <w:r w:rsidR="0094739B">
        <w:t>)</w:t>
      </w:r>
      <w:r>
        <w:t xml:space="preserve"> </w:t>
      </w:r>
      <w:r w:rsidRPr="004859F5">
        <w:t xml:space="preserve">submitted </w:t>
      </w:r>
      <w:r w:rsidR="00D81FEC">
        <w:t>c</w:t>
      </w:r>
      <w:r w:rsidRPr="004859F5">
        <w:t>omprehensive TOC:</w:t>
      </w:r>
    </w:p>
    <w:p w14:paraId="2F0D7057" w14:textId="77777777" w:rsidR="00012622" w:rsidRPr="00012622" w:rsidRDefault="00012622" w:rsidP="00012622">
      <w:pPr>
        <w:pStyle w:val="ListBullet2"/>
      </w:pPr>
      <w:r w:rsidRPr="00012622">
        <w:t>Final Pooled QT report D0816C00004 and -07</w:t>
      </w:r>
    </w:p>
    <w:p w14:paraId="319B81B0" w14:textId="77777777" w:rsidR="00012622" w:rsidRPr="00012622" w:rsidRDefault="00012622" w:rsidP="00012622">
      <w:pPr>
        <w:pStyle w:val="ListBullet2"/>
      </w:pPr>
      <w:r w:rsidRPr="00012622">
        <w:t>C-QT Pharmacometric Report</w:t>
      </w:r>
    </w:p>
    <w:p w14:paraId="35CB0CBD" w14:textId="77777777" w:rsidR="00012622" w:rsidRDefault="00012622" w:rsidP="00012622">
      <w:pPr>
        <w:ind w:left="720"/>
      </w:pPr>
      <w:r w:rsidRPr="004859F5">
        <w:t>These are not reports of additional studies. They are analys</w:t>
      </w:r>
      <w:r>
        <w:t>es of studies listed.</w:t>
      </w:r>
    </w:p>
    <w:p w14:paraId="49B4734B" w14:textId="77777777" w:rsidR="00012622" w:rsidRDefault="00012622" w:rsidP="00012622">
      <w:pPr>
        <w:ind w:left="720"/>
      </w:pPr>
      <w:r w:rsidRPr="004859F5">
        <w:t xml:space="preserve">The submission will include US Prescribing Information. This was not indicated in the PPF as </w:t>
      </w:r>
      <w:r w:rsidR="002B698E">
        <w:t>Lynparza</w:t>
      </w:r>
      <w:r w:rsidRPr="004859F5">
        <w:t xml:space="preserve"> was not approved in the USA at the time PPF was lodged</w:t>
      </w:r>
      <w:r>
        <w:t>.</w:t>
      </w:r>
    </w:p>
    <w:p w14:paraId="2AB7ECC6" w14:textId="77777777" w:rsidR="00500337" w:rsidRPr="00500337" w:rsidRDefault="00012622" w:rsidP="00500337">
      <w:r w:rsidRPr="00012622">
        <w:t>The justification for submitting an absolute/relative bioavailability study for the olaparib capsule formulation is satisfactory.</w:t>
      </w:r>
    </w:p>
    <w:p w14:paraId="6D032A50" w14:textId="77777777" w:rsidR="00605AD4" w:rsidRDefault="00605AD4" w:rsidP="00605AD4">
      <w:pPr>
        <w:pStyle w:val="Heading4"/>
      </w:pPr>
      <w:r w:rsidRPr="00605AD4">
        <w:t>Contents of the clinical dossier</w:t>
      </w:r>
    </w:p>
    <w:p w14:paraId="2D7B3CB8" w14:textId="77777777" w:rsidR="00012622" w:rsidRPr="00F243CB" w:rsidRDefault="00012622" w:rsidP="00012622">
      <w:r w:rsidRPr="004859F5">
        <w:t>The clinical dosser documented a full clinical development program of pharmacology, efficacy and safety studies.</w:t>
      </w:r>
    </w:p>
    <w:p w14:paraId="6BD529D8" w14:textId="77777777" w:rsidR="00012622" w:rsidRPr="00F243CB" w:rsidRDefault="00012622" w:rsidP="00012622">
      <w:r w:rsidRPr="00F243CB">
        <w:t>The submission contained the following clinical information:</w:t>
      </w:r>
    </w:p>
    <w:p w14:paraId="6BB33CDA" w14:textId="77777777" w:rsidR="00012622" w:rsidRPr="00012622" w:rsidRDefault="00012622" w:rsidP="00012622">
      <w:pPr>
        <w:pStyle w:val="ListBullet"/>
      </w:pPr>
      <w:r w:rsidRPr="00012622">
        <w:t>10 clinical pharmacology studies, including 10 that provided pharmacokinetic data (Studies D0810AC00001, D0816C00004, D0816C00007, D0816C00008, D0810C00001, D0810C0002, D0810C00007, D0810C00008, D0810C00010, D0810C00024</w:t>
      </w:r>
      <w:r w:rsidR="0094739B">
        <w:t>)</w:t>
      </w:r>
      <w:r w:rsidRPr="00012622">
        <w:t xml:space="preserve"> and 5 that provided pharmacodynamic data (Studies D0810C00001, D0810C0002, D0810C00007 D0816C00004 and D0816C00007)</w:t>
      </w:r>
    </w:p>
    <w:p w14:paraId="56325AED" w14:textId="37DC3777" w:rsidR="00012622" w:rsidRPr="00012622" w:rsidRDefault="00012622" w:rsidP="00012622">
      <w:pPr>
        <w:pStyle w:val="ListBullet"/>
      </w:pPr>
      <w:r w:rsidRPr="00012622">
        <w:t xml:space="preserve">1 population pharmacokinetic </w:t>
      </w:r>
      <w:r w:rsidR="007E0A5B" w:rsidRPr="00012622">
        <w:t>analys</w:t>
      </w:r>
      <w:r w:rsidR="007E0A5B">
        <w:t>i</w:t>
      </w:r>
      <w:r w:rsidR="007E0A5B" w:rsidRPr="00012622">
        <w:t>s</w:t>
      </w:r>
    </w:p>
    <w:p w14:paraId="64D706F2" w14:textId="164892C5" w:rsidR="00012622" w:rsidRPr="00012622" w:rsidRDefault="00012622" w:rsidP="00012622">
      <w:pPr>
        <w:pStyle w:val="ListBullet"/>
      </w:pPr>
      <w:r w:rsidRPr="00012622">
        <w:t>3 dose finding studies (Studies D0810C00001, D0810C0002 and D0810C00024)</w:t>
      </w:r>
      <w:r w:rsidR="007E0A5B">
        <w:t xml:space="preserve"> </w:t>
      </w:r>
      <w:r w:rsidR="005074AE">
        <w:t>(also referred to as Study 01, 02 and 24 respectively)</w:t>
      </w:r>
    </w:p>
    <w:p w14:paraId="28324B61" w14:textId="793359E4" w:rsidR="00012622" w:rsidRPr="00012622" w:rsidRDefault="00012622" w:rsidP="00012622">
      <w:pPr>
        <w:pStyle w:val="ListBullet"/>
      </w:pPr>
      <w:r w:rsidRPr="00012622">
        <w:t xml:space="preserve">1 pivotal efficacy/safety </w:t>
      </w:r>
      <w:r w:rsidR="00685F87" w:rsidRPr="00012622">
        <w:t>stud</w:t>
      </w:r>
      <w:r w:rsidR="00685F87">
        <w:t>y</w:t>
      </w:r>
      <w:r w:rsidR="00685F87" w:rsidRPr="00012622">
        <w:t xml:space="preserve"> </w:t>
      </w:r>
      <w:r w:rsidRPr="00012622">
        <w:t>(Study D00810C00019)</w:t>
      </w:r>
      <w:r w:rsidR="005074AE">
        <w:t>(also referred to as Study 19)</w:t>
      </w:r>
    </w:p>
    <w:p w14:paraId="2C829D6F" w14:textId="77777777" w:rsidR="00012622" w:rsidRPr="00012622" w:rsidRDefault="00012622" w:rsidP="00012622">
      <w:pPr>
        <w:pStyle w:val="ListBullet"/>
      </w:pPr>
      <w:r w:rsidRPr="00012622">
        <w:t>5 other efficacy/safety studies (Studies D0810C00009, D0810C00012, D0810C00020, D0810C00041, D0810C000042)</w:t>
      </w:r>
      <w:r w:rsidR="005074AE">
        <w:t>(also referred to as Study 09, 12, 20, 41 and 42 respectively)</w:t>
      </w:r>
    </w:p>
    <w:p w14:paraId="29DE72F5" w14:textId="77777777" w:rsidR="00012622" w:rsidRPr="00012622" w:rsidRDefault="00012622" w:rsidP="00012622">
      <w:pPr>
        <w:pStyle w:val="ListBullet"/>
      </w:pPr>
      <w:r w:rsidRPr="00012622">
        <w:t>1 Summary of Clinical Efficacy Outputs</w:t>
      </w:r>
    </w:p>
    <w:p w14:paraId="55ECED5B" w14:textId="77777777" w:rsidR="00012622" w:rsidRPr="00012622" w:rsidRDefault="00012622" w:rsidP="00012622">
      <w:pPr>
        <w:pStyle w:val="ListBullet"/>
      </w:pPr>
      <w:r w:rsidRPr="00012622">
        <w:t>1 Summary of Clinical Safety Outputs</w:t>
      </w:r>
    </w:p>
    <w:p w14:paraId="7D5A996A" w14:textId="77777777" w:rsidR="00012622" w:rsidRPr="00012622" w:rsidRDefault="00012622" w:rsidP="00012622">
      <w:pPr>
        <w:pStyle w:val="ListBullet"/>
      </w:pPr>
      <w:r w:rsidRPr="00012622">
        <w:lastRenderedPageBreak/>
        <w:t xml:space="preserve">1 </w:t>
      </w:r>
      <w:proofErr w:type="spellStart"/>
      <w:r w:rsidRPr="00012622">
        <w:t>cQT</w:t>
      </w:r>
      <w:proofErr w:type="spellEnd"/>
      <w:r w:rsidRPr="00012622">
        <w:t xml:space="preserve"> </w:t>
      </w:r>
      <w:proofErr w:type="spellStart"/>
      <w:r w:rsidRPr="00012622">
        <w:t>pharmacometric</w:t>
      </w:r>
      <w:proofErr w:type="spellEnd"/>
      <w:r w:rsidRPr="00012622">
        <w:t xml:space="preserve"> report</w:t>
      </w:r>
    </w:p>
    <w:p w14:paraId="17BC8427" w14:textId="420C8739" w:rsidR="00012622" w:rsidRPr="00012622" w:rsidRDefault="00012622" w:rsidP="00012622">
      <w:pPr>
        <w:pStyle w:val="ListBullet"/>
      </w:pPr>
      <w:r w:rsidRPr="00012622">
        <w:t>5 dose finding studies of olaparib in combination with chemotherapy (Studies</w:t>
      </w:r>
      <w:r w:rsidR="00E819C9">
        <w:t> </w:t>
      </w:r>
      <w:r w:rsidRPr="00012622">
        <w:t>D0810C00004, D0810C00005, D0810C00006, D0810C00021, D0810L00001)</w:t>
      </w:r>
    </w:p>
    <w:p w14:paraId="36267D66" w14:textId="75AC783C" w:rsidR="00012622" w:rsidRPr="00012622" w:rsidRDefault="00012622" w:rsidP="00012622">
      <w:pPr>
        <w:pStyle w:val="ListBullet"/>
      </w:pPr>
      <w:r w:rsidRPr="00012622">
        <w:t>1 Phase II efficacy study of olaparib in combination with c</w:t>
      </w:r>
      <w:r w:rsidR="0094739B">
        <w:t>hemotherapy (Study</w:t>
      </w:r>
      <w:r w:rsidR="00E819C9">
        <w:t> </w:t>
      </w:r>
      <w:r w:rsidR="0094739B">
        <w:t>D0810C00039)</w:t>
      </w:r>
    </w:p>
    <w:p w14:paraId="7DA5727D" w14:textId="77777777" w:rsidR="00012622" w:rsidRPr="00012622" w:rsidRDefault="00012622" w:rsidP="00012622">
      <w:pPr>
        <w:pStyle w:val="ListBullet"/>
      </w:pPr>
      <w:r w:rsidRPr="00012622">
        <w:t>1 Phase II efficacy study of olaparib in colore</w:t>
      </w:r>
      <w:r w:rsidR="0094739B">
        <w:t>ctal cancer (Study D9010C00008)</w:t>
      </w:r>
    </w:p>
    <w:p w14:paraId="4F262DB4" w14:textId="77777777" w:rsidR="00012622" w:rsidRPr="00012622" w:rsidRDefault="00012622" w:rsidP="00012622">
      <w:pPr>
        <w:pStyle w:val="ListBullet"/>
      </w:pPr>
      <w:r w:rsidRPr="00012622">
        <w:t>Literature references</w:t>
      </w:r>
    </w:p>
    <w:p w14:paraId="06B43BD2" w14:textId="77777777" w:rsidR="00500337" w:rsidRPr="00500337" w:rsidRDefault="00012622" w:rsidP="00500337">
      <w:pPr>
        <w:rPr>
          <w:lang w:eastAsia="ja-JP"/>
        </w:rPr>
      </w:pPr>
      <w:r>
        <w:rPr>
          <w:lang w:eastAsia="ja-JP"/>
        </w:rPr>
        <w:t xml:space="preserve">The submission also contained; </w:t>
      </w:r>
      <w:r w:rsidRPr="000A643A">
        <w:t>Clinical Overview, Summary of Clinical Pharmacology, Summary of Clinical Efficacy, Summary of Clinical Safety and literature references.</w:t>
      </w:r>
    </w:p>
    <w:p w14:paraId="4B678A35" w14:textId="77777777" w:rsidR="00605AD4" w:rsidRDefault="00605AD4" w:rsidP="00605AD4">
      <w:pPr>
        <w:pStyle w:val="Heading4"/>
      </w:pPr>
      <w:r w:rsidRPr="00605AD4">
        <w:t>Paediatric data</w:t>
      </w:r>
    </w:p>
    <w:p w14:paraId="5E2DDF74" w14:textId="77777777" w:rsidR="00012622" w:rsidRPr="000A643A" w:rsidRDefault="00012622" w:rsidP="00012622">
      <w:r w:rsidRPr="000A643A">
        <w:t>The submission did not include paediatric data. The sponsor stated that olaparib is not indicated for use in paediatric patients.</w:t>
      </w:r>
    </w:p>
    <w:p w14:paraId="20E25AEE" w14:textId="77777777" w:rsidR="00500337" w:rsidRPr="00500337" w:rsidRDefault="00012622" w:rsidP="00500337">
      <w:r w:rsidRPr="00012622">
        <w:t>There is no clinical value in the sponsor providing data for a paediatric population for the following reasons: epithelial ovarian cancer is not a malignancy of the paediatric population; malignancies associated with BRCA mutations do not occur in paediatric populations.</w:t>
      </w:r>
    </w:p>
    <w:p w14:paraId="26C7249E" w14:textId="77777777" w:rsidR="00605AD4" w:rsidRDefault="00605AD4" w:rsidP="00605AD4">
      <w:pPr>
        <w:pStyle w:val="Heading4"/>
      </w:pPr>
      <w:r w:rsidRPr="00605AD4">
        <w:t>Good clinical practice</w:t>
      </w:r>
    </w:p>
    <w:p w14:paraId="40D4982A" w14:textId="77777777" w:rsidR="00012622" w:rsidRDefault="00012622" w:rsidP="00012622">
      <w:bookmarkStart w:id="89" w:name="_Toc241374282"/>
      <w:r w:rsidRPr="000A643A">
        <w:t>All clinical studies were performed in accordance with ethical principles that have their origin in the Declaration of Helsinki and are consistent with International Conference on Harmonisation (ICH)/Good Clinical Practice (GCP), applicable regulatory requirements and the AstraZeneca policy on Bioethics and Human Biological Samples</w:t>
      </w:r>
      <w:r>
        <w:t>.</w:t>
      </w:r>
    </w:p>
    <w:p w14:paraId="36DE6A23" w14:textId="77777777" w:rsidR="00500337" w:rsidRPr="00012622" w:rsidRDefault="00012622" w:rsidP="00500337">
      <w:pPr>
        <w:rPr>
          <w:highlight w:val="yellow"/>
        </w:rPr>
      </w:pPr>
      <w:r w:rsidRPr="000A643A">
        <w:t>The protocol, consent from, study subject information sheets were submitted by each investigator and a duly constituted International Review Board for review and approval before study initiation. All patients had provided written informed consent after adequate explanation of the aims, methods, objectives and potential hazards of the study before undertaking any study related procedures.</w:t>
      </w:r>
      <w:bookmarkEnd w:id="89"/>
    </w:p>
    <w:p w14:paraId="0D9A8341" w14:textId="77777777" w:rsidR="008E7846" w:rsidRDefault="008E7846" w:rsidP="00605AD4">
      <w:pPr>
        <w:pStyle w:val="Heading3"/>
      </w:pPr>
      <w:bookmarkStart w:id="90" w:name="_Toc8053820"/>
      <w:r w:rsidRPr="00254787">
        <w:t>Pharmacokinetics</w:t>
      </w:r>
      <w:bookmarkEnd w:id="70"/>
      <w:bookmarkEnd w:id="80"/>
      <w:bookmarkEnd w:id="81"/>
      <w:bookmarkEnd w:id="82"/>
      <w:bookmarkEnd w:id="90"/>
    </w:p>
    <w:p w14:paraId="7BAA137A" w14:textId="77777777" w:rsidR="00605AD4" w:rsidRDefault="00605AD4" w:rsidP="00605AD4">
      <w:pPr>
        <w:pStyle w:val="Heading4"/>
      </w:pPr>
      <w:r>
        <w:t>Studies</w:t>
      </w:r>
      <w:r w:rsidR="00500337">
        <w:t xml:space="preserve"> providing pharmacokinetic data</w:t>
      </w:r>
    </w:p>
    <w:p w14:paraId="46BA185F" w14:textId="77777777" w:rsidR="00012622" w:rsidRPr="000A643A" w:rsidRDefault="00012622" w:rsidP="00012622">
      <w:r w:rsidRPr="000A643A">
        <w:t xml:space="preserve">Summaries of the pharmacokinetic studies </w:t>
      </w:r>
      <w:r>
        <w:t>were provided</w:t>
      </w:r>
      <w:r w:rsidRPr="00DC225D">
        <w:t xml:space="preserve">. </w:t>
      </w:r>
      <w:r w:rsidR="00F03EBB">
        <w:t>Table 5</w:t>
      </w:r>
      <w:r>
        <w:t xml:space="preserve"> </w:t>
      </w:r>
      <w:r w:rsidRPr="00DC225D">
        <w:t>shows</w:t>
      </w:r>
      <w:r w:rsidRPr="000A643A">
        <w:t xml:space="preserve"> the studies relating to each pharmacokinetic topic.</w:t>
      </w:r>
    </w:p>
    <w:p w14:paraId="6C45C176" w14:textId="77777777" w:rsidR="00012622" w:rsidRPr="0006452C" w:rsidRDefault="00F03EBB" w:rsidP="00012622">
      <w:pPr>
        <w:pStyle w:val="Tabletitle0"/>
      </w:pPr>
      <w:bookmarkStart w:id="91" w:name="_Toc297901058"/>
      <w:r>
        <w:t>Table 5</w:t>
      </w:r>
      <w:r w:rsidR="00012622">
        <w:t xml:space="preserve">: </w:t>
      </w:r>
      <w:r w:rsidR="00012622" w:rsidRPr="0006452C">
        <w:t>Submitted pharmacokinetic studies</w:t>
      </w:r>
      <w:bookmarkEnd w:id="91"/>
    </w:p>
    <w:tbl>
      <w:tblPr>
        <w:tblStyle w:val="TableTGAblue"/>
        <w:tblW w:w="8613" w:type="dxa"/>
        <w:tblLayout w:type="fixed"/>
        <w:tblLook w:val="04A0" w:firstRow="1" w:lastRow="0" w:firstColumn="1" w:lastColumn="0" w:noHBand="0" w:noVBand="1"/>
      </w:tblPr>
      <w:tblGrid>
        <w:gridCol w:w="1668"/>
        <w:gridCol w:w="2976"/>
        <w:gridCol w:w="1985"/>
        <w:gridCol w:w="1984"/>
      </w:tblGrid>
      <w:tr w:rsidR="00012622" w:rsidRPr="000A643A" w14:paraId="5A95D9D3" w14:textId="77777777" w:rsidTr="00012622">
        <w:trPr>
          <w:cnfStyle w:val="100000000000" w:firstRow="1" w:lastRow="0" w:firstColumn="0" w:lastColumn="0" w:oddVBand="0" w:evenVBand="0" w:oddHBand="0" w:evenHBand="0" w:firstRowFirstColumn="0" w:firstRowLastColumn="0" w:lastRowFirstColumn="0" w:lastRowLastColumn="0"/>
        </w:trPr>
        <w:tc>
          <w:tcPr>
            <w:tcW w:w="1668" w:type="dxa"/>
          </w:tcPr>
          <w:p w14:paraId="4B1BBA9C"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PK topic</w:t>
            </w:r>
          </w:p>
        </w:tc>
        <w:tc>
          <w:tcPr>
            <w:tcW w:w="2976" w:type="dxa"/>
          </w:tcPr>
          <w:p w14:paraId="01D2DE7F"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Subtopic</w:t>
            </w:r>
          </w:p>
        </w:tc>
        <w:tc>
          <w:tcPr>
            <w:tcW w:w="1985" w:type="dxa"/>
          </w:tcPr>
          <w:p w14:paraId="11AE703A"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Study ID</w:t>
            </w:r>
          </w:p>
        </w:tc>
        <w:tc>
          <w:tcPr>
            <w:tcW w:w="1984" w:type="dxa"/>
          </w:tcPr>
          <w:p w14:paraId="6C141C7D"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Primary aim of study</w:t>
            </w:r>
          </w:p>
        </w:tc>
      </w:tr>
      <w:tr w:rsidR="00012622" w:rsidRPr="000A643A" w14:paraId="17116DF0" w14:textId="77777777" w:rsidTr="00012622">
        <w:tc>
          <w:tcPr>
            <w:tcW w:w="1668" w:type="dxa"/>
            <w:vMerge w:val="restart"/>
          </w:tcPr>
          <w:p w14:paraId="41D25B94"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PK in target population</w:t>
            </w:r>
          </w:p>
        </w:tc>
        <w:tc>
          <w:tcPr>
            <w:tcW w:w="2976" w:type="dxa"/>
          </w:tcPr>
          <w:p w14:paraId="3E101422"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Bioequivalence</w:t>
            </w:r>
            <w:r>
              <w:rPr>
                <w:rFonts w:asciiTheme="minorHAnsi" w:hAnsiTheme="minorHAnsi"/>
                <w:sz w:val="20"/>
                <w:szCs w:val="20"/>
                <w:vertAlign w:val="superscript"/>
              </w:rPr>
              <w:t>†</w:t>
            </w:r>
            <w:r w:rsidRPr="000A643A">
              <w:rPr>
                <w:rFonts w:asciiTheme="minorHAnsi" w:hAnsiTheme="minorHAnsi"/>
                <w:sz w:val="20"/>
                <w:szCs w:val="20"/>
              </w:rPr>
              <w:t xml:space="preserve"> - Multi-dose</w:t>
            </w:r>
          </w:p>
        </w:tc>
        <w:tc>
          <w:tcPr>
            <w:tcW w:w="1985" w:type="dxa"/>
          </w:tcPr>
          <w:p w14:paraId="09E12E40"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D0810C00024</w:t>
            </w:r>
          </w:p>
        </w:tc>
        <w:tc>
          <w:tcPr>
            <w:tcW w:w="1984" w:type="dxa"/>
          </w:tcPr>
          <w:p w14:paraId="1EB8152F"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PK Parameters</w:t>
            </w:r>
          </w:p>
        </w:tc>
      </w:tr>
      <w:tr w:rsidR="0094739B" w:rsidRPr="000A643A" w14:paraId="06252495" w14:textId="77777777" w:rsidTr="00012622">
        <w:tc>
          <w:tcPr>
            <w:tcW w:w="1668" w:type="dxa"/>
            <w:vMerge/>
          </w:tcPr>
          <w:p w14:paraId="12B35D11" w14:textId="77777777" w:rsidR="0094739B" w:rsidRPr="000A643A" w:rsidRDefault="0094739B" w:rsidP="00012622">
            <w:pPr>
              <w:rPr>
                <w:rFonts w:asciiTheme="minorHAnsi" w:hAnsiTheme="minorHAnsi"/>
                <w:sz w:val="20"/>
                <w:szCs w:val="20"/>
              </w:rPr>
            </w:pPr>
          </w:p>
        </w:tc>
        <w:tc>
          <w:tcPr>
            <w:tcW w:w="2976" w:type="dxa"/>
            <w:vMerge w:val="restart"/>
          </w:tcPr>
          <w:p w14:paraId="06061698" w14:textId="77777777" w:rsidR="0094739B" w:rsidRPr="000A643A" w:rsidRDefault="0094739B" w:rsidP="00012622">
            <w:pPr>
              <w:rPr>
                <w:rFonts w:asciiTheme="minorHAnsi" w:hAnsiTheme="minorHAnsi"/>
                <w:sz w:val="20"/>
                <w:szCs w:val="20"/>
              </w:rPr>
            </w:pPr>
            <w:r w:rsidRPr="000A643A">
              <w:rPr>
                <w:rFonts w:asciiTheme="minorHAnsi" w:hAnsiTheme="minorHAnsi"/>
                <w:sz w:val="20"/>
                <w:szCs w:val="20"/>
              </w:rPr>
              <w:t>Food effect</w:t>
            </w:r>
          </w:p>
        </w:tc>
        <w:tc>
          <w:tcPr>
            <w:tcW w:w="1985" w:type="dxa"/>
          </w:tcPr>
          <w:p w14:paraId="329D6849" w14:textId="77777777" w:rsidR="0094739B" w:rsidRPr="000A643A" w:rsidRDefault="0094739B" w:rsidP="00012622">
            <w:pPr>
              <w:rPr>
                <w:rFonts w:asciiTheme="minorHAnsi" w:hAnsiTheme="minorHAnsi"/>
                <w:sz w:val="20"/>
                <w:szCs w:val="20"/>
              </w:rPr>
            </w:pPr>
            <w:r>
              <w:rPr>
                <w:rFonts w:asciiTheme="minorHAnsi" w:hAnsiTheme="minorHAnsi"/>
                <w:sz w:val="20"/>
                <w:szCs w:val="20"/>
              </w:rPr>
              <w:t>D081AC00001</w:t>
            </w:r>
          </w:p>
        </w:tc>
        <w:tc>
          <w:tcPr>
            <w:tcW w:w="1984" w:type="dxa"/>
          </w:tcPr>
          <w:p w14:paraId="5BB692A8" w14:textId="77777777" w:rsidR="0094739B" w:rsidRPr="000A643A" w:rsidRDefault="0094739B" w:rsidP="00012622">
            <w:pPr>
              <w:rPr>
                <w:rFonts w:asciiTheme="minorHAnsi" w:hAnsiTheme="minorHAnsi"/>
                <w:sz w:val="20"/>
                <w:szCs w:val="20"/>
              </w:rPr>
            </w:pPr>
            <w:r w:rsidRPr="000A643A">
              <w:rPr>
                <w:rFonts w:asciiTheme="minorHAnsi" w:hAnsiTheme="minorHAnsi"/>
                <w:sz w:val="20"/>
                <w:szCs w:val="20"/>
              </w:rPr>
              <w:t>PK Parameters</w:t>
            </w:r>
          </w:p>
        </w:tc>
      </w:tr>
      <w:tr w:rsidR="0094739B" w:rsidRPr="000A643A" w14:paraId="3DB113D9" w14:textId="77777777" w:rsidTr="00012622">
        <w:trPr>
          <w:trHeight w:val="58"/>
        </w:trPr>
        <w:tc>
          <w:tcPr>
            <w:tcW w:w="1668" w:type="dxa"/>
            <w:vMerge/>
          </w:tcPr>
          <w:p w14:paraId="59F90AAB" w14:textId="77777777" w:rsidR="0094739B" w:rsidRPr="000A643A" w:rsidRDefault="0094739B" w:rsidP="00012622">
            <w:pPr>
              <w:rPr>
                <w:rFonts w:asciiTheme="minorHAnsi" w:hAnsiTheme="minorHAnsi"/>
                <w:sz w:val="20"/>
                <w:szCs w:val="20"/>
              </w:rPr>
            </w:pPr>
          </w:p>
        </w:tc>
        <w:tc>
          <w:tcPr>
            <w:tcW w:w="2976" w:type="dxa"/>
            <w:vMerge/>
          </w:tcPr>
          <w:p w14:paraId="421B3835" w14:textId="77777777" w:rsidR="0094739B" w:rsidRPr="000A643A" w:rsidRDefault="0094739B" w:rsidP="00012622">
            <w:pPr>
              <w:rPr>
                <w:rFonts w:asciiTheme="minorHAnsi" w:hAnsiTheme="minorHAnsi"/>
                <w:sz w:val="20"/>
                <w:szCs w:val="20"/>
              </w:rPr>
            </w:pPr>
          </w:p>
        </w:tc>
        <w:tc>
          <w:tcPr>
            <w:tcW w:w="1985" w:type="dxa"/>
          </w:tcPr>
          <w:p w14:paraId="29482D49" w14:textId="77777777" w:rsidR="0094739B" w:rsidRPr="000A643A" w:rsidRDefault="0094739B" w:rsidP="00012622">
            <w:pPr>
              <w:rPr>
                <w:rFonts w:asciiTheme="minorHAnsi" w:hAnsiTheme="minorHAnsi"/>
                <w:sz w:val="20"/>
                <w:szCs w:val="20"/>
              </w:rPr>
            </w:pPr>
            <w:r w:rsidRPr="000A643A">
              <w:rPr>
                <w:rFonts w:asciiTheme="minorHAnsi" w:hAnsiTheme="minorHAnsi"/>
                <w:sz w:val="20"/>
                <w:szCs w:val="20"/>
              </w:rPr>
              <w:t>D0816C00004</w:t>
            </w:r>
          </w:p>
        </w:tc>
        <w:tc>
          <w:tcPr>
            <w:tcW w:w="1984" w:type="dxa"/>
          </w:tcPr>
          <w:p w14:paraId="50FE0FCD" w14:textId="77777777" w:rsidR="0094739B" w:rsidRPr="000A643A" w:rsidRDefault="0094739B" w:rsidP="00012622">
            <w:pPr>
              <w:rPr>
                <w:rFonts w:asciiTheme="minorHAnsi" w:hAnsiTheme="minorHAnsi"/>
                <w:sz w:val="20"/>
                <w:szCs w:val="20"/>
              </w:rPr>
            </w:pPr>
            <w:r w:rsidRPr="000A643A">
              <w:rPr>
                <w:rFonts w:asciiTheme="minorHAnsi" w:hAnsiTheme="minorHAnsi"/>
                <w:sz w:val="20"/>
                <w:szCs w:val="20"/>
              </w:rPr>
              <w:t>PK Parameters</w:t>
            </w:r>
          </w:p>
        </w:tc>
      </w:tr>
      <w:tr w:rsidR="00012622" w:rsidRPr="000A643A" w14:paraId="4EBA0AE5" w14:textId="77777777" w:rsidTr="00012622">
        <w:trPr>
          <w:trHeight w:val="376"/>
        </w:trPr>
        <w:tc>
          <w:tcPr>
            <w:tcW w:w="1668" w:type="dxa"/>
            <w:vMerge w:val="restart"/>
          </w:tcPr>
          <w:p w14:paraId="4D5346A5"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 xml:space="preserve">PK in special </w:t>
            </w:r>
            <w:r w:rsidRPr="000A643A">
              <w:rPr>
                <w:rFonts w:asciiTheme="minorHAnsi" w:hAnsiTheme="minorHAnsi"/>
                <w:sz w:val="20"/>
                <w:szCs w:val="20"/>
              </w:rPr>
              <w:lastRenderedPageBreak/>
              <w:t>populations</w:t>
            </w:r>
          </w:p>
        </w:tc>
        <w:tc>
          <w:tcPr>
            <w:tcW w:w="2976" w:type="dxa"/>
            <w:vMerge w:val="restart"/>
          </w:tcPr>
          <w:p w14:paraId="0ECA077A" w14:textId="77777777" w:rsidR="00012622" w:rsidRPr="000A643A" w:rsidRDefault="00012622" w:rsidP="00012622">
            <w:pPr>
              <w:rPr>
                <w:rFonts w:asciiTheme="minorHAnsi" w:hAnsiTheme="minorHAnsi"/>
                <w:sz w:val="20"/>
                <w:szCs w:val="20"/>
              </w:rPr>
            </w:pPr>
            <w:r>
              <w:rPr>
                <w:rFonts w:asciiTheme="minorHAnsi" w:hAnsiTheme="minorHAnsi"/>
                <w:sz w:val="20"/>
                <w:szCs w:val="20"/>
              </w:rPr>
              <w:lastRenderedPageBreak/>
              <w:t xml:space="preserve">Target population </w:t>
            </w:r>
            <w:r>
              <w:rPr>
                <w:rFonts w:asciiTheme="minorHAnsi" w:hAnsiTheme="minorHAnsi"/>
                <w:sz w:val="20"/>
                <w:szCs w:val="20"/>
                <w:vertAlign w:val="superscript"/>
              </w:rPr>
              <w:t>§</w:t>
            </w:r>
          </w:p>
          <w:p w14:paraId="778D9D7F"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lastRenderedPageBreak/>
              <w:t>Single dose</w:t>
            </w:r>
          </w:p>
        </w:tc>
        <w:tc>
          <w:tcPr>
            <w:tcW w:w="1985" w:type="dxa"/>
          </w:tcPr>
          <w:p w14:paraId="0EE00A99"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lastRenderedPageBreak/>
              <w:t>D081AC00001</w:t>
            </w:r>
          </w:p>
        </w:tc>
        <w:tc>
          <w:tcPr>
            <w:tcW w:w="1984" w:type="dxa"/>
          </w:tcPr>
          <w:p w14:paraId="440353FE"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PK Parameters</w:t>
            </w:r>
          </w:p>
        </w:tc>
      </w:tr>
      <w:tr w:rsidR="00012622" w:rsidRPr="000A643A" w14:paraId="69BD679E" w14:textId="77777777" w:rsidTr="00012622">
        <w:trPr>
          <w:trHeight w:val="374"/>
        </w:trPr>
        <w:tc>
          <w:tcPr>
            <w:tcW w:w="1668" w:type="dxa"/>
            <w:vMerge/>
          </w:tcPr>
          <w:p w14:paraId="5240C1F1" w14:textId="77777777" w:rsidR="00012622" w:rsidRPr="000A643A" w:rsidRDefault="00012622" w:rsidP="00012622">
            <w:pPr>
              <w:rPr>
                <w:rFonts w:asciiTheme="minorHAnsi" w:hAnsiTheme="minorHAnsi"/>
                <w:sz w:val="20"/>
                <w:szCs w:val="20"/>
              </w:rPr>
            </w:pPr>
          </w:p>
        </w:tc>
        <w:tc>
          <w:tcPr>
            <w:tcW w:w="2976" w:type="dxa"/>
            <w:vMerge/>
          </w:tcPr>
          <w:p w14:paraId="195D10B9" w14:textId="77777777" w:rsidR="00012622" w:rsidRPr="000A643A" w:rsidRDefault="00012622" w:rsidP="00012622">
            <w:pPr>
              <w:rPr>
                <w:rFonts w:asciiTheme="minorHAnsi" w:hAnsiTheme="minorHAnsi"/>
                <w:sz w:val="20"/>
                <w:szCs w:val="20"/>
              </w:rPr>
            </w:pPr>
          </w:p>
        </w:tc>
        <w:tc>
          <w:tcPr>
            <w:tcW w:w="1985" w:type="dxa"/>
          </w:tcPr>
          <w:p w14:paraId="22573857"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D0810C00001</w:t>
            </w:r>
          </w:p>
        </w:tc>
        <w:tc>
          <w:tcPr>
            <w:tcW w:w="1984" w:type="dxa"/>
          </w:tcPr>
          <w:p w14:paraId="07191EC0"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Safety</w:t>
            </w:r>
          </w:p>
        </w:tc>
      </w:tr>
      <w:tr w:rsidR="00012622" w:rsidRPr="000A643A" w14:paraId="73C4FB4B" w14:textId="77777777" w:rsidTr="00012622">
        <w:trPr>
          <w:trHeight w:val="374"/>
        </w:trPr>
        <w:tc>
          <w:tcPr>
            <w:tcW w:w="1668" w:type="dxa"/>
            <w:vMerge/>
          </w:tcPr>
          <w:p w14:paraId="223CF743" w14:textId="77777777" w:rsidR="00012622" w:rsidRPr="000A643A" w:rsidRDefault="00012622" w:rsidP="00012622">
            <w:pPr>
              <w:rPr>
                <w:rFonts w:asciiTheme="minorHAnsi" w:hAnsiTheme="minorHAnsi"/>
                <w:sz w:val="20"/>
                <w:szCs w:val="20"/>
              </w:rPr>
            </w:pPr>
          </w:p>
        </w:tc>
        <w:tc>
          <w:tcPr>
            <w:tcW w:w="2976" w:type="dxa"/>
            <w:vMerge/>
          </w:tcPr>
          <w:p w14:paraId="17E6772C" w14:textId="77777777" w:rsidR="00012622" w:rsidRPr="000A643A" w:rsidRDefault="00012622" w:rsidP="00012622">
            <w:pPr>
              <w:rPr>
                <w:rFonts w:asciiTheme="minorHAnsi" w:hAnsiTheme="minorHAnsi"/>
                <w:sz w:val="20"/>
                <w:szCs w:val="20"/>
              </w:rPr>
            </w:pPr>
          </w:p>
        </w:tc>
        <w:tc>
          <w:tcPr>
            <w:tcW w:w="1985" w:type="dxa"/>
          </w:tcPr>
          <w:p w14:paraId="7F767E70"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D0810C00002</w:t>
            </w:r>
          </w:p>
        </w:tc>
        <w:tc>
          <w:tcPr>
            <w:tcW w:w="1984" w:type="dxa"/>
          </w:tcPr>
          <w:p w14:paraId="7FDD9C60"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Safety</w:t>
            </w:r>
          </w:p>
        </w:tc>
      </w:tr>
      <w:tr w:rsidR="00012622" w:rsidRPr="000A643A" w14:paraId="75EDC2DD" w14:textId="77777777" w:rsidTr="00012622">
        <w:trPr>
          <w:trHeight w:val="374"/>
        </w:trPr>
        <w:tc>
          <w:tcPr>
            <w:tcW w:w="1668" w:type="dxa"/>
            <w:vMerge/>
          </w:tcPr>
          <w:p w14:paraId="66E96627" w14:textId="77777777" w:rsidR="00012622" w:rsidRPr="000A643A" w:rsidRDefault="00012622" w:rsidP="00012622">
            <w:pPr>
              <w:rPr>
                <w:rFonts w:asciiTheme="minorHAnsi" w:hAnsiTheme="minorHAnsi"/>
                <w:sz w:val="20"/>
                <w:szCs w:val="20"/>
              </w:rPr>
            </w:pPr>
          </w:p>
        </w:tc>
        <w:tc>
          <w:tcPr>
            <w:tcW w:w="2976" w:type="dxa"/>
            <w:vMerge/>
          </w:tcPr>
          <w:p w14:paraId="2300D464" w14:textId="77777777" w:rsidR="00012622" w:rsidRPr="000A643A" w:rsidRDefault="00012622" w:rsidP="00012622">
            <w:pPr>
              <w:rPr>
                <w:rFonts w:asciiTheme="minorHAnsi" w:hAnsiTheme="minorHAnsi"/>
                <w:sz w:val="20"/>
                <w:szCs w:val="20"/>
              </w:rPr>
            </w:pPr>
          </w:p>
        </w:tc>
        <w:tc>
          <w:tcPr>
            <w:tcW w:w="1985" w:type="dxa"/>
          </w:tcPr>
          <w:p w14:paraId="71E0BB38"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D0816C00004</w:t>
            </w:r>
          </w:p>
        </w:tc>
        <w:tc>
          <w:tcPr>
            <w:tcW w:w="1984" w:type="dxa"/>
          </w:tcPr>
          <w:p w14:paraId="557B4AB4"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PK Parameters</w:t>
            </w:r>
          </w:p>
        </w:tc>
      </w:tr>
      <w:tr w:rsidR="00012622" w:rsidRPr="000A643A" w14:paraId="3D51A199" w14:textId="77777777" w:rsidTr="00012622">
        <w:trPr>
          <w:trHeight w:val="374"/>
        </w:trPr>
        <w:tc>
          <w:tcPr>
            <w:tcW w:w="1668" w:type="dxa"/>
            <w:vMerge/>
          </w:tcPr>
          <w:p w14:paraId="3D599292" w14:textId="77777777" w:rsidR="00012622" w:rsidRPr="000A643A" w:rsidRDefault="00012622" w:rsidP="00012622">
            <w:pPr>
              <w:rPr>
                <w:rFonts w:asciiTheme="minorHAnsi" w:hAnsiTheme="minorHAnsi"/>
                <w:sz w:val="20"/>
                <w:szCs w:val="20"/>
              </w:rPr>
            </w:pPr>
          </w:p>
        </w:tc>
        <w:tc>
          <w:tcPr>
            <w:tcW w:w="2976" w:type="dxa"/>
            <w:vMerge/>
          </w:tcPr>
          <w:p w14:paraId="3058AF4D" w14:textId="77777777" w:rsidR="00012622" w:rsidRPr="000A643A" w:rsidRDefault="00012622" w:rsidP="00012622">
            <w:pPr>
              <w:rPr>
                <w:rFonts w:asciiTheme="minorHAnsi" w:hAnsiTheme="minorHAnsi"/>
                <w:sz w:val="20"/>
                <w:szCs w:val="20"/>
              </w:rPr>
            </w:pPr>
          </w:p>
        </w:tc>
        <w:tc>
          <w:tcPr>
            <w:tcW w:w="1985" w:type="dxa"/>
          </w:tcPr>
          <w:p w14:paraId="5549E2A8"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D0810C00010</w:t>
            </w:r>
          </w:p>
        </w:tc>
        <w:tc>
          <w:tcPr>
            <w:tcW w:w="1984" w:type="dxa"/>
          </w:tcPr>
          <w:p w14:paraId="0E891E07"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PK Parameters</w:t>
            </w:r>
          </w:p>
        </w:tc>
      </w:tr>
      <w:tr w:rsidR="00012622" w:rsidRPr="000A643A" w14:paraId="613FBBEF" w14:textId="77777777" w:rsidTr="00012622">
        <w:trPr>
          <w:trHeight w:val="376"/>
        </w:trPr>
        <w:tc>
          <w:tcPr>
            <w:tcW w:w="1668" w:type="dxa"/>
            <w:vMerge/>
          </w:tcPr>
          <w:p w14:paraId="7FB1471D" w14:textId="77777777" w:rsidR="00012622" w:rsidRPr="000A643A" w:rsidRDefault="00012622" w:rsidP="00012622">
            <w:pPr>
              <w:rPr>
                <w:rFonts w:asciiTheme="minorHAnsi" w:hAnsiTheme="minorHAnsi"/>
                <w:sz w:val="20"/>
                <w:szCs w:val="20"/>
              </w:rPr>
            </w:pPr>
          </w:p>
        </w:tc>
        <w:tc>
          <w:tcPr>
            <w:tcW w:w="2976" w:type="dxa"/>
            <w:vMerge w:val="restart"/>
          </w:tcPr>
          <w:p w14:paraId="4F023040"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Multi-dose</w:t>
            </w:r>
          </w:p>
        </w:tc>
        <w:tc>
          <w:tcPr>
            <w:tcW w:w="1985" w:type="dxa"/>
          </w:tcPr>
          <w:p w14:paraId="2201E5E3"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D0810C00001</w:t>
            </w:r>
          </w:p>
        </w:tc>
        <w:tc>
          <w:tcPr>
            <w:tcW w:w="1984" w:type="dxa"/>
          </w:tcPr>
          <w:p w14:paraId="3DDCF8C0"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Safety</w:t>
            </w:r>
          </w:p>
        </w:tc>
      </w:tr>
      <w:tr w:rsidR="00012622" w:rsidRPr="000A643A" w14:paraId="36F8F85F" w14:textId="77777777" w:rsidTr="00012622">
        <w:trPr>
          <w:trHeight w:val="537"/>
        </w:trPr>
        <w:tc>
          <w:tcPr>
            <w:tcW w:w="1668" w:type="dxa"/>
            <w:vMerge/>
          </w:tcPr>
          <w:p w14:paraId="6519A606" w14:textId="77777777" w:rsidR="00012622" w:rsidRPr="000A643A" w:rsidRDefault="00012622" w:rsidP="00012622">
            <w:pPr>
              <w:rPr>
                <w:rFonts w:asciiTheme="minorHAnsi" w:hAnsiTheme="minorHAnsi"/>
                <w:sz w:val="20"/>
                <w:szCs w:val="20"/>
              </w:rPr>
            </w:pPr>
          </w:p>
        </w:tc>
        <w:tc>
          <w:tcPr>
            <w:tcW w:w="2976" w:type="dxa"/>
            <w:vMerge/>
          </w:tcPr>
          <w:p w14:paraId="24032B18" w14:textId="77777777" w:rsidR="00012622" w:rsidRPr="000A643A" w:rsidRDefault="00012622" w:rsidP="00012622">
            <w:pPr>
              <w:rPr>
                <w:rFonts w:asciiTheme="minorHAnsi" w:hAnsiTheme="minorHAnsi"/>
                <w:sz w:val="20"/>
                <w:szCs w:val="20"/>
              </w:rPr>
            </w:pPr>
          </w:p>
        </w:tc>
        <w:tc>
          <w:tcPr>
            <w:tcW w:w="1985" w:type="dxa"/>
          </w:tcPr>
          <w:p w14:paraId="2898F550"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D0810C00002</w:t>
            </w:r>
          </w:p>
        </w:tc>
        <w:tc>
          <w:tcPr>
            <w:tcW w:w="1984" w:type="dxa"/>
          </w:tcPr>
          <w:p w14:paraId="0F07BD61"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Safety</w:t>
            </w:r>
          </w:p>
        </w:tc>
      </w:tr>
      <w:tr w:rsidR="00012622" w:rsidRPr="000A643A" w14:paraId="0F56F713" w14:textId="77777777" w:rsidTr="00012622">
        <w:trPr>
          <w:trHeight w:val="376"/>
        </w:trPr>
        <w:tc>
          <w:tcPr>
            <w:tcW w:w="1668" w:type="dxa"/>
            <w:vMerge/>
          </w:tcPr>
          <w:p w14:paraId="085D2EF4" w14:textId="77777777" w:rsidR="00012622" w:rsidRPr="000A643A" w:rsidRDefault="00012622" w:rsidP="00012622">
            <w:pPr>
              <w:rPr>
                <w:rFonts w:asciiTheme="minorHAnsi" w:hAnsiTheme="minorHAnsi"/>
                <w:sz w:val="20"/>
                <w:szCs w:val="20"/>
              </w:rPr>
            </w:pPr>
          </w:p>
        </w:tc>
        <w:tc>
          <w:tcPr>
            <w:tcW w:w="2976" w:type="dxa"/>
            <w:vMerge/>
          </w:tcPr>
          <w:p w14:paraId="79DF0354" w14:textId="77777777" w:rsidR="00012622" w:rsidRPr="000A643A" w:rsidRDefault="00012622" w:rsidP="00012622">
            <w:pPr>
              <w:rPr>
                <w:rFonts w:asciiTheme="minorHAnsi" w:hAnsiTheme="minorHAnsi"/>
                <w:sz w:val="20"/>
                <w:szCs w:val="20"/>
              </w:rPr>
            </w:pPr>
          </w:p>
        </w:tc>
        <w:tc>
          <w:tcPr>
            <w:tcW w:w="1985" w:type="dxa"/>
          </w:tcPr>
          <w:p w14:paraId="7B8FB2A9"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D0816C00004</w:t>
            </w:r>
          </w:p>
        </w:tc>
        <w:tc>
          <w:tcPr>
            <w:tcW w:w="1984" w:type="dxa"/>
          </w:tcPr>
          <w:p w14:paraId="52C5F50E"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PK Parameters</w:t>
            </w:r>
          </w:p>
        </w:tc>
      </w:tr>
      <w:tr w:rsidR="00012622" w:rsidRPr="000A643A" w14:paraId="44DACD7C" w14:textId="77777777" w:rsidTr="00012622">
        <w:trPr>
          <w:trHeight w:val="376"/>
        </w:trPr>
        <w:tc>
          <w:tcPr>
            <w:tcW w:w="1668" w:type="dxa"/>
            <w:vMerge/>
          </w:tcPr>
          <w:p w14:paraId="16515757" w14:textId="77777777" w:rsidR="00012622" w:rsidRPr="000A643A" w:rsidRDefault="00012622" w:rsidP="00012622">
            <w:pPr>
              <w:rPr>
                <w:rFonts w:asciiTheme="minorHAnsi" w:hAnsiTheme="minorHAnsi"/>
                <w:sz w:val="20"/>
                <w:szCs w:val="20"/>
              </w:rPr>
            </w:pPr>
          </w:p>
        </w:tc>
        <w:tc>
          <w:tcPr>
            <w:tcW w:w="2976" w:type="dxa"/>
            <w:vMerge/>
          </w:tcPr>
          <w:p w14:paraId="49906A5D" w14:textId="77777777" w:rsidR="00012622" w:rsidRPr="000A643A" w:rsidRDefault="00012622" w:rsidP="00012622">
            <w:pPr>
              <w:rPr>
                <w:rFonts w:asciiTheme="minorHAnsi" w:hAnsiTheme="minorHAnsi"/>
                <w:sz w:val="20"/>
                <w:szCs w:val="20"/>
              </w:rPr>
            </w:pPr>
          </w:p>
        </w:tc>
        <w:tc>
          <w:tcPr>
            <w:tcW w:w="1985" w:type="dxa"/>
          </w:tcPr>
          <w:p w14:paraId="444D4FBF"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D0810C00007</w:t>
            </w:r>
          </w:p>
        </w:tc>
        <w:tc>
          <w:tcPr>
            <w:tcW w:w="1984" w:type="dxa"/>
          </w:tcPr>
          <w:p w14:paraId="64F923AF"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PK Parameters</w:t>
            </w:r>
          </w:p>
        </w:tc>
      </w:tr>
      <w:tr w:rsidR="00012622" w:rsidRPr="000A643A" w14:paraId="5EFBE84D" w14:textId="77777777" w:rsidTr="00012622">
        <w:trPr>
          <w:trHeight w:val="376"/>
        </w:trPr>
        <w:tc>
          <w:tcPr>
            <w:tcW w:w="1668" w:type="dxa"/>
            <w:vMerge/>
          </w:tcPr>
          <w:p w14:paraId="1909F0E1" w14:textId="77777777" w:rsidR="00012622" w:rsidRPr="000A643A" w:rsidRDefault="00012622" w:rsidP="00012622">
            <w:pPr>
              <w:rPr>
                <w:rFonts w:asciiTheme="minorHAnsi" w:hAnsiTheme="minorHAnsi"/>
                <w:sz w:val="20"/>
                <w:szCs w:val="20"/>
              </w:rPr>
            </w:pPr>
          </w:p>
        </w:tc>
        <w:tc>
          <w:tcPr>
            <w:tcW w:w="2976" w:type="dxa"/>
            <w:vMerge/>
          </w:tcPr>
          <w:p w14:paraId="2D6AB19E" w14:textId="77777777" w:rsidR="00012622" w:rsidRPr="000A643A" w:rsidRDefault="00012622" w:rsidP="00012622">
            <w:pPr>
              <w:rPr>
                <w:rFonts w:asciiTheme="minorHAnsi" w:hAnsiTheme="minorHAnsi"/>
                <w:sz w:val="20"/>
                <w:szCs w:val="20"/>
              </w:rPr>
            </w:pPr>
          </w:p>
        </w:tc>
        <w:tc>
          <w:tcPr>
            <w:tcW w:w="1985" w:type="dxa"/>
          </w:tcPr>
          <w:p w14:paraId="712CD7FB"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D0810C00008</w:t>
            </w:r>
          </w:p>
        </w:tc>
        <w:tc>
          <w:tcPr>
            <w:tcW w:w="1984" w:type="dxa"/>
          </w:tcPr>
          <w:p w14:paraId="6066B35D"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PK Parameters</w:t>
            </w:r>
          </w:p>
        </w:tc>
      </w:tr>
      <w:tr w:rsidR="00012622" w:rsidRPr="000A643A" w14:paraId="0663FBC8" w14:textId="77777777" w:rsidTr="00012622">
        <w:trPr>
          <w:trHeight w:val="376"/>
        </w:trPr>
        <w:tc>
          <w:tcPr>
            <w:tcW w:w="1668" w:type="dxa"/>
            <w:vMerge/>
          </w:tcPr>
          <w:p w14:paraId="010BB2EF" w14:textId="77777777" w:rsidR="00012622" w:rsidRPr="000A643A" w:rsidRDefault="00012622" w:rsidP="00012622">
            <w:pPr>
              <w:rPr>
                <w:rFonts w:asciiTheme="minorHAnsi" w:hAnsiTheme="minorHAnsi"/>
                <w:sz w:val="20"/>
                <w:szCs w:val="20"/>
              </w:rPr>
            </w:pPr>
          </w:p>
        </w:tc>
        <w:tc>
          <w:tcPr>
            <w:tcW w:w="2976" w:type="dxa"/>
            <w:vMerge/>
          </w:tcPr>
          <w:p w14:paraId="38DC2FF3" w14:textId="77777777" w:rsidR="00012622" w:rsidRPr="000A643A" w:rsidRDefault="00012622" w:rsidP="00012622">
            <w:pPr>
              <w:rPr>
                <w:rFonts w:asciiTheme="minorHAnsi" w:hAnsiTheme="minorHAnsi"/>
                <w:sz w:val="20"/>
                <w:szCs w:val="20"/>
              </w:rPr>
            </w:pPr>
          </w:p>
        </w:tc>
        <w:tc>
          <w:tcPr>
            <w:tcW w:w="1985" w:type="dxa"/>
          </w:tcPr>
          <w:p w14:paraId="72284ECC"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D0810C00024</w:t>
            </w:r>
          </w:p>
        </w:tc>
        <w:tc>
          <w:tcPr>
            <w:tcW w:w="1984" w:type="dxa"/>
          </w:tcPr>
          <w:p w14:paraId="0F63E565"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PK Parameters</w:t>
            </w:r>
          </w:p>
        </w:tc>
      </w:tr>
      <w:tr w:rsidR="00012622" w:rsidRPr="000A643A" w14:paraId="0ABC720A" w14:textId="77777777" w:rsidTr="00012622">
        <w:tc>
          <w:tcPr>
            <w:tcW w:w="1668" w:type="dxa"/>
            <w:vMerge w:val="restart"/>
          </w:tcPr>
          <w:p w14:paraId="44BEE1F3"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PK interactions</w:t>
            </w:r>
          </w:p>
        </w:tc>
        <w:tc>
          <w:tcPr>
            <w:tcW w:w="2976" w:type="dxa"/>
          </w:tcPr>
          <w:p w14:paraId="69EF0D41"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Itraconazole</w:t>
            </w:r>
          </w:p>
        </w:tc>
        <w:tc>
          <w:tcPr>
            <w:tcW w:w="1985" w:type="dxa"/>
          </w:tcPr>
          <w:p w14:paraId="12DC589F"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D0816C00007</w:t>
            </w:r>
          </w:p>
        </w:tc>
        <w:tc>
          <w:tcPr>
            <w:tcW w:w="1984" w:type="dxa"/>
          </w:tcPr>
          <w:p w14:paraId="2A4095B8"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PK Parameters</w:t>
            </w:r>
          </w:p>
        </w:tc>
      </w:tr>
      <w:tr w:rsidR="00012622" w:rsidRPr="000A643A" w14:paraId="2683338B" w14:textId="77777777" w:rsidTr="00012622">
        <w:tc>
          <w:tcPr>
            <w:tcW w:w="1668" w:type="dxa"/>
            <w:vMerge/>
          </w:tcPr>
          <w:p w14:paraId="7A6F93F7" w14:textId="77777777" w:rsidR="00012622" w:rsidRPr="000A643A" w:rsidRDefault="00012622" w:rsidP="00012622">
            <w:pPr>
              <w:rPr>
                <w:rFonts w:asciiTheme="minorHAnsi" w:hAnsiTheme="minorHAnsi"/>
                <w:sz w:val="20"/>
                <w:szCs w:val="20"/>
              </w:rPr>
            </w:pPr>
          </w:p>
        </w:tc>
        <w:tc>
          <w:tcPr>
            <w:tcW w:w="2976" w:type="dxa"/>
          </w:tcPr>
          <w:p w14:paraId="258C5CA0"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Rifampicin</w:t>
            </w:r>
          </w:p>
        </w:tc>
        <w:tc>
          <w:tcPr>
            <w:tcW w:w="1985" w:type="dxa"/>
          </w:tcPr>
          <w:p w14:paraId="14CA1D33"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D0816C00008</w:t>
            </w:r>
          </w:p>
        </w:tc>
        <w:tc>
          <w:tcPr>
            <w:tcW w:w="1984" w:type="dxa"/>
          </w:tcPr>
          <w:p w14:paraId="28CEF469"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PK Parameters</w:t>
            </w:r>
          </w:p>
        </w:tc>
      </w:tr>
      <w:tr w:rsidR="00012622" w:rsidRPr="000A643A" w14:paraId="765B3958" w14:textId="77777777" w:rsidTr="00012622">
        <w:trPr>
          <w:trHeight w:val="376"/>
        </w:trPr>
        <w:tc>
          <w:tcPr>
            <w:tcW w:w="1668" w:type="dxa"/>
            <w:vMerge/>
          </w:tcPr>
          <w:p w14:paraId="125D1558" w14:textId="77777777" w:rsidR="00012622" w:rsidRPr="000A643A" w:rsidRDefault="00012622" w:rsidP="00012622">
            <w:pPr>
              <w:rPr>
                <w:rFonts w:asciiTheme="minorHAnsi" w:hAnsiTheme="minorHAnsi"/>
                <w:sz w:val="20"/>
                <w:szCs w:val="20"/>
              </w:rPr>
            </w:pPr>
          </w:p>
        </w:tc>
        <w:tc>
          <w:tcPr>
            <w:tcW w:w="2976" w:type="dxa"/>
            <w:vMerge w:val="restart"/>
          </w:tcPr>
          <w:p w14:paraId="18088D24"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Target population</w:t>
            </w:r>
          </w:p>
        </w:tc>
        <w:tc>
          <w:tcPr>
            <w:tcW w:w="1985" w:type="dxa"/>
          </w:tcPr>
          <w:p w14:paraId="1B1B4C16"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D081AC00001</w:t>
            </w:r>
          </w:p>
        </w:tc>
        <w:tc>
          <w:tcPr>
            <w:tcW w:w="1984" w:type="dxa"/>
          </w:tcPr>
          <w:p w14:paraId="0142AFB4"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PK Parameters</w:t>
            </w:r>
          </w:p>
        </w:tc>
      </w:tr>
      <w:tr w:rsidR="00012622" w:rsidRPr="000A643A" w14:paraId="1E14F019" w14:textId="77777777" w:rsidTr="00012622">
        <w:trPr>
          <w:trHeight w:val="376"/>
        </w:trPr>
        <w:tc>
          <w:tcPr>
            <w:tcW w:w="1668" w:type="dxa"/>
            <w:vMerge/>
          </w:tcPr>
          <w:p w14:paraId="24B3E493" w14:textId="77777777" w:rsidR="00012622" w:rsidRPr="000A643A" w:rsidRDefault="00012622" w:rsidP="00012622">
            <w:pPr>
              <w:rPr>
                <w:rFonts w:asciiTheme="minorHAnsi" w:hAnsiTheme="minorHAnsi"/>
                <w:sz w:val="20"/>
                <w:szCs w:val="20"/>
              </w:rPr>
            </w:pPr>
          </w:p>
        </w:tc>
        <w:tc>
          <w:tcPr>
            <w:tcW w:w="2976" w:type="dxa"/>
            <w:vMerge/>
          </w:tcPr>
          <w:p w14:paraId="2454A74F" w14:textId="77777777" w:rsidR="00012622" w:rsidRPr="000A643A" w:rsidRDefault="00012622" w:rsidP="00012622">
            <w:pPr>
              <w:rPr>
                <w:rFonts w:asciiTheme="minorHAnsi" w:hAnsiTheme="minorHAnsi"/>
                <w:sz w:val="20"/>
                <w:szCs w:val="20"/>
              </w:rPr>
            </w:pPr>
          </w:p>
        </w:tc>
        <w:tc>
          <w:tcPr>
            <w:tcW w:w="1985" w:type="dxa"/>
          </w:tcPr>
          <w:p w14:paraId="5EA33540" w14:textId="77777777" w:rsidR="00012622" w:rsidRPr="000A643A" w:rsidRDefault="00012622" w:rsidP="00012622">
            <w:pPr>
              <w:rPr>
                <w:rFonts w:asciiTheme="minorHAnsi" w:hAnsiTheme="minorHAnsi"/>
                <w:sz w:val="20"/>
                <w:szCs w:val="20"/>
              </w:rPr>
            </w:pPr>
            <w:r>
              <w:rPr>
                <w:rFonts w:asciiTheme="minorHAnsi" w:hAnsiTheme="minorHAnsi"/>
                <w:sz w:val="20"/>
                <w:szCs w:val="20"/>
              </w:rPr>
              <w:t>D0810C00001</w:t>
            </w:r>
          </w:p>
        </w:tc>
        <w:tc>
          <w:tcPr>
            <w:tcW w:w="1984" w:type="dxa"/>
          </w:tcPr>
          <w:p w14:paraId="363EB0E4"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Safety</w:t>
            </w:r>
          </w:p>
        </w:tc>
      </w:tr>
      <w:tr w:rsidR="00012622" w:rsidRPr="000A643A" w14:paraId="114C1A06" w14:textId="77777777" w:rsidTr="00012622">
        <w:trPr>
          <w:trHeight w:val="376"/>
        </w:trPr>
        <w:tc>
          <w:tcPr>
            <w:tcW w:w="1668" w:type="dxa"/>
            <w:vMerge/>
          </w:tcPr>
          <w:p w14:paraId="244BBDAF" w14:textId="77777777" w:rsidR="00012622" w:rsidRPr="000A643A" w:rsidRDefault="00012622" w:rsidP="00012622">
            <w:pPr>
              <w:rPr>
                <w:rFonts w:asciiTheme="minorHAnsi" w:hAnsiTheme="minorHAnsi"/>
                <w:sz w:val="20"/>
                <w:szCs w:val="20"/>
              </w:rPr>
            </w:pPr>
          </w:p>
        </w:tc>
        <w:tc>
          <w:tcPr>
            <w:tcW w:w="2976" w:type="dxa"/>
            <w:vMerge/>
          </w:tcPr>
          <w:p w14:paraId="08B8AACF" w14:textId="77777777" w:rsidR="00012622" w:rsidRPr="000A643A" w:rsidRDefault="00012622" w:rsidP="00012622">
            <w:pPr>
              <w:rPr>
                <w:rFonts w:asciiTheme="minorHAnsi" w:hAnsiTheme="minorHAnsi"/>
                <w:sz w:val="20"/>
                <w:szCs w:val="20"/>
              </w:rPr>
            </w:pPr>
          </w:p>
        </w:tc>
        <w:tc>
          <w:tcPr>
            <w:tcW w:w="1985" w:type="dxa"/>
          </w:tcPr>
          <w:p w14:paraId="2F7D7E93"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D0810C00002</w:t>
            </w:r>
          </w:p>
        </w:tc>
        <w:tc>
          <w:tcPr>
            <w:tcW w:w="1984" w:type="dxa"/>
          </w:tcPr>
          <w:p w14:paraId="7C6D89CB"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Safety</w:t>
            </w:r>
          </w:p>
        </w:tc>
      </w:tr>
      <w:tr w:rsidR="00012622" w:rsidRPr="000A643A" w14:paraId="4966981E" w14:textId="77777777" w:rsidTr="00012622">
        <w:trPr>
          <w:trHeight w:val="376"/>
        </w:trPr>
        <w:tc>
          <w:tcPr>
            <w:tcW w:w="1668" w:type="dxa"/>
            <w:vMerge/>
          </w:tcPr>
          <w:p w14:paraId="2F8F1399" w14:textId="77777777" w:rsidR="00012622" w:rsidRPr="000A643A" w:rsidRDefault="00012622" w:rsidP="00012622">
            <w:pPr>
              <w:rPr>
                <w:rFonts w:asciiTheme="minorHAnsi" w:hAnsiTheme="minorHAnsi"/>
                <w:sz w:val="20"/>
                <w:szCs w:val="20"/>
              </w:rPr>
            </w:pPr>
          </w:p>
        </w:tc>
        <w:tc>
          <w:tcPr>
            <w:tcW w:w="2976" w:type="dxa"/>
            <w:vMerge/>
          </w:tcPr>
          <w:p w14:paraId="1EEFAFFF" w14:textId="77777777" w:rsidR="00012622" w:rsidRPr="000A643A" w:rsidRDefault="00012622" w:rsidP="00012622">
            <w:pPr>
              <w:rPr>
                <w:rFonts w:asciiTheme="minorHAnsi" w:hAnsiTheme="minorHAnsi"/>
                <w:sz w:val="20"/>
                <w:szCs w:val="20"/>
              </w:rPr>
            </w:pPr>
          </w:p>
        </w:tc>
        <w:tc>
          <w:tcPr>
            <w:tcW w:w="1985" w:type="dxa"/>
          </w:tcPr>
          <w:p w14:paraId="6C3F9430"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D0810C00007</w:t>
            </w:r>
          </w:p>
        </w:tc>
        <w:tc>
          <w:tcPr>
            <w:tcW w:w="1984" w:type="dxa"/>
          </w:tcPr>
          <w:p w14:paraId="5E24EB60" w14:textId="77777777" w:rsidR="00012622" w:rsidRPr="000A643A" w:rsidRDefault="00012622" w:rsidP="00012622">
            <w:pPr>
              <w:rPr>
                <w:rFonts w:asciiTheme="minorHAnsi" w:hAnsiTheme="minorHAnsi"/>
                <w:sz w:val="20"/>
                <w:szCs w:val="20"/>
              </w:rPr>
            </w:pPr>
            <w:r w:rsidRPr="000A643A">
              <w:rPr>
                <w:rFonts w:asciiTheme="minorHAnsi" w:hAnsiTheme="minorHAnsi"/>
                <w:sz w:val="20"/>
                <w:szCs w:val="20"/>
              </w:rPr>
              <w:t>PK Parameters</w:t>
            </w:r>
          </w:p>
        </w:tc>
      </w:tr>
    </w:tbl>
    <w:p w14:paraId="4BB00FCE" w14:textId="77777777" w:rsidR="00012622" w:rsidRPr="000A643A" w:rsidRDefault="00F03EBB" w:rsidP="00012622">
      <w:r>
        <w:t>Table 6</w:t>
      </w:r>
      <w:r w:rsidR="00012622" w:rsidRPr="000A643A">
        <w:t xml:space="preserve"> lists the pharmacokinetic results that were excluded from consideration due to study deficiencies.</w:t>
      </w:r>
    </w:p>
    <w:p w14:paraId="3C5B3484" w14:textId="77777777" w:rsidR="00012622" w:rsidRPr="000A643A" w:rsidRDefault="00F03EBB" w:rsidP="00012622">
      <w:pPr>
        <w:pStyle w:val="Tabletitle0"/>
      </w:pPr>
      <w:bookmarkStart w:id="92" w:name="_Toc297901059"/>
      <w:r>
        <w:t>Table 6</w:t>
      </w:r>
      <w:r w:rsidR="00012622" w:rsidRPr="00DC225D">
        <w:t>: Excluded pharmacokinetic studies</w:t>
      </w:r>
      <w:bookmarkEnd w:id="92"/>
    </w:p>
    <w:tbl>
      <w:tblPr>
        <w:tblStyle w:val="TableTGAblue"/>
        <w:tblW w:w="0" w:type="auto"/>
        <w:tblLook w:val="04A0" w:firstRow="1" w:lastRow="0" w:firstColumn="1" w:lastColumn="0" w:noHBand="0" w:noVBand="1"/>
      </w:tblPr>
      <w:tblGrid>
        <w:gridCol w:w="2907"/>
        <w:gridCol w:w="2947"/>
        <w:gridCol w:w="2866"/>
      </w:tblGrid>
      <w:tr w:rsidR="00012622" w:rsidRPr="000A643A" w14:paraId="2798D77B" w14:textId="77777777" w:rsidTr="00012622">
        <w:trPr>
          <w:cnfStyle w:val="100000000000" w:firstRow="1" w:lastRow="0" w:firstColumn="0" w:lastColumn="0" w:oddVBand="0" w:evenVBand="0" w:oddHBand="0" w:evenHBand="0" w:firstRowFirstColumn="0" w:firstRowLastColumn="0" w:lastRowFirstColumn="0" w:lastRowLastColumn="0"/>
        </w:trPr>
        <w:tc>
          <w:tcPr>
            <w:tcW w:w="3182" w:type="dxa"/>
          </w:tcPr>
          <w:p w14:paraId="11FA8E43" w14:textId="77777777" w:rsidR="00012622" w:rsidRPr="000A643A" w:rsidRDefault="00012622" w:rsidP="00012622">
            <w:pPr>
              <w:rPr>
                <w:sz w:val="20"/>
                <w:szCs w:val="20"/>
              </w:rPr>
            </w:pPr>
            <w:r w:rsidRPr="000A643A">
              <w:rPr>
                <w:sz w:val="20"/>
                <w:szCs w:val="20"/>
              </w:rPr>
              <w:t>Population</w:t>
            </w:r>
          </w:p>
        </w:tc>
        <w:tc>
          <w:tcPr>
            <w:tcW w:w="3183" w:type="dxa"/>
          </w:tcPr>
          <w:p w14:paraId="54305FCE" w14:textId="77777777" w:rsidR="00012622" w:rsidRPr="000A643A" w:rsidRDefault="00012622" w:rsidP="00012622">
            <w:pPr>
              <w:rPr>
                <w:sz w:val="20"/>
                <w:szCs w:val="20"/>
              </w:rPr>
            </w:pPr>
            <w:r w:rsidRPr="000A643A">
              <w:rPr>
                <w:sz w:val="20"/>
                <w:szCs w:val="20"/>
              </w:rPr>
              <w:t>Study</w:t>
            </w:r>
          </w:p>
        </w:tc>
        <w:tc>
          <w:tcPr>
            <w:tcW w:w="3183" w:type="dxa"/>
          </w:tcPr>
          <w:p w14:paraId="5ED835E7" w14:textId="77777777" w:rsidR="00012622" w:rsidRPr="000A643A" w:rsidRDefault="00012622" w:rsidP="00012622">
            <w:pPr>
              <w:rPr>
                <w:sz w:val="20"/>
                <w:szCs w:val="20"/>
              </w:rPr>
            </w:pPr>
            <w:r w:rsidRPr="000A643A">
              <w:rPr>
                <w:sz w:val="20"/>
                <w:szCs w:val="20"/>
              </w:rPr>
              <w:t>Reason</w:t>
            </w:r>
          </w:p>
        </w:tc>
      </w:tr>
      <w:tr w:rsidR="00012622" w:rsidRPr="000A643A" w14:paraId="2D322085" w14:textId="77777777" w:rsidTr="00012622">
        <w:tc>
          <w:tcPr>
            <w:tcW w:w="3182" w:type="dxa"/>
          </w:tcPr>
          <w:p w14:paraId="2D8F4720" w14:textId="77777777" w:rsidR="00012622" w:rsidRPr="000A643A" w:rsidRDefault="00012622" w:rsidP="00012622">
            <w:pPr>
              <w:rPr>
                <w:sz w:val="20"/>
                <w:szCs w:val="20"/>
              </w:rPr>
            </w:pPr>
            <w:r w:rsidRPr="000A643A">
              <w:rPr>
                <w:sz w:val="20"/>
                <w:szCs w:val="20"/>
              </w:rPr>
              <w:t>Breast cancer population</w:t>
            </w:r>
          </w:p>
        </w:tc>
        <w:tc>
          <w:tcPr>
            <w:tcW w:w="3183" w:type="dxa"/>
          </w:tcPr>
          <w:p w14:paraId="6CA86E5D" w14:textId="77777777" w:rsidR="00012622" w:rsidRPr="000A643A" w:rsidRDefault="00012622" w:rsidP="00012622">
            <w:pPr>
              <w:rPr>
                <w:sz w:val="20"/>
                <w:szCs w:val="20"/>
              </w:rPr>
            </w:pPr>
            <w:r w:rsidRPr="000A643A">
              <w:rPr>
                <w:sz w:val="20"/>
                <w:szCs w:val="20"/>
              </w:rPr>
              <w:t>D0810C00008</w:t>
            </w:r>
          </w:p>
        </w:tc>
        <w:tc>
          <w:tcPr>
            <w:tcW w:w="3183" w:type="dxa"/>
          </w:tcPr>
          <w:p w14:paraId="149EDA87" w14:textId="77777777" w:rsidR="00012622" w:rsidRPr="000A643A" w:rsidRDefault="00012622" w:rsidP="00012622">
            <w:pPr>
              <w:rPr>
                <w:sz w:val="20"/>
                <w:szCs w:val="20"/>
              </w:rPr>
            </w:pPr>
            <w:r w:rsidRPr="000A643A">
              <w:rPr>
                <w:sz w:val="20"/>
                <w:szCs w:val="20"/>
              </w:rPr>
              <w:t>Results not available</w:t>
            </w:r>
          </w:p>
        </w:tc>
      </w:tr>
    </w:tbl>
    <w:p w14:paraId="306D464D" w14:textId="77777777" w:rsidR="00605AD4" w:rsidRDefault="00605AD4" w:rsidP="00605AD4">
      <w:pPr>
        <w:pStyle w:val="Heading4"/>
      </w:pPr>
      <w:r>
        <w:t>Evaluator’s conclusions on pharmacokinetics</w:t>
      </w:r>
    </w:p>
    <w:p w14:paraId="6B2EC645" w14:textId="77777777" w:rsidR="00012622" w:rsidRDefault="00012622" w:rsidP="00012622">
      <w:r w:rsidRPr="00831EF7">
        <w:t>The pharmacokinetics of olaparib as monotherapy has been extensively studied.</w:t>
      </w:r>
      <w:r>
        <w:t xml:space="preserve"> </w:t>
      </w:r>
      <w:r w:rsidRPr="00831EF7">
        <w:t>This has included both in vitro and in vivo studies.</w:t>
      </w:r>
      <w:r>
        <w:t xml:space="preserve"> </w:t>
      </w:r>
      <w:r w:rsidRPr="00831EF7">
        <w:t>Data has been provided from multiple animal models</w:t>
      </w:r>
      <w:r>
        <w:t xml:space="preserve"> (mouse, rat, dog and human).</w:t>
      </w:r>
    </w:p>
    <w:p w14:paraId="7C793E26" w14:textId="77777777" w:rsidR="00012622" w:rsidRPr="00831EF7" w:rsidRDefault="00012622" w:rsidP="00012622">
      <w:r w:rsidRPr="00831EF7">
        <w:t>Olaparib is not suitable for testing in a healthy population.</w:t>
      </w:r>
      <w:r>
        <w:t xml:space="preserve"> </w:t>
      </w:r>
      <w:r w:rsidRPr="00831EF7">
        <w:t>All clinical studies in human were conducted in a population with advanced solid organ malignancy representative of the target population.</w:t>
      </w:r>
      <w:r>
        <w:t xml:space="preserve"> </w:t>
      </w:r>
      <w:r w:rsidRPr="00831EF7">
        <w:t>Additionally this has been enriched with data from patients with a BRCA mutation. The overall analysis of olaparib monotherapy is based on individual studies and a population pharmacokinetic evaluation using pooled data from 5 studies.</w:t>
      </w:r>
    </w:p>
    <w:p w14:paraId="52522606" w14:textId="3B6F92CF" w:rsidR="00012622" w:rsidRPr="00831EF7" w:rsidRDefault="00012622" w:rsidP="00012622">
      <w:r w:rsidRPr="00831EF7">
        <w:lastRenderedPageBreak/>
        <w:t>It is noted that the pharmacokinetic data is overwhelmingly from females and Caucasian patients.</w:t>
      </w:r>
      <w:r>
        <w:t xml:space="preserve"> </w:t>
      </w:r>
      <w:r w:rsidRPr="00831EF7">
        <w:t>There is a lack of ethnic diversity and the pharmacokinetics in these populations potentially may differ from Caucasians.</w:t>
      </w:r>
      <w:r>
        <w:t xml:space="preserve"> </w:t>
      </w:r>
      <w:r w:rsidRPr="00831EF7">
        <w:t xml:space="preserve">There is also limited clinical data </w:t>
      </w:r>
      <w:r>
        <w:t>on patients over the age of 75;</w:t>
      </w:r>
      <w:r w:rsidRPr="00831EF7">
        <w:t xml:space="preserve"> this is documented in the PI</w:t>
      </w:r>
      <w:r w:rsidR="00DF5CF8">
        <w:t>.</w:t>
      </w:r>
    </w:p>
    <w:p w14:paraId="34899583" w14:textId="58A920EE" w:rsidR="00012622" w:rsidRPr="00831EF7" w:rsidRDefault="00012622" w:rsidP="00012622">
      <w:r w:rsidRPr="00831EF7">
        <w:t>Data is currently not available on the pharmacokinetics of ola</w:t>
      </w:r>
      <w:r w:rsidR="0094739B">
        <w:t xml:space="preserve">parib in patients with moderate </w:t>
      </w:r>
      <w:r w:rsidRPr="00831EF7">
        <w:t>severe hepatic or renal impairment.</w:t>
      </w:r>
      <w:r>
        <w:t xml:space="preserve"> </w:t>
      </w:r>
      <w:r w:rsidRPr="00831EF7">
        <w:t>Appropriately the proposed PI recommends that olaparib be not administered in pati</w:t>
      </w:r>
      <w:r w:rsidR="0094739B">
        <w:t>ents with hepatic impairment (bilirubin</w:t>
      </w:r>
      <w:r w:rsidR="00E819C9">
        <w:t> </w:t>
      </w:r>
      <w:r>
        <w:t>&gt;</w:t>
      </w:r>
      <w:r w:rsidR="00E819C9">
        <w:t> </w:t>
      </w:r>
      <w:r w:rsidRPr="00831EF7">
        <w:t>1.5</w:t>
      </w:r>
      <w:r w:rsidR="00E819C9">
        <w:t> </w:t>
      </w:r>
      <w:r w:rsidRPr="00831EF7">
        <w:t xml:space="preserve">ULN) or moderate renal impairment (creatinine clearance </w:t>
      </w:r>
      <w:r w:rsidR="002B698E">
        <w:t>&lt;</w:t>
      </w:r>
      <w:r w:rsidR="005D43E1">
        <w:t xml:space="preserve"> </w:t>
      </w:r>
      <w:r w:rsidRPr="00831EF7">
        <w:t xml:space="preserve">50 </w:t>
      </w:r>
      <w:r>
        <w:t>mL</w:t>
      </w:r>
      <w:r w:rsidRPr="00831EF7">
        <w:t>/min).</w:t>
      </w:r>
    </w:p>
    <w:p w14:paraId="1D399A8F" w14:textId="77777777" w:rsidR="00012622" w:rsidRPr="00831EF7" w:rsidRDefault="00012622" w:rsidP="00012622">
      <w:r w:rsidRPr="00831EF7">
        <w:t>Clinical drug interaction studies have been performed based on in vitro data and accordingly it is recommended that known potent inhibitors or inducers of CYP3A4/5 should not be</w:t>
      </w:r>
      <w:r>
        <w:t xml:space="preserve"> co-administered with olaparib.</w:t>
      </w:r>
    </w:p>
    <w:p w14:paraId="45EB1CDE" w14:textId="77777777" w:rsidR="00500337" w:rsidRPr="00500337" w:rsidRDefault="00012622" w:rsidP="00500337">
      <w:r w:rsidRPr="00831EF7">
        <w:t>The PK data in the proposed PI should provide clarification that the PK data is primarily derived from a Caucasian population.</w:t>
      </w:r>
    </w:p>
    <w:p w14:paraId="67BF3DF9" w14:textId="77777777" w:rsidR="008E7846" w:rsidRDefault="008E7846" w:rsidP="008E7846">
      <w:pPr>
        <w:pStyle w:val="Heading3"/>
      </w:pPr>
      <w:bookmarkStart w:id="93" w:name="_Toc196046481"/>
      <w:bookmarkStart w:id="94" w:name="_Toc247691520"/>
      <w:bookmarkStart w:id="95" w:name="_Toc314842503"/>
      <w:bookmarkStart w:id="96" w:name="_Toc8053821"/>
      <w:r w:rsidRPr="00254787">
        <w:t>Pharmacodynamics</w:t>
      </w:r>
      <w:bookmarkEnd w:id="71"/>
      <w:bookmarkEnd w:id="93"/>
      <w:bookmarkEnd w:id="94"/>
      <w:bookmarkEnd w:id="95"/>
      <w:bookmarkEnd w:id="96"/>
    </w:p>
    <w:p w14:paraId="2EB964AE" w14:textId="77777777" w:rsidR="00605AD4" w:rsidRDefault="00605AD4" w:rsidP="00605AD4">
      <w:pPr>
        <w:pStyle w:val="Heading4"/>
      </w:pPr>
      <w:r>
        <w:t>Studies providing pharmacodynamic data</w:t>
      </w:r>
    </w:p>
    <w:p w14:paraId="19583E48" w14:textId="77777777" w:rsidR="00012622" w:rsidRPr="00831EF7" w:rsidRDefault="00012622" w:rsidP="00012622">
      <w:r w:rsidRPr="00831EF7">
        <w:t xml:space="preserve">Summaries of the pharmacodynamic </w:t>
      </w:r>
      <w:r w:rsidR="00881C3F">
        <w:t xml:space="preserve">(PD) </w:t>
      </w:r>
      <w:r w:rsidRPr="00831EF7">
        <w:t xml:space="preserve">studies </w:t>
      </w:r>
      <w:r>
        <w:t xml:space="preserve">were </w:t>
      </w:r>
      <w:r w:rsidRPr="00DC225D">
        <w:t xml:space="preserve">provided. </w:t>
      </w:r>
      <w:r w:rsidR="00F03EBB">
        <w:t xml:space="preserve">Table 7 </w:t>
      </w:r>
      <w:r w:rsidRPr="00DC225D">
        <w:t>shows</w:t>
      </w:r>
      <w:r w:rsidRPr="00831EF7">
        <w:t xml:space="preserve"> the studies relating to each pharmacodynamic topic and the location of each study summary.</w:t>
      </w:r>
    </w:p>
    <w:p w14:paraId="695A062D" w14:textId="77777777" w:rsidR="00012622" w:rsidRPr="00831EF7" w:rsidRDefault="00F03EBB" w:rsidP="00012622">
      <w:pPr>
        <w:pStyle w:val="Tabletitle0"/>
      </w:pPr>
      <w:bookmarkStart w:id="97" w:name="_Toc297901066"/>
      <w:r>
        <w:t>Table 7</w:t>
      </w:r>
      <w:r w:rsidR="00012622" w:rsidRPr="00DC225D">
        <w:t>:</w:t>
      </w:r>
      <w:r w:rsidR="00012622" w:rsidRPr="00831EF7">
        <w:t xml:space="preserve"> Submitted pharmacodynamic studies</w:t>
      </w:r>
      <w:bookmarkEnd w:id="97"/>
    </w:p>
    <w:tbl>
      <w:tblPr>
        <w:tblStyle w:val="TableTGAblue"/>
        <w:tblW w:w="8897" w:type="dxa"/>
        <w:tblLayout w:type="fixed"/>
        <w:tblLook w:val="04A0" w:firstRow="1" w:lastRow="0" w:firstColumn="1" w:lastColumn="0" w:noHBand="0" w:noVBand="1"/>
      </w:tblPr>
      <w:tblGrid>
        <w:gridCol w:w="2235"/>
        <w:gridCol w:w="2268"/>
        <w:gridCol w:w="2126"/>
        <w:gridCol w:w="2268"/>
      </w:tblGrid>
      <w:tr w:rsidR="00012622" w:rsidRPr="0094739B" w14:paraId="380D2CCD" w14:textId="77777777" w:rsidTr="00012622">
        <w:trPr>
          <w:cnfStyle w:val="100000000000" w:firstRow="1" w:lastRow="0" w:firstColumn="0" w:lastColumn="0" w:oddVBand="0" w:evenVBand="0" w:oddHBand="0" w:evenHBand="0" w:firstRowFirstColumn="0" w:firstRowLastColumn="0" w:lastRowFirstColumn="0" w:lastRowLastColumn="0"/>
        </w:trPr>
        <w:tc>
          <w:tcPr>
            <w:tcW w:w="2235" w:type="dxa"/>
          </w:tcPr>
          <w:p w14:paraId="3DABEB20" w14:textId="77777777" w:rsidR="00012622" w:rsidRPr="0094739B" w:rsidRDefault="00012622" w:rsidP="00012622">
            <w:pPr>
              <w:rPr>
                <w:sz w:val="20"/>
                <w:szCs w:val="20"/>
              </w:rPr>
            </w:pPr>
            <w:r w:rsidRPr="0094739B">
              <w:rPr>
                <w:sz w:val="20"/>
                <w:szCs w:val="20"/>
              </w:rPr>
              <w:t>PD Topic</w:t>
            </w:r>
          </w:p>
        </w:tc>
        <w:tc>
          <w:tcPr>
            <w:tcW w:w="2268" w:type="dxa"/>
          </w:tcPr>
          <w:p w14:paraId="0768115B" w14:textId="77777777" w:rsidR="00012622" w:rsidRPr="0094739B" w:rsidRDefault="00012622" w:rsidP="00012622">
            <w:pPr>
              <w:rPr>
                <w:sz w:val="20"/>
                <w:szCs w:val="20"/>
              </w:rPr>
            </w:pPr>
            <w:r w:rsidRPr="0094739B">
              <w:rPr>
                <w:sz w:val="20"/>
                <w:szCs w:val="20"/>
              </w:rPr>
              <w:t>Subtopic</w:t>
            </w:r>
          </w:p>
        </w:tc>
        <w:tc>
          <w:tcPr>
            <w:tcW w:w="2126" w:type="dxa"/>
          </w:tcPr>
          <w:p w14:paraId="3E6E84A9" w14:textId="77777777" w:rsidR="00012622" w:rsidRPr="0094739B" w:rsidRDefault="00012622" w:rsidP="00012622">
            <w:pPr>
              <w:rPr>
                <w:sz w:val="20"/>
                <w:szCs w:val="20"/>
              </w:rPr>
            </w:pPr>
            <w:r w:rsidRPr="0094739B">
              <w:rPr>
                <w:sz w:val="20"/>
                <w:szCs w:val="20"/>
              </w:rPr>
              <w:t>Study ID</w:t>
            </w:r>
          </w:p>
        </w:tc>
        <w:tc>
          <w:tcPr>
            <w:tcW w:w="2268" w:type="dxa"/>
          </w:tcPr>
          <w:p w14:paraId="30E40E81" w14:textId="77777777" w:rsidR="00012622" w:rsidRPr="0094739B" w:rsidRDefault="00012622" w:rsidP="00012622">
            <w:pPr>
              <w:rPr>
                <w:sz w:val="20"/>
                <w:szCs w:val="20"/>
              </w:rPr>
            </w:pPr>
            <w:r w:rsidRPr="0094739B">
              <w:rPr>
                <w:sz w:val="20"/>
                <w:szCs w:val="20"/>
              </w:rPr>
              <w:t>Primary aim of the study</w:t>
            </w:r>
          </w:p>
        </w:tc>
      </w:tr>
      <w:tr w:rsidR="00012622" w:rsidRPr="0094739B" w14:paraId="0B903FBD" w14:textId="77777777" w:rsidTr="00012622">
        <w:trPr>
          <w:trHeight w:val="376"/>
        </w:trPr>
        <w:tc>
          <w:tcPr>
            <w:tcW w:w="2235" w:type="dxa"/>
            <w:vMerge w:val="restart"/>
          </w:tcPr>
          <w:p w14:paraId="6C7C8851" w14:textId="77777777" w:rsidR="00012622" w:rsidRPr="0094739B" w:rsidRDefault="00012622" w:rsidP="00012622">
            <w:pPr>
              <w:rPr>
                <w:sz w:val="20"/>
                <w:szCs w:val="20"/>
              </w:rPr>
            </w:pPr>
            <w:r w:rsidRPr="0094739B">
              <w:rPr>
                <w:sz w:val="20"/>
                <w:szCs w:val="20"/>
              </w:rPr>
              <w:t>Primary Pharmacology</w:t>
            </w:r>
          </w:p>
        </w:tc>
        <w:tc>
          <w:tcPr>
            <w:tcW w:w="2268" w:type="dxa"/>
            <w:vMerge w:val="restart"/>
          </w:tcPr>
          <w:p w14:paraId="00866F16" w14:textId="77777777" w:rsidR="00012622" w:rsidRPr="0094739B" w:rsidRDefault="00012622" w:rsidP="00012622">
            <w:pPr>
              <w:rPr>
                <w:sz w:val="20"/>
                <w:szCs w:val="20"/>
              </w:rPr>
            </w:pPr>
            <w:r w:rsidRPr="0094739B">
              <w:rPr>
                <w:sz w:val="20"/>
                <w:szCs w:val="20"/>
              </w:rPr>
              <w:t>Effect on PARP inhibition</w:t>
            </w:r>
          </w:p>
        </w:tc>
        <w:tc>
          <w:tcPr>
            <w:tcW w:w="2126" w:type="dxa"/>
          </w:tcPr>
          <w:p w14:paraId="40604295" w14:textId="77777777" w:rsidR="00012622" w:rsidRPr="0094739B" w:rsidRDefault="00012622" w:rsidP="00012622">
            <w:pPr>
              <w:rPr>
                <w:sz w:val="20"/>
                <w:szCs w:val="20"/>
              </w:rPr>
            </w:pPr>
            <w:r w:rsidRPr="0094739B">
              <w:rPr>
                <w:sz w:val="20"/>
                <w:szCs w:val="20"/>
              </w:rPr>
              <w:t>D0810C00001</w:t>
            </w:r>
          </w:p>
        </w:tc>
        <w:tc>
          <w:tcPr>
            <w:tcW w:w="2268" w:type="dxa"/>
          </w:tcPr>
          <w:p w14:paraId="47E732AF" w14:textId="77777777" w:rsidR="00012622" w:rsidRPr="0094739B" w:rsidRDefault="00012622" w:rsidP="00012622">
            <w:pPr>
              <w:rPr>
                <w:sz w:val="20"/>
                <w:szCs w:val="20"/>
              </w:rPr>
            </w:pPr>
            <w:r w:rsidRPr="0094739B">
              <w:rPr>
                <w:sz w:val="20"/>
                <w:szCs w:val="20"/>
              </w:rPr>
              <w:t>Safety</w:t>
            </w:r>
          </w:p>
        </w:tc>
      </w:tr>
      <w:tr w:rsidR="00012622" w:rsidRPr="0094739B" w14:paraId="6B6CC23C" w14:textId="77777777" w:rsidTr="00012622">
        <w:trPr>
          <w:trHeight w:val="376"/>
        </w:trPr>
        <w:tc>
          <w:tcPr>
            <w:tcW w:w="2235" w:type="dxa"/>
            <w:vMerge/>
          </w:tcPr>
          <w:p w14:paraId="37E9F92C" w14:textId="77777777" w:rsidR="00012622" w:rsidRPr="0094739B" w:rsidRDefault="00012622" w:rsidP="00012622">
            <w:pPr>
              <w:rPr>
                <w:sz w:val="20"/>
                <w:szCs w:val="20"/>
              </w:rPr>
            </w:pPr>
          </w:p>
        </w:tc>
        <w:tc>
          <w:tcPr>
            <w:tcW w:w="2268" w:type="dxa"/>
            <w:vMerge/>
          </w:tcPr>
          <w:p w14:paraId="2608D9B6" w14:textId="77777777" w:rsidR="00012622" w:rsidRPr="0094739B" w:rsidRDefault="00012622" w:rsidP="00012622">
            <w:pPr>
              <w:rPr>
                <w:sz w:val="20"/>
                <w:szCs w:val="20"/>
              </w:rPr>
            </w:pPr>
          </w:p>
        </w:tc>
        <w:tc>
          <w:tcPr>
            <w:tcW w:w="2126" w:type="dxa"/>
          </w:tcPr>
          <w:p w14:paraId="3C94F4F5" w14:textId="77777777" w:rsidR="00012622" w:rsidRPr="0094739B" w:rsidRDefault="00012622" w:rsidP="00012622">
            <w:pPr>
              <w:rPr>
                <w:sz w:val="20"/>
                <w:szCs w:val="20"/>
              </w:rPr>
            </w:pPr>
            <w:r w:rsidRPr="0094739B">
              <w:rPr>
                <w:sz w:val="20"/>
                <w:szCs w:val="20"/>
              </w:rPr>
              <w:t>D0810C00002</w:t>
            </w:r>
          </w:p>
        </w:tc>
        <w:tc>
          <w:tcPr>
            <w:tcW w:w="2268" w:type="dxa"/>
          </w:tcPr>
          <w:p w14:paraId="39862CAD" w14:textId="77777777" w:rsidR="00012622" w:rsidRPr="0094739B" w:rsidRDefault="00012622" w:rsidP="00012622">
            <w:pPr>
              <w:rPr>
                <w:sz w:val="20"/>
                <w:szCs w:val="20"/>
              </w:rPr>
            </w:pPr>
            <w:r w:rsidRPr="0094739B">
              <w:rPr>
                <w:sz w:val="20"/>
                <w:szCs w:val="20"/>
              </w:rPr>
              <w:t>Safety</w:t>
            </w:r>
          </w:p>
        </w:tc>
      </w:tr>
      <w:tr w:rsidR="00012622" w:rsidRPr="0094739B" w14:paraId="013FE082" w14:textId="77777777" w:rsidTr="00012622">
        <w:trPr>
          <w:trHeight w:val="472"/>
        </w:trPr>
        <w:tc>
          <w:tcPr>
            <w:tcW w:w="2235" w:type="dxa"/>
            <w:vMerge/>
          </w:tcPr>
          <w:p w14:paraId="46646C63" w14:textId="77777777" w:rsidR="00012622" w:rsidRPr="0094739B" w:rsidRDefault="00012622" w:rsidP="00012622">
            <w:pPr>
              <w:rPr>
                <w:sz w:val="20"/>
                <w:szCs w:val="20"/>
              </w:rPr>
            </w:pPr>
          </w:p>
        </w:tc>
        <w:tc>
          <w:tcPr>
            <w:tcW w:w="2268" w:type="dxa"/>
            <w:vMerge w:val="restart"/>
          </w:tcPr>
          <w:p w14:paraId="159EDDB8" w14:textId="77777777" w:rsidR="00012622" w:rsidRPr="0094739B" w:rsidRDefault="00012622" w:rsidP="00012622">
            <w:pPr>
              <w:rPr>
                <w:sz w:val="20"/>
                <w:szCs w:val="20"/>
              </w:rPr>
            </w:pPr>
          </w:p>
        </w:tc>
        <w:tc>
          <w:tcPr>
            <w:tcW w:w="2126" w:type="dxa"/>
          </w:tcPr>
          <w:p w14:paraId="0AACA7D3" w14:textId="77777777" w:rsidR="00012622" w:rsidRPr="0094739B" w:rsidRDefault="00012622" w:rsidP="00012622">
            <w:pPr>
              <w:rPr>
                <w:sz w:val="20"/>
                <w:szCs w:val="20"/>
              </w:rPr>
            </w:pPr>
            <w:r w:rsidRPr="0094739B">
              <w:rPr>
                <w:sz w:val="20"/>
                <w:szCs w:val="20"/>
              </w:rPr>
              <w:t>D0810C00024</w:t>
            </w:r>
          </w:p>
        </w:tc>
        <w:tc>
          <w:tcPr>
            <w:tcW w:w="2268" w:type="dxa"/>
          </w:tcPr>
          <w:p w14:paraId="1CAF042C" w14:textId="77777777" w:rsidR="00012622" w:rsidRPr="0094739B" w:rsidRDefault="00012622" w:rsidP="00012622">
            <w:pPr>
              <w:rPr>
                <w:sz w:val="20"/>
                <w:szCs w:val="20"/>
              </w:rPr>
            </w:pPr>
            <w:r w:rsidRPr="0094739B">
              <w:rPr>
                <w:sz w:val="20"/>
                <w:szCs w:val="20"/>
              </w:rPr>
              <w:t>PK parameters</w:t>
            </w:r>
          </w:p>
        </w:tc>
      </w:tr>
      <w:tr w:rsidR="00012622" w:rsidRPr="0094739B" w14:paraId="4594ED03" w14:textId="77777777" w:rsidTr="00012622">
        <w:trPr>
          <w:trHeight w:val="472"/>
        </w:trPr>
        <w:tc>
          <w:tcPr>
            <w:tcW w:w="2235" w:type="dxa"/>
            <w:vMerge/>
          </w:tcPr>
          <w:p w14:paraId="0A948A83" w14:textId="77777777" w:rsidR="00012622" w:rsidRPr="0094739B" w:rsidRDefault="00012622" w:rsidP="00012622">
            <w:pPr>
              <w:rPr>
                <w:sz w:val="20"/>
                <w:szCs w:val="20"/>
              </w:rPr>
            </w:pPr>
          </w:p>
        </w:tc>
        <w:tc>
          <w:tcPr>
            <w:tcW w:w="2268" w:type="dxa"/>
            <w:vMerge/>
          </w:tcPr>
          <w:p w14:paraId="7F92684D" w14:textId="77777777" w:rsidR="00012622" w:rsidRPr="0094739B" w:rsidRDefault="00012622" w:rsidP="00012622">
            <w:pPr>
              <w:rPr>
                <w:sz w:val="20"/>
                <w:szCs w:val="20"/>
              </w:rPr>
            </w:pPr>
          </w:p>
        </w:tc>
        <w:tc>
          <w:tcPr>
            <w:tcW w:w="2126" w:type="dxa"/>
          </w:tcPr>
          <w:p w14:paraId="2EB85DD4" w14:textId="77777777" w:rsidR="00012622" w:rsidRPr="0094739B" w:rsidRDefault="00012622" w:rsidP="00012622">
            <w:pPr>
              <w:rPr>
                <w:sz w:val="20"/>
                <w:szCs w:val="20"/>
              </w:rPr>
            </w:pPr>
            <w:r w:rsidRPr="0094739B">
              <w:rPr>
                <w:sz w:val="20"/>
                <w:szCs w:val="20"/>
              </w:rPr>
              <w:t>D0810C00007</w:t>
            </w:r>
          </w:p>
        </w:tc>
        <w:tc>
          <w:tcPr>
            <w:tcW w:w="2268" w:type="dxa"/>
          </w:tcPr>
          <w:p w14:paraId="71F45605" w14:textId="77777777" w:rsidR="00012622" w:rsidRPr="0094739B" w:rsidRDefault="00012622" w:rsidP="00012622">
            <w:pPr>
              <w:rPr>
                <w:sz w:val="20"/>
                <w:szCs w:val="20"/>
              </w:rPr>
            </w:pPr>
            <w:r w:rsidRPr="0094739B">
              <w:rPr>
                <w:sz w:val="20"/>
                <w:szCs w:val="20"/>
              </w:rPr>
              <w:t>PK parameters</w:t>
            </w:r>
          </w:p>
        </w:tc>
      </w:tr>
      <w:tr w:rsidR="00012622" w:rsidRPr="0094739B" w14:paraId="491C4BA7" w14:textId="77777777" w:rsidTr="00012622">
        <w:trPr>
          <w:trHeight w:val="376"/>
        </w:trPr>
        <w:tc>
          <w:tcPr>
            <w:tcW w:w="2235" w:type="dxa"/>
            <w:vMerge w:val="restart"/>
          </w:tcPr>
          <w:p w14:paraId="7D5554D8" w14:textId="77777777" w:rsidR="00012622" w:rsidRPr="0094739B" w:rsidRDefault="00012622" w:rsidP="00012622">
            <w:pPr>
              <w:rPr>
                <w:sz w:val="20"/>
                <w:szCs w:val="20"/>
              </w:rPr>
            </w:pPr>
            <w:r w:rsidRPr="0094739B">
              <w:rPr>
                <w:sz w:val="20"/>
                <w:szCs w:val="20"/>
              </w:rPr>
              <w:t>Secondary Pharmacology</w:t>
            </w:r>
          </w:p>
        </w:tc>
        <w:tc>
          <w:tcPr>
            <w:tcW w:w="2268" w:type="dxa"/>
            <w:vMerge w:val="restart"/>
          </w:tcPr>
          <w:p w14:paraId="4DA4CA9E" w14:textId="77777777" w:rsidR="00012622" w:rsidRPr="0094739B" w:rsidRDefault="00012622" w:rsidP="00012622">
            <w:pPr>
              <w:rPr>
                <w:sz w:val="20"/>
                <w:szCs w:val="20"/>
              </w:rPr>
            </w:pPr>
            <w:r w:rsidRPr="0094739B">
              <w:rPr>
                <w:sz w:val="20"/>
                <w:szCs w:val="20"/>
              </w:rPr>
              <w:t>Effect on QT</w:t>
            </w:r>
          </w:p>
        </w:tc>
        <w:tc>
          <w:tcPr>
            <w:tcW w:w="2126" w:type="dxa"/>
          </w:tcPr>
          <w:p w14:paraId="45FDFBD2" w14:textId="77777777" w:rsidR="00012622" w:rsidRPr="0094739B" w:rsidRDefault="00012622" w:rsidP="00012622">
            <w:pPr>
              <w:rPr>
                <w:sz w:val="20"/>
                <w:szCs w:val="20"/>
              </w:rPr>
            </w:pPr>
            <w:r w:rsidRPr="0094739B">
              <w:rPr>
                <w:sz w:val="20"/>
                <w:szCs w:val="20"/>
              </w:rPr>
              <w:t>D0816C00004</w:t>
            </w:r>
          </w:p>
        </w:tc>
        <w:tc>
          <w:tcPr>
            <w:tcW w:w="2268" w:type="dxa"/>
          </w:tcPr>
          <w:p w14:paraId="3BB27AC3" w14:textId="77777777" w:rsidR="00012622" w:rsidRPr="0094739B" w:rsidRDefault="00012622" w:rsidP="00012622">
            <w:pPr>
              <w:rPr>
                <w:sz w:val="20"/>
                <w:szCs w:val="20"/>
              </w:rPr>
            </w:pPr>
            <w:r w:rsidRPr="0094739B">
              <w:rPr>
                <w:sz w:val="20"/>
                <w:szCs w:val="20"/>
              </w:rPr>
              <w:t>PK parameters</w:t>
            </w:r>
          </w:p>
        </w:tc>
      </w:tr>
      <w:tr w:rsidR="00012622" w:rsidRPr="0094739B" w14:paraId="0D6DA758" w14:textId="77777777" w:rsidTr="00012622">
        <w:trPr>
          <w:trHeight w:val="376"/>
        </w:trPr>
        <w:tc>
          <w:tcPr>
            <w:tcW w:w="2235" w:type="dxa"/>
            <w:vMerge/>
          </w:tcPr>
          <w:p w14:paraId="5D8F2413" w14:textId="77777777" w:rsidR="00012622" w:rsidRPr="0094739B" w:rsidRDefault="00012622" w:rsidP="00012622">
            <w:pPr>
              <w:rPr>
                <w:sz w:val="20"/>
                <w:szCs w:val="20"/>
              </w:rPr>
            </w:pPr>
          </w:p>
        </w:tc>
        <w:tc>
          <w:tcPr>
            <w:tcW w:w="2268" w:type="dxa"/>
            <w:vMerge/>
          </w:tcPr>
          <w:p w14:paraId="5767E802" w14:textId="77777777" w:rsidR="00012622" w:rsidRPr="0094739B" w:rsidRDefault="00012622" w:rsidP="00012622">
            <w:pPr>
              <w:rPr>
                <w:sz w:val="20"/>
                <w:szCs w:val="20"/>
              </w:rPr>
            </w:pPr>
          </w:p>
        </w:tc>
        <w:tc>
          <w:tcPr>
            <w:tcW w:w="2126" w:type="dxa"/>
          </w:tcPr>
          <w:p w14:paraId="483C7F46" w14:textId="77777777" w:rsidR="00012622" w:rsidRPr="0094739B" w:rsidRDefault="00012622" w:rsidP="00012622">
            <w:pPr>
              <w:rPr>
                <w:sz w:val="20"/>
                <w:szCs w:val="20"/>
              </w:rPr>
            </w:pPr>
            <w:r w:rsidRPr="0094739B">
              <w:rPr>
                <w:sz w:val="20"/>
                <w:szCs w:val="20"/>
              </w:rPr>
              <w:t>D0816C00007</w:t>
            </w:r>
          </w:p>
        </w:tc>
        <w:tc>
          <w:tcPr>
            <w:tcW w:w="2268" w:type="dxa"/>
          </w:tcPr>
          <w:p w14:paraId="53EB8582" w14:textId="77777777" w:rsidR="00012622" w:rsidRPr="0094739B" w:rsidRDefault="00012622" w:rsidP="00012622">
            <w:pPr>
              <w:rPr>
                <w:sz w:val="20"/>
                <w:szCs w:val="20"/>
              </w:rPr>
            </w:pPr>
            <w:r w:rsidRPr="0094739B">
              <w:rPr>
                <w:sz w:val="20"/>
                <w:szCs w:val="20"/>
              </w:rPr>
              <w:t>PK Parameters</w:t>
            </w:r>
          </w:p>
        </w:tc>
      </w:tr>
    </w:tbl>
    <w:p w14:paraId="42B989A6" w14:textId="77777777" w:rsidR="00012622" w:rsidRPr="004859F5" w:rsidRDefault="00012622" w:rsidP="00012622">
      <w:pPr>
        <w:pStyle w:val="TableDescription"/>
      </w:pPr>
      <w:r>
        <w:t>§</w:t>
      </w:r>
      <w:r w:rsidRPr="004859F5">
        <w:t xml:space="preserve"> Subjects who would be eligible to receive the drug if approved for the proposed indication.</w:t>
      </w:r>
    </w:p>
    <w:p w14:paraId="62E2855C" w14:textId="77777777" w:rsidR="00012622" w:rsidRDefault="00F03EBB" w:rsidP="00012622">
      <w:r>
        <w:t>Table 8</w:t>
      </w:r>
      <w:r w:rsidR="00012622" w:rsidRPr="00DC225D">
        <w:t xml:space="preserve"> lists pharmacodynamic results that were excluded from consideration due to study deficiencies.</w:t>
      </w:r>
    </w:p>
    <w:p w14:paraId="27231562" w14:textId="77777777" w:rsidR="00012622" w:rsidRPr="00831EF7" w:rsidRDefault="00012622" w:rsidP="00012622">
      <w:pPr>
        <w:pStyle w:val="Tabletitle0"/>
      </w:pPr>
      <w:bookmarkStart w:id="98" w:name="_Toc297901067"/>
      <w:r w:rsidRPr="00831EF7">
        <w:t>Table</w:t>
      </w:r>
      <w:r w:rsidR="00F03EBB">
        <w:t xml:space="preserve"> 8</w:t>
      </w:r>
      <w:r>
        <w:t>:</w:t>
      </w:r>
      <w:r w:rsidRPr="00831EF7">
        <w:t xml:space="preserve"> Excluded pharmacodynamic studies</w:t>
      </w:r>
      <w:bookmarkEnd w:id="98"/>
    </w:p>
    <w:tbl>
      <w:tblPr>
        <w:tblStyle w:val="TableTGAblue"/>
        <w:tblW w:w="8897" w:type="dxa"/>
        <w:tblLayout w:type="fixed"/>
        <w:tblLook w:val="04A0" w:firstRow="1" w:lastRow="0" w:firstColumn="1" w:lastColumn="0" w:noHBand="0" w:noVBand="1"/>
      </w:tblPr>
      <w:tblGrid>
        <w:gridCol w:w="1809"/>
        <w:gridCol w:w="1843"/>
        <w:gridCol w:w="5245"/>
      </w:tblGrid>
      <w:tr w:rsidR="00012622" w:rsidRPr="00175320" w14:paraId="07B8877F" w14:textId="77777777" w:rsidTr="00541721">
        <w:trPr>
          <w:cnfStyle w:val="100000000000" w:firstRow="1" w:lastRow="0" w:firstColumn="0" w:lastColumn="0" w:oddVBand="0" w:evenVBand="0" w:oddHBand="0" w:evenHBand="0" w:firstRowFirstColumn="0" w:firstRowLastColumn="0" w:lastRowFirstColumn="0" w:lastRowLastColumn="0"/>
        </w:trPr>
        <w:tc>
          <w:tcPr>
            <w:tcW w:w="1809" w:type="dxa"/>
          </w:tcPr>
          <w:p w14:paraId="07F806DA" w14:textId="77777777" w:rsidR="00012622" w:rsidRPr="00175320" w:rsidRDefault="00012622" w:rsidP="00012622">
            <w:pPr>
              <w:rPr>
                <w:sz w:val="20"/>
                <w:szCs w:val="20"/>
              </w:rPr>
            </w:pPr>
            <w:r w:rsidRPr="00175320">
              <w:rPr>
                <w:sz w:val="20"/>
                <w:szCs w:val="20"/>
              </w:rPr>
              <w:t>Population</w:t>
            </w:r>
          </w:p>
        </w:tc>
        <w:tc>
          <w:tcPr>
            <w:tcW w:w="1843" w:type="dxa"/>
          </w:tcPr>
          <w:p w14:paraId="512BA027" w14:textId="77777777" w:rsidR="00012622" w:rsidRPr="00175320" w:rsidRDefault="00012622" w:rsidP="00012622">
            <w:pPr>
              <w:rPr>
                <w:sz w:val="20"/>
                <w:szCs w:val="20"/>
              </w:rPr>
            </w:pPr>
            <w:r w:rsidRPr="00175320">
              <w:rPr>
                <w:sz w:val="20"/>
                <w:szCs w:val="20"/>
              </w:rPr>
              <w:t>Study</w:t>
            </w:r>
          </w:p>
        </w:tc>
        <w:tc>
          <w:tcPr>
            <w:tcW w:w="5245" w:type="dxa"/>
          </w:tcPr>
          <w:p w14:paraId="11ABD289" w14:textId="77777777" w:rsidR="00012622" w:rsidRPr="00175320" w:rsidRDefault="00012622" w:rsidP="00012622">
            <w:pPr>
              <w:rPr>
                <w:sz w:val="20"/>
                <w:szCs w:val="20"/>
              </w:rPr>
            </w:pPr>
            <w:r w:rsidRPr="00175320">
              <w:rPr>
                <w:sz w:val="20"/>
                <w:szCs w:val="20"/>
              </w:rPr>
              <w:t>Reason</w:t>
            </w:r>
          </w:p>
        </w:tc>
      </w:tr>
      <w:tr w:rsidR="00012622" w:rsidRPr="00175320" w14:paraId="21CEAD34" w14:textId="77777777" w:rsidTr="00541721">
        <w:tc>
          <w:tcPr>
            <w:tcW w:w="1809" w:type="dxa"/>
          </w:tcPr>
          <w:p w14:paraId="4D32CFAE" w14:textId="77777777" w:rsidR="00012622" w:rsidRPr="00175320" w:rsidRDefault="00012622" w:rsidP="00012622">
            <w:pPr>
              <w:rPr>
                <w:sz w:val="20"/>
                <w:szCs w:val="20"/>
              </w:rPr>
            </w:pPr>
            <w:r w:rsidRPr="00175320">
              <w:rPr>
                <w:sz w:val="20"/>
                <w:szCs w:val="20"/>
              </w:rPr>
              <w:t>Breast cancer</w:t>
            </w:r>
          </w:p>
        </w:tc>
        <w:tc>
          <w:tcPr>
            <w:tcW w:w="1843" w:type="dxa"/>
          </w:tcPr>
          <w:p w14:paraId="3156170F" w14:textId="77777777" w:rsidR="00012622" w:rsidRPr="00175320" w:rsidRDefault="00012622" w:rsidP="00012622">
            <w:pPr>
              <w:rPr>
                <w:sz w:val="20"/>
                <w:szCs w:val="20"/>
              </w:rPr>
            </w:pPr>
            <w:r w:rsidRPr="00175320">
              <w:rPr>
                <w:sz w:val="20"/>
                <w:szCs w:val="20"/>
              </w:rPr>
              <w:t>D0810C00008</w:t>
            </w:r>
          </w:p>
        </w:tc>
        <w:tc>
          <w:tcPr>
            <w:tcW w:w="5245" w:type="dxa"/>
          </w:tcPr>
          <w:p w14:paraId="4EBF73EA" w14:textId="77777777" w:rsidR="00012622" w:rsidRPr="00175320" w:rsidRDefault="00012622" w:rsidP="00012622">
            <w:pPr>
              <w:rPr>
                <w:sz w:val="20"/>
                <w:szCs w:val="20"/>
              </w:rPr>
            </w:pPr>
            <w:r w:rsidRPr="00175320">
              <w:rPr>
                <w:sz w:val="20"/>
                <w:szCs w:val="20"/>
              </w:rPr>
              <w:t>PD data collection was discontinued and not analysed</w:t>
            </w:r>
          </w:p>
        </w:tc>
      </w:tr>
    </w:tbl>
    <w:p w14:paraId="3344C008" w14:textId="77777777" w:rsidR="00605AD4" w:rsidRDefault="00605AD4" w:rsidP="00605AD4">
      <w:pPr>
        <w:pStyle w:val="Heading4"/>
      </w:pPr>
      <w:r>
        <w:t>Evaluator’s conclusions on pharmacodynamics</w:t>
      </w:r>
    </w:p>
    <w:p w14:paraId="6F87D044" w14:textId="3A6DE811" w:rsidR="00A37F72" w:rsidRPr="00E43429" w:rsidRDefault="00A37F72" w:rsidP="00A37F72">
      <w:r w:rsidRPr="00E43429">
        <w:t xml:space="preserve">The pharmacodynamics of olaparib has been adequately studied. This has included both </w:t>
      </w:r>
      <w:r w:rsidRPr="00F12C72">
        <w:rPr>
          <w:i/>
        </w:rPr>
        <w:t>in vitro</w:t>
      </w:r>
      <w:r w:rsidRPr="00E43429">
        <w:t xml:space="preserve"> and </w:t>
      </w:r>
      <w:r w:rsidRPr="00F12C72">
        <w:rPr>
          <w:i/>
        </w:rPr>
        <w:t>in vivo</w:t>
      </w:r>
      <w:r w:rsidRPr="00E43429">
        <w:t xml:space="preserve"> studies.</w:t>
      </w:r>
      <w:r>
        <w:t xml:space="preserve"> </w:t>
      </w:r>
      <w:r w:rsidRPr="00E43429">
        <w:t>Data has been provided for cell lines and animal mode</w:t>
      </w:r>
      <w:r w:rsidR="00EB0ACD">
        <w:t>l</w:t>
      </w:r>
      <w:r w:rsidRPr="00E43429">
        <w:t>s (mice).</w:t>
      </w:r>
    </w:p>
    <w:p w14:paraId="484DA6FB" w14:textId="6B612ABE" w:rsidR="00A37F72" w:rsidRPr="00E43429" w:rsidRDefault="00A37F72" w:rsidP="00A37F72">
      <w:r w:rsidRPr="00E43429">
        <w:lastRenderedPageBreak/>
        <w:t>All clinical studies in humans were conducted in a population with advanced solid malignancy representative of the target population.</w:t>
      </w:r>
      <w:r>
        <w:t xml:space="preserve"> </w:t>
      </w:r>
      <w:r w:rsidRPr="00E43429">
        <w:t>Pooled PD data was d</w:t>
      </w:r>
      <w:r>
        <w:t>erived from 2</w:t>
      </w:r>
      <w:r w:rsidR="00EB0ACD">
        <w:t> </w:t>
      </w:r>
      <w:r>
        <w:t>clinical studies.</w:t>
      </w:r>
    </w:p>
    <w:p w14:paraId="660BC2C6" w14:textId="77777777" w:rsidR="00A37F72" w:rsidRDefault="00A37F72" w:rsidP="00A37F72">
      <w:r w:rsidRPr="00E43429">
        <w:t xml:space="preserve">The results of the pharmacodynamic studies demonstrate inhibition of PARP in both </w:t>
      </w:r>
      <w:r w:rsidR="00175320">
        <w:t>peripheral blood mononuclear cells</w:t>
      </w:r>
      <w:r w:rsidR="00175320" w:rsidRPr="00E43429">
        <w:t xml:space="preserve"> </w:t>
      </w:r>
      <w:r w:rsidR="00175320">
        <w:t>(</w:t>
      </w:r>
      <w:r w:rsidRPr="00E43429">
        <w:t>PBMCs</w:t>
      </w:r>
      <w:r w:rsidR="00175320">
        <w:t>)</w:t>
      </w:r>
      <w:r w:rsidRPr="00E43429">
        <w:t xml:space="preserve"> and tumour tissue and provided data on concentration and pharmacokinetic effects.</w:t>
      </w:r>
      <w:r>
        <w:t xml:space="preserve"> </w:t>
      </w:r>
      <w:r w:rsidRPr="00E43429">
        <w:t>The data on inhibition of PARP-1 activity in PMBC and tumour samples shows wide inter-individual and intra-individual variability</w:t>
      </w:r>
      <w:r>
        <w:t>.</w:t>
      </w:r>
    </w:p>
    <w:p w14:paraId="6C3C0CBB" w14:textId="77777777" w:rsidR="00500337" w:rsidRPr="00500337" w:rsidRDefault="00A37F72" w:rsidP="00500337">
      <w:r w:rsidRPr="00E43429">
        <w:t>The data presented supports olaparib as a maintenance therapy.</w:t>
      </w:r>
    </w:p>
    <w:p w14:paraId="56C143DD" w14:textId="77777777" w:rsidR="008E7846" w:rsidRDefault="00605AD4" w:rsidP="00605AD4">
      <w:pPr>
        <w:pStyle w:val="Heading3"/>
      </w:pPr>
      <w:bookmarkStart w:id="99" w:name="_Toc8053822"/>
      <w:r>
        <w:t>Dosage selection for the pivotal studies</w:t>
      </w:r>
      <w:bookmarkEnd w:id="99"/>
    </w:p>
    <w:p w14:paraId="4F555EB5" w14:textId="77777777" w:rsidR="00A37F72" w:rsidRPr="00A37F72" w:rsidRDefault="00A37F72" w:rsidP="00A37F72">
      <w:r w:rsidRPr="00A37F72">
        <w:t>The dose of olaparib 400 mg BD (capsule formulation) was selected based on the PD, PK, and safety and tolerability from three Phase I and II trials conducted in patients with advanced solid tumours:</w:t>
      </w:r>
    </w:p>
    <w:p w14:paraId="191F3566" w14:textId="77777777" w:rsidR="00A37F72" w:rsidRDefault="00A37F72" w:rsidP="00A37F72">
      <w:pPr>
        <w:pStyle w:val="ListBullet"/>
      </w:pPr>
      <w:r w:rsidRPr="00E43429">
        <w:t xml:space="preserve">Study D0810C00002 (non-randomised Phase I study in patients with advanced solid tumours) showed that the maximum tolerated dose of olaparib was 400 mg </w:t>
      </w:r>
      <w:r>
        <w:t>BD</w:t>
      </w:r>
      <w:r w:rsidRPr="00E43429">
        <w:t xml:space="preserve"> admin</w:t>
      </w:r>
      <w:r>
        <w:t>istered on a continuous basis.</w:t>
      </w:r>
    </w:p>
    <w:p w14:paraId="5D505641" w14:textId="259B94F1" w:rsidR="00A37F72" w:rsidRDefault="00A37F72" w:rsidP="00A37F72">
      <w:pPr>
        <w:pStyle w:val="ListBullet"/>
      </w:pPr>
      <w:r w:rsidRPr="00E43429">
        <w:t xml:space="preserve">Two </w:t>
      </w:r>
      <w:r w:rsidR="00EB0ACD">
        <w:t>‘</w:t>
      </w:r>
      <w:r w:rsidRPr="00E43429">
        <w:t>Proof of Concept</w:t>
      </w:r>
      <w:r w:rsidR="00EB0ACD">
        <w:t>’</w:t>
      </w:r>
      <w:r w:rsidRPr="00E43429">
        <w:t xml:space="preserve"> studies (</w:t>
      </w:r>
      <w:r w:rsidR="00EB0ACD">
        <w:t xml:space="preserve">Study </w:t>
      </w:r>
      <w:r w:rsidRPr="00E43429">
        <w:t xml:space="preserve">D0810C00008 in breast cancer patients with </w:t>
      </w:r>
      <w:proofErr w:type="spellStart"/>
      <w:r w:rsidRPr="00E43429">
        <w:t>gBRCA</w:t>
      </w:r>
      <w:proofErr w:type="spellEnd"/>
      <w:r w:rsidRPr="00E43429">
        <w:t xml:space="preserve"> mutations and </w:t>
      </w:r>
      <w:r w:rsidR="00EB0ACD">
        <w:t xml:space="preserve">Study </w:t>
      </w:r>
      <w:r w:rsidRPr="00E43429">
        <w:t xml:space="preserve">D0810C00009 in ovarian cancer patients with </w:t>
      </w:r>
      <w:proofErr w:type="spellStart"/>
      <w:r w:rsidRPr="00E43429">
        <w:t>gBRCA</w:t>
      </w:r>
      <w:proofErr w:type="spellEnd"/>
      <w:r w:rsidRPr="00E43429">
        <w:t xml:space="preserve"> mutations) showed a greater response rate at the 400 mg </w:t>
      </w:r>
      <w:r>
        <w:t>BD</w:t>
      </w:r>
      <w:r w:rsidRPr="00E43429">
        <w:t xml:space="preserve"> do</w:t>
      </w:r>
      <w:r>
        <w:t>se than at the 100 mg BD dose.</w:t>
      </w:r>
    </w:p>
    <w:p w14:paraId="6E09F166" w14:textId="77777777" w:rsidR="00A37F72" w:rsidRPr="00A37F72" w:rsidRDefault="00A37F72" w:rsidP="00A37F72">
      <w:pPr>
        <w:pStyle w:val="ListBullet"/>
      </w:pPr>
      <w:r w:rsidRPr="00E43429">
        <w:t>Study D081AC00001 had also assessed the effect of food on the PK of olaparib. Oral dosing at least 1 hour after food with the patient should then refrain</w:t>
      </w:r>
      <w:r>
        <w:t>ing from eating for a further 2 </w:t>
      </w:r>
      <w:r w:rsidRPr="00E43429">
        <w:t>hours was consistent with the PK data from this study</w:t>
      </w:r>
      <w:r>
        <w:t>.</w:t>
      </w:r>
    </w:p>
    <w:p w14:paraId="0E7EC494" w14:textId="77777777" w:rsidR="008E7846" w:rsidRPr="00254787" w:rsidRDefault="008E7846" w:rsidP="008E7846">
      <w:pPr>
        <w:pStyle w:val="Heading3"/>
      </w:pPr>
      <w:bookmarkStart w:id="100" w:name="_Toc163441372"/>
      <w:bookmarkStart w:id="101" w:name="_Toc196046485"/>
      <w:bookmarkStart w:id="102" w:name="_Toc247691521"/>
      <w:bookmarkStart w:id="103" w:name="_Toc314842504"/>
      <w:bookmarkStart w:id="104" w:name="_Toc8053823"/>
      <w:r w:rsidRPr="00254787">
        <w:t>Efficacy</w:t>
      </w:r>
      <w:bookmarkEnd w:id="100"/>
      <w:bookmarkEnd w:id="101"/>
      <w:bookmarkEnd w:id="102"/>
      <w:bookmarkEnd w:id="103"/>
      <w:bookmarkEnd w:id="104"/>
    </w:p>
    <w:p w14:paraId="3048123F" w14:textId="77777777" w:rsidR="00605AD4" w:rsidRDefault="00605AD4" w:rsidP="00605AD4">
      <w:pPr>
        <w:pStyle w:val="Heading4"/>
      </w:pPr>
      <w:bookmarkStart w:id="105" w:name="_Toc184439992"/>
      <w:bookmarkStart w:id="106" w:name="_Toc184440279"/>
      <w:bookmarkStart w:id="107" w:name="_Toc184444657"/>
      <w:bookmarkStart w:id="108" w:name="_Toc196046487"/>
      <w:r>
        <w:t>Studies providing efficacy data</w:t>
      </w:r>
    </w:p>
    <w:p w14:paraId="57F0C25E" w14:textId="77777777" w:rsidR="00A37F72" w:rsidRPr="00A37F72" w:rsidRDefault="00A37F72" w:rsidP="00A37F72">
      <w:pPr>
        <w:pStyle w:val="ListBullet"/>
      </w:pPr>
      <w:bookmarkStart w:id="109" w:name="_Ref271037274"/>
      <w:bookmarkStart w:id="110" w:name="_Toc272414652"/>
      <w:bookmarkStart w:id="111" w:name="_Toc290888500"/>
      <w:bookmarkStart w:id="112" w:name="_Toc297900937"/>
      <w:bookmarkStart w:id="113" w:name="_Toc522177150"/>
      <w:r w:rsidRPr="00A37F72">
        <w:t>Pivotal efficacy stud</w:t>
      </w:r>
      <w:bookmarkEnd w:id="109"/>
      <w:bookmarkEnd w:id="110"/>
      <w:bookmarkEnd w:id="111"/>
      <w:bookmarkEnd w:id="112"/>
      <w:bookmarkEnd w:id="113"/>
      <w:r>
        <w:t>y</w:t>
      </w:r>
    </w:p>
    <w:p w14:paraId="4A5D74ED" w14:textId="77777777" w:rsidR="00A37F72" w:rsidRPr="00A37F72" w:rsidRDefault="00A37F72" w:rsidP="00A37F72">
      <w:pPr>
        <w:pStyle w:val="ListBullet2"/>
      </w:pPr>
      <w:r w:rsidRPr="00A37F72">
        <w:t>Study D0810C00019</w:t>
      </w:r>
      <w:r>
        <w:t xml:space="preserve">; a </w:t>
      </w:r>
      <w:r w:rsidRPr="00E43429">
        <w:t>Phase II randomised, double blind, and multicentre study to assess the efficacy of AZD2281</w:t>
      </w:r>
      <w:r>
        <w:t xml:space="preserve"> (olaparib)</w:t>
      </w:r>
      <w:r w:rsidRPr="00E43429">
        <w:t xml:space="preserve"> in the treatment of patients with platinum sensitive serous ovarian cancer following treatment with two or more platinum containing regimens.</w:t>
      </w:r>
    </w:p>
    <w:p w14:paraId="7E5B8DB2" w14:textId="77777777" w:rsidR="00A37F72" w:rsidRDefault="00A37F72" w:rsidP="00A37F72">
      <w:pPr>
        <w:pStyle w:val="ListBullet"/>
      </w:pPr>
      <w:bookmarkStart w:id="114" w:name="_Toc297900938"/>
      <w:bookmarkStart w:id="115" w:name="_Toc522177151"/>
      <w:r w:rsidRPr="00A37F72">
        <w:t>Other efficacy studies</w:t>
      </w:r>
      <w:bookmarkEnd w:id="114"/>
      <w:bookmarkEnd w:id="115"/>
    </w:p>
    <w:p w14:paraId="1957F18F" w14:textId="77777777" w:rsidR="00A37F72" w:rsidRPr="00061386" w:rsidRDefault="00A37F72" w:rsidP="00A37F72">
      <w:pPr>
        <w:ind w:left="360"/>
      </w:pPr>
      <w:r w:rsidRPr="00061386">
        <w:t>There are 6 other efficacy studies submitted relevant to this application.</w:t>
      </w:r>
      <w:r>
        <w:t xml:space="preserve"> </w:t>
      </w:r>
      <w:r w:rsidRPr="00061386">
        <w:t>These are restricted to those studies where olaparib has been used as monotherapy in an ovarian cancer population.</w:t>
      </w:r>
    </w:p>
    <w:p w14:paraId="5DDAB338" w14:textId="77777777" w:rsidR="00A37F72" w:rsidRDefault="009703D3" w:rsidP="00F01F74">
      <w:pPr>
        <w:pStyle w:val="ListBullet2"/>
      </w:pPr>
      <w:r>
        <w:t>Study</w:t>
      </w:r>
      <w:r w:rsidR="00F01F74">
        <w:t xml:space="preserve"> D0810C00009: </w:t>
      </w:r>
      <w:r w:rsidR="00F01F74" w:rsidRPr="00061386">
        <w:t xml:space="preserve">This is a </w:t>
      </w:r>
      <w:r w:rsidR="00F01F74">
        <w:t>Phase</w:t>
      </w:r>
      <w:r w:rsidR="00F01F74" w:rsidRPr="00061386">
        <w:t xml:space="preserve"> II, </w:t>
      </w:r>
      <w:r w:rsidR="00F01F74">
        <w:t>open label</w:t>
      </w:r>
      <w:r w:rsidR="00F01F74" w:rsidRPr="00061386">
        <w:t xml:space="preserve">, comparative, multicentre study to assess the efficacy and safety of olaparib at 2 dose levels in patients with BRCA1 or BRCA2 associated ovarian cancer. Two sequential patient cohorts received continuous oral olaparib in </w:t>
      </w:r>
      <w:r w:rsidR="00F01F74">
        <w:t xml:space="preserve">28 day </w:t>
      </w:r>
      <w:r w:rsidR="00F01F74" w:rsidRPr="00061386">
        <w:t xml:space="preserve">cycles initially at 400 mg </w:t>
      </w:r>
      <w:r w:rsidR="00F01F74">
        <w:t>BD</w:t>
      </w:r>
      <w:r w:rsidR="00F01F74" w:rsidRPr="00061386">
        <w:t xml:space="preserve"> and subsequently at 100 mg </w:t>
      </w:r>
      <w:r w:rsidR="00F01F74">
        <w:t>BD</w:t>
      </w:r>
      <w:r w:rsidR="00F01F74" w:rsidRPr="00061386">
        <w:t>. This study enrolled 58 patients. The primary endpoint was OR. Secondary endpoints included clinical benefit rate (</w:t>
      </w:r>
      <w:r w:rsidR="008C6418">
        <w:t>complete response</w:t>
      </w:r>
      <w:r w:rsidR="008C6418" w:rsidRPr="00061386">
        <w:t xml:space="preserve"> </w:t>
      </w:r>
      <w:r w:rsidR="008C6418">
        <w:t>(</w:t>
      </w:r>
      <w:r w:rsidR="00F01F74" w:rsidRPr="00061386">
        <w:t>CR</w:t>
      </w:r>
      <w:r w:rsidR="008C6418">
        <w:t>)</w:t>
      </w:r>
      <w:r w:rsidR="00F01F74">
        <w:t xml:space="preserve"> </w:t>
      </w:r>
      <w:r w:rsidR="00F01F74" w:rsidRPr="00061386">
        <w:t>+</w:t>
      </w:r>
      <w:r w:rsidR="00F01F74">
        <w:t xml:space="preserve"> </w:t>
      </w:r>
      <w:r w:rsidR="00881C3F">
        <w:t>partial response</w:t>
      </w:r>
      <w:r w:rsidR="00881C3F" w:rsidRPr="00061386">
        <w:t xml:space="preserve"> </w:t>
      </w:r>
      <w:r w:rsidR="00881C3F">
        <w:t>(</w:t>
      </w:r>
      <w:r w:rsidR="00F01F74" w:rsidRPr="00061386">
        <w:t>PR</w:t>
      </w:r>
      <w:r w:rsidR="00881C3F">
        <w:t>)</w:t>
      </w:r>
      <w:r w:rsidR="00F01F74">
        <w:t xml:space="preserve"> </w:t>
      </w:r>
      <w:r w:rsidR="00F01F74" w:rsidRPr="00061386">
        <w:t>+</w:t>
      </w:r>
      <w:r w:rsidR="00F01F74">
        <w:t xml:space="preserve"> </w:t>
      </w:r>
      <w:r w:rsidR="00F01F74" w:rsidRPr="00061386">
        <w:t xml:space="preserve">SD), </w:t>
      </w:r>
      <w:r w:rsidR="00881C3F">
        <w:t>progression-free survival</w:t>
      </w:r>
      <w:r w:rsidR="00881C3F" w:rsidRPr="00061386">
        <w:t xml:space="preserve"> </w:t>
      </w:r>
      <w:r w:rsidR="00881C3F">
        <w:t>(</w:t>
      </w:r>
      <w:r w:rsidR="00F01F74" w:rsidRPr="00061386">
        <w:t>PFS</w:t>
      </w:r>
      <w:r w:rsidR="00881C3F">
        <w:t>)</w:t>
      </w:r>
      <w:r w:rsidR="00F01F74" w:rsidRPr="00061386">
        <w:t xml:space="preserve">, </w:t>
      </w:r>
      <w:proofErr w:type="gramStart"/>
      <w:r w:rsidR="00F01F74" w:rsidRPr="00061386">
        <w:t>pharmacodynamics</w:t>
      </w:r>
      <w:proofErr w:type="gramEnd"/>
      <w:r w:rsidR="00F01F74" w:rsidRPr="00061386">
        <w:t xml:space="preserve"> on peripheral blood mononuclear cells, safety and tolerability and olaparib drug exposure.</w:t>
      </w:r>
    </w:p>
    <w:p w14:paraId="2A1A54FF" w14:textId="7F0178ED" w:rsidR="00F01F74" w:rsidRDefault="00F01F74" w:rsidP="00F01F74">
      <w:pPr>
        <w:pStyle w:val="ListBullet2"/>
      </w:pPr>
      <w:r w:rsidRPr="00061386">
        <w:lastRenderedPageBreak/>
        <w:t xml:space="preserve">Study </w:t>
      </w:r>
      <w:r>
        <w:t xml:space="preserve">D0810C00012: </w:t>
      </w:r>
      <w:r w:rsidRPr="00061386">
        <w:t xml:space="preserve">a Phase II, </w:t>
      </w:r>
      <w:r>
        <w:t>open label</w:t>
      </w:r>
      <w:r w:rsidRPr="00061386">
        <w:t>, randomised, comparative, multicentre study to compare the efficacy and safety of 2 different doses of olaparib versus liposomal doxorubicin in patients with BRCA1 or BRCA2 associated ovarian cancer</w:t>
      </w:r>
      <w:r>
        <w:t>,</w:t>
      </w:r>
      <w:r w:rsidRPr="00061386">
        <w:t xml:space="preserve"> who have failed previous </w:t>
      </w:r>
      <w:r>
        <w:t>platinum based</w:t>
      </w:r>
      <w:r w:rsidRPr="00061386">
        <w:t xml:space="preserve"> chemotherapy. Patients were randomised (1:1:1) to receive either olaparib 200 mg </w:t>
      </w:r>
      <w:r>
        <w:t>BD</w:t>
      </w:r>
      <w:r w:rsidRPr="00061386">
        <w:t xml:space="preserve"> orally, olaparib 400 mg </w:t>
      </w:r>
      <w:r>
        <w:t>BD</w:t>
      </w:r>
      <w:r w:rsidRPr="00061386">
        <w:t xml:space="preserve"> orally, or liposomal doxorubicin 50 mg/</w:t>
      </w:r>
      <w:r w:rsidR="00472330" w:rsidRPr="008373F3">
        <w:t>m</w:t>
      </w:r>
      <w:r w:rsidR="00472330" w:rsidRPr="00472330">
        <w:rPr>
          <w:vertAlign w:val="superscript"/>
        </w:rPr>
        <w:t>2</w:t>
      </w:r>
      <w:r w:rsidRPr="00061386">
        <w:t xml:space="preserve"> </w:t>
      </w:r>
      <w:r>
        <w:t>IV. This study enrolled 97 </w:t>
      </w:r>
      <w:r w:rsidRPr="00061386">
        <w:t>patients, 32 patients in each olaparib group and 33 patients in the liposomal doxorubicin group. Demographics and disease characteristics were well balanced between the groups. The primary end point was investigator-assessed</w:t>
      </w:r>
      <w:r w:rsidR="00EB0ACD">
        <w:t xml:space="preserve"> progression free survival</w:t>
      </w:r>
      <w:r w:rsidR="00F12C72">
        <w:t xml:space="preserve"> </w:t>
      </w:r>
      <w:r w:rsidR="00EB0ACD">
        <w:t>(</w:t>
      </w:r>
      <w:r w:rsidRPr="00061386">
        <w:t>PFS</w:t>
      </w:r>
      <w:r w:rsidR="00EB0ACD">
        <w:t>)</w:t>
      </w:r>
      <w:r w:rsidRPr="00061386">
        <w:t xml:space="preserve"> for olaparib versus </w:t>
      </w:r>
      <w:r w:rsidR="00881C3F">
        <w:t>pegylated liposomal doxorubicin</w:t>
      </w:r>
      <w:r w:rsidR="00881C3F" w:rsidRPr="00061386">
        <w:t xml:space="preserve"> </w:t>
      </w:r>
      <w:r w:rsidR="00881C3F">
        <w:t>(</w:t>
      </w:r>
      <w:r w:rsidRPr="00061386">
        <w:t>PLD</w:t>
      </w:r>
      <w:r w:rsidR="00881C3F">
        <w:t>)</w:t>
      </w:r>
      <w:r w:rsidRPr="00061386">
        <w:t xml:space="preserve">. Secondary end points included </w:t>
      </w:r>
      <w:r w:rsidR="00EB0ACD">
        <w:t>odds ratio (</w:t>
      </w:r>
      <w:r w:rsidRPr="00061386">
        <w:t>OR</w:t>
      </w:r>
      <w:r w:rsidR="00EB0ACD">
        <w:t>)</w:t>
      </w:r>
      <w:r w:rsidRPr="00061386">
        <w:t xml:space="preserve"> (RECIST);</w:t>
      </w:r>
      <w:r w:rsidR="00EB0ACD">
        <w:rPr>
          <w:rStyle w:val="FootnoteReference"/>
        </w:rPr>
        <w:footnoteReference w:id="25"/>
      </w:r>
      <w:r w:rsidRPr="00061386">
        <w:t xml:space="preserve"> duration of treatment response; tumour size; </w:t>
      </w:r>
      <w:r w:rsidR="00881C3F">
        <w:t>overall survival</w:t>
      </w:r>
      <w:r w:rsidR="00881C3F" w:rsidRPr="00061386">
        <w:t xml:space="preserve"> </w:t>
      </w:r>
      <w:r w:rsidR="00881C3F">
        <w:t>(</w:t>
      </w:r>
      <w:r w:rsidRPr="00061386">
        <w:t>OS</w:t>
      </w:r>
      <w:r w:rsidR="00881C3F">
        <w:t>)</w:t>
      </w:r>
      <w:r w:rsidRPr="00061386">
        <w:t>; safety and tolerability; and HR</w:t>
      </w:r>
      <w:r w:rsidR="00175320">
        <w:t xml:space="preserve"> </w:t>
      </w:r>
      <w:r w:rsidRPr="00061386">
        <w:t>QoL</w:t>
      </w:r>
      <w:r>
        <w:t>.</w:t>
      </w:r>
    </w:p>
    <w:p w14:paraId="4F3B7275" w14:textId="0266464C" w:rsidR="00F01F74" w:rsidRPr="00061386" w:rsidRDefault="00F01F74" w:rsidP="00F01F74">
      <w:pPr>
        <w:pStyle w:val="ListBullet2"/>
      </w:pPr>
      <w:r w:rsidRPr="00061386">
        <w:t>Study: D0810C00020</w:t>
      </w:r>
      <w:r>
        <w:t xml:space="preserve">: </w:t>
      </w:r>
      <w:r w:rsidRPr="00061386">
        <w:t xml:space="preserve">a Phase II, </w:t>
      </w:r>
      <w:r>
        <w:t>open label</w:t>
      </w:r>
      <w:r w:rsidRPr="00061386">
        <w:t>, non-random</w:t>
      </w:r>
      <w:r w:rsidR="00172769">
        <w:t>ise</w:t>
      </w:r>
      <w:r w:rsidRPr="00061386">
        <w:t>d correlative study of olaparib as a single agent</w:t>
      </w:r>
      <w:r w:rsidR="000870B6">
        <w:t>,</w:t>
      </w:r>
      <w:r w:rsidRPr="00061386">
        <w:t xml:space="preserve"> given 400 mg </w:t>
      </w:r>
      <w:r>
        <w:t>BD</w:t>
      </w:r>
      <w:r w:rsidRPr="00061386">
        <w:t xml:space="preserve"> to patients with recurrent triple negative breast or ovarian cancer.</w:t>
      </w:r>
      <w:r>
        <w:t xml:space="preserve"> </w:t>
      </w:r>
      <w:r w:rsidRPr="00061386">
        <w:t>This study enrolled both patients with a BRCA1 or BRCA2 mutation and non-carriers. Sixty-five patients were enrolled with ovarian cancer with 15 of these with a BRCA mutation.</w:t>
      </w:r>
      <w:r>
        <w:t xml:space="preserve"> </w:t>
      </w:r>
      <w:r w:rsidRPr="00061386">
        <w:t>The primary endpoint was OR.</w:t>
      </w:r>
      <w:r>
        <w:t xml:space="preserve"> </w:t>
      </w:r>
      <w:r w:rsidRPr="00061386">
        <w:t>Secondary end points included identification of markers of olaparib efficacy through analysis of tumour material, PFS, safety and tolerability.</w:t>
      </w:r>
    </w:p>
    <w:p w14:paraId="36A2D8B5" w14:textId="77777777" w:rsidR="00F01F74" w:rsidRDefault="00F01F74" w:rsidP="00F01F74">
      <w:pPr>
        <w:pStyle w:val="ListBullet2"/>
      </w:pPr>
      <w:r w:rsidRPr="00061386">
        <w:t>Study D0810C00041</w:t>
      </w:r>
      <w:r>
        <w:t xml:space="preserve">: </w:t>
      </w:r>
      <w:r w:rsidRPr="00061386">
        <w:t xml:space="preserve">a </w:t>
      </w:r>
      <w:r>
        <w:t>Phase</w:t>
      </w:r>
      <w:r w:rsidRPr="00061386">
        <w:t xml:space="preserve"> II, </w:t>
      </w:r>
      <w:r>
        <w:t>open label</w:t>
      </w:r>
      <w:r w:rsidRPr="00061386">
        <w:t xml:space="preserve">, randomised, comparative, multi-centre study to compare the efficacy of olaparib in combination with carboplatin and paclitaxel and then as monotherapy versus carboplatin and paclitaxel in recurrent </w:t>
      </w:r>
      <w:r>
        <w:t>platinum sensitive</w:t>
      </w:r>
      <w:r w:rsidRPr="00061386">
        <w:t xml:space="preserve"> ovarian cancer.</w:t>
      </w:r>
      <w:r>
        <w:t xml:space="preserve"> </w:t>
      </w:r>
      <w:r w:rsidRPr="00061386">
        <w:t xml:space="preserve">Included </w:t>
      </w:r>
      <w:r>
        <w:t xml:space="preserve">were </w:t>
      </w:r>
      <w:r w:rsidRPr="00061386">
        <w:t>patients with BRCA mutation and non-carriers.</w:t>
      </w:r>
      <w:r>
        <w:t xml:space="preserve"> </w:t>
      </w:r>
      <w:r w:rsidRPr="00061386">
        <w:t xml:space="preserve">Patients were randomised (1:1) to receive olaparib 200 mg </w:t>
      </w:r>
      <w:r>
        <w:t>BD</w:t>
      </w:r>
      <w:r w:rsidRPr="00061386">
        <w:t xml:space="preserve"> days 1 to 10, in combination with paclitaxel 175 mg/</w:t>
      </w:r>
      <w:r w:rsidR="00472330" w:rsidRPr="008373F3">
        <w:t>m</w:t>
      </w:r>
      <w:r w:rsidR="00472330" w:rsidRPr="00472330">
        <w:rPr>
          <w:vertAlign w:val="superscript"/>
        </w:rPr>
        <w:t>2</w:t>
      </w:r>
      <w:r>
        <w:t xml:space="preserve"> IV </w:t>
      </w:r>
      <w:r w:rsidRPr="00061386">
        <w:t>Day 1 and carboplatin AUC 4</w:t>
      </w:r>
      <w:r>
        <w:t xml:space="preserve"> IV </w:t>
      </w:r>
      <w:r w:rsidRPr="00061386">
        <w:t>Day 1 of a</w:t>
      </w:r>
      <w:r>
        <w:t xml:space="preserve"> 21 </w:t>
      </w:r>
      <w:r w:rsidRPr="00061386">
        <w:t>day cycle for at least 4 cycle</w:t>
      </w:r>
      <w:r>
        <w:t>s then olaparib monotherapy 400 </w:t>
      </w:r>
      <w:r w:rsidRPr="00061386">
        <w:t xml:space="preserve">mg </w:t>
      </w:r>
      <w:r>
        <w:t>BD</w:t>
      </w:r>
      <w:r w:rsidRPr="00061386">
        <w:t xml:space="preserve"> continuous dosing or paclitaxel 175 mg/</w:t>
      </w:r>
      <w:r w:rsidR="00472330" w:rsidRPr="008373F3">
        <w:t>m</w:t>
      </w:r>
      <w:r w:rsidR="00472330" w:rsidRPr="00472330">
        <w:rPr>
          <w:vertAlign w:val="superscript"/>
        </w:rPr>
        <w:t>2</w:t>
      </w:r>
      <w:r>
        <w:t xml:space="preserve"> IV </w:t>
      </w:r>
      <w:r w:rsidRPr="00061386">
        <w:t>day 1 and carboplatin AUC 6</w:t>
      </w:r>
      <w:r>
        <w:t xml:space="preserve"> IV </w:t>
      </w:r>
      <w:r w:rsidRPr="00061386">
        <w:t>Day 1 of a 21 day cycle for 6 cycles with no maintenance treatment.</w:t>
      </w:r>
      <w:r>
        <w:t xml:space="preserve"> </w:t>
      </w:r>
      <w:r w:rsidRPr="00061386">
        <w:t>In total, 173 patients were enrolled with 162 patients randomised equally. Of the 81 patients in the combination arm, 66 entered the maintenance phase. The primary endpoint is PFS. Secondary endpoints includ</w:t>
      </w:r>
      <w:r>
        <w:t>e OS, safety and PK assessment.</w:t>
      </w:r>
    </w:p>
    <w:p w14:paraId="2060684E" w14:textId="77777777" w:rsidR="00F01F74" w:rsidRDefault="00F01F74" w:rsidP="00F01F74">
      <w:pPr>
        <w:pStyle w:val="ListBullet2"/>
      </w:pPr>
      <w:r w:rsidRPr="00061386">
        <w:t>Study D810C000042</w:t>
      </w:r>
      <w:r>
        <w:t xml:space="preserve">: </w:t>
      </w:r>
      <w:r w:rsidRPr="00061386">
        <w:t xml:space="preserve">a Phase II, </w:t>
      </w:r>
      <w:r>
        <w:t>open label</w:t>
      </w:r>
      <w:r w:rsidRPr="00061386">
        <w:t xml:space="preserve">, non-randomised, non-comparative, multicentre study to assess the efficacy and safety of olaparib in patients with advanced cancers who had a confirmed BRCA1 and/or BRCA2 mutation. Patients received olaparib </w:t>
      </w:r>
      <w:r>
        <w:t>400 mg</w:t>
      </w:r>
      <w:r w:rsidRPr="00061386">
        <w:t xml:space="preserve"> </w:t>
      </w:r>
      <w:r>
        <w:t>BD</w:t>
      </w:r>
      <w:r w:rsidRPr="00061386">
        <w:t xml:space="preserve"> and continued until disease progression.</w:t>
      </w:r>
      <w:r>
        <w:t xml:space="preserve"> </w:t>
      </w:r>
      <w:r w:rsidRPr="00061386">
        <w:t xml:space="preserve">In total 317 patients were recruited, 298 received treatment, 193 with ovarian cancer. The primary endpoint is RR. Secondary endpoints </w:t>
      </w:r>
      <w:r>
        <w:t xml:space="preserve">include: </w:t>
      </w:r>
      <w:r w:rsidR="00881C3F">
        <w:t>objective response rate (</w:t>
      </w:r>
      <w:r>
        <w:t>ORR</w:t>
      </w:r>
      <w:r w:rsidR="00881C3F">
        <w:t>)</w:t>
      </w:r>
      <w:r>
        <w:t xml:space="preserve">, PRS, OS, </w:t>
      </w:r>
      <w:r w:rsidR="008C6418">
        <w:t>duration of response (</w:t>
      </w:r>
      <w:proofErr w:type="spellStart"/>
      <w:r>
        <w:t>DoR</w:t>
      </w:r>
      <w:proofErr w:type="spellEnd"/>
      <w:r w:rsidR="008C6418">
        <w:t>)</w:t>
      </w:r>
      <w:r>
        <w:t xml:space="preserve">, </w:t>
      </w:r>
      <w:r w:rsidR="008C6418">
        <w:t>disease control rate (</w:t>
      </w:r>
      <w:r>
        <w:t>DCR</w:t>
      </w:r>
      <w:r w:rsidR="008C6418">
        <w:t>)</w:t>
      </w:r>
      <w:r>
        <w:t>.</w:t>
      </w:r>
    </w:p>
    <w:p w14:paraId="2D8E35EE" w14:textId="202D39D5" w:rsidR="00F01F74" w:rsidRDefault="00F01F74" w:rsidP="00F01F74">
      <w:pPr>
        <w:pStyle w:val="ListBullet2"/>
      </w:pPr>
      <w:r w:rsidRPr="00061386">
        <w:t>Study D0810C00002</w:t>
      </w:r>
      <w:r>
        <w:t xml:space="preserve">: </w:t>
      </w:r>
      <w:r w:rsidRPr="00061386">
        <w:t xml:space="preserve">an </w:t>
      </w:r>
      <w:r>
        <w:t>open label</w:t>
      </w:r>
      <w:r w:rsidRPr="00061386">
        <w:t xml:space="preserve">, </w:t>
      </w:r>
      <w:r>
        <w:t>dose escalating</w:t>
      </w:r>
      <w:r w:rsidRPr="00061386">
        <w:t xml:space="preserve">, non-randomised, multi-centre </w:t>
      </w:r>
      <w:r>
        <w:t>Phase</w:t>
      </w:r>
      <w:r w:rsidRPr="00061386">
        <w:t xml:space="preserve"> I study of olaparib administered orally to patients with advanced solid tumours. This study included an expanded cohort of BRCA enriched patients, primarily with ovarian cancer.</w:t>
      </w:r>
      <w:r>
        <w:t xml:space="preserve"> </w:t>
      </w:r>
      <w:r w:rsidRPr="00061386">
        <w:t>Patients received doses from 1</w:t>
      </w:r>
      <w:r w:rsidR="003E2109">
        <w:t>0 mg</w:t>
      </w:r>
      <w:r w:rsidRPr="00061386">
        <w:t xml:space="preserve"> daily D</w:t>
      </w:r>
      <w:r>
        <w:t xml:space="preserve">ays 1 to </w:t>
      </w:r>
      <w:r w:rsidRPr="00061386">
        <w:t>14 on a 21 day cycle escalated to 60</w:t>
      </w:r>
      <w:r w:rsidR="003E2109">
        <w:t>0 mg</w:t>
      </w:r>
      <w:r w:rsidRPr="00061386">
        <w:t xml:space="preserve"> </w:t>
      </w:r>
      <w:r>
        <w:t>BD</w:t>
      </w:r>
      <w:r w:rsidRPr="00061386">
        <w:t xml:space="preserve">. The expansion cohort received </w:t>
      </w:r>
      <w:r>
        <w:t>200</w:t>
      </w:r>
      <w:r w:rsidR="00EB0ACD">
        <w:t> </w:t>
      </w:r>
      <w:r>
        <w:t>mg</w:t>
      </w:r>
      <w:r w:rsidRPr="00061386">
        <w:t xml:space="preserve"> </w:t>
      </w:r>
      <w:r>
        <w:t>BD</w:t>
      </w:r>
      <w:r w:rsidRPr="00061386">
        <w:t xml:space="preserve">. In total 99 patients were recruited, 53 had ovarian cancer, 49 of which had a mutation in BRCA1 or </w:t>
      </w:r>
      <w:r w:rsidR="00EB0ACD">
        <w:t>BRCA</w:t>
      </w:r>
      <w:r w:rsidRPr="00061386">
        <w:t xml:space="preserve">2. The primary endpoint was maximum tolerated dose (MTD.) The primary efficacy variables were </w:t>
      </w:r>
      <w:r w:rsidR="00EB0ACD">
        <w:t>o</w:t>
      </w:r>
      <w:r w:rsidR="00EB0ACD" w:rsidRPr="00061386">
        <w:t xml:space="preserve">verall </w:t>
      </w:r>
      <w:r w:rsidR="00EB0ACD">
        <w:t>b</w:t>
      </w:r>
      <w:r w:rsidR="00EB0ACD" w:rsidRPr="00061386">
        <w:t xml:space="preserve">est </w:t>
      </w:r>
      <w:r w:rsidR="00EB0ACD">
        <w:t>r</w:t>
      </w:r>
      <w:r w:rsidR="00EB0ACD" w:rsidRPr="00061386">
        <w:t xml:space="preserve">esponse </w:t>
      </w:r>
      <w:r w:rsidRPr="00061386">
        <w:t xml:space="preserve">(RECIST and RECIST/GCIG), </w:t>
      </w:r>
      <w:proofErr w:type="spellStart"/>
      <w:r w:rsidR="00EB0ACD">
        <w:t>DoR</w:t>
      </w:r>
      <w:proofErr w:type="spellEnd"/>
      <w:r w:rsidRPr="00061386">
        <w:t xml:space="preserve">, </w:t>
      </w:r>
      <w:r w:rsidR="00EB0ACD">
        <w:t>d</w:t>
      </w:r>
      <w:r w:rsidR="00EB0ACD" w:rsidRPr="00061386">
        <w:t xml:space="preserve">uration </w:t>
      </w:r>
      <w:r w:rsidRPr="00061386">
        <w:t xml:space="preserve">of </w:t>
      </w:r>
      <w:r w:rsidR="00EB0ACD">
        <w:t>s</w:t>
      </w:r>
      <w:r w:rsidR="00EB0ACD" w:rsidRPr="00061386">
        <w:t xml:space="preserve">table </w:t>
      </w:r>
      <w:r w:rsidR="00EB0ACD">
        <w:t>d</w:t>
      </w:r>
      <w:r w:rsidR="00EB0ACD" w:rsidRPr="00061386">
        <w:t xml:space="preserve">isease </w:t>
      </w:r>
      <w:r w:rsidRPr="00061386">
        <w:t>a</w:t>
      </w:r>
      <w:r>
        <w:t xml:space="preserve">nd </w:t>
      </w:r>
      <w:r w:rsidR="00EB0ACD">
        <w:t>t</w:t>
      </w:r>
      <w:r w:rsidR="00F12C72">
        <w:t>i</w:t>
      </w:r>
      <w:r w:rsidR="00EB0ACD">
        <w:t xml:space="preserve">me </w:t>
      </w:r>
      <w:r>
        <w:t xml:space="preserve">to </w:t>
      </w:r>
      <w:r w:rsidR="00EB0ACD">
        <w:t>disease progression</w:t>
      </w:r>
      <w:r>
        <w:t>.</w:t>
      </w:r>
    </w:p>
    <w:p w14:paraId="43B7AAC7" w14:textId="77777777" w:rsidR="00F01F74" w:rsidRDefault="00F01F74" w:rsidP="00F01F74">
      <w:pPr>
        <w:pStyle w:val="ListBullet"/>
      </w:pPr>
      <w:bookmarkStart w:id="116" w:name="_Toc241374312"/>
      <w:bookmarkStart w:id="117" w:name="_Toc272414656"/>
      <w:bookmarkStart w:id="118" w:name="_Toc290888507"/>
      <w:bookmarkStart w:id="119" w:name="_Toc297900939"/>
      <w:bookmarkStart w:id="120" w:name="_Toc522177152"/>
      <w:r w:rsidRPr="00F01F74">
        <w:t>Analyses performed across trials (pooled analyses and meta-analyses)</w:t>
      </w:r>
      <w:bookmarkEnd w:id="116"/>
      <w:bookmarkEnd w:id="117"/>
      <w:bookmarkEnd w:id="118"/>
      <w:bookmarkEnd w:id="119"/>
      <w:bookmarkEnd w:id="120"/>
      <w:r>
        <w:t>:</w:t>
      </w:r>
    </w:p>
    <w:p w14:paraId="781F5A6C" w14:textId="77777777" w:rsidR="00F01F74" w:rsidRPr="00F01F74" w:rsidRDefault="00F01F74" w:rsidP="00F01F74">
      <w:pPr>
        <w:ind w:left="360"/>
      </w:pPr>
      <w:r w:rsidRPr="00F01F74">
        <w:lastRenderedPageBreak/>
        <w:t>It was not considered appropriate by the sponsor to formally pool the efficacy data from these studies with the data from the pivotal study due to differences in study design: olaparib also administered in combination with chemotherapy prior to maintenance (Study D0810C00041); active comparator, non-maintenance design, and a different patient population investigated (Study D0810C00012); and non-maintenance, non-randomised design and different patient populations investigated (Studies D0810C000009, D08109C00020, and D0810C00042).</w:t>
      </w:r>
    </w:p>
    <w:p w14:paraId="65DCE209" w14:textId="77777777" w:rsidR="008E7846" w:rsidRDefault="00605AD4" w:rsidP="00605AD4">
      <w:pPr>
        <w:pStyle w:val="Heading4"/>
      </w:pPr>
      <w:r>
        <w:t>Evaluator’s conclusions on efficacy</w:t>
      </w:r>
    </w:p>
    <w:p w14:paraId="65D85666" w14:textId="77777777" w:rsidR="00F01F74" w:rsidRPr="00061386" w:rsidRDefault="00F01F74" w:rsidP="00F01F74">
      <w:r w:rsidRPr="00061386">
        <w:t xml:space="preserve">The sponsor has provided evidence for the efficacy of olaparib as maintenance therapy in platinum sensitive ovarian cancer after a response to </w:t>
      </w:r>
      <w:r>
        <w:t>platinum based</w:t>
      </w:r>
      <w:r w:rsidRPr="00061386">
        <w:t xml:space="preserve"> therapy in patients with a BRCA mutated cancer.</w:t>
      </w:r>
      <w:r>
        <w:t xml:space="preserve"> </w:t>
      </w:r>
      <w:r w:rsidRPr="00061386">
        <w:t xml:space="preserve">It is noted that the pivotal trial is a </w:t>
      </w:r>
      <w:r>
        <w:t>Phase</w:t>
      </w:r>
      <w:r w:rsidRPr="00061386">
        <w:t xml:space="preserve"> II randomised study with a matched placebo control.</w:t>
      </w:r>
      <w:r>
        <w:t xml:space="preserve"> </w:t>
      </w:r>
      <w:r w:rsidRPr="00061386">
        <w:t>It is appropriate to use PFS as the primary endpoint for this trial.</w:t>
      </w:r>
      <w:r>
        <w:t xml:space="preserve"> </w:t>
      </w:r>
      <w:r w:rsidRPr="00061386">
        <w:t>This study was able to demonstrate a PFS benefit and this study was not powered to demonstrate an OS benefit. Survival analysis will be confounded by subsequent therapy and it is reported that 22.6% of patients in the placebo arm with a BRCA mutation were documented to have received subsequent ther</w:t>
      </w:r>
      <w:r>
        <w:t>apy with a PARP inhibitor.</w:t>
      </w:r>
    </w:p>
    <w:p w14:paraId="37776CCF" w14:textId="77777777" w:rsidR="00F01F74" w:rsidRDefault="00F01F74" w:rsidP="00F01F74">
      <w:r w:rsidRPr="00061386">
        <w:t>The standard of care for these patients is observation with chemotherapy on progression.</w:t>
      </w:r>
      <w:r>
        <w:t xml:space="preserve"> </w:t>
      </w:r>
      <w:r w:rsidRPr="00061386">
        <w:t xml:space="preserve">Prolonging PFS without compromising </w:t>
      </w:r>
      <w:r>
        <w:t>QoL</w:t>
      </w:r>
      <w:r w:rsidRPr="00061386">
        <w:t xml:space="preserve"> is a clinically important endpoint for patients.</w:t>
      </w:r>
      <w:r>
        <w:t xml:space="preserve"> </w:t>
      </w:r>
      <w:r w:rsidRPr="00061386">
        <w:t xml:space="preserve">Due to the increasingly large proportion of patients failing to complete </w:t>
      </w:r>
      <w:r>
        <w:t>QoL</w:t>
      </w:r>
      <w:r w:rsidRPr="00061386">
        <w:t xml:space="preserve"> assessments in the pivotal study, overall, it cannot be categorically concluded that no worsening of </w:t>
      </w:r>
      <w:r>
        <w:t>QoL</w:t>
      </w:r>
      <w:r w:rsidRPr="00061386">
        <w:t xml:space="preserve"> occurred. Exploratory analysis has also reported a significant delay to first or second subsequent treatment supporting a durable benefit of treatment</w:t>
      </w:r>
      <w:r>
        <w:t>.</w:t>
      </w:r>
    </w:p>
    <w:p w14:paraId="7B960E4C" w14:textId="49DD8E2B" w:rsidR="00F01F74" w:rsidRDefault="00F01F74" w:rsidP="00F01F74">
      <w:r w:rsidRPr="00061386">
        <w:t xml:space="preserve">The pivotal study is supported with activity demonstrated in 5 </w:t>
      </w:r>
      <w:r>
        <w:t>Phase</w:t>
      </w:r>
      <w:r w:rsidRPr="00061386">
        <w:t xml:space="preserve"> II trials in patients with ovarian cancer.</w:t>
      </w:r>
      <w:r>
        <w:t xml:space="preserve"> </w:t>
      </w:r>
      <w:r w:rsidRPr="00061386">
        <w:t>There is consistency in the results from these studies.</w:t>
      </w:r>
      <w:r>
        <w:t xml:space="preserve"> </w:t>
      </w:r>
      <w:r w:rsidRPr="00061386">
        <w:t>As anticipated, the greatest benefit is seen in patients who have a mutation in BRCA1 or BRCA2 or HRD.</w:t>
      </w:r>
      <w:r>
        <w:t xml:space="preserve"> </w:t>
      </w:r>
      <w:r w:rsidRPr="00061386">
        <w:t xml:space="preserve">They have provided evidence to support the dose of </w:t>
      </w:r>
      <w:r>
        <w:t>400 mg</w:t>
      </w:r>
      <w:r w:rsidRPr="00061386">
        <w:t xml:space="preserve"> (capsules) </w:t>
      </w:r>
      <w:r>
        <w:t>BD</w:t>
      </w:r>
      <w:r w:rsidRPr="00061386">
        <w:t>.</w:t>
      </w:r>
      <w:r>
        <w:t xml:space="preserve"> </w:t>
      </w:r>
      <w:r w:rsidRPr="00061386">
        <w:t>It should be noted that the patient population is main</w:t>
      </w:r>
      <w:r>
        <w:t>ly Caucasian in these studies.</w:t>
      </w:r>
    </w:p>
    <w:p w14:paraId="46AF764A" w14:textId="77777777" w:rsidR="00500337" w:rsidRPr="00500337" w:rsidRDefault="00F01F74" w:rsidP="00500337">
      <w:r w:rsidRPr="00061386">
        <w:t xml:space="preserve">This submission relies on the results of a pivotal </w:t>
      </w:r>
      <w:r>
        <w:t>Phase</w:t>
      </w:r>
      <w:r w:rsidRPr="00061386">
        <w:t xml:space="preserve"> II study and supportive studies with </w:t>
      </w:r>
      <w:r>
        <w:t>Phase</w:t>
      </w:r>
      <w:r w:rsidRPr="00061386">
        <w:t xml:space="preserve"> III studies ongoing.</w:t>
      </w:r>
      <w:r>
        <w:t xml:space="preserve"> </w:t>
      </w:r>
      <w:r w:rsidRPr="00061386">
        <w:t xml:space="preserve">While results of a </w:t>
      </w:r>
      <w:r>
        <w:t>Phase</w:t>
      </w:r>
      <w:r w:rsidRPr="00061386">
        <w:t xml:space="preserve"> III study will provide more robust results and is considered the gold standard, the sponsor has provided justification for the indication of olaparib as maintenance therapy of adult patients with </w:t>
      </w:r>
      <w:r>
        <w:t>platinum sensitive</w:t>
      </w:r>
      <w:r w:rsidR="00175320">
        <w:t xml:space="preserve"> relapsed BRCA </w:t>
      </w:r>
      <w:r w:rsidRPr="00061386">
        <w:t xml:space="preserve">mutated high grade serous ovarian cancer (including fallopian tube or primary peritoneal) who are in response (complete or partial response) to </w:t>
      </w:r>
      <w:r>
        <w:t>platinum based</w:t>
      </w:r>
      <w:r w:rsidRPr="00061386">
        <w:t xml:space="preserve"> therapy.</w:t>
      </w:r>
    </w:p>
    <w:p w14:paraId="5459D850" w14:textId="77777777" w:rsidR="008E7846" w:rsidRPr="002E238E" w:rsidRDefault="008E7846" w:rsidP="008E7846">
      <w:pPr>
        <w:pStyle w:val="Heading3"/>
      </w:pPr>
      <w:bookmarkStart w:id="121" w:name="_Toc163441378"/>
      <w:bookmarkStart w:id="122" w:name="_Toc196046495"/>
      <w:bookmarkStart w:id="123" w:name="_Toc247691522"/>
      <w:bookmarkStart w:id="124" w:name="_Toc314842505"/>
      <w:bookmarkStart w:id="125" w:name="_Toc8053824"/>
      <w:bookmarkEnd w:id="105"/>
      <w:bookmarkEnd w:id="106"/>
      <w:bookmarkEnd w:id="107"/>
      <w:bookmarkEnd w:id="108"/>
      <w:r w:rsidRPr="002E238E">
        <w:t>Safety</w:t>
      </w:r>
      <w:bookmarkEnd w:id="121"/>
      <w:bookmarkEnd w:id="122"/>
      <w:bookmarkEnd w:id="123"/>
      <w:bookmarkEnd w:id="124"/>
      <w:bookmarkEnd w:id="125"/>
    </w:p>
    <w:p w14:paraId="15CC5054" w14:textId="77777777" w:rsidR="00605AD4" w:rsidRDefault="00605AD4" w:rsidP="00605AD4">
      <w:pPr>
        <w:pStyle w:val="Heading4"/>
      </w:pPr>
      <w:bookmarkStart w:id="126" w:name="_Toc247691524"/>
      <w:bookmarkStart w:id="127" w:name="_Toc314842508"/>
      <w:bookmarkStart w:id="128" w:name="_Toc196046504"/>
      <w:bookmarkStart w:id="129" w:name="_Toc163441390"/>
      <w:r w:rsidRPr="00605AD4">
        <w:t>Studies providing safety data</w:t>
      </w:r>
    </w:p>
    <w:p w14:paraId="5A326322" w14:textId="77777777" w:rsidR="00F01F74" w:rsidRPr="00C849F2" w:rsidRDefault="00F01F74" w:rsidP="00F01F74">
      <w:r w:rsidRPr="00C849F2">
        <w:t xml:space="preserve">The </w:t>
      </w:r>
      <w:r>
        <w:t>dose response</w:t>
      </w:r>
      <w:r w:rsidRPr="00C849F2">
        <w:t xml:space="preserve"> and non-pivotal efficacy studies provided safety data, as follows:</w:t>
      </w:r>
    </w:p>
    <w:p w14:paraId="5A11E72B" w14:textId="77777777" w:rsidR="00F01F74" w:rsidRPr="00F01F74" w:rsidRDefault="00F01F74" w:rsidP="00F01F74">
      <w:pPr>
        <w:pStyle w:val="ListBullet"/>
      </w:pPr>
      <w:r w:rsidRPr="00F01F74">
        <w:t>Study D0180C00041 provided data on olaparib as a maintenance therapy, following combination with chemotherapy.</w:t>
      </w:r>
    </w:p>
    <w:p w14:paraId="7BDE31F6" w14:textId="77777777" w:rsidR="00F01F74" w:rsidRPr="00F01F74" w:rsidRDefault="00F01F74" w:rsidP="00F01F74">
      <w:pPr>
        <w:pStyle w:val="ListBullet"/>
      </w:pPr>
      <w:r w:rsidRPr="00F01F74">
        <w:t>Studies D0180C00001, D0180C00002, D0180C00007, D018AC00001, D0180C00008, D0180C00009, D0180C00012, D0180C00020, D0180C00024, D0180C000042 and DO910C0008 provided data on olaparib as monotherapy. These trials included patients with an advanced malignancy with 398 of these patients with ovarian cancer.</w:t>
      </w:r>
    </w:p>
    <w:p w14:paraId="162FA64D" w14:textId="77777777" w:rsidR="00F01F74" w:rsidRPr="00C849F2" w:rsidRDefault="00F01F74" w:rsidP="00F01F74">
      <w:r w:rsidRPr="00C849F2">
        <w:t>In each of these studies data was collected at baseline, regular intervals while the patient remained on treatment up until 30 days after receiving the last dose.</w:t>
      </w:r>
    </w:p>
    <w:p w14:paraId="3D0B9C3C" w14:textId="53A3D519" w:rsidR="00F01F74" w:rsidRDefault="00175320" w:rsidP="00F01F74">
      <w:r>
        <w:lastRenderedPageBreak/>
        <w:t>AE</w:t>
      </w:r>
      <w:r w:rsidR="00F01F74" w:rsidRPr="00C849F2">
        <w:t xml:space="preserve">s, vital signs, haematology, clinical chemistry and </w:t>
      </w:r>
      <w:r w:rsidR="00EB0ACD">
        <w:t>electrocardiographs (</w:t>
      </w:r>
      <w:r w:rsidR="00F01F74" w:rsidRPr="00C849F2">
        <w:t>ECG</w:t>
      </w:r>
      <w:r w:rsidR="00EB0ACD">
        <w:t>)</w:t>
      </w:r>
      <w:r w:rsidR="00F01F74" w:rsidRPr="00C849F2">
        <w:t xml:space="preserve"> were recorded in the clinical pharmacology studies and all studies were conducted in patients with an advanced malignancy</w:t>
      </w:r>
      <w:r w:rsidR="00F01F74">
        <w:t>.</w:t>
      </w:r>
    </w:p>
    <w:p w14:paraId="01756F7C" w14:textId="31941BA7" w:rsidR="00F01F74" w:rsidRPr="00C849F2" w:rsidRDefault="00F01F74" w:rsidP="00F01F74">
      <w:r w:rsidRPr="00C849F2">
        <w:t>There were no unexpected changes noted in vital signs or physical examination safety parameters in the olaparib or placebo groups, and no individual abnormalities raised any safety concerns. Diastolic and systolic blood pressure did not change appreciably during the study, with mean and median values over time remaining consistent and similar for the olaparib and placebo groups (Study D0810C00019)</w:t>
      </w:r>
      <w:r w:rsidR="005F182D">
        <w:t>.</w:t>
      </w:r>
    </w:p>
    <w:p w14:paraId="114298AE" w14:textId="77777777" w:rsidR="00500337" w:rsidRPr="00500337" w:rsidRDefault="00F01F74" w:rsidP="00F01F74">
      <w:r w:rsidRPr="00C849F2">
        <w:t xml:space="preserve">The results of the individual studies </w:t>
      </w:r>
      <w:r>
        <w:t>were</w:t>
      </w:r>
      <w:r w:rsidRPr="00C849F2">
        <w:t xml:space="preserve"> provid</w:t>
      </w:r>
      <w:r>
        <w:t>ed.</w:t>
      </w:r>
    </w:p>
    <w:p w14:paraId="42E7FA44" w14:textId="77777777" w:rsidR="00605AD4" w:rsidRDefault="00605AD4" w:rsidP="00605AD4">
      <w:pPr>
        <w:pStyle w:val="Heading4"/>
      </w:pPr>
      <w:r w:rsidRPr="00605AD4">
        <w:t>Patient exposure</w:t>
      </w:r>
    </w:p>
    <w:p w14:paraId="5878EABD" w14:textId="4F3309E1" w:rsidR="00A60A94" w:rsidRPr="00C849F2" w:rsidRDefault="00A60A94" w:rsidP="00A60A94">
      <w:r w:rsidRPr="00C849F2">
        <w:t>The clinical programme for olaparib is broader than the indication being sought in this application. Across the entire clinical programme, as of 20 September 2014, an estimated 3</w:t>
      </w:r>
      <w:r w:rsidR="00175320">
        <w:t>,</w:t>
      </w:r>
      <w:r w:rsidRPr="00C849F2">
        <w:t>020 patients with ovarian, breast, pancreatic, gastric and a variety of other solid tumours have received treatment with olaparib across the dose range 10 mg once daily (</w:t>
      </w:r>
      <w:r>
        <w:t>OD</w:t>
      </w:r>
      <w:r w:rsidR="00175320">
        <w:t>) to 600 </w:t>
      </w:r>
      <w:r w:rsidRPr="00C849F2">
        <w:t xml:space="preserve">mg </w:t>
      </w:r>
      <w:r>
        <w:t>BD</w:t>
      </w:r>
      <w:r w:rsidRPr="00C849F2">
        <w:t xml:space="preserve"> in AstraZene</w:t>
      </w:r>
      <w:r w:rsidR="00175320">
        <w:t>ca</w:t>
      </w:r>
      <w:r w:rsidR="005F182D">
        <w:t xml:space="preserve"> </w:t>
      </w:r>
      <w:r w:rsidR="00175320">
        <w:t xml:space="preserve">sponsored, investigator </w:t>
      </w:r>
      <w:r w:rsidRPr="00C849F2">
        <w:t>sponsored and collaborative group studies. Olaparib has been given as either monotherapy (28 studies, an estimated 1</w:t>
      </w:r>
      <w:r>
        <w:t>,</w:t>
      </w:r>
      <w:r w:rsidRPr="00C849F2">
        <w:t>810 patients) or in combination with other chemotherapy/anti-cancer agents (30 studi</w:t>
      </w:r>
      <w:r>
        <w:t>es, an estimated 1210 patients).</w:t>
      </w:r>
    </w:p>
    <w:p w14:paraId="31D249B3" w14:textId="77777777" w:rsidR="00A60A94" w:rsidRDefault="00A60A94" w:rsidP="00A60A94">
      <w:r w:rsidRPr="00C849F2">
        <w:t xml:space="preserve">The safety data presented in the summary of clinical safety is derived primarily from 832 </w:t>
      </w:r>
      <w:r>
        <w:t xml:space="preserve">olaparib treated patients from AstraZeneca </w:t>
      </w:r>
      <w:r w:rsidRPr="00C849F2">
        <w:t xml:space="preserve">sponsored studies where olaparib was administered as a monotherapy at a dose of 400 mg </w:t>
      </w:r>
      <w:r>
        <w:t>BD</w:t>
      </w:r>
      <w:r w:rsidRPr="00C849F2">
        <w:t xml:space="preserve"> (capsules) in line with the approval being sought</w:t>
      </w:r>
      <w:r>
        <w:t>.</w:t>
      </w:r>
    </w:p>
    <w:p w14:paraId="6B622739" w14:textId="77777777" w:rsidR="00500337" w:rsidRPr="00500337" w:rsidRDefault="00A60A94" w:rsidP="00500337">
      <w:r w:rsidRPr="00C849F2">
        <w:t>The safety data includes the pivotal trial Study D0810C00019, a</w:t>
      </w:r>
      <w:r>
        <w:t xml:space="preserve"> second maintenance trial Study </w:t>
      </w:r>
      <w:r w:rsidRPr="00C849F2">
        <w:t>D0810C00041 and a further 11 monotherapy trials</w:t>
      </w:r>
      <w:r w:rsidR="00175320">
        <w:t>.</w:t>
      </w:r>
    </w:p>
    <w:p w14:paraId="2F87B5B0" w14:textId="77777777" w:rsidR="00605AD4" w:rsidRDefault="00605AD4" w:rsidP="00605AD4">
      <w:pPr>
        <w:pStyle w:val="Heading4"/>
      </w:pPr>
      <w:r w:rsidRPr="00605AD4">
        <w:t>Safety issues with the potential for major regulatory impact</w:t>
      </w:r>
    </w:p>
    <w:p w14:paraId="0451DDB5" w14:textId="740EE8DB" w:rsidR="007819A6" w:rsidRPr="00932EA8" w:rsidRDefault="00475D5E" w:rsidP="007819A6">
      <w:pPr>
        <w:pStyle w:val="Heading5"/>
      </w:pPr>
      <w:bookmarkStart w:id="130" w:name="_Toc297900960"/>
      <w:r>
        <w:t>Myelodysplastic syndrome</w:t>
      </w:r>
      <w:r w:rsidRPr="00932EA8">
        <w:t xml:space="preserve"> </w:t>
      </w:r>
      <w:r w:rsidR="007819A6" w:rsidRPr="00932EA8">
        <w:t>/</w:t>
      </w:r>
      <w:bookmarkEnd w:id="130"/>
      <w:r w:rsidR="008C6418" w:rsidRPr="008C6418">
        <w:t xml:space="preserve"> </w:t>
      </w:r>
      <w:r w:rsidR="00D81FEC">
        <w:t>a</w:t>
      </w:r>
      <w:r w:rsidR="008C6418">
        <w:t>cute myeloid leukaemia</w:t>
      </w:r>
    </w:p>
    <w:p w14:paraId="53B32824" w14:textId="77777777" w:rsidR="007819A6" w:rsidRDefault="007819A6" w:rsidP="007819A6">
      <w:r w:rsidRPr="00932EA8">
        <w:t>This is a potentially concerning toxicity however there will always be some risk with these agents.</w:t>
      </w:r>
      <w:r>
        <w:t xml:space="preserve"> </w:t>
      </w:r>
      <w:r w:rsidRPr="00932EA8">
        <w:t>The intended use for olaparib is for patients with advanced cancer and where clinically significant benefit is seen, a low risk of this toxicity is acceptable.</w:t>
      </w:r>
    </w:p>
    <w:p w14:paraId="1B17E08C" w14:textId="77777777" w:rsidR="007819A6" w:rsidRPr="00932EA8" w:rsidRDefault="007819A6" w:rsidP="007819A6">
      <w:r w:rsidRPr="00932EA8">
        <w:t>In Study D0180C00019 there was a higher rate of anaemia in the olaparib arm (23.5% versus 7.0%).</w:t>
      </w:r>
      <w:r>
        <w:t xml:space="preserve"> </w:t>
      </w:r>
      <w:r w:rsidRPr="00932EA8">
        <w:t>Anaemia did not result in discontinuation in any patient. The majority of patients who developed anaemia had their first onset within the first 2 months.</w:t>
      </w:r>
      <w:r>
        <w:t xml:space="preserve"> </w:t>
      </w:r>
      <w:r w:rsidRPr="00932EA8">
        <w:t>The cumulative incidence plateaus after around 8 months.</w:t>
      </w:r>
      <w:r>
        <w:t xml:space="preserve"> </w:t>
      </w:r>
      <w:r w:rsidRPr="00932EA8">
        <w:t>Anaemia generally resolves while remaining on treatment and resulted in dose reduction in 3.3% of patients on olaparib.</w:t>
      </w:r>
      <w:r>
        <w:t xml:space="preserve"> </w:t>
      </w:r>
      <w:r w:rsidRPr="00932EA8">
        <w:t>Anaemia required transfusion in 27.8% of patients in the olaparib arm.</w:t>
      </w:r>
    </w:p>
    <w:p w14:paraId="7E0E0ACF" w14:textId="29982343" w:rsidR="007819A6" w:rsidRPr="00932EA8" w:rsidRDefault="007819A6" w:rsidP="007819A6">
      <w:r w:rsidRPr="00932EA8">
        <w:t xml:space="preserve">The incidences of </w:t>
      </w:r>
      <w:r w:rsidR="008C6418">
        <w:t>common terminology criteria for adverse events (</w:t>
      </w:r>
      <w:r>
        <w:t>CTCAE</w:t>
      </w:r>
      <w:r w:rsidR="008C6418">
        <w:t>)</w:t>
      </w:r>
      <w:r>
        <w:t xml:space="preserve"> Grade</w:t>
      </w:r>
      <w:r w:rsidRPr="00932EA8">
        <w:t xml:space="preserve"> 3 or 4 toxicities for olaparib are: 7.5% anaemia (0.8% placebo); 5.1% neutrop</w:t>
      </w:r>
      <w:r w:rsidR="005F182D">
        <w:t>a</w:t>
      </w:r>
      <w:r w:rsidRPr="00932EA8">
        <w:t>enia (2.3% placebo); 8.1% lymphop</w:t>
      </w:r>
      <w:r w:rsidR="005F182D">
        <w:t>a</w:t>
      </w:r>
      <w:r w:rsidRPr="00932EA8">
        <w:t>enia (3.1% placebo) and 2.9% thro</w:t>
      </w:r>
      <w:r>
        <w:t>mbocytop</w:t>
      </w:r>
      <w:r w:rsidR="005F182D">
        <w:t>a</w:t>
      </w:r>
      <w:r>
        <w:t>enia (0% placebo). See T</w:t>
      </w:r>
      <w:r w:rsidRPr="00932EA8">
        <w:t xml:space="preserve">able </w:t>
      </w:r>
      <w:r w:rsidR="00F03EBB">
        <w:t>9</w:t>
      </w:r>
      <w:r w:rsidRPr="00932EA8">
        <w:t>.</w:t>
      </w:r>
    </w:p>
    <w:p w14:paraId="7BC1B0FD" w14:textId="47D385B7" w:rsidR="007819A6" w:rsidRPr="00932EA8" w:rsidRDefault="007819A6" w:rsidP="007819A6">
      <w:r w:rsidRPr="00932EA8">
        <w:t>In the patients who received olaparib there was a trend for a slight reduction in median haemoglobin and with the median values remaining below the</w:t>
      </w:r>
      <w:r w:rsidR="005F182D">
        <w:t xml:space="preserve"> lower limit of normal</w:t>
      </w:r>
      <w:r w:rsidRPr="00932EA8">
        <w:t xml:space="preserve"> </w:t>
      </w:r>
      <w:r w:rsidR="005F182D">
        <w:t>(</w:t>
      </w:r>
      <w:r w:rsidRPr="00932EA8">
        <w:t>LLN</w:t>
      </w:r>
      <w:r w:rsidR="005F182D">
        <w:t>)</w:t>
      </w:r>
      <w:r w:rsidRPr="00932EA8">
        <w:t xml:space="preserve"> during the treatment period. Median neutrophil levels and platelet levels remained stable and above the LLN in the patients who received olaparib. There was a trend for a slight decrease in median lymphocyte counts over time compared to baseline in patients receiving olaparib.</w:t>
      </w:r>
    </w:p>
    <w:p w14:paraId="50AFDB9C" w14:textId="77777777" w:rsidR="007819A6" w:rsidRDefault="00175320" w:rsidP="007819A6">
      <w:r>
        <w:lastRenderedPageBreak/>
        <w:t>Mean corpuscular volume</w:t>
      </w:r>
      <w:r w:rsidRPr="00932EA8">
        <w:t xml:space="preserve"> </w:t>
      </w:r>
      <w:r>
        <w:t>(</w:t>
      </w:r>
      <w:r w:rsidR="007819A6" w:rsidRPr="00932EA8">
        <w:t>MCV</w:t>
      </w:r>
      <w:r>
        <w:t>)</w:t>
      </w:r>
      <w:r w:rsidR="007819A6" w:rsidRPr="00932EA8">
        <w:t xml:space="preserve"> values for the </w:t>
      </w:r>
      <w:r w:rsidR="007819A6">
        <w:t>olaparib treated</w:t>
      </w:r>
      <w:r w:rsidR="007819A6" w:rsidRPr="00932EA8">
        <w:t xml:space="preserve"> patients increased to above the ULN. The increase became apparent after 3 months of treatment. The clinical significance of this is unknown. Levels appeared to return to normal at the follow-up and post follow-up visits and did not appear to have any clinical consequences</w:t>
      </w:r>
      <w:r w:rsidR="007819A6">
        <w:t>.</w:t>
      </w:r>
    </w:p>
    <w:p w14:paraId="0588D9B3" w14:textId="22D37E0B" w:rsidR="007819A6" w:rsidRDefault="007819A6" w:rsidP="007819A6">
      <w:pPr>
        <w:pStyle w:val="Tabletitle0"/>
      </w:pPr>
      <w:bookmarkStart w:id="131" w:name="_Toc297901084"/>
      <w:bookmarkStart w:id="132" w:name="_Toc241374322"/>
      <w:bookmarkStart w:id="133" w:name="_Ref272331212"/>
      <w:bookmarkStart w:id="134" w:name="_Toc272414687"/>
      <w:bookmarkStart w:id="135" w:name="_Toc290888551"/>
      <w:bookmarkStart w:id="136" w:name="_Toc297900962"/>
      <w:r w:rsidRPr="00932EA8">
        <w:t xml:space="preserve">Table </w:t>
      </w:r>
      <w:r w:rsidR="00F03EBB">
        <w:t>9</w:t>
      </w:r>
      <w:r>
        <w:t>:</w:t>
      </w:r>
      <w:r w:rsidRPr="00932EA8">
        <w:t xml:space="preserve"> Summary of maximum overall </w:t>
      </w:r>
      <w:r>
        <w:t>CTCAE Grade</w:t>
      </w:r>
      <w:r w:rsidRPr="00932EA8">
        <w:t xml:space="preserve"> during treatment for key haematology parameters</w:t>
      </w:r>
      <w:r w:rsidR="005F182D">
        <w:t>;</w:t>
      </w:r>
      <w:r w:rsidR="005F182D" w:rsidRPr="00932EA8">
        <w:t xml:space="preserve"> </w:t>
      </w:r>
      <w:r w:rsidRPr="00932EA8">
        <w:t xml:space="preserve">Safety </w:t>
      </w:r>
      <w:r w:rsidR="005F182D">
        <w:t>a</w:t>
      </w:r>
      <w:r w:rsidR="005F182D" w:rsidRPr="00932EA8">
        <w:t xml:space="preserve">nalysis </w:t>
      </w:r>
      <w:bookmarkEnd w:id="131"/>
      <w:r w:rsidR="005F182D">
        <w:t>s</w:t>
      </w:r>
      <w:r w:rsidR="005F182D" w:rsidRPr="00932EA8">
        <w:t>et</w:t>
      </w:r>
    </w:p>
    <w:p w14:paraId="6E145C53" w14:textId="77777777" w:rsidR="007819A6" w:rsidRPr="007819A6" w:rsidRDefault="007819A6" w:rsidP="007819A6">
      <w:r>
        <w:rPr>
          <w:noProof/>
          <w:lang w:eastAsia="en-AU"/>
        </w:rPr>
        <w:drawing>
          <wp:inline distT="0" distB="0" distL="0" distR="0" wp14:anchorId="36A533DA" wp14:editId="159E5AEE">
            <wp:extent cx="5400040" cy="3107908"/>
            <wp:effectExtent l="0" t="0" r="0" b="0"/>
            <wp:docPr id="14" name="Picture 14" descr="Summary of maximum overall CTCAE Grade during treatment for key haematology parameter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3107908"/>
                    </a:xfrm>
                    <a:prstGeom prst="rect">
                      <a:avLst/>
                    </a:prstGeom>
                  </pic:spPr>
                </pic:pic>
              </a:graphicData>
            </a:graphic>
          </wp:inline>
        </w:drawing>
      </w:r>
    </w:p>
    <w:p w14:paraId="1E26D41D" w14:textId="77777777" w:rsidR="007819A6" w:rsidRPr="00932EA8" w:rsidRDefault="007819A6" w:rsidP="007819A6">
      <w:pPr>
        <w:pStyle w:val="Heading5"/>
      </w:pPr>
      <w:r w:rsidRPr="00932EA8">
        <w:t>Safety in special populations</w:t>
      </w:r>
      <w:bookmarkEnd w:id="132"/>
      <w:bookmarkEnd w:id="133"/>
      <w:bookmarkEnd w:id="134"/>
      <w:bookmarkEnd w:id="135"/>
      <w:bookmarkEnd w:id="136"/>
    </w:p>
    <w:p w14:paraId="52A42F08" w14:textId="77777777" w:rsidR="007819A6" w:rsidRPr="00932EA8" w:rsidRDefault="007819A6" w:rsidP="007819A6">
      <w:pPr>
        <w:pStyle w:val="Heading6"/>
      </w:pPr>
      <w:r w:rsidRPr="00932EA8">
        <w:t>Age</w:t>
      </w:r>
    </w:p>
    <w:p w14:paraId="7FAD1F38" w14:textId="77777777" w:rsidR="007819A6" w:rsidRDefault="007819A6" w:rsidP="007819A6">
      <w:r w:rsidRPr="00932EA8">
        <w:t xml:space="preserve">There appeared to be no major difference in the safety profile of patients treated with olaparib aged </w:t>
      </w:r>
      <w:r w:rsidR="002B698E">
        <w:t>&lt;</w:t>
      </w:r>
      <w:r w:rsidR="005D43E1">
        <w:t xml:space="preserve"> </w:t>
      </w:r>
      <w:r w:rsidRPr="00932EA8">
        <w:t xml:space="preserve">65 years versus </w:t>
      </w:r>
      <w:r w:rsidR="00E032DB">
        <w:t>≥</w:t>
      </w:r>
      <w:r w:rsidR="005D43E1">
        <w:t xml:space="preserve"> </w:t>
      </w:r>
      <w:r w:rsidRPr="00932EA8">
        <w:t>65 years</w:t>
      </w:r>
      <w:r>
        <w:t>.</w:t>
      </w:r>
    </w:p>
    <w:p w14:paraId="2F9394F7" w14:textId="77777777" w:rsidR="007819A6" w:rsidRPr="00932EA8" w:rsidRDefault="007819A6" w:rsidP="007819A6">
      <w:r w:rsidRPr="00932EA8">
        <w:t>The safety profile was similar in patients in both age groups, with the exception of:</w:t>
      </w:r>
    </w:p>
    <w:p w14:paraId="4BC697AE" w14:textId="77777777" w:rsidR="007819A6" w:rsidRDefault="007819A6" w:rsidP="00F12C72">
      <w:pPr>
        <w:pStyle w:val="ListBullet"/>
      </w:pPr>
      <w:r w:rsidRPr="00932EA8">
        <w:t xml:space="preserve">AEs of </w:t>
      </w:r>
      <w:r>
        <w:t>CTCAE Grade</w:t>
      </w:r>
      <w:r w:rsidRPr="00932EA8">
        <w:t xml:space="preserve"> </w:t>
      </w:r>
      <w:r w:rsidR="00E032DB">
        <w:t>≥</w:t>
      </w:r>
      <w:r w:rsidR="005D43E1">
        <w:t xml:space="preserve"> </w:t>
      </w:r>
      <w:r w:rsidRPr="00932EA8">
        <w:t xml:space="preserve">3, which were more frequent in </w:t>
      </w:r>
      <w:r w:rsidR="00175320" w:rsidRPr="00932EA8">
        <w:t>patients,</w:t>
      </w:r>
      <w:r w:rsidRPr="00932EA8">
        <w:t xml:space="preserve"> aged </w:t>
      </w:r>
      <w:r w:rsidR="00E032DB">
        <w:t>≥</w:t>
      </w:r>
      <w:r w:rsidR="005D43E1">
        <w:t xml:space="preserve"> </w:t>
      </w:r>
      <w:r w:rsidRPr="00932EA8">
        <w:t xml:space="preserve">65 years (51.3%) than those aged </w:t>
      </w:r>
      <w:r w:rsidR="002B698E">
        <w:t>&lt;</w:t>
      </w:r>
      <w:r w:rsidR="005D43E1">
        <w:t xml:space="preserve"> </w:t>
      </w:r>
      <w:r w:rsidRPr="00932EA8">
        <w:t>65 years (43.3%)</w:t>
      </w:r>
      <w:r>
        <w:t>.</w:t>
      </w:r>
    </w:p>
    <w:p w14:paraId="1CB5C0C9" w14:textId="77777777" w:rsidR="007819A6" w:rsidRDefault="007819A6" w:rsidP="00F12C72">
      <w:pPr>
        <w:pStyle w:val="ListBullet"/>
      </w:pPr>
      <w:r w:rsidRPr="00932EA8">
        <w:t xml:space="preserve">AEs leading to dose modification were more frequently in patients aged </w:t>
      </w:r>
      <w:r w:rsidR="00E032DB">
        <w:t>≥</w:t>
      </w:r>
      <w:r w:rsidR="005D43E1">
        <w:t xml:space="preserve"> </w:t>
      </w:r>
      <w:r w:rsidRPr="00932EA8">
        <w:t xml:space="preserve">65 years (51.9%) than those aged </w:t>
      </w:r>
      <w:r w:rsidR="002B698E">
        <w:t>&lt;</w:t>
      </w:r>
      <w:r w:rsidR="005D43E1">
        <w:t xml:space="preserve"> </w:t>
      </w:r>
      <w:r w:rsidRPr="00932EA8">
        <w:t>65 years (36.9%)</w:t>
      </w:r>
      <w:r>
        <w:t>.</w:t>
      </w:r>
    </w:p>
    <w:p w14:paraId="03B198F1" w14:textId="77777777" w:rsidR="007819A6" w:rsidRPr="00932EA8" w:rsidRDefault="007819A6" w:rsidP="007819A6">
      <w:pPr>
        <w:pStyle w:val="Heading6"/>
      </w:pPr>
      <w:r w:rsidRPr="00932EA8">
        <w:t>Ethnicity</w:t>
      </w:r>
    </w:p>
    <w:p w14:paraId="4F4518B0" w14:textId="77777777" w:rsidR="007819A6" w:rsidRPr="00932EA8" w:rsidRDefault="007819A6" w:rsidP="007819A6">
      <w:r w:rsidRPr="00932EA8">
        <w:t>The number of non-White patients is small representing only 3% in the pivotal study and 6.7% patients in the monotherapy pooled data set.</w:t>
      </w:r>
      <w:r>
        <w:t xml:space="preserve"> </w:t>
      </w:r>
      <w:r w:rsidRPr="00932EA8">
        <w:t>Based on very limited data the tolerability profile was consistent with that observed in all patients. No definite conclusions on equivalence of safety can be made.</w:t>
      </w:r>
    </w:p>
    <w:p w14:paraId="28D0E830" w14:textId="77777777" w:rsidR="007819A6" w:rsidRPr="00932EA8" w:rsidRDefault="007819A6" w:rsidP="007819A6">
      <w:pPr>
        <w:pStyle w:val="Heading6"/>
      </w:pPr>
      <w:r w:rsidRPr="00932EA8">
        <w:t>Hepatic impairment</w:t>
      </w:r>
    </w:p>
    <w:p w14:paraId="71684184" w14:textId="77777777" w:rsidR="007819A6" w:rsidRDefault="007819A6" w:rsidP="007819A6">
      <w:r w:rsidRPr="00932EA8">
        <w:t xml:space="preserve">Clinical studies conducted to date have had entry criteria to exclude patients with total bilirubin </w:t>
      </w:r>
      <w:r>
        <w:t xml:space="preserve">&gt; </w:t>
      </w:r>
      <w:r w:rsidRPr="00932EA8">
        <w:t xml:space="preserve">1.5 </w:t>
      </w:r>
      <w:r>
        <w:t>x</w:t>
      </w:r>
      <w:r w:rsidRPr="00932EA8">
        <w:t xml:space="preserve"> institutional ULN and </w:t>
      </w:r>
      <w:r w:rsidR="008C6418">
        <w:t>aspartate transaminase</w:t>
      </w:r>
      <w:r w:rsidR="008C6418" w:rsidRPr="00932EA8">
        <w:t xml:space="preserve"> </w:t>
      </w:r>
      <w:r w:rsidR="008C6418">
        <w:t>(</w:t>
      </w:r>
      <w:r w:rsidRPr="00932EA8">
        <w:t>AST</w:t>
      </w:r>
      <w:r w:rsidR="008C6418">
        <w:t>)</w:t>
      </w:r>
      <w:r w:rsidRPr="00932EA8">
        <w:t>/</w:t>
      </w:r>
      <w:r w:rsidR="008C6418" w:rsidRPr="008C6418">
        <w:t xml:space="preserve"> </w:t>
      </w:r>
      <w:r w:rsidR="008C6418">
        <w:t>alanine transaminase</w:t>
      </w:r>
      <w:r w:rsidR="008C6418" w:rsidRPr="00932EA8">
        <w:t xml:space="preserve"> </w:t>
      </w:r>
      <w:r w:rsidR="008C6418">
        <w:t>(</w:t>
      </w:r>
      <w:r w:rsidRPr="00932EA8">
        <w:t>ALT</w:t>
      </w:r>
      <w:r w:rsidR="008C6418">
        <w:t>)</w:t>
      </w:r>
      <w:r w:rsidRPr="00932EA8">
        <w:t xml:space="preserve"> </w:t>
      </w:r>
      <w:r>
        <w:t xml:space="preserve">&gt; </w:t>
      </w:r>
      <w:r w:rsidRPr="00932EA8">
        <w:t xml:space="preserve">2.5 </w:t>
      </w:r>
      <w:r>
        <w:t>x</w:t>
      </w:r>
      <w:r w:rsidRPr="00932EA8">
        <w:t xml:space="preserve"> institutional ULN (unless liver metastases were present, in which case it was </w:t>
      </w:r>
      <w:r>
        <w:t xml:space="preserve">&gt; </w:t>
      </w:r>
      <w:r w:rsidRPr="00932EA8">
        <w:t xml:space="preserve">5 </w:t>
      </w:r>
      <w:r>
        <w:t>x</w:t>
      </w:r>
      <w:r w:rsidRPr="00932EA8">
        <w:t xml:space="preserve"> ULN). A hepatic impairment study using the tablet formulation of olaparib is ongoing</w:t>
      </w:r>
      <w:r>
        <w:t>.</w:t>
      </w:r>
    </w:p>
    <w:p w14:paraId="47A65B1D" w14:textId="77777777" w:rsidR="007819A6" w:rsidRDefault="007819A6" w:rsidP="007819A6">
      <w:r w:rsidRPr="00932EA8">
        <w:t xml:space="preserve">Olaparib should not be dosed to patients with serum bilirubin </w:t>
      </w:r>
      <w:r>
        <w:t xml:space="preserve">&gt; </w:t>
      </w:r>
      <w:r w:rsidRPr="00932EA8">
        <w:t xml:space="preserve">1.5 </w:t>
      </w:r>
      <w:r>
        <w:t>x</w:t>
      </w:r>
      <w:r w:rsidRPr="00932EA8">
        <w:t xml:space="preserve"> ULN</w:t>
      </w:r>
      <w:r>
        <w:t>.</w:t>
      </w:r>
    </w:p>
    <w:p w14:paraId="5402529B" w14:textId="77777777" w:rsidR="007819A6" w:rsidRPr="00932EA8" w:rsidRDefault="007819A6" w:rsidP="007819A6">
      <w:pPr>
        <w:pStyle w:val="Heading6"/>
      </w:pPr>
      <w:r w:rsidRPr="00932EA8">
        <w:lastRenderedPageBreak/>
        <w:t>Renal impairment</w:t>
      </w:r>
    </w:p>
    <w:p w14:paraId="7827F3CC" w14:textId="77777777" w:rsidR="007819A6" w:rsidRPr="00932EA8" w:rsidRDefault="007819A6" w:rsidP="007819A6">
      <w:r w:rsidRPr="00932EA8">
        <w:t>Clinical studies conducted to date had entry criteria to exclude patients with serum creatinine</w:t>
      </w:r>
      <w:r>
        <w:t xml:space="preserve"> &gt; </w:t>
      </w:r>
      <w:r w:rsidRPr="00932EA8">
        <w:t xml:space="preserve">1.5 </w:t>
      </w:r>
      <w:r>
        <w:t>x</w:t>
      </w:r>
      <w:r w:rsidRPr="00932EA8">
        <w:t xml:space="preserve"> institutional ULN.</w:t>
      </w:r>
      <w:r>
        <w:t xml:space="preserve"> </w:t>
      </w:r>
      <w:r w:rsidRPr="00932EA8">
        <w:t>A renal impairment study using the tablet formulation of olaparib is ongoing.</w:t>
      </w:r>
    </w:p>
    <w:p w14:paraId="2FC0E41A" w14:textId="77777777" w:rsidR="007819A6" w:rsidRDefault="007819A6" w:rsidP="007819A6">
      <w:r w:rsidRPr="00932EA8">
        <w:t xml:space="preserve">In the pooled analysis for patients receiving monotherapy, estimates for </w:t>
      </w:r>
      <w:r w:rsidR="00475D5E">
        <w:t>glomerular filtration rate</w:t>
      </w:r>
      <w:r w:rsidR="00475D5E" w:rsidRPr="00932EA8">
        <w:t xml:space="preserve"> </w:t>
      </w:r>
      <w:r w:rsidR="00475D5E">
        <w:t>(</w:t>
      </w:r>
      <w:r w:rsidRPr="00932EA8">
        <w:t>GFR</w:t>
      </w:r>
      <w:r w:rsidR="00475D5E">
        <w:t>)</w:t>
      </w:r>
      <w:r w:rsidRPr="00932EA8">
        <w:t xml:space="preserve"> using creatinine clearance estimation have been calculated indirectly using the Cockcroft-Gault equation found 465 patients had normal renal function, 249 had mild renal impairment, 47 had moderate renal impairment and 1 patient had severe renal impairment at baseline. For patients with moderate renal impairment there was a higher rate of any </w:t>
      </w:r>
      <w:r>
        <w:t>CTCAE Grade</w:t>
      </w:r>
      <w:r w:rsidR="00175320">
        <w:t> </w:t>
      </w:r>
      <w:r w:rsidRPr="00932EA8">
        <w:t>3 or higher, dose interruptions and dose modifications</w:t>
      </w:r>
      <w:r>
        <w:t>.</w:t>
      </w:r>
    </w:p>
    <w:p w14:paraId="15FB9130" w14:textId="77777777" w:rsidR="007819A6" w:rsidRDefault="007819A6" w:rsidP="007819A6">
      <w:r w:rsidRPr="00932EA8">
        <w:t xml:space="preserve">Olaparib should not be dosed to patients with moderately or severely impaired renal function (creatinine clearance </w:t>
      </w:r>
      <w:r w:rsidR="002B698E">
        <w:t>&lt;</w:t>
      </w:r>
      <w:r w:rsidR="005D43E1">
        <w:t xml:space="preserve"> </w:t>
      </w:r>
      <w:r w:rsidRPr="00932EA8">
        <w:t>50 mL/min)</w:t>
      </w:r>
      <w:r>
        <w:t>.</w:t>
      </w:r>
    </w:p>
    <w:p w14:paraId="6EFDACCF" w14:textId="77777777" w:rsidR="007819A6" w:rsidRPr="00932EA8" w:rsidRDefault="007819A6" w:rsidP="007819A6">
      <w:pPr>
        <w:pStyle w:val="Heading6"/>
      </w:pPr>
      <w:r w:rsidRPr="00932EA8">
        <w:t>Safety in pregnancy and lactation</w:t>
      </w:r>
    </w:p>
    <w:p w14:paraId="14DB8141" w14:textId="77777777" w:rsidR="007819A6" w:rsidRPr="00932EA8" w:rsidRDefault="007819A6" w:rsidP="007819A6">
      <w:r w:rsidRPr="00932EA8">
        <w:t>Nonclinical data indicate that olaparib can have adverse effects on embryofoetal survival and development.</w:t>
      </w:r>
      <w:r>
        <w:t xml:space="preserve"> </w:t>
      </w:r>
      <w:r w:rsidRPr="00932EA8">
        <w:t>There is no clinical data for this patient group as pregnancy has been an exclusion criterion for all clinical trials. There is no data on excretion of olaparib in breast milk.</w:t>
      </w:r>
    </w:p>
    <w:p w14:paraId="43FA5E6C" w14:textId="77777777" w:rsidR="007819A6" w:rsidRDefault="007819A6" w:rsidP="007819A6">
      <w:r w:rsidRPr="00932EA8">
        <w:t>Olaparib should not be used in women who are pregnant or lactating</w:t>
      </w:r>
      <w:r>
        <w:t>.</w:t>
      </w:r>
    </w:p>
    <w:p w14:paraId="77053DD5" w14:textId="77777777" w:rsidR="007819A6" w:rsidRPr="00932EA8" w:rsidRDefault="007819A6" w:rsidP="007819A6">
      <w:pPr>
        <w:pStyle w:val="Heading5"/>
      </w:pPr>
      <w:bookmarkStart w:id="137" w:name="_Toc241374324"/>
      <w:bookmarkStart w:id="138" w:name="_Ref272331214"/>
      <w:bookmarkStart w:id="139" w:name="_Toc272414688"/>
      <w:bookmarkStart w:id="140" w:name="_Toc290888552"/>
      <w:bookmarkStart w:id="141" w:name="_Toc297900963"/>
      <w:r w:rsidRPr="00932EA8">
        <w:t>Safety related to drug-drug interactions and other interactions</w:t>
      </w:r>
      <w:bookmarkEnd w:id="137"/>
      <w:bookmarkEnd w:id="138"/>
      <w:bookmarkEnd w:id="139"/>
      <w:bookmarkEnd w:id="140"/>
      <w:bookmarkEnd w:id="141"/>
    </w:p>
    <w:p w14:paraId="1F220419" w14:textId="77777777" w:rsidR="007819A6" w:rsidRDefault="007819A6" w:rsidP="007819A6">
      <w:r w:rsidRPr="00932EA8">
        <w:t>Co-administration of olaparib with drugs that are potent inhibitors or inducers of CYP3A4 would alter the PK of olaparib and may impact on its safety/tolerability profile</w:t>
      </w:r>
      <w:r>
        <w:t>.</w:t>
      </w:r>
    </w:p>
    <w:p w14:paraId="77040653" w14:textId="77777777" w:rsidR="007819A6" w:rsidRPr="00932EA8" w:rsidRDefault="007819A6" w:rsidP="007819A6">
      <w:r w:rsidRPr="00932EA8">
        <w:t>All clinical trials conducted to date have excluded co-administration of known potent inhibitors of CYP3A and advised against co-administration of known potent inducers of CYPs. Although the data in Studies D0816C00007 and D0816C0008 were generated using the tablet rather than the capsule formulation, they have indicated the presence of a marked interaction with known examples of such medications (itraconazole and rifampicin).</w:t>
      </w:r>
    </w:p>
    <w:p w14:paraId="707396C9" w14:textId="77777777" w:rsidR="007819A6" w:rsidRPr="00932EA8" w:rsidRDefault="007819A6" w:rsidP="007819A6">
      <w:r w:rsidRPr="00932EA8">
        <w:t>The product information appropriately recommends that co-administration of olaparib with strong CYP3A inhibitors or inducers should be avoided.</w:t>
      </w:r>
    </w:p>
    <w:p w14:paraId="1D6C87F2" w14:textId="77777777" w:rsidR="007819A6" w:rsidRPr="00932EA8" w:rsidRDefault="007819A6" w:rsidP="007819A6">
      <w:r w:rsidRPr="00932EA8">
        <w:t xml:space="preserve">Olaparib has been shown, in vitro, to be a substrate for </w:t>
      </w:r>
      <w:r w:rsidR="00475D5E">
        <w:t>multi-drug resistance protein</w:t>
      </w:r>
      <w:r w:rsidR="00475D5E" w:rsidRPr="00932EA8">
        <w:t xml:space="preserve"> </w:t>
      </w:r>
      <w:r w:rsidR="00475D5E">
        <w:t xml:space="preserve">(MDR) </w:t>
      </w:r>
      <w:r w:rsidRPr="00932EA8">
        <w:t>MDR1. It is possible that olaparib may cause clinically relevant drug interactions with substrates of MDR1.</w:t>
      </w:r>
    </w:p>
    <w:p w14:paraId="67A80A2E" w14:textId="77777777" w:rsidR="007819A6" w:rsidRDefault="007819A6" w:rsidP="007819A6">
      <w:r w:rsidRPr="00932EA8">
        <w:t>Olaparib has been shown to be an inhibitor of OATP1B1, OCT 1, OCT2, OAT3, MATE1 and MATE2K. The clinical relevance of these findings is currently unknown</w:t>
      </w:r>
      <w:r>
        <w:t>.</w:t>
      </w:r>
    </w:p>
    <w:p w14:paraId="349B7A8D" w14:textId="77777777" w:rsidR="007819A6" w:rsidRPr="00932EA8" w:rsidRDefault="007819A6" w:rsidP="007819A6">
      <w:pPr>
        <w:pStyle w:val="ListBullet"/>
        <w:numPr>
          <w:ilvl w:val="0"/>
          <w:numId w:val="0"/>
        </w:numPr>
      </w:pPr>
      <w:r w:rsidRPr="00932EA8">
        <w:t>OATP1B1 is a transporter protein important in the disposition of some statins. There is a potential for olaparib to reduce statin clearance through this mechanism, thereby resulting in possible potentiation of side effects commonly seen with statins to a degree that may be clinical</w:t>
      </w:r>
      <w:r w:rsidR="00175320">
        <w:t xml:space="preserve">ly relevant. No formal olaparib </w:t>
      </w:r>
      <w:r w:rsidRPr="00932EA8">
        <w:t>statin interaction study has been conducted. In the group of 92 patients in the monotherapy pooled dataset who were taking a statin, the frequencies of common AEs known to be associated with statins (</w:t>
      </w:r>
      <w:r>
        <w:t>for example</w:t>
      </w:r>
      <w:r w:rsidRPr="00932EA8">
        <w:t xml:space="preserve">, nausea, diarrhoea, </w:t>
      </w:r>
      <w:r>
        <w:t>abdominal</w:t>
      </w:r>
      <w:r w:rsidRPr="00932EA8">
        <w:t xml:space="preserve"> pain, back pain, myalgia and increased blood transaminases) were similar to those expected based on published data (for atorvastatin, </w:t>
      </w:r>
      <w:proofErr w:type="spellStart"/>
      <w:r w:rsidRPr="00932EA8">
        <w:t>fluvastatin</w:t>
      </w:r>
      <w:proofErr w:type="spellEnd"/>
      <w:r>
        <w:t xml:space="preserve">, </w:t>
      </w:r>
      <w:proofErr w:type="spellStart"/>
      <w:r>
        <w:t>rosuvastatin</w:t>
      </w:r>
      <w:proofErr w:type="spellEnd"/>
      <w:r>
        <w:t xml:space="preserve"> and simvastatin).</w:t>
      </w:r>
    </w:p>
    <w:p w14:paraId="4BB94605" w14:textId="77777777" w:rsidR="007819A6" w:rsidRPr="00932EA8" w:rsidRDefault="007819A6" w:rsidP="007819A6">
      <w:pPr>
        <w:pStyle w:val="ListBullet"/>
        <w:numPr>
          <w:ilvl w:val="0"/>
          <w:numId w:val="0"/>
        </w:numPr>
      </w:pPr>
      <w:r w:rsidRPr="00932EA8">
        <w:t xml:space="preserve">There is a potential for olaparib to reduce the clearance of OCT transporter substrates (such as metformin) thereby resulting in possible potentiation of side effects commonly seen with metformin to a degree that may be clinically relevant. No formal olaparib-metformin interaction study has been conducted. In the group of 46 patients in the monotherapy pooled dataset who were taking metformin, the frequencies of common AEs </w:t>
      </w:r>
      <w:r w:rsidRPr="00932EA8">
        <w:lastRenderedPageBreak/>
        <w:t>known to be associated with metformin were similar to those expected based on published data.</w:t>
      </w:r>
    </w:p>
    <w:p w14:paraId="1DBFFCA5" w14:textId="77777777" w:rsidR="007819A6" w:rsidRDefault="007819A6" w:rsidP="007819A6">
      <w:r w:rsidRPr="00932EA8">
        <w:t>Co-administration with anti-neoplastic agents, including DNA damaging agents increases myelotoxicity and combination with such agents is currently not recommended</w:t>
      </w:r>
      <w:r>
        <w:t>.</w:t>
      </w:r>
    </w:p>
    <w:p w14:paraId="694BFCB6" w14:textId="77777777" w:rsidR="00605AD4" w:rsidRPr="00605AD4" w:rsidRDefault="00605AD4" w:rsidP="00605AD4">
      <w:pPr>
        <w:pStyle w:val="Heading4"/>
      </w:pPr>
      <w:r w:rsidRPr="00605AD4">
        <w:t>Evaluator’s conclusions on safety</w:t>
      </w:r>
    </w:p>
    <w:p w14:paraId="232AC9DB" w14:textId="26972F6F" w:rsidR="007819A6" w:rsidRPr="00932EA8" w:rsidRDefault="007819A6" w:rsidP="007819A6">
      <w:r w:rsidRPr="00932EA8">
        <w:t>The safety and tolerability of olaparib is supported by the pivotal trial where the comparator was placebo and the pooled results of studies with olaparib.</w:t>
      </w:r>
      <w:r>
        <w:t xml:space="preserve"> </w:t>
      </w:r>
      <w:r w:rsidRPr="00932EA8">
        <w:t>To date, over 3</w:t>
      </w:r>
      <w:r>
        <w:t>,</w:t>
      </w:r>
      <w:r w:rsidRPr="00932EA8">
        <w:t xml:space="preserve">000 patients have received olaparib in the clinical development programme. In the pivotal trial </w:t>
      </w:r>
      <w:r w:rsidR="000870B6">
        <w:t>Study D0810C00019 (</w:t>
      </w:r>
      <w:r>
        <w:t>Study</w:t>
      </w:r>
      <w:r w:rsidRPr="00932EA8">
        <w:t xml:space="preserve"> 19</w:t>
      </w:r>
      <w:r w:rsidR="000870B6">
        <w:t>)</w:t>
      </w:r>
      <w:r w:rsidRPr="00932EA8">
        <w:t xml:space="preserve">, pooled safety data and </w:t>
      </w:r>
      <w:r>
        <w:t>Study</w:t>
      </w:r>
      <w:r w:rsidRPr="00932EA8">
        <w:t xml:space="preserve"> </w:t>
      </w:r>
      <w:r w:rsidR="000870B6">
        <w:t xml:space="preserve">D0810C00041 (Study </w:t>
      </w:r>
      <w:r w:rsidRPr="00932EA8">
        <w:t>41</w:t>
      </w:r>
      <w:r w:rsidR="000870B6">
        <w:t>)</w:t>
      </w:r>
      <w:r w:rsidRPr="00932EA8">
        <w:t xml:space="preserve"> maintenance trial, 22.4% of patients remained on treatment greater than 12</w:t>
      </w:r>
      <w:r w:rsidR="005F182D">
        <w:t> </w:t>
      </w:r>
      <w:r w:rsidRPr="00932EA8">
        <w:t>months.</w:t>
      </w:r>
    </w:p>
    <w:p w14:paraId="3B8E9413" w14:textId="4F4EEEBD" w:rsidR="007819A6" w:rsidRDefault="007819A6" w:rsidP="007819A6">
      <w:r w:rsidRPr="00932EA8">
        <w:t>The safety of olaparib is supported by the overall low rates of study withdrawals and the mild to moderate severity of most of the AEs.</w:t>
      </w:r>
      <w:r>
        <w:t xml:space="preserve"> </w:t>
      </w:r>
      <w:r w:rsidRPr="00932EA8">
        <w:t>Many of the AE are transient and able to be managed with simple supportive measures.</w:t>
      </w:r>
      <w:r>
        <w:t xml:space="preserve"> </w:t>
      </w:r>
      <w:r w:rsidRPr="00932EA8">
        <w:t xml:space="preserve">The most common side effects attributable to olaparib include anaemia, nausea, fatigue / asthenia, diarrhoea, anorexia, dyspepsia, upper </w:t>
      </w:r>
      <w:r>
        <w:t>abdominal</w:t>
      </w:r>
      <w:r w:rsidRPr="00932EA8">
        <w:t xml:space="preserve"> pain, stomatitis, headache, dysgusia and dizziness.</w:t>
      </w:r>
      <w:r>
        <w:t xml:space="preserve"> </w:t>
      </w:r>
      <w:r w:rsidRPr="00932EA8">
        <w:t>Rare but imported AEs included</w:t>
      </w:r>
      <w:r w:rsidR="00D81FEC">
        <w:t>:</w:t>
      </w:r>
      <w:r w:rsidRPr="00932EA8">
        <w:t xml:space="preserve"> </w:t>
      </w:r>
      <w:r w:rsidR="005F182D">
        <w:t xml:space="preserve">myelodysplastic </w:t>
      </w:r>
      <w:r w:rsidR="00475D5E">
        <w:t>syndrome</w:t>
      </w:r>
      <w:r w:rsidR="00475D5E" w:rsidRPr="00932EA8">
        <w:t xml:space="preserve"> </w:t>
      </w:r>
      <w:r w:rsidR="00475D5E">
        <w:t xml:space="preserve">(MDS) </w:t>
      </w:r>
      <w:r w:rsidRPr="00932EA8">
        <w:t>/</w:t>
      </w:r>
      <w:r w:rsidR="008C6418" w:rsidRPr="008C6418">
        <w:t xml:space="preserve"> </w:t>
      </w:r>
      <w:r w:rsidR="008C6418">
        <w:t>acute myeloid leukaemia (AML)</w:t>
      </w:r>
      <w:r w:rsidRPr="00932EA8">
        <w:t>, second malignancy and pneumonitis.</w:t>
      </w:r>
      <w:r>
        <w:t xml:space="preserve"> </w:t>
      </w:r>
      <w:r w:rsidRPr="00932EA8">
        <w:t>Deaths reported were overwhelmingly related to the disease under investigation, death secondary to an adverse event was reported but infrequent</w:t>
      </w:r>
      <w:r>
        <w:t>.</w:t>
      </w:r>
    </w:p>
    <w:p w14:paraId="67D37B9C" w14:textId="77777777" w:rsidR="007819A6" w:rsidRPr="00932EA8" w:rsidRDefault="007819A6" w:rsidP="007819A6">
      <w:r w:rsidRPr="00932EA8">
        <w:t>There are no major safety issues relating to renal function.</w:t>
      </w:r>
      <w:r>
        <w:t xml:space="preserve"> </w:t>
      </w:r>
      <w:r w:rsidRPr="00932EA8">
        <w:t>It is noted that there is a minor rise in serum creatinine soon after the initiation of olaparib with return to normal on discontinuation.</w:t>
      </w:r>
      <w:r>
        <w:t xml:space="preserve"> </w:t>
      </w:r>
      <w:r w:rsidRPr="00932EA8">
        <w:t>This was not of clinical significance.</w:t>
      </w:r>
      <w:r>
        <w:t xml:space="preserve"> </w:t>
      </w:r>
      <w:r w:rsidRPr="00932EA8">
        <w:t>There is no major safety issue relating to hepatic damage.</w:t>
      </w:r>
      <w:r>
        <w:t xml:space="preserve"> </w:t>
      </w:r>
      <w:r w:rsidRPr="00932EA8">
        <w:t>There is no data on the safety of olaparib in patients with moderate-severe renal or hepatic dysfunction and this should not be used under these circumstances until such data demonstrates safety.</w:t>
      </w:r>
    </w:p>
    <w:p w14:paraId="373A004A" w14:textId="77777777" w:rsidR="007819A6" w:rsidRDefault="007819A6" w:rsidP="007819A6">
      <w:r w:rsidRPr="00932EA8">
        <w:t xml:space="preserve">Safety in the </w:t>
      </w:r>
      <w:r>
        <w:t xml:space="preserve">&gt; </w:t>
      </w:r>
      <w:r w:rsidRPr="00932EA8">
        <w:t xml:space="preserve">65 age population has been assessed, however there is minimal data in the </w:t>
      </w:r>
      <w:r>
        <w:t>&gt; 75 age population;</w:t>
      </w:r>
      <w:r w:rsidRPr="00932EA8">
        <w:t xml:space="preserve"> the lack of data in the older age group is acknowledged in the PI.</w:t>
      </w:r>
      <w:r>
        <w:t xml:space="preserve"> </w:t>
      </w:r>
      <w:r w:rsidRPr="00932EA8">
        <w:t>Olaparib is untested and not indicated for the paediatric population</w:t>
      </w:r>
      <w:r>
        <w:t>.</w:t>
      </w:r>
    </w:p>
    <w:p w14:paraId="4729F0F2" w14:textId="77777777" w:rsidR="00605AD4" w:rsidRPr="00605AD4" w:rsidRDefault="007819A6" w:rsidP="00605AD4">
      <w:r w:rsidRPr="00932EA8">
        <w:t xml:space="preserve">The safety assessment program has been adequate with extensive pre-clinical assessment and well conducted </w:t>
      </w:r>
      <w:r>
        <w:t>Phase</w:t>
      </w:r>
      <w:r w:rsidRPr="00932EA8">
        <w:t xml:space="preserve"> I trials.</w:t>
      </w:r>
      <w:r>
        <w:t xml:space="preserve"> </w:t>
      </w:r>
      <w:r w:rsidRPr="00932EA8">
        <w:t>It is noted that no study was terminated early due to safety concerns.</w:t>
      </w:r>
    </w:p>
    <w:p w14:paraId="2F0D5A7E" w14:textId="28F5E21C" w:rsidR="00605AD4" w:rsidRPr="00605AD4" w:rsidRDefault="00605AD4" w:rsidP="00605AD4">
      <w:pPr>
        <w:pStyle w:val="Heading3"/>
        <w:rPr>
          <w:rFonts w:eastAsia="Cambria"/>
        </w:rPr>
      </w:pPr>
      <w:bookmarkStart w:id="142" w:name="_Toc8053825"/>
      <w:r w:rsidRPr="00605AD4">
        <w:rPr>
          <w:rFonts w:eastAsia="Cambria"/>
        </w:rPr>
        <w:t xml:space="preserve">First </w:t>
      </w:r>
      <w:r w:rsidR="00541721" w:rsidRPr="00605AD4">
        <w:rPr>
          <w:rFonts w:eastAsia="Cambria"/>
        </w:rPr>
        <w:t>round benefit-risk assessment</w:t>
      </w:r>
      <w:bookmarkEnd w:id="142"/>
    </w:p>
    <w:p w14:paraId="2E5560CD" w14:textId="77777777" w:rsidR="00605AD4" w:rsidRDefault="00605AD4" w:rsidP="00605AD4">
      <w:pPr>
        <w:pStyle w:val="Heading4"/>
      </w:pPr>
      <w:r w:rsidRPr="00605AD4">
        <w:t>First round assessment of benefits</w:t>
      </w:r>
    </w:p>
    <w:p w14:paraId="1C6F67D3" w14:textId="77777777" w:rsidR="00A60A94" w:rsidRPr="00932EA8" w:rsidRDefault="00A60A94" w:rsidP="00A60A94">
      <w:r w:rsidRPr="00932EA8">
        <w:t>The benefits of olaparib in the proposed usage are:</w:t>
      </w:r>
    </w:p>
    <w:p w14:paraId="78EECAD6" w14:textId="3113F83E" w:rsidR="00A60A94" w:rsidRPr="00A60A94" w:rsidRDefault="00A60A94" w:rsidP="00A60A94">
      <w:pPr>
        <w:pStyle w:val="ListBullet"/>
      </w:pPr>
      <w:r w:rsidRPr="00A60A94">
        <w:t>Olaparib as monotherapy for the maintenance treatment of adult patients with platinum sensitive relapsed BRCA-mutated high grade serous ovarian, fallopian tube or peritoneal cancer after response to platinum based chemotherapy significantly improves PFS (</w:t>
      </w:r>
      <w:r w:rsidR="00475D5E">
        <w:t>hazard ratio</w:t>
      </w:r>
      <w:r w:rsidR="00475D5E" w:rsidRPr="00A60A94">
        <w:t xml:space="preserve"> </w:t>
      </w:r>
      <w:r w:rsidR="00475D5E">
        <w:t>(</w:t>
      </w:r>
      <w:r w:rsidRPr="00A60A94">
        <w:t>HR</w:t>
      </w:r>
      <w:r w:rsidR="00475D5E">
        <w:t>)</w:t>
      </w:r>
      <w:r w:rsidRPr="00A60A94">
        <w:t xml:space="preserve">: 0.18; 95% </w:t>
      </w:r>
      <w:r w:rsidR="008C6418">
        <w:t>confidence interval</w:t>
      </w:r>
      <w:r w:rsidR="008C6418" w:rsidRPr="00A60A94">
        <w:t xml:space="preserve"> </w:t>
      </w:r>
      <w:r w:rsidR="008C6418">
        <w:t>(</w:t>
      </w:r>
      <w:r w:rsidRPr="00A60A94">
        <w:t>CI</w:t>
      </w:r>
      <w:r w:rsidR="008C6418">
        <w:t>)</w:t>
      </w:r>
      <w:r w:rsidRPr="00A60A94">
        <w:t>: 0.11, 0.31; p</w:t>
      </w:r>
      <w:r w:rsidR="003C19ED">
        <w:t> </w:t>
      </w:r>
      <w:r w:rsidR="002B698E">
        <w:t>&lt;</w:t>
      </w:r>
      <w:r w:rsidR="003C19ED">
        <w:t> </w:t>
      </w:r>
      <w:r w:rsidRPr="00A60A94">
        <w:t>0.0001). The median PFS was 11.2 months versus 4.3 months for placebo.</w:t>
      </w:r>
    </w:p>
    <w:p w14:paraId="7BE874FD" w14:textId="6627322C" w:rsidR="00500337" w:rsidRPr="00500337" w:rsidRDefault="00A60A94" w:rsidP="00500337">
      <w:pPr>
        <w:pStyle w:val="ListBullet"/>
      </w:pPr>
      <w:r w:rsidRPr="00A60A94">
        <w:t xml:space="preserve">There is a significant improvement in time to first or second subsequent therapy on death HR 0.35 (95% CI: 0.23 to 0.52, p </w:t>
      </w:r>
      <w:r w:rsidR="002B698E">
        <w:t>&lt;</w:t>
      </w:r>
      <w:r w:rsidR="005D43E1">
        <w:t xml:space="preserve"> </w:t>
      </w:r>
      <w:r w:rsidRPr="00A60A94">
        <w:t>0.00001) and HR 0.43 (95% CI: 0.25 to 0.71, p</w:t>
      </w:r>
      <w:r w:rsidR="003C19ED">
        <w:t> </w:t>
      </w:r>
      <w:r w:rsidRPr="00A60A94">
        <w:t>= 0.001), respectively.</w:t>
      </w:r>
    </w:p>
    <w:p w14:paraId="1FDD1ADA" w14:textId="77777777" w:rsidR="00605AD4" w:rsidRDefault="00605AD4" w:rsidP="00605AD4">
      <w:pPr>
        <w:pStyle w:val="Heading4"/>
      </w:pPr>
      <w:r w:rsidRPr="00605AD4">
        <w:lastRenderedPageBreak/>
        <w:t>First round assessment of risks</w:t>
      </w:r>
    </w:p>
    <w:p w14:paraId="005BEA4D" w14:textId="77777777" w:rsidR="00A60A94" w:rsidRPr="00932EA8" w:rsidRDefault="00A60A94" w:rsidP="00A60A94">
      <w:r w:rsidRPr="00932EA8">
        <w:t>The risks of olaparib in the proposed usage are:</w:t>
      </w:r>
    </w:p>
    <w:p w14:paraId="61383BED" w14:textId="77777777" w:rsidR="00A60A94" w:rsidRPr="00A60A94" w:rsidRDefault="00A60A94" w:rsidP="00A60A94">
      <w:pPr>
        <w:pStyle w:val="ListBullet"/>
      </w:pPr>
      <w:r w:rsidRPr="00A60A94">
        <w:t>Due to an increasingly large proportion of patients failing to complete quality of life assessments, olaparib has not been categorically demonstrated to maintain, or improve, quality of life.</w:t>
      </w:r>
    </w:p>
    <w:p w14:paraId="455FD687" w14:textId="77777777" w:rsidR="00A60A94" w:rsidRPr="00A60A94" w:rsidRDefault="00A60A94" w:rsidP="00A60A94">
      <w:pPr>
        <w:pStyle w:val="ListBullet"/>
      </w:pPr>
      <w:r w:rsidRPr="00A60A94">
        <w:t>Potential for side effects, most of which are mild-moderate and manageable with simple supportive measures.</w:t>
      </w:r>
    </w:p>
    <w:p w14:paraId="08B5E2B2" w14:textId="77777777" w:rsidR="00A60A94" w:rsidRPr="00A60A94" w:rsidRDefault="00A60A94" w:rsidP="00A60A94">
      <w:pPr>
        <w:pStyle w:val="ListBullet"/>
      </w:pPr>
      <w:r w:rsidRPr="00A60A94">
        <w:t>Potential for rare significant adverse events such as MDS/AML, second malignancy and pneumonitis.</w:t>
      </w:r>
    </w:p>
    <w:p w14:paraId="44C67E7C" w14:textId="77777777" w:rsidR="00A60A94" w:rsidRPr="00A60A94" w:rsidRDefault="00A60A94" w:rsidP="00A60A94">
      <w:pPr>
        <w:pStyle w:val="ListBullet"/>
      </w:pPr>
      <w:r w:rsidRPr="00A60A94">
        <w:t>Risk of drug interaction and care should be taken to avoid co-administration with drugs that induce or inhibit CYP3A4/5.</w:t>
      </w:r>
    </w:p>
    <w:p w14:paraId="0DEF4141" w14:textId="77777777" w:rsidR="00500337" w:rsidRPr="00500337" w:rsidRDefault="00A60A94" w:rsidP="00500337">
      <w:pPr>
        <w:pStyle w:val="ListBullet"/>
      </w:pPr>
      <w:r w:rsidRPr="00A60A94">
        <w:t>Safety is not established in patients with moderate-severe renal failure or hepatic impairment.</w:t>
      </w:r>
    </w:p>
    <w:p w14:paraId="2EA704CD" w14:textId="77777777" w:rsidR="00605AD4" w:rsidRPr="00605AD4" w:rsidRDefault="00605AD4" w:rsidP="00605AD4">
      <w:pPr>
        <w:pStyle w:val="Heading4"/>
      </w:pPr>
      <w:r w:rsidRPr="00605AD4">
        <w:t>First round assessment of benefit-risk balance</w:t>
      </w:r>
    </w:p>
    <w:p w14:paraId="586FEA10" w14:textId="77777777" w:rsidR="00A60A94" w:rsidRPr="00932EA8" w:rsidRDefault="00A60A94" w:rsidP="00A60A94">
      <w:r w:rsidRPr="00932EA8">
        <w:t>The benefit-risk balance of olaparib, given the</w:t>
      </w:r>
      <w:r>
        <w:t xml:space="preserve"> proposed usage, is favourable.</w:t>
      </w:r>
    </w:p>
    <w:p w14:paraId="58734D7D" w14:textId="77777777" w:rsidR="00605AD4" w:rsidRPr="00605AD4" w:rsidRDefault="00A60A94" w:rsidP="00605AD4">
      <w:r w:rsidRPr="00932EA8">
        <w:t>Patients with relapse ovarian, fallopian tube or primary peritoneal cancers have an incurable disease and will receive over the course of their disease multiple courses of chemotherapy.</w:t>
      </w:r>
      <w:r>
        <w:t xml:space="preserve"> </w:t>
      </w:r>
      <w:r w:rsidRPr="00932EA8">
        <w:t>Olaparib has demonstrated significant activity with a 6.9 month improvem</w:t>
      </w:r>
      <w:r>
        <w:t xml:space="preserve">ent in PFS in BRCA mutated high </w:t>
      </w:r>
      <w:r w:rsidRPr="00932EA8">
        <w:t>grade serous ovarian, fallopian tube and primary peritoneal cancer while maintaining quality of life.</w:t>
      </w:r>
      <w:r>
        <w:t xml:space="preserve"> </w:t>
      </w:r>
      <w:r w:rsidRPr="00932EA8">
        <w:t>This translated into a delay in the initiation of subsequent chemotherapy</w:t>
      </w:r>
      <w:r>
        <w:t>.</w:t>
      </w:r>
    </w:p>
    <w:p w14:paraId="5A70A0E8" w14:textId="10DDF09E" w:rsidR="00605AD4" w:rsidRPr="00605AD4" w:rsidRDefault="00605AD4" w:rsidP="00605AD4">
      <w:pPr>
        <w:pStyle w:val="Heading3"/>
        <w:rPr>
          <w:rFonts w:eastAsia="Cambria"/>
        </w:rPr>
      </w:pPr>
      <w:bookmarkStart w:id="143" w:name="_Toc8053826"/>
      <w:r w:rsidRPr="00605AD4">
        <w:rPr>
          <w:rFonts w:eastAsia="Cambria"/>
        </w:rPr>
        <w:t xml:space="preserve">First </w:t>
      </w:r>
      <w:r w:rsidR="00541721" w:rsidRPr="00605AD4">
        <w:rPr>
          <w:rFonts w:eastAsia="Cambria"/>
        </w:rPr>
        <w:t>round recommendation regarding authorisation</w:t>
      </w:r>
      <w:bookmarkEnd w:id="143"/>
    </w:p>
    <w:p w14:paraId="2DD9BEB9" w14:textId="77777777" w:rsidR="00605AD4" w:rsidRPr="00605AD4" w:rsidRDefault="00A60A94" w:rsidP="00605AD4">
      <w:r w:rsidRPr="005C5515">
        <w:t>Based on the clinical data submitted it is recommended that the application for olaparib be approved.</w:t>
      </w:r>
    </w:p>
    <w:p w14:paraId="15767BE7" w14:textId="1A30020C" w:rsidR="00A60A94" w:rsidRDefault="00A60A94" w:rsidP="00605AD4">
      <w:pPr>
        <w:pStyle w:val="Heading3"/>
        <w:rPr>
          <w:rFonts w:eastAsia="Cambria"/>
        </w:rPr>
      </w:pPr>
      <w:bookmarkStart w:id="144" w:name="_Toc8053827"/>
      <w:r>
        <w:rPr>
          <w:rFonts w:eastAsia="Cambria"/>
        </w:rPr>
        <w:t xml:space="preserve">Clinical </w:t>
      </w:r>
      <w:r w:rsidR="00541721">
        <w:rPr>
          <w:rFonts w:eastAsia="Cambria"/>
        </w:rPr>
        <w:t>q</w:t>
      </w:r>
      <w:r>
        <w:rPr>
          <w:rFonts w:eastAsia="Cambria"/>
        </w:rPr>
        <w:t>uestions</w:t>
      </w:r>
      <w:bookmarkEnd w:id="144"/>
    </w:p>
    <w:p w14:paraId="7D7C0556" w14:textId="5109EFF9" w:rsidR="00A60A94" w:rsidRPr="005C5515" w:rsidRDefault="00A60A94" w:rsidP="00A60A94">
      <w:pPr>
        <w:pStyle w:val="Numberbullet0"/>
        <w:numPr>
          <w:ilvl w:val="0"/>
          <w:numId w:val="5"/>
        </w:numPr>
      </w:pPr>
      <w:r w:rsidRPr="005C5515">
        <w:t>Clinical trials provided in this submission include both the capsule (proposed formulation for marketing) and tablet formulation. Study D0810C0024 assessed bioavailability and concluded that the tablet and capsule formulation should not be regarded as bioequivalent. The sponsor should provide a considered summary as to how this may impact on the totality of the efficacy and safety data provided</w:t>
      </w:r>
      <w:r w:rsidR="003C19ED">
        <w:t>.</w:t>
      </w:r>
    </w:p>
    <w:p w14:paraId="19E5ABD5" w14:textId="0547FBCD" w:rsidR="00A60A94" w:rsidRPr="00A60A94" w:rsidRDefault="00A60A94" w:rsidP="00A60A94">
      <w:pPr>
        <w:pStyle w:val="Numberbullet0"/>
      </w:pPr>
      <w:r w:rsidRPr="005C5515">
        <w:t>The sponsor should provide any information it holds on the pharmacological activity of the metabolites of olaparib</w:t>
      </w:r>
      <w:r w:rsidR="003C19ED">
        <w:t>.</w:t>
      </w:r>
    </w:p>
    <w:p w14:paraId="1AFDB9F6" w14:textId="08C53C2D" w:rsidR="00605AD4" w:rsidRPr="00605AD4" w:rsidRDefault="00605AD4" w:rsidP="00605AD4">
      <w:pPr>
        <w:pStyle w:val="Heading3"/>
        <w:rPr>
          <w:rFonts w:eastAsia="Cambria"/>
        </w:rPr>
      </w:pPr>
      <w:bookmarkStart w:id="145" w:name="_Toc8053828"/>
      <w:r w:rsidRPr="00605AD4">
        <w:rPr>
          <w:rFonts w:eastAsia="Cambria"/>
        </w:rPr>
        <w:t xml:space="preserve">Second </w:t>
      </w:r>
      <w:r w:rsidR="00541721" w:rsidRPr="00605AD4">
        <w:rPr>
          <w:rFonts w:eastAsia="Cambria"/>
        </w:rPr>
        <w:t>round evaluation</w:t>
      </w:r>
      <w:bookmarkEnd w:id="145"/>
    </w:p>
    <w:p w14:paraId="12D3D2F5" w14:textId="77777777" w:rsidR="00605AD4" w:rsidRPr="00605AD4" w:rsidRDefault="00EA0166" w:rsidP="00546154">
      <w:r>
        <w:rPr>
          <w:lang w:eastAsia="ja-JP"/>
        </w:rPr>
        <w:t>A second round clinical evaluation was not required by the Delegate for this submission</w:t>
      </w:r>
      <w:r w:rsidR="00500337" w:rsidRPr="00500337">
        <w:t>.</w:t>
      </w:r>
    </w:p>
    <w:p w14:paraId="6350CA82" w14:textId="77777777" w:rsidR="008E7846" w:rsidRPr="00E41208" w:rsidRDefault="008E7846" w:rsidP="00546154">
      <w:pPr>
        <w:pStyle w:val="Heading2"/>
      </w:pPr>
      <w:bookmarkStart w:id="146" w:name="_Toc8053829"/>
      <w:r w:rsidRPr="00E41208">
        <w:lastRenderedPageBreak/>
        <w:t>V</w:t>
      </w:r>
      <w:r w:rsidR="00500337">
        <w:t>I</w:t>
      </w:r>
      <w:r w:rsidRPr="00E41208">
        <w:t xml:space="preserve">. Pharmacovigilance </w:t>
      </w:r>
      <w:r>
        <w:t>f</w:t>
      </w:r>
      <w:r w:rsidRPr="00E41208">
        <w:t>indings</w:t>
      </w:r>
      <w:bookmarkEnd w:id="126"/>
      <w:bookmarkEnd w:id="127"/>
      <w:bookmarkEnd w:id="146"/>
    </w:p>
    <w:p w14:paraId="2D75BE56" w14:textId="77777777" w:rsidR="008E7846" w:rsidRDefault="00386150" w:rsidP="008E7846">
      <w:pPr>
        <w:pStyle w:val="Heading3"/>
        <w:rPr>
          <w:lang w:eastAsia="en-AU"/>
        </w:rPr>
      </w:pPr>
      <w:bookmarkStart w:id="147" w:name="_Toc247691526"/>
      <w:bookmarkStart w:id="148" w:name="_Toc314842509"/>
      <w:bookmarkStart w:id="149" w:name="_Toc8053830"/>
      <w:r>
        <w:rPr>
          <w:lang w:eastAsia="en-AU"/>
        </w:rPr>
        <w:t>Risk m</w:t>
      </w:r>
      <w:r w:rsidR="008E7846">
        <w:rPr>
          <w:lang w:eastAsia="en-AU"/>
        </w:rPr>
        <w:t xml:space="preserve">anagement </w:t>
      </w:r>
      <w:r>
        <w:rPr>
          <w:lang w:eastAsia="en-AU"/>
        </w:rPr>
        <w:t>p</w:t>
      </w:r>
      <w:r w:rsidR="008E7846">
        <w:rPr>
          <w:lang w:eastAsia="en-AU"/>
        </w:rPr>
        <w:t>lan</w:t>
      </w:r>
      <w:bookmarkEnd w:id="147"/>
      <w:bookmarkEnd w:id="148"/>
      <w:bookmarkEnd w:id="149"/>
    </w:p>
    <w:p w14:paraId="1913AC4E" w14:textId="7128EEBB" w:rsidR="00647CA1" w:rsidRPr="00647CA1" w:rsidRDefault="00647CA1" w:rsidP="00647CA1">
      <w:r w:rsidRPr="00647CA1">
        <w:t xml:space="preserve">EU-RMP Version 5 (dated 3 November 2014, </w:t>
      </w:r>
      <w:r w:rsidR="005F182D">
        <w:t>data lock point (</w:t>
      </w:r>
      <w:r w:rsidRPr="00647CA1">
        <w:t>DLP</w:t>
      </w:r>
      <w:r w:rsidR="005F182D">
        <w:t>)</w:t>
      </w:r>
      <w:r w:rsidRPr="00647CA1">
        <w:t xml:space="preserve"> 20 May 2014), Core Patient RMP Version 2 (dated 16 December 2014, DLP 1 October 2014) and Australian Specific Annex </w:t>
      </w:r>
      <w:r w:rsidR="005F182D">
        <w:t xml:space="preserve">(ASA) </w:t>
      </w:r>
      <w:r w:rsidRPr="00647CA1">
        <w:t>Version 1 (dated 3 February 2015) to Core RMP (Version 2)</w:t>
      </w:r>
      <w:r w:rsidR="005F182D">
        <w:t>.</w:t>
      </w:r>
    </w:p>
    <w:p w14:paraId="22C5F59E" w14:textId="4A5B6761" w:rsidR="00647CA1" w:rsidRPr="00647CA1" w:rsidRDefault="00647CA1" w:rsidP="00647CA1">
      <w:r w:rsidRPr="00647CA1">
        <w:t>Revised Australian Specific Annex Version 1 (dated 5 November 2015)</w:t>
      </w:r>
      <w:r w:rsidR="005F182D">
        <w:t>.</w:t>
      </w:r>
    </w:p>
    <w:p w14:paraId="1F6C7A9A" w14:textId="08BC9F0D" w:rsidR="00462769" w:rsidRPr="00462769" w:rsidRDefault="00462769" w:rsidP="00462769">
      <w:pPr>
        <w:pStyle w:val="Heading4"/>
      </w:pPr>
      <w:bookmarkStart w:id="150" w:name="_Toc428260342"/>
      <w:r w:rsidRPr="00462769">
        <w:t>Summary</w:t>
      </w:r>
      <w:r w:rsidR="003C19ED">
        <w:t>;</w:t>
      </w:r>
      <w:r w:rsidRPr="00462769">
        <w:t xml:space="preserve"> Ongoing Safety Concerns</w:t>
      </w:r>
      <w:bookmarkEnd w:id="150"/>
    </w:p>
    <w:p w14:paraId="1FA8355F" w14:textId="77777777" w:rsidR="00647CA1" w:rsidRDefault="00462769" w:rsidP="00462769">
      <w:r>
        <w:t>T</w:t>
      </w:r>
      <w:r w:rsidRPr="00462769">
        <w:t xml:space="preserve">he summary of the ongoing safety concerns as specified by the sponsor in the Core Global RMP is as </w:t>
      </w:r>
      <w:r w:rsidR="00F03EBB">
        <w:t>shown in Table 10</w:t>
      </w:r>
      <w:r>
        <w:t>.</w:t>
      </w:r>
    </w:p>
    <w:p w14:paraId="131445AC" w14:textId="77777777" w:rsidR="00462769" w:rsidRDefault="00F03EBB" w:rsidP="00462769">
      <w:pPr>
        <w:pStyle w:val="TableTitle"/>
      </w:pPr>
      <w:r>
        <w:t>Table 10:</w:t>
      </w:r>
      <w:r w:rsidR="00462769">
        <w:t xml:space="preserve"> Summary of safety concerns</w:t>
      </w:r>
    </w:p>
    <w:tbl>
      <w:tblPr>
        <w:tblStyle w:val="TableTGAblue"/>
        <w:tblW w:w="0" w:type="auto"/>
        <w:tblLook w:val="04A0" w:firstRow="1" w:lastRow="0" w:firstColumn="1" w:lastColumn="0" w:noHBand="0" w:noVBand="1"/>
      </w:tblPr>
      <w:tblGrid>
        <w:gridCol w:w="3369"/>
        <w:gridCol w:w="5351"/>
      </w:tblGrid>
      <w:tr w:rsidR="00462769" w14:paraId="1A86F658" w14:textId="77777777" w:rsidTr="004E22FE">
        <w:trPr>
          <w:cnfStyle w:val="100000000000" w:firstRow="1" w:lastRow="0" w:firstColumn="0" w:lastColumn="0" w:oddVBand="0" w:evenVBand="0" w:oddHBand="0" w:evenHBand="0" w:firstRowFirstColumn="0" w:firstRowLastColumn="0" w:lastRowFirstColumn="0" w:lastRowLastColumn="0"/>
        </w:trPr>
        <w:tc>
          <w:tcPr>
            <w:tcW w:w="8720" w:type="dxa"/>
            <w:gridSpan w:val="2"/>
          </w:tcPr>
          <w:p w14:paraId="0BC187E4" w14:textId="77777777" w:rsidR="00462769" w:rsidRDefault="00462769" w:rsidP="00462769">
            <w:r>
              <w:t>Summary of safety concerns</w:t>
            </w:r>
          </w:p>
        </w:tc>
      </w:tr>
      <w:tr w:rsidR="00462769" w14:paraId="40EE5551" w14:textId="77777777" w:rsidTr="00462769">
        <w:tc>
          <w:tcPr>
            <w:tcW w:w="3369" w:type="dxa"/>
          </w:tcPr>
          <w:p w14:paraId="46A55081" w14:textId="77777777" w:rsidR="00462769" w:rsidRDefault="00462769" w:rsidP="00462769">
            <w:r>
              <w:t>Important identified risks</w:t>
            </w:r>
          </w:p>
        </w:tc>
        <w:tc>
          <w:tcPr>
            <w:tcW w:w="5351" w:type="dxa"/>
          </w:tcPr>
          <w:p w14:paraId="4F0E4A17" w14:textId="77777777" w:rsidR="00462769" w:rsidRDefault="00462769" w:rsidP="00462769">
            <w:r>
              <w:t>Anaemia</w:t>
            </w:r>
          </w:p>
          <w:p w14:paraId="723D3D67" w14:textId="472E59C3" w:rsidR="00462769" w:rsidRDefault="00462769" w:rsidP="00462769">
            <w:r>
              <w:t>Thrombocyto</w:t>
            </w:r>
            <w:r w:rsidR="0041711A">
              <w:t>paenia</w:t>
            </w:r>
          </w:p>
          <w:p w14:paraId="32698B95" w14:textId="583675D7" w:rsidR="00462769" w:rsidRDefault="00462769" w:rsidP="00462769">
            <w:r>
              <w:t>Neutro</w:t>
            </w:r>
            <w:r w:rsidR="0041711A">
              <w:t>paenia</w:t>
            </w:r>
          </w:p>
          <w:p w14:paraId="161CB404" w14:textId="77777777" w:rsidR="00462769" w:rsidRDefault="00462769" w:rsidP="00462769">
            <w:r>
              <w:t>Raised creatinine levels</w:t>
            </w:r>
          </w:p>
          <w:p w14:paraId="6632AB9B" w14:textId="77777777" w:rsidR="00462769" w:rsidRDefault="00462769" w:rsidP="00462769">
            <w:r>
              <w:t>Nausea including vomiting</w:t>
            </w:r>
          </w:p>
        </w:tc>
      </w:tr>
      <w:tr w:rsidR="00462769" w14:paraId="39A4A2C5" w14:textId="77777777" w:rsidTr="00462769">
        <w:tc>
          <w:tcPr>
            <w:tcW w:w="3369" w:type="dxa"/>
          </w:tcPr>
          <w:p w14:paraId="124BCF82" w14:textId="77777777" w:rsidR="00462769" w:rsidRDefault="00462769" w:rsidP="00462769">
            <w:r>
              <w:t>Important potential risks</w:t>
            </w:r>
          </w:p>
        </w:tc>
        <w:tc>
          <w:tcPr>
            <w:tcW w:w="5351" w:type="dxa"/>
          </w:tcPr>
          <w:p w14:paraId="016461DB" w14:textId="77777777" w:rsidR="00462769" w:rsidRDefault="00462769" w:rsidP="00462769">
            <w:r>
              <w:t>MDS/AML</w:t>
            </w:r>
          </w:p>
          <w:p w14:paraId="030AC7CF" w14:textId="77777777" w:rsidR="00462769" w:rsidRDefault="00462769" w:rsidP="00462769">
            <w:r>
              <w:t>New primary malignancies</w:t>
            </w:r>
          </w:p>
          <w:p w14:paraId="4F9FFAFC" w14:textId="77777777" w:rsidR="00462769" w:rsidRDefault="00462769" w:rsidP="00462769">
            <w:r>
              <w:t>Pneumonitis</w:t>
            </w:r>
          </w:p>
          <w:p w14:paraId="476C7005" w14:textId="77777777" w:rsidR="00462769" w:rsidRDefault="00462769" w:rsidP="00462769">
            <w:r>
              <w:t>Potential for off label use</w:t>
            </w:r>
          </w:p>
          <w:p w14:paraId="26125293" w14:textId="77777777" w:rsidR="00462769" w:rsidRDefault="00462769" w:rsidP="00462769">
            <w:r>
              <w:t>Potential for patient medicine errors</w:t>
            </w:r>
          </w:p>
          <w:p w14:paraId="27F69451" w14:textId="77777777" w:rsidR="00462769" w:rsidRDefault="00462769" w:rsidP="00462769">
            <w:r>
              <w:t>Effects on embryofetal survival and development</w:t>
            </w:r>
          </w:p>
        </w:tc>
      </w:tr>
      <w:tr w:rsidR="00462769" w14:paraId="7A19B5A7" w14:textId="77777777" w:rsidTr="00462769">
        <w:tc>
          <w:tcPr>
            <w:tcW w:w="3369" w:type="dxa"/>
          </w:tcPr>
          <w:p w14:paraId="7C053402" w14:textId="77777777" w:rsidR="00462769" w:rsidRDefault="00462769" w:rsidP="00462769">
            <w:r>
              <w:t>Missing information</w:t>
            </w:r>
          </w:p>
        </w:tc>
        <w:tc>
          <w:tcPr>
            <w:tcW w:w="5351" w:type="dxa"/>
          </w:tcPr>
          <w:p w14:paraId="6EA925C3" w14:textId="77777777" w:rsidR="00462769" w:rsidRDefault="00462769" w:rsidP="00462769">
            <w:r>
              <w:t>Interaction with substrates of transporter proteins</w:t>
            </w:r>
          </w:p>
          <w:p w14:paraId="6A1A9F8D" w14:textId="77777777" w:rsidR="00462769" w:rsidRDefault="00462769" w:rsidP="00462769">
            <w:r>
              <w:t>Exposure in patients with renal and hepatic impairment</w:t>
            </w:r>
          </w:p>
          <w:p w14:paraId="1A67CBDA" w14:textId="77777777" w:rsidR="00462769" w:rsidRDefault="00462769" w:rsidP="00462769">
            <w:r>
              <w:t>Exposure in the elderly</w:t>
            </w:r>
          </w:p>
          <w:p w14:paraId="1B0425B1" w14:textId="77777777" w:rsidR="00462769" w:rsidRDefault="00462769" w:rsidP="00462769">
            <w:r>
              <w:t>Exposure in ethnically diverse groups</w:t>
            </w:r>
          </w:p>
          <w:p w14:paraId="0926B352" w14:textId="77777777" w:rsidR="00462769" w:rsidRDefault="00462769" w:rsidP="00462769">
            <w:r>
              <w:t>Long-term exposure to potential toxicity to olaparib</w:t>
            </w:r>
          </w:p>
          <w:p w14:paraId="2CBA1739" w14:textId="77777777" w:rsidR="00462769" w:rsidRDefault="00462769" w:rsidP="00462769">
            <w:r>
              <w:t xml:space="preserve">Use in patients with </w:t>
            </w:r>
            <w:r w:rsidR="008C6418">
              <w:t>Eastern Cooperative Oncology Group (</w:t>
            </w:r>
            <w:r>
              <w:t>ECOG</w:t>
            </w:r>
            <w:r w:rsidR="008C6418">
              <w:t>)</w:t>
            </w:r>
            <w:r>
              <w:t xml:space="preserve"> performance status &gt; 2</w:t>
            </w:r>
          </w:p>
        </w:tc>
      </w:tr>
    </w:tbl>
    <w:p w14:paraId="1363BE50" w14:textId="3C539771" w:rsidR="00462769" w:rsidRPr="00EC2BC5" w:rsidRDefault="00EC2BC5" w:rsidP="00EC2BC5">
      <w:r w:rsidRPr="00F12C72">
        <w:rPr>
          <w:i/>
        </w:rPr>
        <w:t>RMP reviewer comment</w:t>
      </w:r>
      <w:r w:rsidR="005F182D">
        <w:rPr>
          <w:i/>
        </w:rPr>
        <w:t xml:space="preserve"> at the time of evaluation</w:t>
      </w:r>
      <w:r w:rsidRPr="00EC2BC5">
        <w:t>:</w:t>
      </w:r>
      <w:r w:rsidR="005F182D">
        <w:t xml:space="preserve"> </w:t>
      </w:r>
      <w:r w:rsidRPr="00EC2BC5">
        <w:t>Upon comparative review of the EU RMP, the updated data and information in the Core Global RMP was evident; there was an</w:t>
      </w:r>
      <w:r w:rsidR="00175320">
        <w:t xml:space="preserve"> additional notable difference;</w:t>
      </w:r>
      <w:r w:rsidRPr="00EC2BC5">
        <w:t xml:space="preserve"> ‘interaction with CYP3A4 inducers/inhibitors’ was presented under ‘Missing Information’ in the Summary of Safety Concerns of the EU RMP. In the Core Global RMP it is identified as an important identified/potential interaction (Core Global RMP p 126) but was not included in the Summary of Safety Concerns or </w:t>
      </w:r>
      <w:r w:rsidRPr="00EC2BC5">
        <w:lastRenderedPageBreak/>
        <w:t xml:space="preserve">subsequent discussion. </w:t>
      </w:r>
      <w:proofErr w:type="gramStart"/>
      <w:r w:rsidR="005F182D">
        <w:t>Table 11, f</w:t>
      </w:r>
      <w:r w:rsidRPr="00EC2BC5">
        <w:t>rom the Core Global RMP</w:t>
      </w:r>
      <w:r w:rsidR="005F182D">
        <w:t>, summarised drug-drug interactions with CYP3A4 inducers/inhibitors.</w:t>
      </w:r>
      <w:proofErr w:type="gramEnd"/>
    </w:p>
    <w:p w14:paraId="7488CB37" w14:textId="77777777" w:rsidR="00462769" w:rsidRDefault="00F03EBB" w:rsidP="005F182D">
      <w:pPr>
        <w:pStyle w:val="TableTitle"/>
      </w:pPr>
      <w:r>
        <w:t>Table 11:</w:t>
      </w:r>
      <w:r w:rsidR="00EC2BC5">
        <w:t xml:space="preserve"> Drug-drug interaction with CYP3A4 inducers/inhibitors</w:t>
      </w:r>
    </w:p>
    <w:tbl>
      <w:tblPr>
        <w:tblStyle w:val="TableTGAblue"/>
        <w:tblW w:w="0" w:type="auto"/>
        <w:tblLook w:val="04A0" w:firstRow="1" w:lastRow="0" w:firstColumn="1" w:lastColumn="0" w:noHBand="0" w:noVBand="1"/>
      </w:tblPr>
      <w:tblGrid>
        <w:gridCol w:w="2943"/>
        <w:gridCol w:w="5777"/>
      </w:tblGrid>
      <w:tr w:rsidR="00EC2BC5" w14:paraId="657ED400" w14:textId="77777777" w:rsidTr="00541721">
        <w:trPr>
          <w:cnfStyle w:val="100000000000" w:firstRow="1" w:lastRow="0" w:firstColumn="0" w:lastColumn="0" w:oddVBand="0" w:evenVBand="0" w:oddHBand="0" w:evenHBand="0" w:firstRowFirstColumn="0" w:firstRowLastColumn="0" w:lastRowFirstColumn="0" w:lastRowLastColumn="0"/>
          <w:cantSplit/>
        </w:trPr>
        <w:tc>
          <w:tcPr>
            <w:tcW w:w="2943" w:type="dxa"/>
          </w:tcPr>
          <w:p w14:paraId="3EE8FA1C" w14:textId="77777777" w:rsidR="00EC2BC5" w:rsidRDefault="00EC2BC5" w:rsidP="00541721">
            <w:pPr>
              <w:rPr>
                <w:b w:val="0"/>
                <w:color w:val="auto"/>
                <w:szCs w:val="22"/>
                <w:lang w:eastAsia="en-US"/>
              </w:rPr>
            </w:pPr>
            <w:r>
              <w:t>Interacting substances</w:t>
            </w:r>
          </w:p>
        </w:tc>
        <w:tc>
          <w:tcPr>
            <w:tcW w:w="5777" w:type="dxa"/>
          </w:tcPr>
          <w:p w14:paraId="0ACFEB34" w14:textId="77777777" w:rsidR="00EC2BC5" w:rsidRDefault="00EC2BC5" w:rsidP="00541721">
            <w:pPr>
              <w:rPr>
                <w:b w:val="0"/>
                <w:color w:val="auto"/>
                <w:szCs w:val="22"/>
                <w:lang w:eastAsia="en-US"/>
              </w:rPr>
            </w:pPr>
            <w:r>
              <w:t>CYP3A4 inducers/inhibitors</w:t>
            </w:r>
          </w:p>
        </w:tc>
      </w:tr>
      <w:tr w:rsidR="00EC2BC5" w14:paraId="2ECFD517" w14:textId="77777777" w:rsidTr="00EC2BC5">
        <w:tc>
          <w:tcPr>
            <w:tcW w:w="2943" w:type="dxa"/>
          </w:tcPr>
          <w:p w14:paraId="4D97E0FC" w14:textId="77777777" w:rsidR="00EC2BC5" w:rsidRDefault="00EC2BC5" w:rsidP="00541721">
            <w:pPr>
              <w:rPr>
                <w:color w:val="auto"/>
                <w:szCs w:val="22"/>
                <w:lang w:eastAsia="en-US"/>
              </w:rPr>
            </w:pPr>
            <w:r>
              <w:t>Effect of interaction</w:t>
            </w:r>
          </w:p>
        </w:tc>
        <w:tc>
          <w:tcPr>
            <w:tcW w:w="5777" w:type="dxa"/>
          </w:tcPr>
          <w:p w14:paraId="569F0D58" w14:textId="11B12B4B" w:rsidR="00EC2BC5" w:rsidRDefault="00EC2BC5" w:rsidP="00541721">
            <w:pPr>
              <w:rPr>
                <w:color w:val="auto"/>
                <w:szCs w:val="22"/>
                <w:lang w:eastAsia="en-US"/>
              </w:rPr>
            </w:pPr>
            <w:r>
              <w:t>Potential increase in olaparib exposure and hence toxicity due to interaction with strong inhibitors of cytochrome CYP3A4 and potential decrease in olaparib efficacy due to interaction with stron</w:t>
            </w:r>
            <w:r w:rsidR="00DF5CF8">
              <w:t>g inducers of cytochrome CYP3A4.</w:t>
            </w:r>
          </w:p>
        </w:tc>
      </w:tr>
      <w:tr w:rsidR="00EC2BC5" w14:paraId="6A03C8AC" w14:textId="77777777" w:rsidTr="00EC2BC5">
        <w:tc>
          <w:tcPr>
            <w:tcW w:w="2943" w:type="dxa"/>
          </w:tcPr>
          <w:p w14:paraId="762EB150" w14:textId="77777777" w:rsidR="00EC2BC5" w:rsidRDefault="00EC2BC5" w:rsidP="00541721">
            <w:r>
              <w:t>Evidence source</w:t>
            </w:r>
          </w:p>
        </w:tc>
        <w:tc>
          <w:tcPr>
            <w:tcW w:w="5777" w:type="dxa"/>
          </w:tcPr>
          <w:p w14:paraId="785541B8" w14:textId="77777777" w:rsidR="00EC2BC5" w:rsidRDefault="00EC2BC5" w:rsidP="00541721">
            <w:r>
              <w:t>Evidence source has been based on in vitro data and clinical exposure data.</w:t>
            </w:r>
          </w:p>
          <w:p w14:paraId="79C73331" w14:textId="77777777" w:rsidR="00EC2BC5" w:rsidRDefault="00EC2BC5" w:rsidP="00541721">
            <w:r>
              <w:t xml:space="preserve">A recently completed primary report (Part A and B) from an in vitro drug interaction study (D0186C00007) to determine </w:t>
            </w:r>
            <w:r w:rsidR="002C76E5">
              <w:t>the magnitude of effect of a co</w:t>
            </w:r>
            <w:r w:rsidR="002C76E5">
              <w:noBreakHyphen/>
            </w:r>
            <w:r>
              <w:t xml:space="preserve">administered strong CYP3A4 inhibitor on olaparib exposure has confirmed that co administration with itraconazole increased mean </w:t>
            </w:r>
            <w:r w:rsidR="00E032DB" w:rsidRPr="00386C85">
              <w:t>C</w:t>
            </w:r>
            <w:r w:rsidR="00E032DB" w:rsidRPr="00E032DB">
              <w:rPr>
                <w:vertAlign w:val="subscript"/>
              </w:rPr>
              <w:t>max</w:t>
            </w:r>
            <w:r>
              <w:t xml:space="preserve"> 1.42 fold (90% CI</w:t>
            </w:r>
            <w:r w:rsidR="002C76E5">
              <w:t>:</w:t>
            </w:r>
            <w:r>
              <w:t xml:space="preserve"> 1.33 to 1.52) and increased mea</w:t>
            </w:r>
            <w:r w:rsidR="002C76E5">
              <w:t>n AUC 2.70 fold (90% CI: 2.44 to</w:t>
            </w:r>
            <w:r>
              <w:t xml:space="preserve"> 2.97) of olaparib. Results from the in vivo drug interaction study with a known strong CYP inducer (rifampicin) on the PK of olaparib following oral dosing </w:t>
            </w:r>
            <w:r w:rsidR="002C76E5">
              <w:t>of the tablet formulation of olaparib are soon to be completed.</w:t>
            </w:r>
          </w:p>
        </w:tc>
      </w:tr>
      <w:tr w:rsidR="00EC2BC5" w14:paraId="5FBD6C16" w14:textId="77777777" w:rsidTr="00EC2BC5">
        <w:tc>
          <w:tcPr>
            <w:tcW w:w="2943" w:type="dxa"/>
          </w:tcPr>
          <w:p w14:paraId="2E3661A7" w14:textId="77777777" w:rsidR="00EC2BC5" w:rsidRDefault="002C76E5" w:rsidP="00541721">
            <w:r>
              <w:t>Possible mechanisms</w:t>
            </w:r>
          </w:p>
        </w:tc>
        <w:tc>
          <w:tcPr>
            <w:tcW w:w="5777" w:type="dxa"/>
          </w:tcPr>
          <w:p w14:paraId="774CFE1C" w14:textId="54D6A886" w:rsidR="00EC2BC5" w:rsidRDefault="002C76E5" w:rsidP="00541721">
            <w:r>
              <w:t>In vitro data have shown that the principle enzyme responsible for the formation of the 3 main metabolites of olaparib is CYP3A4</w:t>
            </w:r>
            <w:r w:rsidR="00DF5CF8">
              <w:t>.</w:t>
            </w:r>
          </w:p>
        </w:tc>
      </w:tr>
      <w:tr w:rsidR="002C76E5" w14:paraId="436E9E1D" w14:textId="77777777" w:rsidTr="00EC2BC5">
        <w:tc>
          <w:tcPr>
            <w:tcW w:w="2943" w:type="dxa"/>
          </w:tcPr>
          <w:p w14:paraId="00E861D6" w14:textId="77777777" w:rsidR="002C76E5" w:rsidRDefault="002C76E5" w:rsidP="00541721">
            <w:r>
              <w:t>Potential health risk</w:t>
            </w:r>
          </w:p>
        </w:tc>
        <w:tc>
          <w:tcPr>
            <w:tcW w:w="5777" w:type="dxa"/>
          </w:tcPr>
          <w:p w14:paraId="6DFDFA0C" w14:textId="77777777" w:rsidR="002C76E5" w:rsidRDefault="002C76E5" w:rsidP="00541721">
            <w:r>
              <w:t>Increase in frequency and/or severity of olaparib toxicity or reduction of efficacy if olaparib is administered with CYP3A4 strong inhibitors or inducers respectively.</w:t>
            </w:r>
          </w:p>
        </w:tc>
      </w:tr>
      <w:tr w:rsidR="002C76E5" w14:paraId="34BF1040" w14:textId="77777777" w:rsidTr="00EC2BC5">
        <w:tc>
          <w:tcPr>
            <w:tcW w:w="2943" w:type="dxa"/>
          </w:tcPr>
          <w:p w14:paraId="05B49861" w14:textId="77777777" w:rsidR="002C76E5" w:rsidRDefault="002C76E5" w:rsidP="00541721">
            <w:r>
              <w:t>Discussion</w:t>
            </w:r>
          </w:p>
        </w:tc>
        <w:tc>
          <w:tcPr>
            <w:tcW w:w="5777" w:type="dxa"/>
          </w:tcPr>
          <w:p w14:paraId="7C466C8B" w14:textId="4778E3F0" w:rsidR="002C76E5" w:rsidRDefault="002C76E5" w:rsidP="00541721">
            <w:r>
              <w:t>In vitro data have shown that the principle enzyme responsible for the formation of the 3 main metabolites of olaparib is CYP3A4. Consequently to ensure patient safety olaparib co administration with strong inhibitors of CYP3A4</w:t>
            </w:r>
            <w:proofErr w:type="gramStart"/>
            <w:r w:rsidR="006F6C54">
              <w:t>;</w:t>
            </w:r>
            <w:r w:rsidRPr="002C76E5">
              <w:rPr>
                <w:vertAlign w:val="superscript"/>
              </w:rPr>
              <w:t>a</w:t>
            </w:r>
            <w:proofErr w:type="gramEnd"/>
            <w:r>
              <w:t xml:space="preserve"> should be avoided. In addition to avoid potential reductions in exposure due to drug interactions and therefore a potential reduction in efficacy, olaparib co administration with strong CYP3A4 </w:t>
            </w:r>
            <w:proofErr w:type="spellStart"/>
            <w:r>
              <w:t>inducers</w:t>
            </w:r>
            <w:proofErr w:type="gramStart"/>
            <w:r w:rsidR="00DF5CF8">
              <w:t>;</w:t>
            </w:r>
            <w:r w:rsidRPr="002C76E5">
              <w:rPr>
                <w:vertAlign w:val="superscript"/>
              </w:rPr>
              <w:t>b</w:t>
            </w:r>
            <w:proofErr w:type="spellEnd"/>
            <w:proofErr w:type="gramEnd"/>
            <w:r>
              <w:t xml:space="preserve"> should be avoided.</w:t>
            </w:r>
          </w:p>
        </w:tc>
      </w:tr>
    </w:tbl>
    <w:p w14:paraId="2E1634F2" w14:textId="18674940" w:rsidR="00B6439C" w:rsidRDefault="006F6C54" w:rsidP="00B6439C">
      <w:pPr>
        <w:pStyle w:val="TableDescription"/>
      </w:pPr>
      <w:r>
        <w:t xml:space="preserve">Note: </w:t>
      </w:r>
      <w:r w:rsidR="002C76E5">
        <w:t>a</w:t>
      </w:r>
      <w:r>
        <w:t>)</w:t>
      </w:r>
      <w:r w:rsidR="002C76E5">
        <w:t xml:space="preserve"> </w:t>
      </w:r>
      <w:r>
        <w:t>k</w:t>
      </w:r>
      <w:r w:rsidR="00B6439C">
        <w:t xml:space="preserve">nown strong inhibitors that have most often previously been reported associated with clinically significant drug interactions: </w:t>
      </w:r>
      <w:proofErr w:type="spellStart"/>
      <w:r w:rsidR="00B6439C">
        <w:t>itraconazole</w:t>
      </w:r>
      <w:proofErr w:type="spellEnd"/>
      <w:r w:rsidR="00B6439C">
        <w:t xml:space="preserve">, </w:t>
      </w:r>
      <w:proofErr w:type="spellStart"/>
      <w:r w:rsidR="00B6439C">
        <w:t>telithromycin</w:t>
      </w:r>
      <w:proofErr w:type="spellEnd"/>
      <w:r w:rsidR="00B6439C">
        <w:t xml:space="preserve">, clarithromycin, boosted protease inhibitors, </w:t>
      </w:r>
      <w:proofErr w:type="spellStart"/>
      <w:r w:rsidR="00B6439C">
        <w:t>indinavir</w:t>
      </w:r>
      <w:proofErr w:type="spellEnd"/>
      <w:r w:rsidR="00B6439C">
        <w:t xml:space="preserve">, </w:t>
      </w:r>
      <w:proofErr w:type="spellStart"/>
      <w:r w:rsidR="00B6439C">
        <w:t>saquinavir</w:t>
      </w:r>
      <w:proofErr w:type="spellEnd"/>
      <w:r w:rsidR="00B6439C">
        <w:t xml:space="preserve">, nelfinavir, </w:t>
      </w:r>
      <w:proofErr w:type="spellStart"/>
      <w:r w:rsidR="00B6439C">
        <w:t>boceprevir</w:t>
      </w:r>
      <w:proofErr w:type="spellEnd"/>
      <w:r w:rsidR="00B6439C">
        <w:t>, telaprevir (wash out period 1 week)</w:t>
      </w:r>
      <w:r>
        <w:t xml:space="preserve">; </w:t>
      </w:r>
      <w:r w:rsidR="00B6439C">
        <w:t>b</w:t>
      </w:r>
      <w:r>
        <w:t>) p</w:t>
      </w:r>
      <w:r w:rsidR="00B6439C">
        <w:t xml:space="preserve">henytoin, rifampicin, </w:t>
      </w:r>
      <w:proofErr w:type="spellStart"/>
      <w:r w:rsidR="00B6439C">
        <w:t>rifapentin</w:t>
      </w:r>
      <w:proofErr w:type="spellEnd"/>
      <w:r w:rsidR="00B6439C">
        <w:t xml:space="preserve">, carbamazepine, phenobarbital, </w:t>
      </w:r>
      <w:proofErr w:type="spellStart"/>
      <w:r w:rsidR="00B6439C">
        <w:t>nevirapine</w:t>
      </w:r>
      <w:proofErr w:type="spellEnd"/>
      <w:r w:rsidR="00B6439C">
        <w:t>, and St John’s Wort (wash out period for phenobarbital 5 weeks and for any of the others 3 weeks.)</w:t>
      </w:r>
    </w:p>
    <w:p w14:paraId="24F9EFC6" w14:textId="77777777" w:rsidR="00B6439C" w:rsidRPr="00B6439C" w:rsidRDefault="00B6439C" w:rsidP="00B6439C">
      <w:pPr>
        <w:pStyle w:val="Heading4"/>
      </w:pPr>
      <w:bookmarkStart w:id="151" w:name="_Toc428260343"/>
      <w:r w:rsidRPr="00B6439C">
        <w:lastRenderedPageBreak/>
        <w:t>Pharmacovigilance plan</w:t>
      </w:r>
      <w:bookmarkEnd w:id="151"/>
    </w:p>
    <w:p w14:paraId="237039D3" w14:textId="77777777" w:rsidR="00B6439C" w:rsidRPr="00B6439C" w:rsidRDefault="00B6439C" w:rsidP="00B6439C">
      <w:pPr>
        <w:pStyle w:val="Heading5"/>
      </w:pPr>
      <w:bookmarkStart w:id="152" w:name="_Toc428260344"/>
      <w:r w:rsidRPr="00B6439C">
        <w:t>Proposed pharmacovigilance activities</w:t>
      </w:r>
      <w:bookmarkEnd w:id="152"/>
    </w:p>
    <w:p w14:paraId="236724A7" w14:textId="03445B5A" w:rsidR="005D64FB" w:rsidRDefault="00B6439C" w:rsidP="00B6439C">
      <w:r w:rsidRPr="00B6439C">
        <w:t>The sponsor proposes routine pharmacovigilance for all safety concerns, and advises that additional informatio</w:t>
      </w:r>
      <w:r>
        <w:t>n will be collected from Phase III</w:t>
      </w:r>
      <w:r w:rsidRPr="00B6439C">
        <w:t xml:space="preserve"> studies relating to anaemia, thrombocyto</w:t>
      </w:r>
      <w:r w:rsidR="0041711A">
        <w:t>paenia</w:t>
      </w:r>
      <w:r w:rsidRPr="00B6439C">
        <w:t>, neutro</w:t>
      </w:r>
      <w:r w:rsidR="0041711A">
        <w:t>paenia</w:t>
      </w:r>
      <w:r w:rsidRPr="00B6439C">
        <w:t>, raised creatinine levels, nausea and vomiting, pneumonitis, off-label use, medication errors, embryofoetal survival and development, exposure in elderly, exposure in ethnically diverse groups, and long-term exposure to/potential toxicity of olaparib</w:t>
      </w:r>
      <w:r w:rsidR="005D64FB">
        <w:t>.</w:t>
      </w:r>
    </w:p>
    <w:p w14:paraId="46F5DBB5" w14:textId="77777777" w:rsidR="00B6439C" w:rsidRPr="00B6439C" w:rsidRDefault="00B6439C" w:rsidP="00B6439C">
      <w:r w:rsidRPr="00B6439C">
        <w:t>It is noted that the sponsor has provided variable wording of some safety concerns (</w:t>
      </w:r>
      <w:r w:rsidR="00175320">
        <w:t>for example</w:t>
      </w:r>
      <w:r w:rsidRPr="00B6439C">
        <w:t xml:space="preserve"> ‘use in the elderly’ versus ‘exposure in the elderly’, ‘use in patients with liver disease’ versus ‘exposure in patients with hepatic impairment’). It is recommended that the sponsor use consistent language throughout the RMP documentation in future updates.</w:t>
      </w:r>
    </w:p>
    <w:p w14:paraId="60FA7BB4" w14:textId="77777777" w:rsidR="00B6439C" w:rsidRPr="00B6439C" w:rsidRDefault="00B6439C" w:rsidP="00B6439C">
      <w:r w:rsidRPr="00B6439C">
        <w:t>A follow-up targeted safety questionnaire (TSQ) is proposed for the safety concerns of MDS/AML, new primary malignancy (including non-melanoma skin cancer) and pneumonitis.</w:t>
      </w:r>
    </w:p>
    <w:p w14:paraId="3B7ADF06" w14:textId="70714803" w:rsidR="00B6439C" w:rsidRPr="00B6439C" w:rsidRDefault="00B6439C" w:rsidP="006F6C54">
      <w:r w:rsidRPr="00B6439C">
        <w:t>The sponsor has advised the following study will provided information regarding use in patients with liver disease (cirrhosis and fibrosis) and use in patients with mild or moderate kidney disease</w:t>
      </w:r>
      <w:r w:rsidR="006F6C54">
        <w:t xml:space="preserve">: </w:t>
      </w:r>
      <w:r w:rsidR="006F6C54" w:rsidRPr="00F12C72">
        <w:rPr>
          <w:i/>
        </w:rPr>
        <w:t>‘</w:t>
      </w:r>
      <w:r w:rsidRPr="00F12C72">
        <w:t xml:space="preserve">Routine pharmacovigilance practices, signal identification and review. Phase I study (D0816C00005) to determine the pharmacokinetics, safety and tolerability of olaparib following a single oral 300 mg tablet dose to patients with advanced solid tumours and </w:t>
      </w:r>
      <w:r w:rsidR="006F6C54" w:rsidRPr="00F12C72">
        <w:t>(</w:t>
      </w:r>
      <w:r w:rsidRPr="00F12C72">
        <w:t>normal hepatic function or mild or moderate hepatic impairment/normal renal function or mild or moderate renal impairment</w:t>
      </w:r>
      <w:r w:rsidR="006F6C54" w:rsidRPr="00F12C72">
        <w:t>).</w:t>
      </w:r>
    </w:p>
    <w:p w14:paraId="73CAC3B1" w14:textId="77777777" w:rsidR="00B6439C" w:rsidRPr="00B6439C" w:rsidRDefault="00B6439C" w:rsidP="00B6439C">
      <w:r w:rsidRPr="00B6439C">
        <w:t>The sponsor advised of studies and other activities completed since the last update of the Pharmacovigilance Plan, including the following investigations:</w:t>
      </w:r>
    </w:p>
    <w:p w14:paraId="44C24753" w14:textId="44E47D66" w:rsidR="00B6439C" w:rsidRPr="00B6439C" w:rsidRDefault="00B6439C" w:rsidP="00B6439C">
      <w:pPr>
        <w:pStyle w:val="ListBullet"/>
      </w:pPr>
      <w:r w:rsidRPr="00B6439C">
        <w:t>Effect of food on the pharmacokinetics of olaparib (</w:t>
      </w:r>
      <w:r w:rsidR="006F6C54">
        <w:t>S</w:t>
      </w:r>
      <w:r w:rsidR="006F6C54" w:rsidRPr="00B6439C">
        <w:t xml:space="preserve">tudy </w:t>
      </w:r>
      <w:r w:rsidRPr="00B6439C">
        <w:t>D081AC00001)</w:t>
      </w:r>
    </w:p>
    <w:p w14:paraId="6C3715E3" w14:textId="0CAB8873" w:rsidR="00B6439C" w:rsidRPr="00B6439C" w:rsidRDefault="00B6439C" w:rsidP="00B6439C">
      <w:pPr>
        <w:pStyle w:val="ListBullet"/>
      </w:pPr>
      <w:r w:rsidRPr="00B6439C">
        <w:t>Itraconazole in combination with olaparib (</w:t>
      </w:r>
      <w:r w:rsidR="006F6C54">
        <w:t>S</w:t>
      </w:r>
      <w:r w:rsidR="006F6C54" w:rsidRPr="00B6439C">
        <w:t xml:space="preserve">tudy </w:t>
      </w:r>
      <w:r w:rsidRPr="00B6439C">
        <w:t>D0816C00007)</w:t>
      </w:r>
    </w:p>
    <w:p w14:paraId="184FA465" w14:textId="2B9E67D0" w:rsidR="00B6439C" w:rsidRPr="00B6439C" w:rsidRDefault="00B6439C" w:rsidP="00B6439C">
      <w:pPr>
        <w:pStyle w:val="ListBullet"/>
      </w:pPr>
      <w:r w:rsidRPr="00B6439C">
        <w:t>Rifampicin in combination with olaparib (</w:t>
      </w:r>
      <w:r w:rsidR="006F6C54">
        <w:t>S</w:t>
      </w:r>
      <w:r w:rsidR="006F6C54" w:rsidRPr="00B6439C">
        <w:t xml:space="preserve">tudy </w:t>
      </w:r>
      <w:r w:rsidRPr="00B6439C">
        <w:t>D0816C00008)</w:t>
      </w:r>
    </w:p>
    <w:p w14:paraId="42628524" w14:textId="77016DB3" w:rsidR="00B6439C" w:rsidRPr="00B6439C" w:rsidRDefault="00B6439C" w:rsidP="00B6439C">
      <w:pPr>
        <w:pStyle w:val="ListBullet"/>
      </w:pPr>
      <w:r w:rsidRPr="00B6439C">
        <w:t>Effect of olaparib on QT interval (</w:t>
      </w:r>
      <w:r w:rsidR="006F6C54">
        <w:t>S</w:t>
      </w:r>
      <w:r w:rsidR="006F6C54" w:rsidRPr="00B6439C">
        <w:t xml:space="preserve">tudies </w:t>
      </w:r>
      <w:r w:rsidRPr="00B6439C">
        <w:t>D0816C00007 and D0816C00004)</w:t>
      </w:r>
    </w:p>
    <w:p w14:paraId="589A96BC" w14:textId="77777777" w:rsidR="00EC2BC5" w:rsidRPr="00B6439C" w:rsidRDefault="00B6439C" w:rsidP="00B6439C">
      <w:r w:rsidRPr="00B6439C">
        <w:t>The sponsor further identified the following additional pharmacovigilance activities (anticipated milestone/completion dates and number of Australian patients randomised)</w:t>
      </w:r>
      <w:r w:rsidR="00F03EBB">
        <w:t xml:space="preserve"> as shown in Table 12.</w:t>
      </w:r>
    </w:p>
    <w:p w14:paraId="3D959046" w14:textId="0CDA75C0" w:rsidR="00EC2BC5" w:rsidRDefault="00B6439C" w:rsidP="00F12C72">
      <w:pPr>
        <w:pStyle w:val="Tabletitle0"/>
      </w:pPr>
      <w:r>
        <w:t xml:space="preserve">Table </w:t>
      </w:r>
      <w:r w:rsidR="00F03EBB">
        <w:t>12</w:t>
      </w:r>
      <w:r>
        <w:t xml:space="preserve">: Additional </w:t>
      </w:r>
      <w:r w:rsidR="00AB7502">
        <w:t xml:space="preserve">pharmacovigilance </w:t>
      </w:r>
      <w:r w:rsidR="00175320">
        <w:t>studies</w:t>
      </w:r>
    </w:p>
    <w:tbl>
      <w:tblPr>
        <w:tblStyle w:val="TableTGAblue"/>
        <w:tblW w:w="0" w:type="auto"/>
        <w:tblLook w:val="04A0" w:firstRow="1" w:lastRow="0" w:firstColumn="1" w:lastColumn="0" w:noHBand="0" w:noVBand="1"/>
      </w:tblPr>
      <w:tblGrid>
        <w:gridCol w:w="1452"/>
        <w:gridCol w:w="2401"/>
        <w:gridCol w:w="2027"/>
        <w:gridCol w:w="1577"/>
        <w:gridCol w:w="1263"/>
      </w:tblGrid>
      <w:tr w:rsidR="00B6439C" w14:paraId="181CD88F" w14:textId="77777777" w:rsidTr="0078603C">
        <w:trPr>
          <w:cnfStyle w:val="100000000000" w:firstRow="1" w:lastRow="0" w:firstColumn="0" w:lastColumn="0" w:oddVBand="0" w:evenVBand="0" w:oddHBand="0" w:evenHBand="0" w:firstRowFirstColumn="0" w:firstRowLastColumn="0" w:lastRowFirstColumn="0" w:lastRowLastColumn="0"/>
        </w:trPr>
        <w:tc>
          <w:tcPr>
            <w:tcW w:w="1555" w:type="dxa"/>
          </w:tcPr>
          <w:p w14:paraId="2DCCAF70" w14:textId="77777777" w:rsidR="00B6439C" w:rsidRPr="00252293" w:rsidRDefault="00B6439C" w:rsidP="0078603C">
            <w:pPr>
              <w:ind w:left="0" w:right="0"/>
              <w:rPr>
                <w:rFonts w:asciiTheme="minorHAnsi" w:hAnsiTheme="minorHAnsi"/>
                <w:b w:val="0"/>
                <w:sz w:val="18"/>
                <w:szCs w:val="18"/>
              </w:rPr>
            </w:pPr>
            <w:r w:rsidRPr="00252293">
              <w:rPr>
                <w:rFonts w:asciiTheme="minorHAnsi" w:hAnsiTheme="minorHAnsi"/>
                <w:sz w:val="18"/>
                <w:szCs w:val="18"/>
              </w:rPr>
              <w:t>Study</w:t>
            </w:r>
          </w:p>
        </w:tc>
        <w:tc>
          <w:tcPr>
            <w:tcW w:w="3083" w:type="dxa"/>
          </w:tcPr>
          <w:p w14:paraId="207325A5" w14:textId="77777777" w:rsidR="00B6439C" w:rsidRPr="00252293" w:rsidRDefault="00B6439C" w:rsidP="0078603C">
            <w:pPr>
              <w:ind w:left="0" w:right="0"/>
              <w:rPr>
                <w:rFonts w:asciiTheme="minorHAnsi" w:hAnsiTheme="minorHAnsi"/>
                <w:b w:val="0"/>
                <w:sz w:val="18"/>
                <w:szCs w:val="18"/>
              </w:rPr>
            </w:pPr>
            <w:r w:rsidRPr="00252293">
              <w:rPr>
                <w:rFonts w:asciiTheme="minorHAnsi" w:hAnsiTheme="minorHAnsi"/>
                <w:sz w:val="18"/>
                <w:szCs w:val="18"/>
              </w:rPr>
              <w:t>Description</w:t>
            </w:r>
          </w:p>
        </w:tc>
        <w:tc>
          <w:tcPr>
            <w:tcW w:w="2256" w:type="dxa"/>
          </w:tcPr>
          <w:p w14:paraId="7C77E921" w14:textId="77777777" w:rsidR="00B6439C" w:rsidRPr="00252293" w:rsidRDefault="00B6439C" w:rsidP="0078603C">
            <w:pPr>
              <w:ind w:left="0" w:right="0"/>
              <w:rPr>
                <w:rFonts w:asciiTheme="minorHAnsi" w:hAnsiTheme="minorHAnsi"/>
                <w:b w:val="0"/>
                <w:sz w:val="18"/>
                <w:szCs w:val="18"/>
              </w:rPr>
            </w:pPr>
            <w:r w:rsidRPr="00252293">
              <w:rPr>
                <w:rFonts w:asciiTheme="minorHAnsi" w:hAnsiTheme="minorHAnsi"/>
                <w:sz w:val="18"/>
                <w:szCs w:val="18"/>
              </w:rPr>
              <w:t>Safety Concern Identified</w:t>
            </w:r>
          </w:p>
        </w:tc>
        <w:tc>
          <w:tcPr>
            <w:tcW w:w="1688" w:type="dxa"/>
          </w:tcPr>
          <w:p w14:paraId="1F378E0D" w14:textId="77777777" w:rsidR="00B6439C" w:rsidRPr="00252293" w:rsidRDefault="00B6439C" w:rsidP="0078603C">
            <w:pPr>
              <w:ind w:left="0" w:right="0"/>
              <w:rPr>
                <w:rFonts w:asciiTheme="minorHAnsi" w:hAnsiTheme="minorHAnsi"/>
                <w:b w:val="0"/>
                <w:sz w:val="18"/>
                <w:szCs w:val="18"/>
              </w:rPr>
            </w:pPr>
            <w:r w:rsidRPr="00252293">
              <w:rPr>
                <w:rFonts w:asciiTheme="minorHAnsi" w:hAnsiTheme="minorHAnsi"/>
                <w:sz w:val="18"/>
                <w:szCs w:val="18"/>
              </w:rPr>
              <w:t>Milestone/Due Date(s)</w:t>
            </w:r>
          </w:p>
        </w:tc>
        <w:tc>
          <w:tcPr>
            <w:tcW w:w="1272" w:type="dxa"/>
          </w:tcPr>
          <w:p w14:paraId="31515454" w14:textId="77777777" w:rsidR="00B6439C" w:rsidRPr="00252293" w:rsidRDefault="00B6439C" w:rsidP="0078603C">
            <w:pPr>
              <w:ind w:left="0" w:right="0"/>
              <w:rPr>
                <w:rFonts w:asciiTheme="minorHAnsi" w:hAnsiTheme="minorHAnsi"/>
                <w:b w:val="0"/>
                <w:sz w:val="18"/>
                <w:szCs w:val="18"/>
              </w:rPr>
            </w:pPr>
            <w:r>
              <w:rPr>
                <w:rFonts w:asciiTheme="minorHAnsi" w:hAnsiTheme="minorHAnsi"/>
                <w:sz w:val="18"/>
                <w:szCs w:val="18"/>
              </w:rPr>
              <w:t>Number of Australian Patients Randomised</w:t>
            </w:r>
          </w:p>
        </w:tc>
      </w:tr>
      <w:tr w:rsidR="00B6439C" w14:paraId="13ABC5B9" w14:textId="77777777" w:rsidTr="0078603C">
        <w:tc>
          <w:tcPr>
            <w:tcW w:w="1555" w:type="dxa"/>
          </w:tcPr>
          <w:p w14:paraId="25ACA8B6" w14:textId="77777777"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D0816C00002</w:t>
            </w:r>
          </w:p>
        </w:tc>
        <w:tc>
          <w:tcPr>
            <w:tcW w:w="3083" w:type="dxa"/>
          </w:tcPr>
          <w:p w14:paraId="6BD121E2" w14:textId="77777777"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 xml:space="preserve">Phase III randomised, double-blind, placebo-controlled, multicentre study of olaparib maintenance monotherapy in platinum-sensitive relapsed BRCA-mutates ovarian cancer patients who are in complete or partial response following </w:t>
            </w:r>
            <w:r w:rsidR="007607D4">
              <w:rPr>
                <w:rFonts w:asciiTheme="minorHAnsi" w:hAnsiTheme="minorHAnsi"/>
                <w:sz w:val="18"/>
                <w:szCs w:val="18"/>
              </w:rPr>
              <w:lastRenderedPageBreak/>
              <w:t>platinum based</w:t>
            </w:r>
            <w:r w:rsidRPr="00252293">
              <w:rPr>
                <w:rFonts w:asciiTheme="minorHAnsi" w:hAnsiTheme="minorHAnsi"/>
                <w:sz w:val="18"/>
                <w:szCs w:val="18"/>
              </w:rPr>
              <w:t xml:space="preserve"> chemotherapy</w:t>
            </w:r>
          </w:p>
        </w:tc>
        <w:tc>
          <w:tcPr>
            <w:tcW w:w="2256" w:type="dxa"/>
          </w:tcPr>
          <w:p w14:paraId="510DDE27" w14:textId="5C10C7BD"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lastRenderedPageBreak/>
              <w:t>Anaemia, thrombocyto</w:t>
            </w:r>
            <w:r w:rsidR="0041711A">
              <w:rPr>
                <w:rFonts w:asciiTheme="minorHAnsi" w:hAnsiTheme="minorHAnsi"/>
                <w:sz w:val="18"/>
                <w:szCs w:val="18"/>
              </w:rPr>
              <w:t>paenia</w:t>
            </w:r>
            <w:r w:rsidRPr="00252293">
              <w:rPr>
                <w:rFonts w:asciiTheme="minorHAnsi" w:hAnsiTheme="minorHAnsi"/>
                <w:sz w:val="18"/>
                <w:szCs w:val="18"/>
              </w:rPr>
              <w:t>, neutro</w:t>
            </w:r>
            <w:r w:rsidR="0041711A">
              <w:rPr>
                <w:rFonts w:asciiTheme="minorHAnsi" w:hAnsiTheme="minorHAnsi"/>
                <w:sz w:val="18"/>
                <w:szCs w:val="18"/>
              </w:rPr>
              <w:t>paenia</w:t>
            </w:r>
            <w:r w:rsidRPr="00252293">
              <w:rPr>
                <w:rFonts w:asciiTheme="minorHAnsi" w:hAnsiTheme="minorHAnsi"/>
                <w:sz w:val="18"/>
                <w:szCs w:val="18"/>
              </w:rPr>
              <w:t xml:space="preserve">, raised creatinine levels, nausea including vomiting, MDS/AML, new primary malignancies, pneumonitis, exposure in the elderly, exposure </w:t>
            </w:r>
            <w:r w:rsidRPr="00252293">
              <w:rPr>
                <w:rFonts w:asciiTheme="minorHAnsi" w:hAnsiTheme="minorHAnsi"/>
                <w:sz w:val="18"/>
                <w:szCs w:val="18"/>
              </w:rPr>
              <w:lastRenderedPageBreak/>
              <w:t>in ethnically diverse groups, long-term exposure to/potential toxicity to olaparib</w:t>
            </w:r>
            <w:r w:rsidR="00DF5CF8">
              <w:rPr>
                <w:rFonts w:asciiTheme="minorHAnsi" w:hAnsiTheme="minorHAnsi"/>
                <w:sz w:val="18"/>
                <w:szCs w:val="18"/>
              </w:rPr>
              <w:t>.</w:t>
            </w:r>
          </w:p>
        </w:tc>
        <w:tc>
          <w:tcPr>
            <w:tcW w:w="1688" w:type="dxa"/>
          </w:tcPr>
          <w:p w14:paraId="1C104C2C" w14:textId="77777777"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lastRenderedPageBreak/>
              <w:t>Final report: 4Q2018</w:t>
            </w:r>
          </w:p>
        </w:tc>
        <w:tc>
          <w:tcPr>
            <w:tcW w:w="1272" w:type="dxa"/>
          </w:tcPr>
          <w:p w14:paraId="3846EAD5" w14:textId="77777777" w:rsidR="00B6439C" w:rsidRPr="00252293" w:rsidRDefault="00B6439C" w:rsidP="0078603C">
            <w:pPr>
              <w:ind w:left="0" w:right="0"/>
              <w:rPr>
                <w:rFonts w:asciiTheme="minorHAnsi" w:hAnsiTheme="minorHAnsi"/>
                <w:sz w:val="18"/>
                <w:szCs w:val="18"/>
              </w:rPr>
            </w:pPr>
            <w:r>
              <w:rPr>
                <w:rFonts w:asciiTheme="minorHAnsi" w:hAnsiTheme="minorHAnsi"/>
                <w:sz w:val="18"/>
                <w:szCs w:val="18"/>
              </w:rPr>
              <w:t>17 (enrolment complete)</w:t>
            </w:r>
          </w:p>
        </w:tc>
      </w:tr>
      <w:tr w:rsidR="00B6439C" w14:paraId="2BF2D97F" w14:textId="77777777" w:rsidTr="0078603C">
        <w:tc>
          <w:tcPr>
            <w:tcW w:w="1555" w:type="dxa"/>
          </w:tcPr>
          <w:p w14:paraId="3FCD039A" w14:textId="77777777"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lastRenderedPageBreak/>
              <w:t>D0810C00019</w:t>
            </w:r>
          </w:p>
        </w:tc>
        <w:tc>
          <w:tcPr>
            <w:tcW w:w="3083" w:type="dxa"/>
          </w:tcPr>
          <w:p w14:paraId="37100A08" w14:textId="77777777"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Phase II randomised, double-blind study to assess the efficacy of olaparib compared with placebo in the treatment of patients with platinum sensitive serous ovarian cancer following treatment with 2 or more platinum containing regimens</w:t>
            </w:r>
          </w:p>
        </w:tc>
        <w:tc>
          <w:tcPr>
            <w:tcW w:w="2256" w:type="dxa"/>
          </w:tcPr>
          <w:p w14:paraId="7D5D9BA3" w14:textId="5433A369"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Anaemia, thrombocyto</w:t>
            </w:r>
            <w:r w:rsidR="0041711A">
              <w:rPr>
                <w:rFonts w:asciiTheme="minorHAnsi" w:hAnsiTheme="minorHAnsi"/>
                <w:sz w:val="18"/>
                <w:szCs w:val="18"/>
              </w:rPr>
              <w:t>paenia</w:t>
            </w:r>
            <w:r w:rsidRPr="00252293">
              <w:rPr>
                <w:rFonts w:asciiTheme="minorHAnsi" w:hAnsiTheme="minorHAnsi"/>
                <w:sz w:val="18"/>
                <w:szCs w:val="18"/>
              </w:rPr>
              <w:t>, neutro</w:t>
            </w:r>
            <w:r w:rsidR="0041711A">
              <w:rPr>
                <w:rFonts w:asciiTheme="minorHAnsi" w:hAnsiTheme="minorHAnsi"/>
                <w:sz w:val="18"/>
                <w:szCs w:val="18"/>
              </w:rPr>
              <w:t>paenia</w:t>
            </w:r>
            <w:r w:rsidRPr="00252293">
              <w:rPr>
                <w:rFonts w:asciiTheme="minorHAnsi" w:hAnsiTheme="minorHAnsi"/>
                <w:sz w:val="18"/>
                <w:szCs w:val="18"/>
              </w:rPr>
              <w:t>, raised creatinine levels, nausea including vomiting, MDS/AML, new primary malignancies, pneumonitis</w:t>
            </w:r>
            <w:r>
              <w:rPr>
                <w:rFonts w:asciiTheme="minorHAnsi" w:hAnsiTheme="minorHAnsi"/>
                <w:sz w:val="18"/>
                <w:szCs w:val="18"/>
              </w:rPr>
              <w:t xml:space="preserve">, </w:t>
            </w:r>
            <w:r w:rsidRPr="00252293">
              <w:rPr>
                <w:rFonts w:asciiTheme="minorHAnsi" w:hAnsiTheme="minorHAnsi"/>
                <w:sz w:val="18"/>
                <w:szCs w:val="18"/>
              </w:rPr>
              <w:t>long-term exposure to/potential toxicity to olaparib</w:t>
            </w:r>
            <w:r w:rsidR="00DF5CF8">
              <w:rPr>
                <w:rFonts w:asciiTheme="minorHAnsi" w:hAnsiTheme="minorHAnsi"/>
                <w:sz w:val="18"/>
                <w:szCs w:val="18"/>
              </w:rPr>
              <w:t>.</w:t>
            </w:r>
          </w:p>
        </w:tc>
        <w:tc>
          <w:tcPr>
            <w:tcW w:w="1688" w:type="dxa"/>
          </w:tcPr>
          <w:p w14:paraId="0B28A80A" w14:textId="77777777"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Final report: 2Q2017</w:t>
            </w:r>
          </w:p>
        </w:tc>
        <w:tc>
          <w:tcPr>
            <w:tcW w:w="1272" w:type="dxa"/>
          </w:tcPr>
          <w:p w14:paraId="31C349CC" w14:textId="77777777" w:rsidR="00B6439C" w:rsidRPr="00252293" w:rsidRDefault="00B6439C" w:rsidP="0078603C">
            <w:pPr>
              <w:ind w:left="0" w:right="0"/>
              <w:rPr>
                <w:rFonts w:asciiTheme="minorHAnsi" w:hAnsiTheme="minorHAnsi"/>
                <w:sz w:val="18"/>
                <w:szCs w:val="18"/>
              </w:rPr>
            </w:pPr>
            <w:r>
              <w:rPr>
                <w:rFonts w:asciiTheme="minorHAnsi" w:hAnsiTheme="minorHAnsi"/>
                <w:sz w:val="18"/>
                <w:szCs w:val="18"/>
              </w:rPr>
              <w:t>31</w:t>
            </w:r>
          </w:p>
        </w:tc>
      </w:tr>
      <w:tr w:rsidR="00B6439C" w14:paraId="3037CF60" w14:textId="77777777" w:rsidTr="0078603C">
        <w:tc>
          <w:tcPr>
            <w:tcW w:w="1555" w:type="dxa"/>
          </w:tcPr>
          <w:p w14:paraId="1E8EB46E" w14:textId="77777777"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D0816C00012</w:t>
            </w:r>
          </w:p>
        </w:tc>
        <w:tc>
          <w:tcPr>
            <w:tcW w:w="3083" w:type="dxa"/>
          </w:tcPr>
          <w:p w14:paraId="63ACAAE3" w14:textId="3B1E9663"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Phase IV open label, single arm, non-randomised multicentre study to assess the efficacy and safety of olaparib maintenance monotherapy in patients with relapsed platinum sensitive ovarian cancer who are in complete or partial response following platinum based chemotherapy and who carry loss of function germline or somatic BRCA mutation(s)</w:t>
            </w:r>
            <w:r w:rsidR="00DF5CF8">
              <w:rPr>
                <w:rFonts w:asciiTheme="minorHAnsi" w:hAnsiTheme="minorHAnsi"/>
                <w:sz w:val="18"/>
                <w:szCs w:val="18"/>
              </w:rPr>
              <w:t>.</w:t>
            </w:r>
          </w:p>
        </w:tc>
        <w:tc>
          <w:tcPr>
            <w:tcW w:w="2256" w:type="dxa"/>
          </w:tcPr>
          <w:p w14:paraId="7224B8E1" w14:textId="0ACB7A46"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Anaemia, thrombocyto</w:t>
            </w:r>
            <w:r w:rsidR="0041711A">
              <w:rPr>
                <w:rFonts w:asciiTheme="minorHAnsi" w:hAnsiTheme="minorHAnsi"/>
                <w:sz w:val="18"/>
                <w:szCs w:val="18"/>
              </w:rPr>
              <w:t>paenia</w:t>
            </w:r>
            <w:r w:rsidRPr="00252293">
              <w:rPr>
                <w:rFonts w:asciiTheme="minorHAnsi" w:hAnsiTheme="minorHAnsi"/>
                <w:sz w:val="18"/>
                <w:szCs w:val="18"/>
              </w:rPr>
              <w:t>, neutro</w:t>
            </w:r>
            <w:r w:rsidR="0041711A">
              <w:rPr>
                <w:rFonts w:asciiTheme="minorHAnsi" w:hAnsiTheme="minorHAnsi"/>
                <w:sz w:val="18"/>
                <w:szCs w:val="18"/>
              </w:rPr>
              <w:t>paenia</w:t>
            </w:r>
            <w:r w:rsidRPr="00252293">
              <w:rPr>
                <w:rFonts w:asciiTheme="minorHAnsi" w:hAnsiTheme="minorHAnsi"/>
                <w:sz w:val="18"/>
                <w:szCs w:val="18"/>
              </w:rPr>
              <w:t>, raised creatinine levels, nausea including vomiting, MDA/AML, new primary malignancies, pneumonitis, exposure in the elderly, exposure in ethnically diverse groups, long-term exposure to/potential toxicity to olaparib</w:t>
            </w:r>
            <w:r w:rsidR="00DF5CF8">
              <w:rPr>
                <w:rFonts w:asciiTheme="minorHAnsi" w:hAnsiTheme="minorHAnsi"/>
                <w:sz w:val="18"/>
                <w:szCs w:val="18"/>
              </w:rPr>
              <w:t>.</w:t>
            </w:r>
          </w:p>
        </w:tc>
        <w:tc>
          <w:tcPr>
            <w:tcW w:w="1688" w:type="dxa"/>
          </w:tcPr>
          <w:p w14:paraId="05D57798" w14:textId="77777777"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Final report: 3Q2018</w:t>
            </w:r>
          </w:p>
        </w:tc>
        <w:tc>
          <w:tcPr>
            <w:tcW w:w="1272" w:type="dxa"/>
          </w:tcPr>
          <w:p w14:paraId="6959AC67" w14:textId="77777777" w:rsidR="00B6439C" w:rsidRPr="00252293" w:rsidRDefault="00B6439C" w:rsidP="0078603C">
            <w:pPr>
              <w:ind w:left="0" w:right="0"/>
              <w:rPr>
                <w:rFonts w:asciiTheme="minorHAnsi" w:hAnsiTheme="minorHAnsi"/>
                <w:sz w:val="18"/>
                <w:szCs w:val="18"/>
              </w:rPr>
            </w:pPr>
            <w:r>
              <w:rPr>
                <w:rFonts w:asciiTheme="minorHAnsi" w:hAnsiTheme="minorHAnsi"/>
                <w:sz w:val="18"/>
                <w:szCs w:val="18"/>
              </w:rPr>
              <w:t>6</w:t>
            </w:r>
          </w:p>
        </w:tc>
      </w:tr>
      <w:tr w:rsidR="00B6439C" w14:paraId="1B0CAA70" w14:textId="77777777" w:rsidTr="0078603C">
        <w:tc>
          <w:tcPr>
            <w:tcW w:w="1555" w:type="dxa"/>
          </w:tcPr>
          <w:p w14:paraId="681B5530" w14:textId="77777777"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D0816C00010</w:t>
            </w:r>
          </w:p>
        </w:tc>
        <w:tc>
          <w:tcPr>
            <w:tcW w:w="3083" w:type="dxa"/>
          </w:tcPr>
          <w:p w14:paraId="7B9FFEEE" w14:textId="1F7C2E55"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Phase III open label, randomised, controlled, multicentre study to assess the efficacy and safety of olaparib monotherapy versus physician’s choice single agent chemotherapy in the treatment of platinum sensitive relapsed ovarian cancer in patients carrying germline BRCA1/2 mutations</w:t>
            </w:r>
            <w:r w:rsidR="00DF5CF8">
              <w:rPr>
                <w:rFonts w:asciiTheme="minorHAnsi" w:hAnsiTheme="minorHAnsi"/>
                <w:sz w:val="18"/>
                <w:szCs w:val="18"/>
              </w:rPr>
              <w:t>.</w:t>
            </w:r>
          </w:p>
        </w:tc>
        <w:tc>
          <w:tcPr>
            <w:tcW w:w="2256" w:type="dxa"/>
          </w:tcPr>
          <w:p w14:paraId="4403F143" w14:textId="189A07BF"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Anaemia, thrombocyto</w:t>
            </w:r>
            <w:r w:rsidR="0041711A">
              <w:rPr>
                <w:rFonts w:asciiTheme="minorHAnsi" w:hAnsiTheme="minorHAnsi"/>
                <w:sz w:val="18"/>
                <w:szCs w:val="18"/>
              </w:rPr>
              <w:t>paenia</w:t>
            </w:r>
            <w:r w:rsidRPr="00252293">
              <w:rPr>
                <w:rFonts w:asciiTheme="minorHAnsi" w:hAnsiTheme="minorHAnsi"/>
                <w:sz w:val="18"/>
                <w:szCs w:val="18"/>
              </w:rPr>
              <w:t>, neutro</w:t>
            </w:r>
            <w:r w:rsidR="0041711A">
              <w:rPr>
                <w:rFonts w:asciiTheme="minorHAnsi" w:hAnsiTheme="minorHAnsi"/>
                <w:sz w:val="18"/>
                <w:szCs w:val="18"/>
              </w:rPr>
              <w:t>paenia</w:t>
            </w:r>
            <w:r w:rsidRPr="00252293">
              <w:rPr>
                <w:rFonts w:asciiTheme="minorHAnsi" w:hAnsiTheme="minorHAnsi"/>
                <w:sz w:val="18"/>
                <w:szCs w:val="18"/>
              </w:rPr>
              <w:t>, raised creatinine levels, nausea including vomiting, MDA/AML, new primary malignancies, pneumonitis, exposure in the elderly, exposure in ethnically diverse groups, long-term exposure to/potential toxicity to olaparib</w:t>
            </w:r>
          </w:p>
        </w:tc>
        <w:tc>
          <w:tcPr>
            <w:tcW w:w="1688" w:type="dxa"/>
          </w:tcPr>
          <w:p w14:paraId="664B7A78" w14:textId="77777777"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Final report: 2Q2020</w:t>
            </w:r>
          </w:p>
        </w:tc>
        <w:tc>
          <w:tcPr>
            <w:tcW w:w="1272" w:type="dxa"/>
          </w:tcPr>
          <w:p w14:paraId="78A63358" w14:textId="77777777" w:rsidR="00B6439C" w:rsidRPr="00252293" w:rsidRDefault="00B6439C" w:rsidP="0078603C">
            <w:pPr>
              <w:ind w:left="0" w:right="0"/>
              <w:rPr>
                <w:rFonts w:asciiTheme="minorHAnsi" w:hAnsiTheme="minorHAnsi"/>
                <w:sz w:val="18"/>
                <w:szCs w:val="18"/>
              </w:rPr>
            </w:pPr>
            <w:r>
              <w:rPr>
                <w:rFonts w:asciiTheme="minorHAnsi" w:hAnsiTheme="minorHAnsi"/>
                <w:sz w:val="18"/>
                <w:szCs w:val="18"/>
              </w:rPr>
              <w:t>Nil (in planning phase)</w:t>
            </w:r>
          </w:p>
        </w:tc>
      </w:tr>
      <w:tr w:rsidR="00B6439C" w14:paraId="6B5F5430" w14:textId="77777777" w:rsidTr="0078603C">
        <w:tc>
          <w:tcPr>
            <w:tcW w:w="1555" w:type="dxa"/>
          </w:tcPr>
          <w:p w14:paraId="4FF33AB7" w14:textId="77777777"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D0816C000</w:t>
            </w:r>
            <w:r>
              <w:rPr>
                <w:rFonts w:asciiTheme="minorHAnsi" w:hAnsiTheme="minorHAnsi"/>
                <w:sz w:val="18"/>
                <w:szCs w:val="18"/>
              </w:rPr>
              <w:t>0</w:t>
            </w:r>
            <w:r w:rsidRPr="00252293">
              <w:rPr>
                <w:rFonts w:asciiTheme="minorHAnsi" w:hAnsiTheme="minorHAnsi"/>
                <w:sz w:val="18"/>
                <w:szCs w:val="18"/>
              </w:rPr>
              <w:t>5</w:t>
            </w:r>
          </w:p>
        </w:tc>
        <w:tc>
          <w:tcPr>
            <w:tcW w:w="3083" w:type="dxa"/>
          </w:tcPr>
          <w:p w14:paraId="412068E1" w14:textId="77777777"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 xml:space="preserve">Open-label, non-randomised, multicentre, comparative </w:t>
            </w:r>
            <w:r w:rsidR="003E2109">
              <w:rPr>
                <w:rFonts w:asciiTheme="minorHAnsi" w:hAnsiTheme="minorHAnsi"/>
                <w:sz w:val="18"/>
                <w:szCs w:val="18"/>
              </w:rPr>
              <w:t>Phase</w:t>
            </w:r>
            <w:r w:rsidRPr="00252293">
              <w:rPr>
                <w:rFonts w:asciiTheme="minorHAnsi" w:hAnsiTheme="minorHAnsi"/>
                <w:sz w:val="18"/>
                <w:szCs w:val="18"/>
              </w:rPr>
              <w:t xml:space="preserve"> I study to the determine the </w:t>
            </w:r>
            <w:r w:rsidRPr="00252293">
              <w:rPr>
                <w:rFonts w:asciiTheme="minorHAnsi" w:hAnsiTheme="minorHAnsi"/>
                <w:sz w:val="18"/>
                <w:szCs w:val="18"/>
              </w:rPr>
              <w:lastRenderedPageBreak/>
              <w:t>pharmacokinetics, safety and tolerability of olaparib following a single oral 300-mg tablet dose to patients with advanced solid tumours and normal hepatic function or mild or moderate hepatic impairment.</w:t>
            </w:r>
          </w:p>
        </w:tc>
        <w:tc>
          <w:tcPr>
            <w:tcW w:w="2256" w:type="dxa"/>
          </w:tcPr>
          <w:p w14:paraId="136456E2" w14:textId="7A0A2899"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lastRenderedPageBreak/>
              <w:t xml:space="preserve">Provide missing information on exposure in patients with hepatic </w:t>
            </w:r>
            <w:r w:rsidRPr="00252293">
              <w:rPr>
                <w:rFonts w:asciiTheme="minorHAnsi" w:hAnsiTheme="minorHAnsi"/>
                <w:sz w:val="18"/>
                <w:szCs w:val="18"/>
              </w:rPr>
              <w:lastRenderedPageBreak/>
              <w:t>impairment</w:t>
            </w:r>
            <w:r w:rsidR="00DF5CF8">
              <w:rPr>
                <w:rFonts w:asciiTheme="minorHAnsi" w:hAnsiTheme="minorHAnsi"/>
                <w:sz w:val="18"/>
                <w:szCs w:val="18"/>
              </w:rPr>
              <w:t>.</w:t>
            </w:r>
          </w:p>
        </w:tc>
        <w:tc>
          <w:tcPr>
            <w:tcW w:w="1688" w:type="dxa"/>
          </w:tcPr>
          <w:p w14:paraId="0B65D919" w14:textId="77777777"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lastRenderedPageBreak/>
              <w:t>Final report: 4Q2016</w:t>
            </w:r>
          </w:p>
        </w:tc>
        <w:tc>
          <w:tcPr>
            <w:tcW w:w="1272" w:type="dxa"/>
          </w:tcPr>
          <w:p w14:paraId="5D464203" w14:textId="77777777" w:rsidR="00B6439C" w:rsidRPr="00252293" w:rsidRDefault="00B6439C" w:rsidP="0078603C">
            <w:pPr>
              <w:ind w:left="0" w:right="0"/>
              <w:rPr>
                <w:rFonts w:asciiTheme="minorHAnsi" w:hAnsiTheme="minorHAnsi"/>
                <w:sz w:val="18"/>
                <w:szCs w:val="18"/>
              </w:rPr>
            </w:pPr>
            <w:r>
              <w:rPr>
                <w:rFonts w:asciiTheme="minorHAnsi" w:hAnsiTheme="minorHAnsi"/>
                <w:sz w:val="18"/>
                <w:szCs w:val="18"/>
              </w:rPr>
              <w:t>0</w:t>
            </w:r>
          </w:p>
        </w:tc>
      </w:tr>
      <w:tr w:rsidR="00B6439C" w14:paraId="33620832" w14:textId="77777777" w:rsidTr="0078603C">
        <w:tc>
          <w:tcPr>
            <w:tcW w:w="1555" w:type="dxa"/>
          </w:tcPr>
          <w:p w14:paraId="432DB33E" w14:textId="77777777"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lastRenderedPageBreak/>
              <w:t>D0816C00006</w:t>
            </w:r>
          </w:p>
        </w:tc>
        <w:tc>
          <w:tcPr>
            <w:tcW w:w="3083" w:type="dxa"/>
          </w:tcPr>
          <w:p w14:paraId="4B422A77" w14:textId="7743420A"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Open-label, non-randomised, multicentre, comparative Phase I study of the pharmacokinetics, safety and tolerability of olap</w:t>
            </w:r>
            <w:r>
              <w:rPr>
                <w:rFonts w:asciiTheme="minorHAnsi" w:hAnsiTheme="minorHAnsi"/>
                <w:sz w:val="18"/>
                <w:szCs w:val="18"/>
              </w:rPr>
              <w:t>a</w:t>
            </w:r>
            <w:r w:rsidRPr="00252293">
              <w:rPr>
                <w:rFonts w:asciiTheme="minorHAnsi" w:hAnsiTheme="minorHAnsi"/>
                <w:sz w:val="18"/>
                <w:szCs w:val="18"/>
              </w:rPr>
              <w:t>rib following a single oral 300-mg tablet dose to patients with advanced solid tumours and normal renal function or renal impairment</w:t>
            </w:r>
            <w:r w:rsidR="00DF5CF8">
              <w:rPr>
                <w:rFonts w:asciiTheme="minorHAnsi" w:hAnsiTheme="minorHAnsi"/>
                <w:sz w:val="18"/>
                <w:szCs w:val="18"/>
              </w:rPr>
              <w:t>.</w:t>
            </w:r>
          </w:p>
        </w:tc>
        <w:tc>
          <w:tcPr>
            <w:tcW w:w="2256" w:type="dxa"/>
          </w:tcPr>
          <w:p w14:paraId="4463E202" w14:textId="72C47ED9"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Provide missing information on exposure in patients with renal impairment</w:t>
            </w:r>
            <w:r w:rsidR="00DF5CF8">
              <w:rPr>
                <w:rFonts w:asciiTheme="minorHAnsi" w:hAnsiTheme="minorHAnsi"/>
                <w:sz w:val="18"/>
                <w:szCs w:val="18"/>
              </w:rPr>
              <w:t>.</w:t>
            </w:r>
          </w:p>
        </w:tc>
        <w:tc>
          <w:tcPr>
            <w:tcW w:w="1688" w:type="dxa"/>
          </w:tcPr>
          <w:p w14:paraId="46E24B35" w14:textId="77777777"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Final report: 4Q2016</w:t>
            </w:r>
          </w:p>
        </w:tc>
        <w:tc>
          <w:tcPr>
            <w:tcW w:w="1272" w:type="dxa"/>
          </w:tcPr>
          <w:p w14:paraId="726BF9FB" w14:textId="77777777" w:rsidR="00B6439C" w:rsidRPr="00252293" w:rsidRDefault="00B6439C" w:rsidP="0078603C">
            <w:pPr>
              <w:ind w:left="0" w:right="0"/>
              <w:rPr>
                <w:rFonts w:asciiTheme="minorHAnsi" w:hAnsiTheme="minorHAnsi"/>
                <w:sz w:val="18"/>
                <w:szCs w:val="18"/>
              </w:rPr>
            </w:pPr>
            <w:r>
              <w:rPr>
                <w:rFonts w:asciiTheme="minorHAnsi" w:hAnsiTheme="minorHAnsi"/>
                <w:sz w:val="18"/>
                <w:szCs w:val="18"/>
              </w:rPr>
              <w:t>0</w:t>
            </w:r>
          </w:p>
        </w:tc>
      </w:tr>
      <w:tr w:rsidR="00B6439C" w14:paraId="362671D1" w14:textId="77777777" w:rsidTr="0078603C">
        <w:tc>
          <w:tcPr>
            <w:tcW w:w="1555" w:type="dxa"/>
          </w:tcPr>
          <w:p w14:paraId="52E1434D" w14:textId="77777777"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D0818C00001</w:t>
            </w:r>
          </w:p>
        </w:tc>
        <w:tc>
          <w:tcPr>
            <w:tcW w:w="3083" w:type="dxa"/>
          </w:tcPr>
          <w:p w14:paraId="26DFB259" w14:textId="6A497988"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Phase III randomised, double-blind, placebo-controlled multicentre study of olaparib maintenance monotherapy in patients with BRCA-mutated advanced (FIGO Stage III-IV) ovarian cancer following first lie platinum based chemotherapy</w:t>
            </w:r>
            <w:r w:rsidR="00DF5CF8">
              <w:rPr>
                <w:rFonts w:asciiTheme="minorHAnsi" w:hAnsiTheme="minorHAnsi"/>
                <w:sz w:val="18"/>
                <w:szCs w:val="18"/>
              </w:rPr>
              <w:t>.</w:t>
            </w:r>
          </w:p>
        </w:tc>
        <w:tc>
          <w:tcPr>
            <w:tcW w:w="2256" w:type="dxa"/>
          </w:tcPr>
          <w:p w14:paraId="6EC9BDD8" w14:textId="1FC85902"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Anaemia, thrombocyto</w:t>
            </w:r>
            <w:r w:rsidR="0041711A">
              <w:rPr>
                <w:rFonts w:asciiTheme="minorHAnsi" w:hAnsiTheme="minorHAnsi"/>
                <w:sz w:val="18"/>
                <w:szCs w:val="18"/>
              </w:rPr>
              <w:t>paenia</w:t>
            </w:r>
            <w:r w:rsidRPr="00252293">
              <w:rPr>
                <w:rFonts w:asciiTheme="minorHAnsi" w:hAnsiTheme="minorHAnsi"/>
                <w:sz w:val="18"/>
                <w:szCs w:val="18"/>
              </w:rPr>
              <w:t>, neutro</w:t>
            </w:r>
            <w:r w:rsidR="0041711A">
              <w:rPr>
                <w:rFonts w:asciiTheme="minorHAnsi" w:hAnsiTheme="minorHAnsi"/>
                <w:sz w:val="18"/>
                <w:szCs w:val="18"/>
              </w:rPr>
              <w:t>paenia</w:t>
            </w:r>
            <w:r w:rsidRPr="00252293">
              <w:rPr>
                <w:rFonts w:asciiTheme="minorHAnsi" w:hAnsiTheme="minorHAnsi"/>
                <w:sz w:val="18"/>
                <w:szCs w:val="18"/>
              </w:rPr>
              <w:t>, raised creatinine levels, nausea including vomiting, MDA/AML, new primary malignancies, pneumonitis, exposure in the elderly, exposure in ethnically diverse groups, long-term exposure to/potential toxicity to olaparib</w:t>
            </w:r>
            <w:r w:rsidR="00DF5CF8">
              <w:rPr>
                <w:rFonts w:asciiTheme="minorHAnsi" w:hAnsiTheme="minorHAnsi"/>
                <w:sz w:val="18"/>
                <w:szCs w:val="18"/>
              </w:rPr>
              <w:t>.</w:t>
            </w:r>
          </w:p>
        </w:tc>
        <w:tc>
          <w:tcPr>
            <w:tcW w:w="1688" w:type="dxa"/>
          </w:tcPr>
          <w:p w14:paraId="4C850C8A" w14:textId="77777777"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Final report: 1Q2022</w:t>
            </w:r>
          </w:p>
        </w:tc>
        <w:tc>
          <w:tcPr>
            <w:tcW w:w="1272" w:type="dxa"/>
          </w:tcPr>
          <w:p w14:paraId="273EFAC0" w14:textId="77777777" w:rsidR="00B6439C" w:rsidRPr="00252293" w:rsidRDefault="00B6439C" w:rsidP="0078603C">
            <w:pPr>
              <w:ind w:left="0" w:right="0"/>
              <w:rPr>
                <w:rFonts w:asciiTheme="minorHAnsi" w:hAnsiTheme="minorHAnsi"/>
                <w:sz w:val="18"/>
                <w:szCs w:val="18"/>
              </w:rPr>
            </w:pPr>
            <w:r>
              <w:rPr>
                <w:rFonts w:asciiTheme="minorHAnsi" w:hAnsiTheme="minorHAnsi"/>
                <w:sz w:val="18"/>
                <w:szCs w:val="18"/>
              </w:rPr>
              <w:t>10 (enrolment estimated to cease in February 2015)</w:t>
            </w:r>
          </w:p>
        </w:tc>
      </w:tr>
      <w:tr w:rsidR="00B6439C" w14:paraId="7A901074" w14:textId="77777777" w:rsidTr="0078603C">
        <w:tc>
          <w:tcPr>
            <w:tcW w:w="1555" w:type="dxa"/>
          </w:tcPr>
          <w:p w14:paraId="7BE91F23" w14:textId="77777777"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D0816C00009</w:t>
            </w:r>
          </w:p>
        </w:tc>
        <w:tc>
          <w:tcPr>
            <w:tcW w:w="3083" w:type="dxa"/>
          </w:tcPr>
          <w:p w14:paraId="395C751B" w14:textId="2542F5DD"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 xml:space="preserve">Randomised, double-blind, placebo-controlled multicentre study of olaparib maintenance monotherapy in patients with platinum sensitive relapsed ovarian cancer who are in complete or partial response following platinum based chemotherapy and whose tumours carry loss of function somatic BRCA mutation(s) and patients with loss of function mutation(s) in tumour </w:t>
            </w:r>
            <w:r w:rsidRPr="00252293">
              <w:rPr>
                <w:rFonts w:asciiTheme="minorHAnsi" w:hAnsiTheme="minorHAnsi"/>
                <w:sz w:val="18"/>
                <w:szCs w:val="18"/>
              </w:rPr>
              <w:lastRenderedPageBreak/>
              <w:t>homologous recombination repair-associated genes</w:t>
            </w:r>
            <w:r w:rsidR="00DF5CF8">
              <w:rPr>
                <w:rFonts w:asciiTheme="minorHAnsi" w:hAnsiTheme="minorHAnsi"/>
                <w:sz w:val="18"/>
                <w:szCs w:val="18"/>
              </w:rPr>
              <w:t>.</w:t>
            </w:r>
          </w:p>
        </w:tc>
        <w:tc>
          <w:tcPr>
            <w:tcW w:w="2256" w:type="dxa"/>
          </w:tcPr>
          <w:p w14:paraId="2B055C29" w14:textId="640B6C34"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lastRenderedPageBreak/>
              <w:t>Anaemia, thrombocyto</w:t>
            </w:r>
            <w:r w:rsidR="0041711A">
              <w:rPr>
                <w:rFonts w:asciiTheme="minorHAnsi" w:hAnsiTheme="minorHAnsi"/>
                <w:sz w:val="18"/>
                <w:szCs w:val="18"/>
              </w:rPr>
              <w:t>paenia</w:t>
            </w:r>
            <w:r w:rsidRPr="00252293">
              <w:rPr>
                <w:rFonts w:asciiTheme="minorHAnsi" w:hAnsiTheme="minorHAnsi"/>
                <w:sz w:val="18"/>
                <w:szCs w:val="18"/>
              </w:rPr>
              <w:t>, neutro</w:t>
            </w:r>
            <w:r w:rsidR="0041711A">
              <w:rPr>
                <w:rFonts w:asciiTheme="minorHAnsi" w:hAnsiTheme="minorHAnsi"/>
                <w:sz w:val="18"/>
                <w:szCs w:val="18"/>
              </w:rPr>
              <w:t>paenia</w:t>
            </w:r>
            <w:r w:rsidRPr="00252293">
              <w:rPr>
                <w:rFonts w:asciiTheme="minorHAnsi" w:hAnsiTheme="minorHAnsi"/>
                <w:sz w:val="18"/>
                <w:szCs w:val="18"/>
              </w:rPr>
              <w:t>, raised creatinine levels, nausea including vomiting, MDA/AML, new primary malignancies, pneumonitis, exposure in the elderly, exposure in ethnically diverse groups, long-term exposure to/potential toxicity to olaparib</w:t>
            </w:r>
            <w:r w:rsidR="00DF5CF8">
              <w:rPr>
                <w:rFonts w:asciiTheme="minorHAnsi" w:hAnsiTheme="minorHAnsi"/>
                <w:sz w:val="18"/>
                <w:szCs w:val="18"/>
              </w:rPr>
              <w:t>.</w:t>
            </w:r>
          </w:p>
        </w:tc>
        <w:tc>
          <w:tcPr>
            <w:tcW w:w="1688" w:type="dxa"/>
          </w:tcPr>
          <w:p w14:paraId="07AD5216" w14:textId="77777777"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Final report: 2Q2020</w:t>
            </w:r>
          </w:p>
        </w:tc>
        <w:tc>
          <w:tcPr>
            <w:tcW w:w="1272" w:type="dxa"/>
          </w:tcPr>
          <w:p w14:paraId="1F32CA85" w14:textId="77777777" w:rsidR="00B6439C" w:rsidRPr="00252293" w:rsidRDefault="00B6439C" w:rsidP="0078603C">
            <w:pPr>
              <w:ind w:left="0" w:right="0"/>
              <w:rPr>
                <w:rFonts w:asciiTheme="minorHAnsi" w:hAnsiTheme="minorHAnsi"/>
                <w:sz w:val="18"/>
                <w:szCs w:val="18"/>
              </w:rPr>
            </w:pPr>
            <w:r>
              <w:rPr>
                <w:rFonts w:asciiTheme="minorHAnsi" w:hAnsiTheme="minorHAnsi"/>
                <w:sz w:val="18"/>
                <w:szCs w:val="18"/>
              </w:rPr>
              <w:t>Nil (in planning phase)</w:t>
            </w:r>
          </w:p>
        </w:tc>
      </w:tr>
      <w:tr w:rsidR="00B6439C" w14:paraId="074FDC54" w14:textId="77777777" w:rsidTr="0078603C">
        <w:tc>
          <w:tcPr>
            <w:tcW w:w="1555" w:type="dxa"/>
          </w:tcPr>
          <w:p w14:paraId="03D41E91" w14:textId="77777777"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lastRenderedPageBreak/>
              <w:t>D081CC00006 BIG 6-13, NSABP B-55</w:t>
            </w:r>
          </w:p>
        </w:tc>
        <w:tc>
          <w:tcPr>
            <w:tcW w:w="3083" w:type="dxa"/>
          </w:tcPr>
          <w:p w14:paraId="7BA54DDB" w14:textId="14DED323"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Phase III randomised, double blind, parallel group, placebo-controlled multicentre study to assess the efficacy and safety of olap</w:t>
            </w:r>
            <w:r>
              <w:rPr>
                <w:rFonts w:asciiTheme="minorHAnsi" w:hAnsiTheme="minorHAnsi"/>
                <w:sz w:val="18"/>
                <w:szCs w:val="18"/>
              </w:rPr>
              <w:t>a</w:t>
            </w:r>
            <w:r w:rsidRPr="00252293">
              <w:rPr>
                <w:rFonts w:asciiTheme="minorHAnsi" w:hAnsiTheme="minorHAnsi"/>
                <w:sz w:val="18"/>
                <w:szCs w:val="18"/>
              </w:rPr>
              <w:t>rib versus placebo as adjuvant treatment in patients with germline BRCA1/@ mutations and high risk HER2 negative primary breast cancer who have completed definitive local treatment and neoadjuvant or adjuvant chemotherapy</w:t>
            </w:r>
            <w:r w:rsidR="00DF5CF8">
              <w:rPr>
                <w:rFonts w:asciiTheme="minorHAnsi" w:hAnsiTheme="minorHAnsi"/>
                <w:sz w:val="18"/>
                <w:szCs w:val="18"/>
              </w:rPr>
              <w:t>.</w:t>
            </w:r>
          </w:p>
        </w:tc>
        <w:tc>
          <w:tcPr>
            <w:tcW w:w="2256" w:type="dxa"/>
          </w:tcPr>
          <w:p w14:paraId="0FA8B8B5" w14:textId="4356B3DD"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Anaemia, thrombocyto</w:t>
            </w:r>
            <w:r w:rsidR="0041711A">
              <w:rPr>
                <w:rFonts w:asciiTheme="minorHAnsi" w:hAnsiTheme="minorHAnsi"/>
                <w:sz w:val="18"/>
                <w:szCs w:val="18"/>
              </w:rPr>
              <w:t>paenia</w:t>
            </w:r>
            <w:r w:rsidRPr="00252293">
              <w:rPr>
                <w:rFonts w:asciiTheme="minorHAnsi" w:hAnsiTheme="minorHAnsi"/>
                <w:sz w:val="18"/>
                <w:szCs w:val="18"/>
              </w:rPr>
              <w:t>, neutro</w:t>
            </w:r>
            <w:r w:rsidR="0041711A">
              <w:rPr>
                <w:rFonts w:asciiTheme="minorHAnsi" w:hAnsiTheme="minorHAnsi"/>
                <w:sz w:val="18"/>
                <w:szCs w:val="18"/>
              </w:rPr>
              <w:t>paenia</w:t>
            </w:r>
            <w:r w:rsidRPr="00252293">
              <w:rPr>
                <w:rFonts w:asciiTheme="minorHAnsi" w:hAnsiTheme="minorHAnsi"/>
                <w:sz w:val="18"/>
                <w:szCs w:val="18"/>
              </w:rPr>
              <w:t>, raised creatinine levels, nausea including vomiting, MDA/AML, new primary malignancies, pneumonitis, exposure in the elderly, exposure in ethnically diverse groups, long-term exposure to/potential toxicity to olaparib</w:t>
            </w:r>
            <w:r w:rsidR="00DF5CF8">
              <w:rPr>
                <w:rFonts w:asciiTheme="minorHAnsi" w:hAnsiTheme="minorHAnsi"/>
                <w:sz w:val="18"/>
                <w:szCs w:val="18"/>
              </w:rPr>
              <w:t>.</w:t>
            </w:r>
          </w:p>
        </w:tc>
        <w:tc>
          <w:tcPr>
            <w:tcW w:w="1688" w:type="dxa"/>
          </w:tcPr>
          <w:p w14:paraId="56C2ABD4" w14:textId="77777777"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Final report: 2Q2028</w:t>
            </w:r>
          </w:p>
        </w:tc>
        <w:tc>
          <w:tcPr>
            <w:tcW w:w="1272" w:type="dxa"/>
          </w:tcPr>
          <w:p w14:paraId="0546C713" w14:textId="77777777" w:rsidR="00B6439C" w:rsidRPr="00252293" w:rsidRDefault="00B6439C" w:rsidP="0078603C">
            <w:pPr>
              <w:ind w:left="0" w:right="0"/>
              <w:rPr>
                <w:rFonts w:asciiTheme="minorHAnsi" w:hAnsiTheme="minorHAnsi"/>
                <w:sz w:val="18"/>
                <w:szCs w:val="18"/>
              </w:rPr>
            </w:pPr>
            <w:r>
              <w:rPr>
                <w:rFonts w:asciiTheme="minorHAnsi" w:hAnsiTheme="minorHAnsi"/>
                <w:sz w:val="18"/>
                <w:szCs w:val="18"/>
              </w:rPr>
              <w:t>0</w:t>
            </w:r>
          </w:p>
        </w:tc>
      </w:tr>
      <w:tr w:rsidR="00B6439C" w14:paraId="2E5C6AEA" w14:textId="77777777" w:rsidTr="0078603C">
        <w:tc>
          <w:tcPr>
            <w:tcW w:w="1555" w:type="dxa"/>
          </w:tcPr>
          <w:p w14:paraId="1DC42D61" w14:textId="77777777"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D0819C00003</w:t>
            </w:r>
          </w:p>
        </w:tc>
        <w:tc>
          <w:tcPr>
            <w:tcW w:w="3083" w:type="dxa"/>
          </w:tcPr>
          <w:p w14:paraId="0A0D91D2" w14:textId="703F106E"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Phase III open label, randomised, controlled multicentre study to assess the efficacy and safety of olaparib monotherapy versus physician’s choice chemotherapy in the treatment of metastatic breast cancer patients with germline BRCA1/2 mutations</w:t>
            </w:r>
            <w:r w:rsidR="00DF5CF8">
              <w:rPr>
                <w:rFonts w:asciiTheme="minorHAnsi" w:hAnsiTheme="minorHAnsi"/>
                <w:sz w:val="18"/>
                <w:szCs w:val="18"/>
              </w:rPr>
              <w:t>.</w:t>
            </w:r>
          </w:p>
        </w:tc>
        <w:tc>
          <w:tcPr>
            <w:tcW w:w="2256" w:type="dxa"/>
          </w:tcPr>
          <w:p w14:paraId="459FE5E1" w14:textId="3E66426C"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Anaemia, thrombocyto</w:t>
            </w:r>
            <w:r w:rsidR="0041711A">
              <w:rPr>
                <w:rFonts w:asciiTheme="minorHAnsi" w:hAnsiTheme="minorHAnsi"/>
                <w:sz w:val="18"/>
                <w:szCs w:val="18"/>
              </w:rPr>
              <w:t>paenia</w:t>
            </w:r>
            <w:r w:rsidRPr="00252293">
              <w:rPr>
                <w:rFonts w:asciiTheme="minorHAnsi" w:hAnsiTheme="minorHAnsi"/>
                <w:sz w:val="18"/>
                <w:szCs w:val="18"/>
              </w:rPr>
              <w:t>, neutro</w:t>
            </w:r>
            <w:r w:rsidR="0041711A">
              <w:rPr>
                <w:rFonts w:asciiTheme="minorHAnsi" w:hAnsiTheme="minorHAnsi"/>
                <w:sz w:val="18"/>
                <w:szCs w:val="18"/>
              </w:rPr>
              <w:t>paenia</w:t>
            </w:r>
            <w:r w:rsidRPr="00252293">
              <w:rPr>
                <w:rFonts w:asciiTheme="minorHAnsi" w:hAnsiTheme="minorHAnsi"/>
                <w:sz w:val="18"/>
                <w:szCs w:val="18"/>
              </w:rPr>
              <w:t>, raised creatinine levels, nausea including vomiting, MDA/AML, new primary malignancies, pneumonitis, exposure in the elderly, exposure in ethnically diverse groups, long-term exposure to/potential toxicity to olaparib</w:t>
            </w:r>
            <w:r w:rsidR="00DF5CF8">
              <w:rPr>
                <w:rFonts w:asciiTheme="minorHAnsi" w:hAnsiTheme="minorHAnsi"/>
                <w:sz w:val="18"/>
                <w:szCs w:val="18"/>
              </w:rPr>
              <w:t>.</w:t>
            </w:r>
          </w:p>
        </w:tc>
        <w:tc>
          <w:tcPr>
            <w:tcW w:w="1688" w:type="dxa"/>
          </w:tcPr>
          <w:p w14:paraId="2242B23F" w14:textId="77777777"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Final report: 4Q2018</w:t>
            </w:r>
          </w:p>
        </w:tc>
        <w:tc>
          <w:tcPr>
            <w:tcW w:w="1272" w:type="dxa"/>
          </w:tcPr>
          <w:p w14:paraId="73BCD5A1" w14:textId="77777777" w:rsidR="00B6439C" w:rsidRPr="00252293" w:rsidRDefault="00B6439C" w:rsidP="0078603C">
            <w:pPr>
              <w:ind w:left="0" w:right="0"/>
              <w:rPr>
                <w:rFonts w:asciiTheme="minorHAnsi" w:hAnsiTheme="minorHAnsi"/>
                <w:sz w:val="18"/>
                <w:szCs w:val="18"/>
              </w:rPr>
            </w:pPr>
            <w:r>
              <w:rPr>
                <w:rFonts w:asciiTheme="minorHAnsi" w:hAnsiTheme="minorHAnsi"/>
                <w:sz w:val="18"/>
                <w:szCs w:val="18"/>
              </w:rPr>
              <w:t>0</w:t>
            </w:r>
          </w:p>
        </w:tc>
      </w:tr>
      <w:tr w:rsidR="00B6439C" w14:paraId="68F2968E" w14:textId="77777777" w:rsidTr="0078603C">
        <w:tc>
          <w:tcPr>
            <w:tcW w:w="1555" w:type="dxa"/>
          </w:tcPr>
          <w:p w14:paraId="2A7E5C5D" w14:textId="77777777"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Study number to be confirmed</w:t>
            </w:r>
          </w:p>
        </w:tc>
        <w:tc>
          <w:tcPr>
            <w:tcW w:w="3083" w:type="dxa"/>
          </w:tcPr>
          <w:p w14:paraId="4CAA2EF5" w14:textId="77777777"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Study to collect and/or retrieve prospective data from sizeable patient cohorts representing real world evidence from relevant countries, to further assess the safety concern of MDS/AML in ovarian cancer patients. Study synopsis to be submitted within 3 months of marketing approval.</w:t>
            </w:r>
          </w:p>
        </w:tc>
        <w:tc>
          <w:tcPr>
            <w:tcW w:w="2256" w:type="dxa"/>
          </w:tcPr>
          <w:p w14:paraId="37D8384F" w14:textId="77777777"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MD</w:t>
            </w:r>
            <w:r>
              <w:rPr>
                <w:rFonts w:asciiTheme="minorHAnsi" w:hAnsiTheme="minorHAnsi"/>
                <w:sz w:val="18"/>
                <w:szCs w:val="18"/>
              </w:rPr>
              <w:t>S</w:t>
            </w:r>
            <w:r w:rsidRPr="00252293">
              <w:rPr>
                <w:rFonts w:asciiTheme="minorHAnsi" w:hAnsiTheme="minorHAnsi"/>
                <w:sz w:val="18"/>
                <w:szCs w:val="18"/>
              </w:rPr>
              <w:t>/AML</w:t>
            </w:r>
          </w:p>
        </w:tc>
        <w:tc>
          <w:tcPr>
            <w:tcW w:w="1688" w:type="dxa"/>
          </w:tcPr>
          <w:p w14:paraId="7CF4F73A" w14:textId="77777777" w:rsidR="00B6439C" w:rsidRPr="00252293" w:rsidRDefault="00B6439C" w:rsidP="0078603C">
            <w:pPr>
              <w:ind w:left="0" w:right="0"/>
              <w:rPr>
                <w:rFonts w:asciiTheme="minorHAnsi" w:hAnsiTheme="minorHAnsi"/>
                <w:sz w:val="18"/>
                <w:szCs w:val="18"/>
              </w:rPr>
            </w:pPr>
            <w:r w:rsidRPr="00252293">
              <w:rPr>
                <w:rFonts w:asciiTheme="minorHAnsi" w:hAnsiTheme="minorHAnsi"/>
                <w:sz w:val="18"/>
                <w:szCs w:val="18"/>
              </w:rPr>
              <w:t>Study start: 3Q2015</w:t>
            </w:r>
          </w:p>
        </w:tc>
        <w:tc>
          <w:tcPr>
            <w:tcW w:w="1272" w:type="dxa"/>
          </w:tcPr>
          <w:p w14:paraId="5CBD65AD" w14:textId="77777777" w:rsidR="00B6439C" w:rsidRPr="00252293" w:rsidRDefault="00B6439C" w:rsidP="0078603C">
            <w:pPr>
              <w:ind w:left="0" w:right="0"/>
              <w:rPr>
                <w:rFonts w:asciiTheme="minorHAnsi" w:hAnsiTheme="minorHAnsi"/>
                <w:sz w:val="18"/>
                <w:szCs w:val="18"/>
              </w:rPr>
            </w:pPr>
            <w:r>
              <w:rPr>
                <w:rFonts w:asciiTheme="minorHAnsi" w:hAnsiTheme="minorHAnsi"/>
                <w:sz w:val="18"/>
                <w:szCs w:val="18"/>
              </w:rPr>
              <w:t>0</w:t>
            </w:r>
          </w:p>
        </w:tc>
      </w:tr>
    </w:tbl>
    <w:p w14:paraId="7433E103" w14:textId="77777777" w:rsidR="0078603C" w:rsidRPr="0078603C" w:rsidRDefault="0078603C" w:rsidP="0078603C">
      <w:r w:rsidRPr="0078603C">
        <w:t>In addition, the sponsor identified additional pharmacovigilance activities to address specific safety concerns:</w:t>
      </w:r>
    </w:p>
    <w:p w14:paraId="054C2595" w14:textId="77777777" w:rsidR="0078603C" w:rsidRPr="0078603C" w:rsidRDefault="0078603C" w:rsidP="0078603C">
      <w:pPr>
        <w:pStyle w:val="ListBullet"/>
      </w:pPr>
      <w:r w:rsidRPr="0078603C">
        <w:t xml:space="preserve">Future clinical studies with olaparib will be undertaken using the tablet formulation. The tablet dose selected for Phase III studies (300 mg </w:t>
      </w:r>
      <w:r w:rsidR="00214786">
        <w:t>BD</w:t>
      </w:r>
      <w:r w:rsidRPr="0078603C">
        <w:t xml:space="preserve">) was considered to be clinically comparable to 400 mg </w:t>
      </w:r>
      <w:r w:rsidR="00214786">
        <w:t>BD</w:t>
      </w:r>
      <w:r w:rsidRPr="0078603C">
        <w:t xml:space="preserve"> olaparib capsules and therefore it was considered </w:t>
      </w:r>
      <w:r w:rsidRPr="0078603C">
        <w:lastRenderedPageBreak/>
        <w:t>appropriate to evaluate important identified and potential risks further in Phase III studies using the tablet formulation. Further evaluation of important identified and potential risks in clinical studies will be based on clinical data generated with the tablet formulation.</w:t>
      </w:r>
    </w:p>
    <w:p w14:paraId="554A7169" w14:textId="1A2F2F59" w:rsidR="0078603C" w:rsidRPr="0078603C" w:rsidRDefault="0078603C" w:rsidP="0078603C">
      <w:pPr>
        <w:pStyle w:val="ListBullet"/>
      </w:pPr>
      <w:r w:rsidRPr="0078603C">
        <w:t>Four ongoing Phase III stu</w:t>
      </w:r>
      <w:r w:rsidR="00175320">
        <w:t>dies (</w:t>
      </w:r>
      <w:r w:rsidR="006F6C54">
        <w:t xml:space="preserve">Studies </w:t>
      </w:r>
      <w:r w:rsidR="00175320">
        <w:t>D0816C00002</w:t>
      </w:r>
      <w:r w:rsidRPr="0078603C">
        <w:t>, D0818C00001, D081CC0</w:t>
      </w:r>
      <w:r w:rsidR="00175320">
        <w:t>0006</w:t>
      </w:r>
      <w:r w:rsidR="006F6C54">
        <w:t xml:space="preserve"> and</w:t>
      </w:r>
      <w:r w:rsidR="00175320">
        <w:t xml:space="preserve"> D0819C00003</w:t>
      </w:r>
      <w:r w:rsidRPr="0078603C">
        <w:t>) will provide additional data to help characterise the important potential risks of MDS/AML, new primary malignancies, pneumonitis; and the identified risks of haematological toxicity (anaemia, thrombocytop</w:t>
      </w:r>
      <w:r w:rsidR="006F6C54">
        <w:t>a</w:t>
      </w:r>
      <w:r w:rsidRPr="0078603C">
        <w:t>enia and neutrop</w:t>
      </w:r>
      <w:r w:rsidR="006F6C54">
        <w:t>a</w:t>
      </w:r>
      <w:r w:rsidRPr="0078603C">
        <w:t>enia), raised creatinine levels and nausea (including vomiting). Two further studies in patients with ovarian cancer are planned to start in 2015 (Studies</w:t>
      </w:r>
      <w:r w:rsidR="006F6C54">
        <w:t> </w:t>
      </w:r>
      <w:r w:rsidRPr="0078603C">
        <w:t>D081</w:t>
      </w:r>
      <w:r w:rsidR="00175320">
        <w:t>6C00009 and D0816C0010</w:t>
      </w:r>
      <w:r w:rsidRPr="0078603C">
        <w:t>).</w:t>
      </w:r>
    </w:p>
    <w:p w14:paraId="23EDB066" w14:textId="77777777" w:rsidR="0078603C" w:rsidRPr="0078603C" w:rsidRDefault="0078603C" w:rsidP="0078603C">
      <w:pPr>
        <w:pStyle w:val="ListBullet"/>
      </w:pPr>
      <w:r w:rsidRPr="0078603C">
        <w:t xml:space="preserve">In addition an annual progress report will be provided with an assessment of the emerging safety profile in patient subgroups by </w:t>
      </w:r>
      <w:proofErr w:type="spellStart"/>
      <w:r w:rsidRPr="0078603C">
        <w:t>gBRCA</w:t>
      </w:r>
      <w:proofErr w:type="spellEnd"/>
      <w:r w:rsidRPr="0078603C">
        <w:t xml:space="preserve"> status based on blinded data from patients with ovarian or breast cancer, participating in these ongoing Phase III studies.</w:t>
      </w:r>
    </w:p>
    <w:p w14:paraId="7094F811" w14:textId="77777777" w:rsidR="0078603C" w:rsidRPr="0078603C" w:rsidRDefault="0078603C" w:rsidP="0078603C">
      <w:r w:rsidRPr="0078603C">
        <w:t>The following is included by the sponsor for post-authorisation efficacy and safety</w:t>
      </w:r>
      <w:r w:rsidR="00F03EBB">
        <w:t xml:space="preserve"> studies as shown in Table 13</w:t>
      </w:r>
      <w:r>
        <w:t>.</w:t>
      </w:r>
    </w:p>
    <w:p w14:paraId="1DFD9B2A" w14:textId="77777777" w:rsidR="00EC2BC5" w:rsidRDefault="00F03EBB" w:rsidP="00F12C72">
      <w:pPr>
        <w:pStyle w:val="Tabletitle0"/>
      </w:pPr>
      <w:r>
        <w:t>Table 13</w:t>
      </w:r>
      <w:r w:rsidR="0078603C">
        <w:t xml:space="preserve">: </w:t>
      </w:r>
      <w:r>
        <w:t>P</w:t>
      </w:r>
      <w:r w:rsidR="0078603C" w:rsidRPr="0078603C">
        <w:t>ost-authorisation efficacy and safety</w:t>
      </w:r>
      <w:r w:rsidR="0078603C">
        <w:t xml:space="preserve"> studies</w:t>
      </w:r>
    </w:p>
    <w:tbl>
      <w:tblPr>
        <w:tblStyle w:val="TableTGAblue"/>
        <w:tblW w:w="0" w:type="auto"/>
        <w:tblLook w:val="04A0" w:firstRow="1" w:lastRow="0" w:firstColumn="1" w:lastColumn="0" w:noHBand="0" w:noVBand="1"/>
      </w:tblPr>
      <w:tblGrid>
        <w:gridCol w:w="1781"/>
        <w:gridCol w:w="1759"/>
        <w:gridCol w:w="1797"/>
        <w:gridCol w:w="1652"/>
        <w:gridCol w:w="1731"/>
      </w:tblGrid>
      <w:tr w:rsidR="0078603C" w:rsidRPr="0053771E" w14:paraId="3E9392B8" w14:textId="77777777" w:rsidTr="008C6418">
        <w:trPr>
          <w:cnfStyle w:val="100000000000" w:firstRow="1" w:lastRow="0" w:firstColumn="0" w:lastColumn="0" w:oddVBand="0" w:evenVBand="0" w:oddHBand="0" w:evenHBand="0" w:firstRowFirstColumn="0" w:firstRowLastColumn="0" w:lastRowFirstColumn="0" w:lastRowLastColumn="0"/>
        </w:trPr>
        <w:tc>
          <w:tcPr>
            <w:tcW w:w="1781" w:type="dxa"/>
          </w:tcPr>
          <w:p w14:paraId="25365ED2" w14:textId="77777777" w:rsidR="0078603C" w:rsidRPr="0053771E" w:rsidRDefault="0078603C" w:rsidP="0078603C">
            <w:pPr>
              <w:ind w:left="0" w:right="0"/>
              <w:rPr>
                <w:rFonts w:asciiTheme="minorHAnsi" w:hAnsiTheme="minorHAnsi"/>
                <w:b w:val="0"/>
                <w:sz w:val="18"/>
                <w:szCs w:val="18"/>
              </w:rPr>
            </w:pPr>
            <w:r w:rsidRPr="0053771E">
              <w:rPr>
                <w:rFonts w:asciiTheme="minorHAnsi" w:hAnsiTheme="minorHAnsi"/>
                <w:sz w:val="18"/>
                <w:szCs w:val="18"/>
              </w:rPr>
              <w:t>Study</w:t>
            </w:r>
          </w:p>
        </w:tc>
        <w:tc>
          <w:tcPr>
            <w:tcW w:w="1759" w:type="dxa"/>
          </w:tcPr>
          <w:p w14:paraId="31E0597C" w14:textId="77777777" w:rsidR="0078603C" w:rsidRPr="0053771E" w:rsidRDefault="0078603C" w:rsidP="0078603C">
            <w:pPr>
              <w:ind w:left="0" w:right="0"/>
              <w:rPr>
                <w:rFonts w:asciiTheme="minorHAnsi" w:hAnsiTheme="minorHAnsi"/>
                <w:b w:val="0"/>
                <w:sz w:val="18"/>
                <w:szCs w:val="18"/>
              </w:rPr>
            </w:pPr>
            <w:r>
              <w:rPr>
                <w:rFonts w:asciiTheme="minorHAnsi" w:hAnsiTheme="minorHAnsi"/>
                <w:sz w:val="18"/>
                <w:szCs w:val="18"/>
              </w:rPr>
              <w:t xml:space="preserve">Safety </w:t>
            </w:r>
            <w:r w:rsidRPr="0053771E">
              <w:rPr>
                <w:rFonts w:asciiTheme="minorHAnsi" w:hAnsiTheme="minorHAnsi"/>
                <w:sz w:val="18"/>
                <w:szCs w:val="18"/>
              </w:rPr>
              <w:t>Objectives</w:t>
            </w:r>
          </w:p>
        </w:tc>
        <w:tc>
          <w:tcPr>
            <w:tcW w:w="1797" w:type="dxa"/>
          </w:tcPr>
          <w:p w14:paraId="06D5B08F" w14:textId="77777777" w:rsidR="0078603C" w:rsidRPr="0053771E" w:rsidRDefault="0078603C" w:rsidP="0078603C">
            <w:pPr>
              <w:ind w:left="0" w:right="0"/>
              <w:rPr>
                <w:rFonts w:asciiTheme="minorHAnsi" w:hAnsiTheme="minorHAnsi"/>
                <w:b w:val="0"/>
                <w:sz w:val="18"/>
                <w:szCs w:val="18"/>
              </w:rPr>
            </w:pPr>
            <w:r w:rsidRPr="0053771E">
              <w:rPr>
                <w:rFonts w:asciiTheme="minorHAnsi" w:hAnsiTheme="minorHAnsi"/>
                <w:sz w:val="18"/>
                <w:szCs w:val="18"/>
              </w:rPr>
              <w:t>Efficacy Uncertainties Addressed</w:t>
            </w:r>
          </w:p>
        </w:tc>
        <w:tc>
          <w:tcPr>
            <w:tcW w:w="1652" w:type="dxa"/>
          </w:tcPr>
          <w:p w14:paraId="4EE30E81" w14:textId="77777777" w:rsidR="0078603C" w:rsidRPr="0053771E" w:rsidRDefault="0078603C" w:rsidP="0078603C">
            <w:pPr>
              <w:ind w:left="0" w:right="0"/>
              <w:rPr>
                <w:rFonts w:asciiTheme="minorHAnsi" w:hAnsiTheme="minorHAnsi"/>
                <w:b w:val="0"/>
                <w:sz w:val="18"/>
                <w:szCs w:val="18"/>
              </w:rPr>
            </w:pPr>
            <w:r w:rsidRPr="0053771E">
              <w:rPr>
                <w:rFonts w:asciiTheme="minorHAnsi" w:hAnsiTheme="minorHAnsi"/>
                <w:sz w:val="18"/>
                <w:szCs w:val="18"/>
              </w:rPr>
              <w:t>Status</w:t>
            </w:r>
          </w:p>
        </w:tc>
        <w:tc>
          <w:tcPr>
            <w:tcW w:w="1731" w:type="dxa"/>
          </w:tcPr>
          <w:p w14:paraId="77B0394F" w14:textId="77777777" w:rsidR="0078603C" w:rsidRPr="0053771E" w:rsidRDefault="0078603C" w:rsidP="0078603C">
            <w:pPr>
              <w:ind w:left="0" w:right="0"/>
              <w:rPr>
                <w:rFonts w:asciiTheme="minorHAnsi" w:hAnsiTheme="minorHAnsi"/>
                <w:b w:val="0"/>
                <w:sz w:val="18"/>
                <w:szCs w:val="18"/>
              </w:rPr>
            </w:pPr>
            <w:r w:rsidRPr="0053771E">
              <w:rPr>
                <w:rFonts w:asciiTheme="minorHAnsi" w:hAnsiTheme="minorHAnsi"/>
                <w:sz w:val="18"/>
                <w:szCs w:val="18"/>
              </w:rPr>
              <w:t>Date for submission of interim or final reports</w:t>
            </w:r>
          </w:p>
        </w:tc>
      </w:tr>
      <w:tr w:rsidR="0078603C" w:rsidRPr="0053771E" w14:paraId="20787505" w14:textId="77777777" w:rsidTr="008C6418">
        <w:tc>
          <w:tcPr>
            <w:tcW w:w="1781" w:type="dxa"/>
          </w:tcPr>
          <w:p w14:paraId="3E7082F9" w14:textId="77777777" w:rsidR="0078603C" w:rsidRPr="0053771E" w:rsidRDefault="0078603C" w:rsidP="0078603C">
            <w:pPr>
              <w:ind w:left="0" w:right="0"/>
              <w:rPr>
                <w:rFonts w:asciiTheme="minorHAnsi" w:hAnsiTheme="minorHAnsi"/>
                <w:sz w:val="18"/>
                <w:szCs w:val="18"/>
              </w:rPr>
            </w:pPr>
            <w:r>
              <w:rPr>
                <w:rFonts w:asciiTheme="minorHAnsi" w:hAnsiTheme="minorHAnsi"/>
                <w:sz w:val="18"/>
                <w:szCs w:val="18"/>
              </w:rPr>
              <w:t>D0816C00002 Phase III randomised, double-blind, placebo-controlled, multicentre study</w:t>
            </w:r>
          </w:p>
        </w:tc>
        <w:tc>
          <w:tcPr>
            <w:tcW w:w="1759" w:type="dxa"/>
          </w:tcPr>
          <w:p w14:paraId="7D5D5408" w14:textId="77777777" w:rsidR="0078603C" w:rsidRPr="0053771E" w:rsidRDefault="0078603C" w:rsidP="0078603C">
            <w:pPr>
              <w:ind w:left="0" w:right="0"/>
              <w:rPr>
                <w:rFonts w:asciiTheme="minorHAnsi" w:hAnsiTheme="minorHAnsi"/>
                <w:sz w:val="18"/>
                <w:szCs w:val="18"/>
              </w:rPr>
            </w:pPr>
            <w:r>
              <w:rPr>
                <w:rFonts w:asciiTheme="minorHAnsi" w:hAnsiTheme="minorHAnsi"/>
                <w:sz w:val="18"/>
                <w:szCs w:val="18"/>
              </w:rPr>
              <w:t>To assess the safety and tolerability of olaparib maintenance monotherapy</w:t>
            </w:r>
          </w:p>
        </w:tc>
        <w:tc>
          <w:tcPr>
            <w:tcW w:w="1797" w:type="dxa"/>
          </w:tcPr>
          <w:p w14:paraId="006DC559" w14:textId="77777777" w:rsidR="0078603C" w:rsidRPr="0053771E" w:rsidRDefault="0078603C" w:rsidP="0078603C">
            <w:pPr>
              <w:ind w:left="0" w:right="0"/>
              <w:rPr>
                <w:rFonts w:asciiTheme="minorHAnsi" w:hAnsiTheme="minorHAnsi"/>
                <w:sz w:val="18"/>
                <w:szCs w:val="18"/>
              </w:rPr>
            </w:pPr>
            <w:r>
              <w:rPr>
                <w:rFonts w:asciiTheme="minorHAnsi" w:hAnsiTheme="minorHAnsi"/>
                <w:sz w:val="18"/>
                <w:szCs w:val="18"/>
              </w:rPr>
              <w:t>Further evidence of</w:t>
            </w:r>
            <w:r w:rsidR="005D64FB">
              <w:rPr>
                <w:rFonts w:asciiTheme="minorHAnsi" w:hAnsiTheme="minorHAnsi"/>
                <w:sz w:val="18"/>
                <w:szCs w:val="18"/>
              </w:rPr>
              <w:t xml:space="preserve"> </w:t>
            </w:r>
            <w:r>
              <w:rPr>
                <w:rFonts w:asciiTheme="minorHAnsi" w:hAnsiTheme="minorHAnsi"/>
                <w:sz w:val="18"/>
                <w:szCs w:val="18"/>
              </w:rPr>
              <w:t>efficacy and safety in BRCA mutated patients</w:t>
            </w:r>
          </w:p>
        </w:tc>
        <w:tc>
          <w:tcPr>
            <w:tcW w:w="1652" w:type="dxa"/>
          </w:tcPr>
          <w:p w14:paraId="0E38A65A" w14:textId="77777777" w:rsidR="0078603C" w:rsidRPr="0053771E" w:rsidRDefault="0078603C" w:rsidP="0078603C">
            <w:pPr>
              <w:ind w:left="0" w:right="0"/>
              <w:rPr>
                <w:rFonts w:asciiTheme="minorHAnsi" w:hAnsiTheme="minorHAnsi"/>
                <w:sz w:val="18"/>
                <w:szCs w:val="18"/>
              </w:rPr>
            </w:pPr>
            <w:r>
              <w:rPr>
                <w:rFonts w:asciiTheme="minorHAnsi" w:hAnsiTheme="minorHAnsi"/>
                <w:sz w:val="18"/>
                <w:szCs w:val="18"/>
              </w:rPr>
              <w:t>Started</w:t>
            </w:r>
          </w:p>
        </w:tc>
        <w:tc>
          <w:tcPr>
            <w:tcW w:w="1731" w:type="dxa"/>
          </w:tcPr>
          <w:p w14:paraId="2E5274F5" w14:textId="77777777" w:rsidR="0078603C" w:rsidRDefault="0078603C" w:rsidP="0078603C">
            <w:pPr>
              <w:ind w:left="0" w:right="0"/>
              <w:rPr>
                <w:rFonts w:asciiTheme="minorHAnsi" w:hAnsiTheme="minorHAnsi"/>
                <w:sz w:val="18"/>
                <w:szCs w:val="18"/>
              </w:rPr>
            </w:pPr>
            <w:r>
              <w:rPr>
                <w:rFonts w:asciiTheme="minorHAnsi" w:hAnsiTheme="minorHAnsi"/>
                <w:sz w:val="18"/>
                <w:szCs w:val="18"/>
              </w:rPr>
              <w:t>Primary CSR: 1Q2016</w:t>
            </w:r>
          </w:p>
          <w:p w14:paraId="2C5DAB11" w14:textId="77777777" w:rsidR="0078603C" w:rsidRPr="0053771E" w:rsidRDefault="0078603C" w:rsidP="0078603C">
            <w:pPr>
              <w:ind w:left="0" w:right="0"/>
              <w:rPr>
                <w:rFonts w:asciiTheme="minorHAnsi" w:hAnsiTheme="minorHAnsi"/>
                <w:sz w:val="18"/>
                <w:szCs w:val="18"/>
              </w:rPr>
            </w:pPr>
            <w:r>
              <w:rPr>
                <w:rFonts w:asciiTheme="minorHAnsi" w:hAnsiTheme="minorHAnsi"/>
                <w:sz w:val="18"/>
                <w:szCs w:val="18"/>
              </w:rPr>
              <w:t>Final CSR: 4Q2018</w:t>
            </w:r>
          </w:p>
        </w:tc>
      </w:tr>
      <w:tr w:rsidR="0078603C" w:rsidRPr="0053771E" w14:paraId="6C4299DB" w14:textId="77777777" w:rsidTr="008C6418">
        <w:tc>
          <w:tcPr>
            <w:tcW w:w="1781" w:type="dxa"/>
          </w:tcPr>
          <w:p w14:paraId="482E07BC" w14:textId="77777777" w:rsidR="0078603C" w:rsidRPr="0053771E" w:rsidRDefault="0078603C" w:rsidP="0078603C">
            <w:pPr>
              <w:ind w:left="0" w:right="0"/>
              <w:rPr>
                <w:rFonts w:asciiTheme="minorHAnsi" w:hAnsiTheme="minorHAnsi"/>
                <w:sz w:val="18"/>
                <w:szCs w:val="18"/>
              </w:rPr>
            </w:pPr>
            <w:r>
              <w:rPr>
                <w:rFonts w:asciiTheme="minorHAnsi" w:hAnsiTheme="minorHAnsi"/>
                <w:sz w:val="18"/>
                <w:szCs w:val="18"/>
              </w:rPr>
              <w:t>D0818C00001 Phase III randomised, double-blind, placebo-controlled, multicentre study</w:t>
            </w:r>
          </w:p>
        </w:tc>
        <w:tc>
          <w:tcPr>
            <w:tcW w:w="1759" w:type="dxa"/>
          </w:tcPr>
          <w:p w14:paraId="28EBA15C" w14:textId="77777777" w:rsidR="0078603C" w:rsidRPr="0053771E" w:rsidRDefault="0078603C" w:rsidP="0078603C">
            <w:pPr>
              <w:ind w:left="0" w:right="0"/>
              <w:rPr>
                <w:rFonts w:asciiTheme="minorHAnsi" w:hAnsiTheme="minorHAnsi"/>
                <w:sz w:val="18"/>
                <w:szCs w:val="18"/>
              </w:rPr>
            </w:pPr>
            <w:r>
              <w:rPr>
                <w:rFonts w:asciiTheme="minorHAnsi" w:hAnsiTheme="minorHAnsi"/>
                <w:sz w:val="18"/>
                <w:szCs w:val="18"/>
              </w:rPr>
              <w:t>To assess the safety and tolerability of olaparib maintenance monotherapy</w:t>
            </w:r>
          </w:p>
        </w:tc>
        <w:tc>
          <w:tcPr>
            <w:tcW w:w="1797" w:type="dxa"/>
          </w:tcPr>
          <w:p w14:paraId="729A1159" w14:textId="77777777" w:rsidR="0078603C" w:rsidRPr="0053771E" w:rsidRDefault="0078603C" w:rsidP="0078603C">
            <w:pPr>
              <w:ind w:left="0" w:right="0"/>
              <w:rPr>
                <w:rFonts w:asciiTheme="minorHAnsi" w:hAnsiTheme="minorHAnsi"/>
                <w:sz w:val="18"/>
                <w:szCs w:val="18"/>
              </w:rPr>
            </w:pPr>
            <w:r>
              <w:rPr>
                <w:rFonts w:asciiTheme="minorHAnsi" w:hAnsiTheme="minorHAnsi"/>
                <w:sz w:val="18"/>
                <w:szCs w:val="18"/>
              </w:rPr>
              <w:t>Further evidence of</w:t>
            </w:r>
            <w:r w:rsidR="005D64FB">
              <w:rPr>
                <w:rFonts w:asciiTheme="minorHAnsi" w:hAnsiTheme="minorHAnsi"/>
                <w:sz w:val="18"/>
                <w:szCs w:val="18"/>
              </w:rPr>
              <w:t xml:space="preserve"> </w:t>
            </w:r>
            <w:r>
              <w:rPr>
                <w:rFonts w:asciiTheme="minorHAnsi" w:hAnsiTheme="minorHAnsi"/>
                <w:sz w:val="18"/>
                <w:szCs w:val="18"/>
              </w:rPr>
              <w:t>efficacy and safety in BRCA mutated patients</w:t>
            </w:r>
          </w:p>
        </w:tc>
        <w:tc>
          <w:tcPr>
            <w:tcW w:w="1652" w:type="dxa"/>
          </w:tcPr>
          <w:p w14:paraId="1B9875C0" w14:textId="77777777" w:rsidR="0078603C" w:rsidRPr="0053771E" w:rsidRDefault="0078603C" w:rsidP="0078603C">
            <w:pPr>
              <w:ind w:left="0" w:right="0"/>
              <w:rPr>
                <w:rFonts w:asciiTheme="minorHAnsi" w:hAnsiTheme="minorHAnsi"/>
                <w:sz w:val="18"/>
                <w:szCs w:val="18"/>
              </w:rPr>
            </w:pPr>
            <w:r>
              <w:rPr>
                <w:rFonts w:asciiTheme="minorHAnsi" w:hAnsiTheme="minorHAnsi"/>
                <w:sz w:val="18"/>
                <w:szCs w:val="18"/>
              </w:rPr>
              <w:t>Started</w:t>
            </w:r>
          </w:p>
        </w:tc>
        <w:tc>
          <w:tcPr>
            <w:tcW w:w="1731" w:type="dxa"/>
          </w:tcPr>
          <w:p w14:paraId="42EA0850" w14:textId="77777777" w:rsidR="0078603C" w:rsidRDefault="0078603C" w:rsidP="0078603C">
            <w:pPr>
              <w:ind w:left="0" w:right="0"/>
              <w:rPr>
                <w:rFonts w:asciiTheme="minorHAnsi" w:hAnsiTheme="minorHAnsi"/>
                <w:sz w:val="18"/>
                <w:szCs w:val="18"/>
              </w:rPr>
            </w:pPr>
            <w:r>
              <w:rPr>
                <w:rFonts w:asciiTheme="minorHAnsi" w:hAnsiTheme="minorHAnsi"/>
                <w:sz w:val="18"/>
                <w:szCs w:val="18"/>
              </w:rPr>
              <w:t>Primary CSR: 1Q2017</w:t>
            </w:r>
          </w:p>
          <w:p w14:paraId="274DBC6E" w14:textId="77777777" w:rsidR="0078603C" w:rsidRPr="0053771E" w:rsidRDefault="0078603C" w:rsidP="0078603C">
            <w:pPr>
              <w:ind w:left="0" w:right="0"/>
              <w:rPr>
                <w:rFonts w:asciiTheme="minorHAnsi" w:hAnsiTheme="minorHAnsi"/>
                <w:sz w:val="18"/>
                <w:szCs w:val="18"/>
              </w:rPr>
            </w:pPr>
            <w:r>
              <w:rPr>
                <w:rFonts w:asciiTheme="minorHAnsi" w:hAnsiTheme="minorHAnsi"/>
                <w:sz w:val="18"/>
                <w:szCs w:val="18"/>
              </w:rPr>
              <w:t>Final CSR: 2Q2020</w:t>
            </w:r>
          </w:p>
        </w:tc>
      </w:tr>
      <w:tr w:rsidR="0078603C" w:rsidRPr="0053771E" w14:paraId="56B4D4E4" w14:textId="77777777" w:rsidTr="008C6418">
        <w:tc>
          <w:tcPr>
            <w:tcW w:w="1781" w:type="dxa"/>
          </w:tcPr>
          <w:p w14:paraId="521554DA" w14:textId="77777777" w:rsidR="0078603C" w:rsidRPr="0053771E" w:rsidRDefault="0078603C" w:rsidP="0078603C">
            <w:pPr>
              <w:ind w:left="0" w:right="0"/>
              <w:rPr>
                <w:rFonts w:asciiTheme="minorHAnsi" w:hAnsiTheme="minorHAnsi"/>
                <w:sz w:val="18"/>
                <w:szCs w:val="18"/>
              </w:rPr>
            </w:pPr>
            <w:r>
              <w:rPr>
                <w:rFonts w:asciiTheme="minorHAnsi" w:hAnsiTheme="minorHAnsi"/>
                <w:sz w:val="18"/>
                <w:szCs w:val="18"/>
              </w:rPr>
              <w:t>D0810C00019 Phase II randomised, double-blind, placebo controlled, multicentre stud</w:t>
            </w:r>
          </w:p>
        </w:tc>
        <w:tc>
          <w:tcPr>
            <w:tcW w:w="1759" w:type="dxa"/>
          </w:tcPr>
          <w:p w14:paraId="1765176C" w14:textId="77777777" w:rsidR="0078603C" w:rsidRPr="0053771E" w:rsidRDefault="0078603C" w:rsidP="0078603C">
            <w:pPr>
              <w:ind w:left="0" w:right="0"/>
              <w:rPr>
                <w:rFonts w:asciiTheme="minorHAnsi" w:hAnsiTheme="minorHAnsi"/>
                <w:sz w:val="18"/>
                <w:szCs w:val="18"/>
              </w:rPr>
            </w:pPr>
            <w:r>
              <w:rPr>
                <w:rFonts w:asciiTheme="minorHAnsi" w:hAnsiTheme="minorHAnsi"/>
                <w:sz w:val="18"/>
                <w:szCs w:val="18"/>
              </w:rPr>
              <w:t>To determine the safety and tolerability of olaparib (capsule formulation) compared to placebo</w:t>
            </w:r>
          </w:p>
        </w:tc>
        <w:tc>
          <w:tcPr>
            <w:tcW w:w="1797" w:type="dxa"/>
          </w:tcPr>
          <w:p w14:paraId="1C40571D" w14:textId="77777777" w:rsidR="0078603C" w:rsidRPr="0053771E" w:rsidRDefault="0078603C" w:rsidP="0078603C">
            <w:pPr>
              <w:ind w:left="0" w:right="0"/>
              <w:rPr>
                <w:rFonts w:asciiTheme="minorHAnsi" w:hAnsiTheme="minorHAnsi"/>
                <w:sz w:val="18"/>
                <w:szCs w:val="18"/>
              </w:rPr>
            </w:pPr>
            <w:r>
              <w:rPr>
                <w:rFonts w:asciiTheme="minorHAnsi" w:hAnsiTheme="minorHAnsi"/>
                <w:sz w:val="18"/>
                <w:szCs w:val="18"/>
              </w:rPr>
              <w:t>Further evidence of efficacy and safety in somatic BRCA mutated patients (germline and somatic patients)</w:t>
            </w:r>
          </w:p>
        </w:tc>
        <w:tc>
          <w:tcPr>
            <w:tcW w:w="1652" w:type="dxa"/>
          </w:tcPr>
          <w:p w14:paraId="6B5AB4F2" w14:textId="77777777" w:rsidR="0078603C" w:rsidRPr="0053771E" w:rsidRDefault="0078603C" w:rsidP="0078603C">
            <w:pPr>
              <w:ind w:left="0" w:right="0"/>
              <w:rPr>
                <w:rFonts w:asciiTheme="minorHAnsi" w:hAnsiTheme="minorHAnsi"/>
                <w:sz w:val="18"/>
                <w:szCs w:val="18"/>
              </w:rPr>
            </w:pPr>
            <w:r>
              <w:rPr>
                <w:rFonts w:asciiTheme="minorHAnsi" w:hAnsiTheme="minorHAnsi"/>
                <w:sz w:val="18"/>
                <w:szCs w:val="18"/>
              </w:rPr>
              <w:t>Started</w:t>
            </w:r>
          </w:p>
        </w:tc>
        <w:tc>
          <w:tcPr>
            <w:tcW w:w="1731" w:type="dxa"/>
          </w:tcPr>
          <w:p w14:paraId="11DC97B6" w14:textId="77777777" w:rsidR="0078603C" w:rsidRPr="0053771E" w:rsidRDefault="0078603C" w:rsidP="0078603C">
            <w:pPr>
              <w:ind w:left="0" w:right="0"/>
              <w:rPr>
                <w:rFonts w:asciiTheme="minorHAnsi" w:hAnsiTheme="minorHAnsi"/>
                <w:sz w:val="18"/>
                <w:szCs w:val="18"/>
              </w:rPr>
            </w:pPr>
            <w:r>
              <w:rPr>
                <w:rFonts w:asciiTheme="minorHAnsi" w:hAnsiTheme="minorHAnsi"/>
                <w:sz w:val="18"/>
                <w:szCs w:val="18"/>
              </w:rPr>
              <w:t>Final CSR: 2Q2017</w:t>
            </w:r>
          </w:p>
        </w:tc>
      </w:tr>
      <w:tr w:rsidR="0078603C" w:rsidRPr="0053771E" w14:paraId="12CE9BEA" w14:textId="77777777" w:rsidTr="008C6418">
        <w:tc>
          <w:tcPr>
            <w:tcW w:w="1781" w:type="dxa"/>
          </w:tcPr>
          <w:p w14:paraId="72581C5F" w14:textId="77777777" w:rsidR="0078603C" w:rsidRPr="0053771E" w:rsidRDefault="0078603C" w:rsidP="0078603C">
            <w:pPr>
              <w:ind w:left="0" w:right="0"/>
              <w:rPr>
                <w:rFonts w:asciiTheme="minorHAnsi" w:hAnsiTheme="minorHAnsi"/>
                <w:sz w:val="18"/>
                <w:szCs w:val="18"/>
              </w:rPr>
            </w:pPr>
            <w:r>
              <w:rPr>
                <w:rFonts w:asciiTheme="minorHAnsi" w:hAnsiTheme="minorHAnsi"/>
                <w:sz w:val="18"/>
                <w:szCs w:val="18"/>
              </w:rPr>
              <w:t>D0816C00012 Phase IV, open label, single arm, non-randomised, multicentre study</w:t>
            </w:r>
          </w:p>
        </w:tc>
        <w:tc>
          <w:tcPr>
            <w:tcW w:w="1759" w:type="dxa"/>
          </w:tcPr>
          <w:p w14:paraId="394557C8" w14:textId="77777777" w:rsidR="0078603C" w:rsidRPr="0053771E" w:rsidRDefault="0078603C" w:rsidP="0078603C">
            <w:pPr>
              <w:ind w:left="0" w:right="0"/>
              <w:rPr>
                <w:rFonts w:asciiTheme="minorHAnsi" w:hAnsiTheme="minorHAnsi"/>
                <w:sz w:val="18"/>
                <w:szCs w:val="18"/>
              </w:rPr>
            </w:pPr>
            <w:r>
              <w:rPr>
                <w:rFonts w:asciiTheme="minorHAnsi" w:hAnsiTheme="minorHAnsi"/>
                <w:sz w:val="18"/>
                <w:szCs w:val="18"/>
              </w:rPr>
              <w:t xml:space="preserve">To assess the safety and tolerability of olaparib maintenance monotherapy in patients with platinum sensitive relapsed </w:t>
            </w:r>
            <w:proofErr w:type="spellStart"/>
            <w:r>
              <w:rPr>
                <w:rFonts w:asciiTheme="minorHAnsi" w:hAnsiTheme="minorHAnsi"/>
                <w:sz w:val="18"/>
                <w:szCs w:val="18"/>
              </w:rPr>
              <w:t>gBRCAm</w:t>
            </w:r>
            <w:proofErr w:type="spellEnd"/>
            <w:r>
              <w:rPr>
                <w:rFonts w:asciiTheme="minorHAnsi" w:hAnsiTheme="minorHAnsi"/>
                <w:sz w:val="18"/>
                <w:szCs w:val="18"/>
              </w:rPr>
              <w:t xml:space="preserve"> </w:t>
            </w:r>
            <w:r>
              <w:rPr>
                <w:rFonts w:asciiTheme="minorHAnsi" w:hAnsiTheme="minorHAnsi"/>
                <w:sz w:val="18"/>
                <w:szCs w:val="18"/>
              </w:rPr>
              <w:lastRenderedPageBreak/>
              <w:t xml:space="preserve">or </w:t>
            </w:r>
            <w:proofErr w:type="spellStart"/>
            <w:r>
              <w:rPr>
                <w:rFonts w:asciiTheme="minorHAnsi" w:hAnsiTheme="minorHAnsi"/>
                <w:sz w:val="18"/>
                <w:szCs w:val="18"/>
              </w:rPr>
              <w:t>sBRCAm</w:t>
            </w:r>
            <w:proofErr w:type="spellEnd"/>
            <w:r>
              <w:rPr>
                <w:rFonts w:asciiTheme="minorHAnsi" w:hAnsiTheme="minorHAnsi"/>
                <w:sz w:val="18"/>
                <w:szCs w:val="18"/>
              </w:rPr>
              <w:t xml:space="preserve"> ovarian cancer</w:t>
            </w:r>
          </w:p>
        </w:tc>
        <w:tc>
          <w:tcPr>
            <w:tcW w:w="1797" w:type="dxa"/>
          </w:tcPr>
          <w:p w14:paraId="34456375" w14:textId="77777777" w:rsidR="0078603C" w:rsidRPr="0053771E" w:rsidRDefault="0078603C" w:rsidP="0078603C">
            <w:pPr>
              <w:ind w:left="0" w:right="0"/>
              <w:rPr>
                <w:rFonts w:asciiTheme="minorHAnsi" w:hAnsiTheme="minorHAnsi"/>
                <w:sz w:val="18"/>
                <w:szCs w:val="18"/>
              </w:rPr>
            </w:pPr>
            <w:r>
              <w:rPr>
                <w:rFonts w:asciiTheme="minorHAnsi" w:hAnsiTheme="minorHAnsi"/>
                <w:sz w:val="18"/>
                <w:szCs w:val="18"/>
              </w:rPr>
              <w:lastRenderedPageBreak/>
              <w:t>Further evidence of efficacy and safety in somatic BRCA mutated patients (germline and somatic patients)</w:t>
            </w:r>
          </w:p>
        </w:tc>
        <w:tc>
          <w:tcPr>
            <w:tcW w:w="1652" w:type="dxa"/>
          </w:tcPr>
          <w:p w14:paraId="65054423" w14:textId="77777777" w:rsidR="0078603C" w:rsidRPr="00F12C72" w:rsidRDefault="0078603C" w:rsidP="0078603C">
            <w:pPr>
              <w:ind w:left="0" w:right="0"/>
              <w:rPr>
                <w:rFonts w:asciiTheme="minorHAnsi" w:hAnsiTheme="minorHAnsi"/>
                <w:sz w:val="18"/>
                <w:szCs w:val="18"/>
              </w:rPr>
            </w:pPr>
            <w:r w:rsidRPr="00F12C72">
              <w:rPr>
                <w:rFonts w:asciiTheme="minorHAnsi" w:hAnsiTheme="minorHAnsi"/>
                <w:sz w:val="18"/>
                <w:szCs w:val="18"/>
              </w:rPr>
              <w:t>Planned</w:t>
            </w:r>
          </w:p>
        </w:tc>
        <w:tc>
          <w:tcPr>
            <w:tcW w:w="1731" w:type="dxa"/>
          </w:tcPr>
          <w:p w14:paraId="1613DB3E" w14:textId="77777777" w:rsidR="0078603C" w:rsidRPr="0053771E" w:rsidRDefault="0078603C" w:rsidP="0078603C">
            <w:pPr>
              <w:ind w:left="0" w:right="0"/>
              <w:rPr>
                <w:rFonts w:asciiTheme="minorHAnsi" w:hAnsiTheme="minorHAnsi"/>
                <w:sz w:val="18"/>
                <w:szCs w:val="18"/>
              </w:rPr>
            </w:pPr>
            <w:r>
              <w:rPr>
                <w:rFonts w:asciiTheme="minorHAnsi" w:hAnsiTheme="minorHAnsi"/>
                <w:sz w:val="18"/>
                <w:szCs w:val="18"/>
              </w:rPr>
              <w:t>Final CSR 3Q2018</w:t>
            </w:r>
          </w:p>
        </w:tc>
      </w:tr>
      <w:tr w:rsidR="0078603C" w:rsidRPr="0053771E" w14:paraId="7B942A1A" w14:textId="77777777" w:rsidTr="008C6418">
        <w:tc>
          <w:tcPr>
            <w:tcW w:w="1781" w:type="dxa"/>
          </w:tcPr>
          <w:p w14:paraId="1B4010F0" w14:textId="77777777" w:rsidR="0078603C" w:rsidRPr="0053771E" w:rsidRDefault="0078603C" w:rsidP="0078603C">
            <w:pPr>
              <w:ind w:left="0" w:right="0"/>
              <w:rPr>
                <w:rFonts w:asciiTheme="minorHAnsi" w:hAnsiTheme="minorHAnsi"/>
                <w:sz w:val="18"/>
                <w:szCs w:val="18"/>
              </w:rPr>
            </w:pPr>
            <w:r>
              <w:rPr>
                <w:rFonts w:asciiTheme="minorHAnsi" w:hAnsiTheme="minorHAnsi"/>
                <w:sz w:val="18"/>
                <w:szCs w:val="18"/>
              </w:rPr>
              <w:lastRenderedPageBreak/>
              <w:t>D0816C00010 Phase III, open label, randomised, controlled, multi-centre study</w:t>
            </w:r>
          </w:p>
        </w:tc>
        <w:tc>
          <w:tcPr>
            <w:tcW w:w="1759" w:type="dxa"/>
          </w:tcPr>
          <w:p w14:paraId="03D6921F" w14:textId="77777777" w:rsidR="0078603C" w:rsidRPr="0053771E" w:rsidRDefault="0078603C" w:rsidP="0078603C">
            <w:pPr>
              <w:ind w:left="0" w:right="0"/>
              <w:rPr>
                <w:rFonts w:asciiTheme="minorHAnsi" w:hAnsiTheme="minorHAnsi"/>
                <w:sz w:val="18"/>
                <w:szCs w:val="18"/>
              </w:rPr>
            </w:pPr>
            <w:r>
              <w:rPr>
                <w:rFonts w:asciiTheme="minorHAnsi" w:hAnsiTheme="minorHAnsi"/>
                <w:sz w:val="18"/>
                <w:szCs w:val="18"/>
              </w:rPr>
              <w:t>(not specified)</w:t>
            </w:r>
          </w:p>
        </w:tc>
        <w:tc>
          <w:tcPr>
            <w:tcW w:w="1797" w:type="dxa"/>
          </w:tcPr>
          <w:p w14:paraId="59B054F3" w14:textId="77777777" w:rsidR="0078603C" w:rsidRPr="0053771E" w:rsidRDefault="0078603C" w:rsidP="0078603C">
            <w:pPr>
              <w:ind w:left="0" w:right="0"/>
              <w:rPr>
                <w:rFonts w:asciiTheme="minorHAnsi" w:hAnsiTheme="minorHAnsi"/>
                <w:sz w:val="18"/>
                <w:szCs w:val="18"/>
              </w:rPr>
            </w:pPr>
            <w:r>
              <w:rPr>
                <w:rFonts w:asciiTheme="minorHAnsi" w:hAnsiTheme="minorHAnsi"/>
                <w:sz w:val="18"/>
                <w:szCs w:val="18"/>
              </w:rPr>
              <w:t>Further evidence of efficacy and safety in BRCA mutated patients</w:t>
            </w:r>
          </w:p>
        </w:tc>
        <w:tc>
          <w:tcPr>
            <w:tcW w:w="1652" w:type="dxa"/>
          </w:tcPr>
          <w:p w14:paraId="5CB7D620" w14:textId="77777777" w:rsidR="0078603C" w:rsidRPr="00F12C72" w:rsidRDefault="0078603C" w:rsidP="0078603C">
            <w:pPr>
              <w:ind w:left="0" w:right="0"/>
              <w:rPr>
                <w:rFonts w:asciiTheme="minorHAnsi" w:hAnsiTheme="minorHAnsi"/>
                <w:sz w:val="18"/>
                <w:szCs w:val="18"/>
              </w:rPr>
            </w:pPr>
            <w:r w:rsidRPr="00F12C72">
              <w:rPr>
                <w:rFonts w:asciiTheme="minorHAnsi" w:hAnsiTheme="minorHAnsi"/>
                <w:sz w:val="18"/>
                <w:szCs w:val="18"/>
              </w:rPr>
              <w:t>Planned</w:t>
            </w:r>
          </w:p>
        </w:tc>
        <w:tc>
          <w:tcPr>
            <w:tcW w:w="1731" w:type="dxa"/>
          </w:tcPr>
          <w:p w14:paraId="139E8064" w14:textId="77777777" w:rsidR="0078603C" w:rsidRDefault="0078603C" w:rsidP="0078603C">
            <w:pPr>
              <w:ind w:left="0" w:right="0"/>
              <w:rPr>
                <w:rFonts w:asciiTheme="minorHAnsi" w:hAnsiTheme="minorHAnsi"/>
                <w:sz w:val="18"/>
                <w:szCs w:val="18"/>
              </w:rPr>
            </w:pPr>
            <w:r>
              <w:rPr>
                <w:rFonts w:asciiTheme="minorHAnsi" w:hAnsiTheme="minorHAnsi"/>
                <w:sz w:val="18"/>
                <w:szCs w:val="18"/>
              </w:rPr>
              <w:t>Primary CSR: 2Q2018</w:t>
            </w:r>
          </w:p>
          <w:p w14:paraId="42B02BFC" w14:textId="77777777" w:rsidR="0078603C" w:rsidRPr="0053771E" w:rsidRDefault="0078603C" w:rsidP="0078603C">
            <w:pPr>
              <w:ind w:left="0" w:right="0"/>
              <w:rPr>
                <w:rFonts w:asciiTheme="minorHAnsi" w:hAnsiTheme="minorHAnsi"/>
                <w:sz w:val="18"/>
                <w:szCs w:val="18"/>
              </w:rPr>
            </w:pPr>
            <w:r>
              <w:rPr>
                <w:rFonts w:asciiTheme="minorHAnsi" w:hAnsiTheme="minorHAnsi"/>
                <w:sz w:val="18"/>
                <w:szCs w:val="18"/>
              </w:rPr>
              <w:t>Final CSR: 2Q2020</w:t>
            </w:r>
          </w:p>
        </w:tc>
      </w:tr>
      <w:tr w:rsidR="0078603C" w:rsidRPr="0053771E" w14:paraId="54B83A78" w14:textId="77777777" w:rsidTr="008C6418">
        <w:tc>
          <w:tcPr>
            <w:tcW w:w="1781" w:type="dxa"/>
          </w:tcPr>
          <w:p w14:paraId="7E201330" w14:textId="77777777" w:rsidR="0078603C" w:rsidRDefault="0078603C" w:rsidP="0078603C">
            <w:pPr>
              <w:ind w:left="0" w:right="0"/>
              <w:rPr>
                <w:rFonts w:asciiTheme="minorHAnsi" w:hAnsiTheme="minorHAnsi"/>
                <w:sz w:val="18"/>
                <w:szCs w:val="18"/>
              </w:rPr>
            </w:pPr>
            <w:r>
              <w:rPr>
                <w:rFonts w:asciiTheme="minorHAnsi" w:hAnsiTheme="minorHAnsi"/>
                <w:sz w:val="18"/>
                <w:szCs w:val="18"/>
              </w:rPr>
              <w:t>D0816C00009 Randomised, double blind, placebo controlled, multicentre study</w:t>
            </w:r>
          </w:p>
        </w:tc>
        <w:tc>
          <w:tcPr>
            <w:tcW w:w="1759" w:type="dxa"/>
          </w:tcPr>
          <w:p w14:paraId="2F8D206F" w14:textId="77777777" w:rsidR="0078603C" w:rsidRDefault="0078603C" w:rsidP="0078603C">
            <w:pPr>
              <w:ind w:left="0" w:right="0"/>
              <w:rPr>
                <w:rFonts w:asciiTheme="minorHAnsi" w:hAnsiTheme="minorHAnsi"/>
                <w:sz w:val="18"/>
                <w:szCs w:val="18"/>
              </w:rPr>
            </w:pPr>
            <w:r>
              <w:rPr>
                <w:rFonts w:asciiTheme="minorHAnsi" w:hAnsiTheme="minorHAnsi"/>
                <w:sz w:val="18"/>
                <w:szCs w:val="18"/>
              </w:rPr>
              <w:t>(not specified)</w:t>
            </w:r>
          </w:p>
        </w:tc>
        <w:tc>
          <w:tcPr>
            <w:tcW w:w="1797" w:type="dxa"/>
          </w:tcPr>
          <w:p w14:paraId="54220FE0" w14:textId="77777777" w:rsidR="0078603C" w:rsidRDefault="0078603C" w:rsidP="0078603C">
            <w:pPr>
              <w:ind w:left="0" w:right="0"/>
              <w:rPr>
                <w:rFonts w:asciiTheme="minorHAnsi" w:hAnsiTheme="minorHAnsi"/>
                <w:sz w:val="18"/>
                <w:szCs w:val="18"/>
              </w:rPr>
            </w:pPr>
            <w:r>
              <w:rPr>
                <w:rFonts w:asciiTheme="minorHAnsi" w:hAnsiTheme="minorHAnsi"/>
                <w:sz w:val="18"/>
                <w:szCs w:val="18"/>
              </w:rPr>
              <w:t>Further evidence of efficacy in patients with loss of function (deleterious or suspected deleterious) somatic BRCA mutation. Assessment of efficacy in patients with a loss of function (deleterious or suspected deleterious) mutation in non-BRCA Homologous Recombination Repair (HRR)-associated genes. All patients will have no evidence of a deleterious germline BRCA mutation</w:t>
            </w:r>
          </w:p>
        </w:tc>
        <w:tc>
          <w:tcPr>
            <w:tcW w:w="1652" w:type="dxa"/>
          </w:tcPr>
          <w:p w14:paraId="39C7DE24" w14:textId="77777777" w:rsidR="0078603C" w:rsidRPr="00F12C72" w:rsidRDefault="0078603C" w:rsidP="0078603C">
            <w:pPr>
              <w:ind w:left="0" w:right="0"/>
              <w:rPr>
                <w:rFonts w:asciiTheme="minorHAnsi" w:hAnsiTheme="minorHAnsi"/>
                <w:sz w:val="18"/>
                <w:szCs w:val="18"/>
              </w:rPr>
            </w:pPr>
            <w:r w:rsidRPr="00F12C72">
              <w:rPr>
                <w:rFonts w:asciiTheme="minorHAnsi" w:hAnsiTheme="minorHAnsi"/>
                <w:sz w:val="18"/>
                <w:szCs w:val="18"/>
              </w:rPr>
              <w:t>Planned</w:t>
            </w:r>
          </w:p>
        </w:tc>
        <w:tc>
          <w:tcPr>
            <w:tcW w:w="1731" w:type="dxa"/>
          </w:tcPr>
          <w:p w14:paraId="43A1D5C8" w14:textId="77777777" w:rsidR="0078603C" w:rsidRDefault="0078603C" w:rsidP="0078603C">
            <w:pPr>
              <w:ind w:left="0" w:right="0"/>
              <w:rPr>
                <w:rFonts w:asciiTheme="minorHAnsi" w:hAnsiTheme="minorHAnsi"/>
                <w:sz w:val="18"/>
                <w:szCs w:val="18"/>
              </w:rPr>
            </w:pPr>
            <w:r>
              <w:rPr>
                <w:rFonts w:asciiTheme="minorHAnsi" w:hAnsiTheme="minorHAnsi"/>
                <w:sz w:val="18"/>
                <w:szCs w:val="18"/>
              </w:rPr>
              <w:t>Primary CSR: 3Q2018</w:t>
            </w:r>
          </w:p>
          <w:p w14:paraId="3293372B" w14:textId="77777777" w:rsidR="0078603C" w:rsidRDefault="0078603C" w:rsidP="0078603C">
            <w:pPr>
              <w:ind w:left="0" w:right="0"/>
              <w:rPr>
                <w:rFonts w:asciiTheme="minorHAnsi" w:hAnsiTheme="minorHAnsi"/>
                <w:sz w:val="18"/>
                <w:szCs w:val="18"/>
              </w:rPr>
            </w:pPr>
            <w:r>
              <w:rPr>
                <w:rFonts w:asciiTheme="minorHAnsi" w:hAnsiTheme="minorHAnsi"/>
                <w:sz w:val="18"/>
                <w:szCs w:val="18"/>
              </w:rPr>
              <w:t>Final CSR: RMP indicates both 2Q2020 and 3Q2020</w:t>
            </w:r>
          </w:p>
        </w:tc>
      </w:tr>
    </w:tbl>
    <w:p w14:paraId="3AA8033B" w14:textId="77777777" w:rsidR="00647CA1" w:rsidRDefault="008C6418" w:rsidP="008C6418">
      <w:pPr>
        <w:pStyle w:val="TableDescription"/>
      </w:pPr>
      <w:bookmarkStart w:id="153" w:name="_Toc247691527"/>
      <w:bookmarkStart w:id="154" w:name="_Toc314842510"/>
      <w:r>
        <w:t>CSR:</w:t>
      </w:r>
      <w:r w:rsidRPr="008C6418">
        <w:t xml:space="preserve"> </w:t>
      </w:r>
      <w:r>
        <w:t>Clinical study report</w:t>
      </w:r>
      <w:r w:rsidR="00475D5E">
        <w:t xml:space="preserve">; </w:t>
      </w:r>
      <w:proofErr w:type="spellStart"/>
      <w:r w:rsidR="00475D5E">
        <w:t>gBRCAm</w:t>
      </w:r>
      <w:proofErr w:type="spellEnd"/>
      <w:r w:rsidR="00475D5E">
        <w:t>: Germline BRCA mutated</w:t>
      </w:r>
    </w:p>
    <w:p w14:paraId="5A90CF04" w14:textId="0972315B" w:rsidR="00647CA1" w:rsidRPr="00647CA1" w:rsidRDefault="00AB7502" w:rsidP="00F12C72">
      <w:pPr>
        <w:pStyle w:val="Tabletitle0"/>
      </w:pPr>
      <w:proofErr w:type="gramStart"/>
      <w:r>
        <w:t>Table 14.</w:t>
      </w:r>
      <w:proofErr w:type="gramEnd"/>
      <w:r>
        <w:t xml:space="preserve"> </w:t>
      </w:r>
      <w:r w:rsidR="00647CA1" w:rsidRPr="00647CA1">
        <w:t>Reconciliation of issues outlined in the</w:t>
      </w:r>
      <w:r>
        <w:t xml:space="preserve"> first round</w:t>
      </w:r>
      <w:r w:rsidR="00647CA1" w:rsidRPr="00647CA1">
        <w:t xml:space="preserve"> RMP </w:t>
      </w:r>
      <w:r w:rsidR="005B485D">
        <w:t>e</w:t>
      </w:r>
      <w:r w:rsidR="005B485D" w:rsidRPr="00647CA1">
        <w:t xml:space="preserve">valuation </w:t>
      </w:r>
      <w:r w:rsidR="00F12C72">
        <w:t>r</w:t>
      </w:r>
      <w:r w:rsidR="00647CA1" w:rsidRPr="00647CA1">
        <w:t>eport (Round 1)</w:t>
      </w:r>
    </w:p>
    <w:tbl>
      <w:tblPr>
        <w:tblStyle w:val="TableTGAblue"/>
        <w:tblW w:w="5000" w:type="pct"/>
        <w:jc w:val="center"/>
        <w:tblLayout w:type="fixed"/>
        <w:tblLook w:val="04A0" w:firstRow="1" w:lastRow="0" w:firstColumn="1" w:lastColumn="0" w:noHBand="0" w:noVBand="1"/>
      </w:tblPr>
      <w:tblGrid>
        <w:gridCol w:w="2237"/>
        <w:gridCol w:w="4765"/>
        <w:gridCol w:w="1718"/>
      </w:tblGrid>
      <w:tr w:rsidR="00647CA1" w:rsidRPr="00647CA1" w14:paraId="6167BF71" w14:textId="77777777" w:rsidTr="00647CA1">
        <w:trPr>
          <w:cnfStyle w:val="100000000000" w:firstRow="1" w:lastRow="0" w:firstColumn="0" w:lastColumn="0" w:oddVBand="0" w:evenVBand="0" w:oddHBand="0" w:evenHBand="0" w:firstRowFirstColumn="0" w:firstRowLastColumn="0" w:lastRowFirstColumn="0" w:lastRowLastColumn="0"/>
          <w:jc w:val="center"/>
        </w:trPr>
        <w:tc>
          <w:tcPr>
            <w:tcW w:w="1283" w:type="pct"/>
            <w:noWrap/>
          </w:tcPr>
          <w:p w14:paraId="0062AB77"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Recommendation in RMP evaluation report</w:t>
            </w:r>
          </w:p>
        </w:tc>
        <w:tc>
          <w:tcPr>
            <w:tcW w:w="2732" w:type="pct"/>
            <w:noWrap/>
          </w:tcPr>
          <w:p w14:paraId="6458B3FE"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Sponsor’s response (or summary of the response)</w:t>
            </w:r>
          </w:p>
        </w:tc>
        <w:tc>
          <w:tcPr>
            <w:tcW w:w="985" w:type="pct"/>
            <w:noWrap/>
          </w:tcPr>
          <w:p w14:paraId="39FE0738"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RMP evaluator’s comment</w:t>
            </w:r>
          </w:p>
        </w:tc>
      </w:tr>
      <w:tr w:rsidR="00647CA1" w:rsidRPr="00647CA1" w14:paraId="2FB41940" w14:textId="77777777" w:rsidTr="00647CA1">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428328E"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 xml:space="preserve">It is noted that the Australian Specific Annex (ASA) should provide a table comparing the differences, if any, between advice in the </w:t>
            </w:r>
            <w:r w:rsidRPr="00647CA1">
              <w:rPr>
                <w:rFonts w:asciiTheme="minorHAnsi" w:hAnsiTheme="minorHAnsi"/>
                <w:sz w:val="20"/>
                <w:szCs w:val="20"/>
              </w:rPr>
              <w:lastRenderedPageBreak/>
              <w:t>EU Summary of Product Characteristics and the Australian PI. Updates to the ASA should be in the current format of the TGA guidance and contain such information.</w:t>
            </w:r>
          </w:p>
        </w:tc>
        <w:tc>
          <w:tcPr>
            <w:tcW w:w="273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75286FFD" w14:textId="77777777" w:rsidR="00647CA1" w:rsidRPr="00647CA1" w:rsidRDefault="00647CA1" w:rsidP="00175320">
            <w:pPr>
              <w:ind w:left="0" w:right="0"/>
              <w:rPr>
                <w:rFonts w:asciiTheme="minorHAnsi" w:hAnsiTheme="minorHAnsi"/>
                <w:sz w:val="20"/>
                <w:szCs w:val="20"/>
              </w:rPr>
            </w:pPr>
            <w:r w:rsidRPr="00647CA1">
              <w:rPr>
                <w:rFonts w:asciiTheme="minorHAnsi" w:hAnsiTheme="minorHAnsi"/>
                <w:sz w:val="20"/>
                <w:szCs w:val="20"/>
              </w:rPr>
              <w:lastRenderedPageBreak/>
              <w:t>Please refer t</w:t>
            </w:r>
            <w:r w:rsidR="00175320">
              <w:rPr>
                <w:rFonts w:asciiTheme="minorHAnsi" w:hAnsiTheme="minorHAnsi"/>
                <w:sz w:val="20"/>
                <w:szCs w:val="20"/>
              </w:rPr>
              <w:t>o Appendix 1 of the current ASA.</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2B5D2729" w14:textId="111E44C6"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The updated ASA, to include a table comparing the differences between advice in the SmPC</w:t>
            </w:r>
            <w:r w:rsidR="00AB7502">
              <w:rPr>
                <w:rFonts w:asciiTheme="minorHAnsi" w:hAnsiTheme="minorHAnsi"/>
                <w:sz w:val="20"/>
                <w:szCs w:val="20"/>
              </w:rPr>
              <w:t>;</w:t>
            </w:r>
            <w:r w:rsidR="00881C3F">
              <w:rPr>
                <w:rStyle w:val="FootnoteReference"/>
                <w:rFonts w:asciiTheme="minorHAnsi" w:hAnsiTheme="minorHAnsi"/>
                <w:sz w:val="20"/>
                <w:szCs w:val="20"/>
              </w:rPr>
              <w:footnoteReference w:id="26"/>
            </w:r>
            <w:r w:rsidRPr="00647CA1">
              <w:rPr>
                <w:rFonts w:asciiTheme="minorHAnsi" w:hAnsiTheme="minorHAnsi"/>
                <w:sz w:val="20"/>
                <w:szCs w:val="20"/>
              </w:rPr>
              <w:t xml:space="preserve"> and PI, is noted.</w:t>
            </w:r>
          </w:p>
        </w:tc>
      </w:tr>
      <w:tr w:rsidR="00647CA1" w:rsidRPr="00647CA1" w14:paraId="127BF002" w14:textId="77777777" w:rsidTr="00647CA1">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2B397F6C"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lastRenderedPageBreak/>
              <w:t>It is noted that the sponsor has provided variable wording for some safety concerns (</w:t>
            </w:r>
            <w:r w:rsidR="00175320">
              <w:rPr>
                <w:rFonts w:asciiTheme="minorHAnsi" w:hAnsiTheme="minorHAnsi"/>
                <w:sz w:val="20"/>
                <w:szCs w:val="20"/>
              </w:rPr>
              <w:t>for example</w:t>
            </w:r>
            <w:r w:rsidRPr="00647CA1">
              <w:rPr>
                <w:rFonts w:asciiTheme="minorHAnsi" w:hAnsiTheme="minorHAnsi"/>
                <w:sz w:val="20"/>
                <w:szCs w:val="20"/>
              </w:rPr>
              <w:t xml:space="preserve"> ‘use in the elderly’ versus ‘exposure in the elderly’, ‘use in patients with liver disease’ versus ‘exposure in patients with hepatic impairment’). It is recommended that the sponsor use consistent language throughout the RMP documentation in future updates.</w:t>
            </w:r>
          </w:p>
        </w:tc>
        <w:tc>
          <w:tcPr>
            <w:tcW w:w="273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7DA1D89"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 xml:space="preserve">The </w:t>
            </w:r>
            <w:r w:rsidR="00214786">
              <w:rPr>
                <w:rFonts w:asciiTheme="minorHAnsi" w:hAnsiTheme="minorHAnsi"/>
                <w:sz w:val="20"/>
                <w:szCs w:val="20"/>
              </w:rPr>
              <w:t>sponsor</w:t>
            </w:r>
            <w:r w:rsidRPr="00647CA1">
              <w:rPr>
                <w:rFonts w:asciiTheme="minorHAnsi" w:hAnsiTheme="minorHAnsi"/>
                <w:sz w:val="20"/>
                <w:szCs w:val="20"/>
              </w:rPr>
              <w:t xml:space="preserve"> notes this comment and will endeavour to use consistent wording in future updates.</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5ABFFA9"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The sponsor’s response is noted and acceptable from a RMP perspective.</w:t>
            </w:r>
          </w:p>
        </w:tc>
      </w:tr>
      <w:tr w:rsidR="00647CA1" w:rsidRPr="00647CA1" w14:paraId="6CA55F98" w14:textId="77777777" w:rsidTr="00647CA1">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37B328A3"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 xml:space="preserve">The sponsor has identified potential problems with adherence to the dosing schedule of olaparib. It is recommended that the Consumer Medicines Information be updated to guide patients towards adherence. The proposed CMI currently advises of the following: How much to take: The usual dose is eight capsules taken twice each day (a total of 16 capsules each day). This could be reinforced with text advising that the patient ‘should not take less than the prescribed amount’ or </w:t>
            </w:r>
            <w:r w:rsidRPr="00647CA1">
              <w:rPr>
                <w:rFonts w:asciiTheme="minorHAnsi" w:hAnsiTheme="minorHAnsi"/>
                <w:sz w:val="20"/>
                <w:szCs w:val="20"/>
              </w:rPr>
              <w:lastRenderedPageBreak/>
              <w:t>words to that effect.</w:t>
            </w:r>
          </w:p>
        </w:tc>
        <w:tc>
          <w:tcPr>
            <w:tcW w:w="273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F2AB99F"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lastRenderedPageBreak/>
              <w:t>Appropriate text has been added to the revised CMI. The revised text (shown in strikethrough for deleted text and bold for</w:t>
            </w:r>
            <w:r w:rsidR="00175320">
              <w:rPr>
                <w:rFonts w:asciiTheme="minorHAnsi" w:hAnsiTheme="minorHAnsi"/>
                <w:sz w:val="20"/>
                <w:szCs w:val="20"/>
              </w:rPr>
              <w:t xml:space="preserve"> added text) is provided below:</w:t>
            </w:r>
          </w:p>
          <w:p w14:paraId="552002BE"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How much to take: The usual dose is eight capsules taken twice each day (a total of 16 capsules each day). You should not take any more or any less capsules u</w:t>
            </w:r>
            <w:r w:rsidR="00175320">
              <w:rPr>
                <w:rFonts w:asciiTheme="minorHAnsi" w:hAnsiTheme="minorHAnsi"/>
                <w:sz w:val="20"/>
                <w:szCs w:val="20"/>
              </w:rPr>
              <w:t>nless your doctor tells you to.</w:t>
            </w:r>
          </w:p>
          <w:p w14:paraId="48162823"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How to take it: Swallow the capsules whole with a glass of water. Do not open the capsules.</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150E9CE3"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The sponsor’s response is considered satisfactory from a RMP perspective, noting this issue is deferred for final determination by the Delegate.</w:t>
            </w:r>
          </w:p>
        </w:tc>
      </w:tr>
      <w:tr w:rsidR="00647CA1" w:rsidRPr="00647CA1" w14:paraId="38A7A89F" w14:textId="77777777" w:rsidTr="00647CA1">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1F512DBA"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lastRenderedPageBreak/>
              <w:t>It is recommended the Australian PI be revised to include the Contraindications identified in the EU SmPC, unless omission c</w:t>
            </w:r>
            <w:r w:rsidR="00175320">
              <w:rPr>
                <w:rFonts w:asciiTheme="minorHAnsi" w:hAnsiTheme="minorHAnsi"/>
                <w:sz w:val="20"/>
                <w:szCs w:val="20"/>
              </w:rPr>
              <w:t>an be justified by the sponsor:</w:t>
            </w:r>
          </w:p>
          <w:p w14:paraId="0853F471" w14:textId="7FF875EE"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Hypersensitivity to the active</w:t>
            </w:r>
            <w:r w:rsidR="00DF5CF8">
              <w:rPr>
                <w:rFonts w:asciiTheme="minorHAnsi" w:hAnsiTheme="minorHAnsi"/>
                <w:sz w:val="20"/>
                <w:szCs w:val="20"/>
              </w:rPr>
              <w:t xml:space="preserve"> substance or to any excipients</w:t>
            </w:r>
          </w:p>
          <w:p w14:paraId="17D54B8D"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Breast-feeding during treatment and 1 month after the last dose.</w:t>
            </w:r>
          </w:p>
        </w:tc>
        <w:tc>
          <w:tcPr>
            <w:tcW w:w="273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CC0120C"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 xml:space="preserve">AstraZeneca confirm that the Australian PI will be revised to include a contraindication for use in patients with hypersensitivity with the following wording: ‘hypersensitivity to the active substance or to any excipients’. The hypersensitivity contraindication has been added to the proposed PI; however, it should be noted that this contraindication is not in the </w:t>
            </w:r>
            <w:r w:rsidR="002B698E">
              <w:rPr>
                <w:rFonts w:asciiTheme="minorHAnsi" w:hAnsiTheme="minorHAnsi"/>
                <w:sz w:val="20"/>
                <w:szCs w:val="20"/>
              </w:rPr>
              <w:t>Lynparza</w:t>
            </w:r>
            <w:r w:rsidRPr="00647CA1">
              <w:rPr>
                <w:rFonts w:asciiTheme="minorHAnsi" w:hAnsiTheme="minorHAnsi"/>
                <w:sz w:val="20"/>
                <w:szCs w:val="20"/>
              </w:rPr>
              <w:t xml:space="preserve"> Core Data Sheet and so is not the company’s position. Hypersensitivity has been included within the EU SmPC in accordance with their European guidance regarding </w:t>
            </w:r>
            <w:proofErr w:type="spellStart"/>
            <w:r w:rsidRPr="00647CA1">
              <w:rPr>
                <w:rFonts w:asciiTheme="minorHAnsi" w:hAnsiTheme="minorHAnsi"/>
                <w:sz w:val="20"/>
                <w:szCs w:val="20"/>
              </w:rPr>
              <w:t>SmPCs</w:t>
            </w:r>
            <w:proofErr w:type="spellEnd"/>
            <w:r w:rsidRPr="00647CA1">
              <w:rPr>
                <w:rFonts w:asciiTheme="minorHAnsi" w:hAnsiTheme="minorHAnsi"/>
                <w:sz w:val="20"/>
                <w:szCs w:val="20"/>
              </w:rPr>
              <w:t xml:space="preserve"> (European Commission Guideline 20094).</w:t>
            </w:r>
          </w:p>
          <w:p w14:paraId="1F814E8C" w14:textId="77777777" w:rsidR="005D64FB" w:rsidRDefault="00647CA1" w:rsidP="00F12C72">
            <w:pPr>
              <w:ind w:left="0"/>
              <w:rPr>
                <w:rFonts w:asciiTheme="minorHAnsi" w:hAnsiTheme="minorHAnsi"/>
                <w:color w:val="auto"/>
                <w:sz w:val="20"/>
                <w:szCs w:val="20"/>
                <w:lang w:eastAsia="en-US"/>
              </w:rPr>
            </w:pPr>
            <w:r w:rsidRPr="00647CA1">
              <w:rPr>
                <w:rFonts w:asciiTheme="minorHAnsi" w:hAnsiTheme="minorHAnsi"/>
                <w:sz w:val="20"/>
                <w:szCs w:val="20"/>
              </w:rPr>
              <w:t xml:space="preserve">AstraZeneca consider that a warning in the Precautions section of the </w:t>
            </w:r>
            <w:r w:rsidR="002B698E">
              <w:rPr>
                <w:rFonts w:asciiTheme="minorHAnsi" w:hAnsiTheme="minorHAnsi"/>
                <w:sz w:val="20"/>
                <w:szCs w:val="20"/>
              </w:rPr>
              <w:t>Lynparza</w:t>
            </w:r>
            <w:r w:rsidRPr="00647CA1">
              <w:rPr>
                <w:rFonts w:asciiTheme="minorHAnsi" w:hAnsiTheme="minorHAnsi"/>
                <w:sz w:val="20"/>
                <w:szCs w:val="20"/>
              </w:rPr>
              <w:t xml:space="preserve"> PI is sufficient to address concerns regarding breast-feeding during treatment and for 1 month after the last dose of olaparib and a specific contraindication for breast-feeding women is not necessary</w:t>
            </w:r>
            <w:r w:rsidR="005D64FB">
              <w:rPr>
                <w:rFonts w:asciiTheme="minorHAnsi" w:hAnsiTheme="minorHAnsi"/>
                <w:sz w:val="20"/>
                <w:szCs w:val="20"/>
              </w:rPr>
              <w:t>.</w:t>
            </w:r>
          </w:p>
          <w:p w14:paraId="3EAF11D3"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A contraindication for breast-feeding was added to the EU SmPC as an imposition of the European Medicines Agency (EMA) during review. This information was added as a precautionary measure, given the pharmacology of olaparib and the lack of data on transmission in breast milk, rather than to any observed effect.</w:t>
            </w:r>
          </w:p>
          <w:p w14:paraId="5D4B91A2"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 xml:space="preserve">Moreover, the risk of patients inadvertently breast feeding and exposing the baby to olaparib in the breast milk is extremely low, as it is very unlikely that the patient in this treatment setting (maintenance treatment of </w:t>
            </w:r>
            <w:r w:rsidR="00881C3F" w:rsidRPr="00881C3F">
              <w:rPr>
                <w:sz w:val="20"/>
                <w:szCs w:val="20"/>
              </w:rPr>
              <w:t>platinum sensitive relapsed</w:t>
            </w:r>
            <w:r w:rsidR="00881C3F" w:rsidRPr="00881C3F">
              <w:rPr>
                <w:rFonts w:asciiTheme="minorHAnsi" w:hAnsiTheme="minorHAnsi"/>
                <w:sz w:val="20"/>
                <w:szCs w:val="20"/>
              </w:rPr>
              <w:t xml:space="preserve"> </w:t>
            </w:r>
            <w:r w:rsidR="00881C3F">
              <w:rPr>
                <w:rFonts w:asciiTheme="minorHAnsi" w:hAnsiTheme="minorHAnsi"/>
                <w:sz w:val="20"/>
                <w:szCs w:val="20"/>
              </w:rPr>
              <w:t>(</w:t>
            </w:r>
            <w:r w:rsidRPr="00881C3F">
              <w:rPr>
                <w:rFonts w:asciiTheme="minorHAnsi" w:hAnsiTheme="minorHAnsi"/>
                <w:sz w:val="20"/>
                <w:szCs w:val="20"/>
              </w:rPr>
              <w:t>PSR</w:t>
            </w:r>
            <w:r w:rsidR="00881C3F">
              <w:rPr>
                <w:rFonts w:asciiTheme="minorHAnsi" w:hAnsiTheme="minorHAnsi"/>
                <w:sz w:val="20"/>
                <w:szCs w:val="20"/>
              </w:rPr>
              <w:t>)</w:t>
            </w:r>
            <w:r w:rsidRPr="00881C3F">
              <w:rPr>
                <w:rFonts w:asciiTheme="minorHAnsi" w:hAnsiTheme="minorHAnsi"/>
                <w:sz w:val="20"/>
                <w:szCs w:val="20"/>
              </w:rPr>
              <w:t xml:space="preserve"> </w:t>
            </w:r>
            <w:proofErr w:type="spellStart"/>
            <w:r w:rsidRPr="00647CA1">
              <w:rPr>
                <w:rFonts w:asciiTheme="minorHAnsi" w:hAnsiTheme="minorHAnsi"/>
                <w:sz w:val="20"/>
                <w:szCs w:val="20"/>
              </w:rPr>
              <w:t>BRCAm</w:t>
            </w:r>
            <w:proofErr w:type="spellEnd"/>
            <w:r w:rsidRPr="00647CA1">
              <w:rPr>
                <w:rFonts w:asciiTheme="minorHAnsi" w:hAnsiTheme="minorHAnsi"/>
                <w:sz w:val="20"/>
                <w:szCs w:val="20"/>
              </w:rPr>
              <w:t xml:space="preserve"> ovarian cancer) would be able to give birth, for the following reasons:</w:t>
            </w:r>
          </w:p>
          <w:p w14:paraId="371EE6B8"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 xml:space="preserve">The standard treatment for ovarian cancer is surgery, for diagnosis, determination of the extent of the cancer and tumour </w:t>
            </w:r>
            <w:proofErr w:type="spellStart"/>
            <w:r w:rsidRPr="00647CA1">
              <w:rPr>
                <w:rFonts w:asciiTheme="minorHAnsi" w:hAnsiTheme="minorHAnsi"/>
                <w:sz w:val="20"/>
                <w:szCs w:val="20"/>
              </w:rPr>
              <w:t>debulking</w:t>
            </w:r>
            <w:proofErr w:type="spellEnd"/>
            <w:r w:rsidRPr="00647CA1">
              <w:rPr>
                <w:rFonts w:asciiTheme="minorHAnsi" w:hAnsiTheme="minorHAnsi"/>
                <w:sz w:val="20"/>
                <w:szCs w:val="20"/>
              </w:rPr>
              <w:t xml:space="preserve"> or </w:t>
            </w:r>
            <w:proofErr w:type="spellStart"/>
            <w:r w:rsidRPr="00647CA1">
              <w:rPr>
                <w:rFonts w:asciiTheme="minorHAnsi" w:hAnsiTheme="minorHAnsi"/>
                <w:sz w:val="20"/>
                <w:szCs w:val="20"/>
              </w:rPr>
              <w:t>cytoreduction</w:t>
            </w:r>
            <w:proofErr w:type="spellEnd"/>
            <w:r w:rsidRPr="00647CA1">
              <w:rPr>
                <w:rFonts w:asciiTheme="minorHAnsi" w:hAnsiTheme="minorHAnsi"/>
                <w:sz w:val="20"/>
                <w:szCs w:val="20"/>
              </w:rPr>
              <w:t xml:space="preserve">, followed by chemotherapy. </w:t>
            </w:r>
            <w:proofErr w:type="spellStart"/>
            <w:r w:rsidRPr="00647CA1">
              <w:rPr>
                <w:rFonts w:asciiTheme="minorHAnsi" w:hAnsiTheme="minorHAnsi"/>
                <w:sz w:val="20"/>
                <w:szCs w:val="20"/>
              </w:rPr>
              <w:t>Debulking</w:t>
            </w:r>
            <w:proofErr w:type="spellEnd"/>
            <w:r w:rsidRPr="00647CA1">
              <w:rPr>
                <w:rFonts w:asciiTheme="minorHAnsi" w:hAnsiTheme="minorHAnsi"/>
                <w:sz w:val="20"/>
                <w:szCs w:val="20"/>
              </w:rPr>
              <w:t xml:space="preserve"> surgery usually involves removing not only the ovaries but also the uterus, cervix and fallopian tubes and as much visible disease as possible, thus rendering the patient infertile.</w:t>
            </w:r>
          </w:p>
          <w:p w14:paraId="3785E5C7"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 xml:space="preserve">Patients eligible to receive olaparib for maintenance treatment according to the proposed indication would have had previous prior therapy with multiple cycles of platinum containing chemotherapy with </w:t>
            </w:r>
            <w:r w:rsidRPr="000870B6">
              <w:rPr>
                <w:rFonts w:asciiTheme="minorHAnsi" w:hAnsiTheme="minorHAnsi"/>
                <w:sz w:val="20"/>
                <w:szCs w:val="20"/>
              </w:rPr>
              <w:t>possible gonadal toxic consequence. In Study 19</w:t>
            </w:r>
            <w:r w:rsidR="000870B6" w:rsidRPr="000870B6">
              <w:rPr>
                <w:rFonts w:asciiTheme="minorHAnsi" w:hAnsiTheme="minorHAnsi"/>
                <w:sz w:val="20"/>
                <w:szCs w:val="20"/>
              </w:rPr>
              <w:t xml:space="preserve"> (</w:t>
            </w:r>
            <w:r w:rsidR="000870B6" w:rsidRPr="000870B6">
              <w:rPr>
                <w:sz w:val="20"/>
                <w:szCs w:val="20"/>
              </w:rPr>
              <w:t>Study D0810C00019)</w:t>
            </w:r>
            <w:r w:rsidRPr="000870B6">
              <w:rPr>
                <w:rFonts w:asciiTheme="minorHAnsi" w:hAnsiTheme="minorHAnsi"/>
                <w:sz w:val="20"/>
                <w:szCs w:val="20"/>
              </w:rPr>
              <w:t xml:space="preserve"> patients had received an average of 3 previous</w:t>
            </w:r>
            <w:r w:rsidRPr="00647CA1">
              <w:rPr>
                <w:rFonts w:asciiTheme="minorHAnsi" w:hAnsiTheme="minorHAnsi"/>
                <w:sz w:val="20"/>
                <w:szCs w:val="20"/>
              </w:rPr>
              <w:t xml:space="preserve"> chemotherapy regimens, including 2.6 previous platinum-containing </w:t>
            </w:r>
            <w:r w:rsidRPr="00647CA1">
              <w:rPr>
                <w:rFonts w:asciiTheme="minorHAnsi" w:hAnsiTheme="minorHAnsi"/>
                <w:sz w:val="20"/>
                <w:szCs w:val="20"/>
              </w:rPr>
              <w:lastRenderedPageBreak/>
              <w:t xml:space="preserve">chemotherapies, thus demonstrating the impact of potential previous chemotherapy treatment on fertility. Only 3 patients (0.4%) received concomitant treatment with oral contraceptives </w:t>
            </w:r>
            <w:r w:rsidR="00175320">
              <w:rPr>
                <w:rFonts w:asciiTheme="minorHAnsi" w:hAnsiTheme="minorHAnsi"/>
                <w:sz w:val="20"/>
                <w:szCs w:val="20"/>
              </w:rPr>
              <w:t>in the monotherapy pool dataset progestogen/oestrogens.</w:t>
            </w:r>
          </w:p>
          <w:p w14:paraId="26CCE154"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 xml:space="preserve">In Study 19, 257 patients (97.0%) overall, had the following surgical procedures hysterectomy 158/265 (59.6%), radical hysterectomy 68/265 (25.7%), </w:t>
            </w:r>
            <w:proofErr w:type="spellStart"/>
            <w:r w:rsidRPr="00647CA1">
              <w:rPr>
                <w:rFonts w:asciiTheme="minorHAnsi" w:hAnsiTheme="minorHAnsi"/>
                <w:sz w:val="20"/>
                <w:szCs w:val="20"/>
              </w:rPr>
              <w:t>salpingo</w:t>
            </w:r>
            <w:proofErr w:type="spellEnd"/>
            <w:r w:rsidRPr="00647CA1">
              <w:rPr>
                <w:rFonts w:asciiTheme="minorHAnsi" w:hAnsiTheme="minorHAnsi"/>
                <w:sz w:val="20"/>
                <w:szCs w:val="20"/>
              </w:rPr>
              <w:t xml:space="preserve">-oophorectomy 28/265 (10.6%), </w:t>
            </w:r>
            <w:proofErr w:type="spellStart"/>
            <w:r w:rsidRPr="00647CA1">
              <w:rPr>
                <w:rFonts w:asciiTheme="minorHAnsi" w:hAnsiTheme="minorHAnsi"/>
                <w:sz w:val="20"/>
                <w:szCs w:val="20"/>
              </w:rPr>
              <w:t>salpingo</w:t>
            </w:r>
            <w:proofErr w:type="spellEnd"/>
            <w:r w:rsidRPr="00647CA1">
              <w:rPr>
                <w:rFonts w:asciiTheme="minorHAnsi" w:hAnsiTheme="minorHAnsi"/>
                <w:sz w:val="20"/>
                <w:szCs w:val="20"/>
              </w:rPr>
              <w:t xml:space="preserve">-oophorectomy bilateral 108/265 (40.8%), </w:t>
            </w:r>
            <w:proofErr w:type="spellStart"/>
            <w:r w:rsidRPr="00647CA1">
              <w:rPr>
                <w:rFonts w:asciiTheme="minorHAnsi" w:hAnsiTheme="minorHAnsi"/>
                <w:sz w:val="20"/>
                <w:szCs w:val="20"/>
              </w:rPr>
              <w:t>salpingo</w:t>
            </w:r>
            <w:proofErr w:type="spellEnd"/>
            <w:r w:rsidRPr="00647CA1">
              <w:rPr>
                <w:rFonts w:asciiTheme="minorHAnsi" w:hAnsiTheme="minorHAnsi"/>
                <w:sz w:val="20"/>
                <w:szCs w:val="20"/>
              </w:rPr>
              <w:t>-oophorectomy unilateral 8/265 (3.0%), salpingectomy 3/265 (1.1%), oophorectomy 12/265 (4/5%) and oophorectomy bilateral 9/265 (3.4%), cytoreductive surgery 84/265 (31.7%).</w:t>
            </w:r>
          </w:p>
          <w:p w14:paraId="1CED2BC9"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Therefore, although a potential risk for the newborn/infants cannot be excluded, the risk is considered manageable by suitable wording in the Precautions Section; a contraindication is not considered necessary.</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1B57072"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lastRenderedPageBreak/>
              <w:t>The sponsor’s response is considered satisfactory from a RMP perspective, noting this issue is deferred for final determination by the Delegate.</w:t>
            </w:r>
          </w:p>
        </w:tc>
      </w:tr>
      <w:tr w:rsidR="00647CA1" w:rsidRPr="00647CA1" w14:paraId="1BF65A96" w14:textId="77777777" w:rsidTr="00647CA1">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12FCA21F"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lastRenderedPageBreak/>
              <w:t>The sponsor should update the Core Global RMP Summary of Safety Concerns to include interactions with CYP3A4 inducers/inhibitors as an identified risk, and indicate in the pharmacovigilance plan where planned and ongoing clinical studies are relevant to this safety concern.</w:t>
            </w:r>
          </w:p>
        </w:tc>
        <w:tc>
          <w:tcPr>
            <w:tcW w:w="273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0B44937" w14:textId="73410D5D"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The EU Risk Management Plan is being updated to include ‘Drug-drug interactions with CYP3A inducers and inhibitors’ as an Important Identified Risk, following the completion of the clinical interaction studies D0816C00007 (with a potent CYP3A4 inhibitor: itraconazole) and D0816C00008 (with a potent CYP inducer: rifampicin) and is currently under review with the Pharmacovigilance Risk Assessment Committ</w:t>
            </w:r>
            <w:r w:rsidR="00DF5CF8">
              <w:rPr>
                <w:rFonts w:asciiTheme="minorHAnsi" w:hAnsiTheme="minorHAnsi"/>
                <w:sz w:val="20"/>
                <w:szCs w:val="20"/>
              </w:rPr>
              <w:t xml:space="preserve">ee (PRAC) and the Committee for </w:t>
            </w:r>
            <w:r w:rsidRPr="00647CA1">
              <w:rPr>
                <w:rFonts w:asciiTheme="minorHAnsi" w:hAnsiTheme="minorHAnsi"/>
                <w:sz w:val="20"/>
                <w:szCs w:val="20"/>
              </w:rPr>
              <w:t>Medicinal Products for Human Use (CHMP) at EMA (see the response in Section 5.7).</w:t>
            </w:r>
          </w:p>
          <w:p w14:paraId="2F69A2E4"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Once EU RMP is endorsed by PRAC and CHMP, the Core RMP revisions will be made.</w:t>
            </w:r>
          </w:p>
          <w:p w14:paraId="029AD6F4"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Pharmacovigilance activities for the Important Identified risk of ‘Drug-drug interactions with CYP3A4 inducers and inhibitors’ will consist of routine pharmacovigilance practices, including signal detection and review, to further characterise the nature and frequency of the risk. There are no planned or ongoing clinical studies specifically to investigate this risk further. Patients receiving potent CYP3A4 inducers and inhibitors have been excluded from recruitment into all olaparib clinical studies.</w:t>
            </w:r>
          </w:p>
          <w:p w14:paraId="0935051E"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The PI contains a description of interactions between olaparib and CYP3A4 inducers and inhibitors in the ‘Precautions Section’ and also in the ‘Interaction with Other Medicinal Products Section’.</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2120566"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The sponsor’s response is considered satisfactory from a RMP perspective.</w:t>
            </w:r>
          </w:p>
          <w:p w14:paraId="1865FF0D"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The TGA should be advised when the EU and Core RMPs are finalised, with copies provided.</w:t>
            </w:r>
          </w:p>
        </w:tc>
      </w:tr>
      <w:tr w:rsidR="00647CA1" w:rsidRPr="00647CA1" w14:paraId="7228DE02" w14:textId="77777777" w:rsidTr="00647CA1">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4FDDD32"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The sponsor should advise when the EU-</w:t>
            </w:r>
            <w:r w:rsidRPr="00647CA1">
              <w:rPr>
                <w:rFonts w:asciiTheme="minorHAnsi" w:hAnsiTheme="minorHAnsi"/>
                <w:sz w:val="20"/>
                <w:szCs w:val="20"/>
              </w:rPr>
              <w:lastRenderedPageBreak/>
              <w:t>RMP will be updated to contain the information in the Core Global RMP, and when the updated EU-RMP is anticipated to be provided to the TGA.</w:t>
            </w:r>
          </w:p>
        </w:tc>
        <w:tc>
          <w:tcPr>
            <w:tcW w:w="273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2A1BA38D"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lastRenderedPageBreak/>
              <w:t xml:space="preserve">The EU Risk Management Plan is being updated to include ‘Drug-drug interactions with CYP3A inducers </w:t>
            </w:r>
            <w:r w:rsidRPr="00647CA1">
              <w:rPr>
                <w:rFonts w:asciiTheme="minorHAnsi" w:hAnsiTheme="minorHAnsi"/>
                <w:sz w:val="20"/>
                <w:szCs w:val="20"/>
              </w:rPr>
              <w:lastRenderedPageBreak/>
              <w:t>and inhibitors’ as an Important Identified Risk, following the completion of the clinical interaction studies D0816C00007 (with a potent CYP3A4 inhibitor: itraconazole) and D0816C00008 (with a potent CYP inducer: rifampicin).</w:t>
            </w:r>
          </w:p>
          <w:p w14:paraId="015E30A4"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As a result of the re-categorisation of the risk, the Missing Information topic ‘Interaction with substrates of transporter proteins’ is being clarified to read ‘Drug-drug interactions with inhibitors of P-gp and substrates of CYP enzymes and transporter proteins’.</w:t>
            </w:r>
          </w:p>
          <w:p w14:paraId="157CC3F2"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The revised EU RMP has been submitted to the EMA as part of an ongoing Type II variation and is still under review by PRAC and CHMP; once agreement is reached, this version will also be provided to the TGA.</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E75CF83"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lastRenderedPageBreak/>
              <w:t xml:space="preserve">The sponsor’s response is </w:t>
            </w:r>
            <w:r w:rsidRPr="00647CA1">
              <w:rPr>
                <w:rFonts w:asciiTheme="minorHAnsi" w:hAnsiTheme="minorHAnsi"/>
                <w:sz w:val="20"/>
                <w:szCs w:val="20"/>
              </w:rPr>
              <w:lastRenderedPageBreak/>
              <w:t>considered satisfactory from a RMP perspective.</w:t>
            </w:r>
          </w:p>
          <w:p w14:paraId="38A6CD90" w14:textId="77777777" w:rsidR="00647CA1" w:rsidRPr="00647CA1" w:rsidRDefault="00647CA1" w:rsidP="00647CA1">
            <w:pPr>
              <w:ind w:left="0" w:right="0"/>
              <w:rPr>
                <w:rFonts w:asciiTheme="minorHAnsi" w:hAnsiTheme="minorHAnsi"/>
                <w:sz w:val="20"/>
                <w:szCs w:val="20"/>
              </w:rPr>
            </w:pPr>
            <w:r w:rsidRPr="00647CA1">
              <w:rPr>
                <w:rFonts w:asciiTheme="minorHAnsi" w:hAnsiTheme="minorHAnsi"/>
                <w:sz w:val="20"/>
                <w:szCs w:val="20"/>
              </w:rPr>
              <w:t>It is noted that the sponsor has advised that the updated version of the EU RMP will be provided to the TGA upon agreement in the EU jurisdiction.</w:t>
            </w:r>
          </w:p>
        </w:tc>
      </w:tr>
    </w:tbl>
    <w:p w14:paraId="56245ED5" w14:textId="77777777" w:rsidR="00647CA1" w:rsidRDefault="00647CA1" w:rsidP="00647CA1">
      <w:pPr>
        <w:pStyle w:val="Heading4"/>
      </w:pPr>
      <w:bookmarkStart w:id="155" w:name="_Toc477354123"/>
      <w:r>
        <w:lastRenderedPageBreak/>
        <w:t>New and outstanding recommendations from second round evaluation</w:t>
      </w:r>
      <w:bookmarkEnd w:id="155"/>
    </w:p>
    <w:p w14:paraId="4C56FEA0" w14:textId="7CDC19DD" w:rsidR="00647CA1" w:rsidRPr="00647CA1" w:rsidRDefault="00647CA1" w:rsidP="00647CA1">
      <w:r w:rsidRPr="00647CA1">
        <w:t xml:space="preserve">Outstanding issues relate to Recommendations 6 and 7 of the </w:t>
      </w:r>
      <w:r w:rsidR="00AB7502">
        <w:t>first round</w:t>
      </w:r>
      <w:r w:rsidRPr="00647CA1">
        <w:t xml:space="preserve"> RMP evaluation. These recommendations included the recognition of interactions with CYP3A4 inducers/inhibitors as an identified risk (with associated pharmacovigilance), and a request to the sponsor to advise when the EU-RMP was to be updated and submitted to the TGA.</w:t>
      </w:r>
    </w:p>
    <w:p w14:paraId="40731385" w14:textId="77777777" w:rsidR="00647CA1" w:rsidRPr="00647CA1" w:rsidRDefault="00647CA1" w:rsidP="00647CA1">
      <w:r w:rsidRPr="00647CA1">
        <w:t>The sponsor has advised that the EU RMP is currently being updated to include these drug interactions as an important identified risk, with routine pharmacovigilance. The sponsor advised that once the EU RMP is endorsed by PRAC and CHMP, the Core RMP revisions will be made, and versions of the EU and Core RMPs will be provided to the TGA.</w:t>
      </w:r>
    </w:p>
    <w:p w14:paraId="19C0B587" w14:textId="77777777" w:rsidR="00456765" w:rsidRPr="00BB4B51" w:rsidRDefault="00456765" w:rsidP="00456765">
      <w:pPr>
        <w:pStyle w:val="Heading4"/>
      </w:pPr>
      <w:bookmarkStart w:id="156" w:name="_Toc477354124"/>
      <w:r>
        <w:t>Proposed wording for conditions of registration</w:t>
      </w:r>
      <w:bookmarkEnd w:id="156"/>
    </w:p>
    <w:p w14:paraId="1100B837" w14:textId="77777777" w:rsidR="00647CA1" w:rsidRPr="00647CA1" w:rsidRDefault="00647CA1" w:rsidP="00647CA1">
      <w:pPr>
        <w:pStyle w:val="Heading5"/>
      </w:pPr>
      <w:r w:rsidRPr="00647CA1">
        <w:t>RMP</w:t>
      </w:r>
    </w:p>
    <w:p w14:paraId="63A7C3FC" w14:textId="77777777" w:rsidR="00647CA1" w:rsidRPr="00647CA1" w:rsidRDefault="00647CA1" w:rsidP="00647CA1">
      <w:r w:rsidRPr="00647CA1">
        <w:t>Any changes to which the sponsor agreed become part of the risk management system, whether they are included in the currently available version of the RMP document, or not included, inadvertently or otherwise.</w:t>
      </w:r>
    </w:p>
    <w:p w14:paraId="3616889E" w14:textId="77777777" w:rsidR="00647CA1" w:rsidRPr="00647CA1" w:rsidRDefault="00647CA1" w:rsidP="00647CA1">
      <w:r w:rsidRPr="00647CA1">
        <w:t>The suggested wording is:</w:t>
      </w:r>
    </w:p>
    <w:p w14:paraId="1983E8B9" w14:textId="77777777" w:rsidR="00456765" w:rsidRPr="00D31393" w:rsidRDefault="00647CA1" w:rsidP="0078603C">
      <w:pPr>
        <w:ind w:left="720"/>
      </w:pPr>
      <w:r w:rsidRPr="00647CA1">
        <w:t xml:space="preserve">Implement RMP (Version 5, dated 3 November 2014, data lock point 20 May 2014) with Australian Specific Annex (Version 1, dated 5 November 2015) and any future updates </w:t>
      </w:r>
      <w:r w:rsidR="0078603C">
        <w:t>as a condition of registration.</w:t>
      </w:r>
    </w:p>
    <w:p w14:paraId="7483B415" w14:textId="77777777" w:rsidR="008E7846" w:rsidRPr="00792A32" w:rsidRDefault="008E7846" w:rsidP="00541721">
      <w:pPr>
        <w:pStyle w:val="Heading2"/>
        <w:pageBreakBefore/>
      </w:pPr>
      <w:bookmarkStart w:id="157" w:name="_Toc8053831"/>
      <w:r>
        <w:lastRenderedPageBreak/>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28"/>
      <w:bookmarkEnd w:id="153"/>
      <w:bookmarkEnd w:id="154"/>
      <w:bookmarkEnd w:id="157"/>
    </w:p>
    <w:p w14:paraId="7BA07047" w14:textId="77777777" w:rsidR="008E7846" w:rsidRDefault="008E7846" w:rsidP="008E7846">
      <w:bookmarkStart w:id="158" w:name="_Toc247691528"/>
      <w:r>
        <w:t xml:space="preserve">The submission was summarised in the following </w:t>
      </w:r>
      <w:r w:rsidRPr="00EF5C48">
        <w:t xml:space="preserve">Delegate’s </w:t>
      </w:r>
      <w:r>
        <w:t>overview</w:t>
      </w:r>
      <w:r w:rsidRPr="00EF5C48">
        <w:t xml:space="preserve"> and recommendation</w:t>
      </w:r>
      <w:r>
        <w:t>s:</w:t>
      </w:r>
    </w:p>
    <w:p w14:paraId="55004E4D" w14:textId="77777777" w:rsidR="009E74C4" w:rsidRDefault="009E74C4" w:rsidP="009E74C4">
      <w:pPr>
        <w:pStyle w:val="Heading3"/>
      </w:pPr>
      <w:bookmarkStart w:id="159" w:name="_Toc8053832"/>
      <w:r>
        <w:t>Introduction</w:t>
      </w:r>
      <w:bookmarkEnd w:id="159"/>
    </w:p>
    <w:p w14:paraId="07C8B937" w14:textId="77777777" w:rsidR="005D64FB" w:rsidRDefault="009E74C4" w:rsidP="009E74C4">
      <w:r w:rsidRPr="009E74C4">
        <w:t xml:space="preserve">The breast cancer genes play a role in homologous DNA repair pathways and a germline mutation in either of these genes increases the risk of a range of cancers including breast and ovarian cancer, and also fallopian tube and primary peritoneal carcinoma. Such tumours have thus have lost one pathway for DNA repair and become reliant upon the other key remaining </w:t>
      </w:r>
      <w:r w:rsidR="00175320">
        <w:t>PARP</w:t>
      </w:r>
      <w:r w:rsidRPr="009E74C4">
        <w:t xml:space="preserve"> pathway to repair any double stranded DNA breaks. By inhibiting the PARP pathway, tumour cells which have non-functioning homologous DNA repair mechanisms cannot effectively repair the DNA damage, and become reliant upon pathways which are highly error prone and result in gross genomic instability and subsequent cell death. In a study published in 2012, BRCA mutations were detected in 16% of Australian women presenting with serous epithelial ovarian cancer, the most common subtype. While bi</w:t>
      </w:r>
      <w:r w:rsidR="00175320">
        <w:t>-</w:t>
      </w:r>
      <w:r w:rsidRPr="009E74C4">
        <w:t>allelic somatic mutati</w:t>
      </w:r>
      <w:r w:rsidR="00175320">
        <w:t xml:space="preserve">ons occur, the majority of BRCA </w:t>
      </w:r>
      <w:r w:rsidRPr="009E74C4">
        <w:t>deficient tumours are found in women who carry a predisposing BRCA gene mutation. While this group has improved rates of progression-free and overall survival in part due to maintained platinum sensitivity, disease progression is inevitable</w:t>
      </w:r>
      <w:r w:rsidR="003E2109">
        <w:t>.</w:t>
      </w:r>
      <w:r w:rsidR="003E2109">
        <w:rPr>
          <w:rStyle w:val="FootnoteReference"/>
        </w:rPr>
        <w:footnoteReference w:id="27"/>
      </w:r>
      <w:r w:rsidRPr="009E74C4">
        <w:t xml:space="preserve"> These women represent a significant and clearly identifiable cohort of patients, whose tumours have a defective homologous recombination DNA repair pathway (HRD) that can be targeted by the PARP inhibition</w:t>
      </w:r>
      <w:r w:rsidR="005D64FB">
        <w:t>.</w:t>
      </w:r>
    </w:p>
    <w:p w14:paraId="3A763345" w14:textId="03A43CA0" w:rsidR="009E74C4" w:rsidRDefault="009E74C4" w:rsidP="009E74C4">
      <w:r w:rsidRPr="009E74C4">
        <w:t>There is a clear rationale for the development of PARP inhibitors in patients with ovarian, fallopian tube and primary peritoneal cancer with either a BRCA1 or BRCA2 germline or somatic mutation. This represents an advance in targeting a specific population of ovarian cancers based on an underlying molecular defect in the homologous recombination DNA repair pathway.</w:t>
      </w:r>
    </w:p>
    <w:p w14:paraId="6399B20F" w14:textId="4EB66AFD" w:rsidR="009E74C4" w:rsidRPr="009E74C4" w:rsidRDefault="009E74C4" w:rsidP="009E74C4">
      <w:r w:rsidRPr="009E74C4">
        <w:t xml:space="preserve">Olaparib is a new chemical entity, reported to be a potent </w:t>
      </w:r>
      <w:r w:rsidR="00175320">
        <w:t>PARP</w:t>
      </w:r>
      <w:r w:rsidRPr="009E74C4">
        <w:t xml:space="preserve"> inhibitor (PARP-1, -2 and -3). In addition to the data presented here in ovarian cancer, recent publications have indicated its role and efficacy to be in targeting prostate cancers with homologous DNA repair pathway deficiencies due to deleterious mutations or deletions in BRCA 1/2, CHEK2</w:t>
      </w:r>
      <w:r w:rsidR="003E2109">
        <w:t>.</w:t>
      </w:r>
      <w:bookmarkStart w:id="160" w:name="_Ref528682643"/>
      <w:r w:rsidR="003E2109">
        <w:rPr>
          <w:rStyle w:val="FootnoteReference"/>
        </w:rPr>
        <w:footnoteReference w:id="28"/>
      </w:r>
      <w:bookmarkEnd w:id="160"/>
    </w:p>
    <w:p w14:paraId="1A50DB0B" w14:textId="77777777" w:rsidR="009E74C4" w:rsidRPr="009E74C4" w:rsidRDefault="003E2109" w:rsidP="009E74C4">
      <w:pPr>
        <w:pStyle w:val="Heading4"/>
      </w:pPr>
      <w:r>
        <w:t>Orphan designation</w:t>
      </w:r>
    </w:p>
    <w:p w14:paraId="2AEFF68F" w14:textId="77777777" w:rsidR="009E74C4" w:rsidRPr="009E74C4" w:rsidRDefault="009E74C4" w:rsidP="009E74C4">
      <w:r w:rsidRPr="009E74C4">
        <w:t xml:space="preserve">Olaparib received orphan designation from the TGA on 14 January 2014 as follows: “Olaparib is indicated as monotherapy for the maintenance treatment of adult patients with platinum-sensitive relapsed BRCA-mutated ovarian, fallopian tube or primary peritoneal cancer who are in response to </w:t>
      </w:r>
      <w:r w:rsidR="007607D4">
        <w:t>platinum based</w:t>
      </w:r>
      <w:r w:rsidR="003E2109">
        <w:t xml:space="preserve"> therapy.”</w:t>
      </w:r>
    </w:p>
    <w:p w14:paraId="52D2A351" w14:textId="77777777" w:rsidR="005D64FB" w:rsidRDefault="009E74C4" w:rsidP="009E74C4">
      <w:r w:rsidRPr="009E74C4">
        <w:t xml:space="preserve">It is noted however, that </w:t>
      </w:r>
      <w:proofErr w:type="spellStart"/>
      <w:r w:rsidRPr="009E74C4">
        <w:t>olaparib’s</w:t>
      </w:r>
      <w:proofErr w:type="spellEnd"/>
      <w:r w:rsidRPr="009E74C4">
        <w:t xml:space="preserve"> mechanism of action is stated to be related to synthetic lethality induced by blocking one of the remaining intact pathways in the presence of a defect in another DNA repair pathway, and that BRCA mutation is just one such pathway. Future applications would view olaparib as an agent to treat diseases or conditions with homologous DNA repair pathway deficiencies, rather than by anatomical site, histological </w:t>
      </w:r>
      <w:r w:rsidRPr="009E74C4">
        <w:lastRenderedPageBreak/>
        <w:t>subtypes or individual gene mutations, which are subsets. This has been validated by the recent publication of efficacy in the treatment of prostate cancer with a range of DNA pathway deficiencies</w:t>
      </w:r>
      <w:r w:rsidR="003E2109">
        <w:t>.</w:t>
      </w:r>
      <w:r w:rsidR="003E2109" w:rsidRPr="003E2109">
        <w:rPr>
          <w:vertAlign w:val="superscript"/>
        </w:rPr>
        <w:fldChar w:fldCharType="begin"/>
      </w:r>
      <w:r w:rsidR="003E2109" w:rsidRPr="003E2109">
        <w:rPr>
          <w:vertAlign w:val="superscript"/>
        </w:rPr>
        <w:instrText xml:space="preserve"> NOTEREF _Ref528682643 \h </w:instrText>
      </w:r>
      <w:r w:rsidR="003E2109">
        <w:rPr>
          <w:vertAlign w:val="superscript"/>
        </w:rPr>
        <w:instrText xml:space="preserve"> \* MERGEFORMAT </w:instrText>
      </w:r>
      <w:r w:rsidR="003E2109" w:rsidRPr="003E2109">
        <w:rPr>
          <w:vertAlign w:val="superscript"/>
        </w:rPr>
      </w:r>
      <w:r w:rsidR="003E2109" w:rsidRPr="003E2109">
        <w:rPr>
          <w:vertAlign w:val="superscript"/>
        </w:rPr>
        <w:fldChar w:fldCharType="separate"/>
      </w:r>
      <w:r w:rsidR="00121EAE">
        <w:rPr>
          <w:vertAlign w:val="superscript"/>
        </w:rPr>
        <w:t>28</w:t>
      </w:r>
      <w:r w:rsidR="003E2109" w:rsidRPr="003E2109">
        <w:rPr>
          <w:vertAlign w:val="superscript"/>
        </w:rPr>
        <w:fldChar w:fldCharType="end"/>
      </w:r>
    </w:p>
    <w:p w14:paraId="75D02C52" w14:textId="77777777" w:rsidR="009E74C4" w:rsidRPr="009E74C4" w:rsidRDefault="003E2109" w:rsidP="009E74C4">
      <w:pPr>
        <w:pStyle w:val="Heading4"/>
      </w:pPr>
      <w:r>
        <w:t>Overseas regulatory history</w:t>
      </w:r>
    </w:p>
    <w:p w14:paraId="4E413415" w14:textId="77777777" w:rsidR="009E74C4" w:rsidRPr="009E74C4" w:rsidRDefault="009E74C4" w:rsidP="00D659F1">
      <w:pPr>
        <w:pStyle w:val="ListBullet"/>
      </w:pPr>
      <w:r w:rsidRPr="009E74C4">
        <w:t>The EMA granted marketing authorisation on 16 December 201</w:t>
      </w:r>
      <w:r w:rsidR="003E2109">
        <w:t>4 for the following indication:</w:t>
      </w:r>
    </w:p>
    <w:p w14:paraId="3677F1DB" w14:textId="77777777" w:rsidR="005D64FB" w:rsidRDefault="002B698E" w:rsidP="00D659F1">
      <w:pPr>
        <w:ind w:left="360"/>
      </w:pPr>
      <w:r>
        <w:t>Lynparza</w:t>
      </w:r>
      <w:r w:rsidR="009E74C4" w:rsidRPr="009E74C4">
        <w:t xml:space="preserve"> is indicated as monotherapy for the maintenance treatment of adult patients with platinum-sensitive relapsed BRCA-mutated (germline and/or somatic) high grade serous epithelial ovarian, fallopian tube, or primary peritoneal cancer who are in response (complete response or partial response) to </w:t>
      </w:r>
      <w:r w:rsidR="007607D4">
        <w:t>platinum based</w:t>
      </w:r>
      <w:r w:rsidR="009E74C4" w:rsidRPr="009E74C4">
        <w:t xml:space="preserve"> chemotherapy</w:t>
      </w:r>
      <w:r w:rsidR="005D64FB">
        <w:t>.</w:t>
      </w:r>
    </w:p>
    <w:p w14:paraId="32862B70" w14:textId="77777777" w:rsidR="009E74C4" w:rsidRPr="009E74C4" w:rsidRDefault="009E74C4" w:rsidP="00D659F1">
      <w:pPr>
        <w:ind w:left="360"/>
      </w:pPr>
      <w:r w:rsidRPr="009E74C4">
        <w:t>The requirements of registration included the following:</w:t>
      </w:r>
    </w:p>
    <w:p w14:paraId="603D2919" w14:textId="585EA9D1" w:rsidR="009E74C4" w:rsidRPr="009E74C4" w:rsidRDefault="009E74C4" w:rsidP="00D659F1">
      <w:pPr>
        <w:pStyle w:val="ListBullet2"/>
      </w:pPr>
      <w:r w:rsidRPr="009E74C4">
        <w:t xml:space="preserve">PAES: In order to further define the long term efficacy of olaparib in patients with platinum sensitive relapsed BRCA mutated high grade serous ovarian cancer, the MAH should submit the final </w:t>
      </w:r>
      <w:r w:rsidR="00AB7502">
        <w:t>o</w:t>
      </w:r>
      <w:r w:rsidR="00AB7502" w:rsidRPr="009E74C4">
        <w:t xml:space="preserve">verall </w:t>
      </w:r>
      <w:r w:rsidR="00AB7502">
        <w:t>s</w:t>
      </w:r>
      <w:r w:rsidR="00AB7502" w:rsidRPr="009E74C4">
        <w:t xml:space="preserve">urvival </w:t>
      </w:r>
      <w:r w:rsidRPr="009E74C4">
        <w:t xml:space="preserve">(OS) analysis </w:t>
      </w:r>
      <w:r w:rsidR="000870B6">
        <w:t>of S</w:t>
      </w:r>
      <w:r w:rsidRPr="009E74C4">
        <w:t xml:space="preserve">tudy D0810C00019, a </w:t>
      </w:r>
      <w:r w:rsidR="003E2109">
        <w:t>Phase</w:t>
      </w:r>
      <w:r w:rsidRPr="009E74C4">
        <w:t xml:space="preserve"> II randomised, double blind, multicentre study.</w:t>
      </w:r>
      <w:r w:rsidR="005D64FB">
        <w:t xml:space="preserve"> </w:t>
      </w:r>
      <w:r w:rsidRPr="009E74C4">
        <w:t>The clinical study report should be submitted by: June 2017</w:t>
      </w:r>
      <w:r w:rsidR="00F12C72">
        <w:t>.</w:t>
      </w:r>
    </w:p>
    <w:p w14:paraId="255E93E1" w14:textId="687DF508" w:rsidR="009E74C4" w:rsidRPr="009E74C4" w:rsidRDefault="009E74C4" w:rsidP="00D659F1">
      <w:pPr>
        <w:pStyle w:val="ListBullet2"/>
      </w:pPr>
      <w:r w:rsidRPr="009E74C4">
        <w:t>PAES: In order to further confirm the efficacy of olaparib in patients with platinum sensitive relapsed BRCA mutated high grade serous ovarian cancer, the MA</w:t>
      </w:r>
      <w:r w:rsidR="000870B6">
        <w:t xml:space="preserve">H should submit the results of </w:t>
      </w:r>
      <w:r w:rsidR="00AB7502">
        <w:t>S</w:t>
      </w:r>
      <w:r w:rsidR="00AB7502" w:rsidRPr="009E74C4">
        <w:t xml:space="preserve">tudy </w:t>
      </w:r>
      <w:r w:rsidRPr="009E74C4">
        <w:t xml:space="preserve">D0816C00002, a </w:t>
      </w:r>
      <w:r w:rsidR="003E2109">
        <w:t>Phase</w:t>
      </w:r>
      <w:r w:rsidRPr="009E74C4">
        <w:t xml:space="preserve"> III randomised double-blind placebo-controlled multicentre study. The clinical study report should</w:t>
      </w:r>
      <w:r w:rsidR="003E2109">
        <w:t xml:space="preserve"> be submitted by: December 2018.</w:t>
      </w:r>
    </w:p>
    <w:p w14:paraId="385BD284" w14:textId="77777777" w:rsidR="00D659F1" w:rsidRPr="00D659F1" w:rsidRDefault="00D659F1" w:rsidP="00D659F1">
      <w:pPr>
        <w:pStyle w:val="ListBullet"/>
      </w:pPr>
      <w:r w:rsidRPr="00D659F1">
        <w:t xml:space="preserve">The </w:t>
      </w:r>
      <w:r w:rsidR="00292F92">
        <w:t>Food and Drug Administration</w:t>
      </w:r>
      <w:r w:rsidR="00292F92" w:rsidRPr="00D659F1">
        <w:t xml:space="preserve"> </w:t>
      </w:r>
      <w:r w:rsidR="00292F92">
        <w:t>(</w:t>
      </w:r>
      <w:r w:rsidRPr="00D659F1">
        <w:t>FDA</w:t>
      </w:r>
      <w:r w:rsidR="00292F92">
        <w:t>)</w:t>
      </w:r>
      <w:r w:rsidRPr="00D659F1">
        <w:t xml:space="preserve"> approved the following on 19 December 2014 under accelerated approval (conditional approval with confirmatory trial evidence required):</w:t>
      </w:r>
    </w:p>
    <w:p w14:paraId="35A7D923" w14:textId="77777777" w:rsidR="005D64FB" w:rsidRDefault="002B698E" w:rsidP="00D659F1">
      <w:pPr>
        <w:ind w:left="360"/>
      </w:pPr>
      <w:r>
        <w:t>Lynparza</w:t>
      </w:r>
      <w:r w:rsidR="00D659F1" w:rsidRPr="00D659F1">
        <w:t xml:space="preserve"> is a poly (ADP-ribose) polymerase (PARP) inhibitor indicated as monotherapy in patients with deleterious or suspected deleterious germline BRCA mutated (as detected by an FDA-approved test) advanced ovarian cancer who have been treated with three or more prior lines of chemotherapy</w:t>
      </w:r>
      <w:r w:rsidR="005D64FB">
        <w:t>.</w:t>
      </w:r>
    </w:p>
    <w:p w14:paraId="0341DCA0" w14:textId="77777777" w:rsidR="005D64FB" w:rsidRDefault="00D659F1" w:rsidP="00D659F1">
      <w:pPr>
        <w:ind w:left="360"/>
      </w:pPr>
      <w:r w:rsidRPr="00D659F1">
        <w:t>The indication is approved under accelerated approval based on objective response rate and duration of response. Continued approval for this indication may be contingent upon verification and description of clinical benefit in confirmatory trials</w:t>
      </w:r>
      <w:r w:rsidR="005D64FB">
        <w:t>.</w:t>
      </w:r>
    </w:p>
    <w:p w14:paraId="10B98F7D" w14:textId="77777777" w:rsidR="00D659F1" w:rsidRPr="00D659F1" w:rsidRDefault="00D659F1" w:rsidP="00D659F1">
      <w:pPr>
        <w:ind w:left="360"/>
      </w:pPr>
      <w:r w:rsidRPr="00D659F1">
        <w:t>The following are requirements either to fulfil the accelerated approval conditions or to post</w:t>
      </w:r>
      <w:r w:rsidR="003E2109">
        <w:t>-</w:t>
      </w:r>
      <w:r w:rsidRPr="00D659F1">
        <w:t>marketing requirements.</w:t>
      </w:r>
    </w:p>
    <w:p w14:paraId="39C26C14" w14:textId="483B8CCE" w:rsidR="00D659F1" w:rsidRPr="00D659F1" w:rsidRDefault="00D659F1" w:rsidP="003E2109">
      <w:pPr>
        <w:pStyle w:val="Numberbullet0"/>
        <w:numPr>
          <w:ilvl w:val="0"/>
          <w:numId w:val="13"/>
        </w:numPr>
        <w:ind w:left="782"/>
      </w:pPr>
      <w:r w:rsidRPr="00D659F1">
        <w:t>Submit the results of progression free survival (PFS) and overa</w:t>
      </w:r>
      <w:r w:rsidR="000870B6">
        <w:t>ll survival (OS) analyses from S</w:t>
      </w:r>
      <w:r w:rsidRPr="00D659F1">
        <w:t>tudy D0818C00002, SOLO-2, the ongoing random</w:t>
      </w:r>
      <w:r w:rsidR="00172769">
        <w:t>ise</w:t>
      </w:r>
      <w:r w:rsidRPr="00D659F1">
        <w:t>d double</w:t>
      </w:r>
      <w:r w:rsidR="00C804A8">
        <w:t xml:space="preserve"> </w:t>
      </w:r>
      <w:r w:rsidRPr="00D659F1">
        <w:t>blind, placebo controlled, multi</w:t>
      </w:r>
      <w:r w:rsidR="003E2109" w:rsidRPr="00D659F1">
        <w:t>centre</w:t>
      </w:r>
      <w:r w:rsidRPr="00D659F1">
        <w:t xml:space="preserve"> trial to assess the efficacy of olaparib maintenance monotherapy relapsed high grade serous ovarian cancer (HGSOC) patients (including patients with primary peritoneal and / or fallopian tube cancer) or high grade </w:t>
      </w:r>
      <w:proofErr w:type="spellStart"/>
      <w:r w:rsidRPr="00D659F1">
        <w:t>endometrioid</w:t>
      </w:r>
      <w:proofErr w:type="spellEnd"/>
      <w:r w:rsidRPr="00D659F1">
        <w:t xml:space="preserve"> cancer with BRCA mutations (documented mutation in BRCA1 or BRCA2 that is predicted to be deleterious or suspected deleterious (known or predicted to be detrimental/lead to loss of function)) who have responded following platinum based chemotherapy.</w:t>
      </w:r>
    </w:p>
    <w:p w14:paraId="72B9188C" w14:textId="2F9583BE" w:rsidR="00D659F1" w:rsidRPr="00D659F1" w:rsidRDefault="00D659F1" w:rsidP="003E2109">
      <w:pPr>
        <w:pStyle w:val="Numberbullet0"/>
        <w:ind w:left="782"/>
      </w:pPr>
      <w:r w:rsidRPr="00D659F1">
        <w:t>Submit the results of progression free survival (PFS) and overa</w:t>
      </w:r>
      <w:r w:rsidR="000870B6">
        <w:t>ll survival (OS) analyses from S</w:t>
      </w:r>
      <w:r w:rsidRPr="00D659F1">
        <w:t>tudy D0816C00010, a random</w:t>
      </w:r>
      <w:r w:rsidR="00172769">
        <w:t>ise</w:t>
      </w:r>
      <w:r w:rsidRPr="00D659F1">
        <w:t>d trial establishing the superiority of olaparib over physician’s choice single agent chemotherapy in the treatment of platinum sensitive relapsed ovarian cancer in patients carrying deleterious or suspected deleterious germline BRCA1/2 mutations.</w:t>
      </w:r>
    </w:p>
    <w:p w14:paraId="41EFB888" w14:textId="15EBDFC0" w:rsidR="00D659F1" w:rsidRPr="00D659F1" w:rsidRDefault="00D659F1" w:rsidP="00D659F1">
      <w:pPr>
        <w:pStyle w:val="Numberbullet0"/>
        <w:ind w:left="782"/>
      </w:pPr>
      <w:r w:rsidRPr="00D659F1">
        <w:lastRenderedPageBreak/>
        <w:t>Provide annual summaries of all cases of</w:t>
      </w:r>
      <w:r w:rsidR="00C804A8" w:rsidRPr="00D659F1">
        <w:t xml:space="preserve"> acute myelogenous </w:t>
      </w:r>
      <w:proofErr w:type="spellStart"/>
      <w:r w:rsidR="00C804A8" w:rsidRPr="00D659F1">
        <w:t>leukemia</w:t>
      </w:r>
      <w:proofErr w:type="spellEnd"/>
      <w:r w:rsidR="00C804A8" w:rsidRPr="00D659F1">
        <w:t xml:space="preserve"> / myelodysplastic syndrome </w:t>
      </w:r>
      <w:r w:rsidRPr="00D659F1">
        <w:t xml:space="preserve">identified in patients treated with </w:t>
      </w:r>
      <w:r w:rsidR="002B698E">
        <w:t>Lynparza</w:t>
      </w:r>
      <w:r w:rsidRPr="00D659F1">
        <w:t xml:space="preserve"> (olaparib). These reports should summar</w:t>
      </w:r>
      <w:r w:rsidR="00172769">
        <w:t>ise</w:t>
      </w:r>
      <w:r w:rsidRPr="00D659F1">
        <w:t xml:space="preserve"> all cases identified up until that reporting date (new cases and those reported in previous years), and should include patients treated with </w:t>
      </w:r>
      <w:r w:rsidR="002B698E">
        <w:t>Lynparza</w:t>
      </w:r>
      <w:r w:rsidRPr="00D659F1">
        <w:t xml:space="preserve"> on trials and outside of clinical trials (including spontaneous safety reports).</w:t>
      </w:r>
    </w:p>
    <w:p w14:paraId="2487150C" w14:textId="31B15EEB" w:rsidR="00D659F1" w:rsidRPr="00D659F1" w:rsidRDefault="00D659F1" w:rsidP="00D659F1">
      <w:pPr>
        <w:pStyle w:val="Numberbullet0"/>
        <w:ind w:left="782"/>
      </w:pPr>
      <w:r w:rsidRPr="00D659F1">
        <w:t xml:space="preserve">Submit the final report for </w:t>
      </w:r>
      <w:r w:rsidR="00C804A8">
        <w:t>T</w:t>
      </w:r>
      <w:r w:rsidRPr="00D659F1">
        <w:t xml:space="preserve">rial D0816C00006 entitled, </w:t>
      </w:r>
      <w:r w:rsidR="00C804A8">
        <w:t>‘</w:t>
      </w:r>
      <w:r w:rsidR="00C804A8" w:rsidRPr="00D659F1">
        <w:t>an open-label, non-random</w:t>
      </w:r>
      <w:r w:rsidR="00C804A8">
        <w:t>ise</w:t>
      </w:r>
      <w:r w:rsidR="00C804A8" w:rsidRPr="00D659F1">
        <w:t>d, multicentr</w:t>
      </w:r>
      <w:r w:rsidR="00C804A8">
        <w:t>e</w:t>
      </w:r>
      <w:r w:rsidR="00C804A8" w:rsidRPr="00D659F1">
        <w:t xml:space="preserve">, comparative, and </w:t>
      </w:r>
      <w:r w:rsidR="00C804A8">
        <w:t>P</w:t>
      </w:r>
      <w:r w:rsidR="00C804A8" w:rsidRPr="00D659F1">
        <w:t xml:space="preserve">hase </w:t>
      </w:r>
      <w:r w:rsidR="00C804A8">
        <w:t>I</w:t>
      </w:r>
      <w:r w:rsidR="00C804A8" w:rsidRPr="00D659F1">
        <w:t xml:space="preserve"> study of the pharmacokinetics, safety and tolerability of olapa</w:t>
      </w:r>
      <w:r w:rsidR="00C804A8">
        <w:t>rib following a single oral 300 </w:t>
      </w:r>
      <w:r w:rsidR="00C804A8" w:rsidRPr="00D659F1">
        <w:t xml:space="preserve">mg dose to patients with advanced solid </w:t>
      </w:r>
      <w:proofErr w:type="spellStart"/>
      <w:r w:rsidR="00C804A8" w:rsidRPr="00D659F1">
        <w:t>tumors</w:t>
      </w:r>
      <w:proofErr w:type="spellEnd"/>
      <w:r w:rsidR="00C804A8" w:rsidRPr="00D659F1">
        <w:t xml:space="preserve"> and normal renal function or renal impairment.</w:t>
      </w:r>
      <w:r w:rsidR="00C804A8">
        <w:t>’</w:t>
      </w:r>
    </w:p>
    <w:p w14:paraId="6D3F2674" w14:textId="62E0C4CF" w:rsidR="00D659F1" w:rsidRPr="00D659F1" w:rsidRDefault="00D659F1" w:rsidP="00D659F1">
      <w:pPr>
        <w:pStyle w:val="Numberbullet0"/>
        <w:ind w:left="782"/>
      </w:pPr>
      <w:r w:rsidRPr="00D659F1">
        <w:t xml:space="preserve">Submit the final report for </w:t>
      </w:r>
      <w:r w:rsidR="00C804A8">
        <w:t>T</w:t>
      </w:r>
      <w:r w:rsidRPr="00D659F1">
        <w:t xml:space="preserve">rial D0816C00005 entitled, </w:t>
      </w:r>
      <w:r w:rsidR="00C804A8">
        <w:t>‘</w:t>
      </w:r>
      <w:r w:rsidRPr="00D659F1">
        <w:t xml:space="preserve">An </w:t>
      </w:r>
      <w:r w:rsidR="00C804A8" w:rsidRPr="00D659F1">
        <w:t>open-label, non-random</w:t>
      </w:r>
      <w:r w:rsidR="00C804A8">
        <w:t>ise</w:t>
      </w:r>
      <w:r w:rsidR="00C804A8" w:rsidRPr="00D659F1">
        <w:t>d, multicentr</w:t>
      </w:r>
      <w:r w:rsidR="00C804A8">
        <w:t>e</w:t>
      </w:r>
      <w:r w:rsidR="00C804A8" w:rsidRPr="00D659F1">
        <w:t xml:space="preserve">, comparative, </w:t>
      </w:r>
      <w:r w:rsidR="00C804A8">
        <w:t>P</w:t>
      </w:r>
      <w:r w:rsidR="00C804A8" w:rsidRPr="00D659F1">
        <w:t xml:space="preserve">hase </w:t>
      </w:r>
      <w:r w:rsidR="00C804A8">
        <w:t>I</w:t>
      </w:r>
      <w:r w:rsidR="00C804A8" w:rsidRPr="00D659F1">
        <w:t xml:space="preserve"> study to determine the pharmacokinetics, safety and tolerability of olaparib following a single oral 300</w:t>
      </w:r>
      <w:r w:rsidR="00C804A8">
        <w:t> </w:t>
      </w:r>
      <w:r w:rsidR="00C804A8" w:rsidRPr="00D659F1">
        <w:t>mg dose to patients with advanced solid tumours and normal hepatic function or mild or moderate hepatic impairment.</w:t>
      </w:r>
      <w:r w:rsidR="00C804A8">
        <w:t>’</w:t>
      </w:r>
    </w:p>
    <w:p w14:paraId="2AB319B7" w14:textId="77777777" w:rsidR="008E7846" w:rsidRDefault="008E7846" w:rsidP="008E7846">
      <w:pPr>
        <w:pStyle w:val="Heading3"/>
      </w:pPr>
      <w:bookmarkStart w:id="161" w:name="_Toc314842511"/>
      <w:bookmarkStart w:id="162" w:name="_Toc8053833"/>
      <w:r>
        <w:t>Quality</w:t>
      </w:r>
      <w:bookmarkEnd w:id="158"/>
      <w:bookmarkEnd w:id="161"/>
      <w:bookmarkEnd w:id="162"/>
    </w:p>
    <w:p w14:paraId="33EE58C6" w14:textId="35408DF7" w:rsidR="00730F8A" w:rsidRPr="00D659F1" w:rsidRDefault="00D659F1" w:rsidP="00D659F1">
      <w:r w:rsidRPr="00D659F1">
        <w:t xml:space="preserve">The finalised version of the </w:t>
      </w:r>
      <w:r w:rsidR="00C804A8">
        <w:t>p</w:t>
      </w:r>
      <w:r w:rsidR="00C804A8" w:rsidRPr="00D659F1">
        <w:t xml:space="preserve">harmaceutical </w:t>
      </w:r>
      <w:r w:rsidRPr="00D659F1">
        <w:t>evaluation report is not yet available, and any action proposed is conditional upon there being no outstanding issues.</w:t>
      </w:r>
      <w:r w:rsidR="00412134">
        <w:rPr>
          <w:rStyle w:val="FootnoteReference"/>
        </w:rPr>
        <w:footnoteReference w:id="29"/>
      </w:r>
    </w:p>
    <w:p w14:paraId="59D06EDB" w14:textId="77777777" w:rsidR="008E7846" w:rsidRDefault="008E7846" w:rsidP="008E7846">
      <w:pPr>
        <w:pStyle w:val="Heading3"/>
      </w:pPr>
      <w:bookmarkStart w:id="163" w:name="_Toc314842512"/>
      <w:bookmarkStart w:id="164" w:name="_Toc8053834"/>
      <w:r>
        <w:t>Nonclinical</w:t>
      </w:r>
      <w:bookmarkEnd w:id="163"/>
      <w:bookmarkEnd w:id="164"/>
    </w:p>
    <w:p w14:paraId="2C39B9FA" w14:textId="77777777" w:rsidR="00D659F1" w:rsidRPr="00D659F1" w:rsidRDefault="00D659F1" w:rsidP="00D659F1">
      <w:r w:rsidRPr="00D659F1">
        <w:t xml:space="preserve">The </w:t>
      </w:r>
      <w:r w:rsidR="003E2109">
        <w:t>non</w:t>
      </w:r>
      <w:r w:rsidRPr="00D659F1">
        <w:t>clinical evaluator had no objections on nonclinical grounds to registration of olaparib for the proposed indication. It should be noted that the major limitation of the submitted toxicity studies is that exposures were extremely low, generally subclinical. Therefore, the full toxicity profile of olaparib is unlikely to have been revealed in the submitted dossier.</w:t>
      </w:r>
    </w:p>
    <w:p w14:paraId="3DA06D4F" w14:textId="503FCA86" w:rsidR="00D659F1" w:rsidRPr="00D659F1" w:rsidRDefault="00D659F1" w:rsidP="00D659F1">
      <w:r>
        <w:t xml:space="preserve">For details of the nonclinical summary and conclusions please see </w:t>
      </w:r>
      <w:r w:rsidR="00C804A8">
        <w:t xml:space="preserve">Section </w:t>
      </w:r>
      <w:r>
        <w:t>IV above.</w:t>
      </w:r>
    </w:p>
    <w:p w14:paraId="4E8E4019" w14:textId="77777777" w:rsidR="008E7846" w:rsidRDefault="008E7846" w:rsidP="008E7846">
      <w:pPr>
        <w:pStyle w:val="Heading3"/>
      </w:pPr>
      <w:bookmarkStart w:id="165" w:name="_Toc247691530"/>
      <w:bookmarkStart w:id="166" w:name="_Toc314842513"/>
      <w:bookmarkStart w:id="167" w:name="_Toc8053835"/>
      <w:r>
        <w:t>Clinical</w:t>
      </w:r>
      <w:bookmarkEnd w:id="165"/>
      <w:bookmarkEnd w:id="166"/>
      <w:bookmarkEnd w:id="167"/>
    </w:p>
    <w:p w14:paraId="423DD51A" w14:textId="77777777" w:rsidR="00D659F1" w:rsidRPr="00D659F1" w:rsidRDefault="00D659F1" w:rsidP="00D659F1">
      <w:bookmarkStart w:id="168" w:name="_Toc314842514"/>
      <w:r w:rsidRPr="00D659F1">
        <w:t>The clinical evaluator has reviewed the submitted data, which included:</w:t>
      </w:r>
    </w:p>
    <w:p w14:paraId="59250E00" w14:textId="77777777" w:rsidR="00D659F1" w:rsidRPr="00D659F1" w:rsidRDefault="00D659F1" w:rsidP="00D659F1">
      <w:pPr>
        <w:pStyle w:val="ListBullet"/>
      </w:pPr>
      <w:r w:rsidRPr="00D659F1">
        <w:t>10 clinical pharmacology studies, including 10 that provided pharmacokinetic data (Studies D0810AC00001, D0816C00004, D0816C00007, D0816C00008, D0810C00001, D0810C0002, D0810C00007, D0810C00008, D0810C00010, D0810C00024, and 5 that provided pharmacodynamic data (Studies D0810C00001, D0810C0002, D0810C00007 D0816C00004 and D0816C00007)</w:t>
      </w:r>
    </w:p>
    <w:p w14:paraId="7D9701BE" w14:textId="77777777" w:rsidR="00D659F1" w:rsidRPr="00D659F1" w:rsidRDefault="00D659F1" w:rsidP="00D659F1">
      <w:pPr>
        <w:pStyle w:val="ListBullet"/>
      </w:pPr>
      <w:r w:rsidRPr="00D659F1">
        <w:t>1 population pharmacokinetic analysis</w:t>
      </w:r>
    </w:p>
    <w:p w14:paraId="252ADDDF" w14:textId="77777777" w:rsidR="00D659F1" w:rsidRPr="00D659F1" w:rsidRDefault="00D659F1" w:rsidP="00D659F1">
      <w:pPr>
        <w:pStyle w:val="ListBullet"/>
      </w:pPr>
      <w:r w:rsidRPr="00D659F1">
        <w:t>3 dose-finding studies (Studies D0810C00001, D0810C0002 and D0810C00024)</w:t>
      </w:r>
    </w:p>
    <w:p w14:paraId="788E739F" w14:textId="3A494F05" w:rsidR="00D659F1" w:rsidRPr="00D659F1" w:rsidRDefault="00D659F1" w:rsidP="00D659F1">
      <w:pPr>
        <w:pStyle w:val="ListBullet"/>
      </w:pPr>
      <w:r w:rsidRPr="00D659F1">
        <w:t xml:space="preserve">1 pivotal efficacy/safety </w:t>
      </w:r>
      <w:r w:rsidR="00C804A8" w:rsidRPr="00D659F1">
        <w:t>stu</w:t>
      </w:r>
      <w:r w:rsidR="00C804A8">
        <w:t>dy</w:t>
      </w:r>
      <w:r w:rsidR="00C804A8" w:rsidRPr="00D659F1">
        <w:t xml:space="preserve"> </w:t>
      </w:r>
      <w:r w:rsidRPr="00D659F1">
        <w:t>(Study D00810C00019)</w:t>
      </w:r>
    </w:p>
    <w:p w14:paraId="0BF6A322" w14:textId="77777777" w:rsidR="00D659F1" w:rsidRPr="00D659F1" w:rsidRDefault="00D659F1" w:rsidP="00D659F1">
      <w:pPr>
        <w:pStyle w:val="ListBullet"/>
      </w:pPr>
      <w:r w:rsidRPr="00D659F1">
        <w:t>5 other efficacy/safety studies (Studies D0810C00009, D0810C00012, D0810C00020, D0810C00041, D0810C000042)</w:t>
      </w:r>
    </w:p>
    <w:p w14:paraId="0FDD194F" w14:textId="77777777" w:rsidR="00D659F1" w:rsidRPr="00D659F1" w:rsidRDefault="00D659F1" w:rsidP="00D659F1">
      <w:pPr>
        <w:pStyle w:val="ListBullet"/>
      </w:pPr>
      <w:r w:rsidRPr="00D659F1">
        <w:t>1 Summary of Clinical Efficacy Outputs</w:t>
      </w:r>
    </w:p>
    <w:p w14:paraId="3020A9E4" w14:textId="77777777" w:rsidR="00D659F1" w:rsidRPr="00D659F1" w:rsidRDefault="00D659F1" w:rsidP="00D659F1">
      <w:pPr>
        <w:pStyle w:val="ListBullet"/>
      </w:pPr>
      <w:r w:rsidRPr="00D659F1">
        <w:t>1 Summary of Clinical Safety Outputs</w:t>
      </w:r>
    </w:p>
    <w:p w14:paraId="70226086" w14:textId="29695294" w:rsidR="00D659F1" w:rsidRPr="00D659F1" w:rsidRDefault="003E2109" w:rsidP="00D659F1">
      <w:pPr>
        <w:pStyle w:val="ListBullet"/>
      </w:pPr>
      <w:r>
        <w:lastRenderedPageBreak/>
        <w:t xml:space="preserve">1 </w:t>
      </w:r>
      <w:proofErr w:type="spellStart"/>
      <w:r>
        <w:t>cQT</w:t>
      </w:r>
      <w:proofErr w:type="spellEnd"/>
      <w:r>
        <w:t xml:space="preserve"> </w:t>
      </w:r>
      <w:proofErr w:type="spellStart"/>
      <w:r>
        <w:t>pharmacometric</w:t>
      </w:r>
      <w:proofErr w:type="spellEnd"/>
      <w:r>
        <w:t xml:space="preserve"> report</w:t>
      </w:r>
    </w:p>
    <w:p w14:paraId="71DDE691" w14:textId="4891B07C" w:rsidR="00D659F1" w:rsidRPr="00D659F1" w:rsidRDefault="00D659F1" w:rsidP="00D659F1">
      <w:pPr>
        <w:pStyle w:val="ListBullet"/>
      </w:pPr>
      <w:r w:rsidRPr="00D659F1">
        <w:t>5 dose-finding studies of olaparib in combination with chemotherapy (Studies</w:t>
      </w:r>
      <w:r w:rsidR="00C804A8">
        <w:t> </w:t>
      </w:r>
      <w:r w:rsidRPr="00D659F1">
        <w:t>D0810C00004, D0810C00005, D0810C00006, D0810C00021, D0810L00001)</w:t>
      </w:r>
    </w:p>
    <w:p w14:paraId="68E34C79" w14:textId="182C7225" w:rsidR="00D659F1" w:rsidRPr="00D659F1" w:rsidRDefault="00D659F1" w:rsidP="00D659F1">
      <w:pPr>
        <w:pStyle w:val="ListBullet"/>
      </w:pPr>
      <w:r w:rsidRPr="00D659F1">
        <w:t xml:space="preserve">1 </w:t>
      </w:r>
      <w:r w:rsidR="003E2109">
        <w:t>Phase</w:t>
      </w:r>
      <w:r w:rsidRPr="00D659F1">
        <w:t xml:space="preserve"> II efficacy study of olaparib in combination with c</w:t>
      </w:r>
      <w:r w:rsidR="003E2109">
        <w:t>hemotherapy (Study D0810C00039)</w:t>
      </w:r>
    </w:p>
    <w:p w14:paraId="72F9AB46" w14:textId="77777777" w:rsidR="00D659F1" w:rsidRPr="00D659F1" w:rsidRDefault="00D659F1" w:rsidP="00D659F1">
      <w:pPr>
        <w:pStyle w:val="ListBullet"/>
      </w:pPr>
      <w:r w:rsidRPr="00D659F1">
        <w:t>1 Phase II efficacy study of olaparib in colorecta</w:t>
      </w:r>
      <w:r w:rsidR="003E2109">
        <w:t>l cancer (Study D9010C00008)</w:t>
      </w:r>
    </w:p>
    <w:p w14:paraId="6F2C9D27" w14:textId="77777777" w:rsidR="00D659F1" w:rsidRPr="00D659F1" w:rsidRDefault="00D659F1" w:rsidP="00D659F1">
      <w:pPr>
        <w:pStyle w:val="ListBullet"/>
      </w:pPr>
      <w:r w:rsidRPr="00D659F1">
        <w:t>Literature references</w:t>
      </w:r>
    </w:p>
    <w:p w14:paraId="1D95E3C5" w14:textId="77777777" w:rsidR="00D659F1" w:rsidRPr="00D659F1" w:rsidRDefault="00D659F1" w:rsidP="00D659F1">
      <w:r w:rsidRPr="00D659F1">
        <w:t>The submitted data was evaluated using TGA adopted EMA Guidelines as follows:</w:t>
      </w:r>
    </w:p>
    <w:p w14:paraId="1A4FC71F" w14:textId="77777777" w:rsidR="00D659F1" w:rsidRPr="00D659F1" w:rsidRDefault="00D659F1" w:rsidP="00C21707">
      <w:pPr>
        <w:pStyle w:val="ListBullet"/>
      </w:pPr>
      <w:r w:rsidRPr="00D659F1">
        <w:t>Guideline on the evaluation of anticancer medicinal products in man</w:t>
      </w:r>
    </w:p>
    <w:p w14:paraId="0196BFD7" w14:textId="77777777" w:rsidR="00D659F1" w:rsidRPr="00D659F1" w:rsidRDefault="00D659F1" w:rsidP="00C21707">
      <w:pPr>
        <w:pStyle w:val="ListBullet"/>
      </w:pPr>
      <w:r w:rsidRPr="00D659F1">
        <w:t>Points to consider on application with1. Meta-analyses; 2. One pivotal study.</w:t>
      </w:r>
    </w:p>
    <w:p w14:paraId="0F4A4AD7" w14:textId="77777777" w:rsidR="00D659F1" w:rsidRPr="00D659F1" w:rsidRDefault="00D659F1" w:rsidP="00D659F1">
      <w:pPr>
        <w:pStyle w:val="ListBullet"/>
      </w:pPr>
      <w:r w:rsidRPr="00D659F1">
        <w:t>The Delegate also reviewed the CHMP report available online athttp://www.ema.europa.eu/docs/en_GB/document_library/EPAR_-_Public_assessment_repo</w:t>
      </w:r>
      <w:bookmarkStart w:id="169" w:name="_Toc290846235"/>
      <w:bookmarkStart w:id="170" w:name="_Toc224202687"/>
      <w:r w:rsidR="003E2109">
        <w:t>rt/human/003726/WC500180154.pdf</w:t>
      </w:r>
    </w:p>
    <w:p w14:paraId="3025C245" w14:textId="77777777" w:rsidR="00D659F1" w:rsidRPr="00D659F1" w:rsidRDefault="00D659F1" w:rsidP="00C21707">
      <w:pPr>
        <w:pStyle w:val="Heading4"/>
      </w:pPr>
      <w:r w:rsidRPr="00D659F1">
        <w:t>Paediatric data</w:t>
      </w:r>
      <w:bookmarkEnd w:id="169"/>
      <w:bookmarkEnd w:id="170"/>
    </w:p>
    <w:p w14:paraId="339A9DD5" w14:textId="77777777" w:rsidR="00D659F1" w:rsidRPr="00D659F1" w:rsidRDefault="00D659F1" w:rsidP="00D659F1">
      <w:r w:rsidRPr="00D659F1">
        <w:t>The submission did not include paediatric data which is appropriate given ovarian cancer is a disease diagnose</w:t>
      </w:r>
      <w:r w:rsidR="00C21707">
        <w:t>d in adulthood.</w:t>
      </w:r>
    </w:p>
    <w:p w14:paraId="4DA5BE85" w14:textId="39EABCBD" w:rsidR="00D659F1" w:rsidRPr="00D659F1" w:rsidRDefault="00D659F1" w:rsidP="00C21707">
      <w:pPr>
        <w:pStyle w:val="Heading4"/>
      </w:pPr>
      <w:r w:rsidRPr="00D659F1">
        <w:t>Pharmacokinetics/</w:t>
      </w:r>
      <w:r w:rsidR="00541721">
        <w:t>p</w:t>
      </w:r>
      <w:r w:rsidRPr="00D659F1">
        <w:t>harmacodynamics</w:t>
      </w:r>
    </w:p>
    <w:p w14:paraId="6A8AD71B" w14:textId="7C23BAE6" w:rsidR="00D659F1" w:rsidRPr="00D659F1" w:rsidRDefault="00D659F1" w:rsidP="00D659F1">
      <w:r w:rsidRPr="00D659F1">
        <w:t>The formulation used in the studies submitted was a 50 mg capsule. This requires 16</w:t>
      </w:r>
      <w:r w:rsidR="00C804A8">
        <w:t> </w:t>
      </w:r>
      <w:r w:rsidRPr="00D659F1">
        <w:t>capsules to be taken daily, and a new tablet formulation is under evaluation in oth</w:t>
      </w:r>
      <w:r w:rsidR="00C21707">
        <w:t>er studies yet to be submitted.</w:t>
      </w:r>
    </w:p>
    <w:p w14:paraId="6B6B26C9" w14:textId="77777777" w:rsidR="00D659F1" w:rsidRPr="00D659F1" w:rsidRDefault="003E2109" w:rsidP="00C21707">
      <w:pPr>
        <w:pStyle w:val="Heading5"/>
      </w:pPr>
      <w:r>
        <w:t>Summary of PK data</w:t>
      </w:r>
    </w:p>
    <w:p w14:paraId="08BBD027" w14:textId="77777777" w:rsidR="005D64FB" w:rsidRDefault="00D659F1" w:rsidP="00D659F1">
      <w:proofErr w:type="gramStart"/>
      <w:r w:rsidRPr="00D659F1">
        <w:t xml:space="preserve">The pharmacokinetics (PK) of olaparib have been characterised in patients with advanced solid tumours and in patients with advanced ovarian or breast cancer </w:t>
      </w:r>
      <w:r w:rsidR="00C21707">
        <w:t>with a germline BRCA mutation</w:t>
      </w:r>
      <w:r w:rsidR="005D64FB">
        <w:t>.</w:t>
      </w:r>
      <w:proofErr w:type="gramEnd"/>
    </w:p>
    <w:p w14:paraId="282D27A2" w14:textId="77777777" w:rsidR="00D659F1" w:rsidRPr="00D659F1" w:rsidRDefault="00D659F1" w:rsidP="00C21707">
      <w:pPr>
        <w:pStyle w:val="Heading5"/>
      </w:pPr>
      <w:r w:rsidRPr="00D659F1">
        <w:t>Absorption, elimination</w:t>
      </w:r>
    </w:p>
    <w:p w14:paraId="675645EB" w14:textId="21E1F226" w:rsidR="005D64FB" w:rsidRDefault="00D659F1" w:rsidP="00D659F1">
      <w:r w:rsidRPr="00D659F1">
        <w:t xml:space="preserve">Non-compartmental analysis of the plasma concentration data obtained following administration of a single oral dose of olaparib to </w:t>
      </w:r>
      <w:r w:rsidRPr="000870B6">
        <w:t xml:space="preserve">patients in Study 02 </w:t>
      </w:r>
      <w:r w:rsidR="000870B6" w:rsidRPr="000870B6">
        <w:t>(Study</w:t>
      </w:r>
      <w:r w:rsidR="00C804A8">
        <w:t> </w:t>
      </w:r>
      <w:r w:rsidR="000870B6">
        <w:t xml:space="preserve">D0810C00002) </w:t>
      </w:r>
      <w:r w:rsidRPr="00D659F1">
        <w:t xml:space="preserve">(10 to 600 mg) </w:t>
      </w:r>
      <w:r w:rsidRPr="000870B6">
        <w:t>and Study 24</w:t>
      </w:r>
      <w:r w:rsidR="000870B6" w:rsidRPr="000870B6">
        <w:t xml:space="preserve"> (Study</w:t>
      </w:r>
      <w:r w:rsidR="000870B6">
        <w:t xml:space="preserve"> D0810C00024)</w:t>
      </w:r>
      <w:r w:rsidRPr="00D659F1">
        <w:t xml:space="preserve"> (50, 100 and 400 mg), showed that while for most patients, absorption of drug was rapid, there was marked inter-individual variability (</w:t>
      </w:r>
      <w:r w:rsidR="00E032DB" w:rsidRPr="00386C85">
        <w:t>C</w:t>
      </w:r>
      <w:r w:rsidR="00E032DB" w:rsidRPr="00E032DB">
        <w:rPr>
          <w:vertAlign w:val="subscript"/>
        </w:rPr>
        <w:t>max</w:t>
      </w:r>
      <w:r w:rsidR="003E2109">
        <w:t xml:space="preserve"> 1 to </w:t>
      </w:r>
      <w:r w:rsidRPr="00D659F1">
        <w:t>3 hours after dosing; range: 0.5 to 8 hours). Exposure increased approximately proportionally with dose up to a dose of 100 mg but declined to less than dose-proportionally thereafter (fo</w:t>
      </w:r>
      <w:r w:rsidR="003E2109">
        <w:t xml:space="preserve">r 4 </w:t>
      </w:r>
      <w:r w:rsidRPr="00D659F1">
        <w:t xml:space="preserve">fold </w:t>
      </w:r>
      <w:proofErr w:type="gramStart"/>
      <w:r w:rsidRPr="00D659F1">
        <w:t>increase</w:t>
      </w:r>
      <w:proofErr w:type="gramEnd"/>
      <w:r w:rsidRPr="00D659F1">
        <w:t xml:space="preserve"> in dose from 1</w:t>
      </w:r>
      <w:r w:rsidR="003E2109">
        <w:t>00</w:t>
      </w:r>
      <w:r w:rsidR="00C804A8">
        <w:t> </w:t>
      </w:r>
      <w:r w:rsidR="003E2109">
        <w:t xml:space="preserve">mg to 400 mg, there was a 1.7 </w:t>
      </w:r>
      <w:r w:rsidRPr="00D659F1">
        <w:t>fold increase in exposure).</w:t>
      </w:r>
      <w:r w:rsidR="005D64FB">
        <w:t xml:space="preserve"> </w:t>
      </w:r>
      <w:r w:rsidRPr="00D659F1">
        <w:t xml:space="preserve">On multiple dosing there is no marked accumulation, with steady state exposures achieved within approximately 3 to 4 days. Similar data were obtained following single and multiple dosing to Western patients in Study 24 (single doses of 50, 100 and 400 mg; multiple dosing at 400 mg </w:t>
      </w:r>
      <w:r w:rsidR="003E2109">
        <w:t>BD</w:t>
      </w:r>
      <w:r w:rsidRPr="00D659F1">
        <w:t>) and to Japanese patients (100</w:t>
      </w:r>
      <w:r w:rsidR="00C21707">
        <w:t>, 200 and 400 mg) in Study 01</w:t>
      </w:r>
      <w:r w:rsidR="000870B6">
        <w:t xml:space="preserve"> (Study D0810C00001)</w:t>
      </w:r>
      <w:r w:rsidR="005D64FB">
        <w:t>.</w:t>
      </w:r>
    </w:p>
    <w:p w14:paraId="73C540EE" w14:textId="77777777" w:rsidR="00D659F1" w:rsidRPr="00D659F1" w:rsidRDefault="00D659F1" w:rsidP="00D659F1">
      <w:bookmarkStart w:id="171" w:name="_Hlk531184302"/>
      <w:r w:rsidRPr="00D659F1">
        <w:t>The mass-balance study was conducted with a 100</w:t>
      </w:r>
      <w:r w:rsidR="003E2109">
        <w:t xml:space="preserve"> </w:t>
      </w:r>
      <w:r w:rsidRPr="00D659F1">
        <w:t xml:space="preserve">mg dose level in 6 patients, and there was marked inter-individual variability </w:t>
      </w:r>
      <w:bookmarkEnd w:id="171"/>
      <w:r w:rsidRPr="00D659F1">
        <w:t>with rapid absorption and clearance to below the limit of</w:t>
      </w:r>
      <w:r w:rsidR="003E2109">
        <w:t xml:space="preserve"> sensitivity of the assay by 16 to </w:t>
      </w:r>
      <w:r w:rsidRPr="00D659F1">
        <w:t xml:space="preserve">24 hours in five patients, while in one individual, concentrations were still detectable some 168 hours later. 44% of the drug appeared in the urine and 42% in the faeces, suggesting that at least 44% was absorbed. Unchanged olaparib accounted for the majority of the circulating radioactivity in plasma (70%) and was the major component found in both urine and faeces (15% and 6% of the dose </w:t>
      </w:r>
      <w:r w:rsidRPr="00D659F1">
        <w:lastRenderedPageBreak/>
        <w:t>respectively). The principal metabolite, M15 accounted for 6% and 5% of the urinary and faecal excretion, respectively). There was extensive metabolism with up to 37 metabolites detected, each accounting for less than 1% of the circulating drug. Data on the pharmacological activity of the three major circulating metabolites has not been provided.</w:t>
      </w:r>
    </w:p>
    <w:p w14:paraId="7158CE43" w14:textId="77777777" w:rsidR="005D64FB" w:rsidRDefault="00D659F1" w:rsidP="00D659F1">
      <w:r w:rsidRPr="00D659F1">
        <w:t>While in vitro studies showed that olaparib is a substrate of MDR1 transporter, the efflux would be saturated at the concentrations actually observed in clinical situations</w:t>
      </w:r>
      <w:r w:rsidR="005D64FB">
        <w:t>.</w:t>
      </w:r>
    </w:p>
    <w:p w14:paraId="76EDDE71" w14:textId="77777777" w:rsidR="00D659F1" w:rsidRPr="00D659F1" w:rsidRDefault="00D659F1" w:rsidP="00D659F1">
      <w:r w:rsidRPr="00D659F1">
        <w:t>Food intake influences the bioavailability of olaparib capsules with exposure to olaparib slightly (approximately 20%) enhanced when the capsu</w:t>
      </w:r>
      <w:r w:rsidR="003E2109">
        <w:t xml:space="preserve">les were administered within 30 to </w:t>
      </w:r>
      <w:r w:rsidRPr="00D659F1">
        <w:t>45 min following a standard or high fat food intake. Co-administration with food slowed the rate (T</w:t>
      </w:r>
      <w:r w:rsidRPr="003E2109">
        <w:rPr>
          <w:vertAlign w:val="subscript"/>
        </w:rPr>
        <w:t>max</w:t>
      </w:r>
      <w:r w:rsidRPr="00D659F1">
        <w:t xml:space="preserve"> delayed by 2 hours) and marginally increased the extent of absorption of olaparib (AUC increased by approximately 20%). Therefore, it is recommended that patients should take olaparib at least one hour after food, and refrain from eating preferably for up to 2 hours afterwards. This is stated in the PI.</w:t>
      </w:r>
    </w:p>
    <w:p w14:paraId="1E7B89DE" w14:textId="3171CEE1" w:rsidR="00D659F1" w:rsidRPr="00D659F1" w:rsidRDefault="00D659F1" w:rsidP="00F12C72">
      <w:r w:rsidRPr="00D659F1">
        <w:t>The mechanism of absorption is not clearly defined. Extrapolation of the minimum absorption of 44% observed cannot be assumed for the 40</w:t>
      </w:r>
      <w:r w:rsidR="003E2109">
        <w:t>0 mg</w:t>
      </w:r>
      <w:r w:rsidRPr="00D659F1">
        <w:t xml:space="preserve"> proposed dosing, as evidenced by the lack of dose proportionality beyond 10</w:t>
      </w:r>
      <w:r w:rsidR="003E2109">
        <w:t>0 mg</w:t>
      </w:r>
      <w:r w:rsidRPr="00D659F1">
        <w:t>. This may be in part due to dissolution issues which are described in the Pharmaceutical Chemistry section of the EPAR.</w:t>
      </w:r>
    </w:p>
    <w:p w14:paraId="0464C406" w14:textId="77777777" w:rsidR="00D659F1" w:rsidRPr="00D659F1" w:rsidRDefault="00D659F1" w:rsidP="00D659F1">
      <w:r w:rsidRPr="00D659F1">
        <w:t>For the future submission of the new tablet formulation used in ongoing studies, the sponsor will have to satisfactorily demonstrate bioequivalence with the</w:t>
      </w:r>
      <w:r w:rsidR="005D64FB">
        <w:t xml:space="preserve"> </w:t>
      </w:r>
      <w:r w:rsidRPr="00D659F1">
        <w:t>formulation presented in this dossier.</w:t>
      </w:r>
    </w:p>
    <w:p w14:paraId="28C0BA67" w14:textId="77777777" w:rsidR="005D64FB" w:rsidRDefault="00D659F1" w:rsidP="00D659F1">
      <w:r w:rsidRPr="00D659F1">
        <w:t>There are indications that olaparib is transferred largely to extra-vascular tissue, but it is difficult to state more than this due to the widely varying measurements obtained from the lower dose levels, the higher dose levels and the population PK studies. These included: 54.4</w:t>
      </w:r>
      <w:r w:rsidR="003E2109">
        <w:t xml:space="preserve"> L </w:t>
      </w:r>
      <w:r w:rsidRPr="00D659F1">
        <w:t>at 10</w:t>
      </w:r>
      <w:r w:rsidR="003E2109">
        <w:t>0 mg</w:t>
      </w:r>
      <w:r w:rsidRPr="00D659F1">
        <w:t xml:space="preserve"> dose </w:t>
      </w:r>
      <w:r w:rsidR="00E032DB">
        <w:t>compared with</w:t>
      </w:r>
      <w:r w:rsidRPr="00D659F1">
        <w:t xml:space="preserve"> 167</w:t>
      </w:r>
      <w:r w:rsidR="003E2109">
        <w:t xml:space="preserve"> L</w:t>
      </w:r>
      <w:r w:rsidRPr="00D659F1">
        <w:t xml:space="preserve"> for a 40</w:t>
      </w:r>
      <w:r w:rsidR="003E2109">
        <w:t>0 mg</w:t>
      </w:r>
      <w:r w:rsidRPr="00D659F1">
        <w:t xml:space="preserve"> dose, thi</w:t>
      </w:r>
      <w:r w:rsidR="003E2109">
        <w:t>s latter value is reduced to 88 L</w:t>
      </w:r>
      <w:r w:rsidRPr="00D659F1">
        <w:t xml:space="preserve"> if the</w:t>
      </w:r>
      <w:r w:rsidR="003E2109">
        <w:t xml:space="preserve"> </w:t>
      </w:r>
      <w:r w:rsidRPr="00D659F1">
        <w:t>single outlier is excluded; from the population PK studies</w:t>
      </w:r>
      <w:r w:rsidR="003E2109">
        <w:t>, the Vd was estimated to be 64 L</w:t>
      </w:r>
      <w:r w:rsidRPr="00D659F1">
        <w:t xml:space="preserve"> with inter-patient variability exceeding 90%, and values of 177</w:t>
      </w:r>
      <w:r w:rsidR="003E2109">
        <w:t xml:space="preserve"> L</w:t>
      </w:r>
      <w:r w:rsidRPr="00D659F1">
        <w:t xml:space="preserve"> for the 40</w:t>
      </w:r>
      <w:r w:rsidR="003E2109">
        <w:t>0 mg</w:t>
      </w:r>
      <w:r w:rsidRPr="00D659F1">
        <w:t xml:space="preserve"> dose</w:t>
      </w:r>
      <w:r w:rsidR="005D64FB">
        <w:t>.</w:t>
      </w:r>
    </w:p>
    <w:p w14:paraId="04BBB8F2" w14:textId="77777777" w:rsidR="005D64FB" w:rsidRDefault="00D659F1" w:rsidP="00D659F1">
      <w:r w:rsidRPr="00D659F1">
        <w:t>Measurements following preoperative administrat</w:t>
      </w:r>
      <w:r w:rsidR="003E2109">
        <w:t xml:space="preserve">ion of a range of doses from 30 to </w:t>
      </w:r>
      <w:r w:rsidRPr="00D659F1">
        <w:t>40</w:t>
      </w:r>
      <w:r w:rsidR="003E2109">
        <w:t>0 mg</w:t>
      </w:r>
      <w:r w:rsidRPr="00D659F1">
        <w:t xml:space="preserve"> </w:t>
      </w:r>
      <w:r w:rsidR="003E2109">
        <w:t>BD</w:t>
      </w:r>
      <w:r w:rsidRPr="00D659F1">
        <w:t xml:space="preserve"> olaparib to breast cancer patients demonstrated tumour levels deemed sufficient to inhibit PARP, but no actual PD data were presented in support of this</w:t>
      </w:r>
      <w:r w:rsidR="005D64FB">
        <w:t>.</w:t>
      </w:r>
    </w:p>
    <w:p w14:paraId="30B2BFE2" w14:textId="347ECC71" w:rsidR="00D659F1" w:rsidRPr="00D659F1" w:rsidRDefault="00BA708C" w:rsidP="00F12C72">
      <w:r w:rsidRPr="00BA708C">
        <w:t>T</w:t>
      </w:r>
      <w:r w:rsidR="00D659F1" w:rsidRPr="00BA708C">
        <w:t>he</w:t>
      </w:r>
      <w:r w:rsidR="00D659F1" w:rsidRPr="00D659F1">
        <w:t xml:space="preserve"> absence of a clear and predictable relationship makes a rationally devised dosing strategy difficult, especially as the tumour levels of the drug appeared to be achieved at much lower dose levels than those proposed for registration.</w:t>
      </w:r>
    </w:p>
    <w:p w14:paraId="5477FBC5" w14:textId="77777777" w:rsidR="005D64FB" w:rsidRDefault="00D659F1" w:rsidP="00D659F1">
      <w:r w:rsidRPr="00D659F1">
        <w:t>At doses up to 100 mg, mean apparent plasma clearance was 5.12 ± 2.23 SD L/h</w:t>
      </w:r>
      <w:r w:rsidR="003E2109">
        <w:t>our</w:t>
      </w:r>
      <w:r w:rsidRPr="00D659F1">
        <w:t xml:space="preserve"> and the mean terminal half-life (t½) was 7.05 hours. At a dose of 400 mg however, mean apparent clearance was 8.64 ± 7.11 SD L/h</w:t>
      </w:r>
      <w:r w:rsidR="003E2109">
        <w:t>our</w:t>
      </w:r>
      <w:r w:rsidRPr="00D659F1">
        <w:t xml:space="preserve"> and mean terminal half-life was 11.9 hours</w:t>
      </w:r>
      <w:r w:rsidR="005D64FB">
        <w:t>.</w:t>
      </w:r>
    </w:p>
    <w:p w14:paraId="1A029706" w14:textId="62AA15EE" w:rsidR="00D659F1" w:rsidRPr="00D659F1" w:rsidRDefault="00BA708C" w:rsidP="00F12C72">
      <w:r>
        <w:t>T</w:t>
      </w:r>
      <w:r w:rsidR="00D659F1" w:rsidRPr="00D659F1">
        <w:t xml:space="preserve">he use of mean </w:t>
      </w:r>
      <w:r w:rsidR="003E2109" w:rsidRPr="00D659F1">
        <w:t>t½</w:t>
      </w:r>
      <w:r w:rsidR="00D659F1" w:rsidRPr="00D659F1">
        <w:t>without inclusion of the standard deviation implies a lack of precision for this parameter, and with a</w:t>
      </w:r>
      <w:r w:rsidR="005D64FB">
        <w:t xml:space="preserve"> </w:t>
      </w:r>
      <w:r w:rsidR="00D659F1" w:rsidRPr="00D659F1">
        <w:t xml:space="preserve">lack of </w:t>
      </w:r>
      <w:r w:rsidRPr="00BA708C">
        <w:t>generalis</w:t>
      </w:r>
      <w:r w:rsidRPr="00D74054">
        <w:t>ability</w:t>
      </w:r>
      <w:r w:rsidR="00D659F1" w:rsidRPr="00D659F1">
        <w:t>. In order to communicate this variability accurately to prescribers, any PK figures should include the range when presented as median values, and the standard deviation if mean values are provided.</w:t>
      </w:r>
    </w:p>
    <w:p w14:paraId="70688E94" w14:textId="77777777" w:rsidR="005D64FB" w:rsidRDefault="00D659F1" w:rsidP="00D659F1">
      <w:r w:rsidRPr="00D659F1">
        <w:t>The results of the additional protein binding study showed that, as anticipated, the free fraction increased with increasing (and more physiological relevant) concentrations, although the increase in free fraction was less than proportional to the change in drug concentration. The in vitro protein binding of olaparib at plasma concentrations achieved following dosing at 400 mg twice daily was ~</w:t>
      </w:r>
      <w:r w:rsidR="00214786">
        <w:t xml:space="preserve"> </w:t>
      </w:r>
      <w:r w:rsidRPr="00D659F1">
        <w:t>82%. Therefore, it is considered that the variability in plasma protein binding with the concentration could add to the observed high variability in exposure of olaparib</w:t>
      </w:r>
      <w:r w:rsidR="005D64FB">
        <w:t>.</w:t>
      </w:r>
    </w:p>
    <w:p w14:paraId="7632B5F4" w14:textId="77777777" w:rsidR="00D659F1" w:rsidRPr="00D659F1" w:rsidRDefault="00D659F1" w:rsidP="00C21707">
      <w:pPr>
        <w:pStyle w:val="Heading5"/>
      </w:pPr>
      <w:r w:rsidRPr="00D659F1">
        <w:lastRenderedPageBreak/>
        <w:t>Drug interactions</w:t>
      </w:r>
    </w:p>
    <w:p w14:paraId="127B4AF4" w14:textId="77777777" w:rsidR="005D64FB" w:rsidRDefault="00D659F1" w:rsidP="00D659F1">
      <w:r w:rsidRPr="00D659F1">
        <w:t>The most impor</w:t>
      </w:r>
      <w:r w:rsidR="00214786">
        <w:t>tant interaction is with CYP3A;</w:t>
      </w:r>
      <w:r w:rsidRPr="00D659F1">
        <w:t xml:space="preserve"> </w:t>
      </w:r>
      <w:r w:rsidRPr="00F12C72">
        <w:rPr>
          <w:i/>
        </w:rPr>
        <w:t>in vitro</w:t>
      </w:r>
      <w:r w:rsidRPr="00D659F1">
        <w:t xml:space="preserve"> data have shown that the metabolism of olaparib is predominantly via CYP3A. Drug interaction studies of the tablet formulation have shown that co</w:t>
      </w:r>
      <w:r w:rsidR="00214786">
        <w:t>-</w:t>
      </w:r>
      <w:r w:rsidRPr="00D659F1">
        <w:t xml:space="preserve">administration of olaparib with itraconazole, (a known potent inhibitor of CYP3A and </w:t>
      </w:r>
      <w:r w:rsidR="0094739B">
        <w:t>P-</w:t>
      </w:r>
      <w:proofErr w:type="spellStart"/>
      <w:r w:rsidR="0094739B">
        <w:t>gp</w:t>
      </w:r>
      <w:proofErr w:type="spellEnd"/>
      <w:r w:rsidRPr="00D659F1">
        <w:t xml:space="preserve">) increased </w:t>
      </w:r>
      <w:proofErr w:type="spellStart"/>
      <w:r w:rsidRPr="00D659F1">
        <w:t>olaparib</w:t>
      </w:r>
      <w:proofErr w:type="spellEnd"/>
      <w:r w:rsidRPr="00D659F1">
        <w:t xml:space="preserve"> </w:t>
      </w:r>
      <w:proofErr w:type="spellStart"/>
      <w:r w:rsidR="00E032DB" w:rsidRPr="00386C85">
        <w:t>C</w:t>
      </w:r>
      <w:r w:rsidR="00E032DB" w:rsidRPr="00E032DB">
        <w:rPr>
          <w:vertAlign w:val="subscript"/>
        </w:rPr>
        <w:t>max</w:t>
      </w:r>
      <w:proofErr w:type="spellEnd"/>
      <w:r w:rsidRPr="00D659F1">
        <w:t xml:space="preserve"> and AUC</w:t>
      </w:r>
      <w:r w:rsidR="00214786">
        <w:t xml:space="preserve"> by an average of 1.42 and 2.70 </w:t>
      </w:r>
      <w:r w:rsidRPr="00D659F1">
        <w:t xml:space="preserve">fold and that co-administration with rifampicin (a known potent CYP inducer) reduced </w:t>
      </w:r>
      <w:proofErr w:type="spellStart"/>
      <w:r w:rsidRPr="00D659F1">
        <w:t>olaparib</w:t>
      </w:r>
      <w:proofErr w:type="spellEnd"/>
      <w:r w:rsidRPr="00D659F1">
        <w:t xml:space="preserve"> </w:t>
      </w:r>
      <w:proofErr w:type="spellStart"/>
      <w:r w:rsidR="00E032DB" w:rsidRPr="00386C85">
        <w:t>C</w:t>
      </w:r>
      <w:r w:rsidR="00E032DB" w:rsidRPr="00E032DB">
        <w:rPr>
          <w:vertAlign w:val="subscript"/>
        </w:rPr>
        <w:t>max</w:t>
      </w:r>
      <w:proofErr w:type="spellEnd"/>
      <w:r w:rsidRPr="00D659F1">
        <w:t xml:space="preserve"> and AUC by an average of 71 and 87% respectively. It is therefore recommended that patients receiving olaparib are not treated with known potent inh</w:t>
      </w:r>
      <w:r w:rsidR="00C21707">
        <w:t>ibitors or inducers of CYP3A4</w:t>
      </w:r>
      <w:r w:rsidR="005D64FB">
        <w:t>.</w:t>
      </w:r>
    </w:p>
    <w:p w14:paraId="1EF7291E" w14:textId="21175725" w:rsidR="00D659F1" w:rsidRPr="00D659F1" w:rsidRDefault="00D659F1" w:rsidP="00D659F1">
      <w:r w:rsidRPr="00D659F1">
        <w:t xml:space="preserve">Olaparib inhibited </w:t>
      </w:r>
      <w:r w:rsidR="00214786">
        <w:t>MDR1</w:t>
      </w:r>
      <w:r w:rsidRPr="00D659F1">
        <w:t xml:space="preserve"> and clinical interactions through inhibition of biliary or GI tract efflux of MDR1 substrates are possible. Olaparib also inhibited hepatic uptake transporters (OATP1B1 and OCT1) and renal uptake transporters (OCT2, OAT3, MATE1 and MATE2K) in vitro suggesting that drug interactions with substrates of these transporter proteins (</w:t>
      </w:r>
      <w:r w:rsidR="00175320">
        <w:t>for example</w:t>
      </w:r>
      <w:r w:rsidRPr="00D659F1">
        <w:t xml:space="preserve"> statins, metformin, </w:t>
      </w:r>
      <w:proofErr w:type="gramStart"/>
      <w:r w:rsidRPr="00D659F1">
        <w:t>creatinine</w:t>
      </w:r>
      <w:proofErr w:type="gramEnd"/>
      <w:r w:rsidRPr="00D659F1">
        <w:t xml:space="preserve">) could be possible. Clinical studies to investigate the magnitude of such an interaction have not been performed. The </w:t>
      </w:r>
      <w:r w:rsidR="00214786">
        <w:t>sponsor</w:t>
      </w:r>
      <w:r w:rsidRPr="00D659F1">
        <w:t xml:space="preserve"> is requested to state what trials are underway to investigate this further, when they are likely to be completed (see </w:t>
      </w:r>
      <w:r w:rsidRPr="00F12C72">
        <w:rPr>
          <w:i/>
        </w:rPr>
        <w:t xml:space="preserve">Questions for </w:t>
      </w:r>
      <w:r w:rsidR="00214786" w:rsidRPr="00F12C72">
        <w:rPr>
          <w:i/>
        </w:rPr>
        <w:t>sponsor</w:t>
      </w:r>
      <w:r w:rsidR="00BA708C">
        <w:t>, below</w:t>
      </w:r>
      <w:r w:rsidRPr="00D659F1">
        <w:t>).</w:t>
      </w:r>
    </w:p>
    <w:p w14:paraId="0AF11967" w14:textId="32184645" w:rsidR="00C21707" w:rsidRPr="00C21707" w:rsidRDefault="00214786" w:rsidP="00BA708C">
      <w:pPr>
        <w:pStyle w:val="Heading6"/>
      </w:pPr>
      <w:r>
        <w:t>Delegate comments on PI</w:t>
      </w:r>
    </w:p>
    <w:p w14:paraId="5E682C0E" w14:textId="77777777" w:rsidR="00C21707" w:rsidRPr="00C21707" w:rsidRDefault="00C21707" w:rsidP="00C21707">
      <w:r w:rsidRPr="00C21707">
        <w:t xml:space="preserve">While information on drug interactions is included in the PI, it is currently reported with a lot of other information which obscures this important prescribing advice. Therefore, the </w:t>
      </w:r>
      <w:r w:rsidR="00214786">
        <w:t>sponsor</w:t>
      </w:r>
      <w:r w:rsidRPr="00C21707">
        <w:t xml:space="preserve"> is requested to:</w:t>
      </w:r>
    </w:p>
    <w:p w14:paraId="5D6EF24C" w14:textId="77777777" w:rsidR="005D64FB" w:rsidRDefault="00C21707" w:rsidP="00A37F72">
      <w:pPr>
        <w:pStyle w:val="Numberbullet0"/>
        <w:numPr>
          <w:ilvl w:val="0"/>
          <w:numId w:val="8"/>
        </w:numPr>
      </w:pPr>
      <w:r w:rsidRPr="00C21707">
        <w:t>Prioritise the positive interactions (</w:t>
      </w:r>
      <w:r w:rsidR="00214786">
        <w:t>for example</w:t>
      </w:r>
      <w:r w:rsidRPr="00C21707">
        <w:t xml:space="preserve"> CYP3A4, MDR1) and advice regarding these first, including the impact on olaparib metabolism as well as induction of the enzyme</w:t>
      </w:r>
      <w:r w:rsidR="005D64FB">
        <w:t>.</w:t>
      </w:r>
    </w:p>
    <w:p w14:paraId="045225F4" w14:textId="77777777" w:rsidR="00C21707" w:rsidRPr="00C21707" w:rsidRDefault="00C21707" w:rsidP="00A37F72">
      <w:pPr>
        <w:pStyle w:val="Numberbullet0"/>
        <w:numPr>
          <w:ilvl w:val="0"/>
          <w:numId w:val="8"/>
        </w:numPr>
      </w:pPr>
      <w:r w:rsidRPr="00C21707">
        <w:t>include a list of medicines that should be avoided and include grapefruit, star fruit and Seville oranges in this list, and also include this information in the CMI (this is taken from Study 19 conditions).</w:t>
      </w:r>
    </w:p>
    <w:p w14:paraId="5E86BB09" w14:textId="77777777" w:rsidR="00C21707" w:rsidRPr="00C21707" w:rsidRDefault="00C21707" w:rsidP="00A37F72">
      <w:pPr>
        <w:pStyle w:val="Numberbullet0"/>
        <w:numPr>
          <w:ilvl w:val="0"/>
          <w:numId w:val="8"/>
        </w:numPr>
      </w:pPr>
      <w:proofErr w:type="gramStart"/>
      <w:r w:rsidRPr="00C21707">
        <w:t>provide</w:t>
      </w:r>
      <w:proofErr w:type="gramEnd"/>
      <w:r w:rsidRPr="00C21707">
        <w:t xml:space="preserve"> information in the PI about drugs that are affected by MDR1 as this is not common knowledge.</w:t>
      </w:r>
    </w:p>
    <w:p w14:paraId="71C2275A" w14:textId="77777777" w:rsidR="005D64FB" w:rsidRDefault="00C21707" w:rsidP="00C21707">
      <w:r w:rsidRPr="00C21707">
        <w:t>The list stating the absence of interactions with other CYPs can then be stated after this</w:t>
      </w:r>
      <w:r w:rsidR="005D64FB">
        <w:t>.</w:t>
      </w:r>
    </w:p>
    <w:p w14:paraId="406C94CB" w14:textId="77777777" w:rsidR="00C21707" w:rsidRPr="00C21707" w:rsidRDefault="00C21707" w:rsidP="00C21707">
      <w:pPr>
        <w:pStyle w:val="Heading5"/>
      </w:pPr>
      <w:r w:rsidRPr="00C21707">
        <w:t>Renal and hepatic impairment</w:t>
      </w:r>
    </w:p>
    <w:p w14:paraId="2094F535" w14:textId="4703D05C" w:rsidR="005D64FB" w:rsidRDefault="00C21707" w:rsidP="00C21707">
      <w:r w:rsidRPr="00C21707">
        <w:t>The effects of renal or hepatic impairment on exposure to olaparib have not yet been studied. The Delegate notes that submission of the trials evaluating the PK of olaparib in these two conditions are post</w:t>
      </w:r>
      <w:r w:rsidR="00214786">
        <w:t>-</w:t>
      </w:r>
      <w:r w:rsidRPr="00C21707">
        <w:t xml:space="preserve">marketing requirements mandated by the FDA, and the </w:t>
      </w:r>
      <w:r w:rsidR="00214786">
        <w:t>sponsor</w:t>
      </w:r>
      <w:r w:rsidRPr="00C21707">
        <w:t xml:space="preserve"> is required to submit these same final reports simultaneously to the TGA for evaluation as a Category 1 application (</w:t>
      </w:r>
      <w:r w:rsidR="008E4225" w:rsidRPr="00C21707">
        <w:t>see conditions of registration</w:t>
      </w:r>
      <w:r w:rsidRPr="00C21707">
        <w:t>)</w:t>
      </w:r>
      <w:r w:rsidR="005D64FB">
        <w:t>.</w:t>
      </w:r>
    </w:p>
    <w:p w14:paraId="0D8FB458" w14:textId="77777777" w:rsidR="005D64FB" w:rsidRDefault="00C21707" w:rsidP="00C21707">
      <w:r w:rsidRPr="00C21707">
        <w:t>These planned trials appear to be testing a single dose of 30</w:t>
      </w:r>
      <w:r w:rsidR="003E2109">
        <w:t>0 mg</w:t>
      </w:r>
      <w:r w:rsidR="00214786">
        <w:t xml:space="preserve"> (presumed to be a tablet)</w:t>
      </w:r>
      <w:r w:rsidRPr="00C21707">
        <w:t xml:space="preserve"> given the wide individual variability in PK parameters, it is anticipated that there would need to be large numbers of patients and that clinical parameters may be more informative of the benefit-risk in these populations than any PK measurements or predictions based upon the single dose administered. It is recommended therefore, that if no significant adverse events are reported in these limited studies, that such patients be included in clinical trials where efficacy and safety endpoints are used to gather more meaningful information regarding the use of olaparib in such patients</w:t>
      </w:r>
      <w:r w:rsidR="005D64FB">
        <w:t>.</w:t>
      </w:r>
    </w:p>
    <w:p w14:paraId="5D064F63" w14:textId="77777777" w:rsidR="00C21707" w:rsidRPr="00C21707" w:rsidRDefault="00C21707" w:rsidP="00C21707">
      <w:r w:rsidRPr="00C21707">
        <w:t xml:space="preserve">Given the failures of the population PK modelling, this would not be considered a suitable method of providing information on special populations and it is noted that the </w:t>
      </w:r>
      <w:r w:rsidR="00214786">
        <w:t>sponsor</w:t>
      </w:r>
      <w:r w:rsidRPr="00C21707">
        <w:t xml:space="preserve"> does not plan to continue with the model presented in this submission (see below).</w:t>
      </w:r>
    </w:p>
    <w:p w14:paraId="56206460" w14:textId="77777777" w:rsidR="00C21707" w:rsidRPr="00C21707" w:rsidRDefault="00C21707" w:rsidP="00087EFD">
      <w:pPr>
        <w:pStyle w:val="Heading4"/>
      </w:pPr>
      <w:r w:rsidRPr="00C21707">
        <w:lastRenderedPageBreak/>
        <w:t>Population PK analyses</w:t>
      </w:r>
    </w:p>
    <w:p w14:paraId="33B7A7CB" w14:textId="77777777" w:rsidR="00C21707" w:rsidRPr="00C21707" w:rsidRDefault="00C21707" w:rsidP="00C21707">
      <w:bookmarkStart w:id="172" w:name="_Toc429452661"/>
      <w:r w:rsidRPr="00C21707">
        <w:t>The following is taken from the Po</w:t>
      </w:r>
      <w:r w:rsidR="00214786">
        <w:t>pulation PK report for olaparib</w:t>
      </w:r>
      <w:r w:rsidRPr="00C21707">
        <w:t>. It is presented italics to make the start and end of the excerpt clear:</w:t>
      </w:r>
    </w:p>
    <w:p w14:paraId="27ACE652" w14:textId="684C93BD" w:rsidR="00C21707" w:rsidRPr="00214786" w:rsidRDefault="00BA708C" w:rsidP="00214786">
      <w:pPr>
        <w:ind w:left="720"/>
        <w:rPr>
          <w:i/>
        </w:rPr>
      </w:pPr>
      <w:r>
        <w:t>‘</w:t>
      </w:r>
      <w:r w:rsidR="00C21707" w:rsidRPr="00214786">
        <w:rPr>
          <w:i/>
        </w:rPr>
        <w:t>Summary of Findings: PK/PD Report</w:t>
      </w:r>
      <w:bookmarkEnd w:id="172"/>
    </w:p>
    <w:p w14:paraId="2F0CADE2" w14:textId="77777777" w:rsidR="00C21707" w:rsidRPr="00214786" w:rsidRDefault="00C21707" w:rsidP="00214786">
      <w:pPr>
        <w:ind w:left="720"/>
        <w:rPr>
          <w:i/>
        </w:rPr>
      </w:pPr>
      <w:r w:rsidRPr="00214786">
        <w:rPr>
          <w:i/>
        </w:rPr>
        <w:t>The purpose of the population PK/PD analysis was to describe the relationship between olaparib exposure and inhibition of PARP-1 activity. Deficiencies in the quality of the data and model development process marred the quality of the PK/PD analyses. Consequently, the results should be interpreted qualitatively. Accordingly, the major finding of the analysis was that PARP-1 inhibition in PBMC increased with increasing olaparib plasma concentration.</w:t>
      </w:r>
    </w:p>
    <w:p w14:paraId="147785A1" w14:textId="77777777" w:rsidR="00C21707" w:rsidRPr="00214786" w:rsidRDefault="00C21707" w:rsidP="00214786">
      <w:pPr>
        <w:ind w:left="720"/>
        <w:rPr>
          <w:i/>
        </w:rPr>
      </w:pPr>
      <w:r w:rsidRPr="00214786">
        <w:rPr>
          <w:i/>
        </w:rPr>
        <w:t>Implications of findings</w:t>
      </w:r>
    </w:p>
    <w:p w14:paraId="484E32C0" w14:textId="77777777" w:rsidR="005D64FB" w:rsidRPr="00214786" w:rsidRDefault="00C21707" w:rsidP="00214786">
      <w:pPr>
        <w:ind w:left="720"/>
        <w:rPr>
          <w:i/>
        </w:rPr>
      </w:pPr>
      <w:r w:rsidRPr="00214786">
        <w:rPr>
          <w:i/>
        </w:rPr>
        <w:t xml:space="preserve">The PK, exposure-response and PK/PD (PARP-1) analyses conducted were not sufficiently rigorous to be applied quantitatively to inform the clinical pharmacology of olaparib or guide dosing in special populations. Therefore, the analyses had no implications for the Australian </w:t>
      </w:r>
      <w:r w:rsidR="00214786">
        <w:rPr>
          <w:i/>
        </w:rPr>
        <w:t>PI</w:t>
      </w:r>
      <w:r w:rsidR="005D64FB" w:rsidRPr="00214786">
        <w:rPr>
          <w:i/>
        </w:rPr>
        <w:t>.</w:t>
      </w:r>
    </w:p>
    <w:p w14:paraId="7AFDD19A" w14:textId="5CCCAF39" w:rsidR="00C21707" w:rsidRPr="00214786" w:rsidRDefault="00C21707" w:rsidP="00214786">
      <w:pPr>
        <w:ind w:left="720"/>
        <w:rPr>
          <w:i/>
        </w:rPr>
      </w:pPr>
      <w:r w:rsidRPr="00214786">
        <w:rPr>
          <w:i/>
        </w:rPr>
        <w:t>No assessment of benefit-risk was possible based on the evaluated analyses.</w:t>
      </w:r>
      <w:r w:rsidR="00BA708C">
        <w:rPr>
          <w:i/>
        </w:rPr>
        <w:t>’</w:t>
      </w:r>
    </w:p>
    <w:p w14:paraId="765F09B0" w14:textId="77777777" w:rsidR="00C21707" w:rsidRPr="00C21707" w:rsidRDefault="00C21707" w:rsidP="00C21707">
      <w:r w:rsidRPr="00C21707">
        <w:t>The following is taken from the Pharmaceutical Subcommittee (PSC) minutes followin</w:t>
      </w:r>
      <w:r w:rsidR="00214786">
        <w:t>g the 24 November 2015 meeting:</w:t>
      </w:r>
    </w:p>
    <w:p w14:paraId="370391CF" w14:textId="03ED7720" w:rsidR="00C21707" w:rsidRPr="00C21707" w:rsidRDefault="00C21707" w:rsidP="00C21707">
      <w:r w:rsidRPr="00C21707">
        <w:t xml:space="preserve">The PSC supported the </w:t>
      </w:r>
      <w:proofErr w:type="spellStart"/>
      <w:r w:rsidRPr="00C21707">
        <w:t>pharmacometrician’s</w:t>
      </w:r>
      <w:proofErr w:type="spellEnd"/>
      <w:r w:rsidRPr="00C21707">
        <w:t xml:space="preserve"> conclusions and advised that</w:t>
      </w:r>
      <w:r w:rsidR="0010405A">
        <w:t>:</w:t>
      </w:r>
    </w:p>
    <w:p w14:paraId="1EFD8931" w14:textId="77777777" w:rsidR="00C21707" w:rsidRPr="00C21707" w:rsidRDefault="00C21707" w:rsidP="00C21707">
      <w:pPr>
        <w:pStyle w:val="ListBullet"/>
      </w:pPr>
      <w:r w:rsidRPr="00C21707">
        <w:t>batch va</w:t>
      </w:r>
      <w:r w:rsidR="00214786">
        <w:t>riability is no longer an issue</w:t>
      </w:r>
    </w:p>
    <w:p w14:paraId="7F84F237" w14:textId="77777777" w:rsidR="00C21707" w:rsidRPr="00C21707" w:rsidRDefault="00C21707" w:rsidP="00C21707">
      <w:pPr>
        <w:pStyle w:val="ListBullet"/>
      </w:pPr>
      <w:r w:rsidRPr="00C21707">
        <w:t>there was no usef</w:t>
      </w:r>
      <w:r w:rsidR="00214786">
        <w:t>ul information about covariates</w:t>
      </w:r>
    </w:p>
    <w:p w14:paraId="2A4D2AE2" w14:textId="77777777" w:rsidR="00C21707" w:rsidRPr="00C21707" w:rsidRDefault="00C21707" w:rsidP="00C21707">
      <w:pPr>
        <w:pStyle w:val="ListBullet"/>
      </w:pPr>
      <w:r w:rsidRPr="00C21707">
        <w:t>the 400 mg dose</w:t>
      </w:r>
      <w:r w:rsidR="00214786">
        <w:t xml:space="preserve"> of olaparib was more effective</w:t>
      </w:r>
    </w:p>
    <w:p w14:paraId="6D72E02A" w14:textId="77777777" w:rsidR="00C21707" w:rsidRPr="00C21707" w:rsidRDefault="00C21707" w:rsidP="00C21707">
      <w:pPr>
        <w:pStyle w:val="ListBullet"/>
      </w:pPr>
      <w:proofErr w:type="gramStart"/>
      <w:r w:rsidRPr="00C21707">
        <w:t>there</w:t>
      </w:r>
      <w:proofErr w:type="gramEnd"/>
      <w:r w:rsidRPr="00C21707">
        <w:t xml:space="preserve"> were no significant exposure AE-relationships.</w:t>
      </w:r>
    </w:p>
    <w:p w14:paraId="6B0E90B5" w14:textId="77777777" w:rsidR="005D64FB" w:rsidRDefault="00C21707" w:rsidP="00C21707">
      <w:r w:rsidRPr="00C21707">
        <w:t xml:space="preserve">The PSC noted that the draft PI did not make specific reference to data generated as part of the pharmacometric analyses and that the reporting of </w:t>
      </w:r>
      <w:r w:rsidR="00214786">
        <w:t>PK</w:t>
      </w:r>
      <w:r w:rsidRPr="00C21707">
        <w:t xml:space="preserve"> data is sparse. The PSC advised that the PK section could be expanded to include the study population and the observed variability reported in PK parameters (CL/F, V/F and estimated half-life) from the PopPK studies</w:t>
      </w:r>
      <w:r w:rsidR="005D64FB">
        <w:t>.</w:t>
      </w:r>
    </w:p>
    <w:p w14:paraId="28D26DDC" w14:textId="50340820" w:rsidR="00C21707" w:rsidRPr="00C21707" w:rsidRDefault="00BA708C" w:rsidP="00F12C72">
      <w:r>
        <w:t>T</w:t>
      </w:r>
      <w:r w:rsidRPr="00C21707">
        <w:t xml:space="preserve">he </w:t>
      </w:r>
      <w:r w:rsidR="00C21707" w:rsidRPr="00C21707">
        <w:t xml:space="preserve">uncertainties identified in the population PK studies mirror those presented in the overview above regarding the PK and PD data above. The Delegate has requested the </w:t>
      </w:r>
      <w:r w:rsidR="00214786">
        <w:t>sponsor</w:t>
      </w:r>
      <w:r w:rsidR="00C21707" w:rsidRPr="00C21707">
        <w:t xml:space="preserve"> include a statement at the start of the Pharmacokinetics section to reflect the limitations of any PK or PD data in the PI to inform prescribers.</w:t>
      </w:r>
    </w:p>
    <w:p w14:paraId="2BCD5F60" w14:textId="77777777" w:rsidR="00C21707" w:rsidRPr="00C21707" w:rsidRDefault="00C21707" w:rsidP="00F12C72">
      <w:pPr>
        <w:pStyle w:val="Heading5"/>
      </w:pPr>
      <w:r w:rsidRPr="00C21707">
        <w:t>Summary</w:t>
      </w:r>
    </w:p>
    <w:p w14:paraId="00D0A02C" w14:textId="58C4EE9C" w:rsidR="005D64FB" w:rsidRDefault="00C21707" w:rsidP="00C21707">
      <w:r w:rsidRPr="00C21707">
        <w:t xml:space="preserve">The PK studies done to date leave significant uncertainties about the absorption, distribution and elimination of olaparib. There is a high degree of inter-individual variability in almost every PK parameter measured, and this has not been adequately explained nor conveyed in the PI (see PI changes). </w:t>
      </w:r>
      <w:r w:rsidR="00987CB6" w:rsidRPr="00C21707">
        <w:t>The intra-individual variability was less marked, which suggests an individual variation in the ability to absorb the micro</w:t>
      </w:r>
      <w:r w:rsidR="00987CB6">
        <w:t xml:space="preserve"> </w:t>
      </w:r>
      <w:r w:rsidR="00987CB6" w:rsidRPr="00C21707">
        <w:t>emulsion preparation. Tumour</w:t>
      </w:r>
      <w:r w:rsidRPr="00C21707">
        <w:t xml:space="preserve"> levels of the drug deemed effective for PARP inhibition were reached across a range of doses but it is not clear if that is due to dose level or the systemic exposure. As with many of the PK parameters presented the explanations are inferred rather than established with direct evidence</w:t>
      </w:r>
      <w:r w:rsidR="005D64FB">
        <w:t>.</w:t>
      </w:r>
    </w:p>
    <w:p w14:paraId="5E9D7799" w14:textId="77777777" w:rsidR="00C21707" w:rsidRPr="00C21707" w:rsidRDefault="00C21707" w:rsidP="00C21707">
      <w:r w:rsidRPr="00C21707">
        <w:t xml:space="preserve">The population PK modelling yielded similarly highly variable results, requiring an inter occasion variable to be built in to predict more accurately and consistently. While it was considered established PARP inhibition increased in peripheral mononuclear blood cells </w:t>
      </w:r>
      <w:r w:rsidRPr="00C21707">
        <w:lastRenderedPageBreak/>
        <w:t>with increasing plasma concentration, a correlation with plasma levels and oral dose has not been established.</w:t>
      </w:r>
    </w:p>
    <w:p w14:paraId="094AD231" w14:textId="434324C6" w:rsidR="00987CB6" w:rsidRPr="00C21707" w:rsidRDefault="00987CB6" w:rsidP="001D725A">
      <w:r w:rsidRPr="00C21707">
        <w:t>The uncertainties due to these highly variable parameters may impair the identification of a dose-dependent signal for efficacy and/or safety</w:t>
      </w:r>
      <w:r w:rsidR="002A1B2F">
        <w:t>. T</w:t>
      </w:r>
      <w:r w:rsidRPr="00C21707">
        <w:t>he dissolution issues</w:t>
      </w:r>
      <w:r w:rsidR="00F96C17">
        <w:t xml:space="preserve"> during early development</w:t>
      </w:r>
      <w:r w:rsidRPr="00C21707">
        <w:t>, and also the large number of capsules currently re</w:t>
      </w:r>
      <w:r w:rsidR="002A1B2F">
        <w:t>quired (8 capsules twice daily) may be resolved in future dose forms</w:t>
      </w:r>
      <w:r w:rsidRPr="00C21707">
        <w:t>.</w:t>
      </w:r>
    </w:p>
    <w:p w14:paraId="1B5D1847" w14:textId="77777777" w:rsidR="00C21707" w:rsidRPr="00C21707" w:rsidRDefault="00C21707" w:rsidP="00987CB6">
      <w:r w:rsidRPr="00C21707">
        <w:t>The PK and Drug Interaction section of the PI do not currently convey the uncertainties about the PK data, and lack clarity in providing clinically meaningful advice to prescribers about relevant drug interactions, respectively. Strategies such as dose reduction or withholding doses to manage toxicities are not reliably informed by the PK or PD data. Thus characterisation of the safety and efficacy of the drug, and generation of useful prescribing information, is reliant upon, and more informed by, monitoring of patients and the generation of signals in the clinical setting rather than being prospectively informed by PK and PD parameters.</w:t>
      </w:r>
      <w:r w:rsidR="005D64FB">
        <w:t xml:space="preserve"> </w:t>
      </w:r>
      <w:r w:rsidRPr="00C21707">
        <w:t>PI changes have been recommended to improve this.</w:t>
      </w:r>
    </w:p>
    <w:p w14:paraId="5D7911F7" w14:textId="77777777" w:rsidR="00C21707" w:rsidRPr="00C21707" w:rsidRDefault="00C21707" w:rsidP="00987CB6">
      <w:r w:rsidRPr="00C21707">
        <w:t>It is noted, however, that efficacy (improved PFS) has been demonstrated at the 40</w:t>
      </w:r>
      <w:r w:rsidR="003E2109">
        <w:t>0 mg</w:t>
      </w:r>
      <w:r w:rsidRPr="00C21707">
        <w:t xml:space="preserve"> </w:t>
      </w:r>
      <w:r w:rsidR="00214786">
        <w:t>BD</w:t>
      </w:r>
      <w:r w:rsidRPr="00C21707">
        <w:t xml:space="preserve"> dose and is generally well tolerated with largely manageable side effects; therefore, these deficiencies do not preclude registration for the proposed usage.</w:t>
      </w:r>
    </w:p>
    <w:p w14:paraId="08B31716" w14:textId="1CAB9B39" w:rsidR="00C21707" w:rsidRPr="00C21707" w:rsidRDefault="00C21707" w:rsidP="00C21707">
      <w:pPr>
        <w:pStyle w:val="Heading5"/>
      </w:pPr>
      <w:r w:rsidRPr="00C21707">
        <w:t>Pharmacodynamics/</w:t>
      </w:r>
      <w:r w:rsidR="00541721">
        <w:t>d</w:t>
      </w:r>
      <w:r w:rsidRPr="00C21707">
        <w:t>ose selection</w:t>
      </w:r>
    </w:p>
    <w:p w14:paraId="59895F1D" w14:textId="72C08F05" w:rsidR="00C21707" w:rsidRPr="00C21707" w:rsidRDefault="00541721" w:rsidP="00C21707">
      <w:pPr>
        <w:pStyle w:val="Heading6"/>
      </w:pPr>
      <w:r>
        <w:t>Primary pharmacology</w:t>
      </w:r>
    </w:p>
    <w:p w14:paraId="0612B740" w14:textId="77777777" w:rsidR="005D64FB" w:rsidRDefault="00C21707" w:rsidP="00C21707">
      <w:r w:rsidRPr="00C21707">
        <w:t>Inhibition of PARP-1 activity was explored as a pharmacodynamic endpoint in both tumour and surrogate tissue (peripheral blood mononuclear cells - PBMCs) collected primarily from the patients dosed in Studies 02 and 07</w:t>
      </w:r>
      <w:r w:rsidR="005D64FB">
        <w:t>.</w:t>
      </w:r>
    </w:p>
    <w:p w14:paraId="170CD251" w14:textId="77777777" w:rsidR="005D64FB" w:rsidRDefault="00C21707" w:rsidP="00C21707">
      <w:r w:rsidRPr="00C21707">
        <w:t xml:space="preserve">Study 02 </w:t>
      </w:r>
      <w:r w:rsidR="000870B6">
        <w:t xml:space="preserve">(Study D0810C00002) </w:t>
      </w:r>
      <w:r w:rsidRPr="00C21707">
        <w:t xml:space="preserve">was an open-label, dose-escalating, non-randomised, multi-centre </w:t>
      </w:r>
      <w:r w:rsidR="003E2109">
        <w:t>Phase</w:t>
      </w:r>
      <w:r w:rsidRPr="00C21707">
        <w:t xml:space="preserve"> I study designed to establish the PARP inhibitory dose range (PID) and maximum tolerated dose (MTD) of olaparib and to explore the safety, tolerability, PK and PD profiles and anti-tumour activity in the patient population</w:t>
      </w:r>
      <w:r w:rsidR="005D64FB">
        <w:t>.</w:t>
      </w:r>
    </w:p>
    <w:p w14:paraId="61ED2C83" w14:textId="0B47CC3C" w:rsidR="00C21707" w:rsidRPr="00C21707" w:rsidRDefault="00C21707" w:rsidP="00C21707">
      <w:r w:rsidRPr="00C21707">
        <w:t>Enrolled: 99 patients, 77 female, 21 male</w:t>
      </w:r>
      <w:r w:rsidR="008E4225">
        <w:t>;</w:t>
      </w:r>
      <w:r w:rsidRPr="00C21707">
        <w:t xml:space="preserve"> </w:t>
      </w:r>
      <w:r w:rsidR="008E4225">
        <w:t>m</w:t>
      </w:r>
      <w:r w:rsidRPr="00C21707">
        <w:t>ean age 54.7 (19</w:t>
      </w:r>
      <w:r w:rsidR="008E4225">
        <w:t xml:space="preserve"> to </w:t>
      </w:r>
      <w:r w:rsidRPr="00C21707">
        <w:t xml:space="preserve">82). 88.9% </w:t>
      </w:r>
      <w:r>
        <w:t>W</w:t>
      </w:r>
      <w:r w:rsidRPr="00C21707">
        <w:t>hite</w:t>
      </w:r>
      <w:r w:rsidR="008E4225">
        <w:t>.</w:t>
      </w:r>
    </w:p>
    <w:p w14:paraId="62D19B8B" w14:textId="4904F8B6" w:rsidR="00C21707" w:rsidRPr="00C21707" w:rsidRDefault="00C21707" w:rsidP="00C21707">
      <w:r w:rsidRPr="00C21707">
        <w:t>60 (61.2%) patients had BRCA 1/2 mutations, 49 were ovarian cancer patients</w:t>
      </w:r>
      <w:r w:rsidR="008E4225">
        <w:t>.</w:t>
      </w:r>
    </w:p>
    <w:p w14:paraId="1E490A4D" w14:textId="5EC63136" w:rsidR="00C21707" w:rsidRPr="00C21707" w:rsidRDefault="00C21707" w:rsidP="00C21707">
      <w:proofErr w:type="gramStart"/>
      <w:r w:rsidRPr="00C21707">
        <w:t>Completed: 98 patients</w:t>
      </w:r>
      <w:r w:rsidR="008E4225">
        <w:t>.</w:t>
      </w:r>
      <w:proofErr w:type="gramEnd"/>
    </w:p>
    <w:p w14:paraId="731CE78A" w14:textId="745ACF50" w:rsidR="00C21707" w:rsidRPr="00C21707" w:rsidRDefault="00C21707" w:rsidP="00C21707">
      <w:proofErr w:type="gramStart"/>
      <w:r w:rsidRPr="00C21707">
        <w:t>Analysed: 98 patients for safety analysis set, 71 for efficacy data set</w:t>
      </w:r>
      <w:r w:rsidR="008E4225">
        <w:t>.</w:t>
      </w:r>
      <w:proofErr w:type="gramEnd"/>
    </w:p>
    <w:p w14:paraId="36EB827C" w14:textId="5B0D0EAF" w:rsidR="005D64FB" w:rsidRDefault="00C21707" w:rsidP="00C21707">
      <w:r w:rsidRPr="00C21707">
        <w:t>Regimens were used incorporating a range of doses, either 14 days on, 7</w:t>
      </w:r>
      <w:r w:rsidR="008E4225">
        <w:t xml:space="preserve"> days </w:t>
      </w:r>
      <w:r w:rsidRPr="00C21707">
        <w:t>off or continuously: the lowest being 1</w:t>
      </w:r>
      <w:r w:rsidR="003E2109">
        <w:t>0 mg</w:t>
      </w:r>
      <w:r w:rsidRPr="00C21707">
        <w:t>/day for 14/21</w:t>
      </w:r>
      <w:r w:rsidR="008E4225">
        <w:t xml:space="preserve"> </w:t>
      </w:r>
      <w:r w:rsidRPr="00C21707">
        <w:t>day cycles up to the highest of 600</w:t>
      </w:r>
      <w:r w:rsidR="008E4225">
        <w:t> </w:t>
      </w:r>
      <w:r w:rsidRPr="00C21707">
        <w:t xml:space="preserve">mg </w:t>
      </w:r>
      <w:r w:rsidR="00214786">
        <w:t>BD</w:t>
      </w:r>
      <w:r w:rsidRPr="00C21707">
        <w:t xml:space="preserve"> continuously. Two dose limiting toxicities were encountered at the 600 mg </w:t>
      </w:r>
      <w:r w:rsidR="00214786">
        <w:t>BD</w:t>
      </w:r>
      <w:r w:rsidRPr="00C21707">
        <w:t xml:space="preserve"> dose level (CTCAE grade 4 thrombocytop</w:t>
      </w:r>
      <w:r w:rsidR="00A06EB3">
        <w:t>a</w:t>
      </w:r>
      <w:r w:rsidRPr="00C21707">
        <w:t xml:space="preserve">enia and CTCAE grade </w:t>
      </w:r>
      <w:proofErr w:type="gramStart"/>
      <w:r w:rsidRPr="00C21707">
        <w:t>3 somnolence</w:t>
      </w:r>
      <w:proofErr w:type="gramEnd"/>
      <w:r w:rsidRPr="00C21707">
        <w:t xml:space="preserve">) and therefore 400 mg </w:t>
      </w:r>
      <w:r w:rsidR="00214786">
        <w:t>BD</w:t>
      </w:r>
      <w:r w:rsidRPr="00C21707">
        <w:t xml:space="preserve"> was considered to be the maximum tolerated dose (MTD). The 200</w:t>
      </w:r>
      <w:r w:rsidR="008E4225">
        <w:t> </w:t>
      </w:r>
      <w:r w:rsidRPr="00C21707">
        <w:t xml:space="preserve">mg </w:t>
      </w:r>
      <w:r w:rsidR="00214786">
        <w:t>BD</w:t>
      </w:r>
      <w:r w:rsidRPr="00C21707">
        <w:t xml:space="preserve"> dose level was selected for the expansion phase in this study and contained the most patients (58)</w:t>
      </w:r>
      <w:r w:rsidR="005D64FB">
        <w:t>.</w:t>
      </w:r>
    </w:p>
    <w:p w14:paraId="03F99183" w14:textId="77777777" w:rsidR="00C21707" w:rsidRPr="00C21707" w:rsidRDefault="00C21707" w:rsidP="00C21707">
      <w:pPr>
        <w:pStyle w:val="Heading6"/>
      </w:pPr>
      <w:r w:rsidRPr="00C21707">
        <w:t>Efficacy results</w:t>
      </w:r>
    </w:p>
    <w:p w14:paraId="1850067D" w14:textId="77777777" w:rsidR="00C21707" w:rsidRPr="00C21707" w:rsidRDefault="00C21707" w:rsidP="00C21707">
      <w:r w:rsidRPr="00C21707">
        <w:t xml:space="preserve">An overall RECIST response rate (complete or partial response) of 14.3% (14 in 98 patients) was observed in this study with responses noted at olaparib dose levels of 200 mg and 400 mg </w:t>
      </w:r>
      <w:r w:rsidR="00214786">
        <w:t>BD</w:t>
      </w:r>
      <w:r w:rsidRPr="00C21707">
        <w:t>. Of key relevance to the proposed treatment population, all observed RECIST responses occurred in patients with confirmed BRCA mutations (including 12 out of 49 with ovarian cancer) or a strong familial history of cancer. At the time of data cut-off (17 December 2008), 11 patients with BRCA 1/2 mutations were still receiving treatment.</w:t>
      </w:r>
    </w:p>
    <w:p w14:paraId="5115B037" w14:textId="77777777" w:rsidR="00C21707" w:rsidRPr="00C21707" w:rsidRDefault="00C21707" w:rsidP="00C21707">
      <w:pPr>
        <w:pStyle w:val="Heading6"/>
      </w:pPr>
      <w:r w:rsidRPr="00C21707">
        <w:lastRenderedPageBreak/>
        <w:t>Pharmacodynamic results</w:t>
      </w:r>
    </w:p>
    <w:p w14:paraId="481620C5" w14:textId="77777777" w:rsidR="00C21707" w:rsidRPr="00C21707" w:rsidRDefault="00C21707" w:rsidP="00C21707">
      <w:r w:rsidRPr="00C21707">
        <w:t xml:space="preserve">The % inhibition of PARP-1 activity ranged from 7% to 99% (mean = 68 % ± 25 SD) and showed no apparent relationship with dose. The PID range was determined to be at olaparib doses above 40 mg </w:t>
      </w:r>
      <w:r w:rsidR="00214786">
        <w:t>BD</w:t>
      </w:r>
      <w:r w:rsidRPr="00C21707">
        <w:t xml:space="preserve"> (although lower doses were not tested in this study).</w:t>
      </w:r>
    </w:p>
    <w:p w14:paraId="13F409E6" w14:textId="1EF927B1" w:rsidR="00C21707" w:rsidRPr="00C21707" w:rsidRDefault="00C21707" w:rsidP="00C21707">
      <w:r w:rsidRPr="00C21707">
        <w:t xml:space="preserve">The mean olaparib plasma concentration </w:t>
      </w:r>
      <w:r w:rsidR="009703D3">
        <w:t>IC</w:t>
      </w:r>
      <w:r w:rsidR="009703D3" w:rsidRPr="009703D3">
        <w:rPr>
          <w:vertAlign w:val="subscript"/>
        </w:rPr>
        <w:t>50</w:t>
      </w:r>
      <w:r w:rsidRPr="00C21707">
        <w:t xml:space="preserve"> for inhibition of PARP-1 activity in PBMCs was estimated </w:t>
      </w:r>
      <w:proofErr w:type="gramStart"/>
      <w:r w:rsidRPr="00C21707">
        <w:t>as 281 ng/mL</w:t>
      </w:r>
      <w:proofErr w:type="gramEnd"/>
      <w:r w:rsidRPr="00C21707">
        <w:t xml:space="preserve">. The level of PARP-1 inhibition achieved following dosing with olaparib was typically 50 </w:t>
      </w:r>
      <w:r w:rsidR="008E4225">
        <w:t>to</w:t>
      </w:r>
      <w:r w:rsidRPr="00C21707">
        <w:t xml:space="preserve"> 60 %. The PBMC PARP-1 inhibition dose response curve appeared to be flat with moderate inter</w:t>
      </w:r>
      <w:r w:rsidR="008E4225">
        <w:t xml:space="preserve"> </w:t>
      </w:r>
      <w:r w:rsidRPr="00C21707">
        <w:t>individual variability at the dose levels investigated (10 to 600 mg)</w:t>
      </w:r>
      <w:proofErr w:type="gramStart"/>
      <w:r w:rsidRPr="00C21707">
        <w:t>,</w:t>
      </w:r>
      <w:proofErr w:type="gramEnd"/>
      <w:r w:rsidRPr="00C21707">
        <w:t xml:space="preserve"> the maximum drug effect appeared to have been achieved at olaparib doses </w:t>
      </w:r>
      <w:r w:rsidR="00E032DB">
        <w:t>≥</w:t>
      </w:r>
      <w:r w:rsidR="005D43E1">
        <w:t xml:space="preserve"> </w:t>
      </w:r>
      <w:r w:rsidRPr="00C21707">
        <w:t>4</w:t>
      </w:r>
      <w:r w:rsidR="003E2109">
        <w:t>0 mg</w:t>
      </w:r>
      <w:r w:rsidRPr="00C21707">
        <w:t>. For an approximate 65-fold AUC range, the maximum % PARP-1 inhibition increased only approximately 20 %. The data obtained for γH2AX foci induction in hair follicles was consistent with the PARP-1 inhibition data in PBMC samples and showed a rapid onset of effect after dosing, an effect that was sustained on continuous dosing and no apparent relationship between the magnitude of effect and the dose administered.</w:t>
      </w:r>
    </w:p>
    <w:p w14:paraId="142C785A" w14:textId="67E8A601" w:rsidR="00C21707" w:rsidRPr="00C21707" w:rsidRDefault="00C21707" w:rsidP="00F12C72">
      <w:r w:rsidRPr="00C21707">
        <w:t xml:space="preserve">PARP-1 inhibition indicated that olaparib was acting as a PARP inhibitor but did not predict clinical response. There was no relationship between olaparib dose and the degree of PARP-1 inhibition, nor was there a correlation between PARP-1 inhibition and the clinical efficacy observed. Thus PARP-1 inhibition is not a predictive biomarker (maximal inhibition at 40 mg/day olaparib) and cannot fully explain the clinical benefit observed at much higher doses (200 mg/day and 400 mg/day). It is noted that this assay only measures PARP-1 inhibitory activity and olaparib is stated to inhibit PARPs 1, 2 and 3; therefore, it is possible that inhibition of these other enzymes is contributing to the efficacy observed. There may also be other mechanisms of action. The impact of metabolites of olaparib on DNA repair and other off-target effects are not known. The </w:t>
      </w:r>
      <w:r w:rsidR="00214786">
        <w:t>sponsor</w:t>
      </w:r>
      <w:r w:rsidRPr="00C21707">
        <w:t xml:space="preserve"> stated in the response that the low </w:t>
      </w:r>
      <w:proofErr w:type="gramStart"/>
      <w:r w:rsidRPr="00C21707">
        <w:t>levels of the individual metabolites has</w:t>
      </w:r>
      <w:proofErr w:type="gramEnd"/>
      <w:r w:rsidRPr="00C21707">
        <w:t xml:space="preserve"> made retrieval and further characterisation of such metabolites difficult.</w:t>
      </w:r>
    </w:p>
    <w:p w14:paraId="0911C63A" w14:textId="77777777" w:rsidR="00C21707" w:rsidRPr="00C21707" w:rsidRDefault="00C21707" w:rsidP="00087EFD">
      <w:pPr>
        <w:pStyle w:val="Heading6"/>
      </w:pPr>
      <w:r w:rsidRPr="00C21707">
        <w:t xml:space="preserve">Study 07 </w:t>
      </w:r>
      <w:r w:rsidR="000870B6">
        <w:t>(Study D0810C00007)</w:t>
      </w:r>
    </w:p>
    <w:p w14:paraId="09EE5506" w14:textId="63356AC0" w:rsidR="005D64FB" w:rsidRDefault="00C21707" w:rsidP="00C21707">
      <w:r w:rsidRPr="00C21707">
        <w:t>This was a Phase I open</w:t>
      </w:r>
      <w:r w:rsidR="00A06EB3">
        <w:t xml:space="preserve"> </w:t>
      </w:r>
      <w:r w:rsidRPr="00C21707">
        <w:t>label study to identify an effective biological dose of olaparib by using biomarkers of PARP activity to delineate a PARP inhibitory concentration response curve for the selected doses of olaparib in breast tumours</w:t>
      </w:r>
      <w:r w:rsidR="005D64FB">
        <w:t>.</w:t>
      </w:r>
    </w:p>
    <w:p w14:paraId="17407244" w14:textId="77777777" w:rsidR="005D64FB" w:rsidRDefault="00C21707" w:rsidP="00C21707">
      <w:r w:rsidRPr="00C21707">
        <w:t xml:space="preserve">Intermediate and high risk breast cancer patients were randomly allocated to 1 of 5 dose cohorts (10 mg </w:t>
      </w:r>
      <w:r w:rsidR="00214786">
        <w:t>BD</w:t>
      </w:r>
      <w:r w:rsidRPr="00C21707">
        <w:t xml:space="preserve">, 30 mg </w:t>
      </w:r>
      <w:r w:rsidR="00214786">
        <w:t>BD</w:t>
      </w:r>
      <w:r w:rsidRPr="00C21707">
        <w:t xml:space="preserve">, 100 mg </w:t>
      </w:r>
      <w:r w:rsidR="00214786">
        <w:t>BD</w:t>
      </w:r>
      <w:r w:rsidRPr="00C21707">
        <w:t xml:space="preserve">, 200 mg </w:t>
      </w:r>
      <w:r w:rsidR="00214786">
        <w:t>BD</w:t>
      </w:r>
      <w:r w:rsidRPr="00C21707">
        <w:t xml:space="preserve">, and 400 mg </w:t>
      </w:r>
      <w:r w:rsidR="00214786">
        <w:t>BD</w:t>
      </w:r>
      <w:r w:rsidRPr="00C21707">
        <w:t>) and received treatment for 4 or 5 days prior to surgery</w:t>
      </w:r>
      <w:r w:rsidR="005D64FB">
        <w:t>.</w:t>
      </w:r>
    </w:p>
    <w:p w14:paraId="1E6C5F31" w14:textId="134D214B" w:rsidR="005D64FB" w:rsidRDefault="00C21707" w:rsidP="00C21707">
      <w:r w:rsidRPr="00C21707">
        <w:t>Overall, 60 patients were random</w:t>
      </w:r>
      <w:r w:rsidR="00172769">
        <w:t>ise</w:t>
      </w:r>
      <w:r w:rsidRPr="00C21707">
        <w:t>d, 12 in each dose cohort, and all patients completed treatment</w:t>
      </w:r>
      <w:r w:rsidR="005D64FB">
        <w:t>.</w:t>
      </w:r>
    </w:p>
    <w:p w14:paraId="3E8C8F07" w14:textId="1102F00C" w:rsidR="00C21707" w:rsidRPr="00087EFD" w:rsidRDefault="00C21707" w:rsidP="00087EFD">
      <w:pPr>
        <w:pStyle w:val="Heading7"/>
        <w:rPr>
          <w:sz w:val="22"/>
        </w:rPr>
      </w:pPr>
      <w:r w:rsidRPr="00087EFD">
        <w:rPr>
          <w:sz w:val="22"/>
        </w:rPr>
        <w:t>Summary of pharmacodynamic results</w:t>
      </w:r>
    </w:p>
    <w:p w14:paraId="3157CA2C" w14:textId="77777777" w:rsidR="005D64FB" w:rsidRDefault="00C21707" w:rsidP="00C21707">
      <w:r w:rsidRPr="00C21707">
        <w:t>The PARP-1 inhibition in the tumour sample and in the PBMC sample collected at the time of surgery was highly variable across samples. The PARP-1 inhibition in tumour samples ranged from 20 to 80%</w:t>
      </w:r>
      <w:r w:rsidR="005D64FB">
        <w:t>.</w:t>
      </w:r>
    </w:p>
    <w:p w14:paraId="0FF3D088" w14:textId="14C5FF60" w:rsidR="00C21707" w:rsidRPr="00C21707" w:rsidRDefault="00C21707" w:rsidP="00C21707">
      <w:r w:rsidRPr="00C21707">
        <w:t>Comparison of the PAR producing activity and PARP-1 enzyme levels between tumour samples and samples of normal breast tissue showed that, although there was variability in both datasets, levels of PARP-1 enzyme and PAR producing activity appeared to be higher (on average 3 to 4</w:t>
      </w:r>
      <w:r w:rsidR="008E4225">
        <w:t xml:space="preserve"> </w:t>
      </w:r>
      <w:r w:rsidR="00F12C72">
        <w:t>f</w:t>
      </w:r>
      <w:r w:rsidRPr="00C21707">
        <w:t>old and 9</w:t>
      </w:r>
      <w:r w:rsidR="008E4225">
        <w:t xml:space="preserve"> </w:t>
      </w:r>
      <w:r w:rsidRPr="00C21707">
        <w:t>fold higher, respectively) than those in normal breast tissue.</w:t>
      </w:r>
    </w:p>
    <w:p w14:paraId="17939D04" w14:textId="0C7075D3" w:rsidR="00C21707" w:rsidRPr="00C21707" w:rsidRDefault="00C21707" w:rsidP="00087EFD">
      <w:pPr>
        <w:pStyle w:val="Heading4"/>
      </w:pPr>
      <w:r w:rsidRPr="00C21707">
        <w:t xml:space="preserve">Dose </w:t>
      </w:r>
      <w:r w:rsidR="00A06EB3">
        <w:t>s</w:t>
      </w:r>
      <w:r w:rsidR="00A06EB3" w:rsidRPr="00C21707">
        <w:t>election</w:t>
      </w:r>
      <w:r w:rsidRPr="00C21707">
        <w:t>/</w:t>
      </w:r>
      <w:r w:rsidR="00F12C72" w:rsidRPr="00C21707">
        <w:t>dose response studies</w:t>
      </w:r>
    </w:p>
    <w:p w14:paraId="14FB715B" w14:textId="77777777" w:rsidR="00C21707" w:rsidRPr="00C21707" w:rsidRDefault="00C21707" w:rsidP="00C21707">
      <w:r w:rsidRPr="00C21707">
        <w:t>The dose of olaparib 40</w:t>
      </w:r>
      <w:r w:rsidR="003E2109">
        <w:t>0 mg</w:t>
      </w:r>
      <w:r w:rsidRPr="00C21707">
        <w:t xml:space="preserve"> </w:t>
      </w:r>
      <w:r w:rsidR="00214786">
        <w:t>BD</w:t>
      </w:r>
      <w:r w:rsidRPr="00C21707">
        <w:t xml:space="preserve"> (capsule formulation) was selected based on toxicity (MTD 400 mg twice daily) and clinical benefit. There was no clear correlation between </w:t>
      </w:r>
      <w:r w:rsidRPr="00C21707">
        <w:lastRenderedPageBreak/>
        <w:t>dose, exposure and the degree of inhibition of PARP-1.This underscores that the PK and PD for olaparib are poorly understood, that the mechanism of action remains to be fully elucidated and an off-target mechanism of action cannot be excluded.</w:t>
      </w:r>
    </w:p>
    <w:p w14:paraId="0D386DCE" w14:textId="77777777" w:rsidR="005D64FB" w:rsidRDefault="00C21707" w:rsidP="00C21707">
      <w:r w:rsidRPr="00C21707">
        <w:t xml:space="preserve">It is noted that a 300 mg </w:t>
      </w:r>
      <w:r w:rsidR="00214786">
        <w:t>BD</w:t>
      </w:r>
      <w:r w:rsidRPr="00C21707">
        <w:t xml:space="preserve"> dose (tablet formulation) is being used for clinical trials currently underway, but the </w:t>
      </w:r>
      <w:r w:rsidR="00214786">
        <w:t>sponsor</w:t>
      </w:r>
      <w:r w:rsidRPr="00C21707">
        <w:t xml:space="preserve"> has proposed the capsule formulation for registration</w:t>
      </w:r>
      <w:r w:rsidR="005D64FB">
        <w:t>.</w:t>
      </w:r>
    </w:p>
    <w:p w14:paraId="48D91EB9" w14:textId="77777777" w:rsidR="00C21707" w:rsidRPr="00C21707" w:rsidRDefault="00C21707" w:rsidP="00087EFD">
      <w:pPr>
        <w:pStyle w:val="Heading4"/>
      </w:pPr>
      <w:r w:rsidRPr="00C21707">
        <w:t>Efficacy</w:t>
      </w:r>
      <w:bookmarkStart w:id="173" w:name="2.5.___Clinical_efficacy"/>
      <w:bookmarkStart w:id="174" w:name="2.5.1.__Dose_response_studies"/>
      <w:bookmarkStart w:id="175" w:name="bookmark0"/>
      <w:bookmarkStart w:id="176" w:name="bookmark1"/>
      <w:bookmarkEnd w:id="173"/>
      <w:bookmarkEnd w:id="174"/>
      <w:bookmarkEnd w:id="175"/>
      <w:bookmarkEnd w:id="176"/>
    </w:p>
    <w:p w14:paraId="4C7C8376" w14:textId="77777777" w:rsidR="00C21707" w:rsidRPr="00C21707" w:rsidRDefault="00C21707" w:rsidP="00087EFD">
      <w:pPr>
        <w:pStyle w:val="Heading5"/>
      </w:pPr>
      <w:bookmarkStart w:id="177" w:name="2.5.2.__Main_studies"/>
      <w:bookmarkEnd w:id="177"/>
      <w:r w:rsidRPr="00C21707">
        <w:t>Pivotal study</w:t>
      </w:r>
    </w:p>
    <w:p w14:paraId="5FCC210E" w14:textId="5164DEBE" w:rsidR="00C21707" w:rsidRPr="00C21707" w:rsidRDefault="00C21707" w:rsidP="00C21707">
      <w:r w:rsidRPr="00C21707">
        <w:t xml:space="preserve">Study D0810C00019 was a </w:t>
      </w:r>
      <w:r w:rsidR="003E2109">
        <w:t>Phase</w:t>
      </w:r>
      <w:r w:rsidRPr="00C21707">
        <w:t xml:space="preserve"> II randomised, double blind, multicentre study to assess the efficacy of 40</w:t>
      </w:r>
      <w:r w:rsidR="003E2109">
        <w:t>0 mg</w:t>
      </w:r>
      <w:r w:rsidRPr="00C21707">
        <w:t xml:space="preserve"> olaparib twice daily (capsule formulation) compared with placebo in the treatment of patients with platinum</w:t>
      </w:r>
      <w:r w:rsidR="008E4225">
        <w:t xml:space="preserve"> </w:t>
      </w:r>
      <w:r w:rsidRPr="00C21707">
        <w:t>sensitive relapsed (PSR) high grade serous ovarian cancer, primary peritoneal or fallopian tube cancer (including patients with macroscopic peritoneal metastases outside the pelvis or distant metastases) following treatment with two or more platinum containing regimens. Following completion of chemotherapy, 265 patients were randomised to receive maintenance olaparib 40</w:t>
      </w:r>
      <w:r w:rsidR="003E2109">
        <w:t>0 mg</w:t>
      </w:r>
      <w:r w:rsidRPr="00C21707">
        <w:t xml:space="preserve"> twice daily (136 patients) or placebo (129 patients).</w:t>
      </w:r>
    </w:p>
    <w:p w14:paraId="351CF219" w14:textId="77777777" w:rsidR="00C21707" w:rsidRPr="00C21707" w:rsidRDefault="00C21707" w:rsidP="00C21707">
      <w:r w:rsidRPr="00C21707">
        <w:t xml:space="preserve">Although initially planned as a second co-primary endpoint, PFS in Homologous repair deficiency (HRD) population was not reported and this became an exploratory endpoint as the </w:t>
      </w:r>
      <w:r w:rsidR="00214786">
        <w:t>sponsor</w:t>
      </w:r>
      <w:r w:rsidRPr="00C21707">
        <w:t xml:space="preserve"> did not have a diagnostic method for determining this population. A retrospective analysis based on HRD determined on archived samples may become available in the future. BRCA status was used retrospectively as the only available test for a population with HRD.</w:t>
      </w:r>
    </w:p>
    <w:p w14:paraId="32808505" w14:textId="349959D6" w:rsidR="00C21707" w:rsidRPr="00C21707" w:rsidRDefault="00D74054" w:rsidP="00F12C72">
      <w:r w:rsidRPr="00F12C72">
        <w:t>T</w:t>
      </w:r>
      <w:r w:rsidR="00C21707" w:rsidRPr="00C21707">
        <w:t>he population with a BRCA mutation is a valid subset of HRD, but was determined retrospectively and therefore the results are not drawn from random</w:t>
      </w:r>
      <w:r w:rsidR="00172769">
        <w:t>ise</w:t>
      </w:r>
      <w:r w:rsidR="00C21707" w:rsidRPr="00C21707">
        <w:t xml:space="preserve">d data. It is also uncertain whether somatic BRCA mutated ovarian cancer would respond to therapies in the same was as </w:t>
      </w:r>
      <w:proofErr w:type="spellStart"/>
      <w:r w:rsidR="00C21707" w:rsidRPr="00C21707">
        <w:t>gBRCA</w:t>
      </w:r>
      <w:proofErr w:type="spellEnd"/>
      <w:r w:rsidR="00C21707" w:rsidRPr="00C21707">
        <w:t>-mutated given the potential to revert to a wild type phenotype, as well as a greater potential for tumour heterogeneity. It is also likely, given other potential mutations or epigenetic causes of HRD, that there are other groups who might also have benefited.</w:t>
      </w:r>
    </w:p>
    <w:p w14:paraId="077BE5CA" w14:textId="0BEBCE6A" w:rsidR="00C21707" w:rsidRPr="00C21707" w:rsidRDefault="00C21707" w:rsidP="00C21707">
      <w:r w:rsidRPr="00C21707">
        <w:t>The inclusion criteria state all patients must have received at least 2 prior platinum</w:t>
      </w:r>
      <w:r w:rsidR="008E4225">
        <w:t xml:space="preserve"> </w:t>
      </w:r>
      <w:r w:rsidRPr="00C21707">
        <w:t>containing regimens. Those enrolled has received an average of 3 previous chemotherapy regimens (range 2</w:t>
      </w:r>
      <w:r w:rsidR="0010405A">
        <w:t xml:space="preserve"> to </w:t>
      </w:r>
      <w:r w:rsidRPr="00C21707">
        <w:t>11) and 2.6 previous platinum-containing chemotherapies (range 2</w:t>
      </w:r>
      <w:r w:rsidR="0010405A">
        <w:t xml:space="preserve"> to </w:t>
      </w:r>
      <w:r w:rsidRPr="00C21707">
        <w:t>-8).</w:t>
      </w:r>
    </w:p>
    <w:p w14:paraId="372B291C" w14:textId="1FB77160" w:rsidR="00C21707" w:rsidRPr="00C21707" w:rsidRDefault="00D74054" w:rsidP="00F12C72">
      <w:r w:rsidRPr="00F12C72">
        <w:t>T</w:t>
      </w:r>
      <w:r w:rsidR="00C21707" w:rsidRPr="00D74054">
        <w:t>he</w:t>
      </w:r>
      <w:r w:rsidR="00C21707" w:rsidRPr="00C21707">
        <w:t xml:space="preserve"> large number of platinum</w:t>
      </w:r>
      <w:r w:rsidR="008E4225">
        <w:t xml:space="preserve"> </w:t>
      </w:r>
      <w:r w:rsidR="00C21707" w:rsidRPr="00C21707">
        <w:t>containing regimens (up to 8) reflects the maintained sensitivity to this agent which is more often observed among women with a germline BRCA mutation. It is unclear whether this would be the case where there is a somatic BRCA mutation, due to tumour heterogeneity. The proposed indication does not specify the number of prior treatments, and consideration of this is given in the benefit risk discussion.</w:t>
      </w:r>
    </w:p>
    <w:p w14:paraId="0DD4EFE4" w14:textId="5B8520F4" w:rsidR="00C21707" w:rsidRPr="00C21707" w:rsidRDefault="00C21707" w:rsidP="00C21707">
      <w:r w:rsidRPr="00C21707">
        <w:t>The statistical analysis plan was consistent with a proof of concept study: if the true HR was 0.75 and the overall Type I error rate was 20% (1</w:t>
      </w:r>
      <w:r w:rsidR="008E4225">
        <w:t xml:space="preserve"> </w:t>
      </w:r>
      <w:r w:rsidRPr="00C21707">
        <w:t xml:space="preserve">sided) </w:t>
      </w:r>
      <w:r w:rsidR="005D64FB">
        <w:t>that is</w:t>
      </w:r>
      <w:r w:rsidR="0010405A">
        <w:t xml:space="preserve">, </w:t>
      </w:r>
      <w:r w:rsidRPr="00C21707">
        <w:t>there would be approximately 80% power to demonstrate a promising difference in favour of olaparib.</w:t>
      </w:r>
    </w:p>
    <w:p w14:paraId="3D03B3B4" w14:textId="150935DF" w:rsidR="00C21707" w:rsidRPr="00C21707" w:rsidRDefault="00D74054" w:rsidP="00F12C72">
      <w:r w:rsidRPr="00F12C72">
        <w:t>This</w:t>
      </w:r>
      <w:r w:rsidR="00C21707" w:rsidRPr="00D74054">
        <w:t xml:space="preserve"> </w:t>
      </w:r>
      <w:r w:rsidR="00C21707" w:rsidRPr="00C21707">
        <w:t xml:space="preserve">is not a study designed for regulatory purposes, as it lacks power to demonstrate key endpoints. Furthermore, the lack of </w:t>
      </w:r>
      <w:r w:rsidR="0041711A" w:rsidRPr="00C21707">
        <w:t>randomi</w:t>
      </w:r>
      <w:r w:rsidR="0041711A">
        <w:t>s</w:t>
      </w:r>
      <w:r w:rsidR="0041711A" w:rsidRPr="00C21707">
        <w:t xml:space="preserve">ation </w:t>
      </w:r>
      <w:r w:rsidR="00C21707" w:rsidRPr="00C21707">
        <w:t>of the data supporting the proposed usage is a further weakness. Thus the totality of the data supporting efficacy and unmet need are requisite considerations for registration.</w:t>
      </w:r>
    </w:p>
    <w:p w14:paraId="5211CADE" w14:textId="77777777" w:rsidR="00C21707" w:rsidRPr="00C21707" w:rsidRDefault="00C21707" w:rsidP="00087EFD">
      <w:pPr>
        <w:pStyle w:val="Heading6"/>
      </w:pPr>
      <w:r w:rsidRPr="00C21707">
        <w:lastRenderedPageBreak/>
        <w:t>Primary endpoint</w:t>
      </w:r>
    </w:p>
    <w:p w14:paraId="0FA0959F" w14:textId="02027869" w:rsidR="005D64FB" w:rsidRDefault="00C21707" w:rsidP="00C21707">
      <w:r w:rsidRPr="00C21707">
        <w:t>The primary endpoint was progression</w:t>
      </w:r>
      <w:r w:rsidR="008E4225">
        <w:t xml:space="preserve"> </w:t>
      </w:r>
      <w:r w:rsidRPr="00C21707">
        <w:t xml:space="preserve">free </w:t>
      </w:r>
      <w:r w:rsidR="00475D5E">
        <w:t>survival (PFS) was based on an</w:t>
      </w:r>
      <w:r w:rsidR="00475D5E" w:rsidRPr="00475D5E">
        <w:t xml:space="preserve"> </w:t>
      </w:r>
      <w:r w:rsidR="008E4225">
        <w:t xml:space="preserve">intention </w:t>
      </w:r>
      <w:r w:rsidR="00475D5E">
        <w:t>to treat</w:t>
      </w:r>
      <w:r w:rsidR="00475D5E" w:rsidRPr="00C21707">
        <w:t xml:space="preserve"> </w:t>
      </w:r>
      <w:r w:rsidR="00475D5E">
        <w:t>(I</w:t>
      </w:r>
      <w:r w:rsidRPr="00C21707">
        <w:t>TT</w:t>
      </w:r>
      <w:r w:rsidR="00475D5E">
        <w:t>)</w:t>
      </w:r>
      <w:r w:rsidRPr="00C21707">
        <w:t xml:space="preserve"> analysis. The median PFS was 3.6 months longer in the olaparib arm compared with the placebo group: 8.4 months (95% CI 7.4, 11.5 months) </w:t>
      </w:r>
      <w:r w:rsidR="0010405A">
        <w:t>versus</w:t>
      </w:r>
      <w:r w:rsidR="0010405A" w:rsidRPr="00C21707">
        <w:t xml:space="preserve"> </w:t>
      </w:r>
      <w:r w:rsidRPr="00C21707">
        <w:t>4.8 months (95% CI 4.0, 5.5 months) in the placebo group; HR 0.35 (95% CI: 0.25, 0.49; p</w:t>
      </w:r>
      <w:r w:rsidR="00D74054">
        <w:t> </w:t>
      </w:r>
      <w:r w:rsidR="002B698E">
        <w:t>&lt;</w:t>
      </w:r>
      <w:r w:rsidR="00D74054">
        <w:t> </w:t>
      </w:r>
      <w:r w:rsidRPr="00C21707">
        <w:t>0.00001), indicating a 65% reduction in risk of disease progression or death in the olaparib group compared with the placebo group over the study period.</w:t>
      </w:r>
      <w:r w:rsidR="005D64FB">
        <w:t xml:space="preserve"> </w:t>
      </w:r>
      <w:r w:rsidRPr="00C21707">
        <w:t xml:space="preserve">A blinded, independent, central review of the data also showed results consistent with the investigator assessment (hazard ratio, 0.39; 95% CI 0.27, 0.55; </w:t>
      </w:r>
      <w:r w:rsidR="008E4225">
        <w:t>p</w:t>
      </w:r>
      <w:r w:rsidR="0010405A">
        <w:t xml:space="preserve"> </w:t>
      </w:r>
      <w:r w:rsidR="002B698E">
        <w:t xml:space="preserve">&lt; </w:t>
      </w:r>
      <w:r w:rsidRPr="00C21707">
        <w:t>0.001)</w:t>
      </w:r>
      <w:r w:rsidR="005D64FB">
        <w:t>.</w:t>
      </w:r>
    </w:p>
    <w:p w14:paraId="1E98A89D" w14:textId="77777777" w:rsidR="00C21707" w:rsidRPr="00C21707" w:rsidRDefault="00C21707" w:rsidP="00C21707">
      <w:r w:rsidRPr="00C21707">
        <w:t xml:space="preserve">The forest plot demonstrates that there was concordance across a range of subgroups, with the exception of those </w:t>
      </w:r>
      <w:r w:rsidR="00E032DB">
        <w:t xml:space="preserve">≥ </w:t>
      </w:r>
      <w:r w:rsidRPr="00C21707">
        <w:t>65 years of age.</w:t>
      </w:r>
    </w:p>
    <w:p w14:paraId="61895D2F" w14:textId="33D2188E" w:rsidR="00C21707" w:rsidRPr="00C21707" w:rsidRDefault="00C21707" w:rsidP="00087EFD">
      <w:pPr>
        <w:pStyle w:val="FigureTitle"/>
      </w:pPr>
      <w:r w:rsidRPr="00C21707">
        <w:t xml:space="preserve">Figure </w:t>
      </w:r>
      <w:r w:rsidR="0046352C">
        <w:t>2:</w:t>
      </w:r>
      <w:r w:rsidRPr="00C21707">
        <w:t xml:space="preserve"> Forest plot of analysis of PFS by subgroup</w:t>
      </w:r>
      <w:r w:rsidR="00D74054">
        <w:t>;</w:t>
      </w:r>
      <w:r w:rsidR="00D74054" w:rsidRPr="00C21707">
        <w:t xml:space="preserve"> </w:t>
      </w:r>
      <w:r w:rsidRPr="00C21707">
        <w:t>FAS</w:t>
      </w:r>
    </w:p>
    <w:p w14:paraId="6DC8BF38" w14:textId="77777777" w:rsidR="00D659F1" w:rsidRPr="00911B2A" w:rsidRDefault="00087EFD" w:rsidP="00D659F1">
      <w:pPr>
        <w:autoSpaceDE w:val="0"/>
        <w:autoSpaceDN w:val="0"/>
        <w:adjustRightInd w:val="0"/>
        <w:spacing w:before="0" w:after="0" w:line="240" w:lineRule="auto"/>
        <w:jc w:val="both"/>
        <w:rPr>
          <w:rFonts w:asciiTheme="minorHAnsi" w:hAnsiTheme="minorHAnsi"/>
        </w:rPr>
      </w:pPr>
      <w:r>
        <w:rPr>
          <w:noProof/>
          <w:lang w:eastAsia="en-AU"/>
        </w:rPr>
        <w:drawing>
          <wp:inline distT="0" distB="0" distL="0" distR="0" wp14:anchorId="25899FC6" wp14:editId="2BC33A16">
            <wp:extent cx="5400040" cy="2592712"/>
            <wp:effectExtent l="0" t="0" r="0" b="0"/>
            <wp:docPr id="2" name="Picture 2" descr="Figure 2: Forest plot of analysis of PFS by subgroup: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2592712"/>
                    </a:xfrm>
                    <a:prstGeom prst="rect">
                      <a:avLst/>
                    </a:prstGeom>
                  </pic:spPr>
                </pic:pic>
              </a:graphicData>
            </a:graphic>
          </wp:inline>
        </w:drawing>
      </w:r>
    </w:p>
    <w:p w14:paraId="495CBDCE" w14:textId="77777777" w:rsidR="00087EFD" w:rsidRPr="00087EFD" w:rsidRDefault="00087EFD" w:rsidP="00087EFD">
      <w:pPr>
        <w:pStyle w:val="Heading6"/>
      </w:pPr>
      <w:r w:rsidRPr="00087EFD">
        <w:t>Secondary endpoints</w:t>
      </w:r>
    </w:p>
    <w:p w14:paraId="05EA686C" w14:textId="1819DFD5" w:rsidR="005D64FB" w:rsidRDefault="00087EFD" w:rsidP="00087EFD">
      <w:r w:rsidRPr="00F12C72">
        <w:rPr>
          <w:i/>
        </w:rPr>
        <w:t>Overall survival</w:t>
      </w:r>
      <w:r w:rsidRPr="00087EFD">
        <w:t>: At the first analysis of OS there were 154 deaths out of 265 patients (initially planned to be analysed after 222 deaths or 85% of patients), median overall survival was 29.8 months (95% CI: 27.2</w:t>
      </w:r>
      <w:r w:rsidR="008E4225">
        <w:t xml:space="preserve"> to </w:t>
      </w:r>
      <w:r w:rsidRPr="00087EFD">
        <w:t>35.7 months) with olaparib and 27.8 months (95% CI 22.4</w:t>
      </w:r>
      <w:r w:rsidR="008E4225">
        <w:t xml:space="preserve"> to </w:t>
      </w:r>
      <w:r w:rsidRPr="00087EFD">
        <w:t xml:space="preserve">34.0 months) with placebo. The HR was 0.88 (95% CI: 0.64, 1.21; </w:t>
      </w:r>
      <w:r w:rsidR="008E4225">
        <w:t>p </w:t>
      </w:r>
      <w:r w:rsidR="0010405A">
        <w:t>=</w:t>
      </w:r>
      <w:r w:rsidR="008E4225">
        <w:t> </w:t>
      </w:r>
      <w:r w:rsidRPr="00087EFD">
        <w:t>0.438)</w:t>
      </w:r>
      <w:r w:rsidR="005D64FB">
        <w:t>.</w:t>
      </w:r>
    </w:p>
    <w:p w14:paraId="0CB4AFE2" w14:textId="48C26834" w:rsidR="00087EFD" w:rsidRPr="00087EFD" w:rsidRDefault="00087EFD" w:rsidP="00F12C72">
      <w:r w:rsidRPr="00087EFD">
        <w:t>This study was not statistically powered to demonstrate an overall survival benefit at the time of the analysis of the primary endpoint PFS.</w:t>
      </w:r>
      <w:r w:rsidR="005D64FB">
        <w:t xml:space="preserve"> </w:t>
      </w:r>
      <w:r w:rsidRPr="00087EFD">
        <w:t>Furthermore, any difference in OS between treatment arms cannot be ascribed solely to the effect of olaparib given the extensive treatment switching: 78.5% of patients in the olaparib arm and 87.8% in the placebo arm receiving subsequent treatments, with more than one third received more than 3 subsequent therapies. In the BRCA group, 22.6% went on to receive a PARP inhibitor. Crossover to olaparib was not permitted within the study design.</w:t>
      </w:r>
    </w:p>
    <w:p w14:paraId="0ACC30DE" w14:textId="477DC359" w:rsidR="005D64FB" w:rsidRDefault="00087EFD" w:rsidP="00087EFD">
      <w:pPr>
        <w:pStyle w:val="ListBullet"/>
      </w:pPr>
      <w:r w:rsidRPr="00087EFD">
        <w:t xml:space="preserve">Objective response rate (RECIST 1.0 criteria): Partial response rates were slightly higher in the olaparib arm: 12.3% </w:t>
      </w:r>
      <w:r w:rsidR="0010405A">
        <w:t>versus</w:t>
      </w:r>
      <w:r w:rsidRPr="00087EFD">
        <w:t xml:space="preserve"> 4.2%</w:t>
      </w:r>
      <w:r w:rsidR="005D64FB">
        <w:t>.</w:t>
      </w:r>
    </w:p>
    <w:p w14:paraId="567B7E3A" w14:textId="77777777" w:rsidR="00087EFD" w:rsidRPr="00087EFD" w:rsidRDefault="00087EFD" w:rsidP="00087EFD">
      <w:pPr>
        <w:pStyle w:val="ListBullet"/>
      </w:pPr>
      <w:r w:rsidRPr="00087EFD">
        <w:t>Disease control rate: 52.9% and 24.8% patients had disease control (confirmed CR + confirmed PR + SD + NED) at 24 weeks in the olaparib and placebo groups, respectively.</w:t>
      </w:r>
    </w:p>
    <w:p w14:paraId="5AA65F25" w14:textId="77777777" w:rsidR="005D64FB" w:rsidRDefault="00087EFD" w:rsidP="00087EFD">
      <w:pPr>
        <w:pStyle w:val="ListBullet"/>
      </w:pPr>
      <w:r w:rsidRPr="00087EFD">
        <w:t>Duration of response: There were too few responders to assess this</w:t>
      </w:r>
      <w:r w:rsidR="005D64FB">
        <w:t>.</w:t>
      </w:r>
    </w:p>
    <w:p w14:paraId="3B9CF3BF" w14:textId="0EE770EB" w:rsidR="005D64FB" w:rsidRDefault="00087EFD" w:rsidP="00087EFD">
      <w:pPr>
        <w:pStyle w:val="ListBullet"/>
      </w:pPr>
      <w:r w:rsidRPr="00087EFD">
        <w:t xml:space="preserve">Tumour size: Tumour size was evaluated in less than half the patients in either arm (57 patients in the olaparib group and 48 patients in the placebo group), and at </w:t>
      </w:r>
      <w:r w:rsidRPr="00087EFD">
        <w:lastRenderedPageBreak/>
        <w:t>24</w:t>
      </w:r>
      <w:r w:rsidR="0010405A">
        <w:t> </w:t>
      </w:r>
      <w:r w:rsidRPr="00087EFD">
        <w:t>weeks, there was a statistically significantly lower mean percentage tumour growth in the olaparib (n</w:t>
      </w:r>
      <w:r w:rsidR="0010405A">
        <w:t xml:space="preserve"> </w:t>
      </w:r>
      <w:r w:rsidRPr="00087EFD">
        <w:t>=</w:t>
      </w:r>
      <w:r w:rsidR="0010405A">
        <w:t xml:space="preserve"> </w:t>
      </w:r>
      <w:r w:rsidRPr="00087EFD">
        <w:t>56, LS mean</w:t>
      </w:r>
      <w:r w:rsidR="0010405A">
        <w:t xml:space="preserve"> </w:t>
      </w:r>
      <w:r w:rsidRPr="00087EFD">
        <w:t>=</w:t>
      </w:r>
      <w:r w:rsidR="0010405A">
        <w:t xml:space="preserve"> </w:t>
      </w:r>
      <w:r w:rsidRPr="00087EFD">
        <w:t>0.0%) compared with placebo group (n</w:t>
      </w:r>
      <w:r w:rsidR="0010405A">
        <w:t xml:space="preserve"> </w:t>
      </w:r>
      <w:r w:rsidRPr="00087EFD">
        <w:t>=</w:t>
      </w:r>
      <w:r w:rsidR="0010405A">
        <w:t xml:space="preserve"> </w:t>
      </w:r>
      <w:r w:rsidRPr="00087EFD">
        <w:t>47, LS mean</w:t>
      </w:r>
      <w:r w:rsidR="0010405A">
        <w:t xml:space="preserve"> </w:t>
      </w:r>
      <w:r w:rsidRPr="00087EFD">
        <w:t>=</w:t>
      </w:r>
      <w:r w:rsidR="0010405A">
        <w:t xml:space="preserve"> </w:t>
      </w:r>
      <w:r w:rsidRPr="00087EFD">
        <w:t xml:space="preserve">33.5%) (Difference in LS means = </w:t>
      </w:r>
      <w:r w:rsidR="008E4225">
        <w:noBreakHyphen/>
      </w:r>
      <w:r w:rsidRPr="00087EFD">
        <w:t xml:space="preserve">33.4; 95% CI: </w:t>
      </w:r>
      <w:r w:rsidR="008E4225">
        <w:noBreakHyphen/>
      </w:r>
      <w:r w:rsidRPr="00087EFD">
        <w:t xml:space="preserve">59.4, </w:t>
      </w:r>
      <w:r w:rsidR="008E4225">
        <w:noBreakHyphen/>
      </w:r>
      <w:r w:rsidRPr="00087EFD">
        <w:t>7.4; p</w:t>
      </w:r>
      <w:r w:rsidR="0010405A">
        <w:t xml:space="preserve"> </w:t>
      </w:r>
      <w:r w:rsidRPr="00087EFD">
        <w:t>=</w:t>
      </w:r>
      <w:r w:rsidR="0010405A">
        <w:t xml:space="preserve"> </w:t>
      </w:r>
      <w:r w:rsidRPr="00087EFD">
        <w:t>0.01221)</w:t>
      </w:r>
      <w:r w:rsidR="005D64FB">
        <w:t>.</w:t>
      </w:r>
    </w:p>
    <w:p w14:paraId="0F3FB00B" w14:textId="08ADCC55" w:rsidR="005D64FB" w:rsidRDefault="0041711A" w:rsidP="00087EFD">
      <w:pPr>
        <w:pStyle w:val="ListBullet"/>
      </w:pPr>
      <w:r w:rsidRPr="00087EFD">
        <w:t>C</w:t>
      </w:r>
      <w:r>
        <w:t>A </w:t>
      </w:r>
      <w:r w:rsidRPr="00087EFD">
        <w:t xml:space="preserve">125 </w:t>
      </w:r>
      <w:r w:rsidR="00087EFD" w:rsidRPr="00087EFD">
        <w:t xml:space="preserve">response (GCIG criteria): One patient in each group had a </w:t>
      </w:r>
      <w:r w:rsidRPr="00087EFD">
        <w:t>C</w:t>
      </w:r>
      <w:r>
        <w:t>A </w:t>
      </w:r>
      <w:r w:rsidRPr="00087EFD">
        <w:t xml:space="preserve">125 </w:t>
      </w:r>
      <w:r w:rsidR="00087EFD" w:rsidRPr="00087EFD">
        <w:t xml:space="preserve">response but the numbers with raised </w:t>
      </w:r>
      <w:r w:rsidRPr="00087EFD">
        <w:t>C</w:t>
      </w:r>
      <w:r>
        <w:t>A </w:t>
      </w:r>
      <w:r w:rsidRPr="00087EFD">
        <w:t xml:space="preserve">125 </w:t>
      </w:r>
      <w:r w:rsidR="00087EFD" w:rsidRPr="00087EFD">
        <w:t>were small. There was no statistically significant difference between the 2 treatment groups in combined RECIST and CA</w:t>
      </w:r>
      <w:r>
        <w:t> </w:t>
      </w:r>
      <w:r w:rsidR="00087EFD" w:rsidRPr="00087EFD">
        <w:t>125</w:t>
      </w:r>
      <w:r w:rsidR="00D74054">
        <w:t>;</w:t>
      </w:r>
      <w:r w:rsidR="008C6418">
        <w:rPr>
          <w:rStyle w:val="FootnoteReference"/>
        </w:rPr>
        <w:footnoteReference w:id="30"/>
      </w:r>
      <w:r w:rsidR="00087EFD" w:rsidRPr="00087EFD">
        <w:t xml:space="preserve"> response (odds ratio 2.47, p</w:t>
      </w:r>
      <w:r w:rsidR="0010405A">
        <w:t xml:space="preserve"> </w:t>
      </w:r>
      <w:r w:rsidR="00087EFD" w:rsidRPr="00087EFD">
        <w:t>=</w:t>
      </w:r>
      <w:r w:rsidR="0010405A">
        <w:t xml:space="preserve"> </w:t>
      </w:r>
      <w:r w:rsidR="00087EFD" w:rsidRPr="00087EFD">
        <w:t>0.18155)</w:t>
      </w:r>
      <w:r w:rsidR="005D64FB">
        <w:t>.</w:t>
      </w:r>
    </w:p>
    <w:p w14:paraId="19515EAE" w14:textId="0E8483BE" w:rsidR="005D64FB" w:rsidRDefault="00087EFD" w:rsidP="00087EFD">
      <w:pPr>
        <w:pStyle w:val="ListBullet"/>
      </w:pPr>
      <w:r w:rsidRPr="00087EFD">
        <w:t xml:space="preserve">Time to progression based on </w:t>
      </w:r>
      <w:r w:rsidR="0041711A" w:rsidRPr="00087EFD">
        <w:t>C</w:t>
      </w:r>
      <w:r w:rsidR="0041711A">
        <w:t>A </w:t>
      </w:r>
      <w:r w:rsidR="0041711A" w:rsidRPr="00087EFD">
        <w:t xml:space="preserve">125 </w:t>
      </w:r>
      <w:r w:rsidRPr="00087EFD">
        <w:t>(GCIG criteria): Median time to progression was 8.3 months in the olaparib group compared with 3.7 months in the placebo group; a 4.6 month longer median time to progression in the olaparib group. The HR was 0.35 (95% CI: 0.25, 0.47; p</w:t>
      </w:r>
      <w:r w:rsidR="0010405A">
        <w:t xml:space="preserve"> </w:t>
      </w:r>
      <w:r w:rsidR="002B698E">
        <w:t xml:space="preserve">&lt; </w:t>
      </w:r>
      <w:r w:rsidRPr="00087EFD">
        <w:t>0.00001), consistent with PFS results (primary endpoint)</w:t>
      </w:r>
      <w:r w:rsidR="005D64FB">
        <w:t>.</w:t>
      </w:r>
    </w:p>
    <w:p w14:paraId="61A9F407" w14:textId="0CBEBF9B" w:rsidR="005D64FB" w:rsidRDefault="00087EFD" w:rsidP="00087EFD">
      <w:pPr>
        <w:pStyle w:val="ListBullet"/>
      </w:pPr>
      <w:r w:rsidRPr="00087EFD">
        <w:t>Identification of Homologous Recombination Deficient (HRD) subset of tumours: Olaparib demonstrated a PFS benefit in the maintenance treatment of the 36.2% of patients with BRCA</w:t>
      </w:r>
      <w:r w:rsidR="008E4225">
        <w:t xml:space="preserve"> </w:t>
      </w:r>
      <w:r w:rsidRPr="00087EFD">
        <w:t>mutated ovarian cancer (HR 0.18; 95% CI 0.11-0.31; p</w:t>
      </w:r>
      <w:r w:rsidR="0010405A">
        <w:t xml:space="preserve"> </w:t>
      </w:r>
      <w:r w:rsidR="002B698E">
        <w:t xml:space="preserve">&lt; </w:t>
      </w:r>
      <w:r w:rsidRPr="00087EFD">
        <w:t xml:space="preserve">0.00001; median 11.2 versus 4.3 months). The efficacy of olaparib in patients with </w:t>
      </w:r>
      <w:proofErr w:type="spellStart"/>
      <w:r w:rsidRPr="00087EFD">
        <w:t>gBRCA</w:t>
      </w:r>
      <w:proofErr w:type="spellEnd"/>
      <w:r w:rsidRPr="00087EFD">
        <w:t xml:space="preserve"> mutation was similar to that observed in patients with BRCA mutation (germline and/or tumour mutation)</w:t>
      </w:r>
      <w:r w:rsidR="005D64FB">
        <w:t>.</w:t>
      </w:r>
    </w:p>
    <w:p w14:paraId="5003A0EF" w14:textId="77777777" w:rsidR="00087EFD" w:rsidRPr="00087EFD" w:rsidRDefault="00087EFD" w:rsidP="00087EFD">
      <w:r w:rsidRPr="00087EFD">
        <w:t xml:space="preserve">The number of patients who completed QOL was 226 for </w:t>
      </w:r>
      <w:r w:rsidR="00881C3F">
        <w:t>trial outcomes index</w:t>
      </w:r>
      <w:r w:rsidR="00881C3F" w:rsidRPr="00087EFD">
        <w:t xml:space="preserve"> </w:t>
      </w:r>
      <w:r w:rsidR="00881C3F">
        <w:t>(</w:t>
      </w:r>
      <w:r w:rsidRPr="00087EFD">
        <w:t>TOI</w:t>
      </w:r>
      <w:r w:rsidR="00881C3F">
        <w:t>)</w:t>
      </w:r>
      <w:r w:rsidRPr="00087EFD">
        <w:t xml:space="preserve"> and 225 for </w:t>
      </w:r>
      <w:r w:rsidR="008C6418">
        <w:t>Functional Assessment of Cancer Therapy – Ovarian</w:t>
      </w:r>
      <w:r w:rsidR="008C6418" w:rsidRPr="00087EFD">
        <w:t xml:space="preserve"> </w:t>
      </w:r>
      <w:r w:rsidR="008C6418">
        <w:t>(</w:t>
      </w:r>
      <w:r w:rsidRPr="00087EFD">
        <w:t>FACT-O</w:t>
      </w:r>
      <w:r w:rsidR="008C6418">
        <w:t>)</w:t>
      </w:r>
      <w:r w:rsidRPr="00087EFD">
        <w:t>, and there was no significant difference between the scores for either for the two treatment arms.</w:t>
      </w:r>
    </w:p>
    <w:p w14:paraId="3641DC59" w14:textId="77777777" w:rsidR="00087EFD" w:rsidRPr="00087EFD" w:rsidRDefault="00087EFD" w:rsidP="00087EFD">
      <w:pPr>
        <w:pStyle w:val="Heading6"/>
      </w:pPr>
      <w:r w:rsidRPr="00087EFD">
        <w:t>Exploratory endpoints</w:t>
      </w:r>
    </w:p>
    <w:p w14:paraId="17AF0EE9" w14:textId="77777777" w:rsidR="00087EFD" w:rsidRPr="00087EFD" w:rsidRDefault="00087EFD" w:rsidP="00087EFD">
      <w:r w:rsidRPr="00087EFD">
        <w:t xml:space="preserve">While the following exploratory endpoints were reported to have a p value </w:t>
      </w:r>
      <w:r w:rsidR="002B698E">
        <w:t xml:space="preserve">&lt; </w:t>
      </w:r>
      <w:r w:rsidRPr="00087EFD">
        <w:t>0.00001, the nature of this endpoint precludes statistical significance being demonstrated or claimed. Thus it is not considered appropriate to include them in the PI. See PI Changes.</w:t>
      </w:r>
    </w:p>
    <w:p w14:paraId="31DBCC8C" w14:textId="0CC95DE6" w:rsidR="00087EFD" w:rsidRPr="00087EFD" w:rsidRDefault="00F03EBB" w:rsidP="00087EFD">
      <w:pPr>
        <w:pStyle w:val="TableTitle"/>
      </w:pPr>
      <w:r>
        <w:t xml:space="preserve">Table </w:t>
      </w:r>
      <w:r w:rsidR="00D74054">
        <w:t>15</w:t>
      </w:r>
      <w:r>
        <w:t>:</w:t>
      </w:r>
      <w:r w:rsidR="00087EFD">
        <w:t xml:space="preserve"> </w:t>
      </w:r>
      <w:r w:rsidR="00087EFD" w:rsidRPr="00087EFD">
        <w:t>Exploratory analyses: TDT, TFST and TSST: FAS (taken from p105 CHMP report)</w:t>
      </w:r>
    </w:p>
    <w:p w14:paraId="5842F0C6" w14:textId="77777777" w:rsidR="00D659F1" w:rsidRDefault="00087EFD" w:rsidP="007B6132">
      <w:r>
        <w:rPr>
          <w:noProof/>
          <w:lang w:eastAsia="en-AU"/>
        </w:rPr>
        <w:drawing>
          <wp:inline distT="0" distB="0" distL="0" distR="0" wp14:anchorId="7B981895" wp14:editId="14F40DFC">
            <wp:extent cx="5400040" cy="2821752"/>
            <wp:effectExtent l="0" t="0" r="0" b="0"/>
            <wp:docPr id="3" name="Picture 3" descr="Table 14: Exploratory analyses: TDT, TFST and TSST: FAS (taken from p105 CHMP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2821752"/>
                    </a:xfrm>
                    <a:prstGeom prst="rect">
                      <a:avLst/>
                    </a:prstGeom>
                  </pic:spPr>
                </pic:pic>
              </a:graphicData>
            </a:graphic>
          </wp:inline>
        </w:drawing>
      </w:r>
    </w:p>
    <w:p w14:paraId="10EB1A50" w14:textId="24240A10" w:rsidR="00087EFD" w:rsidRPr="009A73AE" w:rsidRDefault="00087EFD" w:rsidP="009A73AE">
      <w:r w:rsidRPr="00F12C72">
        <w:rPr>
          <w:i/>
        </w:rPr>
        <w:t>BRCA subgroup</w:t>
      </w:r>
      <w:r w:rsidR="00466FD5" w:rsidRPr="00F12C72">
        <w:rPr>
          <w:i/>
        </w:rPr>
        <w:t xml:space="preserve">: </w:t>
      </w:r>
      <w:r w:rsidRPr="009A73AE">
        <w:t>74 (54%) patients in the olaparib arm and 62 (48%) in the placebo arm had BRCA mutations either detected as germline or somatic mutations in tumours.</w:t>
      </w:r>
    </w:p>
    <w:p w14:paraId="265D174D" w14:textId="200EAB03" w:rsidR="005D64FB" w:rsidRDefault="00087EFD" w:rsidP="00F12C72">
      <w:r w:rsidRPr="009A73AE">
        <w:t>95% confidence intervals for the analyses of median PFS and OS are not provided on these nonrandomised datasets</w:t>
      </w:r>
      <w:r w:rsidR="005D64FB">
        <w:t>.</w:t>
      </w:r>
    </w:p>
    <w:p w14:paraId="112881A1" w14:textId="7A9517B6" w:rsidR="00087EFD" w:rsidRPr="009A73AE" w:rsidRDefault="00087EFD" w:rsidP="009A73AE">
      <w:r w:rsidRPr="00F12C72">
        <w:rPr>
          <w:i/>
        </w:rPr>
        <w:lastRenderedPageBreak/>
        <w:t>Determination of BRCA status</w:t>
      </w:r>
      <w:r w:rsidR="00466FD5">
        <w:rPr>
          <w:i/>
        </w:rPr>
        <w:t xml:space="preserve">: </w:t>
      </w:r>
      <w:r w:rsidRPr="009A73AE">
        <w:t>BRCA mutation testing was not mandatory for patients to participate in the study, and for some was known prior to enrolment. Where undertaken, BRCA mutation status was determined by BRCA testing (integrated BRCA</w:t>
      </w:r>
      <w:r w:rsidR="00110851">
        <w:t xml:space="preserve"> a</w:t>
      </w:r>
      <w:r w:rsidRPr="009A73AE">
        <w:t>nalysis assay) of</w:t>
      </w:r>
      <w:r w:rsidR="005D64FB">
        <w:t xml:space="preserve"> </w:t>
      </w:r>
      <w:r w:rsidRPr="009A73AE">
        <w:t>blood samples or next generation sequencing of tumour specimens.</w:t>
      </w:r>
    </w:p>
    <w:p w14:paraId="5A01B9E1" w14:textId="44BB96FB" w:rsidR="00087EFD" w:rsidRPr="009A73AE" w:rsidRDefault="00087EFD" w:rsidP="009A73AE">
      <w:r w:rsidRPr="009A73AE">
        <w:t xml:space="preserve">The </w:t>
      </w:r>
      <w:r w:rsidR="00D74054">
        <w:t>sponsor</w:t>
      </w:r>
      <w:r w:rsidR="00D74054" w:rsidRPr="009A73AE">
        <w:t xml:space="preserve"> </w:t>
      </w:r>
      <w:r w:rsidRPr="009A73AE">
        <w:t>combined available data for germline BRCA mutation status and tumour BRCA mutation status provided from the various sources and re-classified the data into the categories listed below to define the subgroups for analysis:</w:t>
      </w:r>
    </w:p>
    <w:p w14:paraId="0F44D604" w14:textId="77777777" w:rsidR="00087EFD" w:rsidRPr="009A73AE" w:rsidRDefault="00087EFD" w:rsidP="00A37F72">
      <w:pPr>
        <w:pStyle w:val="Numberbullet0"/>
        <w:numPr>
          <w:ilvl w:val="0"/>
          <w:numId w:val="9"/>
        </w:numPr>
      </w:pPr>
      <w:r w:rsidRPr="009A73AE">
        <w:t>BRCA mutated: a deleterious or suspected deleterious mutation identified via germline testing, or in the tumour</w:t>
      </w:r>
    </w:p>
    <w:p w14:paraId="5ED312CB" w14:textId="77777777" w:rsidR="00087EFD" w:rsidRPr="009A73AE" w:rsidRDefault="00087EFD" w:rsidP="009A73AE">
      <w:pPr>
        <w:pStyle w:val="Numberbullet0"/>
      </w:pPr>
      <w:r w:rsidRPr="009A73AE">
        <w:t>BRCA wildtype/BRCA unknown (variant of unknown significance; VUS): not BRCA mutation-positive on germline or tumour testing</w:t>
      </w:r>
    </w:p>
    <w:p w14:paraId="6284F08D" w14:textId="6B9BEA61" w:rsidR="00087EFD" w:rsidRPr="009A73AE" w:rsidRDefault="00087EFD" w:rsidP="009A73AE">
      <w:pPr>
        <w:pStyle w:val="Numberbullet0"/>
      </w:pPr>
      <w:r w:rsidRPr="009A73AE">
        <w:t xml:space="preserve">BRCA missing: patients who were not classified as BRCA mutated, BRCA wildtype/BRCA unknown (VUS) without a complete BRCA test report and did not have BRCA result recorded from tumour analysis or a BRCA result recorded in the </w:t>
      </w:r>
      <w:r w:rsidR="00D74054">
        <w:t xml:space="preserve">case </w:t>
      </w:r>
      <w:r w:rsidR="008C6418">
        <w:t>report form</w:t>
      </w:r>
      <w:r w:rsidR="008C6418" w:rsidRPr="009A73AE">
        <w:t xml:space="preserve"> </w:t>
      </w:r>
      <w:r w:rsidR="008C6418">
        <w:t>(</w:t>
      </w:r>
      <w:r w:rsidRPr="009A73AE">
        <w:t>CRF</w:t>
      </w:r>
      <w:r w:rsidR="008C6418">
        <w:t>)</w:t>
      </w:r>
      <w:r w:rsidRPr="009A73AE">
        <w:t>.</w:t>
      </w:r>
    </w:p>
    <w:p w14:paraId="154D478B" w14:textId="577B8B37" w:rsidR="005D64FB" w:rsidRDefault="009A73AE" w:rsidP="009A73AE">
      <w:r w:rsidRPr="00F12C72">
        <w:rPr>
          <w:i/>
        </w:rPr>
        <w:t>Progression free survival</w:t>
      </w:r>
      <w:r w:rsidR="006F0F80">
        <w:t xml:space="preserve">: </w:t>
      </w:r>
      <w:r w:rsidR="00087EFD" w:rsidRPr="009A73AE">
        <w:t>Median PFS was 6.9 months longer in the olaparib arm compared with the placebo arm: 11.2 months in the olaparib group compared with 4.3 months in the placebo group (HR: 0.18; 95% CI: 0.18, 0.31; p</w:t>
      </w:r>
      <w:r w:rsidR="0010405A">
        <w:t xml:space="preserve"> </w:t>
      </w:r>
      <w:r w:rsidR="002B698E">
        <w:t xml:space="preserve">&lt; </w:t>
      </w:r>
      <w:r w:rsidR="00087EFD" w:rsidRPr="009A73AE">
        <w:t>0.00001)</w:t>
      </w:r>
      <w:r w:rsidR="005D64FB">
        <w:t>.</w:t>
      </w:r>
    </w:p>
    <w:p w14:paraId="50BE52BF" w14:textId="2F4337ED" w:rsidR="00087EFD" w:rsidRPr="009A73AE" w:rsidRDefault="00087EFD" w:rsidP="009A73AE">
      <w:r w:rsidRPr="009A73AE">
        <w:t>The investigato</w:t>
      </w:r>
      <w:r w:rsidR="00110851">
        <w:t xml:space="preserve">r </w:t>
      </w:r>
      <w:r w:rsidRPr="009A73AE">
        <w:t>assessed PFS benefit in patients with BRCA mutation status was confirmed by blinded independent central radiological review (HR 0.22; 95% CI 0.12</w:t>
      </w:r>
      <w:r w:rsidR="0010405A">
        <w:t xml:space="preserve"> to </w:t>
      </w:r>
      <w:r w:rsidRPr="009A73AE">
        <w:t>0.40; p</w:t>
      </w:r>
      <w:r w:rsidR="0010405A">
        <w:t xml:space="preserve"> </w:t>
      </w:r>
      <w:r w:rsidR="002B698E">
        <w:t xml:space="preserve">&lt; </w:t>
      </w:r>
      <w:r w:rsidRPr="009A73AE">
        <w:t>0.00001; median not reached versus 4.8 months).</w:t>
      </w:r>
    </w:p>
    <w:p w14:paraId="30794C85" w14:textId="40C54C33" w:rsidR="00087EFD" w:rsidRPr="009A73AE" w:rsidRDefault="0046352C" w:rsidP="009A73AE">
      <w:pPr>
        <w:pStyle w:val="FigureTitle"/>
      </w:pPr>
      <w:bookmarkStart w:id="178" w:name="_Toc297901108"/>
      <w:r>
        <w:t>Figure 3:</w:t>
      </w:r>
      <w:r w:rsidR="00087EFD" w:rsidRPr="009A73AE">
        <w:t xml:space="preserve"> Kaplan-Meier plot of progression free survival for the olaparib 400 mg </w:t>
      </w:r>
      <w:r w:rsidR="00214786">
        <w:t>BD</w:t>
      </w:r>
      <w:r w:rsidR="00087EFD" w:rsidRPr="009A73AE">
        <w:t xml:space="preserve"> and placebo groups</w:t>
      </w:r>
      <w:r w:rsidR="00D74054">
        <w:t>;</w:t>
      </w:r>
      <w:r w:rsidR="00087EFD" w:rsidRPr="009A73AE">
        <w:t xml:space="preserve"> patients with BRCA mutation</w:t>
      </w:r>
      <w:bookmarkEnd w:id="178"/>
    </w:p>
    <w:p w14:paraId="387949B5" w14:textId="77777777" w:rsidR="00D659F1" w:rsidRDefault="009A73AE" w:rsidP="007B6132">
      <w:r>
        <w:rPr>
          <w:noProof/>
          <w:lang w:eastAsia="en-AU"/>
        </w:rPr>
        <w:drawing>
          <wp:inline distT="0" distB="0" distL="0" distR="0" wp14:anchorId="71C927C7" wp14:editId="4D07F614">
            <wp:extent cx="5400040" cy="2940022"/>
            <wp:effectExtent l="0" t="0" r="0" b="0"/>
            <wp:docPr id="4" name="Picture 4" descr="Figure 3: Kaplan-Meier plot of progression free survival for the olaparib 400 mg BD and placebo groups: patients with BRCA m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2940022"/>
                    </a:xfrm>
                    <a:prstGeom prst="rect">
                      <a:avLst/>
                    </a:prstGeom>
                  </pic:spPr>
                </pic:pic>
              </a:graphicData>
            </a:graphic>
          </wp:inline>
        </w:drawing>
      </w:r>
    </w:p>
    <w:p w14:paraId="3ED5B4E0" w14:textId="6C0916D8" w:rsidR="005D64FB" w:rsidRDefault="009A73AE" w:rsidP="009A73AE">
      <w:r w:rsidRPr="00F12C72">
        <w:rPr>
          <w:i/>
        </w:rPr>
        <w:t>Overall survival</w:t>
      </w:r>
      <w:r w:rsidR="006F0F80">
        <w:t xml:space="preserve">: </w:t>
      </w:r>
      <w:r w:rsidRPr="009A73AE">
        <w:t xml:space="preserve">The median OS in patients with </w:t>
      </w:r>
      <w:proofErr w:type="spellStart"/>
      <w:r w:rsidRPr="009A73AE">
        <w:t>BRCAm</w:t>
      </w:r>
      <w:proofErr w:type="spellEnd"/>
      <w:r w:rsidR="00D74054">
        <w:t>;</w:t>
      </w:r>
      <w:r w:rsidR="008C6418">
        <w:rPr>
          <w:rStyle w:val="FootnoteReference"/>
        </w:rPr>
        <w:footnoteReference w:id="31"/>
      </w:r>
      <w:r w:rsidRPr="009A73AE">
        <w:t xml:space="preserve"> was not statistically significantly increased in an analysis performed at 52% maturity: 34.9 months for olaparib and 31.9 months with placebo</w:t>
      </w:r>
      <w:r w:rsidR="005D64FB">
        <w:t>.</w:t>
      </w:r>
    </w:p>
    <w:p w14:paraId="47F23219" w14:textId="2D306544" w:rsidR="009A73AE" w:rsidRPr="009A73AE" w:rsidRDefault="009A73AE" w:rsidP="009A73AE">
      <w:r w:rsidRPr="00F12C72">
        <w:rPr>
          <w:i/>
        </w:rPr>
        <w:t>Discontinuation of olaparib/placebo treatment</w:t>
      </w:r>
      <w:r w:rsidR="006F0F80">
        <w:t xml:space="preserve">: </w:t>
      </w:r>
      <w:r w:rsidRPr="009A73AE">
        <w:t>The median time to discontinuation of olaparib/placebo treatment mirrored the PFS results: 11.0 months in the olaparib group and 4.6 months in the placebo group (HR of 0.36: 95% CI 0.24</w:t>
      </w:r>
      <w:r w:rsidR="00110851">
        <w:t xml:space="preserve"> to </w:t>
      </w:r>
      <w:r w:rsidRPr="009A73AE">
        <w:t xml:space="preserve">0.53; </w:t>
      </w:r>
      <w:r w:rsidR="0010405A">
        <w:t>p &lt;</w:t>
      </w:r>
      <w:r w:rsidR="002B698E">
        <w:t xml:space="preserve"> </w:t>
      </w:r>
      <w:r w:rsidRPr="009A73AE">
        <w:t>0.00001).</w:t>
      </w:r>
      <w:r w:rsidR="00DF5CF8">
        <w:t xml:space="preserve"> </w:t>
      </w:r>
      <w:r w:rsidRPr="009A73AE">
        <w:lastRenderedPageBreak/>
        <w:t>Consistent with progressive disease, the commencement of the next therapy followed soon after (the median time to first subsequent therapy was 15.6 months in the olaparib group and 6.2 months in the placebo group (HR 0.35: 95% CI 0.23</w:t>
      </w:r>
      <w:r w:rsidR="00110851">
        <w:t xml:space="preserve"> to </w:t>
      </w:r>
      <w:r w:rsidRPr="009A73AE">
        <w:t xml:space="preserve">0.52; </w:t>
      </w:r>
      <w:r w:rsidR="0010405A">
        <w:t>p &lt;</w:t>
      </w:r>
      <w:r w:rsidR="002B698E">
        <w:t xml:space="preserve"> </w:t>
      </w:r>
      <w:r w:rsidRPr="009A73AE">
        <w:t>0.00001).</w:t>
      </w:r>
    </w:p>
    <w:p w14:paraId="3178CC10" w14:textId="1025E3E7" w:rsidR="009A73AE" w:rsidRPr="009A73AE" w:rsidRDefault="009A73AE" w:rsidP="009A73AE">
      <w:r w:rsidRPr="009A73AE">
        <w:t>Median time to second subsequent therapy or death was 23.8 months in the olaparib group and 15.3 months in the placebo group (HR 0.46: 95% CI 0.30</w:t>
      </w:r>
      <w:r w:rsidR="00110851">
        <w:t xml:space="preserve"> to </w:t>
      </w:r>
      <w:r w:rsidRPr="009A73AE">
        <w:t xml:space="preserve">0.70; </w:t>
      </w:r>
      <w:r w:rsidR="0010405A">
        <w:t xml:space="preserve">p = </w:t>
      </w:r>
      <w:r w:rsidRPr="009A73AE">
        <w:t>0.00027)</w:t>
      </w:r>
      <w:r w:rsidR="0010405A">
        <w:t>.</w:t>
      </w:r>
    </w:p>
    <w:p w14:paraId="023959A2" w14:textId="18A4DB81" w:rsidR="009A73AE" w:rsidRPr="009A73AE" w:rsidRDefault="0046352C" w:rsidP="009A73AE">
      <w:pPr>
        <w:pStyle w:val="FigureTitle"/>
      </w:pPr>
      <w:bookmarkStart w:id="179" w:name="_Toc297901110"/>
      <w:r>
        <w:t>Figure 4:</w:t>
      </w:r>
      <w:r w:rsidR="009A73AE" w:rsidRPr="009A73AE">
        <w:t xml:space="preserve"> Study 19</w:t>
      </w:r>
      <w:r w:rsidR="00D74054">
        <w:t>;</w:t>
      </w:r>
      <w:r w:rsidR="009A73AE" w:rsidRPr="009A73AE">
        <w:t xml:space="preserve"> graphical summary of efficacy results in BRCA mutated patients</w:t>
      </w:r>
      <w:bookmarkEnd w:id="179"/>
    </w:p>
    <w:p w14:paraId="6D304AD4" w14:textId="77777777" w:rsidR="00D659F1" w:rsidRDefault="009A73AE" w:rsidP="007B6132">
      <w:r>
        <w:rPr>
          <w:noProof/>
          <w:lang w:eastAsia="en-AU"/>
        </w:rPr>
        <w:drawing>
          <wp:inline distT="0" distB="0" distL="0" distR="0" wp14:anchorId="45782F9D" wp14:editId="2EC7656A">
            <wp:extent cx="5400040" cy="2811367"/>
            <wp:effectExtent l="0" t="0" r="0" b="8255"/>
            <wp:docPr id="5" name="Picture 5" descr="Figure 4: Study 19: graphical summary of efficacy results in BRCA mutat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2811367"/>
                    </a:xfrm>
                    <a:prstGeom prst="rect">
                      <a:avLst/>
                    </a:prstGeom>
                  </pic:spPr>
                </pic:pic>
              </a:graphicData>
            </a:graphic>
          </wp:inline>
        </w:drawing>
      </w:r>
    </w:p>
    <w:p w14:paraId="367F1F77" w14:textId="3E36F147" w:rsidR="009A73AE" w:rsidRPr="009A73AE" w:rsidRDefault="009A73AE" w:rsidP="009A73AE">
      <w:r w:rsidRPr="00F12C72">
        <w:rPr>
          <w:i/>
        </w:rPr>
        <w:t>Quality of life</w:t>
      </w:r>
      <w:r w:rsidR="006F0F80">
        <w:t xml:space="preserve">: </w:t>
      </w:r>
      <w:r w:rsidRPr="009A73AE">
        <w:t>In patients with BRCA mutated tumours, there was a non-significant change</w:t>
      </w:r>
      <w:r w:rsidR="0010405A">
        <w:t xml:space="preserve"> </w:t>
      </w:r>
      <w:r w:rsidRPr="009A73AE">
        <w:t>in best response for Total FACT-O compared with the placebo group. Time to worsening on TOI was numerically longer for olaparib-treated patients than placebo</w:t>
      </w:r>
      <w:r w:rsidR="00110851">
        <w:t xml:space="preserve"> </w:t>
      </w:r>
      <w:r w:rsidRPr="009A73AE">
        <w:t xml:space="preserve">treated patients, however there was no statistically significant difference between treatment groups (HR 0.8, 95% CI 0.48 to 1.34; </w:t>
      </w:r>
      <w:r w:rsidR="0010405A">
        <w:t xml:space="preserve">p = </w:t>
      </w:r>
      <w:r w:rsidRPr="009A73AE">
        <w:t>0.39521).</w:t>
      </w:r>
    </w:p>
    <w:p w14:paraId="45E6F451" w14:textId="5CFB549D" w:rsidR="009A73AE" w:rsidRPr="009A73AE" w:rsidRDefault="00D74054" w:rsidP="00F12C72">
      <w:pPr>
        <w:pStyle w:val="Tabletitle0"/>
      </w:pPr>
      <w:r>
        <w:t xml:space="preserve">Table 16: </w:t>
      </w:r>
      <w:r w:rsidR="009A73AE" w:rsidRPr="009A73AE">
        <w:t xml:space="preserve">Summary of progression-free survival and overall survival: </w:t>
      </w:r>
      <w:proofErr w:type="spellStart"/>
      <w:r w:rsidR="009A73AE" w:rsidRPr="009A73AE">
        <w:t>sBRCA</w:t>
      </w:r>
      <w:proofErr w:type="spellEnd"/>
      <w:r w:rsidR="009A73AE" w:rsidRPr="009A73AE">
        <w:t xml:space="preserve"> mutated population in Study 19</w:t>
      </w:r>
    </w:p>
    <w:p w14:paraId="4837AA55" w14:textId="77777777" w:rsidR="00D659F1" w:rsidRPr="009A73AE" w:rsidRDefault="009A73AE" w:rsidP="009A73AE">
      <w:r>
        <w:rPr>
          <w:noProof/>
          <w:lang w:eastAsia="en-AU"/>
        </w:rPr>
        <w:drawing>
          <wp:inline distT="0" distB="0" distL="0" distR="0" wp14:anchorId="328A6302" wp14:editId="63F18CAF">
            <wp:extent cx="5400040" cy="1620012"/>
            <wp:effectExtent l="0" t="0" r="0" b="0"/>
            <wp:docPr id="6" name="Picture 6" descr="Summary of progression-free survival and overall survival: sBRCA mutated population in Study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1620012"/>
                    </a:xfrm>
                    <a:prstGeom prst="rect">
                      <a:avLst/>
                    </a:prstGeom>
                  </pic:spPr>
                </pic:pic>
              </a:graphicData>
            </a:graphic>
          </wp:inline>
        </w:drawing>
      </w:r>
    </w:p>
    <w:p w14:paraId="1A8E4FBB" w14:textId="28964BA7" w:rsidR="009A73AE" w:rsidRPr="009A73AE" w:rsidRDefault="009A73AE" w:rsidP="00F12C72">
      <w:r w:rsidRPr="009A73AE">
        <w:t>BRCA mutation is a rational choice as one potential biomarker for HRD but absolutely, there is a small proportion (136/265) with known status in this clinical trial, particularly for those with somatic BRCA-mutated tumours (n</w:t>
      </w:r>
      <w:r w:rsidR="0010405A">
        <w:t> </w:t>
      </w:r>
      <w:r w:rsidRPr="009A73AE">
        <w:t>=</w:t>
      </w:r>
      <w:r w:rsidR="0010405A">
        <w:t xml:space="preserve"> </w:t>
      </w:r>
      <w:r w:rsidRPr="009A73AE">
        <w:t>18). The data on this subgroup is not randomised. While there is an observational improvement in PFS, it is not accompanied by an improvement (or detriment) in OS. The quality of life measures do not indicate a significant benefit or a detriment. Beyond this population, in the absence of further known biomarkers at the time of the study, it is difficult to identify a population who might benefit from olaparib. This is reflected in the Delegate’s modified</w:t>
      </w:r>
      <w:r w:rsidR="005D64FB">
        <w:t xml:space="preserve"> </w:t>
      </w:r>
      <w:r w:rsidRPr="009A73AE">
        <w:t>indication.</w:t>
      </w:r>
    </w:p>
    <w:p w14:paraId="60956C08" w14:textId="5D690815" w:rsidR="009A73AE" w:rsidRPr="009A73AE" w:rsidRDefault="009A73AE" w:rsidP="009A73AE">
      <w:r w:rsidRPr="009A73AE">
        <w:t xml:space="preserve">In the BRCA mutated patient population, a confirmatory </w:t>
      </w:r>
      <w:r w:rsidR="003E2109">
        <w:t>Phase</w:t>
      </w:r>
      <w:r w:rsidRPr="009A73AE">
        <w:t xml:space="preserve"> III randomised double</w:t>
      </w:r>
      <w:r w:rsidR="00110851">
        <w:t xml:space="preserve"> </w:t>
      </w:r>
      <w:r w:rsidRPr="009A73AE">
        <w:t>blind placebo</w:t>
      </w:r>
      <w:r w:rsidR="00110851">
        <w:t xml:space="preserve"> </w:t>
      </w:r>
      <w:r w:rsidRPr="009A73AE">
        <w:t xml:space="preserve">controlled multicentre study to assess the efficacy of olaparib as </w:t>
      </w:r>
      <w:r w:rsidRPr="009A73AE">
        <w:lastRenderedPageBreak/>
        <w:t xml:space="preserve">maintenance monotherapy in patients with </w:t>
      </w:r>
      <w:proofErr w:type="spellStart"/>
      <w:r w:rsidRPr="009A73AE">
        <w:t>BRCAm</w:t>
      </w:r>
      <w:proofErr w:type="spellEnd"/>
      <w:r w:rsidRPr="009A73AE">
        <w:t xml:space="preserve"> platinum sensitive relapsed (PSR) high grade serous ovarian cancer (SOLO-2) is ongoing with an expected completion of enrolment in 2015. The outcome of this study is expected to provide further evidence on the safety and efficacy of olaparib in the BRCA-mutated patient population (albeit an earlier population) and submission of this study for evaluation as soon as the CSR is available is a condition of registration (See Conditions of Registration).</w:t>
      </w:r>
    </w:p>
    <w:p w14:paraId="5F5E6A76" w14:textId="2A97D339" w:rsidR="009A73AE" w:rsidRPr="009A73AE" w:rsidRDefault="009A73AE" w:rsidP="009A73AE">
      <w:r w:rsidRPr="009A73AE">
        <w:t>For the majority of patients, the BRCA mutation was germline, and it could be postulated that ongoing benefit is more likely in this group than in the small proportion of patients with somatic BRCA mutations tumours, due to greater stability and persistence of the mutation and lesser intra and inter</w:t>
      </w:r>
      <w:r w:rsidR="0010405A">
        <w:t xml:space="preserve"> </w:t>
      </w:r>
      <w:proofErr w:type="spellStart"/>
      <w:r w:rsidRPr="009A73AE">
        <w:t>lesional</w:t>
      </w:r>
      <w:proofErr w:type="spellEnd"/>
      <w:r w:rsidRPr="009A73AE">
        <w:t xml:space="preserve"> heterogeneity with respect to BRCA status in the former. It is plausible that </w:t>
      </w:r>
      <w:proofErr w:type="spellStart"/>
      <w:r w:rsidRPr="009A73AE">
        <w:t>sBRCA</w:t>
      </w:r>
      <w:proofErr w:type="spellEnd"/>
      <w:r w:rsidRPr="009A73AE">
        <w:t xml:space="preserve"> mutated tumours will respond but the duration and degree of response is uncertain and needs further investigation. It is stated in the CHMP report that a randomised Phase III trial in this particular BRCA sub group of ovarian cancer patients is planned (Study SOLOIST). The </w:t>
      </w:r>
      <w:r w:rsidR="00214786">
        <w:t>sponsor</w:t>
      </w:r>
      <w:r w:rsidRPr="009A73AE">
        <w:t xml:space="preserve"> is requested to provide an update on when this study is planned, and likely completion dates (See </w:t>
      </w:r>
      <w:r w:rsidRPr="00F12C72">
        <w:rPr>
          <w:i/>
        </w:rPr>
        <w:t xml:space="preserve">Questions for </w:t>
      </w:r>
      <w:r w:rsidR="00214786" w:rsidRPr="00F12C72">
        <w:rPr>
          <w:i/>
        </w:rPr>
        <w:t>sponsor</w:t>
      </w:r>
      <w:r w:rsidRPr="009A73AE">
        <w:t>).</w:t>
      </w:r>
    </w:p>
    <w:p w14:paraId="44271EDD" w14:textId="21CA5F0F" w:rsidR="009A73AE" w:rsidRPr="009A73AE" w:rsidRDefault="009A73AE" w:rsidP="009A73AE">
      <w:pPr>
        <w:pStyle w:val="Heading5"/>
      </w:pPr>
      <w:bookmarkStart w:id="180" w:name="_Toc290888504"/>
      <w:r w:rsidRPr="009A73AE">
        <w:t xml:space="preserve">Additional efficacy </w:t>
      </w:r>
      <w:r w:rsidR="00110851">
        <w:t>s</w:t>
      </w:r>
      <w:r w:rsidR="00110851" w:rsidRPr="009A73AE">
        <w:t>tudies</w:t>
      </w:r>
    </w:p>
    <w:p w14:paraId="2BD7D0A3" w14:textId="5B0E8845" w:rsidR="004C3A06" w:rsidRDefault="00D74054" w:rsidP="004C3A06">
      <w:pPr>
        <w:pStyle w:val="Heading6"/>
      </w:pPr>
      <w:r>
        <w:t xml:space="preserve">Study </w:t>
      </w:r>
      <w:r w:rsidR="004C3A06" w:rsidRPr="009A73AE">
        <w:t>D0810C00009</w:t>
      </w:r>
    </w:p>
    <w:p w14:paraId="116BDA94" w14:textId="7C8B68FC" w:rsidR="005D64FB" w:rsidRDefault="00207151" w:rsidP="009A73AE">
      <w:r>
        <w:t xml:space="preserve">Study </w:t>
      </w:r>
      <w:r w:rsidR="009A73AE" w:rsidRPr="009A73AE">
        <w:t xml:space="preserve">D0810C00009 was a </w:t>
      </w:r>
      <w:r w:rsidR="003E2109">
        <w:t>Phase</w:t>
      </w:r>
      <w:r w:rsidR="009A73AE" w:rsidRPr="009A73AE">
        <w:t xml:space="preserve"> II, open</w:t>
      </w:r>
      <w:r w:rsidR="00110851">
        <w:t xml:space="preserve"> </w:t>
      </w:r>
      <w:r w:rsidR="009A73AE" w:rsidRPr="009A73AE">
        <w:t>label, comparative, multicentre study to assess the efficacy and safety of olaparib at 2 dose levels in 58 patients with BRCA1 or BRCA2 associated ovarian cancer. Two sequential patient cohorts received continuous oral olaparib in 28</w:t>
      </w:r>
      <w:r w:rsidR="00110851">
        <w:t xml:space="preserve"> </w:t>
      </w:r>
      <w:r w:rsidR="009A73AE" w:rsidRPr="009A73AE">
        <w:t xml:space="preserve">day cycles initially at 400 mg </w:t>
      </w:r>
      <w:r w:rsidR="00214786">
        <w:t>BD</w:t>
      </w:r>
      <w:r w:rsidR="009A73AE" w:rsidRPr="009A73AE">
        <w:t xml:space="preserve"> and subsequently at 100 mg </w:t>
      </w:r>
      <w:r w:rsidR="00214786">
        <w:t>BD</w:t>
      </w:r>
      <w:r w:rsidR="005D64FB">
        <w:t>.</w:t>
      </w:r>
    </w:p>
    <w:p w14:paraId="19A52DBB" w14:textId="0B478A41" w:rsidR="009A73AE" w:rsidRPr="009A73AE" w:rsidRDefault="009A73AE" w:rsidP="009A73AE">
      <w:r w:rsidRPr="00F12C72">
        <w:rPr>
          <w:i/>
        </w:rPr>
        <w:t>Primary efficacy result</w:t>
      </w:r>
      <w:r w:rsidR="006F0F80">
        <w:t xml:space="preserve">: </w:t>
      </w:r>
      <w:r w:rsidRPr="009A73AE">
        <w:t>The ORR (RECIST) was 35.5% at 40</w:t>
      </w:r>
      <w:r w:rsidR="003E2109">
        <w:t>0 mg</w:t>
      </w:r>
      <w:r w:rsidRPr="009A73AE">
        <w:t xml:space="preserve"> </w:t>
      </w:r>
      <w:r w:rsidR="00214786">
        <w:t>BD</w:t>
      </w:r>
      <w:r w:rsidRPr="009A73AE">
        <w:t xml:space="preserve"> and 13.6% at 10</w:t>
      </w:r>
      <w:r w:rsidR="003E2109">
        <w:t>0 mg</w:t>
      </w:r>
      <w:r w:rsidRPr="009A73AE">
        <w:t xml:space="preserve"> </w:t>
      </w:r>
      <w:r w:rsidR="00214786">
        <w:t>BD</w:t>
      </w:r>
      <w:r w:rsidRPr="009A73AE">
        <w:t>.</w:t>
      </w:r>
    </w:p>
    <w:p w14:paraId="2D2D0D79" w14:textId="528F9915" w:rsidR="009A73AE" w:rsidRPr="009A73AE" w:rsidRDefault="009A73AE" w:rsidP="009A73AE">
      <w:r w:rsidRPr="00F12C72">
        <w:rPr>
          <w:i/>
        </w:rPr>
        <w:t>Secondary efficacy outcomes:</w:t>
      </w:r>
      <w:r w:rsidR="006F0F80">
        <w:t xml:space="preserve"> </w:t>
      </w:r>
      <w:r w:rsidR="004C3A06" w:rsidRPr="009A73AE">
        <w:t>Secondary efficacy outcomes:</w:t>
      </w:r>
      <w:r w:rsidRPr="009A73AE">
        <w:t xml:space="preserve"> clinical benefit rate, duration of response, maximum change in tumour size, progression-free survival and patient-reported outcomes</w:t>
      </w:r>
      <w:r w:rsidR="006F0F80">
        <w:t>.</w:t>
      </w:r>
    </w:p>
    <w:p w14:paraId="346A9DB8" w14:textId="69F0A0AE" w:rsidR="009A73AE" w:rsidRPr="009A73AE" w:rsidRDefault="009A73AE" w:rsidP="009A73AE">
      <w:r w:rsidRPr="009A73AE">
        <w:t xml:space="preserve">Overall clinical benefit rate (CR + PR + SD) was greater in the 400 mg </w:t>
      </w:r>
      <w:r w:rsidR="00214786">
        <w:t>BD</w:t>
      </w:r>
      <w:r w:rsidRPr="009A73AE">
        <w:t xml:space="preserve"> group than in the 100 mg </w:t>
      </w:r>
      <w:r w:rsidR="00214786">
        <w:t>BD</w:t>
      </w:r>
      <w:r w:rsidRPr="009A73AE">
        <w:t xml:space="preserve"> group (71.0% </w:t>
      </w:r>
      <w:r w:rsidR="0010405A">
        <w:t>versus</w:t>
      </w:r>
      <w:r w:rsidRPr="009A73AE">
        <w:t xml:space="preserve"> 45.5%). SD = stable disease for </w:t>
      </w:r>
      <w:r w:rsidR="00E032DB">
        <w:t xml:space="preserve">≥ </w:t>
      </w:r>
      <w:r w:rsidRPr="009A73AE">
        <w:t>8 weeks ± 1 week visit window.</w:t>
      </w:r>
    </w:p>
    <w:p w14:paraId="79316F9C" w14:textId="77777777" w:rsidR="009A73AE" w:rsidRPr="009A73AE" w:rsidRDefault="009A73AE" w:rsidP="009A73AE">
      <w:r w:rsidRPr="009A73AE">
        <w:t xml:space="preserve">The median in the 400 mg </w:t>
      </w:r>
      <w:r w:rsidR="00214786">
        <w:t>BD</w:t>
      </w:r>
      <w:r w:rsidRPr="009A73AE">
        <w:t xml:space="preserve"> group was a 29.0% reduction in tumour size compared to a 0% reduction in the 100 mg </w:t>
      </w:r>
      <w:r w:rsidR="00214786">
        <w:t>BD</w:t>
      </w:r>
      <w:r w:rsidRPr="009A73AE">
        <w:t xml:space="preserve"> group.</w:t>
      </w:r>
    </w:p>
    <w:p w14:paraId="7893B6B8" w14:textId="4EB43044" w:rsidR="009A73AE" w:rsidRPr="009A73AE" w:rsidRDefault="009A73AE" w:rsidP="009A73AE">
      <w:r w:rsidRPr="009A73AE">
        <w:t>Median (95% CI) PFS was 226.0 (105</w:t>
      </w:r>
      <w:r w:rsidR="0010405A">
        <w:t xml:space="preserve">to </w:t>
      </w:r>
      <w:r w:rsidRPr="009A73AE">
        <w:t xml:space="preserve">338) days in the 400 mg </w:t>
      </w:r>
      <w:r w:rsidR="00214786">
        <w:t>BD</w:t>
      </w:r>
      <w:r w:rsidRPr="009A73AE">
        <w:t xml:space="preserve"> group and 62.5 (56</w:t>
      </w:r>
      <w:r w:rsidR="0010405A">
        <w:t xml:space="preserve"> to </w:t>
      </w:r>
      <w:r w:rsidRPr="009A73AE">
        <w:t xml:space="preserve">113) days in the 100 mg </w:t>
      </w:r>
      <w:r w:rsidR="00214786">
        <w:t>BD</w:t>
      </w:r>
      <w:r w:rsidRPr="009A73AE">
        <w:t xml:space="preserve"> group.</w:t>
      </w:r>
    </w:p>
    <w:p w14:paraId="55D5A535" w14:textId="0139546C" w:rsidR="009A73AE" w:rsidRPr="009A73AE" w:rsidRDefault="009A73AE" w:rsidP="00672809">
      <w:r w:rsidRPr="009A73AE">
        <w:t>This study demonstrates single agent activity of olaparib in a heavily pre-treated population, and gives support to dosing at 40</w:t>
      </w:r>
      <w:r w:rsidR="003E2109">
        <w:t>0 mg</w:t>
      </w:r>
      <w:r w:rsidRPr="009A73AE">
        <w:t xml:space="preserve"> </w:t>
      </w:r>
      <w:r w:rsidR="00214786">
        <w:t>BD</w:t>
      </w:r>
      <w:r w:rsidRPr="009A73AE">
        <w:t>. The latter is important given the absence of PK, PD data to support the higher dose level.</w:t>
      </w:r>
    </w:p>
    <w:p w14:paraId="002FBF8B" w14:textId="77777777" w:rsidR="004C3A06" w:rsidRDefault="004C3A06" w:rsidP="004C3A06">
      <w:pPr>
        <w:pStyle w:val="Heading6"/>
      </w:pPr>
      <w:r w:rsidRPr="009A73AE">
        <w:t>Study D0810C00012</w:t>
      </w:r>
    </w:p>
    <w:p w14:paraId="42D3F071" w14:textId="32812E11" w:rsidR="009A73AE" w:rsidRPr="009A73AE" w:rsidRDefault="009A73AE" w:rsidP="009A73AE">
      <w:r w:rsidRPr="009A73AE">
        <w:t xml:space="preserve">Study </w:t>
      </w:r>
      <w:bookmarkEnd w:id="180"/>
      <w:r w:rsidRPr="009A73AE">
        <w:t>D0810C00012 was a Phase II, open</w:t>
      </w:r>
      <w:r w:rsidR="00110851">
        <w:t xml:space="preserve"> </w:t>
      </w:r>
      <w:r w:rsidRPr="009A73AE">
        <w:t>label, randomised, comparative, multicentre study to compare the efficacy and safety of 2 different doses of olaparib (20</w:t>
      </w:r>
      <w:r w:rsidR="003E2109">
        <w:t>0 mg</w:t>
      </w:r>
      <w:r w:rsidRPr="009A73AE">
        <w:t xml:space="preserve"> </w:t>
      </w:r>
      <w:r w:rsidR="00214786">
        <w:t>BD</w:t>
      </w:r>
      <w:r w:rsidRPr="009A73AE">
        <w:t xml:space="preserve"> and 40</w:t>
      </w:r>
      <w:r w:rsidR="003E2109">
        <w:t>0 mg</w:t>
      </w:r>
      <w:r w:rsidRPr="009A73AE">
        <w:t xml:space="preserve"> </w:t>
      </w:r>
      <w:r w:rsidR="00214786">
        <w:t>BD</w:t>
      </w:r>
      <w:r w:rsidRPr="009A73AE">
        <w:t xml:space="preserve">) versus liposomal doxorubicin in patients with BRCA1 or BRCA2 associated ovarian cancer who have failed previous </w:t>
      </w:r>
      <w:r w:rsidR="007607D4">
        <w:t>platinum based</w:t>
      </w:r>
      <w:r w:rsidRPr="009A73AE">
        <w:t xml:space="preserve"> chemotherapy; and half were platinum</w:t>
      </w:r>
      <w:r w:rsidR="00110851">
        <w:t xml:space="preserve"> </w:t>
      </w:r>
      <w:r w:rsidRPr="009A73AE">
        <w:t>resistant. Treatment switching in to the doxorubicin arm to olaparib was permitted upon demonstrated radiological progression (14/32 patients did so during the study).</w:t>
      </w:r>
    </w:p>
    <w:p w14:paraId="618D1FC8" w14:textId="72D6109B" w:rsidR="009A73AE" w:rsidRPr="009A73AE" w:rsidRDefault="004C3A06" w:rsidP="009A73AE">
      <w:r w:rsidRPr="00672809">
        <w:rPr>
          <w:i/>
        </w:rPr>
        <w:t>Primary efficacy result</w:t>
      </w:r>
      <w:r w:rsidR="006F0F80">
        <w:rPr>
          <w:i/>
        </w:rPr>
        <w:t xml:space="preserve">: </w:t>
      </w:r>
      <w:r w:rsidR="009A73AE" w:rsidRPr="009A73AE">
        <w:t xml:space="preserve">For the primary endpoint, there was no statistically significant difference between olaparib monotherapy and liposomal doxorubicin (HR 0.88, 80% CI: </w:t>
      </w:r>
      <w:r w:rsidR="009A73AE" w:rsidRPr="009A73AE">
        <w:lastRenderedPageBreak/>
        <w:t xml:space="preserve">0.62 to 1.28, </w:t>
      </w:r>
      <w:r w:rsidR="0010405A">
        <w:t>p = </w:t>
      </w:r>
      <w:r w:rsidR="009A73AE" w:rsidRPr="009A73AE">
        <w:t xml:space="preserve">0.6604). The median PFS was 8.8 months, 6.5 months and 7.1 months for </w:t>
      </w:r>
      <w:r w:rsidR="0010405A">
        <w:t>o</w:t>
      </w:r>
      <w:r w:rsidR="009A73AE" w:rsidRPr="009A73AE">
        <w:t>laparib 40</w:t>
      </w:r>
      <w:r w:rsidR="003E2109">
        <w:t>0</w:t>
      </w:r>
      <w:r w:rsidR="0010405A">
        <w:t> </w:t>
      </w:r>
      <w:r w:rsidR="003E2109">
        <w:t>mg</w:t>
      </w:r>
      <w:r w:rsidR="009A73AE" w:rsidRPr="009A73AE">
        <w:t xml:space="preserve"> </w:t>
      </w:r>
      <w:r w:rsidR="00214786">
        <w:t>BD</w:t>
      </w:r>
      <w:r w:rsidR="009A73AE" w:rsidRPr="009A73AE">
        <w:t>, 20</w:t>
      </w:r>
      <w:r w:rsidR="003E2109">
        <w:t>0 mg</w:t>
      </w:r>
      <w:r w:rsidR="009A73AE" w:rsidRPr="009A73AE">
        <w:t xml:space="preserve"> </w:t>
      </w:r>
      <w:r w:rsidR="00214786">
        <w:t>BD</w:t>
      </w:r>
      <w:r w:rsidR="009A73AE" w:rsidRPr="009A73AE">
        <w:t xml:space="preserve"> and liposomal doxorubicin respectively.</w:t>
      </w:r>
    </w:p>
    <w:p w14:paraId="3F2E27ED" w14:textId="6180C659" w:rsidR="009A73AE" w:rsidRPr="009A73AE" w:rsidRDefault="004C3A06" w:rsidP="009A73AE">
      <w:r w:rsidRPr="00672809">
        <w:rPr>
          <w:i/>
        </w:rPr>
        <w:t>Secondary efficacy variables</w:t>
      </w:r>
      <w:r w:rsidR="006F0F80">
        <w:t xml:space="preserve">: </w:t>
      </w:r>
      <w:r w:rsidR="009A73AE" w:rsidRPr="009A73AE">
        <w:t xml:space="preserve">Secondary efficacy variables: Objective response rate, disease control rate, duration of response, tumour size, </w:t>
      </w:r>
      <w:r w:rsidR="0041711A">
        <w:t>CA 125</w:t>
      </w:r>
      <w:r w:rsidR="009A73AE" w:rsidRPr="009A73AE">
        <w:t xml:space="preserve"> levels, overall survival, and quality of life</w:t>
      </w:r>
      <w:r w:rsidR="0010405A">
        <w:t>.</w:t>
      </w:r>
    </w:p>
    <w:p w14:paraId="68BE94A0" w14:textId="24462ECF" w:rsidR="009A73AE" w:rsidRPr="009A73AE" w:rsidRDefault="009A73AE" w:rsidP="009A73AE">
      <w:r w:rsidRPr="009A73AE">
        <w:t xml:space="preserve">There was no statistically significant difference between the olaparib group and the liposomal doxorubicin group for any of the parameters: objective response rate, disease control rate, duration of response, tumour size, </w:t>
      </w:r>
      <w:r w:rsidR="0041711A">
        <w:t>CA 125</w:t>
      </w:r>
      <w:r w:rsidRPr="009A73AE">
        <w:t xml:space="preserve"> levels, overall survival, and quality of life.</w:t>
      </w:r>
    </w:p>
    <w:p w14:paraId="72589CAF" w14:textId="77777777" w:rsidR="009A73AE" w:rsidRPr="009A73AE" w:rsidRDefault="009A73AE" w:rsidP="009A73AE">
      <w:r w:rsidRPr="009A73AE">
        <w:t xml:space="preserve">Treatment with olaparib 400 mg </w:t>
      </w:r>
      <w:r w:rsidR="00214786">
        <w:t>BD</w:t>
      </w:r>
      <w:r w:rsidRPr="009A73AE">
        <w:t xml:space="preserve"> was generally numerically superior to treatment with olaparib 200 mg </w:t>
      </w:r>
      <w:r w:rsidR="00214786">
        <w:t>BD</w:t>
      </w:r>
      <w:r w:rsidRPr="009A73AE">
        <w:t xml:space="preserve"> but there was no marked difference in efficacy.</w:t>
      </w:r>
    </w:p>
    <w:p w14:paraId="4C7FC841" w14:textId="77777777" w:rsidR="004C3A06" w:rsidRDefault="004C3A06" w:rsidP="004C3A06">
      <w:pPr>
        <w:pStyle w:val="Heading6"/>
      </w:pPr>
      <w:r w:rsidRPr="009A73AE">
        <w:t>Study D0810C00020</w:t>
      </w:r>
    </w:p>
    <w:p w14:paraId="5D3247FE" w14:textId="150C8D27" w:rsidR="009A73AE" w:rsidRPr="009A73AE" w:rsidRDefault="009A73AE" w:rsidP="009A73AE">
      <w:r w:rsidRPr="009A73AE">
        <w:t>Study D0810C00020 was a Phase II, open</w:t>
      </w:r>
      <w:r w:rsidR="00110851">
        <w:t xml:space="preserve"> </w:t>
      </w:r>
      <w:r w:rsidRPr="009A73AE">
        <w:t>label, non-random</w:t>
      </w:r>
      <w:r w:rsidR="00172769">
        <w:t>ise</w:t>
      </w:r>
      <w:r w:rsidRPr="009A73AE">
        <w:t xml:space="preserve">d correlative study of olaparib as a single agent given 400 mg </w:t>
      </w:r>
      <w:r w:rsidR="00214786">
        <w:t>BD</w:t>
      </w:r>
      <w:r w:rsidRPr="009A73AE">
        <w:t xml:space="preserve"> to patients with recurrent triple negative breast or ovarian cancer.</w:t>
      </w:r>
      <w:r w:rsidR="005D64FB">
        <w:t xml:space="preserve"> </w:t>
      </w:r>
      <w:r w:rsidRPr="009A73AE">
        <w:t>This study enrolled both patients with a BRCA 1 or BRCA2 mutation and non-carriers. 15/65 patients were enrolled with ovarian cancer had a BRCA mutation.</w:t>
      </w:r>
      <w:r w:rsidR="005D64FB">
        <w:t xml:space="preserve"> </w:t>
      </w:r>
      <w:r w:rsidRPr="009A73AE">
        <w:t>The primary endpoint was OR.</w:t>
      </w:r>
      <w:r w:rsidR="005D64FB">
        <w:t xml:space="preserve"> </w:t>
      </w:r>
      <w:r w:rsidRPr="009A73AE">
        <w:t>Secondary end points included identification of markers of olaparib efficacy through analysis of tumour material, PFS, safety and tolerability.</w:t>
      </w:r>
    </w:p>
    <w:p w14:paraId="6D00C811" w14:textId="670438F7" w:rsidR="009A73AE" w:rsidRPr="006F0F80" w:rsidRDefault="006F0F80" w:rsidP="00672809">
      <w:r w:rsidRPr="00672809">
        <w:t>There</w:t>
      </w:r>
      <w:r w:rsidR="009A73AE" w:rsidRPr="006F0F80">
        <w:t xml:space="preserve"> are very few patients with a BRCA</w:t>
      </w:r>
      <w:r w:rsidR="00110851" w:rsidRPr="006F0F80">
        <w:t xml:space="preserve"> </w:t>
      </w:r>
      <w:r w:rsidR="009A73AE" w:rsidRPr="006F0F80">
        <w:t>mutated ovarian cancer to inform regarding the proposed indication but the result for the primary endpoint in the ovarian cancer population is generally supportive of the propose usage: the response was 41.18% (95% CI 21.6, 64.0) for patients with a BRCA mutation and 24% (95% CI 13.9, 39.7) for pa</w:t>
      </w:r>
      <w:bookmarkStart w:id="181" w:name="_Toc290888505"/>
      <w:r w:rsidR="009A73AE" w:rsidRPr="006F0F80">
        <w:t>tients without a BRCA mutation.</w:t>
      </w:r>
    </w:p>
    <w:p w14:paraId="52082A7D" w14:textId="77777777" w:rsidR="004C3A06" w:rsidRDefault="004C3A06" w:rsidP="00AD665E">
      <w:pPr>
        <w:pStyle w:val="Heading6"/>
      </w:pPr>
      <w:r w:rsidRPr="009A73AE">
        <w:t>Study D0810C00041</w:t>
      </w:r>
    </w:p>
    <w:p w14:paraId="1E52D00F" w14:textId="77777777" w:rsidR="005D64FB" w:rsidRDefault="009A73AE" w:rsidP="009A73AE">
      <w:r w:rsidRPr="009A73AE">
        <w:t xml:space="preserve">Study </w:t>
      </w:r>
      <w:bookmarkEnd w:id="181"/>
      <w:r w:rsidRPr="009A73AE">
        <w:t>D0810C00041 did not provide direct evidence of efficacy for the proposed usage as the study included treatment in combination with carboplatin and paclitaxel followed by maintenance olaparib, versus a carboplatin given at a different dose with paclitaxel and no olaparib and without maintenance; the maintenance phases are comparable for safety purposes although may be affected by prior treatment toxicities. A further limitation is that BRCA mutation status was only known or identified in 41/162 patients, thus limiting the conclusions that can be drawn to support the proposed usage</w:t>
      </w:r>
      <w:r w:rsidR="005D64FB">
        <w:t>.</w:t>
      </w:r>
    </w:p>
    <w:p w14:paraId="6A049056" w14:textId="77777777" w:rsidR="00AD665E" w:rsidRDefault="00AD665E" w:rsidP="00AD665E">
      <w:pPr>
        <w:pStyle w:val="Heading6"/>
      </w:pPr>
      <w:r w:rsidRPr="009A73AE">
        <w:t>Study D810C000042</w:t>
      </w:r>
    </w:p>
    <w:p w14:paraId="4C22189F" w14:textId="57C481B3" w:rsidR="009A73AE" w:rsidRPr="009A73AE" w:rsidRDefault="009A73AE" w:rsidP="009A73AE">
      <w:r w:rsidRPr="009A73AE">
        <w:t>Study D810C000042 was a Phase II, open</w:t>
      </w:r>
      <w:r w:rsidR="00110851">
        <w:t xml:space="preserve"> </w:t>
      </w:r>
      <w:r w:rsidRPr="009A73AE">
        <w:t>label, non</w:t>
      </w:r>
      <w:r w:rsidR="00110851">
        <w:t xml:space="preserve"> </w:t>
      </w:r>
      <w:r w:rsidRPr="009A73AE">
        <w:t>randomised, non</w:t>
      </w:r>
      <w:r w:rsidR="00110851">
        <w:t xml:space="preserve"> </w:t>
      </w:r>
      <w:r w:rsidRPr="009A73AE">
        <w:t>comparative, multicentre study to assess the efficacy and safety of olaparib in patients with advanced cancers who had a confirmed BRCA1 and/or BRCA2 mutation. Patients received olaparib 40</w:t>
      </w:r>
      <w:r w:rsidR="003E2109">
        <w:t>0 mg</w:t>
      </w:r>
      <w:r w:rsidRPr="009A73AE">
        <w:t xml:space="preserve"> </w:t>
      </w:r>
      <w:r w:rsidR="00214786">
        <w:t>BD</w:t>
      </w:r>
      <w:r w:rsidRPr="009A73AE">
        <w:t xml:space="preserve"> and continued until disease progression.</w:t>
      </w:r>
      <w:r w:rsidR="005D64FB">
        <w:t xml:space="preserve"> </w:t>
      </w:r>
      <w:r w:rsidRPr="009A73AE">
        <w:t xml:space="preserve">In total 317 patients were recruited, 298 received treatment, 193 with ovarian cancer. The primary endpoint is RR. Secondary endpoints include: ORR, PRS, OS, </w:t>
      </w:r>
      <w:proofErr w:type="spellStart"/>
      <w:r w:rsidRPr="009A73AE">
        <w:t>DoR</w:t>
      </w:r>
      <w:proofErr w:type="spellEnd"/>
      <w:r w:rsidRPr="009A73AE">
        <w:t xml:space="preserve">, </w:t>
      </w:r>
      <w:proofErr w:type="gramStart"/>
      <w:r w:rsidRPr="009A73AE">
        <w:t>DCR</w:t>
      </w:r>
      <w:proofErr w:type="gramEnd"/>
      <w:r w:rsidR="0010405A">
        <w:t>.</w:t>
      </w:r>
    </w:p>
    <w:p w14:paraId="42400686" w14:textId="1AB3B825" w:rsidR="005D64FB" w:rsidRDefault="00AD665E" w:rsidP="009A73AE">
      <w:r w:rsidRPr="00672809">
        <w:rPr>
          <w:i/>
        </w:rPr>
        <w:t>Primary efficacy result</w:t>
      </w:r>
      <w:r w:rsidR="006F0F80" w:rsidRPr="00672809">
        <w:rPr>
          <w:i/>
        </w:rPr>
        <w:t>:</w:t>
      </w:r>
      <w:r w:rsidR="006F0F80">
        <w:t xml:space="preserve"> </w:t>
      </w:r>
      <w:r w:rsidR="009A73AE" w:rsidRPr="009A73AE">
        <w:t>For the ovarian cancer group 60/193 patients responded (including 6 patients who had a CR), giving an ORR of 31.1% (95% CI 24.64, 38.13). The PFS in this study for the ovarian cancer group was 7.03 months.</w:t>
      </w:r>
      <w:r w:rsidR="005D64FB">
        <w:t xml:space="preserve"> </w:t>
      </w:r>
      <w:r w:rsidR="009A73AE" w:rsidRPr="009A73AE">
        <w:t>The response rate data were varied according to the malignancy, with highest response rates in the BRCA</w:t>
      </w:r>
      <w:r w:rsidR="00110851">
        <w:t xml:space="preserve"> </w:t>
      </w:r>
      <w:r w:rsidR="009A73AE" w:rsidRPr="009A73AE">
        <w:t>mutated prostate cancer patients and the lowest in breast cancer and the ‘other cancer’ group</w:t>
      </w:r>
      <w:r w:rsidR="005D64FB">
        <w:t>.</w:t>
      </w:r>
    </w:p>
    <w:p w14:paraId="1D45FEAC" w14:textId="7BAC3470" w:rsidR="009A73AE" w:rsidRPr="009A73AE" w:rsidRDefault="00AD665E" w:rsidP="009A73AE">
      <w:r w:rsidRPr="00672809">
        <w:rPr>
          <w:i/>
        </w:rPr>
        <w:t>Secondary efficacy results</w:t>
      </w:r>
      <w:r w:rsidR="006F0F80" w:rsidRPr="00672809">
        <w:rPr>
          <w:i/>
        </w:rPr>
        <w:t xml:space="preserve">: </w:t>
      </w:r>
      <w:r w:rsidR="009A73AE" w:rsidRPr="009A73AE">
        <w:t>The secondary efficacy results were more difficult to interpret given there was no control group.</w:t>
      </w:r>
    </w:p>
    <w:p w14:paraId="2147BD0A" w14:textId="44AEF1E3" w:rsidR="009A73AE" w:rsidRPr="009A73AE" w:rsidRDefault="006F0F80" w:rsidP="00672809">
      <w:r w:rsidRPr="00672809">
        <w:lastRenderedPageBreak/>
        <w:t>The</w:t>
      </w:r>
      <w:r w:rsidR="009A73AE" w:rsidRPr="009A73AE">
        <w:t xml:space="preserve"> statistics are descriptive in nature due to the non</w:t>
      </w:r>
      <w:r w:rsidR="00110851">
        <w:t xml:space="preserve"> </w:t>
      </w:r>
      <w:r w:rsidR="009A73AE" w:rsidRPr="009A73AE">
        <w:t>randomised nature of the data but the response rate in a platinum-refractory/resistant population with a poor likelihood of response to standard therapy lends support to the efficacy of olaparib monotherapy in BRCA</w:t>
      </w:r>
      <w:r w:rsidR="00DF5CF8">
        <w:t xml:space="preserve"> </w:t>
      </w:r>
      <w:r w:rsidR="009A73AE" w:rsidRPr="009A73AE">
        <w:t>mutated ovarian cancer.</w:t>
      </w:r>
    </w:p>
    <w:p w14:paraId="582BF715" w14:textId="77777777" w:rsidR="009A73AE" w:rsidRPr="009A73AE" w:rsidRDefault="009A73AE" w:rsidP="00AD665E">
      <w:pPr>
        <w:pStyle w:val="Heading4"/>
      </w:pPr>
      <w:r w:rsidRPr="009A73AE">
        <w:t>Safety data</w:t>
      </w:r>
    </w:p>
    <w:p w14:paraId="29B2C14A" w14:textId="11D70F5D" w:rsidR="009A73AE" w:rsidRPr="009A73AE" w:rsidRDefault="009A73AE" w:rsidP="009A73AE">
      <w:r w:rsidRPr="009A73AE">
        <w:t>Across the entire clinical programme, as of 20 May 2013, an estimated 2034 patients with ovarian, breast, pancreatic, gastric or a variety of other solid tumours have received treatment with olaparib; of these, 735 had received 40</w:t>
      </w:r>
      <w:r w:rsidR="003E2109">
        <w:t>0 mg</w:t>
      </w:r>
      <w:r w:rsidRPr="009A73AE">
        <w:t xml:space="preserve"> </w:t>
      </w:r>
      <w:r w:rsidR="00214786">
        <w:t>BD</w:t>
      </w:r>
      <w:r w:rsidRPr="009A73AE">
        <w:t xml:space="preserve"> schedule, inclu</w:t>
      </w:r>
      <w:r w:rsidR="00DF5CF8">
        <w:t xml:space="preserve">ding 397 women with BRCA </w:t>
      </w:r>
      <w:r w:rsidRPr="009A73AE">
        <w:t>mutated ovarian cancer (a further 20 had received monotherapy following chemotherapy in Study 41</w:t>
      </w:r>
      <w:r w:rsidR="005074AE">
        <w:t>(Study D0810C00041</w:t>
      </w:r>
      <w:r w:rsidRPr="009A73AE">
        <w:t>). Randomised data are available from patients in Study 19 and the maintenance phase of Study 41, with subsets of these patients</w:t>
      </w:r>
      <w:r w:rsidR="0010405A">
        <w:t>.</w:t>
      </w:r>
    </w:p>
    <w:p w14:paraId="49ADF37F" w14:textId="0FF7E37C" w:rsidR="005D64FB" w:rsidRDefault="009A73AE" w:rsidP="009A73AE">
      <w:r w:rsidRPr="009A73AE">
        <w:t>The majority of patients in the pooled dataset (508/735) had ovarian cancer (including ‘ovarian’, ‘primary peritoneal’, ‘peritoneum’, and ‘fallopian tubes’). Patients with other advanced solid tumours, including breast (</w:t>
      </w:r>
      <w:r w:rsidR="0010405A">
        <w:t xml:space="preserve">n = </w:t>
      </w:r>
      <w:r w:rsidRPr="009A73AE">
        <w:t>140), colorectal (</w:t>
      </w:r>
      <w:r w:rsidR="0010405A">
        <w:t xml:space="preserve">n = </w:t>
      </w:r>
      <w:r w:rsidRPr="009A73AE">
        <w:t>37), pancreas (</w:t>
      </w:r>
      <w:r w:rsidR="0010405A">
        <w:t xml:space="preserve">n = </w:t>
      </w:r>
      <w:r w:rsidRPr="009A73AE">
        <w:t>24) or prostate (</w:t>
      </w:r>
      <w:r w:rsidR="0010405A">
        <w:t xml:space="preserve">n = </w:t>
      </w:r>
      <w:r w:rsidRPr="009A73AE">
        <w:t xml:space="preserve">8) cancers were also treated in these studies. Overall the </w:t>
      </w:r>
      <w:r w:rsidR="005074AE" w:rsidRPr="009A73AE">
        <w:t>incidence of AEs of any kind was</w:t>
      </w:r>
      <w:r w:rsidRPr="009A73AE">
        <w:t xml:space="preserve"> very similar between the safety set and the </w:t>
      </w:r>
      <w:proofErr w:type="spellStart"/>
      <w:r w:rsidRPr="009A73AE">
        <w:t>BRCAm</w:t>
      </w:r>
      <w:proofErr w:type="spellEnd"/>
      <w:r w:rsidRPr="009A73AE">
        <w:t xml:space="preserve"> population. The age range exposed was from 21</w:t>
      </w:r>
      <w:r w:rsidR="0010405A">
        <w:t xml:space="preserve"> to </w:t>
      </w:r>
      <w:r w:rsidRPr="009A73AE">
        <w:t>89 years</w:t>
      </w:r>
      <w:r w:rsidR="005D64FB">
        <w:t>.</w:t>
      </w:r>
    </w:p>
    <w:p w14:paraId="31633125" w14:textId="6EC9B5E3" w:rsidR="005D64FB" w:rsidRDefault="006F0F80" w:rsidP="00672809">
      <w:r>
        <w:t>T</w:t>
      </w:r>
      <w:r w:rsidR="009A73AE" w:rsidRPr="009A73AE">
        <w:t>he majority of patients had ovarian cancer, with 54% also having a BRCA mutation (proposed population); but the safety information from the other malignancies is also relevant in informing of the risks associated with treatment</w:t>
      </w:r>
      <w:r w:rsidR="005D64FB">
        <w:t>.</w:t>
      </w:r>
    </w:p>
    <w:p w14:paraId="45612265" w14:textId="67ECED2A" w:rsidR="009A73AE" w:rsidRPr="009A73AE" w:rsidRDefault="009A73AE" w:rsidP="009A73AE">
      <w:r w:rsidRPr="009A73AE">
        <w:t xml:space="preserve">Of note, it is the capsule formulation being assessed here so the relevance and </w:t>
      </w:r>
      <w:r w:rsidR="006F0F80" w:rsidRPr="009A73AE">
        <w:t>generali</w:t>
      </w:r>
      <w:r w:rsidR="006F0F80">
        <w:t>s</w:t>
      </w:r>
      <w:r w:rsidR="006F0F80" w:rsidRPr="009A73AE">
        <w:t xml:space="preserve">ability </w:t>
      </w:r>
      <w:r w:rsidRPr="009A73AE">
        <w:t>of this safety set for the tablet formulation currently being used in Phase</w:t>
      </w:r>
      <w:r w:rsidR="00110851">
        <w:t> </w:t>
      </w:r>
      <w:r w:rsidRPr="009A73AE">
        <w:t xml:space="preserve">III trials which the </w:t>
      </w:r>
      <w:r w:rsidR="00214786">
        <w:t>sponsor</w:t>
      </w:r>
      <w:r w:rsidRPr="009A73AE">
        <w:t xml:space="preserve"> reports is not bioequivalent, could be undermined.</w:t>
      </w:r>
    </w:p>
    <w:p w14:paraId="3A71613F" w14:textId="77777777" w:rsidR="005D64FB" w:rsidRDefault="009A73AE" w:rsidP="009A73AE">
      <w:r w:rsidRPr="009A73AE">
        <w:t xml:space="preserve">The median duration of treatment (see Table </w:t>
      </w:r>
      <w:r w:rsidR="00F03EBB">
        <w:t>15</w:t>
      </w:r>
      <w:r w:rsidRPr="009A73AE">
        <w:t xml:space="preserve">) is between 3 and 6 months in the general safety set, but longer in the </w:t>
      </w:r>
      <w:proofErr w:type="spellStart"/>
      <w:r w:rsidRPr="009A73AE">
        <w:t>B</w:t>
      </w:r>
      <w:r w:rsidR="00F03EBB">
        <w:t>RCAm</w:t>
      </w:r>
      <w:proofErr w:type="spellEnd"/>
      <w:r w:rsidR="00F03EBB">
        <w:t xml:space="preserve"> ovarian cancer patients (9 to </w:t>
      </w:r>
      <w:r w:rsidRPr="009A73AE">
        <w:t xml:space="preserve">12 months in Study 19; </w:t>
      </w:r>
      <w:r w:rsidRPr="005074AE">
        <w:t xml:space="preserve">see Table </w:t>
      </w:r>
      <w:r w:rsidR="00F03EBB" w:rsidRPr="005074AE">
        <w:t>16</w:t>
      </w:r>
      <w:r w:rsidRPr="005074AE">
        <w:t>) likely reflecting the benefit in this group as well as in the natural history of</w:t>
      </w:r>
      <w:r w:rsidRPr="009A73AE">
        <w:t xml:space="preserve"> the disease in this subpopulation compared with, for example, pancreatic and gastric cancers. Issues such as treatment discontinuation rates, median duration of exposure will thus only be considered in the </w:t>
      </w:r>
      <w:proofErr w:type="spellStart"/>
      <w:r w:rsidRPr="009A73AE">
        <w:t>BRCAm</w:t>
      </w:r>
      <w:proofErr w:type="spellEnd"/>
      <w:r w:rsidRPr="009A73AE">
        <w:t xml:space="preserve"> ovarian cancer population</w:t>
      </w:r>
      <w:r w:rsidR="005D64FB">
        <w:t>.</w:t>
      </w:r>
    </w:p>
    <w:p w14:paraId="2AAC7E96" w14:textId="1EB04DDA" w:rsidR="009A73AE" w:rsidRPr="009A73AE" w:rsidRDefault="00F03EBB" w:rsidP="00AD665E">
      <w:pPr>
        <w:pStyle w:val="TableTitle"/>
      </w:pPr>
      <w:r>
        <w:t>Table 15:</w:t>
      </w:r>
      <w:r w:rsidR="005D64FB">
        <w:t xml:space="preserve"> </w:t>
      </w:r>
      <w:r w:rsidR="009A73AE" w:rsidRPr="009A73AE">
        <w:t>Number (%) of patients on treatment</w:t>
      </w:r>
      <w:r w:rsidR="006F0F80">
        <w:t>;</w:t>
      </w:r>
      <w:r w:rsidR="009A73AE" w:rsidRPr="009A73AE">
        <w:t xml:space="preserve"> 400 mg </w:t>
      </w:r>
      <w:r w:rsidR="00214786">
        <w:t>BD</w:t>
      </w:r>
      <w:r w:rsidR="009A73AE" w:rsidRPr="009A73AE">
        <w:t xml:space="preserve"> monotherapy pooled dataset, Safety </w:t>
      </w:r>
      <w:r w:rsidR="006F0F80">
        <w:t>a</w:t>
      </w:r>
      <w:r w:rsidR="006F0F80" w:rsidRPr="009A73AE">
        <w:t xml:space="preserve">nalysis </w:t>
      </w:r>
      <w:r w:rsidR="006F0F80">
        <w:t>s</w:t>
      </w:r>
      <w:r w:rsidR="009A73AE" w:rsidRPr="009A73AE">
        <w:t>et</w:t>
      </w:r>
    </w:p>
    <w:p w14:paraId="36810C05" w14:textId="77777777" w:rsidR="00D659F1" w:rsidRDefault="00AD665E" w:rsidP="007B6132">
      <w:r>
        <w:rPr>
          <w:noProof/>
          <w:lang w:eastAsia="en-AU"/>
        </w:rPr>
        <w:drawing>
          <wp:inline distT="0" distB="0" distL="0" distR="0" wp14:anchorId="17B107D8" wp14:editId="7D86AA5B">
            <wp:extent cx="4257446" cy="2715833"/>
            <wp:effectExtent l="0" t="0" r="0" b="8890"/>
            <wp:docPr id="7" name="Picture 7" descr="Table 15: Number (%) of patients on treatment: 400 mg BD monotherapy pooled datase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65559" cy="2721009"/>
                    </a:xfrm>
                    <a:prstGeom prst="rect">
                      <a:avLst/>
                    </a:prstGeom>
                  </pic:spPr>
                </pic:pic>
              </a:graphicData>
            </a:graphic>
          </wp:inline>
        </w:drawing>
      </w:r>
    </w:p>
    <w:p w14:paraId="0FB6F941" w14:textId="77777777" w:rsidR="005D64FB" w:rsidRDefault="00AD665E" w:rsidP="00AD665E">
      <w:r w:rsidRPr="00AD665E">
        <w:lastRenderedPageBreak/>
        <w:t xml:space="preserve">Olaparib is reasonably well tolerated as evidenced by the median duration of treatment, although dose reductions were required as indicated by the lower median duration at starting dose. Little can be determined about long term tolerability due to progression of the disease although the range extends to 1331 days in the </w:t>
      </w:r>
      <w:proofErr w:type="spellStart"/>
      <w:r w:rsidRPr="00AD665E">
        <w:t>BRCAm</w:t>
      </w:r>
      <w:proofErr w:type="spellEnd"/>
      <w:r w:rsidRPr="00AD665E">
        <w:t xml:space="preserve"> subgroup</w:t>
      </w:r>
      <w:r w:rsidR="005D64FB">
        <w:t>.</w:t>
      </w:r>
    </w:p>
    <w:p w14:paraId="7984F97E" w14:textId="6EB246ED" w:rsidR="00AD665E" w:rsidRPr="00AD665E" w:rsidRDefault="00F03EBB" w:rsidP="00AD665E">
      <w:pPr>
        <w:pStyle w:val="TableTitle"/>
      </w:pPr>
      <w:r>
        <w:t>Table 16</w:t>
      </w:r>
      <w:r w:rsidR="00AD665E" w:rsidRPr="00AD665E">
        <w:t>: Duration of treatment</w:t>
      </w:r>
      <w:r w:rsidR="006F0F80">
        <w:t>;</w:t>
      </w:r>
      <w:r w:rsidR="00AD665E" w:rsidRPr="00AD665E">
        <w:t xml:space="preserve"> Study 19, Safety </w:t>
      </w:r>
      <w:r w:rsidR="006F0F80">
        <w:t>a</w:t>
      </w:r>
      <w:r w:rsidR="006F0F80" w:rsidRPr="00AD665E">
        <w:t xml:space="preserve">nalysis </w:t>
      </w:r>
      <w:r w:rsidR="00AD665E" w:rsidRPr="00AD665E">
        <w:t>set</w:t>
      </w:r>
    </w:p>
    <w:p w14:paraId="7D645087" w14:textId="77777777" w:rsidR="00D659F1" w:rsidRPr="00AD665E" w:rsidRDefault="00AD665E" w:rsidP="00AD665E">
      <w:r>
        <w:rPr>
          <w:noProof/>
          <w:lang w:eastAsia="en-AU"/>
        </w:rPr>
        <w:drawing>
          <wp:inline distT="0" distB="0" distL="0" distR="0" wp14:anchorId="32426171" wp14:editId="37A0F39C">
            <wp:extent cx="4374489" cy="4232879"/>
            <wp:effectExtent l="0" t="0" r="7620" b="0"/>
            <wp:docPr id="8" name="Picture 8" descr="Table 16: Duration of treatment: Study 19,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76313" cy="4234644"/>
                    </a:xfrm>
                    <a:prstGeom prst="rect">
                      <a:avLst/>
                    </a:prstGeom>
                  </pic:spPr>
                </pic:pic>
              </a:graphicData>
            </a:graphic>
          </wp:inline>
        </w:drawing>
      </w:r>
    </w:p>
    <w:p w14:paraId="0C7251B1" w14:textId="77777777" w:rsidR="00AD665E" w:rsidRPr="00AD665E" w:rsidRDefault="00AD665E" w:rsidP="00AD665E">
      <w:pPr>
        <w:pStyle w:val="Heading5"/>
      </w:pPr>
      <w:r w:rsidRPr="00AD665E">
        <w:t>Adverse events</w:t>
      </w:r>
    </w:p>
    <w:p w14:paraId="18B4B684" w14:textId="6F9BAE2F" w:rsidR="00AD665E" w:rsidRPr="00AD665E" w:rsidRDefault="00AD665E" w:rsidP="00AD665E">
      <w:r w:rsidRPr="00AD665E">
        <w:t>Treatment</w:t>
      </w:r>
      <w:r w:rsidR="00110851">
        <w:t xml:space="preserve"> </w:t>
      </w:r>
      <w:r w:rsidRPr="00AD665E">
        <w:t xml:space="preserve">emergent adverse events were common and spread across a range of systems, consistent with the advanced stage of cancer being treated. Rates of AEs among those receiving olaparib were comparable regardless of BRCA mutation status. In Study 19, 89.7% of events were attributed to olaparib compared with 72.7% in the placebo arm. The most common adverse events reported were predominantly gastrointestinal (nausea, vomiting, diarrhoea and constipation) or haematological (anaemia) and fatigue. The most frequent Grade 3/4 AEs can be seen in </w:t>
      </w:r>
      <w:r w:rsidR="00F03EBB">
        <w:t>Table 17</w:t>
      </w:r>
      <w:r w:rsidRPr="00AD665E">
        <w:t xml:space="preserve"> with the most common being haematological with anaemia (when including the term </w:t>
      </w:r>
      <w:r w:rsidR="006F0F80">
        <w:t>‘</w:t>
      </w:r>
      <w:r w:rsidRPr="00AD665E">
        <w:t>haemoglobin decreased</w:t>
      </w:r>
      <w:r w:rsidR="006F0F80">
        <w:t>’</w:t>
      </w:r>
      <w:r w:rsidRPr="00AD665E">
        <w:t>) occurring in 15.3%. The gastrointestinal events could be related to the study drug as well as the underlying condition.</w:t>
      </w:r>
    </w:p>
    <w:p w14:paraId="67CA96CE" w14:textId="77777777" w:rsidR="00AD665E" w:rsidRPr="00AD665E" w:rsidRDefault="00AD665E" w:rsidP="00AD665E">
      <w:r w:rsidRPr="00AD665E">
        <w:t>Similar patterns of adverse events occurred in the maintenance phase of the Study 41. In this study 2 patients in the olaparib arm developed myelodysplastic syndrome compared with one in the control arm.</w:t>
      </w:r>
    </w:p>
    <w:p w14:paraId="62084728" w14:textId="06D5B341" w:rsidR="00AD665E" w:rsidRPr="00AD665E" w:rsidRDefault="006F0F80" w:rsidP="00672809">
      <w:r>
        <w:t>T</w:t>
      </w:r>
      <w:r w:rsidR="00AD665E" w:rsidRPr="00AD665E">
        <w:t>he Precautions section of the PI does not adequately inform regarding the potential severity or frequency of the anaemia observed (5.1% Grade 3 or 4 in the treatment arm in Study 19). This is inconsistent with the Adverse Drug Reactions table.</w:t>
      </w:r>
    </w:p>
    <w:p w14:paraId="729EC011" w14:textId="180CCE6C" w:rsidR="00AD665E" w:rsidRPr="00AD665E" w:rsidRDefault="00AD665E" w:rsidP="00AD665E">
      <w:pPr>
        <w:pStyle w:val="TableTitle"/>
      </w:pPr>
      <w:r w:rsidRPr="00AD665E">
        <w:lastRenderedPageBreak/>
        <w:t xml:space="preserve">Table </w:t>
      </w:r>
      <w:r w:rsidR="00F03EBB">
        <w:t>17</w:t>
      </w:r>
      <w:r w:rsidRPr="00AD665E">
        <w:t xml:space="preserve">: Number (%) of patients who had at least one AE in any category: 400 mg </w:t>
      </w:r>
      <w:r w:rsidR="00214786">
        <w:t>BD</w:t>
      </w:r>
      <w:r w:rsidRPr="00AD665E">
        <w:t xml:space="preserve"> monotherapy pool</w:t>
      </w:r>
      <w:r w:rsidR="006F0F80">
        <w:t>;</w:t>
      </w:r>
      <w:r w:rsidRPr="00AD665E">
        <w:t xml:space="preserve"> Safety </w:t>
      </w:r>
      <w:r w:rsidR="006F0F80">
        <w:t>a</w:t>
      </w:r>
      <w:r w:rsidR="006F0F80" w:rsidRPr="00AD665E">
        <w:t xml:space="preserve">nalysis </w:t>
      </w:r>
      <w:r w:rsidR="006F0F80">
        <w:t>s</w:t>
      </w:r>
      <w:r w:rsidR="006F0F80" w:rsidRPr="00AD665E">
        <w:t>et</w:t>
      </w:r>
    </w:p>
    <w:p w14:paraId="4F3B33A7" w14:textId="77777777" w:rsidR="00D659F1" w:rsidRDefault="00AD665E" w:rsidP="007B6132">
      <w:r>
        <w:rPr>
          <w:noProof/>
          <w:lang w:eastAsia="en-AU"/>
        </w:rPr>
        <w:drawing>
          <wp:inline distT="0" distB="0" distL="0" distR="0" wp14:anchorId="34AE6D0E" wp14:editId="229A9392">
            <wp:extent cx="5400040" cy="2700020"/>
            <wp:effectExtent l="0" t="0" r="0" b="5080"/>
            <wp:docPr id="9" name="Picture 9" descr="Table 17: Number (%) of patients who had at least one AE in any category: 400 mg BD monotherapy pool,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2700020"/>
                    </a:xfrm>
                    <a:prstGeom prst="rect">
                      <a:avLst/>
                    </a:prstGeom>
                  </pic:spPr>
                </pic:pic>
              </a:graphicData>
            </a:graphic>
          </wp:inline>
        </w:drawing>
      </w:r>
    </w:p>
    <w:p w14:paraId="2D3961AA" w14:textId="25BAFD24" w:rsidR="00D659F1" w:rsidRDefault="00AD665E" w:rsidP="00AD665E">
      <w:pPr>
        <w:pStyle w:val="TableTitle"/>
      </w:pPr>
      <w:r w:rsidRPr="00E636CD">
        <w:t>Table</w:t>
      </w:r>
      <w:r w:rsidR="00F03EBB">
        <w:t xml:space="preserve"> 18:</w:t>
      </w:r>
      <w:r w:rsidRPr="00E636CD">
        <w:t xml:space="preserve"> Number (%) of</w:t>
      </w:r>
      <w:r w:rsidRPr="00E636CD">
        <w:rPr>
          <w:spacing w:val="-2"/>
        </w:rPr>
        <w:t xml:space="preserve"> </w:t>
      </w:r>
      <w:r w:rsidRPr="00E636CD">
        <w:t>patients</w:t>
      </w:r>
      <w:r w:rsidRPr="00E636CD">
        <w:rPr>
          <w:spacing w:val="-2"/>
        </w:rPr>
        <w:t xml:space="preserve"> </w:t>
      </w:r>
      <w:r w:rsidRPr="00E636CD">
        <w:t>with</w:t>
      </w:r>
      <w:r w:rsidRPr="00E636CD">
        <w:rPr>
          <w:spacing w:val="-3"/>
        </w:rPr>
        <w:t xml:space="preserve"> </w:t>
      </w:r>
      <w:r w:rsidRPr="00E636CD">
        <w:t>the most common</w:t>
      </w:r>
      <w:r w:rsidRPr="00E636CD">
        <w:rPr>
          <w:spacing w:val="-3"/>
        </w:rPr>
        <w:t xml:space="preserve"> </w:t>
      </w:r>
      <w:r w:rsidRPr="00E636CD">
        <w:t>AEs</w:t>
      </w:r>
      <w:r w:rsidRPr="00E636CD">
        <w:rPr>
          <w:spacing w:val="1"/>
        </w:rPr>
        <w:t xml:space="preserve"> </w:t>
      </w:r>
      <w:r w:rsidRPr="00E636CD">
        <w:t>of</w:t>
      </w:r>
      <w:r w:rsidRPr="00E636CD">
        <w:rPr>
          <w:spacing w:val="-2"/>
        </w:rPr>
        <w:t xml:space="preserve"> </w:t>
      </w:r>
      <w:r w:rsidRPr="00E636CD">
        <w:t xml:space="preserve">CTCAE </w:t>
      </w:r>
      <w:r w:rsidR="006F0F80">
        <w:t>Grade </w:t>
      </w:r>
      <w:r w:rsidRPr="00E636CD">
        <w:t>3 or higher (reported in</w:t>
      </w:r>
      <w:r w:rsidR="00E032DB">
        <w:rPr>
          <w:rFonts w:cs="Verdana"/>
        </w:rPr>
        <w:t xml:space="preserve">≥ </w:t>
      </w:r>
      <w:r w:rsidRPr="00E636CD">
        <w:rPr>
          <w:rFonts w:cs="Verdana"/>
        </w:rPr>
        <w:t>2% patients</w:t>
      </w:r>
      <w:r w:rsidRPr="00E636CD">
        <w:rPr>
          <w:rFonts w:cs="Verdana"/>
          <w:spacing w:val="-2"/>
        </w:rPr>
        <w:t xml:space="preserve"> </w:t>
      </w:r>
      <w:r w:rsidRPr="00E636CD">
        <w:rPr>
          <w:rFonts w:cs="Verdana"/>
        </w:rPr>
        <w:t>in</w:t>
      </w:r>
      <w:r w:rsidRPr="00E636CD">
        <w:rPr>
          <w:rFonts w:cs="Verdana"/>
          <w:spacing w:val="-3"/>
        </w:rPr>
        <w:t xml:space="preserve"> </w:t>
      </w:r>
      <w:r w:rsidRPr="00E636CD">
        <w:rPr>
          <w:rFonts w:cs="Verdana"/>
        </w:rPr>
        <w:t>either</w:t>
      </w:r>
      <w:r w:rsidRPr="00E636CD">
        <w:rPr>
          <w:rFonts w:cs="Verdana"/>
          <w:spacing w:val="-2"/>
        </w:rPr>
        <w:t xml:space="preserve"> group</w:t>
      </w:r>
      <w:r w:rsidRPr="00E636CD">
        <w:rPr>
          <w:rFonts w:cs="Verdana"/>
        </w:rPr>
        <w:t xml:space="preserve"> </w:t>
      </w:r>
      <w:r w:rsidR="006F0F80">
        <w:rPr>
          <w:rFonts w:cs="Verdana"/>
        </w:rPr>
        <w:t>(</w:t>
      </w:r>
      <w:r w:rsidRPr="00E636CD">
        <w:rPr>
          <w:rFonts w:cs="Verdana"/>
        </w:rPr>
        <w:t>All patients</w:t>
      </w:r>
      <w:r w:rsidR="006F0F80">
        <w:rPr>
          <w:rFonts w:cs="Verdana"/>
        </w:rPr>
        <w:t>)</w:t>
      </w:r>
      <w:r w:rsidRPr="00E636CD">
        <w:rPr>
          <w:rFonts w:cs="Verdana"/>
        </w:rPr>
        <w:t>):</w:t>
      </w:r>
      <w:r w:rsidRPr="00E636CD">
        <w:rPr>
          <w:rFonts w:cs="Verdana"/>
          <w:spacing w:val="-2"/>
        </w:rPr>
        <w:t xml:space="preserve"> </w:t>
      </w:r>
      <w:r w:rsidRPr="00E636CD">
        <w:rPr>
          <w:rFonts w:cs="Verdana"/>
        </w:rPr>
        <w:t>Study</w:t>
      </w:r>
      <w:r w:rsidR="006F0F80">
        <w:rPr>
          <w:rFonts w:cs="Verdana"/>
          <w:spacing w:val="-2"/>
        </w:rPr>
        <w:t> </w:t>
      </w:r>
      <w:r w:rsidRPr="00E636CD">
        <w:rPr>
          <w:rFonts w:cs="Verdana"/>
        </w:rPr>
        <w:t>19,</w:t>
      </w:r>
      <w:r w:rsidRPr="00E636CD">
        <w:rPr>
          <w:rFonts w:cs="Verdana"/>
          <w:spacing w:val="-2"/>
        </w:rPr>
        <w:t xml:space="preserve"> </w:t>
      </w:r>
      <w:r w:rsidRPr="00E636CD">
        <w:rPr>
          <w:rFonts w:cs="Verdana"/>
        </w:rPr>
        <w:t xml:space="preserve">Safety </w:t>
      </w:r>
      <w:r w:rsidR="006F0F80">
        <w:rPr>
          <w:rFonts w:cs="Verdana"/>
        </w:rPr>
        <w:t>a</w:t>
      </w:r>
      <w:r w:rsidR="006F0F80" w:rsidRPr="00E636CD">
        <w:rPr>
          <w:rFonts w:cs="Verdana"/>
        </w:rPr>
        <w:t>nalysis</w:t>
      </w:r>
      <w:r w:rsidR="006F0F80" w:rsidRPr="00E636CD">
        <w:rPr>
          <w:rFonts w:cs="Verdana"/>
          <w:spacing w:val="-2"/>
        </w:rPr>
        <w:t xml:space="preserve"> </w:t>
      </w:r>
      <w:r w:rsidR="006F0F80">
        <w:rPr>
          <w:rFonts w:cs="Verdana"/>
        </w:rPr>
        <w:t>s</w:t>
      </w:r>
      <w:r w:rsidR="006F0F80" w:rsidRPr="00E636CD">
        <w:rPr>
          <w:rFonts w:cs="Verdana"/>
        </w:rPr>
        <w:t>et</w:t>
      </w:r>
    </w:p>
    <w:p w14:paraId="0D6481FD" w14:textId="77777777" w:rsidR="00AD665E" w:rsidRDefault="00AD665E" w:rsidP="007B6132">
      <w:r>
        <w:rPr>
          <w:noProof/>
          <w:lang w:eastAsia="en-AU"/>
        </w:rPr>
        <w:drawing>
          <wp:inline distT="0" distB="0" distL="0" distR="0" wp14:anchorId="1F1C0795" wp14:editId="115B93CF">
            <wp:extent cx="5054803" cy="4528262"/>
            <wp:effectExtent l="0" t="0" r="0" b="5715"/>
            <wp:docPr id="10" name="Picture 10" descr="Table 18: Number (%) of patients with the most common AEs of CTCAE grade 3 or higher (reported in≥ 2% patients in either group [All patients]): Study 19,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57091" cy="4530312"/>
                    </a:xfrm>
                    <a:prstGeom prst="rect">
                      <a:avLst/>
                    </a:prstGeom>
                  </pic:spPr>
                </pic:pic>
              </a:graphicData>
            </a:graphic>
          </wp:inline>
        </w:drawing>
      </w:r>
    </w:p>
    <w:p w14:paraId="63DB8878" w14:textId="77777777" w:rsidR="00AD665E" w:rsidRPr="00AD665E" w:rsidRDefault="00AD665E" w:rsidP="00AD665E">
      <w:pPr>
        <w:pStyle w:val="Heading5"/>
      </w:pPr>
      <w:r w:rsidRPr="00AD665E">
        <w:t>Treatment-related adverse events (adverse drug reactions)</w:t>
      </w:r>
    </w:p>
    <w:p w14:paraId="780F6152" w14:textId="118E0AB3" w:rsidR="005D64FB" w:rsidRDefault="00AD665E" w:rsidP="00AD665E">
      <w:r w:rsidRPr="00AD665E">
        <w:t xml:space="preserve">When standardised against duration of exposure in Study 19, the following occurred more frequently in the treatment arm compared with the placebo arm: nausea, vomiting, </w:t>
      </w:r>
      <w:r w:rsidRPr="00AD665E">
        <w:lastRenderedPageBreak/>
        <w:t xml:space="preserve">anaemia, upper </w:t>
      </w:r>
      <w:r w:rsidR="00F03EBB" w:rsidRPr="00AD665E">
        <w:t>a</w:t>
      </w:r>
      <w:r w:rsidR="00F03EBB">
        <w:t>bd</w:t>
      </w:r>
      <w:r w:rsidR="00F03EBB" w:rsidRPr="00AD665E">
        <w:t>ominal</w:t>
      </w:r>
      <w:r w:rsidRPr="00AD665E">
        <w:t xml:space="preserve"> pain, dyspepsia and </w:t>
      </w:r>
      <w:proofErr w:type="spellStart"/>
      <w:r w:rsidRPr="00AD665E">
        <w:t>dysgeusia</w:t>
      </w:r>
      <w:proofErr w:type="spellEnd"/>
      <w:r w:rsidRPr="00AD665E">
        <w:t>. Fatigue, decreased appetite, headache and dizziness were reported more frequently with olaparib treatment compared with placebo during the first 0 to 3 months and/or 3 to 6 months on study, although the numbers affected by these were small in each arm. Although the reporting rate of diarrhoea was similar in the olaparib and placebo arms in Study 19, it was considered to be associated with olaparib due to findings from other studies in the clinical program (Study 12</w:t>
      </w:r>
      <w:r w:rsidR="005074AE">
        <w:t xml:space="preserve"> (Study D0810C00012)</w:t>
      </w:r>
      <w:r w:rsidRPr="00AD665E">
        <w:t xml:space="preserve"> and 41). Stomatitis occurred more frequently on olaparib, as did muscle spasms (9.6% </w:t>
      </w:r>
      <w:r w:rsidR="0010405A">
        <w:t>versus</w:t>
      </w:r>
      <w:r w:rsidRPr="00AD665E">
        <w:t>. 3.9%)</w:t>
      </w:r>
      <w:r w:rsidR="005D64FB">
        <w:t>.</w:t>
      </w:r>
    </w:p>
    <w:p w14:paraId="01157F0E" w14:textId="113D267C" w:rsidR="00AD665E" w:rsidRPr="00AD665E" w:rsidRDefault="00F03EBB" w:rsidP="00AD665E">
      <w:pPr>
        <w:pStyle w:val="TableTitle"/>
      </w:pPr>
      <w:r>
        <w:t>Table 19</w:t>
      </w:r>
      <w:r w:rsidR="00AD665E" w:rsidRPr="00AD665E">
        <w:t>: Number (%) of patients with most common AEs (</w:t>
      </w:r>
      <w:r w:rsidR="00E032DB">
        <w:t xml:space="preserve">≥ </w:t>
      </w:r>
      <w:r w:rsidR="00AD665E" w:rsidRPr="00AD665E">
        <w:t>10% in either group) and adjusted by patient years’ exposure</w:t>
      </w:r>
      <w:r w:rsidR="006F0F80">
        <w:t>;</w:t>
      </w:r>
      <w:r w:rsidR="00AD665E" w:rsidRPr="00AD665E">
        <w:t xml:space="preserve"> Study 19, </w:t>
      </w:r>
      <w:proofErr w:type="spellStart"/>
      <w:r w:rsidR="00AD665E" w:rsidRPr="00AD665E">
        <w:t>BRCAm</w:t>
      </w:r>
      <w:proofErr w:type="spellEnd"/>
      <w:r w:rsidR="00AD665E" w:rsidRPr="00AD665E">
        <w:t xml:space="preserve"> (safety update)</w:t>
      </w:r>
    </w:p>
    <w:p w14:paraId="30B7DDBB" w14:textId="77777777" w:rsidR="00AD665E" w:rsidRDefault="00AD665E" w:rsidP="007B6132">
      <w:r>
        <w:rPr>
          <w:noProof/>
          <w:lang w:eastAsia="en-AU"/>
        </w:rPr>
        <w:drawing>
          <wp:inline distT="0" distB="0" distL="0" distR="0" wp14:anchorId="014213EA" wp14:editId="5F02B5D2">
            <wp:extent cx="4996281" cy="6539250"/>
            <wp:effectExtent l="0" t="0" r="0" b="0"/>
            <wp:docPr id="11" name="Picture 11" descr="Table 19: Number (%) of patients with most common AEs (≥ 10% in either group) and adjusted by patient years’ exposure: Study 19, BRCAm (safety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97598" cy="6540974"/>
                    </a:xfrm>
                    <a:prstGeom prst="rect">
                      <a:avLst/>
                    </a:prstGeom>
                  </pic:spPr>
                </pic:pic>
              </a:graphicData>
            </a:graphic>
          </wp:inline>
        </w:drawing>
      </w:r>
    </w:p>
    <w:p w14:paraId="18C217C5" w14:textId="76AE4305" w:rsidR="00AD665E" w:rsidRPr="00AD665E" w:rsidRDefault="00AD665E" w:rsidP="00AD665E">
      <w:pPr>
        <w:pStyle w:val="Heading5"/>
      </w:pPr>
      <w:r w:rsidRPr="00AD665E">
        <w:lastRenderedPageBreak/>
        <w:t xml:space="preserve">AEs of </w:t>
      </w:r>
      <w:r w:rsidR="003D25BC" w:rsidRPr="00AD665E">
        <w:t>special interest</w:t>
      </w:r>
    </w:p>
    <w:p w14:paraId="69168E75" w14:textId="77777777" w:rsidR="00AD665E" w:rsidRPr="00AD665E" w:rsidRDefault="00AD665E" w:rsidP="00AD665E">
      <w:pPr>
        <w:pStyle w:val="Heading6"/>
      </w:pPr>
      <w:r w:rsidRPr="00AD665E">
        <w:t>MDS/AML</w:t>
      </w:r>
    </w:p>
    <w:p w14:paraId="2164154E" w14:textId="71FA1206" w:rsidR="005D64FB" w:rsidRDefault="00AD665E" w:rsidP="00AD665E">
      <w:r w:rsidRPr="00AD665E">
        <w:t xml:space="preserve">As of the </w:t>
      </w:r>
      <w:r w:rsidR="008C6418">
        <w:t>data cut-off</w:t>
      </w:r>
      <w:r w:rsidR="008C6418" w:rsidRPr="00AD665E">
        <w:t xml:space="preserve"> </w:t>
      </w:r>
      <w:r w:rsidR="008C6418">
        <w:t>(</w:t>
      </w:r>
      <w:r w:rsidRPr="00AD665E">
        <w:t>DCO</w:t>
      </w:r>
      <w:r w:rsidR="008C6418">
        <w:t>)</w:t>
      </w:r>
      <w:r w:rsidRPr="00AD665E">
        <w:t xml:space="preserve"> of 1 October 2014, 21 reports of MDS/AML (22 stated in the FDA Clinical Reviewer report, accessed on FDA website, 14 December 2015) have been received out of a total of 3020 patients estimated to have received olaparib, giving an estimated cumulative incidence of 0.7% for MDS/AML. One additional report of MDS has been received from a blinded study in which the treatment of the patient (olaparib or placebo) is unknown, and if this patient were to have been on olaparib, the estimated incidence would be 0.73%. Of these 22 cases, 18 patients died, with MDS/AML listed as a primary or secondary cause of death in 12 cases. The duration of therapy ranged from less than 6 months to more than 2 years</w:t>
      </w:r>
      <w:r w:rsidR="005D64FB">
        <w:t>.</w:t>
      </w:r>
    </w:p>
    <w:p w14:paraId="1792179F" w14:textId="77777777" w:rsidR="00AD665E" w:rsidRPr="00AD665E" w:rsidRDefault="00AD665E" w:rsidP="00AD665E">
      <w:r w:rsidRPr="00AD665E">
        <w:t xml:space="preserve">16 (17 in the FDA Report) of the cases were in patients with BRCA 1 or 2 mutations, with all but 5 reported to be fatal. In randomised trials, the cumulative incidence in patients with BRCA mutations was 1.1% </w:t>
      </w:r>
      <w:r w:rsidR="00E032DB">
        <w:t>compared with</w:t>
      </w:r>
      <w:r w:rsidRPr="00AD665E">
        <w:t xml:space="preserve"> 0.6% for control arms.</w:t>
      </w:r>
    </w:p>
    <w:p w14:paraId="5AA0F0C6" w14:textId="0437900E" w:rsidR="005D64FB" w:rsidRPr="006F0F80" w:rsidRDefault="006F0F80" w:rsidP="00672809">
      <w:r>
        <w:t>A</w:t>
      </w:r>
      <w:r w:rsidRPr="006F0F80">
        <w:t xml:space="preserve"> </w:t>
      </w:r>
      <w:r w:rsidR="00AD665E" w:rsidRPr="006F0F80">
        <w:t>causative or contributing role for olaparib cannot be excluded, but these patients had all received chemotherapy with DNA</w:t>
      </w:r>
      <w:r w:rsidR="000E5D0F" w:rsidRPr="006F0F80">
        <w:t xml:space="preserve"> </w:t>
      </w:r>
      <w:r w:rsidR="00AD665E" w:rsidRPr="006F0F80">
        <w:t xml:space="preserve">damaging agents, which is an independent risk factor. It is plausible that the combination of DNA damaging agents, germline BRCA deficiency, followed by a pathway repair blocking agent act synergistically resulting in the development of MDS/AML. This is the subject of active pharmacovigilance (see </w:t>
      </w:r>
      <w:r w:rsidR="000E5D0F" w:rsidRPr="006F0F80">
        <w:t>conditions of registration</w:t>
      </w:r>
      <w:r w:rsidR="00AD665E" w:rsidRPr="006F0F80">
        <w:t>) and is listed as an important potential risk. Randomised controlled data from the SOLO-2 trial will help clarify, although these patients will have received much less chemotherapy due to it being a trial of olaparib maintenance after first line chemotherapy</w:t>
      </w:r>
      <w:r w:rsidR="005D64FB" w:rsidRPr="006F0F80">
        <w:t>.</w:t>
      </w:r>
    </w:p>
    <w:p w14:paraId="6B41B6BE" w14:textId="77777777" w:rsidR="005D64FB" w:rsidRPr="006F0F80" w:rsidRDefault="00AD665E" w:rsidP="00672809">
      <w:r w:rsidRPr="006F0F80">
        <w:t>The PI does not currently accurately convey the risk of death associated with this complication, nor are the rates of MDS/AML in patients with germline BRCA mutations mentioned. See PI Changes, and equivalent information should be included in the CMI</w:t>
      </w:r>
      <w:r w:rsidR="005D64FB" w:rsidRPr="006F0F80">
        <w:t>.</w:t>
      </w:r>
    </w:p>
    <w:p w14:paraId="530C768E" w14:textId="77777777" w:rsidR="00AD665E" w:rsidRPr="00AD665E" w:rsidRDefault="00AD665E" w:rsidP="00AD665E">
      <w:pPr>
        <w:pStyle w:val="Heading6"/>
      </w:pPr>
      <w:r w:rsidRPr="00AD665E">
        <w:t>Second malignancy</w:t>
      </w:r>
    </w:p>
    <w:p w14:paraId="202D1635" w14:textId="629E21F4" w:rsidR="005D64FB" w:rsidRDefault="00AD665E" w:rsidP="00AD665E">
      <w:r w:rsidRPr="00AD665E">
        <w:t>As of the DCO of 1 October 2014, 23 events (in 21 patients) of new malignant tumours have been received out of a total of 3020 patients estimated to have received olaparib, giving an estimated cumulative incidence of 0.71%.</w:t>
      </w:r>
      <w:r w:rsidR="005D64FB">
        <w:t xml:space="preserve"> </w:t>
      </w:r>
      <w:r w:rsidRPr="00AD665E">
        <w:t>One additional report of a second malignant tumour has been reported in the placebo arm of Study 19 (1/128 [0.78%]). In the randomised controlled studies, 5 reports of new primary malignancy have occurred in the olaparib arm and 1 in the placebo arm</w:t>
      </w:r>
      <w:r w:rsidR="005D64FB">
        <w:t>.</w:t>
      </w:r>
    </w:p>
    <w:p w14:paraId="7CB9A2F3" w14:textId="01BAD904" w:rsidR="00AD665E" w:rsidRPr="00AD665E" w:rsidRDefault="006F0F80" w:rsidP="00672809">
      <w:r w:rsidRPr="00672809">
        <w:t>No</w:t>
      </w:r>
      <w:r w:rsidR="00AD665E" w:rsidRPr="00AD665E">
        <w:t xml:space="preserve"> clear pattern in these second malignancies allows attribution of causality to olaparib, especially considering the enrichment for those with a BRCA mutation and the associated increase in risk for further cancers. No PI statement is required at this stage, and this is listed as an important potential risk in the RMP</w:t>
      </w:r>
      <w:r w:rsidR="005074AE">
        <w:t>.</w:t>
      </w:r>
    </w:p>
    <w:p w14:paraId="78AD5137" w14:textId="77777777" w:rsidR="00AD665E" w:rsidRPr="00AD665E" w:rsidRDefault="00AD665E" w:rsidP="00AD665E">
      <w:pPr>
        <w:pStyle w:val="Heading6"/>
      </w:pPr>
      <w:r w:rsidRPr="00AD665E">
        <w:t>Pneumonitis</w:t>
      </w:r>
    </w:p>
    <w:p w14:paraId="2C119E72" w14:textId="1D58F796" w:rsidR="00AD665E" w:rsidRPr="00AD665E" w:rsidRDefault="00AD665E" w:rsidP="00AD665E">
      <w:r w:rsidRPr="00AD665E">
        <w:t>As of the DCO of 1 October 2014, 13 patients have reported pneumonitis out of a total of 3020 patients estimated to have received olaparib, giving an estimated cumulative incidence of 0.43%. Three additional reports of pneumonitis have been received from 2</w:t>
      </w:r>
      <w:r w:rsidR="006F0F80">
        <w:t> </w:t>
      </w:r>
      <w:r w:rsidRPr="00AD665E">
        <w:t xml:space="preserve">blinded studies, where the treatment of the patients is unknown. If these patients were considered to have been on olaparib treatment, the estimated cumulative incidence would be 0.53%. There were 2 deaths from pulmonary insufficiency. The majority of these events occurred early in treatment with the greatest number occurring with </w:t>
      </w:r>
      <w:r w:rsidR="002B698E">
        <w:t>&lt;</w:t>
      </w:r>
      <w:r w:rsidR="005D43E1">
        <w:t xml:space="preserve"> </w:t>
      </w:r>
      <w:r w:rsidRPr="00AD665E">
        <w:t xml:space="preserve">3 months and almost all </w:t>
      </w:r>
      <w:r w:rsidR="002B698E">
        <w:t>&lt;</w:t>
      </w:r>
      <w:r w:rsidR="005D43E1">
        <w:t xml:space="preserve"> </w:t>
      </w:r>
      <w:r w:rsidRPr="00AD665E">
        <w:t>6 months of treatment with olaparib (or placebo).</w:t>
      </w:r>
    </w:p>
    <w:p w14:paraId="3AF851CF" w14:textId="02752D6B" w:rsidR="00AD665E" w:rsidRPr="006F0F80" w:rsidRDefault="006F0F80" w:rsidP="006F0F80">
      <w:r w:rsidRPr="00672809">
        <w:t>The</w:t>
      </w:r>
      <w:r w:rsidR="00AD665E" w:rsidRPr="006F0F80">
        <w:t xml:space="preserve"> PI statements are appropriate</w:t>
      </w:r>
      <w:r w:rsidR="00DF5CF8">
        <w:t>.</w:t>
      </w:r>
    </w:p>
    <w:p w14:paraId="6367363B" w14:textId="77777777" w:rsidR="005F3C2C" w:rsidRDefault="005F3C2C" w:rsidP="005F3C2C">
      <w:pPr>
        <w:pStyle w:val="Heading6"/>
      </w:pPr>
      <w:r w:rsidRPr="00AD665E">
        <w:lastRenderedPageBreak/>
        <w:t>Discontinuation due to adverse events</w:t>
      </w:r>
    </w:p>
    <w:p w14:paraId="099872F1" w14:textId="77777777" w:rsidR="00AD665E" w:rsidRPr="00AD665E" w:rsidRDefault="00AD665E" w:rsidP="00AD665E">
      <w:proofErr w:type="gramStart"/>
      <w:r w:rsidRPr="00AD665E">
        <w:t>Discontinuation due to adverse events were</w:t>
      </w:r>
      <w:proofErr w:type="gramEnd"/>
      <w:r w:rsidRPr="00AD665E">
        <w:t xml:space="preserve"> uncommon in both arms of Study 19: 4.4% and 1.6% of patients receiving olaparib and placebo, respectively.</w:t>
      </w:r>
    </w:p>
    <w:p w14:paraId="387E448B" w14:textId="3CCC2941" w:rsidR="00AD665E" w:rsidRPr="00AD665E" w:rsidRDefault="006F0F80" w:rsidP="00672809">
      <w:r>
        <w:t>T</w:t>
      </w:r>
      <w:r w:rsidR="00AD665E" w:rsidRPr="00AD665E">
        <w:t>his indicates that olaparib was relatively well tolerated, and would suggest that clinical management strategies for the adverse events encountered is effective.</w:t>
      </w:r>
    </w:p>
    <w:p w14:paraId="5F185CCA" w14:textId="176B0AF8" w:rsidR="00AD665E" w:rsidRPr="00AD665E" w:rsidRDefault="00AD665E" w:rsidP="005F3C2C">
      <w:pPr>
        <w:pStyle w:val="Heading5"/>
      </w:pPr>
      <w:r w:rsidRPr="00AD665E">
        <w:t xml:space="preserve">Deaths, </w:t>
      </w:r>
      <w:r w:rsidR="000E5D0F" w:rsidRPr="00AD665E">
        <w:t>serious adverse events</w:t>
      </w:r>
    </w:p>
    <w:p w14:paraId="44AC987C" w14:textId="7F577C73" w:rsidR="00AD665E" w:rsidRPr="00AD665E" w:rsidRDefault="00AD665E" w:rsidP="00AD665E">
      <w:r w:rsidRPr="00AD665E">
        <w:t>Two deaths in Study 19 were attributed to olaparib have occurred as a result of an AE: one case of haemorrhagic stroke with thrombocyto</w:t>
      </w:r>
      <w:r w:rsidR="0041711A">
        <w:t>paenia</w:t>
      </w:r>
      <w:r w:rsidRPr="00AD665E">
        <w:t>, and MDS. Of the remaining 14 deaths reported in the pooled dataset, there were other potential contributing factors.</w:t>
      </w:r>
    </w:p>
    <w:p w14:paraId="2C62A47D" w14:textId="2FB949DE" w:rsidR="00AD665E" w:rsidRPr="00AD665E" w:rsidRDefault="00543D50" w:rsidP="00672809">
      <w:r>
        <w:t>T</w:t>
      </w:r>
      <w:r w:rsidR="00AD665E" w:rsidRPr="00AD665E">
        <w:t>he PI Precautions section needs to state the fatality in the Haematological toxicity section due to thrombocyto</w:t>
      </w:r>
      <w:r w:rsidR="0041711A">
        <w:t>paenia</w:t>
      </w:r>
      <w:r w:rsidR="00AD665E" w:rsidRPr="00AD665E">
        <w:t xml:space="preserve"> (see PI changes).</w:t>
      </w:r>
    </w:p>
    <w:p w14:paraId="5F4D2846" w14:textId="0B975C66" w:rsidR="005D64FB" w:rsidRPr="005074AE" w:rsidRDefault="00AD665E" w:rsidP="00AD665E">
      <w:r w:rsidRPr="00AD665E">
        <w:t xml:space="preserve">As with Study 19, the most </w:t>
      </w:r>
      <w:r w:rsidR="00881C3F" w:rsidRPr="00AD665E">
        <w:t xml:space="preserve">common </w:t>
      </w:r>
      <w:r w:rsidR="00881C3F">
        <w:t>system organ class</w:t>
      </w:r>
      <w:r w:rsidR="00881C3F" w:rsidRPr="00AD665E">
        <w:t xml:space="preserve"> </w:t>
      </w:r>
      <w:r w:rsidR="00881C3F">
        <w:t>(</w:t>
      </w:r>
      <w:r w:rsidRPr="00AD665E">
        <w:t>SOCs</w:t>
      </w:r>
      <w:r w:rsidR="00881C3F">
        <w:t>)</w:t>
      </w:r>
      <w:r w:rsidRPr="00AD665E">
        <w:t xml:space="preserve"> reported for </w:t>
      </w:r>
      <w:r w:rsidR="00881C3F">
        <w:t>serious adverse events</w:t>
      </w:r>
      <w:r w:rsidR="00881C3F" w:rsidRPr="00AD665E">
        <w:t xml:space="preserve"> </w:t>
      </w:r>
      <w:r w:rsidR="00881C3F">
        <w:t>(</w:t>
      </w:r>
      <w:r w:rsidRPr="00AD665E">
        <w:t>SAEs</w:t>
      </w:r>
      <w:r w:rsidR="00881C3F">
        <w:t>)</w:t>
      </w:r>
      <w:r w:rsidRPr="00AD665E">
        <w:t xml:space="preserve"> reported by patients in the 400 mg </w:t>
      </w:r>
      <w:r w:rsidR="00214786">
        <w:t>BD</w:t>
      </w:r>
      <w:r w:rsidRPr="00AD665E">
        <w:t xml:space="preserve"> monotherapy pool were blood and lymphatic disorders (most commonly reported preferred term anaemia, 2.9% patients) and gastrointestinal disorders (intestinal obstruction, small intestinal obstruction, vomiting, abdominal pain; 1.8 to 1.9% patients). The proportion of patients in the 400 mg </w:t>
      </w:r>
      <w:r w:rsidR="00214786">
        <w:t>BD</w:t>
      </w:r>
      <w:r w:rsidRPr="00AD665E">
        <w:t xml:space="preserve"> monotherapy pool reporting SAEs was higher than </w:t>
      </w:r>
      <w:r w:rsidRPr="005074AE">
        <w:t xml:space="preserve">in Study 19 (25.2% </w:t>
      </w:r>
      <w:r w:rsidR="0010405A">
        <w:t>versus</w:t>
      </w:r>
      <w:r w:rsidRPr="005074AE">
        <w:t xml:space="preserve"> 18.4% in the overall population; 27.7% </w:t>
      </w:r>
      <w:r w:rsidR="0010405A">
        <w:t>versus</w:t>
      </w:r>
      <w:r w:rsidRPr="005074AE">
        <w:t xml:space="preserve"> 21.6% in the </w:t>
      </w:r>
      <w:proofErr w:type="spellStart"/>
      <w:r w:rsidRPr="005074AE">
        <w:t>BRCAm</w:t>
      </w:r>
      <w:proofErr w:type="spellEnd"/>
      <w:r w:rsidRPr="005074AE">
        <w:t xml:space="preserve"> subgroup), this could reflect the more advanced stage of disease and inherently poorer prognosis of patients included in the pool (data cut-off 26 November 2012)</w:t>
      </w:r>
      <w:r w:rsidR="005D64FB" w:rsidRPr="005074AE">
        <w:t>.</w:t>
      </w:r>
    </w:p>
    <w:p w14:paraId="2E0EEF9B" w14:textId="77777777" w:rsidR="005D64FB" w:rsidRDefault="00AD665E" w:rsidP="00AD665E">
      <w:r w:rsidRPr="005074AE">
        <w:t>In the Study 41,</w:t>
      </w:r>
      <w:r w:rsidRPr="00AD665E">
        <w:t xml:space="preserve"> serious AEs were reported in 10.6% of patients treated with olaparib compared with 7.3% in the placebo group. This included 3 MDS were observed in the olaparib arm, one resolved and 2 unresolved; one fatal case of DIC (disseminated intravascular coagulation) in a patient also having MDS was considered as related to study drug</w:t>
      </w:r>
      <w:r w:rsidR="005D64FB">
        <w:t>.</w:t>
      </w:r>
    </w:p>
    <w:p w14:paraId="0E0ACF8C" w14:textId="48C06F93" w:rsidR="00AD665E" w:rsidRPr="00AD665E" w:rsidRDefault="00F03EBB" w:rsidP="005F3C2C">
      <w:pPr>
        <w:pStyle w:val="TableTitle"/>
      </w:pPr>
      <w:bookmarkStart w:id="182" w:name="_Toc297901080"/>
      <w:r>
        <w:t>Table 20:</w:t>
      </w:r>
      <w:r w:rsidR="00AD665E" w:rsidRPr="00AD665E">
        <w:t xml:space="preserve"> Study D0810C00019 Death</w:t>
      </w:r>
      <w:r>
        <w:t>s</w:t>
      </w:r>
      <w:r w:rsidR="00AD665E" w:rsidRPr="00AD665E">
        <w:t xml:space="preserve"> and SAE</w:t>
      </w:r>
      <w:bookmarkEnd w:id="182"/>
    </w:p>
    <w:p w14:paraId="4FC8F737" w14:textId="77777777" w:rsidR="00AD665E" w:rsidRDefault="005F3C2C" w:rsidP="007B6132">
      <w:r>
        <w:rPr>
          <w:noProof/>
          <w:lang w:eastAsia="en-AU"/>
        </w:rPr>
        <w:drawing>
          <wp:inline distT="0" distB="0" distL="0" distR="0" wp14:anchorId="060633E0" wp14:editId="3700DD9C">
            <wp:extent cx="3796588" cy="2748876"/>
            <wp:effectExtent l="0" t="0" r="0" b="0"/>
            <wp:docPr id="12" name="Picture 12" descr="Table 20: Study D0810C00019: Deaths and S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800009" cy="2751353"/>
                    </a:xfrm>
                    <a:prstGeom prst="rect">
                      <a:avLst/>
                    </a:prstGeom>
                  </pic:spPr>
                </pic:pic>
              </a:graphicData>
            </a:graphic>
          </wp:inline>
        </w:drawing>
      </w:r>
    </w:p>
    <w:p w14:paraId="6BC0CC26" w14:textId="77777777" w:rsidR="005F3C2C" w:rsidRPr="005F3C2C" w:rsidRDefault="005F3C2C" w:rsidP="005F3C2C">
      <w:pPr>
        <w:pStyle w:val="Heading5"/>
      </w:pPr>
      <w:r w:rsidRPr="005F3C2C">
        <w:t>Clinical laboratory tests</w:t>
      </w:r>
    </w:p>
    <w:p w14:paraId="5E64BF78" w14:textId="77777777" w:rsidR="005F3C2C" w:rsidRPr="005F3C2C" w:rsidRDefault="005F3C2C" w:rsidP="005F3C2C">
      <w:r w:rsidRPr="005F3C2C">
        <w:t>Haematological abnormalities were very common and are discussed above. There were no changes to suggest that olaparib causes liver injury, and there were mild changes in creatinine which should be monitored.</w:t>
      </w:r>
    </w:p>
    <w:p w14:paraId="5A124D90" w14:textId="77777777" w:rsidR="005F3C2C" w:rsidRPr="005F3C2C" w:rsidRDefault="005F3C2C" w:rsidP="005F3C2C">
      <w:pPr>
        <w:pStyle w:val="Heading5"/>
      </w:pPr>
      <w:r w:rsidRPr="005F3C2C">
        <w:lastRenderedPageBreak/>
        <w:t>Special groups</w:t>
      </w:r>
    </w:p>
    <w:p w14:paraId="0B366788" w14:textId="77777777" w:rsidR="005D64FB" w:rsidRDefault="005F3C2C" w:rsidP="005F3C2C">
      <w:r w:rsidRPr="005F3C2C">
        <w:t>There is limited experience in the elderly with only 34/735 patients bei</w:t>
      </w:r>
      <w:r w:rsidR="00214786">
        <w:t xml:space="preserve">ng over 75 and 114/735 being 65 to </w:t>
      </w:r>
      <w:r w:rsidRPr="005F3C2C">
        <w:t>74</w:t>
      </w:r>
      <w:r w:rsidR="005D64FB">
        <w:t>.</w:t>
      </w:r>
    </w:p>
    <w:p w14:paraId="412E7432" w14:textId="77777777" w:rsidR="005F3C2C" w:rsidRPr="005F3C2C" w:rsidRDefault="005F3C2C" w:rsidP="005F3C2C">
      <w:r w:rsidRPr="005F3C2C">
        <w:t>Safety and efficacy are not established in men and this needs to be stated in the PI.</w:t>
      </w:r>
    </w:p>
    <w:p w14:paraId="2E2C66F3" w14:textId="77777777" w:rsidR="005D64FB" w:rsidRDefault="005F3C2C" w:rsidP="005F3C2C">
      <w:r w:rsidRPr="005F3C2C">
        <w:t>There are currently no data to provide prescribing advice for patients with renal or hepatic impairment</w:t>
      </w:r>
      <w:r w:rsidR="005D64FB">
        <w:t>.</w:t>
      </w:r>
    </w:p>
    <w:p w14:paraId="7876485F" w14:textId="21612E8B" w:rsidR="005F3C2C" w:rsidRPr="005F3C2C" w:rsidRDefault="005F3C2C" w:rsidP="005F3C2C">
      <w:pPr>
        <w:pStyle w:val="Heading5"/>
      </w:pPr>
      <w:bookmarkStart w:id="183" w:name="_Toc272414675"/>
      <w:bookmarkStart w:id="184" w:name="_Toc290846313"/>
      <w:bookmarkStart w:id="185" w:name="_Toc381783655"/>
      <w:r w:rsidRPr="005F3C2C">
        <w:t>Electrocardiograph</w:t>
      </w:r>
      <w:bookmarkEnd w:id="183"/>
      <w:bookmarkEnd w:id="184"/>
      <w:bookmarkEnd w:id="185"/>
      <w:r w:rsidRPr="005F3C2C">
        <w:t>/</w:t>
      </w:r>
      <w:r w:rsidR="003A69DF">
        <w:t>c</w:t>
      </w:r>
      <w:r w:rsidRPr="005F3C2C">
        <w:t>ardiovascular</w:t>
      </w:r>
    </w:p>
    <w:p w14:paraId="6CC36B61" w14:textId="77777777" w:rsidR="005F3C2C" w:rsidRPr="005F3C2C" w:rsidRDefault="005F3C2C" w:rsidP="005F3C2C">
      <w:bookmarkStart w:id="186" w:name="Table_12.2.3.10-3:_Adverse_Events_in_the"/>
      <w:bookmarkStart w:id="187" w:name="12.2.5_Safety_in_Patient_Subgroups"/>
      <w:bookmarkStart w:id="188" w:name="12.2.4_Listing_of_Adverse_Events_by_Pati"/>
      <w:bookmarkStart w:id="189" w:name="12.2.3.11_Vascular_Disorders"/>
      <w:bookmarkEnd w:id="186"/>
      <w:bookmarkEnd w:id="187"/>
      <w:bookmarkEnd w:id="188"/>
      <w:bookmarkEnd w:id="189"/>
      <w:r w:rsidRPr="005F3C2C">
        <w:t>The studies were carried out with the 30</w:t>
      </w:r>
      <w:r w:rsidR="003E2109">
        <w:t>0 mg</w:t>
      </w:r>
      <w:r w:rsidRPr="005F3C2C">
        <w:t xml:space="preserve"> tablet formulation which is neither the formulation nor the dose proposed here. This study did not iden</w:t>
      </w:r>
      <w:r w:rsidR="00214786">
        <w:t>tify that olaparib is associate</w:t>
      </w:r>
      <w:r w:rsidRPr="005F3C2C">
        <w:t>d</w:t>
      </w:r>
      <w:r w:rsidR="00214786">
        <w:t xml:space="preserve"> </w:t>
      </w:r>
      <w:r w:rsidR="00214786" w:rsidRPr="005F3C2C">
        <w:t>with</w:t>
      </w:r>
      <w:r w:rsidRPr="005F3C2C">
        <w:t xml:space="preserve"> QT prolongation although a single case of QT prolongation was noted in combination with itraconazole, emphasising the need to avoid concomitant use with strong CYP3A4 inhibitors.</w:t>
      </w:r>
    </w:p>
    <w:p w14:paraId="1FFB66A5" w14:textId="77777777" w:rsidR="005F3C2C" w:rsidRPr="005F3C2C" w:rsidRDefault="005F3C2C" w:rsidP="005F3C2C">
      <w:pPr>
        <w:pStyle w:val="Heading5"/>
        <w:rPr>
          <w:rFonts w:eastAsia="MS Mincho"/>
        </w:rPr>
      </w:pPr>
      <w:r w:rsidRPr="005F3C2C">
        <w:rPr>
          <w:rFonts w:eastAsia="MS Mincho"/>
        </w:rPr>
        <w:t>Safety discussion</w:t>
      </w:r>
    </w:p>
    <w:p w14:paraId="0A9D8BE8" w14:textId="19852EED" w:rsidR="005D64FB" w:rsidRDefault="005F3C2C" w:rsidP="005F3C2C">
      <w:r w:rsidRPr="005F3C2C">
        <w:t>The safety of olaparib is supported by the overall low rates of study withdrawals and the mild to moderate severity of most of the AEs.</w:t>
      </w:r>
      <w:r w:rsidR="005D64FB">
        <w:t xml:space="preserve"> </w:t>
      </w:r>
      <w:r w:rsidRPr="005F3C2C">
        <w:t>Many of the AE are transient, mild and able to be managed with simple supportive measures.</w:t>
      </w:r>
      <w:r w:rsidR="005D64FB">
        <w:t xml:space="preserve"> </w:t>
      </w:r>
      <w:r w:rsidRPr="005F3C2C">
        <w:t xml:space="preserve">The most common side effects attributable to olaparib include anaemia, nausea, fatigue / asthenia, diarrhoea, anorexia, dyspepsia, upper abdominal pain, stomatitis, headache, </w:t>
      </w:r>
      <w:proofErr w:type="spellStart"/>
      <w:r w:rsidRPr="005F3C2C">
        <w:t>dysgeusia</w:t>
      </w:r>
      <w:proofErr w:type="spellEnd"/>
      <w:r w:rsidRPr="005F3C2C">
        <w:t xml:space="preserve"> and dizziness. However, the fatality secondary to thrombocyto</w:t>
      </w:r>
      <w:r w:rsidR="0041711A">
        <w:t>paenia</w:t>
      </w:r>
      <w:r w:rsidRPr="005F3C2C">
        <w:t xml:space="preserve"> </w:t>
      </w:r>
      <w:r w:rsidRPr="005074AE">
        <w:t>in Study 19 indicates</w:t>
      </w:r>
      <w:r w:rsidRPr="005F3C2C">
        <w:t xml:space="preserve"> the importance of close monitoring. A major potential safety signal, particularly in those with a germline BRCA mutation, is MDS/AML. Although there have been other potentially confounding factors, 17/22 cases occurred in patients with a germline mutation and of the 22 cases, most were fatal. Other potentially fatal complications of treatment include pneumonitis</w:t>
      </w:r>
      <w:r w:rsidR="005D64FB">
        <w:t>.</w:t>
      </w:r>
    </w:p>
    <w:p w14:paraId="590CED17" w14:textId="77777777" w:rsidR="005F3C2C" w:rsidRPr="005F3C2C" w:rsidRDefault="005F3C2C" w:rsidP="005F3C2C">
      <w:r w:rsidRPr="005F3C2C">
        <w:t xml:space="preserve">Given this is a maintenance </w:t>
      </w:r>
      <w:r w:rsidR="00214786" w:rsidRPr="005F3C2C">
        <w:t>treatment;</w:t>
      </w:r>
      <w:r w:rsidRPr="005F3C2C">
        <w:t xml:space="preserve"> there is relatively limited long term follow up data. Further information will become available when the SOLO-2 randomised controlled trial reports and submission for evaluation is a condition of registration.</w:t>
      </w:r>
    </w:p>
    <w:p w14:paraId="5FF072D4" w14:textId="77777777" w:rsidR="008E7846" w:rsidRDefault="00386150" w:rsidP="007B6132">
      <w:pPr>
        <w:pStyle w:val="Heading3"/>
        <w:rPr>
          <w:lang w:eastAsia="en-AU"/>
        </w:rPr>
      </w:pPr>
      <w:bookmarkStart w:id="190" w:name="_Toc8053836"/>
      <w:r>
        <w:rPr>
          <w:lang w:eastAsia="en-AU"/>
        </w:rPr>
        <w:t>Risk m</w:t>
      </w:r>
      <w:r w:rsidR="008E7846">
        <w:rPr>
          <w:lang w:eastAsia="en-AU"/>
        </w:rPr>
        <w:t xml:space="preserve">anagement </w:t>
      </w:r>
      <w:r>
        <w:rPr>
          <w:lang w:eastAsia="en-AU"/>
        </w:rPr>
        <w:t>p</w:t>
      </w:r>
      <w:r w:rsidR="008E7846">
        <w:rPr>
          <w:lang w:eastAsia="en-AU"/>
        </w:rPr>
        <w:t>lan</w:t>
      </w:r>
      <w:bookmarkEnd w:id="168"/>
      <w:bookmarkEnd w:id="190"/>
    </w:p>
    <w:p w14:paraId="2672294D" w14:textId="2565E961" w:rsidR="005F3C2C" w:rsidRPr="005F3C2C" w:rsidRDefault="005F3C2C" w:rsidP="005F3C2C">
      <w:r w:rsidRPr="005F3C2C">
        <w:t xml:space="preserve">A number of recommendations for the RMP have been provided by the RMP evaluator and the sponsor should address these matters in the Pre-ACM Response and follow up where appropriate with the </w:t>
      </w:r>
      <w:r w:rsidR="00214786">
        <w:t>TGA</w:t>
      </w:r>
      <w:r w:rsidRPr="005F3C2C">
        <w:t>.</w:t>
      </w:r>
    </w:p>
    <w:p w14:paraId="04A7333C" w14:textId="77777777" w:rsidR="008E7846" w:rsidRDefault="00AA0ED0" w:rsidP="008E7846">
      <w:pPr>
        <w:pStyle w:val="Heading3"/>
      </w:pPr>
      <w:bookmarkStart w:id="191" w:name="_Toc247691531"/>
      <w:bookmarkStart w:id="192" w:name="_Toc314842515"/>
      <w:bookmarkStart w:id="193" w:name="_Toc8053837"/>
      <w:bookmarkStart w:id="194" w:name="_Toc196046505"/>
      <w:bookmarkStart w:id="195" w:name="_Toc196046949"/>
      <w:r>
        <w:t>Risk-benefit a</w:t>
      </w:r>
      <w:r w:rsidR="008E7846">
        <w:t>nalysis</w:t>
      </w:r>
      <w:bookmarkEnd w:id="191"/>
      <w:bookmarkEnd w:id="192"/>
      <w:bookmarkEnd w:id="193"/>
    </w:p>
    <w:p w14:paraId="1D654A7C" w14:textId="77777777" w:rsidR="00D23139" w:rsidRDefault="00214786" w:rsidP="00D23139">
      <w:pPr>
        <w:pStyle w:val="Heading4"/>
      </w:pPr>
      <w:r>
        <w:t>Delegate’s considerations</w:t>
      </w:r>
    </w:p>
    <w:p w14:paraId="51E727AD" w14:textId="51B6F951" w:rsidR="005D64FB" w:rsidRDefault="005F3C2C" w:rsidP="005F3C2C">
      <w:r w:rsidRPr="005F3C2C">
        <w:t>Advanced ovarian cancer is an incurable for which there are limited treatment options. Olaparib offers a plausible mechanism of action for delaying progression of disease in those with a BRCA mutation, which is the population for whom registration is sought. There is a lack of randomised controlled data in support of the proposed indication; however, the totality of the data supports there being efficacy in BRCA</w:t>
      </w:r>
      <w:r w:rsidR="000E5D0F">
        <w:t xml:space="preserve"> </w:t>
      </w:r>
      <w:r w:rsidRPr="005F3C2C">
        <w:t>mutated ovarian cancer patients. Additional information for both safety and efficacy will be provided from the SOLO-2 trial. There is some uncertainty about the treatment response rates and duration of response in those with somatic BRCA mutations compared with germline mutations and studies are planned to address this (SOLOIST). Overall the treatment was well tolerated with most side effects manageable</w:t>
      </w:r>
      <w:r w:rsidR="005D64FB">
        <w:t>.</w:t>
      </w:r>
    </w:p>
    <w:p w14:paraId="2BE9ED44" w14:textId="73877269" w:rsidR="005D64FB" w:rsidRDefault="005F3C2C" w:rsidP="005F3C2C">
      <w:r w:rsidRPr="005F3C2C">
        <w:t xml:space="preserve">There is a limited understanding of the pharmacokinetics and pharmacodynamics to provide specific information to prescribers about the benefit of dose reductions or delays </w:t>
      </w:r>
      <w:r w:rsidRPr="005F3C2C">
        <w:lastRenderedPageBreak/>
        <w:t>in managing these. There is wide inter-individual variability, and lesser but still clinically relevant intra</w:t>
      </w:r>
      <w:r w:rsidR="000E5D0F">
        <w:t xml:space="preserve"> </w:t>
      </w:r>
      <w:r w:rsidRPr="005F3C2C">
        <w:t>individual variability in the PK and PD data presented, which significantly limits the utility and generalisability of the data obtained. This may well limit the generalisability of any PK data from studies in those with renal or hepatic impairment. Given the degree of variability, it is anticipated that there would need to be large numbers of each patient group, with individual data collected serially over time, and correlated with clinical parameters. This is likely to be more informative of the benefit-risk in these populations than pharmacokinetic predictions based upon a single dose administered</w:t>
      </w:r>
      <w:r w:rsidR="005D64FB">
        <w:t>.</w:t>
      </w:r>
    </w:p>
    <w:p w14:paraId="4840263D" w14:textId="77777777" w:rsidR="005F3C2C" w:rsidRPr="005F3C2C" w:rsidRDefault="005F3C2C" w:rsidP="005F3C2C">
      <w:r w:rsidRPr="005F3C2C">
        <w:t xml:space="preserve">Serious adverse events include the development of MDS/AML and there is some uncertainty about the role of olaparib in the observed increase in cases in the clinical trials. It is plausible that an agent blocking DNA repair would increase the risk of deleterious mutations causing transformation to a malignant phenotype, especially during or </w:t>
      </w:r>
      <w:r w:rsidR="00214786">
        <w:t xml:space="preserve">following chemotherapy with DNA </w:t>
      </w:r>
      <w:r w:rsidRPr="005F3C2C">
        <w:t>damaging agents or radiation therapy. It is unclear whether the risk would increase with more lines of therapy prior to initiation of olaparib maintenance therapy or if this were re-introduced following relapse after first usage; thus, the optimal timing of olaparib usage has not been determined. Pharmacovigilance and further randomised studies will help clarify this, but given the seriousness of the disease under treatment, the risk is considered acceptable if patients are informed. The PI information is adequate in this regard.</w:t>
      </w:r>
    </w:p>
    <w:p w14:paraId="6007D883" w14:textId="77777777" w:rsidR="005F3C2C" w:rsidRPr="005F3C2C" w:rsidRDefault="005F3C2C" w:rsidP="005F3C2C">
      <w:r w:rsidRPr="005F3C2C">
        <w:t xml:space="preserve">There are currently no data on the use of olaparib as maintenance treatment for patients who are in response (complete or partial) following just one cycle of </w:t>
      </w:r>
      <w:r w:rsidR="007607D4">
        <w:t>platinum based</w:t>
      </w:r>
      <w:r w:rsidRPr="005F3C2C">
        <w:t xml:space="preserve"> chemotherapy, as the inclusion criteria for the pivotal trial required two prior treatments. The </w:t>
      </w:r>
      <w:r w:rsidR="00214786">
        <w:t>sponsor</w:t>
      </w:r>
      <w:r w:rsidRPr="005F3C2C">
        <w:t>’s current indication would allow introduction in an earlier line of treatment without any efficacy or safety data to support this usage; it is noted there</w:t>
      </w:r>
      <w:r w:rsidR="00214786">
        <w:t xml:space="preserve"> is a Phase III trial underway; SOLO-1</w:t>
      </w:r>
      <w:r w:rsidRPr="005F3C2C">
        <w:t xml:space="preserve"> with ClinicalTrials.gov identifier number NCT01844986, to assess the benefits and risks in this population, using the 30</w:t>
      </w:r>
      <w:r w:rsidR="003E2109">
        <w:t>0 mg</w:t>
      </w:r>
      <w:r w:rsidRPr="005F3C2C">
        <w:t xml:space="preserve"> tablet formulation given twice daily. Thus the Delegate proposes modification of the proposed indication to reflect the evidence currently presented, and on which the decision w</w:t>
      </w:r>
      <w:r w:rsidR="00214786">
        <w:t>as based. Results from SOLO-1</w:t>
      </w:r>
      <w:r w:rsidRPr="005F3C2C">
        <w:t xml:space="preserve"> may support an extension of the currently supported indication to use after first line chemotherapy in the future.</w:t>
      </w:r>
    </w:p>
    <w:p w14:paraId="2809F814" w14:textId="2E3D2C1E" w:rsidR="005D64FB" w:rsidRDefault="005F3C2C" w:rsidP="005F3C2C">
      <w:r w:rsidRPr="005F3C2C">
        <w:t xml:space="preserve">Both the </w:t>
      </w:r>
      <w:r w:rsidR="00214786">
        <w:t>sponsor</w:t>
      </w:r>
      <w:r w:rsidRPr="005F3C2C">
        <w:t>’s and the Delegate’s proposed indications are restricted already to a pre</w:t>
      </w:r>
      <w:r w:rsidR="000E5D0F">
        <w:noBreakHyphen/>
      </w:r>
      <w:r w:rsidRPr="005F3C2C">
        <w:t>specified subgroup of the original study population, that is, those with ovarian cancer associated with a BRCA mutation. This represents a group where a clinical benefit was identified, and the proposed mechanism of action is plausible. The small numbers in the clinical trials are consistent with the orphan designation of the drug, and there are confirmatory trials underway in this population, and in subsets of the target population (</w:t>
      </w:r>
      <w:r w:rsidR="00214786">
        <w:t>for example</w:t>
      </w:r>
      <w:r w:rsidRPr="005F3C2C">
        <w:t xml:space="preserve"> those with somatic BRCA mutations) to inform further the benefit-risk equation</w:t>
      </w:r>
      <w:r w:rsidR="005D64FB">
        <w:t>.</w:t>
      </w:r>
    </w:p>
    <w:p w14:paraId="217ECC9E" w14:textId="77777777" w:rsidR="005F3C2C" w:rsidRPr="00456765" w:rsidRDefault="005F3C2C" w:rsidP="005F3C2C">
      <w:r w:rsidRPr="005F3C2C">
        <w:t>Subject to incorporation of the proposed PI changes which provide more detailed information for prescribers, agreement to the proposed conditions of registration and subject to the TGA having no outstanding issues with the pharmaceutical chemistry, the Delegate considers there to be a positive benefit risk for the patient group described in the Delegate’s modified indication, based on unmet clinical need.</w:t>
      </w:r>
    </w:p>
    <w:p w14:paraId="187C8977" w14:textId="77777777" w:rsidR="00D23139" w:rsidRDefault="00D23139" w:rsidP="00D23139">
      <w:pPr>
        <w:pStyle w:val="Heading4"/>
      </w:pPr>
      <w:r w:rsidRPr="00D23139">
        <w:t>Proposed action</w:t>
      </w:r>
    </w:p>
    <w:p w14:paraId="7CB25951" w14:textId="77777777" w:rsidR="005F3C2C" w:rsidRPr="005F3C2C" w:rsidRDefault="00214786" w:rsidP="005F3C2C">
      <w:r>
        <w:t>The Delegate had</w:t>
      </w:r>
      <w:r w:rsidR="005F3C2C" w:rsidRPr="005F3C2C">
        <w:t xml:space="preserve"> no reason to say, at this time, that the application for olaparib should not be approved for the following modified indication:</w:t>
      </w:r>
    </w:p>
    <w:p w14:paraId="61197661" w14:textId="77777777" w:rsidR="00456765" w:rsidRPr="00331C5D" w:rsidRDefault="005F3C2C" w:rsidP="00331C5D">
      <w:pPr>
        <w:ind w:left="720"/>
        <w:rPr>
          <w:i/>
        </w:rPr>
      </w:pPr>
      <w:r w:rsidRPr="00331C5D">
        <w:rPr>
          <w:i/>
        </w:rPr>
        <w:t xml:space="preserve">Olaparib is indicated as monotherapy for the maintenance treatment of patients with platinum-sensitive relapsed BRCA-mutated (germline or somatic) high grade serous epithelial ovarian, fallopian tube or primary peritoneal cancer who are in response </w:t>
      </w:r>
      <w:r w:rsidRPr="00331C5D">
        <w:rPr>
          <w:i/>
        </w:rPr>
        <w:lastRenderedPageBreak/>
        <w:t xml:space="preserve">(complete response or partial response) after </w:t>
      </w:r>
      <w:r w:rsidR="007607D4">
        <w:rPr>
          <w:i/>
        </w:rPr>
        <w:t>platinum based</w:t>
      </w:r>
      <w:r w:rsidRPr="00331C5D">
        <w:rPr>
          <w:i/>
        </w:rPr>
        <w:t xml:space="preserve"> chemotherapy. Prior treatment must have included at least 2 courses of </w:t>
      </w:r>
      <w:r w:rsidR="007607D4">
        <w:rPr>
          <w:i/>
        </w:rPr>
        <w:t>platinum based</w:t>
      </w:r>
      <w:r w:rsidR="00214786">
        <w:rPr>
          <w:i/>
        </w:rPr>
        <w:t xml:space="preserve"> regimens.</w:t>
      </w:r>
    </w:p>
    <w:p w14:paraId="28DF4E1E" w14:textId="73307CBD" w:rsidR="005F3C2C" w:rsidRPr="005F3C2C" w:rsidRDefault="005F3C2C" w:rsidP="00331C5D">
      <w:pPr>
        <w:pStyle w:val="Heading5"/>
        <w:rPr>
          <w:rFonts w:eastAsia="MS Mincho"/>
        </w:rPr>
      </w:pPr>
      <w:r w:rsidRPr="005F3C2C">
        <w:rPr>
          <w:rFonts w:eastAsia="MS Mincho"/>
        </w:rPr>
        <w:t xml:space="preserve">Data </w:t>
      </w:r>
      <w:r w:rsidR="000E5D0F" w:rsidRPr="005F3C2C">
        <w:rPr>
          <w:rFonts w:eastAsia="MS Mincho"/>
        </w:rPr>
        <w:t>deficiencies/limitations</w:t>
      </w:r>
    </w:p>
    <w:p w14:paraId="19C49770" w14:textId="7BD24C0B" w:rsidR="005F3C2C" w:rsidRPr="005F3C2C" w:rsidRDefault="005F3C2C" w:rsidP="00A37F72">
      <w:pPr>
        <w:pStyle w:val="Numberbullet0"/>
        <w:numPr>
          <w:ilvl w:val="0"/>
          <w:numId w:val="10"/>
        </w:numPr>
      </w:pPr>
      <w:r w:rsidRPr="005F3C2C">
        <w:t>There are no random</w:t>
      </w:r>
      <w:r w:rsidR="00172769">
        <w:t>ise</w:t>
      </w:r>
      <w:r w:rsidRPr="005F3C2C">
        <w:t>d, controlled data in support of the proposed indication.</w:t>
      </w:r>
    </w:p>
    <w:p w14:paraId="25F2628E" w14:textId="4DBC3755" w:rsidR="005D64FB" w:rsidRDefault="005F3C2C" w:rsidP="00A37F72">
      <w:pPr>
        <w:pStyle w:val="Numberbullet0"/>
        <w:numPr>
          <w:ilvl w:val="0"/>
          <w:numId w:val="10"/>
        </w:numPr>
      </w:pPr>
      <w:r w:rsidRPr="005F3C2C">
        <w:t>There have been no studies reported for those with renal or hepatic impairment. The planned trials appear to be testing a single dose of 30</w:t>
      </w:r>
      <w:r w:rsidR="003E2109">
        <w:t>0 mg</w:t>
      </w:r>
      <w:r w:rsidR="00214786">
        <w:t>;</w:t>
      </w:r>
      <w:r w:rsidRPr="005F3C2C">
        <w:t xml:space="preserve"> given the wide inter</w:t>
      </w:r>
      <w:r w:rsidR="000E5D0F">
        <w:t> </w:t>
      </w:r>
      <w:r w:rsidRPr="005F3C2C">
        <w:t>individual variability in PK parameters, it is anticipated that there would need to be large numbers of patients and that clinical parameters may be more informative of the benefit-risk in these populations than predictions based upon dose administered. It is recommended therefore, that if no significant adverse events are reported in these limited studies, that such patients be included in clinical trials where efficacy and safety endpoints as well as PK and PD data are used to gather more meaningful information regarding the use of olaparib in such patients</w:t>
      </w:r>
      <w:r w:rsidR="005D64FB">
        <w:t>.</w:t>
      </w:r>
    </w:p>
    <w:p w14:paraId="5EBBA445" w14:textId="77777777" w:rsidR="005F3C2C" w:rsidRPr="005F3C2C" w:rsidRDefault="005F3C2C" w:rsidP="00A37F72">
      <w:pPr>
        <w:pStyle w:val="Numberbullet0"/>
        <w:numPr>
          <w:ilvl w:val="0"/>
          <w:numId w:val="10"/>
        </w:numPr>
      </w:pPr>
      <w:r w:rsidRPr="005F3C2C">
        <w:t>Given the failure of the population PK modelling, this would not be considered a suitable method of providing information, particularly for special populations.</w:t>
      </w:r>
    </w:p>
    <w:p w14:paraId="5F99DE3B" w14:textId="77777777" w:rsidR="005F3C2C" w:rsidRPr="005F3C2C" w:rsidRDefault="005F3C2C" w:rsidP="00A37F72">
      <w:pPr>
        <w:pStyle w:val="Numberbullet0"/>
        <w:numPr>
          <w:ilvl w:val="0"/>
          <w:numId w:val="10"/>
        </w:numPr>
      </w:pPr>
      <w:r w:rsidRPr="005F3C2C">
        <w:t>There are no data to support retreatment with olaparib as maintenance following progression on that treatment. This must be stated in the PI, and it is appropriate to include this in both the Clinical Trial section and the Dosage and Administration section.</w:t>
      </w:r>
    </w:p>
    <w:p w14:paraId="2CEF5E3E" w14:textId="77777777" w:rsidR="005F3C2C" w:rsidRPr="005F3C2C" w:rsidRDefault="005F3C2C" w:rsidP="00331C5D">
      <w:pPr>
        <w:pStyle w:val="Heading5"/>
        <w:rPr>
          <w:rFonts w:eastAsia="MS Mincho"/>
        </w:rPr>
      </w:pPr>
      <w:r w:rsidRPr="005F3C2C">
        <w:rPr>
          <w:rFonts w:eastAsia="MS Mincho"/>
        </w:rPr>
        <w:t xml:space="preserve">Questions for the </w:t>
      </w:r>
      <w:r w:rsidR="00214786">
        <w:rPr>
          <w:rFonts w:eastAsia="MS Mincho"/>
        </w:rPr>
        <w:t>sponsor</w:t>
      </w:r>
    </w:p>
    <w:p w14:paraId="75FF3E12" w14:textId="48A3A2F4" w:rsidR="005D64FB" w:rsidRDefault="005F3C2C" w:rsidP="00A37F72">
      <w:pPr>
        <w:pStyle w:val="Numberbullet0"/>
        <w:numPr>
          <w:ilvl w:val="0"/>
          <w:numId w:val="11"/>
        </w:numPr>
      </w:pPr>
      <w:r w:rsidRPr="005F3C2C">
        <w:t>Olaparib inhibited multidrug resistance protein 1 (MDR1) and clinical interactions through inhibition of biliary or GI tract efflux of MDR1 substrates are possible. Olaparib also inhibited hepatic uptake transporters (OATP1B1 and OCT1) and renal uptake transporters (OCT2, OAT3, MATE1 and MATE2K) in vitro suggesting that drug interactions with substrates of these transporter proteins (</w:t>
      </w:r>
      <w:r w:rsidR="00175320">
        <w:t>for example</w:t>
      </w:r>
      <w:r w:rsidRPr="005F3C2C">
        <w:t xml:space="preserve"> statins, metformin,</w:t>
      </w:r>
      <w:r w:rsidR="0002673B">
        <w:t xml:space="preserve"> or </w:t>
      </w:r>
      <w:r w:rsidRPr="005F3C2C">
        <w:t xml:space="preserve">creatinine) could be possible. Clinical studies to investigate the magnitude of such an interaction have not been performed. The </w:t>
      </w:r>
      <w:r w:rsidR="00214786">
        <w:t>sponsor</w:t>
      </w:r>
      <w:r w:rsidRPr="005F3C2C">
        <w:t xml:space="preserve"> is requested to state what trials are underway to investigate this further, when they are likely to be completed</w:t>
      </w:r>
      <w:r w:rsidR="005D64FB">
        <w:t>.</w:t>
      </w:r>
    </w:p>
    <w:p w14:paraId="5BFD38AA" w14:textId="77777777" w:rsidR="005F3C2C" w:rsidRPr="005F3C2C" w:rsidRDefault="005F3C2C" w:rsidP="00A37F72">
      <w:pPr>
        <w:pStyle w:val="Numberbullet0"/>
        <w:numPr>
          <w:ilvl w:val="0"/>
          <w:numId w:val="11"/>
        </w:numPr>
      </w:pPr>
      <w:r w:rsidRPr="005F3C2C">
        <w:t xml:space="preserve">The </w:t>
      </w:r>
      <w:r w:rsidR="00214786">
        <w:t>sponsor</w:t>
      </w:r>
      <w:r w:rsidRPr="005F3C2C">
        <w:t xml:space="preserve"> is requested to provide 95% confidence intervals for the median PFS in those with BRCA mutated tumours.</w:t>
      </w:r>
    </w:p>
    <w:p w14:paraId="1C73C2FA" w14:textId="77777777" w:rsidR="005F3C2C" w:rsidRPr="005F3C2C" w:rsidRDefault="005F3C2C" w:rsidP="00A37F72">
      <w:pPr>
        <w:pStyle w:val="Numberbullet0"/>
        <w:numPr>
          <w:ilvl w:val="0"/>
          <w:numId w:val="11"/>
        </w:numPr>
      </w:pPr>
      <w:r w:rsidRPr="005F3C2C">
        <w:t xml:space="preserve">The </w:t>
      </w:r>
      <w:r w:rsidR="00214786">
        <w:t>sponsor</w:t>
      </w:r>
      <w:r w:rsidRPr="005F3C2C">
        <w:t xml:space="preserve"> is requested to provide an update on when the randomised Phase III trial in these patients with </w:t>
      </w:r>
      <w:proofErr w:type="spellStart"/>
      <w:r w:rsidRPr="005F3C2C">
        <w:t>sBRCA</w:t>
      </w:r>
      <w:proofErr w:type="spellEnd"/>
      <w:r w:rsidRPr="005F3C2C">
        <w:t xml:space="preserve"> mutated ovarian cancer patients is planned and likely to be completed (Study SOLOIST).</w:t>
      </w:r>
    </w:p>
    <w:p w14:paraId="200BB5E8" w14:textId="48AF33C5" w:rsidR="00331C5D" w:rsidRDefault="00214786" w:rsidP="00331C5D">
      <w:pPr>
        <w:pStyle w:val="Heading5"/>
      </w:pPr>
      <w:r>
        <w:rPr>
          <w:rFonts w:eastAsia="MS Mincho"/>
        </w:rPr>
        <w:t>Conditions of registration</w:t>
      </w:r>
    </w:p>
    <w:p w14:paraId="7C4E4AE3" w14:textId="77777777" w:rsidR="005F3C2C" w:rsidRPr="005F3C2C" w:rsidRDefault="00331C5D" w:rsidP="005F3C2C">
      <w:r w:rsidRPr="005F3C2C">
        <w:t>The</w:t>
      </w:r>
      <w:r w:rsidR="005F3C2C" w:rsidRPr="005F3C2C">
        <w:t xml:space="preserve"> following are proposed as conditions of registration:</w:t>
      </w:r>
    </w:p>
    <w:p w14:paraId="629BDCDA" w14:textId="77777777" w:rsidR="005F3C2C" w:rsidRPr="005F3C2C" w:rsidRDefault="005F3C2C" w:rsidP="00A37F72">
      <w:pPr>
        <w:pStyle w:val="Numberbullet0"/>
        <w:numPr>
          <w:ilvl w:val="0"/>
          <w:numId w:val="12"/>
        </w:numPr>
      </w:pPr>
      <w:r w:rsidRPr="005F3C2C">
        <w:t>Implementation of the RMP (Version 5, dated 3 November 2014, data lock point 20 May 2014) with Australian Specific Annex (Version 1, dated 5 November 2015) and any future updates as a condition of registration.</w:t>
      </w:r>
    </w:p>
    <w:p w14:paraId="107470BD" w14:textId="77777777" w:rsidR="005F3C2C" w:rsidRPr="005F3C2C" w:rsidRDefault="005F3C2C" w:rsidP="00331C5D">
      <w:pPr>
        <w:pStyle w:val="Numberbullet0"/>
      </w:pPr>
      <w:r w:rsidRPr="005F3C2C">
        <w:t>Submission of the following clinical trial(s) as Category 1 submissions within 6 months of completion which were designed to evaluate:</w:t>
      </w:r>
    </w:p>
    <w:p w14:paraId="5E15B875" w14:textId="0461F133" w:rsidR="005F3C2C" w:rsidRPr="005F3C2C" w:rsidRDefault="005F3C2C" w:rsidP="00331C5D">
      <w:pPr>
        <w:pStyle w:val="Numberbullet2"/>
      </w:pPr>
      <w:r w:rsidRPr="005F3C2C">
        <w:t>the progression</w:t>
      </w:r>
      <w:r w:rsidR="000E5D0F">
        <w:t xml:space="preserve"> </w:t>
      </w:r>
      <w:r w:rsidRPr="005F3C2C">
        <w:t>free survival (PFS) and overall survival (OS) analyses with datasets from clinical trial D0818C00002</w:t>
      </w:r>
    </w:p>
    <w:p w14:paraId="02524A62" w14:textId="3C6EE2D5" w:rsidR="005F3C2C" w:rsidRPr="005F3C2C" w:rsidRDefault="005F3C2C" w:rsidP="00331C5D">
      <w:pPr>
        <w:pStyle w:val="Numberbullet2"/>
      </w:pPr>
      <w:r w:rsidRPr="005F3C2C">
        <w:t>the progression</w:t>
      </w:r>
      <w:r w:rsidR="000E5D0F">
        <w:t xml:space="preserve"> </w:t>
      </w:r>
      <w:r w:rsidRPr="005F3C2C">
        <w:t>free survival (PFS) and overall survival (OS) analyses with datasets from clinical trial D0816C00010</w:t>
      </w:r>
    </w:p>
    <w:p w14:paraId="29FC37F7" w14:textId="0ABD18D5" w:rsidR="005F3C2C" w:rsidRPr="005F3C2C" w:rsidRDefault="005F3C2C" w:rsidP="00331C5D">
      <w:pPr>
        <w:pStyle w:val="Numberbullet2"/>
      </w:pPr>
      <w:r w:rsidRPr="005F3C2C">
        <w:t xml:space="preserve">the </w:t>
      </w:r>
      <w:r w:rsidR="003E2109">
        <w:t>Phase</w:t>
      </w:r>
      <w:r w:rsidRPr="005F3C2C">
        <w:t xml:space="preserve"> III randomised double</w:t>
      </w:r>
      <w:r w:rsidR="000E5D0F">
        <w:t xml:space="preserve"> </w:t>
      </w:r>
      <w:r w:rsidRPr="005F3C2C">
        <w:t>blind placebo</w:t>
      </w:r>
      <w:r w:rsidR="000E5D0F">
        <w:t xml:space="preserve"> </w:t>
      </w:r>
      <w:r w:rsidRPr="005F3C2C">
        <w:t xml:space="preserve">controlled multicentre study to assess the efficacy of olaparib as maintenance monotherapy in patients with </w:t>
      </w:r>
      <w:proofErr w:type="spellStart"/>
      <w:r w:rsidRPr="005F3C2C">
        <w:lastRenderedPageBreak/>
        <w:t>BRCAm</w:t>
      </w:r>
      <w:proofErr w:type="spellEnd"/>
      <w:r w:rsidRPr="005F3C2C">
        <w:t xml:space="preserve"> platinum sensitive relapsed (PSR) high grade serous ovarian cancer (SOLO-2)</w:t>
      </w:r>
    </w:p>
    <w:p w14:paraId="4BFBD892" w14:textId="0D6845D1" w:rsidR="005D64FB" w:rsidRDefault="005F3C2C" w:rsidP="00331C5D">
      <w:pPr>
        <w:pStyle w:val="Numberbullet0"/>
      </w:pPr>
      <w:r w:rsidRPr="005F3C2C">
        <w:t xml:space="preserve">Collect and </w:t>
      </w:r>
      <w:r w:rsidR="00214786" w:rsidRPr="005F3C2C">
        <w:t>analyse</w:t>
      </w:r>
      <w:r w:rsidRPr="005F3C2C">
        <w:t xml:space="preserve"> all cases of acute myelogenous </w:t>
      </w:r>
      <w:r w:rsidR="00214786" w:rsidRPr="005F3C2C">
        <w:t>leukaemia</w:t>
      </w:r>
      <w:r w:rsidRPr="005F3C2C">
        <w:t xml:space="preserve">/ myelodysplastic syndrome identified in patients treated with </w:t>
      </w:r>
      <w:r w:rsidR="002B698E">
        <w:t>Lynparza</w:t>
      </w:r>
      <w:r w:rsidRPr="005F3C2C">
        <w:t xml:space="preserve"> (olaparib), on an annual basis. These interim reports should summar</w:t>
      </w:r>
      <w:r w:rsidR="00172769">
        <w:t>ise</w:t>
      </w:r>
      <w:r w:rsidRPr="005F3C2C">
        <w:t xml:space="preserve"> all cases identified up until that reporting date (new cases and those reported in previous years), and should include patients treated with </w:t>
      </w:r>
      <w:r w:rsidR="002B698E">
        <w:t>Lynparza</w:t>
      </w:r>
      <w:r w:rsidRPr="005F3C2C">
        <w:t xml:space="preserve"> on clinical trials and outside of clinical trials (including spontaneous safety reports) to provide an accurate assessment of </w:t>
      </w:r>
      <w:r w:rsidR="00214786">
        <w:t xml:space="preserve">the long </w:t>
      </w:r>
      <w:r w:rsidRPr="005F3C2C">
        <w:t xml:space="preserve">term incidence and risk of AML/MDS. These should be submitted to the TGA </w:t>
      </w:r>
      <w:r w:rsidR="000E5D0F">
        <w:t>p</w:t>
      </w:r>
      <w:r w:rsidR="000E5D0F" w:rsidRPr="005F3C2C">
        <w:t xml:space="preserve">harmacovigilance </w:t>
      </w:r>
      <w:r w:rsidRPr="005F3C2C">
        <w:t>branch</w:t>
      </w:r>
      <w:r w:rsidR="005D64FB">
        <w:t>.</w:t>
      </w:r>
    </w:p>
    <w:p w14:paraId="17B041B7" w14:textId="77777777" w:rsidR="005F3C2C" w:rsidRPr="005F3C2C" w:rsidRDefault="005F3C2C" w:rsidP="00331C5D">
      <w:pPr>
        <w:pStyle w:val="Numberbullet0"/>
      </w:pPr>
      <w:r w:rsidRPr="005F3C2C">
        <w:t xml:space="preserve">At the time of submission of the final reports to the FDA, the </w:t>
      </w:r>
      <w:r w:rsidR="00214786">
        <w:t>sponsor</w:t>
      </w:r>
      <w:r w:rsidRPr="005F3C2C">
        <w:t xml:space="preserve"> is required to submit to the TGA:</w:t>
      </w:r>
    </w:p>
    <w:p w14:paraId="5FD5D9CD" w14:textId="5EAF7C00" w:rsidR="005F3C2C" w:rsidRPr="005F3C2C" w:rsidRDefault="005F3C2C" w:rsidP="00331C5D">
      <w:pPr>
        <w:pStyle w:val="Numberbullet2"/>
      </w:pPr>
      <w:r w:rsidRPr="005F3C2C">
        <w:t xml:space="preserve">The same final report for Trial D0816C00006 entitled, </w:t>
      </w:r>
      <w:r w:rsidR="0002673B">
        <w:t>‘A</w:t>
      </w:r>
      <w:r w:rsidR="0002673B" w:rsidRPr="005F3C2C">
        <w:t>n open-label, non-random</w:t>
      </w:r>
      <w:r w:rsidR="0002673B">
        <w:t>ise</w:t>
      </w:r>
      <w:r w:rsidR="0002673B" w:rsidRPr="005F3C2C">
        <w:t>d, multicentr</w:t>
      </w:r>
      <w:r w:rsidR="0002673B">
        <w:t>e</w:t>
      </w:r>
      <w:r w:rsidR="0002673B" w:rsidRPr="005F3C2C">
        <w:t xml:space="preserve">, comparative, and </w:t>
      </w:r>
      <w:r w:rsidR="0002673B">
        <w:t>P</w:t>
      </w:r>
      <w:r w:rsidR="0002673B" w:rsidRPr="005F3C2C">
        <w:t xml:space="preserve">hase </w:t>
      </w:r>
      <w:r w:rsidR="0002673B">
        <w:t>I</w:t>
      </w:r>
      <w:r w:rsidR="0002673B" w:rsidRPr="005F3C2C">
        <w:t xml:space="preserve"> study of the pharmacokinetics, safety and tolerability of olaparib following a single oral 300</w:t>
      </w:r>
      <w:r w:rsidR="0002673B">
        <w:t> </w:t>
      </w:r>
      <w:r w:rsidR="0002673B" w:rsidRPr="005F3C2C">
        <w:t>mg dose to patients with advanced solid tumo</w:t>
      </w:r>
      <w:r w:rsidR="0002673B">
        <w:t>u</w:t>
      </w:r>
      <w:r w:rsidR="0002673B" w:rsidRPr="005F3C2C">
        <w:t>rs and normal renal function or renal impairment</w:t>
      </w:r>
      <w:r w:rsidR="0002673B">
        <w:t>’.</w:t>
      </w:r>
    </w:p>
    <w:p w14:paraId="2A1182E3" w14:textId="4D38BA7E" w:rsidR="005F3C2C" w:rsidRPr="00456765" w:rsidRDefault="0002673B" w:rsidP="00456765">
      <w:pPr>
        <w:pStyle w:val="Numberbullet2"/>
      </w:pPr>
      <w:r>
        <w:t>T</w:t>
      </w:r>
      <w:r w:rsidR="005F3C2C" w:rsidRPr="005F3C2C">
        <w:t xml:space="preserve">he same final report for </w:t>
      </w:r>
      <w:r>
        <w:t>T</w:t>
      </w:r>
      <w:r w:rsidR="005F3C2C" w:rsidRPr="005F3C2C">
        <w:t xml:space="preserve">rial D0816C00005 entitled, </w:t>
      </w:r>
      <w:r>
        <w:t>‘</w:t>
      </w:r>
      <w:r w:rsidR="005F3C2C" w:rsidRPr="005F3C2C">
        <w:t xml:space="preserve">An </w:t>
      </w:r>
      <w:r w:rsidRPr="005F3C2C">
        <w:t>open-label, non-random</w:t>
      </w:r>
      <w:r>
        <w:t>ise</w:t>
      </w:r>
      <w:r w:rsidRPr="005F3C2C">
        <w:t>d, multicentr</w:t>
      </w:r>
      <w:r>
        <w:t>e</w:t>
      </w:r>
      <w:r w:rsidRPr="005F3C2C">
        <w:t xml:space="preserve">, comparative, </w:t>
      </w:r>
      <w:r>
        <w:t>P</w:t>
      </w:r>
      <w:r w:rsidRPr="005F3C2C">
        <w:t xml:space="preserve">hase </w:t>
      </w:r>
      <w:r>
        <w:t>I</w:t>
      </w:r>
      <w:r w:rsidRPr="005F3C2C">
        <w:t xml:space="preserve"> study to determine the pharmacokinetics, safety and tolerability of olaparib following a single oral 300</w:t>
      </w:r>
      <w:r>
        <w:t> </w:t>
      </w:r>
      <w:r w:rsidRPr="005F3C2C">
        <w:t xml:space="preserve">mg dose to patients with advanced solid </w:t>
      </w:r>
      <w:r w:rsidR="00672809" w:rsidRPr="005F3C2C">
        <w:t>tumours</w:t>
      </w:r>
      <w:r w:rsidRPr="005F3C2C">
        <w:t xml:space="preserve"> and normal hepatic function or mild or moderate hepatic impairment.”</w:t>
      </w:r>
    </w:p>
    <w:p w14:paraId="7CD70A24" w14:textId="6DF93EA9" w:rsidR="00D23139" w:rsidRDefault="00D23139" w:rsidP="00D23139">
      <w:pPr>
        <w:pStyle w:val="Heading4"/>
      </w:pPr>
      <w:r w:rsidRPr="00D23139">
        <w:t>Request for ACM advice</w:t>
      </w:r>
    </w:p>
    <w:p w14:paraId="60ACF273" w14:textId="0DE5DACD" w:rsidR="00456765" w:rsidRPr="00456765" w:rsidRDefault="009E2F03" w:rsidP="00456765">
      <w:r>
        <w:rPr>
          <w:bCs/>
        </w:rPr>
        <w:t>The Delegate did not refer this application to the Advisory Committee on Medicines (ACM) for advice.</w:t>
      </w:r>
    </w:p>
    <w:p w14:paraId="65DE0ADB" w14:textId="77777777" w:rsidR="00D23139" w:rsidRDefault="00456765" w:rsidP="00D23139">
      <w:pPr>
        <w:pStyle w:val="Heading4"/>
      </w:pPr>
      <w:r>
        <w:t xml:space="preserve">Response from </w:t>
      </w:r>
      <w:r w:rsidR="00214786">
        <w:t>sponsor</w:t>
      </w:r>
    </w:p>
    <w:p w14:paraId="12534EAD" w14:textId="7672EDF1" w:rsidR="00177516" w:rsidRPr="00177516" w:rsidRDefault="00BC2377" w:rsidP="00177516">
      <w:r>
        <w:t>The sponsor</w:t>
      </w:r>
      <w:r w:rsidR="009E2F03">
        <w:t xml:space="preserve"> received the Delegate’s </w:t>
      </w:r>
      <w:r w:rsidR="000E5D0F">
        <w:t>overview</w:t>
      </w:r>
      <w:r w:rsidR="00177516" w:rsidRPr="00177516">
        <w:t xml:space="preserve"> for the above submission on </w:t>
      </w:r>
      <w:r w:rsidR="009E2F03">
        <w:t>15</w:t>
      </w:r>
      <w:r w:rsidR="000E5D0F">
        <w:t> </w:t>
      </w:r>
      <w:r w:rsidR="00177516" w:rsidRPr="00177516">
        <w:t>December 2015. Please see our r</w:t>
      </w:r>
      <w:r w:rsidR="00650B5C">
        <w:t>esponses to the requests below</w:t>
      </w:r>
      <w:r w:rsidR="000E5D0F">
        <w:t>.</w:t>
      </w:r>
    </w:p>
    <w:p w14:paraId="12488893" w14:textId="1641E756" w:rsidR="00543D50" w:rsidRPr="00543D50" w:rsidRDefault="00543D50" w:rsidP="00543D50">
      <w:pPr>
        <w:pStyle w:val="Heading5"/>
      </w:pPr>
      <w:r>
        <w:t>Question 1</w:t>
      </w:r>
    </w:p>
    <w:p w14:paraId="4927A81A" w14:textId="035B0EE1" w:rsidR="005D64FB" w:rsidRPr="00412134" w:rsidRDefault="00177516" w:rsidP="00412134">
      <w:pPr>
        <w:rPr>
          <w:b/>
          <w:i/>
        </w:rPr>
      </w:pPr>
      <w:r w:rsidRPr="00412134">
        <w:rPr>
          <w:b/>
          <w:i/>
        </w:rPr>
        <w:t>Olaparib inhibited multidrug resistance protein 1 (MDR1) and clinical interactions through inhibition of biliary or GI tract efflux of MDR1 substrates are possible. Olaparib also inhibited hepatic uptake transporters (OATP1B1 and OCT1) and renal uptake transporters (OCT2, OAT3, MATE1 and MATE2K) in vitro suggesting that drug interactions with substrates of these transporter proteins (</w:t>
      </w:r>
      <w:r w:rsidR="00175320" w:rsidRPr="00412134">
        <w:rPr>
          <w:b/>
          <w:i/>
        </w:rPr>
        <w:t>for example</w:t>
      </w:r>
      <w:r w:rsidRPr="00412134">
        <w:rPr>
          <w:b/>
          <w:i/>
        </w:rPr>
        <w:t xml:space="preserve"> statins, metformin,</w:t>
      </w:r>
      <w:r w:rsidR="00543D50" w:rsidRPr="00412134">
        <w:rPr>
          <w:b/>
          <w:i/>
        </w:rPr>
        <w:t xml:space="preserve"> or</w:t>
      </w:r>
      <w:r w:rsidRPr="00412134">
        <w:rPr>
          <w:b/>
          <w:i/>
        </w:rPr>
        <w:t xml:space="preserve"> creatinine) could be possible. Clinical studies to investigate the magnitude of such an interaction have not been performed. The </w:t>
      </w:r>
      <w:r w:rsidR="00214786" w:rsidRPr="00412134">
        <w:rPr>
          <w:b/>
          <w:i/>
        </w:rPr>
        <w:t>sponsor</w:t>
      </w:r>
      <w:r w:rsidRPr="00412134">
        <w:rPr>
          <w:b/>
          <w:i/>
        </w:rPr>
        <w:t xml:space="preserve"> is requested to state what trials are underway to investigate this further, when they are likely to be completed</w:t>
      </w:r>
      <w:r w:rsidR="005D64FB" w:rsidRPr="00412134">
        <w:rPr>
          <w:b/>
          <w:i/>
        </w:rPr>
        <w:t>.</w:t>
      </w:r>
    </w:p>
    <w:p w14:paraId="1168C20B" w14:textId="795492A6" w:rsidR="00177516" w:rsidRPr="00177516" w:rsidRDefault="009E2F03" w:rsidP="00412134">
      <w:pPr>
        <w:pStyle w:val="Heading6"/>
      </w:pPr>
      <w:r>
        <w:t>Sponsor r</w:t>
      </w:r>
      <w:r w:rsidR="00177516" w:rsidRPr="00177516">
        <w:t>esponse</w:t>
      </w:r>
    </w:p>
    <w:p w14:paraId="7AE8D63E" w14:textId="77777777" w:rsidR="00177516" w:rsidRDefault="00177516" w:rsidP="00177516">
      <w:r w:rsidRPr="00177516">
        <w:t>There are ongoing discussions regarding other studies, but currently there are no trials ongoing to investigate this further.</w:t>
      </w:r>
    </w:p>
    <w:p w14:paraId="57568F00" w14:textId="2EB8D4DC" w:rsidR="00543D50" w:rsidRPr="00177516" w:rsidRDefault="00543D50" w:rsidP="00412134">
      <w:pPr>
        <w:pStyle w:val="Heading5"/>
      </w:pPr>
      <w:r>
        <w:t>Question 2</w:t>
      </w:r>
    </w:p>
    <w:p w14:paraId="516FF5D8" w14:textId="77777777" w:rsidR="00177516" w:rsidRPr="00412134" w:rsidRDefault="00177516" w:rsidP="00412134">
      <w:pPr>
        <w:rPr>
          <w:b/>
          <w:i/>
        </w:rPr>
      </w:pPr>
      <w:r w:rsidRPr="00412134">
        <w:rPr>
          <w:b/>
          <w:i/>
        </w:rPr>
        <w:t xml:space="preserve">The </w:t>
      </w:r>
      <w:r w:rsidR="00214786" w:rsidRPr="00412134">
        <w:rPr>
          <w:b/>
          <w:i/>
        </w:rPr>
        <w:t>sponsor</w:t>
      </w:r>
      <w:r w:rsidRPr="00412134">
        <w:rPr>
          <w:b/>
          <w:i/>
        </w:rPr>
        <w:t xml:space="preserve"> is requested to provide 95% confidence intervals for the median PFS in those with BRCA mutated tumours.</w:t>
      </w:r>
    </w:p>
    <w:p w14:paraId="4F3739E8" w14:textId="3764B9A2" w:rsidR="00177516" w:rsidRPr="00412134" w:rsidRDefault="009E2F03" w:rsidP="00412134">
      <w:pPr>
        <w:keepNext/>
        <w:rPr>
          <w:i/>
        </w:rPr>
      </w:pPr>
      <w:r w:rsidRPr="00412134">
        <w:rPr>
          <w:i/>
        </w:rPr>
        <w:lastRenderedPageBreak/>
        <w:t>Sponsor r</w:t>
      </w:r>
      <w:r w:rsidR="00177516" w:rsidRPr="00412134">
        <w:rPr>
          <w:i/>
        </w:rPr>
        <w:t>espons</w:t>
      </w:r>
      <w:r w:rsidR="00543D50" w:rsidRPr="00412134">
        <w:rPr>
          <w:i/>
        </w:rPr>
        <w:t>e</w:t>
      </w:r>
    </w:p>
    <w:p w14:paraId="14B55C57" w14:textId="77777777" w:rsidR="00177516" w:rsidRPr="00177516" w:rsidRDefault="00177516" w:rsidP="00177516">
      <w:r w:rsidRPr="00177516">
        <w:t xml:space="preserve">Please refer to </w:t>
      </w:r>
      <w:r w:rsidR="009E2F03">
        <w:t>T</w:t>
      </w:r>
      <w:r w:rsidRPr="00177516">
        <w:t xml:space="preserve">able </w:t>
      </w:r>
      <w:r w:rsidR="00F03EBB">
        <w:t>21</w:t>
      </w:r>
      <w:r w:rsidRPr="00177516">
        <w:t xml:space="preserve"> which reports the interval as 8.3 – </w:t>
      </w:r>
      <w:r w:rsidR="00475D5E">
        <w:t>not calculated</w:t>
      </w:r>
      <w:r w:rsidR="00475D5E" w:rsidRPr="00177516">
        <w:t xml:space="preserve"> </w:t>
      </w:r>
      <w:r w:rsidR="00475D5E">
        <w:t>(</w:t>
      </w:r>
      <w:r w:rsidRPr="00177516">
        <w:t>NC</w:t>
      </w:r>
      <w:r w:rsidR="00475D5E">
        <w:t>)</w:t>
      </w:r>
      <w:r w:rsidRPr="00177516">
        <w:t xml:space="preserve"> for olaparib and 3.0 – 5.4 for placebo. ‘NC’ means that the number was not calculated as it was not reached at the time of data analysis.</w:t>
      </w:r>
    </w:p>
    <w:p w14:paraId="0CA42E08" w14:textId="5B815F4F" w:rsidR="00177516" w:rsidRPr="00177516" w:rsidRDefault="00177516" w:rsidP="00177516">
      <w:pPr>
        <w:pStyle w:val="TableTitle"/>
      </w:pPr>
      <w:r>
        <w:t xml:space="preserve">Table </w:t>
      </w:r>
      <w:r w:rsidR="00F03EBB">
        <w:t>21: Median and 95% CI (months) for PFS, TFST, TSST, OS and TDT</w:t>
      </w:r>
      <w:r w:rsidR="00543D50">
        <w:t>;</w:t>
      </w:r>
      <w:r w:rsidR="00F03EBB">
        <w:t xml:space="preserve"> Full </w:t>
      </w:r>
      <w:r w:rsidR="00543D50">
        <w:t xml:space="preserve">analysis set, </w:t>
      </w:r>
      <w:r w:rsidR="00F03EBB">
        <w:t>Study 19</w:t>
      </w:r>
    </w:p>
    <w:p w14:paraId="118693C5" w14:textId="77777777" w:rsidR="00177516" w:rsidRPr="00177516" w:rsidRDefault="00177516" w:rsidP="00177516">
      <w:r>
        <w:rPr>
          <w:noProof/>
          <w:lang w:eastAsia="en-AU"/>
        </w:rPr>
        <w:drawing>
          <wp:inline distT="0" distB="0" distL="0" distR="0" wp14:anchorId="37427D38" wp14:editId="0CCA9521">
            <wp:extent cx="5400040" cy="1668474"/>
            <wp:effectExtent l="0" t="0" r="0" b="8255"/>
            <wp:docPr id="1" name="Picture 1" descr="Table 21: Median and 95% CI (months) for PFS, TFST, TSST, OS and TDT Full Analysis Set Study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1668474"/>
                    </a:xfrm>
                    <a:prstGeom prst="rect">
                      <a:avLst/>
                    </a:prstGeom>
                  </pic:spPr>
                </pic:pic>
              </a:graphicData>
            </a:graphic>
          </wp:inline>
        </w:drawing>
      </w:r>
    </w:p>
    <w:p w14:paraId="21B15FC5" w14:textId="2CB3BAEB" w:rsidR="00543D50" w:rsidRDefault="00543D50" w:rsidP="00412134">
      <w:pPr>
        <w:pStyle w:val="Heading5"/>
      </w:pPr>
      <w:r>
        <w:t>Question 3</w:t>
      </w:r>
    </w:p>
    <w:p w14:paraId="72DF9C25" w14:textId="77777777" w:rsidR="005D64FB" w:rsidRPr="00412134" w:rsidRDefault="00177516" w:rsidP="00412134">
      <w:pPr>
        <w:rPr>
          <w:b/>
          <w:i/>
        </w:rPr>
      </w:pPr>
      <w:r w:rsidRPr="00412134">
        <w:rPr>
          <w:b/>
          <w:i/>
        </w:rPr>
        <w:t xml:space="preserve">The </w:t>
      </w:r>
      <w:r w:rsidR="00214786" w:rsidRPr="00412134">
        <w:rPr>
          <w:b/>
          <w:i/>
        </w:rPr>
        <w:t>sponsor</w:t>
      </w:r>
      <w:r w:rsidRPr="00412134">
        <w:rPr>
          <w:b/>
          <w:i/>
        </w:rPr>
        <w:t xml:space="preserve"> is requested to provide an update on when the randomised Phase III trial in these patients with </w:t>
      </w:r>
      <w:proofErr w:type="spellStart"/>
      <w:r w:rsidRPr="00412134">
        <w:rPr>
          <w:b/>
          <w:i/>
        </w:rPr>
        <w:t>sBRCA</w:t>
      </w:r>
      <w:proofErr w:type="spellEnd"/>
      <w:r w:rsidRPr="00412134">
        <w:rPr>
          <w:b/>
          <w:i/>
        </w:rPr>
        <w:t xml:space="preserve"> mutated ovarian cancer patients is planned and likely to be completed (Study SOLOIST)</w:t>
      </w:r>
      <w:r w:rsidR="005D64FB" w:rsidRPr="00412134">
        <w:rPr>
          <w:b/>
          <w:i/>
        </w:rPr>
        <w:t>.</w:t>
      </w:r>
    </w:p>
    <w:p w14:paraId="07761E66" w14:textId="0D323D35" w:rsidR="009E2F03" w:rsidRPr="009E2F03" w:rsidRDefault="009E2F03" w:rsidP="00412134">
      <w:pPr>
        <w:pStyle w:val="Heading6"/>
      </w:pPr>
      <w:r w:rsidRPr="009E2F03">
        <w:t>Sponsor response</w:t>
      </w:r>
    </w:p>
    <w:p w14:paraId="5978D258" w14:textId="79BD421E" w:rsidR="00177516" w:rsidRPr="00177516" w:rsidRDefault="00BC2377" w:rsidP="009E2F03">
      <w:r>
        <w:t>The sponsor</w:t>
      </w:r>
      <w:r w:rsidRPr="00177516">
        <w:t xml:space="preserve"> </w:t>
      </w:r>
      <w:r w:rsidR="00177516" w:rsidRPr="00177516">
        <w:t>would like to prov</w:t>
      </w:r>
      <w:r w:rsidR="005074AE">
        <w:t>ide an update on the requested S</w:t>
      </w:r>
      <w:r w:rsidR="00177516" w:rsidRPr="00177516">
        <w:t>tudy</w:t>
      </w:r>
      <w:r w:rsidR="0002673B">
        <w:t> </w:t>
      </w:r>
      <w:r w:rsidR="00177516" w:rsidRPr="00177516">
        <w:t>D0816C00009 (</w:t>
      </w:r>
      <w:proofErr w:type="spellStart"/>
      <w:r w:rsidR="00177516" w:rsidRPr="00177516">
        <w:t>SOLOiST</w:t>
      </w:r>
      <w:proofErr w:type="spellEnd"/>
      <w:r w:rsidR="0002673B">
        <w:t xml:space="preserve"> trial</w:t>
      </w:r>
      <w:r w:rsidR="00177516" w:rsidRPr="00177516">
        <w:t>).</w:t>
      </w:r>
      <w:r w:rsidR="005D64FB">
        <w:t xml:space="preserve"> </w:t>
      </w:r>
      <w:r w:rsidR="00177516" w:rsidRPr="00177516">
        <w:t>The current proposed fist subject in date is second quarter 2016, with the study report being avail</w:t>
      </w:r>
      <w:r w:rsidR="00650B5C">
        <w:t>able in the first quarter 2019.</w:t>
      </w:r>
    </w:p>
    <w:p w14:paraId="0B2A6904" w14:textId="77777777" w:rsidR="00177516" w:rsidRPr="00177516" w:rsidRDefault="00650B5C" w:rsidP="00650B5C">
      <w:pPr>
        <w:pStyle w:val="Heading5"/>
      </w:pPr>
      <w:r w:rsidRPr="00177516">
        <w:t>Conditions of registration</w:t>
      </w:r>
    </w:p>
    <w:p w14:paraId="750B7945" w14:textId="16596F0A" w:rsidR="00177516" w:rsidRPr="00177516" w:rsidRDefault="00BC2377" w:rsidP="00177516">
      <w:r>
        <w:t>The sponsor</w:t>
      </w:r>
      <w:r w:rsidR="00177516" w:rsidRPr="00177516">
        <w:t xml:space="preserve"> accepts the proposed conditions of registration. However we make the following requests regarding conditions 2a, 2c and condition 3</w:t>
      </w:r>
      <w:r w:rsidR="0002673B">
        <w:t>.</w:t>
      </w:r>
    </w:p>
    <w:p w14:paraId="54383C75" w14:textId="77777777" w:rsidR="00177516" w:rsidRPr="00650B5C" w:rsidRDefault="00177516" w:rsidP="00412134">
      <w:pPr>
        <w:pStyle w:val="Heading6"/>
      </w:pPr>
      <w:r w:rsidRPr="00650B5C">
        <w:t>Condition 2a</w:t>
      </w:r>
    </w:p>
    <w:p w14:paraId="0C744008" w14:textId="720A4E68" w:rsidR="00177516" w:rsidRPr="00177516" w:rsidRDefault="00177516" w:rsidP="00177516">
      <w:r w:rsidRPr="00177516">
        <w:t>Condition 2a refers to clinical trial D0818C00002.</w:t>
      </w:r>
      <w:r w:rsidR="005D64FB">
        <w:t xml:space="preserve"> </w:t>
      </w:r>
      <w:r w:rsidR="00BC2377">
        <w:t>The sponsor</w:t>
      </w:r>
      <w:r w:rsidRPr="00177516">
        <w:t xml:space="preserve"> has not conducted a trial with that code.</w:t>
      </w:r>
      <w:r w:rsidR="005D64FB">
        <w:t xml:space="preserve"> </w:t>
      </w:r>
      <w:r w:rsidRPr="00177516">
        <w:t>Reference to this trial was made in the FDA approval letter (attached for reference) but this is a typographical error.</w:t>
      </w:r>
      <w:r w:rsidR="005D43E1">
        <w:t xml:space="preserve"> </w:t>
      </w:r>
      <w:r w:rsidR="00BC2377">
        <w:t>The sponsor</w:t>
      </w:r>
      <w:r w:rsidRPr="00177516">
        <w:t xml:space="preserve"> is however conducting trial D0816C00002, which is the SOLO-2 study.</w:t>
      </w:r>
      <w:r w:rsidR="005D43E1">
        <w:t xml:space="preserve"> </w:t>
      </w:r>
      <w:r w:rsidRPr="00177516">
        <w:t>Thus it appears that Condition 2a and Condition 2c may refer to the same clinical trial and therefore one of the two conditions should be deleted.</w:t>
      </w:r>
    </w:p>
    <w:p w14:paraId="62C9191E" w14:textId="77777777" w:rsidR="00177516" w:rsidRPr="00650B5C" w:rsidRDefault="00177516" w:rsidP="00412134">
      <w:pPr>
        <w:pStyle w:val="Heading6"/>
      </w:pPr>
      <w:r w:rsidRPr="00650B5C">
        <w:t>Condition 2c</w:t>
      </w:r>
    </w:p>
    <w:p w14:paraId="57D5862A" w14:textId="03BC0A56" w:rsidR="00650B5C" w:rsidRPr="00650B5C" w:rsidRDefault="00650B5C" w:rsidP="00412134">
      <w:pPr>
        <w:pStyle w:val="ListBullet"/>
      </w:pPr>
      <w:r w:rsidRPr="00650B5C">
        <w:t xml:space="preserve">At this time it is unclear when the first </w:t>
      </w:r>
      <w:r w:rsidR="0002673B">
        <w:t>C</w:t>
      </w:r>
      <w:r w:rsidR="0002673B" w:rsidRPr="00650B5C">
        <w:t xml:space="preserve">ategory </w:t>
      </w:r>
      <w:r w:rsidRPr="00650B5C">
        <w:t xml:space="preserve">1 submission should be made for the SOLO-2 </w:t>
      </w:r>
      <w:r w:rsidR="0002673B">
        <w:t>tr</w:t>
      </w:r>
      <w:r w:rsidR="00412134">
        <w:t>i</w:t>
      </w:r>
      <w:r w:rsidR="0002673B">
        <w:t>al</w:t>
      </w:r>
      <w:r w:rsidR="0002673B" w:rsidRPr="00650B5C">
        <w:t xml:space="preserve"> </w:t>
      </w:r>
      <w:r w:rsidRPr="00650B5C">
        <w:t xml:space="preserve">given there is an interim PFS analysis in Q2/2016 and the final report with OS analysis in Q3 2019 (see dates in FDA approval letter). If the Delegate’s intention is that a category 1 submission be done with the SOLO-2 </w:t>
      </w:r>
      <w:r w:rsidR="0002673B">
        <w:t xml:space="preserve">trial </w:t>
      </w:r>
      <w:r w:rsidRPr="00650B5C">
        <w:t xml:space="preserve">interim PFS data, this has implications for ensuing </w:t>
      </w:r>
      <w:r w:rsidR="0002673B">
        <w:t>e</w:t>
      </w:r>
      <w:r w:rsidR="0002673B" w:rsidRPr="00650B5C">
        <w:t xml:space="preserve">xtension </w:t>
      </w:r>
      <w:r w:rsidRPr="00650B5C">
        <w:t xml:space="preserve">of </w:t>
      </w:r>
      <w:r w:rsidR="0002673B">
        <w:t>indication</w:t>
      </w:r>
      <w:r w:rsidRPr="00650B5C">
        <w:t xml:space="preserve"> </w:t>
      </w:r>
      <w:r w:rsidR="0002673B">
        <w:t xml:space="preserve">(EOI) </w:t>
      </w:r>
      <w:r w:rsidRPr="00650B5C">
        <w:t>submissions for advanced breast cancer (ABC) and first line ovarian cancer (1L OC).</w:t>
      </w:r>
    </w:p>
    <w:p w14:paraId="3588D32C" w14:textId="00FC64CF" w:rsidR="00650B5C" w:rsidRPr="00650B5C" w:rsidRDefault="00650B5C" w:rsidP="00412134">
      <w:pPr>
        <w:pStyle w:val="ListBullet2"/>
      </w:pPr>
      <w:r w:rsidRPr="00650B5C">
        <w:t xml:space="preserve">The SOLO-2 study is conducted with </w:t>
      </w:r>
      <w:r w:rsidR="002B698E">
        <w:t>Lynparza</w:t>
      </w:r>
      <w:r w:rsidRPr="00650B5C">
        <w:t xml:space="preserve"> tablets (not capsules) and thus a SOLO-2 submission will be a new product application as well as a Clinical Trials update. As studies for ABC (</w:t>
      </w:r>
      <w:r w:rsidR="0002673B">
        <w:t xml:space="preserve">Study </w:t>
      </w:r>
      <w:r w:rsidRPr="00650B5C">
        <w:t>OLYMPIAD) and 1L OC (</w:t>
      </w:r>
      <w:r w:rsidR="0002673B">
        <w:t xml:space="preserve">Study </w:t>
      </w:r>
      <w:r w:rsidRPr="00650B5C">
        <w:t xml:space="preserve">SOLO-1) are also to be conducted with the tablets, the </w:t>
      </w:r>
      <w:r w:rsidR="002B698E">
        <w:t>Lynparza</w:t>
      </w:r>
      <w:r w:rsidRPr="00650B5C">
        <w:t xml:space="preserve"> tablets (via the SOLO-2 submission) would have to be approved before EOI submissions could be started;</w:t>
      </w:r>
    </w:p>
    <w:p w14:paraId="5D1A17A0" w14:textId="6DB415F7" w:rsidR="00650B5C" w:rsidRPr="00650B5C" w:rsidRDefault="00650B5C" w:rsidP="00412134">
      <w:pPr>
        <w:pStyle w:val="ListBullet2"/>
      </w:pPr>
      <w:r w:rsidRPr="00650B5C">
        <w:lastRenderedPageBreak/>
        <w:t xml:space="preserve">Given current projected timings for completion of </w:t>
      </w:r>
      <w:r w:rsidR="0002673B">
        <w:t xml:space="preserve">Studies </w:t>
      </w:r>
      <w:r w:rsidRPr="00650B5C">
        <w:t>SOLO-2, OLYMPIAD and SOLO-1, delays to EOI submissions for ABC and 1L OC</w:t>
      </w:r>
      <w:r w:rsidR="009E2F03">
        <w:t xml:space="preserve"> would be in the vicinity of 6 to</w:t>
      </w:r>
      <w:r w:rsidRPr="00650B5C">
        <w:t xml:space="preserve"> 12 months, thus delaying availability of </w:t>
      </w:r>
      <w:r w:rsidR="002B698E">
        <w:t>Lynparza</w:t>
      </w:r>
      <w:r w:rsidRPr="00650B5C">
        <w:t xml:space="preserve"> for those patients (please note that this is an approximation as all studies concerned are event driven).</w:t>
      </w:r>
    </w:p>
    <w:p w14:paraId="4D092A65" w14:textId="751D1AC6" w:rsidR="00650B5C" w:rsidRPr="00650B5C" w:rsidRDefault="00BC2377" w:rsidP="00412134">
      <w:pPr>
        <w:pStyle w:val="ListBullet"/>
      </w:pPr>
      <w:r>
        <w:t>The sponsor</w:t>
      </w:r>
      <w:r w:rsidRPr="00650B5C">
        <w:t xml:space="preserve"> </w:t>
      </w:r>
      <w:r w:rsidR="00650B5C" w:rsidRPr="00650B5C">
        <w:t xml:space="preserve">understands the importance of the SOLO-2 study </w:t>
      </w:r>
      <w:r w:rsidR="009E2F03">
        <w:t>in confirming PFS seen in Study </w:t>
      </w:r>
      <w:r w:rsidR="00650B5C" w:rsidRPr="00650B5C">
        <w:t xml:space="preserve">19. With this in mind, but also taking into account the wish to make </w:t>
      </w:r>
      <w:r w:rsidR="002B698E">
        <w:t>Lynparza</w:t>
      </w:r>
      <w:r w:rsidR="00650B5C" w:rsidRPr="00650B5C">
        <w:t xml:space="preserve"> available to ABC and 1L OC patients as soon as possible, we propose to the Delegate that </w:t>
      </w:r>
      <w:r w:rsidR="0002673B">
        <w:t>the sponsor</w:t>
      </w:r>
      <w:r w:rsidR="0002673B" w:rsidRPr="00650B5C">
        <w:t xml:space="preserve"> </w:t>
      </w:r>
      <w:r w:rsidR="00650B5C" w:rsidRPr="00650B5C">
        <w:t>provides the SOLO-2 interim PFS analysis to the TGA at the same time that it is provided to the FDA but not as a category 1 application. On TGA review of the SOLO-2</w:t>
      </w:r>
      <w:r w:rsidR="0002673B">
        <w:t xml:space="preserve"> trial</w:t>
      </w:r>
      <w:r w:rsidR="00650B5C" w:rsidRPr="00650B5C">
        <w:t xml:space="preserve"> PFS data, we accept that a submission could be subsequently requested by the TGA and we would undertake such a submission if requested.</w:t>
      </w:r>
    </w:p>
    <w:p w14:paraId="73AC334A" w14:textId="5B371779" w:rsidR="00650B5C" w:rsidRPr="00650B5C" w:rsidRDefault="00650B5C" w:rsidP="00412134">
      <w:pPr>
        <w:pStyle w:val="ListBullet"/>
      </w:pPr>
      <w:r w:rsidRPr="00650B5C">
        <w:t xml:space="preserve">Alternatively, an allowance of 18 months instead of 6 months would be beneficial (this could be in addition to provision at the same time as FDA provision as in </w:t>
      </w:r>
      <w:r w:rsidR="009E2F03">
        <w:t>2</w:t>
      </w:r>
      <w:r w:rsidRPr="00650B5C">
        <w:t>.)</w:t>
      </w:r>
      <w:r w:rsidR="00BC2377">
        <w:t>.</w:t>
      </w:r>
    </w:p>
    <w:p w14:paraId="30388C7A" w14:textId="0018B902" w:rsidR="005D64FB" w:rsidRDefault="00650B5C" w:rsidP="00412134">
      <w:pPr>
        <w:pStyle w:val="ListBullet"/>
      </w:pPr>
      <w:r w:rsidRPr="00650B5C">
        <w:t xml:space="preserve">If the Delegate is agreeable to the proposal in </w:t>
      </w:r>
      <w:r w:rsidR="009E2F03">
        <w:t>2</w:t>
      </w:r>
      <w:r w:rsidRPr="00650B5C">
        <w:t xml:space="preserve"> and </w:t>
      </w:r>
      <w:r w:rsidR="009E2F03">
        <w:t>3</w:t>
      </w:r>
      <w:r w:rsidRPr="00650B5C">
        <w:t xml:space="preserve">, this would allow </w:t>
      </w:r>
      <w:r w:rsidR="00BC2377">
        <w:t>the sponsor</w:t>
      </w:r>
      <w:r w:rsidRPr="00650B5C">
        <w:t xml:space="preserve"> to submit </w:t>
      </w:r>
      <w:r w:rsidR="0002673B">
        <w:t xml:space="preserve">the </w:t>
      </w:r>
      <w:r w:rsidRPr="00650B5C">
        <w:t>SOLO-2</w:t>
      </w:r>
      <w:r w:rsidR="0002673B">
        <w:t xml:space="preserve"> trial</w:t>
      </w:r>
      <w:r w:rsidRPr="00650B5C">
        <w:t xml:space="preserve"> PFS interim analysis as part of a larger </w:t>
      </w:r>
      <w:r w:rsidR="0002673B">
        <w:t>C</w:t>
      </w:r>
      <w:r w:rsidR="0002673B" w:rsidRPr="00650B5C">
        <w:t xml:space="preserve">ategory </w:t>
      </w:r>
      <w:r w:rsidRPr="00650B5C">
        <w:t xml:space="preserve">1 </w:t>
      </w:r>
      <w:r w:rsidR="0002673B">
        <w:t>extension of indications</w:t>
      </w:r>
      <w:r w:rsidR="0002673B" w:rsidRPr="00650B5C">
        <w:t xml:space="preserve"> </w:t>
      </w:r>
      <w:r w:rsidRPr="00650B5C">
        <w:t xml:space="preserve">submission with </w:t>
      </w:r>
      <w:r w:rsidR="0002673B">
        <w:t xml:space="preserve">the </w:t>
      </w:r>
      <w:r w:rsidRPr="00650B5C">
        <w:t xml:space="preserve">OLYMPIAD and SOLO-1 </w:t>
      </w:r>
      <w:r w:rsidR="0002673B">
        <w:t xml:space="preserve">trials </w:t>
      </w:r>
      <w:r w:rsidRPr="00650B5C">
        <w:t>approx</w:t>
      </w:r>
      <w:r w:rsidR="009E2F03">
        <w:t xml:space="preserve">imately 6 to </w:t>
      </w:r>
      <w:r w:rsidRPr="00650B5C">
        <w:t>12 months later</w:t>
      </w:r>
      <w:r w:rsidR="005D64FB">
        <w:t>.</w:t>
      </w:r>
    </w:p>
    <w:p w14:paraId="0472020F" w14:textId="4F7E282A" w:rsidR="00650B5C" w:rsidRPr="00650B5C" w:rsidRDefault="00650B5C" w:rsidP="00412134">
      <w:pPr>
        <w:pStyle w:val="ListBullet"/>
      </w:pPr>
      <w:r w:rsidRPr="00650B5C">
        <w:t xml:space="preserve">If the Delegate’s intention was a </w:t>
      </w:r>
      <w:r w:rsidR="0002673B">
        <w:t>C</w:t>
      </w:r>
      <w:r w:rsidR="0002673B" w:rsidRPr="00650B5C">
        <w:t xml:space="preserve">ategory </w:t>
      </w:r>
      <w:r w:rsidRPr="00650B5C">
        <w:t>1 submission based on the SOLO-2</w:t>
      </w:r>
      <w:r w:rsidR="0002673B">
        <w:t xml:space="preserve"> trial</w:t>
      </w:r>
      <w:r w:rsidRPr="00650B5C">
        <w:t xml:space="preserve"> final report in Q3 2019, this will not create the difficulties outlined above.</w:t>
      </w:r>
    </w:p>
    <w:p w14:paraId="24C5B5D8" w14:textId="2F23CB5D" w:rsidR="00650B5C" w:rsidRPr="00650B5C" w:rsidRDefault="00650B5C" w:rsidP="00650B5C">
      <w:r w:rsidRPr="00650B5C">
        <w:t xml:space="preserve">Whilst </w:t>
      </w:r>
      <w:r w:rsidR="00BC2377">
        <w:t>the sponsor</w:t>
      </w:r>
      <w:r w:rsidR="00BC2377" w:rsidRPr="00650B5C">
        <w:t xml:space="preserve"> </w:t>
      </w:r>
      <w:r w:rsidRPr="00650B5C">
        <w:t>request</w:t>
      </w:r>
      <w:r w:rsidR="00BC2377">
        <w:t>s</w:t>
      </w:r>
      <w:r w:rsidRPr="00650B5C">
        <w:t xml:space="preserve"> the Delegate to consider our proposals outlined in </w:t>
      </w:r>
      <w:r w:rsidR="009E2F03">
        <w:t>2</w:t>
      </w:r>
      <w:r w:rsidRPr="00650B5C">
        <w:t xml:space="preserve"> and </w:t>
      </w:r>
      <w:r w:rsidR="009E2F03">
        <w:t>3</w:t>
      </w:r>
      <w:r w:rsidRPr="00650B5C">
        <w:t xml:space="preserve"> above, </w:t>
      </w:r>
      <w:r w:rsidR="00BC2377">
        <w:t>the sponsor</w:t>
      </w:r>
      <w:r w:rsidR="00BC2377" w:rsidRPr="00650B5C">
        <w:t xml:space="preserve"> </w:t>
      </w:r>
      <w:r w:rsidRPr="00650B5C">
        <w:t>does not wish to delay registration and so will accept a condition of registration that requests a category 1 application containing the SOLO-2</w:t>
      </w:r>
      <w:r w:rsidR="006B53D0">
        <w:t xml:space="preserve"> trial</w:t>
      </w:r>
      <w:r w:rsidRPr="00650B5C">
        <w:t xml:space="preserve"> interim PFS analysis within 6 months of its availability.</w:t>
      </w:r>
    </w:p>
    <w:p w14:paraId="4FDDE261" w14:textId="77777777" w:rsidR="00650B5C" w:rsidRPr="00650B5C" w:rsidRDefault="00650B5C" w:rsidP="00412134">
      <w:pPr>
        <w:pStyle w:val="Heading6"/>
      </w:pPr>
      <w:r w:rsidRPr="00650B5C">
        <w:t>Condition 3</w:t>
      </w:r>
    </w:p>
    <w:p w14:paraId="0E4284F3" w14:textId="0B3D8ACD" w:rsidR="00177516" w:rsidRPr="00650B5C" w:rsidRDefault="00650B5C" w:rsidP="00650B5C">
      <w:r w:rsidRPr="00650B5C">
        <w:t xml:space="preserve">Condition 3 reflects a similar condition applied in the USA (see attached FDA approval letter). The FDA condition is however time-limited such that the last report is due in 2020. </w:t>
      </w:r>
      <w:r w:rsidR="0002673B">
        <w:t>The sponsor</w:t>
      </w:r>
      <w:r w:rsidR="0002673B" w:rsidRPr="00650B5C">
        <w:t xml:space="preserve"> </w:t>
      </w:r>
      <w:r w:rsidRPr="00650B5C">
        <w:t>request</w:t>
      </w:r>
      <w:r w:rsidR="0002673B">
        <w:t>s</w:t>
      </w:r>
      <w:r w:rsidRPr="00650B5C">
        <w:t xml:space="preserve"> the same time limit for provision of data to the TGA.</w:t>
      </w:r>
    </w:p>
    <w:p w14:paraId="28F30C5C" w14:textId="77777777" w:rsidR="00177516" w:rsidRPr="00650B5C" w:rsidRDefault="00650B5C" w:rsidP="00650B5C">
      <w:pPr>
        <w:pStyle w:val="Heading5"/>
      </w:pPr>
      <w:r w:rsidRPr="00650B5C">
        <w:t>Product information and consumer medicine information</w:t>
      </w:r>
    </w:p>
    <w:p w14:paraId="0F2DF41A" w14:textId="5302900C" w:rsidR="00650B5C" w:rsidRPr="00650B5C" w:rsidRDefault="00BC2377" w:rsidP="00650B5C">
      <w:r>
        <w:t>The sponsor</w:t>
      </w:r>
      <w:r w:rsidR="00650B5C" w:rsidRPr="00650B5C">
        <w:t xml:space="preserve"> accepts the proposed PI and CMI changes with some minor editorial changes in the PI which can be seen in comments in the right hand margin of the annotated documents. A clean copy of each is also provided.</w:t>
      </w:r>
    </w:p>
    <w:p w14:paraId="70FA3247" w14:textId="4CC7E715" w:rsidR="00650B5C" w:rsidRPr="00650B5C" w:rsidRDefault="00BC2377" w:rsidP="00650B5C">
      <w:r>
        <w:t xml:space="preserve">The </w:t>
      </w:r>
      <w:r w:rsidR="00412134">
        <w:t xml:space="preserve">sponsor </w:t>
      </w:r>
      <w:r w:rsidR="00412134" w:rsidRPr="00650B5C">
        <w:t>proposes</w:t>
      </w:r>
      <w:r w:rsidR="00650B5C" w:rsidRPr="00650B5C">
        <w:t xml:space="preserve"> a more significant change in relation to the changes requested (addition of actual number of cases) for MDS/AML. The </w:t>
      </w:r>
      <w:r w:rsidR="00214786">
        <w:t>sponsor</w:t>
      </w:r>
      <w:r w:rsidR="00650B5C" w:rsidRPr="00650B5C">
        <w:t xml:space="preserve"> proposes the following text instead:</w:t>
      </w:r>
    </w:p>
    <w:p w14:paraId="4967CDC5" w14:textId="77777777" w:rsidR="00650B5C" w:rsidRPr="00412134" w:rsidRDefault="00650B5C" w:rsidP="00650B5C">
      <w:pPr>
        <w:ind w:left="720"/>
        <w:rPr>
          <w:i/>
        </w:rPr>
      </w:pPr>
      <w:r w:rsidRPr="00412134">
        <w:rPr>
          <w:i/>
        </w:rPr>
        <w:t xml:space="preserve">Myelodysplastic syndrome/Acute Myeloid Leukaemia (MDS/AML) </w:t>
      </w:r>
      <w:proofErr w:type="gramStart"/>
      <w:r w:rsidRPr="00412134">
        <w:rPr>
          <w:i/>
        </w:rPr>
        <w:t>have</w:t>
      </w:r>
      <w:proofErr w:type="gramEnd"/>
      <w:r w:rsidRPr="00412134">
        <w:rPr>
          <w:i/>
        </w:rPr>
        <w:t xml:space="preserve"> been reported in a small number of patients (</w:t>
      </w:r>
      <w:r w:rsidR="002B698E" w:rsidRPr="00412134">
        <w:rPr>
          <w:i/>
        </w:rPr>
        <w:t xml:space="preserve">&lt; </w:t>
      </w:r>
      <w:r w:rsidRPr="00412134">
        <w:rPr>
          <w:i/>
        </w:rPr>
        <w:t xml:space="preserve">1%) and the majority of reports have been fatal. The reports were typical of secondary MDS/cancer therapy-related AML. The duration of therapy with olaparib in patients who developed secondary MDS/AML varied from </w:t>
      </w:r>
      <w:r w:rsidR="002B698E" w:rsidRPr="00412134">
        <w:rPr>
          <w:i/>
        </w:rPr>
        <w:t xml:space="preserve">&lt; </w:t>
      </w:r>
      <w:r w:rsidRPr="00412134">
        <w:rPr>
          <w:i/>
        </w:rPr>
        <w:t>6 months to &gt;</w:t>
      </w:r>
      <w:r w:rsidR="009E2F03" w:rsidRPr="00412134">
        <w:rPr>
          <w:i/>
        </w:rPr>
        <w:t xml:space="preserve"> </w:t>
      </w:r>
      <w:r w:rsidRPr="00412134">
        <w:rPr>
          <w:i/>
        </w:rPr>
        <w:t>2 years. The majority of reports were in patients with a germline BRCA mutation.</w:t>
      </w:r>
    </w:p>
    <w:p w14:paraId="2E4DE1B3" w14:textId="2BF8FC3A" w:rsidR="00650B5C" w:rsidRPr="00650B5C" w:rsidRDefault="00BC2377" w:rsidP="00650B5C">
      <w:r>
        <w:t>The sponsor</w:t>
      </w:r>
      <w:r w:rsidR="00650B5C" w:rsidRPr="00650B5C">
        <w:t xml:space="preserve"> consider</w:t>
      </w:r>
      <w:r>
        <w:t>s</w:t>
      </w:r>
      <w:r w:rsidR="00650B5C" w:rsidRPr="00650B5C">
        <w:t xml:space="preserve"> it more appropriate to give a percentage figure rather than an actual number of cases (22) because the actual number of cases is constantly changing as more data accrue in ongoing studies. The percentage figure (</w:t>
      </w:r>
      <w:r w:rsidR="002B698E">
        <w:t xml:space="preserve">&lt; </w:t>
      </w:r>
      <w:r w:rsidR="00650B5C" w:rsidRPr="00650B5C">
        <w:t xml:space="preserve">1%) importantly gives the proportion of patients affected (providing better context) and secondly may also remain an accurate approximation as data accrue, thus potentially removing the need for updates should there be a significant change as data accrue. The percentage affected is reported </w:t>
      </w:r>
      <w:r w:rsidR="009E2F03">
        <w:t>in</w:t>
      </w:r>
      <w:r w:rsidR="00650B5C" w:rsidRPr="00650B5C">
        <w:t xml:space="preserve"> Summary of Clinical Safety (provided) as 0.7%, however, reporting of this exact figure is also not preferred as the exact figure may also change as data accrue. Other changes in the </w:t>
      </w:r>
      <w:r w:rsidR="00650B5C" w:rsidRPr="00650B5C">
        <w:lastRenderedPageBreak/>
        <w:t>paragraph include using ‘majority’ instead of ‘most’ and again the avoidance of using absolute numbers in the final sentence.</w:t>
      </w:r>
    </w:p>
    <w:p w14:paraId="7CD84F6A" w14:textId="09F1109E" w:rsidR="00650B5C" w:rsidRPr="006B53D0" w:rsidRDefault="00BC2377" w:rsidP="00650B5C">
      <w:r>
        <w:t>The sponsor</w:t>
      </w:r>
      <w:r w:rsidR="00650B5C" w:rsidRPr="00650B5C">
        <w:t xml:space="preserve"> also note</w:t>
      </w:r>
      <w:r>
        <w:t>s</w:t>
      </w:r>
      <w:r w:rsidR="00650B5C" w:rsidRPr="00650B5C">
        <w:t xml:space="preserve"> to the Delegate that the </w:t>
      </w:r>
      <w:r w:rsidR="009E2F03">
        <w:t>n</w:t>
      </w:r>
      <w:r w:rsidR="00650B5C" w:rsidRPr="00650B5C">
        <w:t>onclinical PI changes were all incorporated in our PI provided with our response, except fo</w:t>
      </w:r>
      <w:r w:rsidR="009E2F03">
        <w:t xml:space="preserve">r the change to the value </w:t>
      </w:r>
      <w:r w:rsidR="009E2F03" w:rsidRPr="006B53D0">
        <w:t xml:space="preserve">of </w:t>
      </w:r>
      <w:r w:rsidR="009E2F03" w:rsidRPr="00412134">
        <w:t xml:space="preserve">in </w:t>
      </w:r>
      <w:r w:rsidR="00650B5C" w:rsidRPr="00412134">
        <w:t>vitro</w:t>
      </w:r>
      <w:r w:rsidR="00650B5C" w:rsidRPr="006B53D0">
        <w:t xml:space="preserve"> protein binding which we have now accepted as ~</w:t>
      </w:r>
      <w:r w:rsidR="009E2F03" w:rsidRPr="006B53D0">
        <w:t xml:space="preserve"> 90%</w:t>
      </w:r>
      <w:r w:rsidR="00650B5C" w:rsidRPr="006B53D0">
        <w:t>.</w:t>
      </w:r>
    </w:p>
    <w:p w14:paraId="116B88FA" w14:textId="77777777" w:rsidR="00177516" w:rsidRPr="00650B5C" w:rsidRDefault="00650B5C" w:rsidP="00650B5C">
      <w:r w:rsidRPr="00650B5C">
        <w:t>Annotated and clean copies of the PI and CMI are provided.</w:t>
      </w:r>
    </w:p>
    <w:p w14:paraId="65728ED9" w14:textId="77777777" w:rsidR="008E7846" w:rsidRDefault="008E7846" w:rsidP="008E7846">
      <w:pPr>
        <w:pStyle w:val="Heading4"/>
      </w:pPr>
      <w:r>
        <w:t>Advisory Committee Considerations</w:t>
      </w:r>
    </w:p>
    <w:p w14:paraId="76DF053A" w14:textId="0017452F" w:rsidR="00456765" w:rsidRPr="00A322B3" w:rsidRDefault="00456765" w:rsidP="00456765">
      <w:r>
        <w:rPr>
          <w:bCs/>
        </w:rPr>
        <w:t>The Delegate did not refer this application to the Advisory Committee on Medicines (ACM) for advice.</w:t>
      </w:r>
    </w:p>
    <w:p w14:paraId="64D87F93" w14:textId="3AE33AA2" w:rsidR="00456765" w:rsidRDefault="005F3C2C" w:rsidP="005F3C2C">
      <w:pPr>
        <w:pStyle w:val="Heading4"/>
      </w:pPr>
      <w:r>
        <w:t xml:space="preserve">Delegate review of </w:t>
      </w:r>
      <w:r w:rsidR="00214786">
        <w:t>sponsor</w:t>
      </w:r>
      <w:r>
        <w:t xml:space="preserve">’s response to </w:t>
      </w:r>
      <w:r w:rsidR="003A69DF">
        <w:t>d</w:t>
      </w:r>
      <w:r>
        <w:t xml:space="preserve">elegate’s </w:t>
      </w:r>
      <w:r w:rsidR="009E2F03">
        <w:t>o</w:t>
      </w:r>
      <w:r>
        <w:t>verview</w:t>
      </w:r>
    </w:p>
    <w:p w14:paraId="60A30DD5" w14:textId="1AC9651F" w:rsidR="005D64FB" w:rsidRDefault="005F3C2C" w:rsidP="005F3C2C">
      <w:r w:rsidRPr="005F3C2C">
        <w:t xml:space="preserve">After further consideration of the conditions of registration, </w:t>
      </w:r>
      <w:r w:rsidR="009E2F03">
        <w:t>the Delegate</w:t>
      </w:r>
      <w:r w:rsidRPr="005F3C2C">
        <w:t xml:space="preserve"> propose</w:t>
      </w:r>
      <w:r w:rsidR="009E2F03">
        <w:t>d</w:t>
      </w:r>
      <w:r w:rsidRPr="005F3C2C">
        <w:t xml:space="preserve"> to remove submission of the interim results for PFS and OS from </w:t>
      </w:r>
      <w:r w:rsidR="006B53D0">
        <w:t>Study/Trial </w:t>
      </w:r>
      <w:r w:rsidRPr="005F3C2C">
        <w:t>DO816C00010 as this is a different use of olaparib, more suited as the basis for an extension of indication in the future if positive. It does not, per se, inform regarding the proposed usage, and any safety information generated would be notified to the TGA under the general requirement to do so</w:t>
      </w:r>
      <w:r w:rsidR="005D64FB">
        <w:t>.</w:t>
      </w:r>
    </w:p>
    <w:p w14:paraId="6A567FA4" w14:textId="18B24301" w:rsidR="005F3C2C" w:rsidRPr="005F3C2C" w:rsidRDefault="009E2F03" w:rsidP="005F3C2C">
      <w:r>
        <w:t xml:space="preserve">The Delegate noted </w:t>
      </w:r>
      <w:r w:rsidR="005F3C2C" w:rsidRPr="005F3C2C">
        <w:t xml:space="preserve">the CSR for </w:t>
      </w:r>
      <w:r w:rsidR="006B53D0">
        <w:t xml:space="preserve">Study </w:t>
      </w:r>
      <w:r w:rsidR="005F3C2C" w:rsidRPr="005F3C2C">
        <w:t>D0816C00009 (</w:t>
      </w:r>
      <w:proofErr w:type="spellStart"/>
      <w:r w:rsidR="005F3C2C" w:rsidRPr="005F3C2C">
        <w:t>SOLOiST</w:t>
      </w:r>
      <w:proofErr w:type="spellEnd"/>
      <w:r w:rsidR="005F3C2C" w:rsidRPr="005F3C2C">
        <w:t>) clinical trial is likely to be ready in the first quarter of 2019. Given the relevance of this to the proposed usage, submission of this for evaluation as a Category 1 submission for evaluation is important and is a condition of registration. It would be acceptable to submit this at the same time as provided to the EMA. The SOLO-2</w:t>
      </w:r>
      <w:r w:rsidR="006B53D0">
        <w:t xml:space="preserve"> trial</w:t>
      </w:r>
      <w:r w:rsidR="005F3C2C" w:rsidRPr="005F3C2C">
        <w:t xml:space="preserve"> updates (interim and final) are considered key to support the proposed usage and thus submission of both as a Category 1 submission for evaluation is a condition of registration (</w:t>
      </w:r>
      <w:r>
        <w:t>The Delegate</w:t>
      </w:r>
      <w:r w:rsidR="005F3C2C" w:rsidRPr="005F3C2C">
        <w:t xml:space="preserve"> removed the duplication in the Conditions of Registration).</w:t>
      </w:r>
    </w:p>
    <w:p w14:paraId="136B9990" w14:textId="49CB5B57" w:rsidR="005F3C2C" w:rsidRPr="005F3C2C" w:rsidRDefault="009E2F03" w:rsidP="005F3C2C">
      <w:r>
        <w:t xml:space="preserve">The Delegate </w:t>
      </w:r>
      <w:r w:rsidR="005F3C2C" w:rsidRPr="005F3C2C">
        <w:t xml:space="preserve">reviewed the </w:t>
      </w:r>
      <w:r>
        <w:t>second round</w:t>
      </w:r>
      <w:r w:rsidR="005F3C2C" w:rsidRPr="005F3C2C">
        <w:t xml:space="preserve"> </w:t>
      </w:r>
      <w:r>
        <w:t>quality r</w:t>
      </w:r>
      <w:r w:rsidR="005F3C2C" w:rsidRPr="005F3C2C">
        <w:t>eport, and note</w:t>
      </w:r>
      <w:r w:rsidR="006B53D0">
        <w:t>d</w:t>
      </w:r>
      <w:r w:rsidR="005F3C2C" w:rsidRPr="005F3C2C">
        <w:t xml:space="preserve"> the concern that the levels of </w:t>
      </w:r>
      <w:proofErr w:type="spellStart"/>
      <w:r w:rsidR="005F3C2C" w:rsidRPr="005F3C2C">
        <w:t>olaparib</w:t>
      </w:r>
      <w:proofErr w:type="spellEnd"/>
      <w:r w:rsidR="005F3C2C" w:rsidRPr="005F3C2C">
        <w:t xml:space="preserve"> </w:t>
      </w:r>
      <w:proofErr w:type="spellStart"/>
      <w:r w:rsidR="005F3C2C" w:rsidRPr="005F3C2C">
        <w:t>hydroxymethyl</w:t>
      </w:r>
      <w:proofErr w:type="spellEnd"/>
      <w:r w:rsidR="005F3C2C" w:rsidRPr="005F3C2C">
        <w:t xml:space="preserve"> increase with storage, particularly in conditions of high temperature and humidity; and that these were not toxicologically qualified. Given these conditions are particularly relevant to the Australian </w:t>
      </w:r>
      <w:proofErr w:type="gramStart"/>
      <w:r w:rsidR="005F3C2C" w:rsidRPr="005F3C2C">
        <w:t>climate,</w:t>
      </w:r>
      <w:proofErr w:type="gramEnd"/>
      <w:r w:rsidR="005F3C2C" w:rsidRPr="005F3C2C">
        <w:t xml:space="preserve"> this should be addressed when the new tablet formulation is submitted, particularly if the proposed usage is for maintenance treatment at an earlier stage. Given the currently proposed usage is for the treatment of an advanced malignancy, albeit as maintenance with a potentially long duration, after discussion with the nonclinical and pharmaceutical chemistry </w:t>
      </w:r>
      <w:r w:rsidRPr="005F3C2C">
        <w:t>evaluators</w:t>
      </w:r>
      <w:r w:rsidR="005F3C2C" w:rsidRPr="005F3C2C">
        <w:t xml:space="preserve"> agree that this is not considered of sufficient concern to delay registration.</w:t>
      </w:r>
    </w:p>
    <w:p w14:paraId="21EEDAC4" w14:textId="77777777" w:rsidR="008E7846" w:rsidRPr="002E238E" w:rsidRDefault="008E7846" w:rsidP="008E7846">
      <w:pPr>
        <w:pStyle w:val="Heading3"/>
      </w:pPr>
      <w:bookmarkStart w:id="196" w:name="_Toc247691532"/>
      <w:bookmarkStart w:id="197" w:name="_Toc314842516"/>
      <w:bookmarkStart w:id="198" w:name="_Toc8053838"/>
      <w:bookmarkEnd w:id="129"/>
      <w:bookmarkEnd w:id="194"/>
      <w:bookmarkEnd w:id="195"/>
      <w:r>
        <w:t>Outcome</w:t>
      </w:r>
      <w:bookmarkEnd w:id="196"/>
      <w:bookmarkEnd w:id="197"/>
      <w:bookmarkEnd w:id="198"/>
    </w:p>
    <w:p w14:paraId="634B668B" w14:textId="10CBE19A" w:rsidR="00D23139" w:rsidRPr="00D23139" w:rsidRDefault="00D23139" w:rsidP="00D23139">
      <w:bookmarkStart w:id="199" w:name="_Toc247691533"/>
      <w:bookmarkStart w:id="200" w:name="_Toc314842517"/>
      <w:r w:rsidRPr="00D23139">
        <w:t xml:space="preserve">Based on a review of quality, safety and efficacy, </w:t>
      </w:r>
      <w:r w:rsidR="006B53D0">
        <w:t xml:space="preserve">the </w:t>
      </w:r>
      <w:r w:rsidRPr="00D23139">
        <w:t xml:space="preserve">TGA approved the registration of </w:t>
      </w:r>
      <w:proofErr w:type="spellStart"/>
      <w:r w:rsidR="00570669">
        <w:t>Lynparaza</w:t>
      </w:r>
      <w:proofErr w:type="spellEnd"/>
      <w:r w:rsidR="00570669">
        <w:t xml:space="preserve"> </w:t>
      </w:r>
      <w:proofErr w:type="spellStart"/>
      <w:r w:rsidR="00570669">
        <w:t>olaparib</w:t>
      </w:r>
      <w:proofErr w:type="spellEnd"/>
      <w:r w:rsidR="00570669">
        <w:t xml:space="preserve"> 50 mg capsule </w:t>
      </w:r>
      <w:r w:rsidRPr="00D23139">
        <w:t xml:space="preserve">for </w:t>
      </w:r>
      <w:r w:rsidR="00570669">
        <w:t>oral administration</w:t>
      </w:r>
      <w:r w:rsidRPr="00D23139">
        <w:t>, indicated for:</w:t>
      </w:r>
    </w:p>
    <w:p w14:paraId="5EA9DE6D" w14:textId="77777777" w:rsidR="00D23139" w:rsidRPr="00D23139" w:rsidRDefault="00570669" w:rsidP="00570669">
      <w:pPr>
        <w:ind w:left="720"/>
      </w:pPr>
      <w:r w:rsidRPr="008903A9">
        <w:rPr>
          <w:i/>
        </w:rPr>
        <w:t xml:space="preserve">Olaparib is indicated as monotherapy for the maintenance treatment of patients with platinum sensitive relapsed BRCA-mutated (germline or somatic) high grade serous epithelial ovarian, fallopian tube or primary peritoneal cancer who are in response (complete response or partial response) after </w:t>
      </w:r>
      <w:r w:rsidR="007607D4">
        <w:rPr>
          <w:i/>
        </w:rPr>
        <w:t>platinum based</w:t>
      </w:r>
      <w:r w:rsidRPr="008903A9">
        <w:rPr>
          <w:i/>
        </w:rPr>
        <w:t xml:space="preserve"> chemotherapy. Prior treatment must have included at least 2 courses of </w:t>
      </w:r>
      <w:r w:rsidR="007607D4">
        <w:rPr>
          <w:i/>
        </w:rPr>
        <w:t>platinum based</w:t>
      </w:r>
      <w:r w:rsidRPr="008903A9">
        <w:rPr>
          <w:i/>
        </w:rPr>
        <w:t xml:space="preserve"> regimens.</w:t>
      </w:r>
    </w:p>
    <w:p w14:paraId="35C6E612" w14:textId="77777777" w:rsidR="00D23139" w:rsidRDefault="00D23139" w:rsidP="00D23139">
      <w:pPr>
        <w:pStyle w:val="Heading4"/>
      </w:pPr>
      <w:r w:rsidRPr="00D23139">
        <w:lastRenderedPageBreak/>
        <w:t>Specific conditions of registration applying to these goods</w:t>
      </w:r>
    </w:p>
    <w:p w14:paraId="2A751EA7" w14:textId="197BF9F1" w:rsidR="008903A9" w:rsidRDefault="008903A9" w:rsidP="008903A9">
      <w:pPr>
        <w:pStyle w:val="ListBullet"/>
      </w:pPr>
      <w:r w:rsidRPr="008903A9">
        <w:t xml:space="preserve">The </w:t>
      </w:r>
      <w:r w:rsidR="002B698E">
        <w:t>Lynparza</w:t>
      </w:r>
      <w:r w:rsidRPr="008903A9">
        <w:t xml:space="preserve"> RMP (Version 5, dated 3 November 2014, data</w:t>
      </w:r>
      <w:r>
        <w:t xml:space="preserve"> </w:t>
      </w:r>
      <w:r w:rsidRPr="008903A9">
        <w:t>lock point 20 May</w:t>
      </w:r>
      <w:r>
        <w:t xml:space="preserve"> </w:t>
      </w:r>
      <w:r w:rsidRPr="008903A9">
        <w:t xml:space="preserve">2014) </w:t>
      </w:r>
      <w:r>
        <w:t>with Australian Specific Annex (V</w:t>
      </w:r>
      <w:r w:rsidRPr="008903A9">
        <w:t>ersio</w:t>
      </w:r>
      <w:r>
        <w:t xml:space="preserve">n </w:t>
      </w:r>
      <w:r w:rsidR="006B53D0">
        <w:t>1</w:t>
      </w:r>
      <w:r>
        <w:t xml:space="preserve">, dated 5 November 2015) and </w:t>
      </w:r>
      <w:r w:rsidRPr="008903A9">
        <w:t>any future updates, as agreed with the TGA will be implemented in Australia.</w:t>
      </w:r>
    </w:p>
    <w:p w14:paraId="6A25A589" w14:textId="0AB36F74" w:rsidR="008903A9" w:rsidRDefault="008903A9" w:rsidP="008903A9">
      <w:pPr>
        <w:pStyle w:val="ListBullet"/>
      </w:pPr>
      <w:r w:rsidRPr="008903A9">
        <w:t xml:space="preserve">Submission of the following clinical trial(s) as Category </w:t>
      </w:r>
      <w:r w:rsidR="006B53D0">
        <w:t>1</w:t>
      </w:r>
      <w:r w:rsidRPr="008903A9">
        <w:t xml:space="preserve"> submissions within 6</w:t>
      </w:r>
      <w:r w:rsidR="006B53D0">
        <w:t> </w:t>
      </w:r>
      <w:r w:rsidRPr="008903A9">
        <w:t>months of completion which were designed to evaluate:</w:t>
      </w:r>
    </w:p>
    <w:p w14:paraId="414C73CD" w14:textId="3F3F64D3" w:rsidR="008903A9" w:rsidRPr="008903A9" w:rsidRDefault="008903A9" w:rsidP="008903A9">
      <w:pPr>
        <w:pStyle w:val="ListBullet2"/>
      </w:pPr>
      <w:r w:rsidRPr="008903A9">
        <w:t>the interim progression-free survival (PFS) and overall survival (OS) analyses</w:t>
      </w:r>
      <w:r>
        <w:t xml:space="preserve"> </w:t>
      </w:r>
      <w:r w:rsidRPr="008903A9">
        <w:t xml:space="preserve">with datasets from the </w:t>
      </w:r>
      <w:r w:rsidR="003E2109">
        <w:t>Phase</w:t>
      </w:r>
      <w:r w:rsidRPr="008903A9">
        <w:t xml:space="preserve"> </w:t>
      </w:r>
      <w:r w:rsidR="00F4675C">
        <w:t>I</w:t>
      </w:r>
      <w:r w:rsidRPr="008903A9">
        <w:t>/</w:t>
      </w:r>
      <w:r w:rsidR="00F4675C">
        <w:t>II</w:t>
      </w:r>
      <w:r w:rsidRPr="008903A9">
        <w:t xml:space="preserve"> randomised </w:t>
      </w:r>
      <w:r>
        <w:t>double</w:t>
      </w:r>
      <w:r w:rsidR="00172769">
        <w:t xml:space="preserve"> </w:t>
      </w:r>
      <w:r>
        <w:t>blind placebo</w:t>
      </w:r>
      <w:r w:rsidR="00172769">
        <w:t xml:space="preserve"> </w:t>
      </w:r>
      <w:r>
        <w:t xml:space="preserve">controlled </w:t>
      </w:r>
      <w:r w:rsidRPr="008903A9">
        <w:t>multicentre study to assess the effi</w:t>
      </w:r>
      <w:r>
        <w:t xml:space="preserve">cacy of o1aparib as maintenance </w:t>
      </w:r>
      <w:r w:rsidRPr="008903A9">
        <w:t xml:space="preserve">monotherapy in patients with </w:t>
      </w:r>
      <w:proofErr w:type="spellStart"/>
      <w:r w:rsidRPr="008903A9">
        <w:t>BRCAm</w:t>
      </w:r>
      <w:proofErr w:type="spellEnd"/>
      <w:r w:rsidRPr="008903A9">
        <w:t xml:space="preserve"> platinu</w:t>
      </w:r>
      <w:r>
        <w:t xml:space="preserve">m sensitive relapsed (PSR) high </w:t>
      </w:r>
      <w:r w:rsidRPr="008903A9">
        <w:t>grade serous ovarian cancer (</w:t>
      </w:r>
      <w:r w:rsidR="006B53D0">
        <w:t xml:space="preserve">Study </w:t>
      </w:r>
      <w:r w:rsidRPr="008903A9">
        <w:t>SOLO-2</w:t>
      </w:r>
      <w:r w:rsidR="006B53D0">
        <w:t>/SOLO-2 trial</w:t>
      </w:r>
      <w:r w:rsidRPr="008903A9">
        <w:t>)</w:t>
      </w:r>
    </w:p>
    <w:p w14:paraId="2D03630E" w14:textId="3CA70669" w:rsidR="008903A9" w:rsidRDefault="008903A9" w:rsidP="008903A9">
      <w:pPr>
        <w:pStyle w:val="ListBullet2"/>
      </w:pPr>
      <w:r w:rsidRPr="008903A9">
        <w:t xml:space="preserve">the results of the </w:t>
      </w:r>
      <w:r w:rsidR="003E2109">
        <w:t>Phase</w:t>
      </w:r>
      <w:r w:rsidRPr="008903A9">
        <w:t xml:space="preserve"> IV, open lab</w:t>
      </w:r>
      <w:r>
        <w:t xml:space="preserve">el, single arm, non-randomised, </w:t>
      </w:r>
      <w:r w:rsidRPr="008903A9">
        <w:t>multicentre study (</w:t>
      </w:r>
      <w:r w:rsidR="006B53D0">
        <w:t>St</w:t>
      </w:r>
      <w:r w:rsidR="00412134">
        <w:t>u</w:t>
      </w:r>
      <w:r w:rsidR="006B53D0">
        <w:t>dy ‘</w:t>
      </w:r>
      <w:proofErr w:type="spellStart"/>
      <w:r w:rsidR="006B53D0">
        <w:t>SOLOiST</w:t>
      </w:r>
      <w:proofErr w:type="spellEnd"/>
      <w:r w:rsidR="006B53D0">
        <w:t>’</w:t>
      </w:r>
      <w:r w:rsidRPr="008903A9">
        <w:t>) in patients w</w:t>
      </w:r>
      <w:r>
        <w:t xml:space="preserve">ith relapsed platinum-sensitive </w:t>
      </w:r>
      <w:r w:rsidRPr="008903A9">
        <w:t>ovarian cancer who are in complete or part</w:t>
      </w:r>
      <w:r>
        <w:t xml:space="preserve">ial response following platinum </w:t>
      </w:r>
      <w:r w:rsidRPr="008903A9">
        <w:t xml:space="preserve">based chemotherapy and who carry loss </w:t>
      </w:r>
      <w:r>
        <w:t xml:space="preserve">of function germline or somatic </w:t>
      </w:r>
      <w:r w:rsidRPr="008903A9">
        <w:t>BRCA mutation(s)</w:t>
      </w:r>
      <w:r w:rsidR="00172769">
        <w:t>.</w:t>
      </w:r>
    </w:p>
    <w:p w14:paraId="75FBD2EB" w14:textId="4B46874E" w:rsidR="008903A9" w:rsidRDefault="008903A9" w:rsidP="008903A9">
      <w:pPr>
        <w:pStyle w:val="ListBullet"/>
      </w:pPr>
      <w:r w:rsidRPr="008903A9">
        <w:t xml:space="preserve">Collect and </w:t>
      </w:r>
      <w:r w:rsidR="00172769" w:rsidRPr="008903A9">
        <w:t>analyse</w:t>
      </w:r>
      <w:r w:rsidRPr="008903A9">
        <w:t xml:space="preserve"> all cases of acute myelogenous </w:t>
      </w:r>
      <w:r w:rsidR="00172769" w:rsidRPr="008903A9">
        <w:t>leukaemia</w:t>
      </w:r>
      <w:r w:rsidRPr="008903A9">
        <w:t>/ myelodysplastic</w:t>
      </w:r>
      <w:r>
        <w:t xml:space="preserve"> </w:t>
      </w:r>
      <w:r w:rsidRPr="008903A9">
        <w:t xml:space="preserve">syndrome identified in patients treated with </w:t>
      </w:r>
      <w:r w:rsidR="002B698E">
        <w:t>Lynparza</w:t>
      </w:r>
      <w:r w:rsidRPr="008903A9">
        <w:t xml:space="preserve"> </w:t>
      </w:r>
      <w:r>
        <w:t>(o</w:t>
      </w:r>
      <w:r w:rsidR="006B53D0">
        <w:t>l</w:t>
      </w:r>
      <w:r>
        <w:t xml:space="preserve">aparib), on an annual basis. </w:t>
      </w:r>
      <w:r w:rsidRPr="008903A9">
        <w:t>These five annual interim reports (commencing December</w:t>
      </w:r>
      <w:r>
        <w:t xml:space="preserve"> 2015 with a final sixth report </w:t>
      </w:r>
      <w:r w:rsidRPr="008903A9">
        <w:t xml:space="preserve">due in </w:t>
      </w:r>
      <w:r w:rsidR="00172769">
        <w:t>J</w:t>
      </w:r>
      <w:r w:rsidR="00172769" w:rsidRPr="008903A9">
        <w:t xml:space="preserve">une </w:t>
      </w:r>
      <w:r w:rsidRPr="008903A9">
        <w:t>2020) should summar</w:t>
      </w:r>
      <w:r w:rsidR="00172769">
        <w:t>ise</w:t>
      </w:r>
      <w:r w:rsidRPr="008903A9">
        <w:t xml:space="preserve"> all cases identified up</w:t>
      </w:r>
      <w:r>
        <w:t xml:space="preserve"> until that reporting date (new </w:t>
      </w:r>
      <w:r w:rsidRPr="008903A9">
        <w:t>cases and those reported in previous years), and shoul</w:t>
      </w:r>
      <w:r>
        <w:t xml:space="preserve">d include patients treated with </w:t>
      </w:r>
      <w:r w:rsidR="002B698E">
        <w:t>Lynparza</w:t>
      </w:r>
      <w:r w:rsidRPr="008903A9">
        <w:t xml:space="preserve"> on clinical trials and outside of clinical trial</w:t>
      </w:r>
      <w:r>
        <w:t xml:space="preserve">s (including spontaneous safety </w:t>
      </w:r>
      <w:r w:rsidRPr="008903A9">
        <w:t xml:space="preserve">reports) to provide an accurate assessment of the </w:t>
      </w:r>
      <w:r>
        <w:t xml:space="preserve">long-term incidence and risk of </w:t>
      </w:r>
      <w:r w:rsidRPr="008903A9">
        <w:t>AML/MDS. These should be submitted to the TGA Pharmacovigilance branch.</w:t>
      </w:r>
    </w:p>
    <w:p w14:paraId="58D78279" w14:textId="6BC19DB7" w:rsidR="008903A9" w:rsidRDefault="008903A9" w:rsidP="00570669">
      <w:pPr>
        <w:pStyle w:val="ListBullet"/>
      </w:pPr>
      <w:r w:rsidRPr="008903A9">
        <w:t xml:space="preserve">At the time of submission of the final reports to the FDA, the </w:t>
      </w:r>
      <w:r w:rsidR="00214786">
        <w:t>sponsor</w:t>
      </w:r>
      <w:r w:rsidRPr="008903A9">
        <w:t xml:space="preserve"> is required to</w:t>
      </w:r>
      <w:r w:rsidR="00570669">
        <w:t xml:space="preserve"> </w:t>
      </w:r>
      <w:r w:rsidRPr="008903A9">
        <w:t xml:space="preserve">submit to the TGA for evaluation as Category </w:t>
      </w:r>
      <w:r w:rsidR="006B53D0">
        <w:t>1</w:t>
      </w:r>
      <w:r w:rsidRPr="008903A9">
        <w:t xml:space="preserve"> submissions:</w:t>
      </w:r>
    </w:p>
    <w:p w14:paraId="5EB53498" w14:textId="5CC22438" w:rsidR="00570669" w:rsidRDefault="00570669" w:rsidP="00570669">
      <w:pPr>
        <w:pStyle w:val="ListBullet2"/>
      </w:pPr>
      <w:r w:rsidRPr="00570669">
        <w:t>The same final report for Trial D</w:t>
      </w:r>
      <w:r w:rsidR="006B53D0">
        <w:t>O-</w:t>
      </w:r>
      <w:r w:rsidRPr="00570669">
        <w:t xml:space="preserve">816C00006 entitled, </w:t>
      </w:r>
      <w:r w:rsidR="006B53D0">
        <w:t>‘</w:t>
      </w:r>
      <w:r w:rsidR="006B53D0" w:rsidRPr="00570669">
        <w:t>an open-label,</w:t>
      </w:r>
      <w:r w:rsidR="006B53D0">
        <w:t xml:space="preserve"> </w:t>
      </w:r>
      <w:r w:rsidR="006B53D0" w:rsidRPr="00570669">
        <w:t>non-random</w:t>
      </w:r>
      <w:r w:rsidR="006B53D0">
        <w:t>ise</w:t>
      </w:r>
      <w:r w:rsidR="006B53D0" w:rsidRPr="00570669">
        <w:t>d, multicent</w:t>
      </w:r>
      <w:r w:rsidR="006B53D0">
        <w:t>re</w:t>
      </w:r>
      <w:r w:rsidR="006B53D0" w:rsidRPr="00570669">
        <w:t>, compar</w:t>
      </w:r>
      <w:r w:rsidR="006B53D0">
        <w:t xml:space="preserve">ative, and Phase I study of the </w:t>
      </w:r>
      <w:r w:rsidR="006B53D0" w:rsidRPr="00570669">
        <w:t>pharmacokinetics, safety and to</w:t>
      </w:r>
      <w:r w:rsidR="00412134">
        <w:t>l</w:t>
      </w:r>
      <w:r w:rsidR="006B53D0" w:rsidRPr="00570669">
        <w:t xml:space="preserve">erability of </w:t>
      </w:r>
      <w:r w:rsidR="006B53D0">
        <w:t>ol</w:t>
      </w:r>
      <w:r w:rsidR="006B53D0" w:rsidRPr="00570669">
        <w:t>aparib following a single</w:t>
      </w:r>
      <w:r w:rsidR="006B53D0">
        <w:t xml:space="preserve"> </w:t>
      </w:r>
      <w:r w:rsidR="006B53D0" w:rsidRPr="00570669">
        <w:t>oral</w:t>
      </w:r>
      <w:r w:rsidR="006B53D0">
        <w:t xml:space="preserve"> </w:t>
      </w:r>
      <w:r w:rsidR="006B53D0" w:rsidRPr="00570669">
        <w:t>300</w:t>
      </w:r>
      <w:r w:rsidR="006B53D0">
        <w:t> </w:t>
      </w:r>
      <w:r>
        <w:t>m</w:t>
      </w:r>
      <w:r w:rsidRPr="00570669">
        <w:t xml:space="preserve">g </w:t>
      </w:r>
      <w:r w:rsidR="006B53D0">
        <w:t>d</w:t>
      </w:r>
      <w:r w:rsidRPr="00570669">
        <w:t xml:space="preserve">ose to </w:t>
      </w:r>
      <w:r w:rsidR="006B53D0">
        <w:t>p</w:t>
      </w:r>
      <w:r w:rsidRPr="00570669">
        <w:t xml:space="preserve">atients with </w:t>
      </w:r>
      <w:r w:rsidR="006B53D0">
        <w:t>a</w:t>
      </w:r>
      <w:r>
        <w:t xml:space="preserve">dvanced </w:t>
      </w:r>
      <w:r w:rsidR="006B53D0">
        <w:t>solid t</w:t>
      </w:r>
      <w:r>
        <w:t>umo</w:t>
      </w:r>
      <w:r w:rsidR="00412134">
        <w:t>u</w:t>
      </w:r>
      <w:r>
        <w:t xml:space="preserve">rs and </w:t>
      </w:r>
      <w:r w:rsidR="006B53D0">
        <w:t>normal r</w:t>
      </w:r>
      <w:r w:rsidR="006B53D0" w:rsidRPr="00570669">
        <w:t>ena</w:t>
      </w:r>
      <w:r w:rsidR="006B53D0">
        <w:t>l f</w:t>
      </w:r>
      <w:r>
        <w:t xml:space="preserve">unction or </w:t>
      </w:r>
      <w:r w:rsidR="006B53D0">
        <w:t>r</w:t>
      </w:r>
      <w:r>
        <w:t xml:space="preserve">enal </w:t>
      </w:r>
      <w:r w:rsidR="006B53D0">
        <w:t>i</w:t>
      </w:r>
      <w:r>
        <w:t>mpairment</w:t>
      </w:r>
      <w:r w:rsidR="006B53D0">
        <w:t>’.</w:t>
      </w:r>
    </w:p>
    <w:p w14:paraId="68AFA6D9" w14:textId="561CD1FB" w:rsidR="00570669" w:rsidRPr="00570669" w:rsidRDefault="00570669" w:rsidP="00570669">
      <w:pPr>
        <w:pStyle w:val="ListBullet2"/>
      </w:pPr>
      <w:r w:rsidRPr="00570669">
        <w:t xml:space="preserve">the same final report for </w:t>
      </w:r>
      <w:r w:rsidR="006B53D0">
        <w:t>T</w:t>
      </w:r>
      <w:r w:rsidRPr="00570669">
        <w:t>rial D</w:t>
      </w:r>
      <w:r w:rsidR="006B53D0">
        <w:t>O-</w:t>
      </w:r>
      <w:r w:rsidRPr="00570669">
        <w:t>816C00005 entitled</w:t>
      </w:r>
      <w:r>
        <w:t xml:space="preserve"> </w:t>
      </w:r>
      <w:r w:rsidR="006B53D0">
        <w:t>‘</w:t>
      </w:r>
      <w:r>
        <w:t xml:space="preserve">An </w:t>
      </w:r>
      <w:r w:rsidR="006B53D0">
        <w:t xml:space="preserve">open-label, nonrandomised, </w:t>
      </w:r>
      <w:r w:rsidR="006B53D0" w:rsidRPr="00570669">
        <w:t>multicentre, comparative,</w:t>
      </w:r>
      <w:r w:rsidR="006B53D0">
        <w:t xml:space="preserve"> phase </w:t>
      </w:r>
      <w:proofErr w:type="spellStart"/>
      <w:r w:rsidR="006B53D0">
        <w:t>i</w:t>
      </w:r>
      <w:proofErr w:type="spellEnd"/>
      <w:r w:rsidR="006B53D0">
        <w:t xml:space="preserve"> study to determine the </w:t>
      </w:r>
      <w:r w:rsidR="006B53D0" w:rsidRPr="00570669">
        <w:t>pharmacokinetics, safety and tolerability</w:t>
      </w:r>
      <w:r w:rsidR="006B53D0">
        <w:t xml:space="preserve"> of olaparib following a single </w:t>
      </w:r>
      <w:r w:rsidR="006B53D0" w:rsidRPr="00570669">
        <w:t>oral</w:t>
      </w:r>
      <w:r w:rsidR="006B53D0">
        <w:t xml:space="preserve"> </w:t>
      </w:r>
      <w:r w:rsidR="006B53D0" w:rsidRPr="00570669">
        <w:t xml:space="preserve">300 </w:t>
      </w:r>
      <w:r w:rsidR="006B53D0">
        <w:t>mg</w:t>
      </w:r>
      <w:r w:rsidR="006B53D0" w:rsidRPr="00570669">
        <w:t xml:space="preserve"> dose to patients with a</w:t>
      </w:r>
      <w:r w:rsidR="006B53D0">
        <w:t>dvanced solid tumours and normal he</w:t>
      </w:r>
      <w:r w:rsidR="006B53D0" w:rsidRPr="00570669">
        <w:t>patic function or mild or moderate hepatic impairment</w:t>
      </w:r>
      <w:r w:rsidR="006B53D0">
        <w:t>’</w:t>
      </w:r>
      <w:r w:rsidR="006B53D0" w:rsidRPr="00570669">
        <w:t>.</w:t>
      </w:r>
    </w:p>
    <w:p w14:paraId="35A0C7CC" w14:textId="77777777" w:rsidR="008E7846" w:rsidRDefault="00A80B5B" w:rsidP="00D23139">
      <w:pPr>
        <w:pStyle w:val="Heading2"/>
      </w:pPr>
      <w:bookmarkStart w:id="201" w:name="_Toc8053839"/>
      <w:proofErr w:type="gramStart"/>
      <w:r>
        <w:t>Attachment 1.</w:t>
      </w:r>
      <w:proofErr w:type="gramEnd"/>
      <w:r>
        <w:t xml:space="preserve"> </w:t>
      </w:r>
      <w:r w:rsidR="008E7846">
        <w:t xml:space="preserve">Product </w:t>
      </w:r>
      <w:r w:rsidR="00AA0ED0">
        <w:t>I</w:t>
      </w:r>
      <w:r w:rsidR="008E7846">
        <w:t>nformation</w:t>
      </w:r>
      <w:bookmarkEnd w:id="199"/>
      <w:bookmarkEnd w:id="200"/>
      <w:bookmarkEnd w:id="201"/>
    </w:p>
    <w:p w14:paraId="741DA556" w14:textId="77777777" w:rsidR="00C80137" w:rsidRPr="00570669" w:rsidRDefault="006136D7" w:rsidP="00C80137">
      <w:pPr>
        <w:rPr>
          <w:color w:val="000000"/>
          <w:lang w:eastAsia="en-AU"/>
        </w:rPr>
      </w:pPr>
      <w:r w:rsidRPr="002B3624">
        <w:t xml:space="preserve">The </w:t>
      </w:r>
      <w:r>
        <w:t>PI</w:t>
      </w:r>
      <w:r w:rsidRPr="002B3624">
        <w:t xml:space="preserve"> for </w:t>
      </w:r>
      <w:r w:rsidR="002B698E">
        <w:t>Lynparza</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2B698E">
        <w:t xml:space="preserve">&lt; </w:t>
      </w:r>
      <w:hyperlink r:id="rId29" w:history="1">
        <w:r w:rsidR="007C6B9B" w:rsidRPr="007C6B9B">
          <w:rPr>
            <w:rStyle w:val="Hyperlink"/>
          </w:rPr>
          <w:t>https://www.tga.gov.au/product-information-pi</w:t>
        </w:r>
      </w:hyperlink>
      <w:r w:rsidR="00570669">
        <w:t>&gt;.</w:t>
      </w:r>
    </w:p>
    <w:p w14:paraId="305CD858" w14:textId="77777777" w:rsidR="00291957" w:rsidRDefault="009E2F03" w:rsidP="009E2F03">
      <w:pPr>
        <w:autoSpaceDE w:val="0"/>
        <w:autoSpaceDN w:val="0"/>
        <w:adjustRightInd w:val="0"/>
        <w:spacing w:after="0"/>
        <w:rPr>
          <w:lang w:eastAsia="ja-JP"/>
        </w:rPr>
      </w:pPr>
      <w:r>
        <w:rPr>
          <w:lang w:eastAsia="ja-JP"/>
        </w:rPr>
        <w:t xml:space="preserve"> </w:t>
      </w:r>
    </w:p>
    <w:p w14:paraId="74E4646F" w14:textId="77777777" w:rsidR="00C80137" w:rsidRPr="001D043B" w:rsidRDefault="00C80137" w:rsidP="003A7F6C">
      <w:pPr>
        <w:pStyle w:val="TableTitle"/>
        <w:sectPr w:rsidR="00C80137" w:rsidRPr="001D043B" w:rsidSect="00B452CE">
          <w:headerReference w:type="even" r:id="rId30"/>
          <w:headerReference w:type="default" r:id="rId31"/>
          <w:headerReference w:type="first" r:id="rId32"/>
          <w:footerReference w:type="first" r:id="rId3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9B32669" w14:textId="77777777" w:rsidTr="00A05FA4">
        <w:trPr>
          <w:trHeight w:hRule="exact" w:val="704"/>
        </w:trPr>
        <w:tc>
          <w:tcPr>
            <w:tcW w:w="9175" w:type="dxa"/>
          </w:tcPr>
          <w:p w14:paraId="78EDE690" w14:textId="77777777" w:rsidR="001C32CD" w:rsidRPr="00487162" w:rsidRDefault="001C32CD" w:rsidP="00A05FA4">
            <w:pPr>
              <w:pStyle w:val="TGASignoff"/>
            </w:pPr>
            <w:r w:rsidRPr="00487162">
              <w:lastRenderedPageBreak/>
              <w:t>Therapeutic Goods Administration</w:t>
            </w:r>
          </w:p>
        </w:tc>
      </w:tr>
      <w:tr w:rsidR="001C32CD" w:rsidRPr="004C239D" w14:paraId="3CEEA7DB" w14:textId="77777777" w:rsidTr="00A05FA4">
        <w:trPr>
          <w:trHeight w:val="1221"/>
        </w:trPr>
        <w:tc>
          <w:tcPr>
            <w:tcW w:w="9175" w:type="dxa"/>
            <w:tcMar>
              <w:top w:w="28" w:type="dxa"/>
            </w:tcMar>
          </w:tcPr>
          <w:p w14:paraId="48D56CFA" w14:textId="77777777" w:rsidR="001C32CD" w:rsidRPr="00487162" w:rsidRDefault="001C32CD" w:rsidP="00A05FA4">
            <w:pPr>
              <w:pStyle w:val="Address"/>
            </w:pPr>
            <w:r w:rsidRPr="00487162">
              <w:t>PO Box 100 Woden ACT 2606 Australia</w:t>
            </w:r>
          </w:p>
          <w:p w14:paraId="3EC27CB3" w14:textId="77777777" w:rsidR="001C32CD" w:rsidRPr="00487162" w:rsidRDefault="001C32CD" w:rsidP="00A05FA4">
            <w:pPr>
              <w:pStyle w:val="Address"/>
            </w:pPr>
            <w:r w:rsidRPr="00487162">
              <w:t xml:space="preserve">Email: </w:t>
            </w:r>
            <w:hyperlink r:id="rId34" w:history="1">
              <w:r w:rsidRPr="004C239D">
                <w:rPr>
                  <w:rStyle w:val="Hyperlink"/>
                </w:rPr>
                <w:t>info@tga.gov.au</w:t>
              </w:r>
            </w:hyperlink>
            <w:r w:rsidR="005D64FB">
              <w:t xml:space="preserve"> </w:t>
            </w:r>
            <w:r w:rsidRPr="00487162">
              <w:t>Phone: 1800 020 653</w:t>
            </w:r>
            <w:r w:rsidR="005D64FB">
              <w:t xml:space="preserve"> </w:t>
            </w:r>
            <w:r w:rsidRPr="00487162">
              <w:t>Fax: 02 6232 8605</w:t>
            </w:r>
          </w:p>
          <w:p w14:paraId="4636BC9D" w14:textId="77777777" w:rsidR="001C32CD" w:rsidRPr="004C239D" w:rsidRDefault="00AB0292" w:rsidP="00A05FA4">
            <w:pPr>
              <w:pStyle w:val="Address"/>
              <w:spacing w:line="260" w:lineRule="atLeast"/>
              <w:rPr>
                <w:b/>
                <w:color w:val="0000FF"/>
                <w:u w:val="single"/>
              </w:rPr>
            </w:pPr>
            <w:hyperlink r:id="rId35" w:history="1">
              <w:r w:rsidR="007C6B9B" w:rsidRPr="007C6B9B">
                <w:rPr>
                  <w:rStyle w:val="Hyperlink"/>
                  <w:b/>
                </w:rPr>
                <w:t>https://www.tga.gov.au</w:t>
              </w:r>
            </w:hyperlink>
          </w:p>
        </w:tc>
      </w:tr>
    </w:tbl>
    <w:p w14:paraId="2AAA47B7" w14:textId="77777777" w:rsidR="00774E1D" w:rsidRPr="008A5E0B" w:rsidRDefault="00774E1D" w:rsidP="004C239D"/>
    <w:sectPr w:rsidR="00774E1D" w:rsidRPr="008A5E0B" w:rsidSect="001C32CD">
      <w:headerReference w:type="even" r:id="rId36"/>
      <w:headerReference w:type="default" r:id="rId37"/>
      <w:footerReference w:type="default" r:id="rId38"/>
      <w:headerReference w:type="first" r:id="rId39"/>
      <w:footerReference w:type="first" r:id="rId40"/>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500D299" w15:done="0"/>
  <w15:commentEx w15:paraId="7E80F0F0" w15:done="0"/>
  <w15:commentEx w15:paraId="2B9C0848" w15:done="0"/>
  <w15:commentEx w15:paraId="38A59010" w15:done="0"/>
  <w15:commentEx w15:paraId="1BF67DB0" w15:done="0"/>
  <w15:commentEx w15:paraId="1F490609" w15:done="0"/>
  <w15:commentEx w15:paraId="5A408002" w15:done="0"/>
  <w15:commentEx w15:paraId="6F37BEF3" w15:done="0"/>
  <w15:commentEx w15:paraId="777BB9F8" w15:done="0"/>
  <w15:commentEx w15:paraId="35BAF2CE" w15:done="0"/>
  <w15:commentEx w15:paraId="609A58DA" w15:done="0"/>
  <w15:commentEx w15:paraId="45BE432D" w15:done="0"/>
  <w15:commentEx w15:paraId="41EBF08A" w15:done="0"/>
  <w15:commentEx w15:paraId="405C0730" w15:done="0"/>
  <w15:commentEx w15:paraId="27755481" w15:done="0"/>
  <w15:commentEx w15:paraId="0A3DCC4B" w15:done="0"/>
  <w15:commentEx w15:paraId="62AFEDB6" w15:done="0"/>
  <w15:commentEx w15:paraId="792A61F5" w15:done="0"/>
  <w15:commentEx w15:paraId="7FD31B67" w15:done="0"/>
  <w15:commentEx w15:paraId="0607A4D6" w15:done="0"/>
  <w15:commentEx w15:paraId="09B1A6B0" w15:done="0"/>
  <w15:commentEx w15:paraId="05BA019A" w15:done="0"/>
  <w15:commentEx w15:paraId="1F67DDBF" w15:done="0"/>
  <w15:commentEx w15:paraId="55B81A90" w15:done="0"/>
  <w15:commentEx w15:paraId="0BDE31DA" w15:done="0"/>
  <w15:commentEx w15:paraId="329B1101" w15:done="0"/>
  <w15:commentEx w15:paraId="1001AABC" w15:done="0"/>
  <w15:commentEx w15:paraId="0FCCCBC6" w15:done="0"/>
  <w15:commentEx w15:paraId="6AF32F8A" w15:done="0"/>
  <w15:commentEx w15:paraId="556ED858" w15:done="0"/>
  <w15:commentEx w15:paraId="1FB3AE86" w15:done="0"/>
  <w15:commentEx w15:paraId="662B2AB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00D299" w16cid:durableId="1FA25D45"/>
  <w16cid:commentId w16cid:paraId="7E80F0F0" w16cid:durableId="1FC3447F"/>
  <w16cid:commentId w16cid:paraId="2B9C0848" w16cid:durableId="1FA25D7D"/>
  <w16cid:commentId w16cid:paraId="38A59010" w16cid:durableId="1FC34481"/>
  <w16cid:commentId w16cid:paraId="1BF67DB0" w16cid:durableId="1FA25D9E"/>
  <w16cid:commentId w16cid:paraId="1F490609" w16cid:durableId="1FC34483"/>
  <w16cid:commentId w16cid:paraId="5A408002" w16cid:durableId="1FA25DC8"/>
  <w16cid:commentId w16cid:paraId="6F37BEF3" w16cid:durableId="1FC34485"/>
  <w16cid:commentId w16cid:paraId="777BB9F8" w16cid:durableId="1FA25DFC"/>
  <w16cid:commentId w16cid:paraId="35BAF2CE" w16cid:durableId="1FC34487"/>
  <w16cid:commentId w16cid:paraId="609A58DA" w16cid:durableId="1FA25E3C"/>
  <w16cid:commentId w16cid:paraId="45BE432D" w16cid:durableId="1FC34489"/>
  <w16cid:commentId w16cid:paraId="41EBF08A" w16cid:durableId="1FA25EBF"/>
  <w16cid:commentId w16cid:paraId="405C0730" w16cid:durableId="1FC3448B"/>
  <w16cid:commentId w16cid:paraId="27755481" w16cid:durableId="1FC3448C"/>
  <w16cid:commentId w16cid:paraId="0A3DCC4B" w16cid:durableId="1FA25FCC"/>
  <w16cid:commentId w16cid:paraId="62AFEDB6" w16cid:durableId="1FAFE67F"/>
  <w16cid:commentId w16cid:paraId="792A61F5" w16cid:durableId="1FC3448F"/>
  <w16cid:commentId w16cid:paraId="7FD31B67" w16cid:durableId="1FA26707"/>
  <w16cid:commentId w16cid:paraId="0607A4D6" w16cid:durableId="1FC34491"/>
  <w16cid:commentId w16cid:paraId="09B1A6B0" w16cid:durableId="1FAFE6DE"/>
  <w16cid:commentId w16cid:paraId="05BA019A" w16cid:durableId="1FC34493"/>
  <w16cid:commentId w16cid:paraId="1F67DDBF" w16cid:durableId="1FB0C6C7"/>
  <w16cid:commentId w16cid:paraId="55B81A90" w16cid:durableId="1FC34495"/>
  <w16cid:commentId w16cid:paraId="0BDE31DA" w16cid:durableId="1FA2687F"/>
  <w16cid:commentId w16cid:paraId="329B1101" w16cid:durableId="1FC34497"/>
  <w16cid:commentId w16cid:paraId="1001AABC" w16cid:durableId="1FAFE7A5"/>
  <w16cid:commentId w16cid:paraId="0FCCCBC6" w16cid:durableId="1FC34499"/>
  <w16cid:commentId w16cid:paraId="6AF32F8A" w16cid:durableId="1FC34521"/>
  <w16cid:commentId w16cid:paraId="556ED858" w16cid:durableId="1FC3455F"/>
  <w16cid:commentId w16cid:paraId="1FB3AE86" w16cid:durableId="1FC3449A"/>
  <w16cid:commentId w16cid:paraId="662B2AB2" w16cid:durableId="1FA2697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6628AD" w14:textId="77777777" w:rsidR="00541721" w:rsidRDefault="00541721" w:rsidP="00C40A36">
      <w:pPr>
        <w:spacing w:after="0"/>
      </w:pPr>
      <w:r>
        <w:separator/>
      </w:r>
    </w:p>
  </w:endnote>
  <w:endnote w:type="continuationSeparator" w:id="0">
    <w:p w14:paraId="7813CAF8" w14:textId="77777777" w:rsidR="00541721" w:rsidRDefault="0054172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541721" w:rsidRPr="00487162" w14:paraId="0FE9DD34" w14:textId="77777777" w:rsidTr="00DB750B">
      <w:trPr>
        <w:trHeight w:val="269"/>
      </w:trPr>
      <w:tc>
        <w:tcPr>
          <w:tcW w:w="7371" w:type="dxa"/>
          <w:tcMar>
            <w:top w:w="142" w:type="dxa"/>
            <w:bottom w:w="0" w:type="dxa"/>
          </w:tcMar>
        </w:tcPr>
        <w:p w14:paraId="75467A5C" w14:textId="7A7B8EC5" w:rsidR="00541721" w:rsidRPr="00487162" w:rsidRDefault="00541721" w:rsidP="00541721">
          <w:pPr>
            <w:pStyle w:val="Footer"/>
          </w:pPr>
          <w:r w:rsidRPr="00097125">
            <w:t xml:space="preserve">AusPAR </w:t>
          </w:r>
          <w:proofErr w:type="spellStart"/>
          <w:r w:rsidRPr="00097125">
            <w:t>Lynparza</w:t>
          </w:r>
          <w:proofErr w:type="spellEnd"/>
          <w:r w:rsidRPr="00097125">
            <w:t xml:space="preserve"> </w:t>
          </w:r>
          <w:proofErr w:type="spellStart"/>
          <w:r w:rsidRPr="00097125">
            <w:t>Olaparib</w:t>
          </w:r>
          <w:proofErr w:type="spellEnd"/>
          <w:r w:rsidRPr="00097125">
            <w:t xml:space="preserve"> AstraZeneca Pty Ltd PM-2014-04684-1-4 </w:t>
          </w:r>
          <w:r>
            <w:t>Final 11 February 2019</w:t>
          </w:r>
        </w:p>
      </w:tc>
      <w:tc>
        <w:tcPr>
          <w:tcW w:w="1490" w:type="dxa"/>
          <w:tcMar>
            <w:top w:w="142" w:type="dxa"/>
            <w:bottom w:w="0" w:type="dxa"/>
          </w:tcMar>
        </w:tcPr>
        <w:p w14:paraId="2BD11A47" w14:textId="77777777" w:rsidR="00541721" w:rsidRPr="00487162" w:rsidRDefault="00541721" w:rsidP="00DB750B">
          <w:pPr>
            <w:pStyle w:val="Footer"/>
            <w:jc w:val="right"/>
          </w:pPr>
          <w:r w:rsidRPr="00487162">
            <w:t xml:space="preserve">Page </w:t>
          </w:r>
          <w:r>
            <w:fldChar w:fldCharType="begin"/>
          </w:r>
          <w:r>
            <w:instrText xml:space="preserve"> PAGE  \* Arabic </w:instrText>
          </w:r>
          <w:r>
            <w:fldChar w:fldCharType="separate"/>
          </w:r>
          <w:r w:rsidR="00AB0292">
            <w:rPr>
              <w:noProof/>
            </w:rPr>
            <w:t>84</w:t>
          </w:r>
          <w:r>
            <w:fldChar w:fldCharType="end"/>
          </w:r>
          <w:r w:rsidRPr="00487162">
            <w:t xml:space="preserve"> of </w:t>
          </w:r>
          <w:r w:rsidR="00AB0292">
            <w:fldChar w:fldCharType="begin"/>
          </w:r>
          <w:r w:rsidR="00AB0292">
            <w:instrText xml:space="preserve"> NUMPAGES  \* Arabic </w:instrText>
          </w:r>
          <w:r w:rsidR="00AB0292">
            <w:fldChar w:fldCharType="separate"/>
          </w:r>
          <w:r w:rsidR="00AB0292">
            <w:rPr>
              <w:noProof/>
            </w:rPr>
            <w:t>84</w:t>
          </w:r>
          <w:r w:rsidR="00AB0292">
            <w:rPr>
              <w:noProof/>
            </w:rPr>
            <w:fldChar w:fldCharType="end"/>
          </w:r>
        </w:p>
      </w:tc>
    </w:tr>
  </w:tbl>
  <w:p w14:paraId="19D7CB57" w14:textId="77777777" w:rsidR="00541721" w:rsidRDefault="00541721"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41721" w:rsidRPr="00487162" w14:paraId="2B5FE43D" w14:textId="77777777" w:rsidTr="00E45619">
      <w:trPr>
        <w:trHeight w:val="269"/>
      </w:trPr>
      <w:tc>
        <w:tcPr>
          <w:tcW w:w="4519" w:type="dxa"/>
          <w:tcBorders>
            <w:top w:val="single" w:sz="4" w:space="0" w:color="auto"/>
          </w:tcBorders>
          <w:tcMar>
            <w:top w:w="142" w:type="dxa"/>
            <w:bottom w:w="0" w:type="dxa"/>
          </w:tcMar>
        </w:tcPr>
        <w:p w14:paraId="138823F5" w14:textId="77777777" w:rsidR="00541721" w:rsidRPr="00487162" w:rsidRDefault="00541721" w:rsidP="00FE1DEE">
          <w:pPr>
            <w:pStyle w:val="Footer"/>
          </w:pPr>
          <w:r w:rsidRPr="00487162">
            <w:t>Document title, Part #, Section # - Section title</w:t>
          </w:r>
        </w:p>
        <w:p w14:paraId="68D83003" w14:textId="77777777" w:rsidR="00541721" w:rsidRPr="00487162" w:rsidRDefault="00541721" w:rsidP="00FE1DEE">
          <w:pPr>
            <w:pStyle w:val="Footer"/>
          </w:pPr>
          <w:r w:rsidRPr="00487162">
            <w:t>V1.0 October 2010</w:t>
          </w:r>
        </w:p>
      </w:tc>
      <w:tc>
        <w:tcPr>
          <w:tcW w:w="4342" w:type="dxa"/>
          <w:tcBorders>
            <w:top w:val="single" w:sz="4" w:space="0" w:color="auto"/>
          </w:tcBorders>
          <w:tcMar>
            <w:top w:w="142" w:type="dxa"/>
            <w:bottom w:w="0" w:type="dxa"/>
          </w:tcMar>
        </w:tcPr>
        <w:p w14:paraId="48B6E444" w14:textId="77777777" w:rsidR="00541721" w:rsidRPr="00487162" w:rsidRDefault="0054172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AB0292">
            <w:fldChar w:fldCharType="begin"/>
          </w:r>
          <w:r w:rsidR="00AB0292">
            <w:instrText xml:space="preserve"> NUMPAGES  </w:instrText>
          </w:r>
          <w:r w:rsidR="00AB0292">
            <w:fldChar w:fldCharType="separate"/>
          </w:r>
          <w:r>
            <w:rPr>
              <w:noProof/>
            </w:rPr>
            <w:t>87</w:t>
          </w:r>
          <w:r w:rsidR="00AB0292">
            <w:rPr>
              <w:noProof/>
            </w:rPr>
            <w:fldChar w:fldCharType="end"/>
          </w:r>
        </w:p>
      </w:tc>
    </w:tr>
  </w:tbl>
  <w:p w14:paraId="18C3C258" w14:textId="77777777" w:rsidR="00541721" w:rsidRDefault="0054172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99135" w14:textId="77777777" w:rsidR="00541721" w:rsidRPr="001C32CD" w:rsidRDefault="00541721"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41721" w14:paraId="6B8F0392" w14:textId="77777777" w:rsidTr="0010601F">
      <w:trPr>
        <w:trHeight w:val="108"/>
      </w:trPr>
      <w:tc>
        <w:tcPr>
          <w:tcW w:w="8875" w:type="dxa"/>
          <w:gridSpan w:val="2"/>
          <w:tcBorders>
            <w:bottom w:val="single" w:sz="4" w:space="0" w:color="auto"/>
          </w:tcBorders>
          <w:tcMar>
            <w:right w:w="284" w:type="dxa"/>
          </w:tcMar>
        </w:tcPr>
        <w:p w14:paraId="2A50EA9B" w14:textId="77777777" w:rsidR="00541721" w:rsidRDefault="00541721" w:rsidP="006E08B3">
          <w:pPr>
            <w:pStyle w:val="Heading3"/>
          </w:pPr>
          <w:r>
            <w:t>Copyright</w:t>
          </w:r>
        </w:p>
        <w:p w14:paraId="7D4505A9" w14:textId="77777777" w:rsidR="00541721" w:rsidRDefault="00541721" w:rsidP="006E08B3">
          <w:r>
            <w:rPr>
              <w:rFonts w:cs="Arial"/>
            </w:rPr>
            <w:t>©</w:t>
          </w:r>
          <w:r>
            <w:t xml:space="preserve"> Commonwealth of Australia [add year]</w:t>
          </w:r>
        </w:p>
        <w:p w14:paraId="5BF71DED" w14:textId="77777777" w:rsidR="00541721" w:rsidRDefault="00541721" w:rsidP="006E08B3"/>
        <w:p w14:paraId="3243FEEA" w14:textId="77777777" w:rsidR="00541721" w:rsidRDefault="0054172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5972D79" w14:textId="77777777" w:rsidR="00541721" w:rsidRDefault="00541721" w:rsidP="006E08B3"/>
        <w:p w14:paraId="43B86C53" w14:textId="77777777" w:rsidR="00541721" w:rsidRDefault="00541721" w:rsidP="006E08B3">
          <w:pPr>
            <w:pStyle w:val="Heading3"/>
          </w:pPr>
          <w:r>
            <w:t>Confidentiality</w:t>
          </w:r>
        </w:p>
        <w:p w14:paraId="15207F40" w14:textId="77777777" w:rsidR="00541721" w:rsidRDefault="0054172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ABE7E96" w14:textId="77777777" w:rsidR="00541721" w:rsidRDefault="00541721" w:rsidP="006E08B3"/>
        <w:p w14:paraId="190B0D26" w14:textId="77777777" w:rsidR="00541721" w:rsidRDefault="00541721" w:rsidP="006E08B3">
          <w:r>
            <w:t>For submission made by individuals, all personal details, other than your name, will be removed from your submission before it is published on the TGA’s Internet site.</w:t>
          </w:r>
        </w:p>
        <w:p w14:paraId="58041750" w14:textId="77777777" w:rsidR="00541721" w:rsidRDefault="00541721" w:rsidP="006E08B3"/>
        <w:p w14:paraId="2FFF2DDB" w14:textId="77777777" w:rsidR="00541721" w:rsidRDefault="00541721"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541721" w14:paraId="6FF918CD" w14:textId="77777777" w:rsidTr="0010601F">
      <w:trPr>
        <w:trHeight w:val="417"/>
      </w:trPr>
      <w:tc>
        <w:tcPr>
          <w:tcW w:w="4519" w:type="dxa"/>
          <w:tcBorders>
            <w:top w:val="single" w:sz="4" w:space="0" w:color="auto"/>
          </w:tcBorders>
          <w:tcMar>
            <w:top w:w="142" w:type="dxa"/>
            <w:bottom w:w="0" w:type="dxa"/>
          </w:tcMar>
        </w:tcPr>
        <w:p w14:paraId="6888F026" w14:textId="77777777" w:rsidR="00541721" w:rsidRDefault="00541721" w:rsidP="006E08B3">
          <w:r>
            <w:t>Document title, Part #, Section # - Section title</w:t>
          </w:r>
        </w:p>
        <w:p w14:paraId="6871C23C" w14:textId="77777777" w:rsidR="00541721" w:rsidRDefault="00541721" w:rsidP="006E08B3">
          <w:r>
            <w:t>V1.0 October 2010</w:t>
          </w:r>
        </w:p>
      </w:tc>
      <w:tc>
        <w:tcPr>
          <w:tcW w:w="4356" w:type="dxa"/>
          <w:tcBorders>
            <w:top w:val="single" w:sz="4" w:space="0" w:color="auto"/>
          </w:tcBorders>
          <w:tcMar>
            <w:top w:w="142" w:type="dxa"/>
            <w:bottom w:w="0" w:type="dxa"/>
          </w:tcMar>
        </w:tcPr>
        <w:p w14:paraId="6F356F3B" w14:textId="77777777" w:rsidR="00541721" w:rsidRDefault="0054172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AB0292">
            <w:fldChar w:fldCharType="begin"/>
          </w:r>
          <w:r w:rsidR="00AB0292">
            <w:instrText xml:space="preserve"> NUMPAGES  \* Arabic </w:instrText>
          </w:r>
          <w:r w:rsidR="00AB0292">
            <w:fldChar w:fldCharType="separate"/>
          </w:r>
          <w:r>
            <w:rPr>
              <w:noProof/>
            </w:rPr>
            <w:t>87</w:t>
          </w:r>
          <w:r w:rsidR="00AB0292">
            <w:rPr>
              <w:noProof/>
            </w:rPr>
            <w:fldChar w:fldCharType="end"/>
          </w:r>
          <w:r>
            <w:t xml:space="preserve">  </w:t>
          </w:r>
        </w:p>
      </w:tc>
    </w:tr>
  </w:tbl>
  <w:p w14:paraId="42395FBE" w14:textId="77777777" w:rsidR="00541721" w:rsidRDefault="0054172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BDCD1A" w14:textId="77777777" w:rsidR="00541721" w:rsidRDefault="00541721" w:rsidP="00C40A36">
      <w:pPr>
        <w:spacing w:after="0"/>
      </w:pPr>
      <w:r>
        <w:separator/>
      </w:r>
    </w:p>
  </w:footnote>
  <w:footnote w:type="continuationSeparator" w:id="0">
    <w:p w14:paraId="0D6FE87A" w14:textId="77777777" w:rsidR="00541721" w:rsidRDefault="00541721" w:rsidP="00C40A36">
      <w:pPr>
        <w:spacing w:after="0"/>
      </w:pPr>
      <w:r>
        <w:continuationSeparator/>
      </w:r>
    </w:p>
  </w:footnote>
  <w:footnote w:id="1">
    <w:p w14:paraId="46E32251" w14:textId="77777777" w:rsidR="00541721" w:rsidRPr="00107063" w:rsidRDefault="00541721">
      <w:pPr>
        <w:pStyle w:val="FootnoteText"/>
        <w:rPr>
          <w:lang w:val="en-US"/>
        </w:rPr>
      </w:pPr>
      <w:r>
        <w:rPr>
          <w:rStyle w:val="FootnoteReference"/>
        </w:rPr>
        <w:footnoteRef/>
      </w:r>
      <w:r>
        <w:t xml:space="preserve"> </w:t>
      </w:r>
      <w:r w:rsidRPr="008F5336">
        <w:t>t</w:t>
      </w:r>
      <w:r w:rsidRPr="008F5336">
        <w:rPr>
          <w:vertAlign w:val="subscript"/>
        </w:rPr>
        <w:t>max</w:t>
      </w:r>
      <w:r>
        <w:rPr>
          <w:vertAlign w:val="subscript"/>
        </w:rPr>
        <w:t xml:space="preserve">: </w:t>
      </w:r>
      <w:r w:rsidRPr="00107063">
        <w:t>Time at which the</w:t>
      </w:r>
      <w:r>
        <w:t xml:space="preserve"> maximum serum concentration (</w:t>
      </w:r>
      <w:r w:rsidRPr="00107063">
        <w:t>C</w:t>
      </w:r>
      <w:r w:rsidRPr="00107063">
        <w:rPr>
          <w:vertAlign w:val="subscript"/>
        </w:rPr>
        <w:t>max</w:t>
      </w:r>
      <w:r>
        <w:t>)</w:t>
      </w:r>
      <w:r w:rsidRPr="00107063">
        <w:t xml:space="preserve"> of the drug is achieved</w:t>
      </w:r>
    </w:p>
  </w:footnote>
  <w:footnote w:id="2">
    <w:p w14:paraId="12A855FE" w14:textId="77777777" w:rsidR="00541721" w:rsidRPr="00107063" w:rsidRDefault="00541721">
      <w:pPr>
        <w:pStyle w:val="FootnoteText"/>
        <w:rPr>
          <w:lang w:val="en-US"/>
        </w:rPr>
      </w:pPr>
      <w:r>
        <w:rPr>
          <w:rStyle w:val="FootnoteReference"/>
        </w:rPr>
        <w:footnoteRef/>
      </w:r>
      <w:r>
        <w:t xml:space="preserve"> </w:t>
      </w:r>
      <w:r>
        <w:rPr>
          <w:sz w:val="19"/>
          <w:szCs w:val="19"/>
        </w:rPr>
        <w:t>ICH S9: Nonclinical Evaluation for Anticancer Pharmaceuticals</w:t>
      </w:r>
    </w:p>
  </w:footnote>
  <w:footnote w:id="3">
    <w:p w14:paraId="77D51243" w14:textId="0AE4CE64" w:rsidR="00541721" w:rsidRPr="009703D3" w:rsidRDefault="00541721" w:rsidP="00573130">
      <w:pPr>
        <w:pStyle w:val="FootnoteText"/>
        <w:rPr>
          <w:lang w:val="en-US"/>
        </w:rPr>
      </w:pPr>
      <w:r>
        <w:rPr>
          <w:rStyle w:val="FootnoteReference"/>
        </w:rPr>
        <w:footnoteRef/>
      </w:r>
      <w:r>
        <w:t xml:space="preserve"> IC</w:t>
      </w:r>
      <w:r>
        <w:rPr>
          <w:vertAlign w:val="subscript"/>
        </w:rPr>
        <w:t xml:space="preserve">50; </w:t>
      </w:r>
      <w:r>
        <w:t>Half maximal inhibitory concentration; IC</w:t>
      </w:r>
      <w:r>
        <w:rPr>
          <w:vertAlign w:val="subscript"/>
        </w:rPr>
        <w:t xml:space="preserve">90: </w:t>
      </w:r>
      <w:r>
        <w:t>90% maximal inhibitory concentration</w:t>
      </w:r>
    </w:p>
  </w:footnote>
  <w:footnote w:id="4">
    <w:p w14:paraId="617D3D1F" w14:textId="77777777" w:rsidR="00541721" w:rsidRPr="00386C85" w:rsidRDefault="00541721">
      <w:pPr>
        <w:pStyle w:val="FootnoteText"/>
        <w:rPr>
          <w:lang w:val="en-US"/>
        </w:rPr>
      </w:pPr>
      <w:r>
        <w:rPr>
          <w:rStyle w:val="FootnoteReference"/>
        </w:rPr>
        <w:footnoteRef/>
      </w:r>
      <w:r>
        <w:t xml:space="preserve"> </w:t>
      </w:r>
      <w:proofErr w:type="gramStart"/>
      <w:r>
        <w:rPr>
          <w:sz w:val="19"/>
          <w:szCs w:val="19"/>
        </w:rPr>
        <w:t>Based on a free fraction of 9%.</w:t>
      </w:r>
      <w:proofErr w:type="gramEnd"/>
    </w:p>
  </w:footnote>
  <w:footnote w:id="5">
    <w:p w14:paraId="1C9EBC7C" w14:textId="25ED06A7" w:rsidR="00541721" w:rsidRPr="007607D4" w:rsidRDefault="00541721">
      <w:pPr>
        <w:pStyle w:val="FootnoteText"/>
        <w:rPr>
          <w:lang w:val="en-US"/>
        </w:rPr>
      </w:pPr>
      <w:r>
        <w:rPr>
          <w:rStyle w:val="FootnoteReference"/>
        </w:rPr>
        <w:footnoteRef/>
      </w:r>
      <w:r>
        <w:t xml:space="preserve"> </w:t>
      </w:r>
      <w:r w:rsidRPr="00386C85">
        <w:t xml:space="preserve">Edwards </w:t>
      </w:r>
      <w:r>
        <w:t xml:space="preserve">S L </w:t>
      </w:r>
      <w:r w:rsidRPr="00386C85">
        <w:t>et al., 2008</w:t>
      </w:r>
      <w:r w:rsidRPr="007607D4">
        <w:rPr>
          <w:sz w:val="22"/>
          <w:szCs w:val="22"/>
        </w:rPr>
        <w:t xml:space="preserve"> </w:t>
      </w:r>
      <w:r w:rsidRPr="007607D4">
        <w:t xml:space="preserve">Resistance to therapy caused by intragenic deletion in BRCA2. </w:t>
      </w:r>
      <w:r w:rsidRPr="007607D4">
        <w:rPr>
          <w:i/>
        </w:rPr>
        <w:t>Nature</w:t>
      </w:r>
      <w:r w:rsidRPr="007607D4">
        <w:t xml:space="preserve"> </w:t>
      </w:r>
      <w:r>
        <w:t xml:space="preserve">2008; </w:t>
      </w:r>
      <w:r w:rsidRPr="007607D4">
        <w:t>451: 1111–1115</w:t>
      </w:r>
    </w:p>
  </w:footnote>
  <w:footnote w:id="6">
    <w:p w14:paraId="10B19BF2" w14:textId="1124F33C" w:rsidR="00541721" w:rsidRPr="007607D4" w:rsidRDefault="00541721">
      <w:pPr>
        <w:pStyle w:val="FootnoteText"/>
        <w:rPr>
          <w:lang w:val="en-US"/>
        </w:rPr>
      </w:pPr>
      <w:r>
        <w:rPr>
          <w:rStyle w:val="FootnoteReference"/>
        </w:rPr>
        <w:footnoteRef/>
      </w:r>
      <w:r>
        <w:t xml:space="preserve"> </w:t>
      </w:r>
      <w:r w:rsidRPr="00386C85">
        <w:t xml:space="preserve">Sakai </w:t>
      </w:r>
      <w:r>
        <w:t xml:space="preserve">W </w:t>
      </w:r>
      <w:r w:rsidRPr="00386C85">
        <w:t xml:space="preserve">et al., </w:t>
      </w:r>
      <w:r w:rsidRPr="007607D4">
        <w:t xml:space="preserve">2008 Secondary mutations as a mechanism of cisplatin resistance in BRCA2-mutated cancers. </w:t>
      </w:r>
      <w:r w:rsidRPr="007607D4">
        <w:rPr>
          <w:i/>
        </w:rPr>
        <w:t xml:space="preserve">Nature </w:t>
      </w:r>
      <w:r w:rsidRPr="00412134">
        <w:t>2008;</w:t>
      </w:r>
      <w:r>
        <w:rPr>
          <w:i/>
        </w:rPr>
        <w:t xml:space="preserve"> </w:t>
      </w:r>
      <w:r w:rsidRPr="007607D4">
        <w:t>451: 1116–1120</w:t>
      </w:r>
    </w:p>
  </w:footnote>
  <w:footnote w:id="7">
    <w:p w14:paraId="08B83D8D" w14:textId="519411F9" w:rsidR="00541721" w:rsidRPr="00E032DB" w:rsidRDefault="00541721">
      <w:pPr>
        <w:pStyle w:val="FootnoteText"/>
        <w:rPr>
          <w:lang w:val="en-US"/>
        </w:rPr>
      </w:pPr>
      <w:r>
        <w:rPr>
          <w:rStyle w:val="FootnoteReference"/>
        </w:rPr>
        <w:footnoteRef/>
      </w:r>
      <w:r>
        <w:t xml:space="preserve"> </w:t>
      </w:r>
      <w:r w:rsidRPr="002A0319">
        <w:t xml:space="preserve">Bai, </w:t>
      </w:r>
      <w:r w:rsidRPr="007607D4">
        <w:t xml:space="preserve">P 2015 Biology of </w:t>
      </w:r>
      <w:proofErr w:type="gramStart"/>
      <w:r w:rsidRPr="007607D4">
        <w:t>poly(</w:t>
      </w:r>
      <w:proofErr w:type="gramEnd"/>
      <w:r w:rsidRPr="007607D4">
        <w:t xml:space="preserve">ADP-Ribose) polymerases: the factotums of cell maintenance. </w:t>
      </w:r>
      <w:r w:rsidRPr="007607D4">
        <w:rPr>
          <w:i/>
        </w:rPr>
        <w:t>Mol. Cell</w:t>
      </w:r>
      <w:r w:rsidRPr="007607D4">
        <w:t xml:space="preserve"> </w:t>
      </w:r>
      <w:r>
        <w:t xml:space="preserve">2015; </w:t>
      </w:r>
      <w:r w:rsidRPr="007607D4">
        <w:t>58: 947–958</w:t>
      </w:r>
    </w:p>
  </w:footnote>
  <w:footnote w:id="8">
    <w:p w14:paraId="1F1E0B43" w14:textId="38825ABE" w:rsidR="00541721" w:rsidRPr="007607D4" w:rsidRDefault="00541721">
      <w:pPr>
        <w:pStyle w:val="FootnoteText"/>
        <w:rPr>
          <w:lang w:val="en-US"/>
        </w:rPr>
      </w:pPr>
      <w:r>
        <w:rPr>
          <w:rStyle w:val="FootnoteReference"/>
        </w:rPr>
        <w:footnoteRef/>
      </w:r>
      <w:r>
        <w:t xml:space="preserve"> </w:t>
      </w:r>
      <w:proofErr w:type="spellStart"/>
      <w:r w:rsidRPr="00386C85">
        <w:t>Ame</w:t>
      </w:r>
      <w:proofErr w:type="spellEnd"/>
      <w:r w:rsidRPr="00386C85">
        <w:t xml:space="preserve">́ </w:t>
      </w:r>
      <w:r>
        <w:t xml:space="preserve">J –C </w:t>
      </w:r>
      <w:r w:rsidRPr="00386C85">
        <w:t xml:space="preserve">et al., </w:t>
      </w:r>
      <w:r w:rsidRPr="007607D4">
        <w:t xml:space="preserve">2004 The PARP superfamily. </w:t>
      </w:r>
      <w:proofErr w:type="gramStart"/>
      <w:r w:rsidRPr="007607D4">
        <w:t xml:space="preserve">(2004) </w:t>
      </w:r>
      <w:proofErr w:type="spellStart"/>
      <w:r w:rsidRPr="007607D4">
        <w:rPr>
          <w:i/>
        </w:rPr>
        <w:t>BioEssays</w:t>
      </w:r>
      <w:proofErr w:type="spellEnd"/>
      <w:r w:rsidRPr="007607D4">
        <w:t xml:space="preserve"> </w:t>
      </w:r>
      <w:r>
        <w:t xml:space="preserve">2004; </w:t>
      </w:r>
      <w:r w:rsidRPr="007607D4">
        <w:t>26: 882–893.</w:t>
      </w:r>
      <w:proofErr w:type="gramEnd"/>
    </w:p>
  </w:footnote>
  <w:footnote w:id="9">
    <w:p w14:paraId="5EA2D64A" w14:textId="307A19AA" w:rsidR="00541721" w:rsidRPr="00386C85" w:rsidRDefault="00541721">
      <w:pPr>
        <w:pStyle w:val="FootnoteText"/>
        <w:rPr>
          <w:lang w:val="en-US"/>
        </w:rPr>
      </w:pPr>
      <w:r>
        <w:rPr>
          <w:rStyle w:val="FootnoteReference"/>
        </w:rPr>
        <w:footnoteRef/>
      </w:r>
      <w:r>
        <w:t xml:space="preserve"> </w:t>
      </w:r>
      <w:proofErr w:type="gramStart"/>
      <w:r>
        <w:rPr>
          <w:sz w:val="19"/>
          <w:szCs w:val="19"/>
        </w:rPr>
        <w:t>Assuming a free fraction of 18%.</w:t>
      </w:r>
      <w:proofErr w:type="gramEnd"/>
    </w:p>
  </w:footnote>
  <w:footnote w:id="10">
    <w:p w14:paraId="5E3B7AA5" w14:textId="77777777" w:rsidR="00541721" w:rsidRPr="00E032DB" w:rsidRDefault="00541721" w:rsidP="00573130">
      <w:pPr>
        <w:pStyle w:val="FootnoteText"/>
        <w:rPr>
          <w:lang w:val="en-US"/>
        </w:rPr>
      </w:pPr>
      <w:r>
        <w:rPr>
          <w:rStyle w:val="FootnoteReference"/>
        </w:rPr>
        <w:footnoteRef/>
      </w:r>
      <w:r>
        <w:t xml:space="preserve"> </w:t>
      </w:r>
      <w:r w:rsidRPr="00386C85">
        <w:t xml:space="preserve">QT </w:t>
      </w:r>
      <w:r w:rsidRPr="00E032DB">
        <w:t>interval a measure of the time between the start of the Q wave and the end of the T wave in the heart's electrical cycle</w:t>
      </w:r>
    </w:p>
  </w:footnote>
  <w:footnote w:id="11">
    <w:p w14:paraId="3374BCCC" w14:textId="77777777" w:rsidR="00541721" w:rsidRPr="00E032DB" w:rsidRDefault="00541721">
      <w:pPr>
        <w:pStyle w:val="FootnoteText"/>
        <w:rPr>
          <w:lang w:val="en-US"/>
        </w:rPr>
      </w:pPr>
      <w:r>
        <w:rPr>
          <w:rStyle w:val="FootnoteReference"/>
        </w:rPr>
        <w:footnoteRef/>
      </w:r>
      <w:r>
        <w:t xml:space="preserve"> </w:t>
      </w:r>
      <w:r>
        <w:rPr>
          <w:lang w:val="en-US"/>
        </w:rPr>
        <w:t>CYP cytochrome P450</w:t>
      </w:r>
    </w:p>
  </w:footnote>
  <w:footnote w:id="12">
    <w:p w14:paraId="207BB8A0" w14:textId="77777777" w:rsidR="00541721" w:rsidRDefault="00541721" w:rsidP="00386C85">
      <w:pPr>
        <w:pStyle w:val="FootnoteText"/>
        <w:rPr>
          <w:sz w:val="19"/>
          <w:szCs w:val="19"/>
        </w:rPr>
      </w:pPr>
      <w:r>
        <w:rPr>
          <w:rStyle w:val="FootnoteReference"/>
        </w:rPr>
        <w:footnoteRef/>
      </w:r>
      <w:r>
        <w:t xml:space="preserve"> </w:t>
      </w:r>
      <w:r>
        <w:rPr>
          <w:sz w:val="19"/>
          <w:szCs w:val="19"/>
        </w:rPr>
        <w:t>The following assumptions were made:</w:t>
      </w:r>
    </w:p>
    <w:p w14:paraId="456695C9" w14:textId="77777777" w:rsidR="00541721" w:rsidRPr="00386C85" w:rsidRDefault="00541721" w:rsidP="00386C85">
      <w:pPr>
        <w:pStyle w:val="ListBullet"/>
        <w:spacing w:before="0" w:after="0" w:line="240" w:lineRule="auto"/>
        <w:rPr>
          <w:sz w:val="19"/>
          <w:szCs w:val="19"/>
        </w:rPr>
      </w:pPr>
      <w:r w:rsidRPr="00386C85">
        <w:rPr>
          <w:sz w:val="19"/>
          <w:szCs w:val="19"/>
        </w:rPr>
        <w:t xml:space="preserve">molecular weight 434.46, dose 400 mg, </w:t>
      </w:r>
      <w:proofErr w:type="spellStart"/>
      <w:r w:rsidRPr="00386C85">
        <w:rPr>
          <w:sz w:val="19"/>
          <w:szCs w:val="19"/>
        </w:rPr>
        <w:t>C</w:t>
      </w:r>
      <w:r w:rsidRPr="00E032DB">
        <w:rPr>
          <w:sz w:val="19"/>
          <w:szCs w:val="19"/>
          <w:vertAlign w:val="subscript"/>
        </w:rPr>
        <w:t>max</w:t>
      </w:r>
      <w:proofErr w:type="spellEnd"/>
      <w:r w:rsidRPr="00386C85">
        <w:rPr>
          <w:sz w:val="19"/>
          <w:szCs w:val="19"/>
        </w:rPr>
        <w:t xml:space="preserve"> 10 </w:t>
      </w:r>
      <w:proofErr w:type="spellStart"/>
      <w:r w:rsidRPr="00386C85">
        <w:rPr>
          <w:sz w:val="19"/>
          <w:szCs w:val="19"/>
        </w:rPr>
        <w:t>μM</w:t>
      </w:r>
      <w:proofErr w:type="spellEnd"/>
      <w:r w:rsidRPr="00386C85">
        <w:rPr>
          <w:sz w:val="19"/>
          <w:szCs w:val="19"/>
        </w:rPr>
        <w:t xml:space="preserve"> (total), free fraction 18%, intestinal volume 0.25 L, absorption rate constant 0.008 min</w:t>
      </w:r>
      <w:r w:rsidRPr="00386C85">
        <w:rPr>
          <w:sz w:val="19"/>
          <w:szCs w:val="19"/>
          <w:vertAlign w:val="superscript"/>
        </w:rPr>
        <w:t>-1</w:t>
      </w:r>
      <w:r w:rsidRPr="00386C85">
        <w:rPr>
          <w:sz w:val="19"/>
          <w:szCs w:val="19"/>
        </w:rPr>
        <w:t xml:space="preserve"> [0.2 h</w:t>
      </w:r>
      <w:r w:rsidRPr="00386C85">
        <w:rPr>
          <w:sz w:val="19"/>
          <w:szCs w:val="19"/>
          <w:vertAlign w:val="superscript"/>
        </w:rPr>
        <w:t>-1</w:t>
      </w:r>
      <w:r w:rsidRPr="00386C85">
        <w:rPr>
          <w:sz w:val="19"/>
          <w:szCs w:val="19"/>
        </w:rPr>
        <w:t xml:space="preserve"> from population PK study], bioavailability 26%, </w:t>
      </w:r>
      <w:proofErr w:type="spellStart"/>
      <w:r w:rsidRPr="00386C85">
        <w:rPr>
          <w:sz w:val="19"/>
          <w:szCs w:val="19"/>
        </w:rPr>
        <w:t>kdeg</w:t>
      </w:r>
      <w:proofErr w:type="spellEnd"/>
      <w:r w:rsidRPr="00386C85">
        <w:rPr>
          <w:sz w:val="19"/>
          <w:szCs w:val="19"/>
        </w:rPr>
        <w:t xml:space="preserve"> for CYP3A 0.0005 min</w:t>
      </w:r>
      <w:r w:rsidRPr="00386C85">
        <w:rPr>
          <w:sz w:val="19"/>
          <w:szCs w:val="19"/>
          <w:vertAlign w:val="superscript"/>
        </w:rPr>
        <w:t>-1</w:t>
      </w:r>
    </w:p>
    <w:p w14:paraId="0B8D1AB0" w14:textId="77777777" w:rsidR="00541721" w:rsidRPr="00386C85" w:rsidRDefault="00541721" w:rsidP="00386C85">
      <w:pPr>
        <w:pStyle w:val="ListBullet"/>
        <w:spacing w:before="0" w:after="0" w:line="240" w:lineRule="auto"/>
        <w:rPr>
          <w:sz w:val="19"/>
          <w:szCs w:val="19"/>
        </w:rPr>
      </w:pPr>
      <w:r w:rsidRPr="00386C85">
        <w:rPr>
          <w:sz w:val="19"/>
          <w:szCs w:val="19"/>
        </w:rPr>
        <w:t>for intestinal CYP (CYP3A) and intestinal transporters (P-glycoprotein and BCRP): if the IC</w:t>
      </w:r>
      <w:r w:rsidRPr="00E032DB">
        <w:rPr>
          <w:sz w:val="19"/>
          <w:szCs w:val="19"/>
          <w:vertAlign w:val="subscript"/>
        </w:rPr>
        <w:t>50</w:t>
      </w:r>
      <w:r w:rsidRPr="00386C85">
        <w:rPr>
          <w:sz w:val="19"/>
          <w:szCs w:val="19"/>
        </w:rPr>
        <w:t xml:space="preserve"> is ≤</w:t>
      </w:r>
      <w:r>
        <w:rPr>
          <w:sz w:val="19"/>
          <w:szCs w:val="19"/>
        </w:rPr>
        <w:t xml:space="preserve"> 0.1 </w:t>
      </w:r>
      <w:r w:rsidRPr="00386C85">
        <w:rPr>
          <w:sz w:val="19"/>
          <w:szCs w:val="19"/>
        </w:rPr>
        <w:t xml:space="preserve">fold the intestinal concentration, an </w:t>
      </w:r>
      <w:r>
        <w:rPr>
          <w:sz w:val="19"/>
          <w:szCs w:val="19"/>
        </w:rPr>
        <w:t>in vivo interaction is possible</w:t>
      </w:r>
    </w:p>
    <w:p w14:paraId="3F457D2C" w14:textId="77777777" w:rsidR="00541721" w:rsidRPr="00386C85" w:rsidRDefault="00541721" w:rsidP="00386C85">
      <w:pPr>
        <w:pStyle w:val="ListBullet"/>
        <w:spacing w:before="0" w:after="0" w:line="240" w:lineRule="auto"/>
        <w:rPr>
          <w:sz w:val="19"/>
          <w:szCs w:val="19"/>
        </w:rPr>
      </w:pPr>
      <w:r w:rsidRPr="00386C85">
        <w:rPr>
          <w:sz w:val="19"/>
          <w:szCs w:val="19"/>
        </w:rPr>
        <w:t>for systemic CYP, renal uptake and efflux transporters, and hepatic efflux transporters (OAT1, OAT3, OCT2, MRP2, BCRP, P-glycoprotein, MATE1 and MATE2K): if the IC</w:t>
      </w:r>
      <w:r w:rsidRPr="00E032DB">
        <w:rPr>
          <w:sz w:val="19"/>
          <w:szCs w:val="19"/>
          <w:vertAlign w:val="subscript"/>
        </w:rPr>
        <w:t>50</w:t>
      </w:r>
      <w:r w:rsidRPr="00386C85">
        <w:rPr>
          <w:sz w:val="19"/>
          <w:szCs w:val="19"/>
        </w:rPr>
        <w:t xml:space="preserve"> is ≤</w:t>
      </w:r>
      <w:r>
        <w:rPr>
          <w:sz w:val="19"/>
          <w:szCs w:val="19"/>
        </w:rPr>
        <w:t xml:space="preserve"> 50 </w:t>
      </w:r>
      <w:r w:rsidRPr="00386C85">
        <w:rPr>
          <w:sz w:val="19"/>
          <w:szCs w:val="19"/>
        </w:rPr>
        <w:t>fold the unbound clinical C</w:t>
      </w:r>
      <w:r w:rsidRPr="00E032DB">
        <w:rPr>
          <w:sz w:val="19"/>
          <w:szCs w:val="19"/>
          <w:vertAlign w:val="subscript"/>
        </w:rPr>
        <w:t>max</w:t>
      </w:r>
      <w:r w:rsidRPr="00386C85">
        <w:rPr>
          <w:sz w:val="19"/>
          <w:szCs w:val="19"/>
        </w:rPr>
        <w:t xml:space="preserve">, an </w:t>
      </w:r>
      <w:r>
        <w:rPr>
          <w:sz w:val="19"/>
          <w:szCs w:val="19"/>
        </w:rPr>
        <w:t>in vivo interaction is possible</w:t>
      </w:r>
    </w:p>
    <w:p w14:paraId="67DFD367" w14:textId="77777777" w:rsidR="00541721" w:rsidRPr="00386C85" w:rsidRDefault="00541721" w:rsidP="00386C85">
      <w:pPr>
        <w:pStyle w:val="ListBullet"/>
        <w:spacing w:before="0" w:after="0" w:line="240" w:lineRule="auto"/>
        <w:rPr>
          <w:sz w:val="19"/>
          <w:szCs w:val="19"/>
        </w:rPr>
      </w:pPr>
      <w:proofErr w:type="gramStart"/>
      <w:r w:rsidRPr="00386C85">
        <w:rPr>
          <w:sz w:val="19"/>
          <w:szCs w:val="19"/>
        </w:rPr>
        <w:t>for</w:t>
      </w:r>
      <w:proofErr w:type="gramEnd"/>
      <w:r w:rsidRPr="00386C85">
        <w:rPr>
          <w:sz w:val="19"/>
          <w:szCs w:val="19"/>
        </w:rPr>
        <w:t xml:space="preserve"> hepatic uptake transporters (OCT1, OATP1B1 and OATP1B3): if the IC50 is ≤</w:t>
      </w:r>
      <w:r>
        <w:rPr>
          <w:sz w:val="19"/>
          <w:szCs w:val="19"/>
        </w:rPr>
        <w:t xml:space="preserve"> 25 </w:t>
      </w:r>
      <w:r w:rsidRPr="00386C85">
        <w:rPr>
          <w:sz w:val="19"/>
          <w:szCs w:val="19"/>
        </w:rPr>
        <w:t xml:space="preserve">fold the unbound hepatic inlet concentration, an in vivo </w:t>
      </w:r>
      <w:r>
        <w:rPr>
          <w:sz w:val="19"/>
          <w:szCs w:val="19"/>
        </w:rPr>
        <w:t>interaction is possible.</w:t>
      </w:r>
    </w:p>
  </w:footnote>
  <w:footnote w:id="13">
    <w:p w14:paraId="10BE0F21" w14:textId="77777777" w:rsidR="00541721" w:rsidRPr="00E032DB" w:rsidRDefault="00541721">
      <w:pPr>
        <w:pStyle w:val="FootnoteText"/>
        <w:rPr>
          <w:lang w:val="en-US"/>
        </w:rPr>
      </w:pPr>
      <w:r>
        <w:rPr>
          <w:rStyle w:val="FootnoteReference"/>
        </w:rPr>
        <w:footnoteRef/>
      </w:r>
      <w:r>
        <w:t xml:space="preserve"> MRP2: Multi-drug resistance protein 2; OATP: Organic anion-transporting polypeptide or OCT: Organic cation-transporter </w:t>
      </w:r>
    </w:p>
  </w:footnote>
  <w:footnote w:id="14">
    <w:p w14:paraId="6657305D" w14:textId="77777777" w:rsidR="00541721" w:rsidRPr="002A0319" w:rsidRDefault="00541721">
      <w:pPr>
        <w:pStyle w:val="FootnoteText"/>
        <w:rPr>
          <w:lang w:val="en-US"/>
        </w:rPr>
      </w:pPr>
      <w:r>
        <w:rPr>
          <w:rStyle w:val="FootnoteReference"/>
        </w:rPr>
        <w:footnoteRef/>
      </w:r>
      <w:r>
        <w:t xml:space="preserve"> </w:t>
      </w:r>
      <w:proofErr w:type="gramStart"/>
      <w:r>
        <w:rPr>
          <w:sz w:val="19"/>
          <w:szCs w:val="19"/>
        </w:rPr>
        <w:t>Assuming a 50 kg individual and mg/kg to mg/m</w:t>
      </w:r>
      <w:r>
        <w:rPr>
          <w:sz w:val="12"/>
          <w:szCs w:val="12"/>
        </w:rPr>
        <w:t xml:space="preserve">2 </w:t>
      </w:r>
      <w:r>
        <w:rPr>
          <w:sz w:val="19"/>
          <w:szCs w:val="19"/>
        </w:rPr>
        <w:t>conversion factors of 3, 6 and 33 for mice, rats and humans.</w:t>
      </w:r>
      <w:proofErr w:type="gramEnd"/>
    </w:p>
  </w:footnote>
  <w:footnote w:id="15">
    <w:p w14:paraId="39E755A6" w14:textId="77777777" w:rsidR="00541721" w:rsidRPr="002A0319" w:rsidRDefault="00541721">
      <w:pPr>
        <w:pStyle w:val="FootnoteText"/>
        <w:rPr>
          <w:lang w:val="en-US"/>
        </w:rPr>
      </w:pPr>
      <w:r>
        <w:rPr>
          <w:rStyle w:val="FootnoteReference"/>
        </w:rPr>
        <w:footnoteRef/>
      </w:r>
      <w:r>
        <w:t xml:space="preserve"> </w:t>
      </w:r>
      <w:r w:rsidRPr="00472330">
        <w:rPr>
          <w:sz w:val="19"/>
          <w:szCs w:val="19"/>
        </w:rPr>
        <w:t xml:space="preserve">ICH M3(R2): </w:t>
      </w:r>
      <w:r w:rsidRPr="00472330">
        <w:rPr>
          <w:iCs/>
          <w:sz w:val="19"/>
          <w:szCs w:val="19"/>
        </w:rPr>
        <w:t>Note for guidance on non-clinical safety studies for the conduct of human clinical trials and marketing authorisation for pharmaceuticals</w:t>
      </w:r>
      <w:r w:rsidRPr="00472330">
        <w:rPr>
          <w:sz w:val="19"/>
          <w:szCs w:val="19"/>
        </w:rPr>
        <w:t xml:space="preserve">; </w:t>
      </w:r>
      <w:r w:rsidRPr="00472330">
        <w:rPr>
          <w:iCs/>
          <w:sz w:val="19"/>
          <w:szCs w:val="19"/>
        </w:rPr>
        <w:t xml:space="preserve">Guideline on repeated dose toxicity </w:t>
      </w:r>
      <w:r w:rsidRPr="00472330">
        <w:rPr>
          <w:sz w:val="19"/>
          <w:szCs w:val="19"/>
        </w:rPr>
        <w:t xml:space="preserve">(CPMP/SWP/1042/99 Rev 1); TGA Amendment: </w:t>
      </w:r>
      <w:r w:rsidRPr="00472330">
        <w:rPr>
          <w:iCs/>
          <w:sz w:val="19"/>
          <w:szCs w:val="19"/>
        </w:rPr>
        <w:t>Note for Guidance on duration of chronic toxicity testing in animals (rodent and non-rodent toxicity testing)</w:t>
      </w:r>
      <w:r w:rsidRPr="00472330">
        <w:rPr>
          <w:sz w:val="19"/>
          <w:szCs w:val="19"/>
        </w:rPr>
        <w:t xml:space="preserve">; ICH S9: </w:t>
      </w:r>
      <w:r w:rsidRPr="00472330">
        <w:rPr>
          <w:iCs/>
          <w:sz w:val="19"/>
          <w:szCs w:val="19"/>
        </w:rPr>
        <w:t>Nonclinical evaluation for antica</w:t>
      </w:r>
      <w:r>
        <w:rPr>
          <w:iCs/>
          <w:sz w:val="19"/>
          <w:szCs w:val="19"/>
        </w:rPr>
        <w:t>ncer pharmaceuticals</w:t>
      </w:r>
    </w:p>
  </w:footnote>
  <w:footnote w:id="16">
    <w:p w14:paraId="7ACD906D" w14:textId="6046B97C" w:rsidR="00541721" w:rsidRPr="007607D4" w:rsidRDefault="00541721">
      <w:pPr>
        <w:pStyle w:val="FootnoteText"/>
        <w:rPr>
          <w:lang w:val="en-US"/>
        </w:rPr>
      </w:pPr>
      <w:r>
        <w:rPr>
          <w:rStyle w:val="FootnoteReference"/>
        </w:rPr>
        <w:footnoteRef/>
      </w:r>
      <w:r>
        <w:t xml:space="preserve"> </w:t>
      </w:r>
      <w:proofErr w:type="spellStart"/>
      <w:r w:rsidRPr="002A0319">
        <w:t>Farrés</w:t>
      </w:r>
      <w:proofErr w:type="spellEnd"/>
      <w:r w:rsidRPr="002A0319">
        <w:t xml:space="preserve"> et al., </w:t>
      </w:r>
      <w:r w:rsidRPr="007607D4">
        <w:t xml:space="preserve">2015 PARP-2 sustains erythropoiesis in mice by limiting replicative stress in erythroid progenitors. </w:t>
      </w:r>
      <w:r w:rsidRPr="00C005AD">
        <w:rPr>
          <w:i/>
        </w:rPr>
        <w:t>Cell Death Differ</w:t>
      </w:r>
      <w:r w:rsidRPr="007607D4">
        <w:t xml:space="preserve"> </w:t>
      </w:r>
      <w:r>
        <w:t xml:space="preserve">2015; </w:t>
      </w:r>
      <w:r w:rsidRPr="007607D4">
        <w:t>22: 1144–1157.</w:t>
      </w:r>
    </w:p>
  </w:footnote>
  <w:footnote w:id="17">
    <w:p w14:paraId="3B2A9E9C" w14:textId="0258B6E8" w:rsidR="00541721" w:rsidRPr="002A0319" w:rsidRDefault="00541721">
      <w:pPr>
        <w:pStyle w:val="FootnoteText"/>
        <w:rPr>
          <w:lang w:val="en-US"/>
        </w:rPr>
      </w:pPr>
      <w:r>
        <w:rPr>
          <w:rStyle w:val="FootnoteReference"/>
        </w:rPr>
        <w:footnoteRef/>
      </w:r>
      <w:r>
        <w:t xml:space="preserve"> </w:t>
      </w:r>
      <w:r>
        <w:rPr>
          <w:sz w:val="19"/>
          <w:szCs w:val="19"/>
        </w:rPr>
        <w:t>ICH S2(R1): Genotoxicity Testing and Data Interpretation for Pharmaceuticals Intended for Human Use</w:t>
      </w:r>
    </w:p>
  </w:footnote>
  <w:footnote w:id="18">
    <w:p w14:paraId="6D1387A2" w14:textId="206D953C" w:rsidR="00541721" w:rsidRPr="002A0319" w:rsidRDefault="00541721">
      <w:pPr>
        <w:pStyle w:val="FootnoteText"/>
        <w:rPr>
          <w:lang w:val="en-US"/>
        </w:rPr>
      </w:pPr>
      <w:r>
        <w:rPr>
          <w:rStyle w:val="FootnoteReference"/>
        </w:rPr>
        <w:footnoteRef/>
      </w:r>
      <w:r>
        <w:t xml:space="preserve"> </w:t>
      </w:r>
      <w:r>
        <w:rPr>
          <w:sz w:val="12"/>
          <w:szCs w:val="12"/>
        </w:rPr>
        <w:t xml:space="preserve"> </w:t>
      </w:r>
      <w:r>
        <w:rPr>
          <w:sz w:val="19"/>
          <w:szCs w:val="19"/>
        </w:rPr>
        <w:t>ICH S9: Nonclinical Evaluation for Anticancer Pharmaceuticals</w:t>
      </w:r>
      <w:r>
        <w:t xml:space="preserve"> </w:t>
      </w:r>
    </w:p>
  </w:footnote>
  <w:footnote w:id="19">
    <w:p w14:paraId="21473E33" w14:textId="1446BA98" w:rsidR="00541721" w:rsidRPr="00C005AD" w:rsidRDefault="00541721">
      <w:pPr>
        <w:pStyle w:val="FootnoteText"/>
        <w:rPr>
          <w:lang w:val="en-US"/>
        </w:rPr>
      </w:pPr>
      <w:r>
        <w:rPr>
          <w:rStyle w:val="FootnoteReference"/>
        </w:rPr>
        <w:footnoteRef/>
      </w:r>
      <w:r>
        <w:t xml:space="preserve"> </w:t>
      </w:r>
      <w:proofErr w:type="spellStart"/>
      <w:r w:rsidRPr="00C005AD">
        <w:t>Dantzer</w:t>
      </w:r>
      <w:proofErr w:type="spellEnd"/>
      <w:r w:rsidRPr="00C005AD">
        <w:t xml:space="preserve">, F. et al. (2006) </w:t>
      </w:r>
      <w:proofErr w:type="gramStart"/>
      <w:r w:rsidRPr="00C005AD">
        <w:t>Poly(</w:t>
      </w:r>
      <w:proofErr w:type="gramEnd"/>
      <w:r w:rsidRPr="00C005AD">
        <w:t xml:space="preserve">ADP-ribose) polymerase-2 contributes to the fidelity of male meiosis I and </w:t>
      </w:r>
      <w:proofErr w:type="spellStart"/>
      <w:r w:rsidRPr="00C005AD">
        <w:t>spermiogenesis</w:t>
      </w:r>
      <w:proofErr w:type="spellEnd"/>
      <w:r w:rsidRPr="00472330">
        <w:rPr>
          <w:i/>
        </w:rPr>
        <w:t>. Proc. Natl. Acad. Sci. USA</w:t>
      </w:r>
      <w:r w:rsidRPr="00C005AD">
        <w:t xml:space="preserve"> </w:t>
      </w:r>
      <w:r>
        <w:t xml:space="preserve">2006; </w:t>
      </w:r>
      <w:r w:rsidRPr="00C005AD">
        <w:t>103: 14854–14859</w:t>
      </w:r>
    </w:p>
  </w:footnote>
  <w:footnote w:id="20">
    <w:p w14:paraId="4529F72E" w14:textId="787105F3" w:rsidR="00541721" w:rsidRPr="00C005AD" w:rsidRDefault="00541721" w:rsidP="00C005AD">
      <w:pPr>
        <w:pStyle w:val="FootnoteText"/>
      </w:pPr>
      <w:r w:rsidRPr="00C005AD">
        <w:rPr>
          <w:rStyle w:val="FootnoteReference"/>
          <w:vertAlign w:val="baseline"/>
        </w:rPr>
        <w:footnoteRef/>
      </w:r>
      <w:r w:rsidRPr="00C005AD">
        <w:t xml:space="preserve"> </w:t>
      </w:r>
      <w:proofErr w:type="spellStart"/>
      <w:r w:rsidRPr="00C005AD">
        <w:t>Ménissier</w:t>
      </w:r>
      <w:proofErr w:type="spellEnd"/>
      <w:r w:rsidRPr="00C005AD">
        <w:t xml:space="preserve"> de Murcia, J. et al. (2003) Functional interaction between PARP-1 and PARP-2 in chromosome stability and embryonic development in mouse. </w:t>
      </w:r>
      <w:proofErr w:type="gramStart"/>
      <w:r w:rsidRPr="00C005AD">
        <w:rPr>
          <w:i/>
        </w:rPr>
        <w:t>EMBO J</w:t>
      </w:r>
      <w:r w:rsidRPr="00C005AD">
        <w:t xml:space="preserve">. </w:t>
      </w:r>
      <w:r>
        <w:t xml:space="preserve">2003; </w:t>
      </w:r>
      <w:r w:rsidRPr="00C005AD">
        <w:t>22: 2255–2263.</w:t>
      </w:r>
      <w:proofErr w:type="gramEnd"/>
    </w:p>
  </w:footnote>
  <w:footnote w:id="21">
    <w:p w14:paraId="75FC7294" w14:textId="77777777" w:rsidR="00541721" w:rsidRPr="00702114" w:rsidRDefault="00541721" w:rsidP="00702114">
      <w:pPr>
        <w:pStyle w:val="FootnoteText"/>
      </w:pPr>
      <w:r>
        <w:rPr>
          <w:rStyle w:val="FootnoteReference"/>
        </w:rPr>
        <w:footnoteRef/>
      </w:r>
      <w:r>
        <w:t xml:space="preserve"> </w:t>
      </w:r>
      <w:r w:rsidRPr="008373F3">
        <w:rPr>
          <w:rStyle w:val="FootnoteTextChar"/>
        </w:rPr>
        <w:t>Pregnancy Category D is classified as 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22">
    <w:p w14:paraId="70C493EB" w14:textId="22FE25FA" w:rsidR="00541721" w:rsidRPr="00702114" w:rsidRDefault="00541721">
      <w:pPr>
        <w:pStyle w:val="FootnoteText"/>
        <w:rPr>
          <w:lang w:val="en-US"/>
        </w:rPr>
      </w:pPr>
      <w:r>
        <w:rPr>
          <w:rStyle w:val="FootnoteReference"/>
        </w:rPr>
        <w:footnoteRef/>
      </w:r>
      <w:r>
        <w:t xml:space="preserve"> </w:t>
      </w:r>
      <w:proofErr w:type="spellStart"/>
      <w:r w:rsidRPr="00702114">
        <w:t>Robu</w:t>
      </w:r>
      <w:proofErr w:type="spellEnd"/>
      <w:r w:rsidRPr="00702114">
        <w:t xml:space="preserve">, M. et al. (2013) Role of </w:t>
      </w:r>
      <w:proofErr w:type="gramStart"/>
      <w:r w:rsidRPr="00702114">
        <w:t>poly(</w:t>
      </w:r>
      <w:proofErr w:type="gramEnd"/>
      <w:r w:rsidRPr="00702114">
        <w:t xml:space="preserve">ADP-ribose) polymerase-1 in the removal of UV-induced DNA lesions by nucleotide excision repair. </w:t>
      </w:r>
      <w:r w:rsidRPr="00DF5CF8">
        <w:rPr>
          <w:i/>
        </w:rPr>
        <w:t>Proc. Natl. Acad. Sci. USA</w:t>
      </w:r>
      <w:r w:rsidRPr="00702114">
        <w:t xml:space="preserve"> </w:t>
      </w:r>
      <w:r>
        <w:t xml:space="preserve">2013; </w:t>
      </w:r>
      <w:r w:rsidRPr="00702114">
        <w:t>110: 1658–1663.</w:t>
      </w:r>
    </w:p>
  </w:footnote>
  <w:footnote w:id="23">
    <w:p w14:paraId="406B9DD3" w14:textId="0B03B47A" w:rsidR="00541721" w:rsidRPr="00702114" w:rsidRDefault="00541721">
      <w:pPr>
        <w:pStyle w:val="FootnoteText"/>
        <w:rPr>
          <w:lang w:val="en-US"/>
        </w:rPr>
      </w:pPr>
      <w:r>
        <w:rPr>
          <w:rStyle w:val="FootnoteReference"/>
        </w:rPr>
        <w:footnoteRef/>
      </w:r>
      <w:r>
        <w:t xml:space="preserve"> </w:t>
      </w:r>
      <w:proofErr w:type="spellStart"/>
      <w:r w:rsidRPr="00702114">
        <w:t>Ménissier</w:t>
      </w:r>
      <w:proofErr w:type="spellEnd"/>
      <w:r w:rsidRPr="00702114">
        <w:t xml:space="preserve"> de Murcia, J. et al. (1997) Requirement of </w:t>
      </w:r>
      <w:proofErr w:type="gramStart"/>
      <w:r w:rsidRPr="00702114">
        <w:t>poly(</w:t>
      </w:r>
      <w:proofErr w:type="gramEnd"/>
      <w:r w:rsidRPr="00702114">
        <w:t xml:space="preserve">ADP-ribose) polymerase in recovery from DNA damage in mice and in cells. </w:t>
      </w:r>
      <w:r w:rsidRPr="00DF5CF8">
        <w:rPr>
          <w:i/>
        </w:rPr>
        <w:t>Proc. Natl. Acad. Sci. USA</w:t>
      </w:r>
      <w:r>
        <w:t xml:space="preserve">1997; </w:t>
      </w:r>
      <w:r w:rsidRPr="00702114">
        <w:t xml:space="preserve"> 94: 7303–7307</w:t>
      </w:r>
    </w:p>
  </w:footnote>
  <w:footnote w:id="24">
    <w:p w14:paraId="7B928070" w14:textId="282F58D4" w:rsidR="00541721" w:rsidRPr="00702114" w:rsidRDefault="00541721">
      <w:pPr>
        <w:pStyle w:val="FootnoteText"/>
        <w:rPr>
          <w:lang w:val="en-US"/>
        </w:rPr>
      </w:pPr>
      <w:r>
        <w:rPr>
          <w:rStyle w:val="FootnoteReference"/>
        </w:rPr>
        <w:footnoteRef/>
      </w:r>
      <w:r>
        <w:t xml:space="preserve"> </w:t>
      </w:r>
      <w:proofErr w:type="gramStart"/>
      <w:r w:rsidRPr="00702114">
        <w:t>Wang, Z.-Q.</w:t>
      </w:r>
      <w:proofErr w:type="gramEnd"/>
      <w:r w:rsidRPr="00702114">
        <w:t xml:space="preserve"> </w:t>
      </w:r>
      <w:proofErr w:type="gramStart"/>
      <w:r w:rsidRPr="00702114">
        <w:t>et</w:t>
      </w:r>
      <w:proofErr w:type="gramEnd"/>
      <w:r w:rsidRPr="00702114">
        <w:t xml:space="preserve"> al. (1995) Mice lacking ADPRT and poly(ADP-</w:t>
      </w:r>
      <w:proofErr w:type="spellStart"/>
      <w:r w:rsidRPr="00702114">
        <w:t>ribosyl</w:t>
      </w:r>
      <w:proofErr w:type="spellEnd"/>
      <w:r w:rsidRPr="00702114">
        <w:t>)</w:t>
      </w:r>
      <w:proofErr w:type="spellStart"/>
      <w:r w:rsidRPr="00702114">
        <w:t>ation</w:t>
      </w:r>
      <w:proofErr w:type="spellEnd"/>
      <w:r w:rsidRPr="00702114">
        <w:t xml:space="preserve"> develop normally but are susceptible to skin disease</w:t>
      </w:r>
      <w:r w:rsidRPr="00DF5CF8">
        <w:rPr>
          <w:i/>
        </w:rPr>
        <w:t>. Genes Develop</w:t>
      </w:r>
      <w:r w:rsidRPr="00702114">
        <w:t xml:space="preserve">. </w:t>
      </w:r>
      <w:proofErr w:type="gramStart"/>
      <w:r>
        <w:t xml:space="preserve">1995; </w:t>
      </w:r>
      <w:r w:rsidRPr="00702114">
        <w:t>9: 509–520.</w:t>
      </w:r>
      <w:proofErr w:type="gramEnd"/>
    </w:p>
  </w:footnote>
  <w:footnote w:id="25">
    <w:p w14:paraId="08C8F85E" w14:textId="77777777" w:rsidR="00541721" w:rsidRPr="00881C3F" w:rsidRDefault="00541721" w:rsidP="00EB0ACD">
      <w:pPr>
        <w:pStyle w:val="FootnoteText"/>
        <w:rPr>
          <w:lang w:val="en-US"/>
        </w:rPr>
      </w:pPr>
      <w:r>
        <w:rPr>
          <w:rStyle w:val="FootnoteReference"/>
        </w:rPr>
        <w:footnoteRef/>
      </w:r>
      <w:r>
        <w:t xml:space="preserve"> </w:t>
      </w:r>
      <w:r w:rsidRPr="00881C3F">
        <w:t>RECIST</w:t>
      </w:r>
      <w:r>
        <w:t>: Response Evaluation Criteria in Solid Tumours</w:t>
      </w:r>
    </w:p>
  </w:footnote>
  <w:footnote w:id="26">
    <w:p w14:paraId="109E7456" w14:textId="77777777" w:rsidR="00541721" w:rsidRPr="00881C3F" w:rsidRDefault="00541721">
      <w:pPr>
        <w:pStyle w:val="FootnoteText"/>
        <w:rPr>
          <w:lang w:val="en-US"/>
        </w:rPr>
      </w:pPr>
      <w:r>
        <w:rPr>
          <w:rStyle w:val="FootnoteReference"/>
        </w:rPr>
        <w:footnoteRef/>
      </w:r>
      <w:r>
        <w:t xml:space="preserve"> SmPC: </w:t>
      </w:r>
      <w:r w:rsidRPr="00881C3F">
        <w:t>Summary of Product Characteristics</w:t>
      </w:r>
    </w:p>
  </w:footnote>
  <w:footnote w:id="27">
    <w:p w14:paraId="29E1D039" w14:textId="77777777" w:rsidR="00541721" w:rsidRPr="003E2109" w:rsidRDefault="00541721" w:rsidP="003E2109">
      <w:pPr>
        <w:pStyle w:val="FootnoteText"/>
      </w:pPr>
      <w:r>
        <w:rPr>
          <w:rStyle w:val="FootnoteReference"/>
        </w:rPr>
        <w:footnoteRef/>
      </w:r>
      <w:r>
        <w:t xml:space="preserve"> </w:t>
      </w:r>
      <w:r>
        <w:rPr>
          <w:lang w:val="en-US"/>
        </w:rPr>
        <w:t xml:space="preserve">Alsop K et al </w:t>
      </w:r>
      <w:r w:rsidRPr="003E2109">
        <w:t>2012 BRCA Mutation Frequency and Patterns of Treatment Response in BRCA Mutation–Positive Women With Ovarian Cancer: A Report From the Australian Ovarian Cancer Study Group</w:t>
      </w:r>
      <w:r>
        <w:t xml:space="preserve"> </w:t>
      </w:r>
      <w:r w:rsidRPr="003E2109">
        <w:rPr>
          <w:i/>
        </w:rPr>
        <w:t xml:space="preserve">J </w:t>
      </w:r>
      <w:proofErr w:type="spellStart"/>
      <w:r w:rsidRPr="003E2109">
        <w:rPr>
          <w:i/>
        </w:rPr>
        <w:t>Clin</w:t>
      </w:r>
      <w:proofErr w:type="spellEnd"/>
      <w:r w:rsidRPr="003E2109">
        <w:rPr>
          <w:i/>
        </w:rPr>
        <w:t xml:space="preserve"> </w:t>
      </w:r>
      <w:proofErr w:type="spellStart"/>
      <w:r w:rsidRPr="003E2109">
        <w:rPr>
          <w:i/>
        </w:rPr>
        <w:t>Oncol</w:t>
      </w:r>
      <w:proofErr w:type="spellEnd"/>
      <w:r>
        <w:t xml:space="preserve"> 2012; 30: 2654-2663. And </w:t>
      </w:r>
      <w:r w:rsidRPr="003E2109">
        <w:rPr>
          <w:i/>
        </w:rPr>
        <w:t xml:space="preserve">J </w:t>
      </w:r>
      <w:proofErr w:type="spellStart"/>
      <w:r w:rsidRPr="003E2109">
        <w:rPr>
          <w:i/>
        </w:rPr>
        <w:t>Clin</w:t>
      </w:r>
      <w:proofErr w:type="spellEnd"/>
      <w:r w:rsidRPr="003E2109">
        <w:rPr>
          <w:i/>
        </w:rPr>
        <w:t xml:space="preserve"> </w:t>
      </w:r>
      <w:proofErr w:type="spellStart"/>
      <w:r w:rsidRPr="003E2109">
        <w:rPr>
          <w:i/>
        </w:rPr>
        <w:t>Oncol</w:t>
      </w:r>
      <w:proofErr w:type="spellEnd"/>
      <w:r>
        <w:rPr>
          <w:i/>
        </w:rPr>
        <w:t xml:space="preserve"> </w:t>
      </w:r>
      <w:r w:rsidRPr="003E2109">
        <w:t>2012; 47: 3777</w:t>
      </w:r>
    </w:p>
  </w:footnote>
  <w:footnote w:id="28">
    <w:p w14:paraId="56FDF166" w14:textId="77777777" w:rsidR="00541721" w:rsidRPr="003E2109" w:rsidRDefault="00541721">
      <w:pPr>
        <w:pStyle w:val="FootnoteText"/>
      </w:pPr>
      <w:r w:rsidRPr="003E2109">
        <w:rPr>
          <w:rStyle w:val="FootnoteReference"/>
        </w:rPr>
        <w:footnoteRef/>
      </w:r>
      <w:r w:rsidRPr="003E2109">
        <w:rPr>
          <w:vertAlign w:val="superscript"/>
        </w:rPr>
        <w:t xml:space="preserve"> </w:t>
      </w:r>
      <w:r w:rsidRPr="003E2109">
        <w:t xml:space="preserve">Mateo J et al, 2015. </w:t>
      </w:r>
      <w:proofErr w:type="gramStart"/>
      <w:r w:rsidRPr="003E2109">
        <w:rPr>
          <w:rStyle w:val="titledefault"/>
        </w:rPr>
        <w:t xml:space="preserve">DNA-Repair Defects and Olaparib in Metastatic Prostate </w:t>
      </w:r>
      <w:r w:rsidRPr="003E2109">
        <w:t>Cancer.</w:t>
      </w:r>
      <w:proofErr w:type="gramEnd"/>
      <w:r w:rsidRPr="003E2109">
        <w:t xml:space="preserve"> </w:t>
      </w:r>
      <w:r w:rsidRPr="003E2109">
        <w:rPr>
          <w:i/>
        </w:rPr>
        <w:t xml:space="preserve">N </w:t>
      </w:r>
      <w:proofErr w:type="spellStart"/>
      <w:r w:rsidRPr="003E2109">
        <w:rPr>
          <w:i/>
        </w:rPr>
        <w:t>Engl</w:t>
      </w:r>
      <w:proofErr w:type="spellEnd"/>
      <w:r w:rsidRPr="003E2109">
        <w:rPr>
          <w:i/>
        </w:rPr>
        <w:t xml:space="preserve"> J Med</w:t>
      </w:r>
      <w:r w:rsidRPr="003E2109">
        <w:t xml:space="preserve"> 2015; 373:</w:t>
      </w:r>
      <w:r>
        <w:t xml:space="preserve"> </w:t>
      </w:r>
      <w:r w:rsidRPr="003E2109">
        <w:t>1697-1708</w:t>
      </w:r>
    </w:p>
  </w:footnote>
  <w:footnote w:id="29">
    <w:p w14:paraId="0892FF45" w14:textId="025942C9" w:rsidR="00541721" w:rsidRPr="00412134" w:rsidRDefault="00541721">
      <w:pPr>
        <w:pStyle w:val="FootnoteText"/>
        <w:rPr>
          <w:lang w:val="en-US"/>
        </w:rPr>
      </w:pPr>
      <w:r>
        <w:rPr>
          <w:rStyle w:val="FootnoteReference"/>
        </w:rPr>
        <w:footnoteRef/>
      </w:r>
      <w:r>
        <w:t xml:space="preserve"> </w:t>
      </w:r>
      <w:r>
        <w:rPr>
          <w:lang w:val="en-US"/>
        </w:rPr>
        <w:t>At the time of consideration all outstanding issues related to quality aspects were resolved.</w:t>
      </w:r>
    </w:p>
  </w:footnote>
  <w:footnote w:id="30">
    <w:p w14:paraId="6722B5F6" w14:textId="2702E60F" w:rsidR="00541721" w:rsidRPr="008C6418" w:rsidRDefault="00541721">
      <w:pPr>
        <w:pStyle w:val="FootnoteText"/>
        <w:rPr>
          <w:lang w:val="en-US"/>
        </w:rPr>
      </w:pPr>
      <w:r>
        <w:rPr>
          <w:rStyle w:val="FootnoteReference"/>
        </w:rPr>
        <w:footnoteRef/>
      </w:r>
      <w:r>
        <w:t xml:space="preserve"> CA 125: Cancer antigen (CA)-125 (tumour biomarker)</w:t>
      </w:r>
    </w:p>
  </w:footnote>
  <w:footnote w:id="31">
    <w:p w14:paraId="39AB8B63" w14:textId="77777777" w:rsidR="00541721" w:rsidRPr="008C6418" w:rsidRDefault="00541721">
      <w:pPr>
        <w:pStyle w:val="FootnoteText"/>
        <w:rPr>
          <w:lang w:val="en-US"/>
        </w:rPr>
      </w:pPr>
      <w:r>
        <w:rPr>
          <w:rStyle w:val="FootnoteReference"/>
        </w:rPr>
        <w:footnoteRef/>
      </w:r>
      <w:r>
        <w:t xml:space="preserve"> </w:t>
      </w:r>
      <w:proofErr w:type="spellStart"/>
      <w:r w:rsidRPr="008C6418">
        <w:t>BRCAm</w:t>
      </w:r>
      <w:proofErr w:type="spellEnd"/>
      <w:r>
        <w:t xml:space="preserve">: </w:t>
      </w:r>
      <w:proofErr w:type="spellStart"/>
      <w:r>
        <w:t>gBRCA</w:t>
      </w:r>
      <w:proofErr w:type="spellEnd"/>
      <w:r>
        <w:t xml:space="preserve"> and/or </w:t>
      </w:r>
      <w:proofErr w:type="spellStart"/>
      <w:r>
        <w:t>tBRCA</w:t>
      </w:r>
      <w:proofErr w:type="spellEnd"/>
      <w:r>
        <w:t xml:space="preserve"> mutated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1305B" w14:textId="77777777" w:rsidR="00541721" w:rsidRDefault="0054172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667E2" w14:textId="77777777" w:rsidR="00541721" w:rsidRDefault="00541721">
    <w:pPr>
      <w:rPr>
        <w:noProof/>
        <w:lang w:eastAsia="en-AU"/>
      </w:rPr>
    </w:pPr>
    <w:r w:rsidRPr="00347824">
      <w:rPr>
        <w:noProof/>
        <w:lang w:eastAsia="en-AU"/>
      </w:rPr>
      <w:drawing>
        <wp:anchor distT="0" distB="0" distL="114300" distR="114300" simplePos="0" relativeHeight="251659264" behindDoc="1" locked="0" layoutInCell="1" allowOverlap="1" wp14:anchorId="00D2330C" wp14:editId="1AFD15C0">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46C2B2F" w14:textId="77777777" w:rsidR="00541721" w:rsidRDefault="00541721" w:rsidP="00593AD1">
    <w:pPr>
      <w:pStyle w:val="HeaderNoLine"/>
    </w:pPr>
    <w:r>
      <w:rPr>
        <w:noProof/>
        <w:lang w:eastAsia="en-AU"/>
      </w:rPr>
      <w:drawing>
        <wp:inline distT="0" distB="0" distL="0" distR="0" wp14:anchorId="7A3817AD" wp14:editId="54F144A4">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86912" w14:textId="77777777" w:rsidR="00541721" w:rsidRDefault="0054172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8570A" w14:textId="77777777" w:rsidR="00541721" w:rsidRDefault="00541721">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8B2A4" w14:textId="77777777" w:rsidR="00541721" w:rsidRDefault="0054172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1FBBB" w14:textId="77777777" w:rsidR="00541721" w:rsidRDefault="0054172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0EC93" w14:textId="77777777" w:rsidR="00541721" w:rsidRDefault="00541721"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CCB80" w14:textId="77777777" w:rsidR="00541721" w:rsidRDefault="00541721" w:rsidP="006E08B3">
    <w:r>
      <w:t>Therapeutic Goods Administration</w:t>
    </w:r>
  </w:p>
  <w:p w14:paraId="45E7C65D" w14:textId="77777777" w:rsidR="00541721" w:rsidRDefault="0054172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7D016E2"/>
    <w:lvl w:ilvl="0">
      <w:start w:val="1"/>
      <w:numFmt w:val="bullet"/>
      <w:lvlText w:val=""/>
      <w:lvlJc w:val="left"/>
      <w:pPr>
        <w:tabs>
          <w:tab w:val="num" w:pos="360"/>
        </w:tabs>
        <w:ind w:left="360" w:hanging="360"/>
      </w:pPr>
      <w:rPr>
        <w:rFonts w:ascii="Symbol" w:hAnsi="Symbol" w:hint="default"/>
      </w:rPr>
    </w:lvl>
  </w:abstractNum>
  <w:abstractNum w:abstractNumId="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46440B1C"/>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Times"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Times"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Times" w:hint="default"/>
      </w:rPr>
    </w:lvl>
    <w:lvl w:ilvl="8" w:tplc="0C090005" w:tentative="1">
      <w:start w:val="1"/>
      <w:numFmt w:val="bullet"/>
      <w:lvlText w:val=""/>
      <w:lvlJc w:val="left"/>
      <w:pPr>
        <w:tabs>
          <w:tab w:val="num" w:pos="6764"/>
        </w:tabs>
        <w:ind w:left="6764" w:hanging="360"/>
      </w:pPr>
      <w:rPr>
        <w:rFonts w:ascii="Wingdings" w:hAnsi="Wingdings" w:hint="default"/>
      </w:rPr>
    </w:lvl>
  </w:abstractNum>
  <w:num w:numId="1">
    <w:abstractNumId w:val="2"/>
  </w:num>
  <w:num w:numId="2">
    <w:abstractNumId w:val="1"/>
  </w:num>
  <w:num w:numId="3">
    <w:abstractNumId w:val="2"/>
  </w:num>
  <w:num w:numId="4">
    <w:abstractNumId w:val="1"/>
  </w:num>
  <w:num w:numId="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amde, Grant">
    <w15:presenceInfo w15:providerId="AD" w15:userId="S-1-5-21-602162358-1682526488-725345543-28349"/>
  </w15:person>
  <w15:person w15:author="Sykes, Carolyn">
    <w15:presenceInfo w15:providerId="AD" w15:userId="S-1-5-21-746137067-2049760794-682003330-295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12F"/>
    <w:rsid w:val="00002031"/>
    <w:rsid w:val="00004734"/>
    <w:rsid w:val="00006B22"/>
    <w:rsid w:val="00007E30"/>
    <w:rsid w:val="00010547"/>
    <w:rsid w:val="00012622"/>
    <w:rsid w:val="0001276A"/>
    <w:rsid w:val="000246AE"/>
    <w:rsid w:val="00025C67"/>
    <w:rsid w:val="0002673B"/>
    <w:rsid w:val="00043362"/>
    <w:rsid w:val="00044772"/>
    <w:rsid w:val="0005559E"/>
    <w:rsid w:val="000604D6"/>
    <w:rsid w:val="000734D8"/>
    <w:rsid w:val="00075860"/>
    <w:rsid w:val="000774E8"/>
    <w:rsid w:val="00077775"/>
    <w:rsid w:val="00084C79"/>
    <w:rsid w:val="000870B6"/>
    <w:rsid w:val="00087EFD"/>
    <w:rsid w:val="00090471"/>
    <w:rsid w:val="00091E6A"/>
    <w:rsid w:val="00096AA7"/>
    <w:rsid w:val="00097125"/>
    <w:rsid w:val="000A3AED"/>
    <w:rsid w:val="000A6F40"/>
    <w:rsid w:val="000B3532"/>
    <w:rsid w:val="000B3A75"/>
    <w:rsid w:val="000B5ED0"/>
    <w:rsid w:val="000C00C2"/>
    <w:rsid w:val="000C690F"/>
    <w:rsid w:val="000D1295"/>
    <w:rsid w:val="000D391B"/>
    <w:rsid w:val="000D3D6D"/>
    <w:rsid w:val="000D4FC7"/>
    <w:rsid w:val="000D7B7A"/>
    <w:rsid w:val="000E5D0F"/>
    <w:rsid w:val="000E6196"/>
    <w:rsid w:val="000F4869"/>
    <w:rsid w:val="000F5B42"/>
    <w:rsid w:val="000F6E6F"/>
    <w:rsid w:val="0010405A"/>
    <w:rsid w:val="0010601F"/>
    <w:rsid w:val="00107063"/>
    <w:rsid w:val="0010788A"/>
    <w:rsid w:val="00107A31"/>
    <w:rsid w:val="00110851"/>
    <w:rsid w:val="00110EA5"/>
    <w:rsid w:val="00112F56"/>
    <w:rsid w:val="001178A9"/>
    <w:rsid w:val="0012097B"/>
    <w:rsid w:val="00121EAE"/>
    <w:rsid w:val="00124ACD"/>
    <w:rsid w:val="00125318"/>
    <w:rsid w:val="001305A2"/>
    <w:rsid w:val="001330A9"/>
    <w:rsid w:val="00133238"/>
    <w:rsid w:val="00133A1B"/>
    <w:rsid w:val="0014197B"/>
    <w:rsid w:val="001447CD"/>
    <w:rsid w:val="001516B1"/>
    <w:rsid w:val="00154EBB"/>
    <w:rsid w:val="00156316"/>
    <w:rsid w:val="00161181"/>
    <w:rsid w:val="00162D14"/>
    <w:rsid w:val="00163780"/>
    <w:rsid w:val="00165389"/>
    <w:rsid w:val="00172769"/>
    <w:rsid w:val="00175320"/>
    <w:rsid w:val="00175C87"/>
    <w:rsid w:val="0017693F"/>
    <w:rsid w:val="00177516"/>
    <w:rsid w:val="0018110E"/>
    <w:rsid w:val="00181684"/>
    <w:rsid w:val="001843C6"/>
    <w:rsid w:val="001850E0"/>
    <w:rsid w:val="00187A24"/>
    <w:rsid w:val="001A2158"/>
    <w:rsid w:val="001A525F"/>
    <w:rsid w:val="001B09F9"/>
    <w:rsid w:val="001B5C90"/>
    <w:rsid w:val="001B6448"/>
    <w:rsid w:val="001C32CD"/>
    <w:rsid w:val="001D2984"/>
    <w:rsid w:val="001D4667"/>
    <w:rsid w:val="001D725A"/>
    <w:rsid w:val="001E07CF"/>
    <w:rsid w:val="001E59F1"/>
    <w:rsid w:val="001F2CEE"/>
    <w:rsid w:val="001F49EB"/>
    <w:rsid w:val="001F6CBA"/>
    <w:rsid w:val="00201D4E"/>
    <w:rsid w:val="00207151"/>
    <w:rsid w:val="0020738B"/>
    <w:rsid w:val="002076C9"/>
    <w:rsid w:val="00214786"/>
    <w:rsid w:val="00220B8A"/>
    <w:rsid w:val="002257F3"/>
    <w:rsid w:val="00233456"/>
    <w:rsid w:val="002339A5"/>
    <w:rsid w:val="00235934"/>
    <w:rsid w:val="00236021"/>
    <w:rsid w:val="00257848"/>
    <w:rsid w:val="0027084A"/>
    <w:rsid w:val="00275752"/>
    <w:rsid w:val="00286434"/>
    <w:rsid w:val="00286C59"/>
    <w:rsid w:val="00291957"/>
    <w:rsid w:val="00292F92"/>
    <w:rsid w:val="002942D1"/>
    <w:rsid w:val="0029501A"/>
    <w:rsid w:val="002A0319"/>
    <w:rsid w:val="002A1B2F"/>
    <w:rsid w:val="002A3721"/>
    <w:rsid w:val="002B1638"/>
    <w:rsid w:val="002B3624"/>
    <w:rsid w:val="002B698E"/>
    <w:rsid w:val="002C76E5"/>
    <w:rsid w:val="002D0952"/>
    <w:rsid w:val="002D580F"/>
    <w:rsid w:val="002E40B3"/>
    <w:rsid w:val="002E4C9A"/>
    <w:rsid w:val="002F11F8"/>
    <w:rsid w:val="002F3F56"/>
    <w:rsid w:val="002F44B5"/>
    <w:rsid w:val="003032AA"/>
    <w:rsid w:val="00311AC0"/>
    <w:rsid w:val="003176FC"/>
    <w:rsid w:val="00321519"/>
    <w:rsid w:val="0032583B"/>
    <w:rsid w:val="00327883"/>
    <w:rsid w:val="00331C5D"/>
    <w:rsid w:val="00335504"/>
    <w:rsid w:val="00340C18"/>
    <w:rsid w:val="003442FD"/>
    <w:rsid w:val="00347162"/>
    <w:rsid w:val="00347824"/>
    <w:rsid w:val="00350567"/>
    <w:rsid w:val="003521E8"/>
    <w:rsid w:val="0036670A"/>
    <w:rsid w:val="00370353"/>
    <w:rsid w:val="00370CE3"/>
    <w:rsid w:val="003728F3"/>
    <w:rsid w:val="0037496E"/>
    <w:rsid w:val="00377588"/>
    <w:rsid w:val="00383221"/>
    <w:rsid w:val="00386150"/>
    <w:rsid w:val="00386C85"/>
    <w:rsid w:val="003874CE"/>
    <w:rsid w:val="00390900"/>
    <w:rsid w:val="00397B81"/>
    <w:rsid w:val="003A69DF"/>
    <w:rsid w:val="003A7F6C"/>
    <w:rsid w:val="003B4D60"/>
    <w:rsid w:val="003B7E39"/>
    <w:rsid w:val="003C19ED"/>
    <w:rsid w:val="003C58DC"/>
    <w:rsid w:val="003D1E62"/>
    <w:rsid w:val="003D25BC"/>
    <w:rsid w:val="003E0B99"/>
    <w:rsid w:val="003E2109"/>
    <w:rsid w:val="003E2486"/>
    <w:rsid w:val="003E3208"/>
    <w:rsid w:val="003E5EB6"/>
    <w:rsid w:val="003F0B04"/>
    <w:rsid w:val="0040134E"/>
    <w:rsid w:val="00412134"/>
    <w:rsid w:val="0041711A"/>
    <w:rsid w:val="004334C7"/>
    <w:rsid w:val="00440A2D"/>
    <w:rsid w:val="00441C3F"/>
    <w:rsid w:val="00455FC7"/>
    <w:rsid w:val="004564A7"/>
    <w:rsid w:val="00456647"/>
    <w:rsid w:val="00456765"/>
    <w:rsid w:val="004617BF"/>
    <w:rsid w:val="00462769"/>
    <w:rsid w:val="0046352C"/>
    <w:rsid w:val="00463658"/>
    <w:rsid w:val="004637A0"/>
    <w:rsid w:val="00466066"/>
    <w:rsid w:val="00466A51"/>
    <w:rsid w:val="00466FD5"/>
    <w:rsid w:val="004722CC"/>
    <w:rsid w:val="00472330"/>
    <w:rsid w:val="00475D5E"/>
    <w:rsid w:val="004829BC"/>
    <w:rsid w:val="004871A9"/>
    <w:rsid w:val="004936E4"/>
    <w:rsid w:val="00494E60"/>
    <w:rsid w:val="00497487"/>
    <w:rsid w:val="004A6189"/>
    <w:rsid w:val="004A7390"/>
    <w:rsid w:val="004B4584"/>
    <w:rsid w:val="004B7B76"/>
    <w:rsid w:val="004C239D"/>
    <w:rsid w:val="004C2DCA"/>
    <w:rsid w:val="004C3A06"/>
    <w:rsid w:val="004C61D2"/>
    <w:rsid w:val="004E22FE"/>
    <w:rsid w:val="004F0C4A"/>
    <w:rsid w:val="004F0F38"/>
    <w:rsid w:val="004F47D6"/>
    <w:rsid w:val="00500337"/>
    <w:rsid w:val="00501921"/>
    <w:rsid w:val="005021EE"/>
    <w:rsid w:val="005074AE"/>
    <w:rsid w:val="00530354"/>
    <w:rsid w:val="00534C42"/>
    <w:rsid w:val="0053625B"/>
    <w:rsid w:val="00541721"/>
    <w:rsid w:val="005434C6"/>
    <w:rsid w:val="00543B39"/>
    <w:rsid w:val="00543D26"/>
    <w:rsid w:val="00543D50"/>
    <w:rsid w:val="00546154"/>
    <w:rsid w:val="00550096"/>
    <w:rsid w:val="00555280"/>
    <w:rsid w:val="00557FF9"/>
    <w:rsid w:val="00562327"/>
    <w:rsid w:val="00570669"/>
    <w:rsid w:val="005711D5"/>
    <w:rsid w:val="00573130"/>
    <w:rsid w:val="00576378"/>
    <w:rsid w:val="00577130"/>
    <w:rsid w:val="00577945"/>
    <w:rsid w:val="00577E38"/>
    <w:rsid w:val="00585322"/>
    <w:rsid w:val="005857C6"/>
    <w:rsid w:val="00592F6E"/>
    <w:rsid w:val="00593AD1"/>
    <w:rsid w:val="005A68B6"/>
    <w:rsid w:val="005A7379"/>
    <w:rsid w:val="005B485D"/>
    <w:rsid w:val="005C5570"/>
    <w:rsid w:val="005C79A4"/>
    <w:rsid w:val="005D43E1"/>
    <w:rsid w:val="005D5442"/>
    <w:rsid w:val="005D5763"/>
    <w:rsid w:val="005D64FB"/>
    <w:rsid w:val="005E6C4F"/>
    <w:rsid w:val="005F182D"/>
    <w:rsid w:val="005F3C2C"/>
    <w:rsid w:val="005F4181"/>
    <w:rsid w:val="00603F32"/>
    <w:rsid w:val="00605AD4"/>
    <w:rsid w:val="00605C65"/>
    <w:rsid w:val="006136D7"/>
    <w:rsid w:val="00615313"/>
    <w:rsid w:val="00623993"/>
    <w:rsid w:val="00625A6E"/>
    <w:rsid w:val="00632398"/>
    <w:rsid w:val="00640FC3"/>
    <w:rsid w:val="00642020"/>
    <w:rsid w:val="00647CA1"/>
    <w:rsid w:val="00650B5C"/>
    <w:rsid w:val="0065337B"/>
    <w:rsid w:val="0065419D"/>
    <w:rsid w:val="006604D8"/>
    <w:rsid w:val="00664A5B"/>
    <w:rsid w:val="0066735C"/>
    <w:rsid w:val="00672809"/>
    <w:rsid w:val="006763D2"/>
    <w:rsid w:val="00680C08"/>
    <w:rsid w:val="00685F87"/>
    <w:rsid w:val="006916A0"/>
    <w:rsid w:val="006931B1"/>
    <w:rsid w:val="006A15C0"/>
    <w:rsid w:val="006A17EC"/>
    <w:rsid w:val="006B53D0"/>
    <w:rsid w:val="006C3E2A"/>
    <w:rsid w:val="006C642F"/>
    <w:rsid w:val="006D03E5"/>
    <w:rsid w:val="006D5D3E"/>
    <w:rsid w:val="006E08B3"/>
    <w:rsid w:val="006F0F80"/>
    <w:rsid w:val="006F17AC"/>
    <w:rsid w:val="006F25B8"/>
    <w:rsid w:val="006F572E"/>
    <w:rsid w:val="006F6C54"/>
    <w:rsid w:val="00702114"/>
    <w:rsid w:val="007046D6"/>
    <w:rsid w:val="00705DB0"/>
    <w:rsid w:val="00714D03"/>
    <w:rsid w:val="00722B57"/>
    <w:rsid w:val="00730F8A"/>
    <w:rsid w:val="00735A8C"/>
    <w:rsid w:val="0074253D"/>
    <w:rsid w:val="0074429B"/>
    <w:rsid w:val="00757690"/>
    <w:rsid w:val="007607D4"/>
    <w:rsid w:val="007615BC"/>
    <w:rsid w:val="00762F05"/>
    <w:rsid w:val="007642DE"/>
    <w:rsid w:val="007652FF"/>
    <w:rsid w:val="007701EF"/>
    <w:rsid w:val="00770CAC"/>
    <w:rsid w:val="00770EF1"/>
    <w:rsid w:val="00773EF7"/>
    <w:rsid w:val="00774D1E"/>
    <w:rsid w:val="00774E1D"/>
    <w:rsid w:val="0077547D"/>
    <w:rsid w:val="007765D8"/>
    <w:rsid w:val="0077675A"/>
    <w:rsid w:val="00780355"/>
    <w:rsid w:val="007819A6"/>
    <w:rsid w:val="007819FD"/>
    <w:rsid w:val="00782BEC"/>
    <w:rsid w:val="00785717"/>
    <w:rsid w:val="00785721"/>
    <w:rsid w:val="0078603C"/>
    <w:rsid w:val="00793A59"/>
    <w:rsid w:val="007A266E"/>
    <w:rsid w:val="007A46F5"/>
    <w:rsid w:val="007B6132"/>
    <w:rsid w:val="007B6E9F"/>
    <w:rsid w:val="007C1216"/>
    <w:rsid w:val="007C1AF7"/>
    <w:rsid w:val="007C1CEA"/>
    <w:rsid w:val="007C6B9B"/>
    <w:rsid w:val="007E0A5B"/>
    <w:rsid w:val="007F104F"/>
    <w:rsid w:val="00805D27"/>
    <w:rsid w:val="00806575"/>
    <w:rsid w:val="00806DCB"/>
    <w:rsid w:val="00821776"/>
    <w:rsid w:val="00830FA5"/>
    <w:rsid w:val="0083178C"/>
    <w:rsid w:val="008321F5"/>
    <w:rsid w:val="00832369"/>
    <w:rsid w:val="00834660"/>
    <w:rsid w:val="00836BC2"/>
    <w:rsid w:val="008373F3"/>
    <w:rsid w:val="0085156D"/>
    <w:rsid w:val="00852D17"/>
    <w:rsid w:val="0085641B"/>
    <w:rsid w:val="00857136"/>
    <w:rsid w:val="00862D2F"/>
    <w:rsid w:val="0087127E"/>
    <w:rsid w:val="00875A6B"/>
    <w:rsid w:val="00880F40"/>
    <w:rsid w:val="00881C3F"/>
    <w:rsid w:val="00885B11"/>
    <w:rsid w:val="00886D15"/>
    <w:rsid w:val="00887DD8"/>
    <w:rsid w:val="008903A9"/>
    <w:rsid w:val="00891BA9"/>
    <w:rsid w:val="00896018"/>
    <w:rsid w:val="008960DD"/>
    <w:rsid w:val="0089635C"/>
    <w:rsid w:val="008A2B9D"/>
    <w:rsid w:val="008A3D9F"/>
    <w:rsid w:val="008A5E0B"/>
    <w:rsid w:val="008A6D59"/>
    <w:rsid w:val="008A7D46"/>
    <w:rsid w:val="008B4B03"/>
    <w:rsid w:val="008B596F"/>
    <w:rsid w:val="008C159F"/>
    <w:rsid w:val="008C1623"/>
    <w:rsid w:val="008C1850"/>
    <w:rsid w:val="008C51A9"/>
    <w:rsid w:val="008C6418"/>
    <w:rsid w:val="008E4225"/>
    <w:rsid w:val="008E7846"/>
    <w:rsid w:val="008F02E5"/>
    <w:rsid w:val="008F1CCC"/>
    <w:rsid w:val="008F2967"/>
    <w:rsid w:val="008F498E"/>
    <w:rsid w:val="008F6943"/>
    <w:rsid w:val="00902A21"/>
    <w:rsid w:val="009031A8"/>
    <w:rsid w:val="00920330"/>
    <w:rsid w:val="009219D7"/>
    <w:rsid w:val="00922D53"/>
    <w:rsid w:val="00923B70"/>
    <w:rsid w:val="00924482"/>
    <w:rsid w:val="00930237"/>
    <w:rsid w:val="00937C17"/>
    <w:rsid w:val="00940A89"/>
    <w:rsid w:val="00946EA5"/>
    <w:rsid w:val="0094739B"/>
    <w:rsid w:val="00963C08"/>
    <w:rsid w:val="009703D3"/>
    <w:rsid w:val="00973865"/>
    <w:rsid w:val="009752A5"/>
    <w:rsid w:val="0098585A"/>
    <w:rsid w:val="00987CB6"/>
    <w:rsid w:val="00996E08"/>
    <w:rsid w:val="009A4CED"/>
    <w:rsid w:val="009A690D"/>
    <w:rsid w:val="009A73AE"/>
    <w:rsid w:val="009B1B52"/>
    <w:rsid w:val="009B1D12"/>
    <w:rsid w:val="009B416B"/>
    <w:rsid w:val="009C4BD5"/>
    <w:rsid w:val="009D7B77"/>
    <w:rsid w:val="009E0BB0"/>
    <w:rsid w:val="009E2F03"/>
    <w:rsid w:val="009E3FBB"/>
    <w:rsid w:val="009E74C4"/>
    <w:rsid w:val="009F7353"/>
    <w:rsid w:val="00A04F85"/>
    <w:rsid w:val="00A05FA4"/>
    <w:rsid w:val="00A06EB3"/>
    <w:rsid w:val="00A102E4"/>
    <w:rsid w:val="00A12C42"/>
    <w:rsid w:val="00A14DF7"/>
    <w:rsid w:val="00A27946"/>
    <w:rsid w:val="00A3246D"/>
    <w:rsid w:val="00A36FA7"/>
    <w:rsid w:val="00A37F72"/>
    <w:rsid w:val="00A44DDB"/>
    <w:rsid w:val="00A475B7"/>
    <w:rsid w:val="00A47AF7"/>
    <w:rsid w:val="00A47C3E"/>
    <w:rsid w:val="00A50226"/>
    <w:rsid w:val="00A5248F"/>
    <w:rsid w:val="00A55AAE"/>
    <w:rsid w:val="00A60A94"/>
    <w:rsid w:val="00A60BAD"/>
    <w:rsid w:val="00A80B5B"/>
    <w:rsid w:val="00A83787"/>
    <w:rsid w:val="00A84E36"/>
    <w:rsid w:val="00A9459F"/>
    <w:rsid w:val="00A964D1"/>
    <w:rsid w:val="00AA0ED0"/>
    <w:rsid w:val="00AA328B"/>
    <w:rsid w:val="00AA60FE"/>
    <w:rsid w:val="00AB0292"/>
    <w:rsid w:val="00AB657F"/>
    <w:rsid w:val="00AB7502"/>
    <w:rsid w:val="00AC04DF"/>
    <w:rsid w:val="00AC2B40"/>
    <w:rsid w:val="00AC2BB2"/>
    <w:rsid w:val="00AC2C3C"/>
    <w:rsid w:val="00AC512D"/>
    <w:rsid w:val="00AD0083"/>
    <w:rsid w:val="00AD3935"/>
    <w:rsid w:val="00AD3CEE"/>
    <w:rsid w:val="00AD665E"/>
    <w:rsid w:val="00AE65EB"/>
    <w:rsid w:val="00AE67A7"/>
    <w:rsid w:val="00AF1D94"/>
    <w:rsid w:val="00AF3471"/>
    <w:rsid w:val="00AF60C5"/>
    <w:rsid w:val="00B009C6"/>
    <w:rsid w:val="00B01548"/>
    <w:rsid w:val="00B13EBD"/>
    <w:rsid w:val="00B21D29"/>
    <w:rsid w:val="00B25034"/>
    <w:rsid w:val="00B33588"/>
    <w:rsid w:val="00B33863"/>
    <w:rsid w:val="00B37D17"/>
    <w:rsid w:val="00B4175E"/>
    <w:rsid w:val="00B41C85"/>
    <w:rsid w:val="00B452CE"/>
    <w:rsid w:val="00B54C25"/>
    <w:rsid w:val="00B6439C"/>
    <w:rsid w:val="00B76B91"/>
    <w:rsid w:val="00B77EB1"/>
    <w:rsid w:val="00B811C6"/>
    <w:rsid w:val="00B855B0"/>
    <w:rsid w:val="00B91371"/>
    <w:rsid w:val="00B92E08"/>
    <w:rsid w:val="00BA2817"/>
    <w:rsid w:val="00BA708C"/>
    <w:rsid w:val="00BC2377"/>
    <w:rsid w:val="00BC622A"/>
    <w:rsid w:val="00BE0A78"/>
    <w:rsid w:val="00BE2425"/>
    <w:rsid w:val="00BE79F0"/>
    <w:rsid w:val="00BF046D"/>
    <w:rsid w:val="00BF1190"/>
    <w:rsid w:val="00BF28AC"/>
    <w:rsid w:val="00BF5D04"/>
    <w:rsid w:val="00C005AD"/>
    <w:rsid w:val="00C009AA"/>
    <w:rsid w:val="00C1164D"/>
    <w:rsid w:val="00C16861"/>
    <w:rsid w:val="00C21707"/>
    <w:rsid w:val="00C224F8"/>
    <w:rsid w:val="00C346AB"/>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804A8"/>
    <w:rsid w:val="00C84777"/>
    <w:rsid w:val="00C9195E"/>
    <w:rsid w:val="00C94CD4"/>
    <w:rsid w:val="00C9747E"/>
    <w:rsid w:val="00CB64FA"/>
    <w:rsid w:val="00CB6BC0"/>
    <w:rsid w:val="00CC1B7C"/>
    <w:rsid w:val="00CC3CF8"/>
    <w:rsid w:val="00CC727F"/>
    <w:rsid w:val="00CF15C3"/>
    <w:rsid w:val="00CF2B6F"/>
    <w:rsid w:val="00CF2F3E"/>
    <w:rsid w:val="00CF58B6"/>
    <w:rsid w:val="00D0062D"/>
    <w:rsid w:val="00D017ED"/>
    <w:rsid w:val="00D040D3"/>
    <w:rsid w:val="00D04C65"/>
    <w:rsid w:val="00D1252E"/>
    <w:rsid w:val="00D201D2"/>
    <w:rsid w:val="00D224FE"/>
    <w:rsid w:val="00D23139"/>
    <w:rsid w:val="00D425BB"/>
    <w:rsid w:val="00D476D7"/>
    <w:rsid w:val="00D6493E"/>
    <w:rsid w:val="00D659F1"/>
    <w:rsid w:val="00D7195D"/>
    <w:rsid w:val="00D7301E"/>
    <w:rsid w:val="00D74054"/>
    <w:rsid w:val="00D81FEC"/>
    <w:rsid w:val="00D83AE1"/>
    <w:rsid w:val="00D855D4"/>
    <w:rsid w:val="00D902C9"/>
    <w:rsid w:val="00D93466"/>
    <w:rsid w:val="00DA1124"/>
    <w:rsid w:val="00DA14B6"/>
    <w:rsid w:val="00DB6124"/>
    <w:rsid w:val="00DB750B"/>
    <w:rsid w:val="00DB75B7"/>
    <w:rsid w:val="00DC4ED7"/>
    <w:rsid w:val="00DC6E02"/>
    <w:rsid w:val="00DD28CD"/>
    <w:rsid w:val="00DE02AE"/>
    <w:rsid w:val="00DF1D7F"/>
    <w:rsid w:val="00DF4BE4"/>
    <w:rsid w:val="00DF5CF8"/>
    <w:rsid w:val="00E02FB4"/>
    <w:rsid w:val="00E032DB"/>
    <w:rsid w:val="00E1148F"/>
    <w:rsid w:val="00E13FC7"/>
    <w:rsid w:val="00E20571"/>
    <w:rsid w:val="00E209C2"/>
    <w:rsid w:val="00E21A7D"/>
    <w:rsid w:val="00E235F7"/>
    <w:rsid w:val="00E23659"/>
    <w:rsid w:val="00E239D4"/>
    <w:rsid w:val="00E25D3F"/>
    <w:rsid w:val="00E26130"/>
    <w:rsid w:val="00E40B22"/>
    <w:rsid w:val="00E44ED1"/>
    <w:rsid w:val="00E45619"/>
    <w:rsid w:val="00E4588F"/>
    <w:rsid w:val="00E46DA3"/>
    <w:rsid w:val="00E51BB1"/>
    <w:rsid w:val="00E624A5"/>
    <w:rsid w:val="00E63089"/>
    <w:rsid w:val="00E64BA4"/>
    <w:rsid w:val="00E71FC7"/>
    <w:rsid w:val="00E7344E"/>
    <w:rsid w:val="00E819C9"/>
    <w:rsid w:val="00E82665"/>
    <w:rsid w:val="00EA0166"/>
    <w:rsid w:val="00EA742C"/>
    <w:rsid w:val="00EB0798"/>
    <w:rsid w:val="00EB0ACD"/>
    <w:rsid w:val="00EB40AD"/>
    <w:rsid w:val="00EB586E"/>
    <w:rsid w:val="00EB5FC8"/>
    <w:rsid w:val="00EC2BC5"/>
    <w:rsid w:val="00EC463D"/>
    <w:rsid w:val="00EC7A85"/>
    <w:rsid w:val="00ED2922"/>
    <w:rsid w:val="00ED3CAD"/>
    <w:rsid w:val="00ED5A41"/>
    <w:rsid w:val="00EE112F"/>
    <w:rsid w:val="00EE1DE8"/>
    <w:rsid w:val="00EE27C2"/>
    <w:rsid w:val="00EE54CA"/>
    <w:rsid w:val="00EF4BAD"/>
    <w:rsid w:val="00EF59DC"/>
    <w:rsid w:val="00F01F74"/>
    <w:rsid w:val="00F033EC"/>
    <w:rsid w:val="00F03EBB"/>
    <w:rsid w:val="00F04F68"/>
    <w:rsid w:val="00F12670"/>
    <w:rsid w:val="00F12C72"/>
    <w:rsid w:val="00F14B27"/>
    <w:rsid w:val="00F1763B"/>
    <w:rsid w:val="00F2359C"/>
    <w:rsid w:val="00F3148D"/>
    <w:rsid w:val="00F325C5"/>
    <w:rsid w:val="00F32FE0"/>
    <w:rsid w:val="00F35298"/>
    <w:rsid w:val="00F4675C"/>
    <w:rsid w:val="00F47333"/>
    <w:rsid w:val="00F47E37"/>
    <w:rsid w:val="00F53C07"/>
    <w:rsid w:val="00F54B65"/>
    <w:rsid w:val="00F640B6"/>
    <w:rsid w:val="00F66DF2"/>
    <w:rsid w:val="00F765E3"/>
    <w:rsid w:val="00F80E40"/>
    <w:rsid w:val="00F848D9"/>
    <w:rsid w:val="00F96C17"/>
    <w:rsid w:val="00F97080"/>
    <w:rsid w:val="00FA5B82"/>
    <w:rsid w:val="00FA639E"/>
    <w:rsid w:val="00FC1FCA"/>
    <w:rsid w:val="00FC25E4"/>
    <w:rsid w:val="00FC4EF7"/>
    <w:rsid w:val="00FD0824"/>
    <w:rsid w:val="00FD119B"/>
    <w:rsid w:val="00FD1EDC"/>
    <w:rsid w:val="00FE1DEE"/>
    <w:rsid w:val="00FF2126"/>
    <w:rsid w:val="00FF5755"/>
    <w:rsid w:val="00FF69BE"/>
    <w:rsid w:val="00FF7B93"/>
    <w:rsid w:val="00FF7FD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DF1D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E2F03"/>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541721"/>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odyText1">
    <w:name w:val="Body Text1"/>
    <w:basedOn w:val="Normal"/>
    <w:rsid w:val="00177516"/>
    <w:pPr>
      <w:spacing w:before="0" w:after="200" w:line="240" w:lineRule="auto"/>
    </w:pPr>
    <w:rPr>
      <w:rFonts w:ascii="Arial" w:eastAsia="Times New Roman" w:hAnsi="Arial" w:cs="Arial"/>
      <w:sz w:val="20"/>
      <w:szCs w:val="20"/>
      <w:lang w:val="en-GB"/>
    </w:rPr>
  </w:style>
  <w:style w:type="paragraph" w:customStyle="1" w:styleId="Default">
    <w:name w:val="Default"/>
    <w:rsid w:val="009E74C4"/>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rsid w:val="00D659F1"/>
    <w:pPr>
      <w:spacing w:beforeLines="1" w:before="180" w:afterLines="1" w:after="180" w:line="240" w:lineRule="auto"/>
      <w:jc w:val="both"/>
    </w:pPr>
    <w:rPr>
      <w:rFonts w:ascii="Times" w:eastAsia="Times New Roman" w:hAnsi="Times"/>
      <w:sz w:val="20"/>
      <w:szCs w:val="20"/>
    </w:rPr>
  </w:style>
  <w:style w:type="paragraph" w:styleId="ListParagraph">
    <w:name w:val="List Paragraph"/>
    <w:basedOn w:val="Normal"/>
    <w:uiPriority w:val="34"/>
    <w:qFormat/>
    <w:rsid w:val="00D659F1"/>
    <w:pPr>
      <w:spacing w:before="0" w:after="0" w:line="240" w:lineRule="auto"/>
      <w:ind w:left="720"/>
      <w:contextualSpacing/>
    </w:pPr>
    <w:rPr>
      <w:rFonts w:asciiTheme="minorHAnsi" w:eastAsiaTheme="minorEastAsia" w:hAnsiTheme="minorHAnsi" w:cstheme="minorBidi"/>
      <w:sz w:val="24"/>
      <w:szCs w:val="24"/>
      <w:lang w:val="en-US"/>
    </w:rPr>
  </w:style>
  <w:style w:type="paragraph" w:customStyle="1" w:styleId="Bullet2">
    <w:name w:val="Bullet 2"/>
    <w:basedOn w:val="Normal"/>
    <w:rsid w:val="00D659F1"/>
    <w:pPr>
      <w:numPr>
        <w:numId w:val="7"/>
      </w:numPr>
      <w:spacing w:line="240" w:lineRule="auto"/>
      <w:jc w:val="both"/>
    </w:pPr>
    <w:rPr>
      <w:rFonts w:eastAsia="Times New Roman"/>
      <w:kern w:val="24"/>
      <w:szCs w:val="24"/>
      <w:lang w:eastAsia="en-AU"/>
    </w:rPr>
  </w:style>
  <w:style w:type="paragraph" w:styleId="BodyText">
    <w:name w:val="Body Text"/>
    <w:basedOn w:val="Normal"/>
    <w:link w:val="BodyTextChar"/>
    <w:semiHidden/>
    <w:rsid w:val="00C217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b/>
      <w:bCs/>
      <w:lang w:val="en-US"/>
    </w:rPr>
  </w:style>
  <w:style w:type="character" w:customStyle="1" w:styleId="BodyTextChar">
    <w:name w:val="Body Text Char"/>
    <w:basedOn w:val="DefaultParagraphFont"/>
    <w:link w:val="BodyText"/>
    <w:semiHidden/>
    <w:rsid w:val="00C21707"/>
    <w:rPr>
      <w:rFonts w:ascii="Cambria" w:eastAsia="Times New Roman" w:hAnsi="Cambria" w:cs="Times New Roman"/>
      <w:b/>
      <w:bCs/>
      <w:lang w:val="en-US"/>
    </w:rPr>
  </w:style>
  <w:style w:type="character" w:customStyle="1" w:styleId="TabletextChar">
    <w:name w:val="Table text Char"/>
    <w:basedOn w:val="DefaultParagraphFont"/>
    <w:link w:val="Tabletext"/>
    <w:rsid w:val="00E25D3F"/>
    <w:rPr>
      <w:rFonts w:ascii="Cambria" w:eastAsia="Cambria" w:hAnsi="Cambria" w:cs="Times New Roman"/>
      <w:sz w:val="19"/>
    </w:rPr>
  </w:style>
  <w:style w:type="paragraph" w:customStyle="1" w:styleId="TableHeader">
    <w:name w:val="Table Header"/>
    <w:basedOn w:val="Normal"/>
    <w:rsid w:val="00E25D3F"/>
    <w:pPr>
      <w:keepNext/>
      <w:keepLines/>
      <w:widowControl w:val="0"/>
      <w:spacing w:before="60" w:after="60" w:line="200" w:lineRule="exact"/>
      <w:jc w:val="center"/>
    </w:pPr>
    <w:rPr>
      <w:rFonts w:eastAsia="MS Mincho" w:cstheme="minorBidi"/>
      <w:b/>
      <w:kern w:val="2"/>
      <w:sz w:val="19"/>
      <w:szCs w:val="19"/>
    </w:rPr>
  </w:style>
  <w:style w:type="paragraph" w:customStyle="1" w:styleId="TabletextPKvalues">
    <w:name w:val="Table text (PK values)"/>
    <w:basedOn w:val="Tabletext"/>
    <w:rsid w:val="00E25D3F"/>
    <w:pPr>
      <w:spacing w:before="0" w:after="0" w:line="200" w:lineRule="exact"/>
      <w:jc w:val="center"/>
    </w:pPr>
    <w:rPr>
      <w:rFonts w:eastAsia="Times New Roman"/>
      <w:snapToGrid w:val="0"/>
      <w:kern w:val="16"/>
      <w:sz w:val="18"/>
      <w:szCs w:val="19"/>
    </w:rPr>
  </w:style>
  <w:style w:type="paragraph" w:customStyle="1" w:styleId="TableCaption">
    <w:name w:val="Table Caption"/>
    <w:basedOn w:val="Normal"/>
    <w:next w:val="Normal"/>
    <w:link w:val="TableCaptionChar"/>
    <w:rsid w:val="00E25D3F"/>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E25D3F"/>
    <w:rPr>
      <w:rFonts w:ascii="Cambria" w:eastAsia="Times New Roman" w:hAnsi="Cambria" w:cs="Times New Roman"/>
      <w:snapToGrid w:val="0"/>
      <w:kern w:val="16"/>
      <w:sz w:val="18"/>
      <w:szCs w:val="19"/>
    </w:rPr>
  </w:style>
  <w:style w:type="character" w:customStyle="1" w:styleId="st1">
    <w:name w:val="st1"/>
    <w:basedOn w:val="DefaultParagraphFont"/>
    <w:rsid w:val="00647CA1"/>
  </w:style>
  <w:style w:type="paragraph" w:customStyle="1" w:styleId="A-Head4">
    <w:name w:val="A-Head 4"/>
    <w:basedOn w:val="Normal"/>
    <w:rsid w:val="004E22FE"/>
    <w:pPr>
      <w:tabs>
        <w:tab w:val="left" w:pos="1418"/>
      </w:tabs>
      <w:spacing w:after="60" w:line="240" w:lineRule="auto"/>
      <w:jc w:val="both"/>
    </w:pPr>
    <w:rPr>
      <w:rFonts w:ascii="Arial" w:eastAsia="Times New Roman" w:hAnsi="Arial"/>
      <w:b/>
      <w:sz w:val="26"/>
      <w:szCs w:val="20"/>
    </w:rPr>
  </w:style>
  <w:style w:type="paragraph" w:customStyle="1" w:styleId="Tabletitle0">
    <w:name w:val="Table title"/>
    <w:basedOn w:val="Normal"/>
    <w:next w:val="Normal"/>
    <w:rsid w:val="00012622"/>
    <w:pPr>
      <w:keepNext/>
      <w:spacing w:after="180"/>
      <w:outlineLvl w:val="4"/>
    </w:pPr>
    <w:rPr>
      <w:rFonts w:cstheme="minorBidi"/>
      <w:b/>
    </w:rPr>
  </w:style>
  <w:style w:type="character" w:customStyle="1" w:styleId="apple-converted-space">
    <w:name w:val="apple-converted-space"/>
    <w:basedOn w:val="DefaultParagraphFont"/>
    <w:rsid w:val="00E032DB"/>
  </w:style>
  <w:style w:type="character" w:styleId="Emphasis">
    <w:name w:val="Emphasis"/>
    <w:basedOn w:val="DefaultParagraphFont"/>
    <w:uiPriority w:val="20"/>
    <w:qFormat/>
    <w:rsid w:val="0094739B"/>
    <w:rPr>
      <w:i/>
      <w:iCs/>
    </w:rPr>
  </w:style>
  <w:style w:type="character" w:customStyle="1" w:styleId="titledefault">
    <w:name w:val="title_default"/>
    <w:basedOn w:val="DefaultParagraphFont"/>
    <w:rsid w:val="003E21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E2F03"/>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541721"/>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odyText1">
    <w:name w:val="Body Text1"/>
    <w:basedOn w:val="Normal"/>
    <w:rsid w:val="00177516"/>
    <w:pPr>
      <w:spacing w:before="0" w:after="200" w:line="240" w:lineRule="auto"/>
    </w:pPr>
    <w:rPr>
      <w:rFonts w:ascii="Arial" w:eastAsia="Times New Roman" w:hAnsi="Arial" w:cs="Arial"/>
      <w:sz w:val="20"/>
      <w:szCs w:val="20"/>
      <w:lang w:val="en-GB"/>
    </w:rPr>
  </w:style>
  <w:style w:type="paragraph" w:customStyle="1" w:styleId="Default">
    <w:name w:val="Default"/>
    <w:rsid w:val="009E74C4"/>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rsid w:val="00D659F1"/>
    <w:pPr>
      <w:spacing w:beforeLines="1" w:before="180" w:afterLines="1" w:after="180" w:line="240" w:lineRule="auto"/>
      <w:jc w:val="both"/>
    </w:pPr>
    <w:rPr>
      <w:rFonts w:ascii="Times" w:eastAsia="Times New Roman" w:hAnsi="Times"/>
      <w:sz w:val="20"/>
      <w:szCs w:val="20"/>
    </w:rPr>
  </w:style>
  <w:style w:type="paragraph" w:styleId="ListParagraph">
    <w:name w:val="List Paragraph"/>
    <w:basedOn w:val="Normal"/>
    <w:uiPriority w:val="34"/>
    <w:qFormat/>
    <w:rsid w:val="00D659F1"/>
    <w:pPr>
      <w:spacing w:before="0" w:after="0" w:line="240" w:lineRule="auto"/>
      <w:ind w:left="720"/>
      <w:contextualSpacing/>
    </w:pPr>
    <w:rPr>
      <w:rFonts w:asciiTheme="minorHAnsi" w:eastAsiaTheme="minorEastAsia" w:hAnsiTheme="minorHAnsi" w:cstheme="minorBidi"/>
      <w:sz w:val="24"/>
      <w:szCs w:val="24"/>
      <w:lang w:val="en-US"/>
    </w:rPr>
  </w:style>
  <w:style w:type="paragraph" w:customStyle="1" w:styleId="Bullet2">
    <w:name w:val="Bullet 2"/>
    <w:basedOn w:val="Normal"/>
    <w:rsid w:val="00D659F1"/>
    <w:pPr>
      <w:numPr>
        <w:numId w:val="7"/>
      </w:numPr>
      <w:spacing w:line="240" w:lineRule="auto"/>
      <w:jc w:val="both"/>
    </w:pPr>
    <w:rPr>
      <w:rFonts w:eastAsia="Times New Roman"/>
      <w:kern w:val="24"/>
      <w:szCs w:val="24"/>
      <w:lang w:eastAsia="en-AU"/>
    </w:rPr>
  </w:style>
  <w:style w:type="paragraph" w:styleId="BodyText">
    <w:name w:val="Body Text"/>
    <w:basedOn w:val="Normal"/>
    <w:link w:val="BodyTextChar"/>
    <w:semiHidden/>
    <w:rsid w:val="00C217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b/>
      <w:bCs/>
      <w:lang w:val="en-US"/>
    </w:rPr>
  </w:style>
  <w:style w:type="character" w:customStyle="1" w:styleId="BodyTextChar">
    <w:name w:val="Body Text Char"/>
    <w:basedOn w:val="DefaultParagraphFont"/>
    <w:link w:val="BodyText"/>
    <w:semiHidden/>
    <w:rsid w:val="00C21707"/>
    <w:rPr>
      <w:rFonts w:ascii="Cambria" w:eastAsia="Times New Roman" w:hAnsi="Cambria" w:cs="Times New Roman"/>
      <w:b/>
      <w:bCs/>
      <w:lang w:val="en-US"/>
    </w:rPr>
  </w:style>
  <w:style w:type="character" w:customStyle="1" w:styleId="TabletextChar">
    <w:name w:val="Table text Char"/>
    <w:basedOn w:val="DefaultParagraphFont"/>
    <w:link w:val="Tabletext"/>
    <w:rsid w:val="00E25D3F"/>
    <w:rPr>
      <w:rFonts w:ascii="Cambria" w:eastAsia="Cambria" w:hAnsi="Cambria" w:cs="Times New Roman"/>
      <w:sz w:val="19"/>
    </w:rPr>
  </w:style>
  <w:style w:type="paragraph" w:customStyle="1" w:styleId="TableHeader">
    <w:name w:val="Table Header"/>
    <w:basedOn w:val="Normal"/>
    <w:rsid w:val="00E25D3F"/>
    <w:pPr>
      <w:keepNext/>
      <w:keepLines/>
      <w:widowControl w:val="0"/>
      <w:spacing w:before="60" w:after="60" w:line="200" w:lineRule="exact"/>
      <w:jc w:val="center"/>
    </w:pPr>
    <w:rPr>
      <w:rFonts w:eastAsia="MS Mincho" w:cstheme="minorBidi"/>
      <w:b/>
      <w:kern w:val="2"/>
      <w:sz w:val="19"/>
      <w:szCs w:val="19"/>
    </w:rPr>
  </w:style>
  <w:style w:type="paragraph" w:customStyle="1" w:styleId="TabletextPKvalues">
    <w:name w:val="Table text (PK values)"/>
    <w:basedOn w:val="Tabletext"/>
    <w:rsid w:val="00E25D3F"/>
    <w:pPr>
      <w:spacing w:before="0" w:after="0" w:line="200" w:lineRule="exact"/>
      <w:jc w:val="center"/>
    </w:pPr>
    <w:rPr>
      <w:rFonts w:eastAsia="Times New Roman"/>
      <w:snapToGrid w:val="0"/>
      <w:kern w:val="16"/>
      <w:sz w:val="18"/>
      <w:szCs w:val="19"/>
    </w:rPr>
  </w:style>
  <w:style w:type="paragraph" w:customStyle="1" w:styleId="TableCaption">
    <w:name w:val="Table Caption"/>
    <w:basedOn w:val="Normal"/>
    <w:next w:val="Normal"/>
    <w:link w:val="TableCaptionChar"/>
    <w:rsid w:val="00E25D3F"/>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E25D3F"/>
    <w:rPr>
      <w:rFonts w:ascii="Cambria" w:eastAsia="Times New Roman" w:hAnsi="Cambria" w:cs="Times New Roman"/>
      <w:snapToGrid w:val="0"/>
      <w:kern w:val="16"/>
      <w:sz w:val="18"/>
      <w:szCs w:val="19"/>
    </w:rPr>
  </w:style>
  <w:style w:type="character" w:customStyle="1" w:styleId="st1">
    <w:name w:val="st1"/>
    <w:basedOn w:val="DefaultParagraphFont"/>
    <w:rsid w:val="00647CA1"/>
  </w:style>
  <w:style w:type="paragraph" w:customStyle="1" w:styleId="A-Head4">
    <w:name w:val="A-Head 4"/>
    <w:basedOn w:val="Normal"/>
    <w:rsid w:val="004E22FE"/>
    <w:pPr>
      <w:tabs>
        <w:tab w:val="left" w:pos="1418"/>
      </w:tabs>
      <w:spacing w:after="60" w:line="240" w:lineRule="auto"/>
      <w:jc w:val="both"/>
    </w:pPr>
    <w:rPr>
      <w:rFonts w:ascii="Arial" w:eastAsia="Times New Roman" w:hAnsi="Arial"/>
      <w:b/>
      <w:sz w:val="26"/>
      <w:szCs w:val="20"/>
    </w:rPr>
  </w:style>
  <w:style w:type="paragraph" w:customStyle="1" w:styleId="Tabletitle0">
    <w:name w:val="Table title"/>
    <w:basedOn w:val="Normal"/>
    <w:next w:val="Normal"/>
    <w:rsid w:val="00012622"/>
    <w:pPr>
      <w:keepNext/>
      <w:spacing w:after="180"/>
      <w:outlineLvl w:val="4"/>
    </w:pPr>
    <w:rPr>
      <w:rFonts w:cstheme="minorBidi"/>
      <w:b/>
    </w:rPr>
  </w:style>
  <w:style w:type="character" w:customStyle="1" w:styleId="apple-converted-space">
    <w:name w:val="apple-converted-space"/>
    <w:basedOn w:val="DefaultParagraphFont"/>
    <w:rsid w:val="00E032DB"/>
  </w:style>
  <w:style w:type="character" w:styleId="Emphasis">
    <w:name w:val="Emphasis"/>
    <w:basedOn w:val="DefaultParagraphFont"/>
    <w:uiPriority w:val="20"/>
    <w:qFormat/>
    <w:rsid w:val="0094739B"/>
    <w:rPr>
      <w:i/>
      <w:iCs/>
    </w:rPr>
  </w:style>
  <w:style w:type="character" w:customStyle="1" w:styleId="titledefault">
    <w:name w:val="title_default"/>
    <w:basedOn w:val="DefaultParagraphFont"/>
    <w:rsid w:val="003E2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5510174">
      <w:bodyDiv w:val="1"/>
      <w:marLeft w:val="0"/>
      <w:marRight w:val="0"/>
      <w:marTop w:val="0"/>
      <w:marBottom w:val="0"/>
      <w:divBdr>
        <w:top w:val="none" w:sz="0" w:space="0" w:color="auto"/>
        <w:left w:val="none" w:sz="0" w:space="0" w:color="auto"/>
        <w:bottom w:val="none" w:sz="0" w:space="0" w:color="auto"/>
        <w:right w:val="none" w:sz="0" w:space="0" w:color="auto"/>
      </w:divBdr>
    </w:div>
    <w:div w:id="127902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mailto:info@tga.gov.au"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38" Type="http://schemas.openxmlformats.org/officeDocument/2006/relationships/footer" Target="footer3.xm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tga.gov.au/product-information-pi"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4.xml"/><Relationship Id="rId45"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6.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header" Target="header4.xml"/><Relationship Id="rId44"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3.xml"/><Relationship Id="rId35" Type="http://schemas.openxmlformats.org/officeDocument/2006/relationships/hyperlink" Target="https://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84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E2EBD-82F4-46D2-829F-F982DE554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0</TotalTime>
  <Pages>85</Pages>
  <Words>31991</Words>
  <Characters>182354</Characters>
  <Application>Microsoft Office Word</Application>
  <DocSecurity>0</DocSecurity>
  <Lines>1519</Lines>
  <Paragraphs>427</Paragraphs>
  <ScaleCrop>false</ScaleCrop>
  <HeadingPairs>
    <vt:vector size="2" baseType="variant">
      <vt:variant>
        <vt:lpstr>Title</vt:lpstr>
      </vt:variant>
      <vt:variant>
        <vt:i4>1</vt:i4>
      </vt:variant>
    </vt:vector>
  </HeadingPairs>
  <TitlesOfParts>
    <vt:vector size="1" baseType="lpstr">
      <vt:lpstr>Australian Public Assessment Report for Olaparib</vt:lpstr>
    </vt:vector>
  </TitlesOfParts>
  <Company>Department of Health Therapeutic Goods Administration</Company>
  <LinksUpToDate>false</LinksUpToDate>
  <CharactersWithSpaces>213918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Olaparib</dc:title>
  <dc:subject>prescription medicines</dc:subject>
  <dc:creator>Therapeutic Goods Administration</dc:creator>
  <cp:keywords>AusPARs</cp:keywords>
  <cp:lastModifiedBy>LACK, Janet</cp:lastModifiedBy>
  <cp:revision>2</cp:revision>
  <cp:lastPrinted>2018-11-02T02:30:00Z</cp:lastPrinted>
  <dcterms:created xsi:type="dcterms:W3CDTF">2019-05-06T23:21:00Z</dcterms:created>
  <dcterms:modified xsi:type="dcterms:W3CDTF">2019-05-06T23:21:00Z</dcterms:modified>
</cp:coreProperties>
</file>