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C9" w:rsidRDefault="000D41C9">
      <w:pPr>
        <w:spacing w:before="9" w:after="0" w:line="140" w:lineRule="exact"/>
        <w:rPr>
          <w:sz w:val="14"/>
          <w:szCs w:val="14"/>
        </w:rPr>
      </w:pP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Default="007C06E9">
      <w:pPr>
        <w:spacing w:before="3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34"/>
          <w:szCs w:val="3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34"/>
          <w:szCs w:val="34"/>
        </w:rPr>
        <w:t>ANDO</w:t>
      </w:r>
      <w:r>
        <w:rPr>
          <w:rFonts w:ascii="Times New Roman" w:eastAsia="Times New Roman" w:hAnsi="Times New Roman" w:cs="Times New Roman"/>
          <w:b/>
          <w:bCs/>
          <w:spacing w:val="-2"/>
          <w:sz w:val="34"/>
          <w:szCs w:val="3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34"/>
          <w:szCs w:val="3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34"/>
          <w:szCs w:val="3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34"/>
          <w:szCs w:val="3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34"/>
          <w:szCs w:val="34"/>
        </w:rPr>
        <w:t>N</w:t>
      </w:r>
      <w:r>
        <w:rPr>
          <w:rFonts w:ascii="Times New Roman" w:eastAsia="Times New Roman" w:hAnsi="Times New Roman" w:cs="Times New Roman"/>
          <w:b/>
          <w:bCs/>
          <w:position w:val="15"/>
        </w:rPr>
        <w:t>®</w:t>
      </w:r>
      <w:r>
        <w:rPr>
          <w:rFonts w:ascii="Times New Roman" w:eastAsia="Times New Roman" w:hAnsi="Times New Roman" w:cs="Times New Roman"/>
          <w:b/>
          <w:bCs/>
          <w:spacing w:val="30"/>
          <w:position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34"/>
          <w:szCs w:val="3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34"/>
          <w:szCs w:val="34"/>
        </w:rPr>
        <w:t>AR</w:t>
      </w:r>
      <w:r>
        <w:rPr>
          <w:rFonts w:ascii="Times New Roman" w:eastAsia="Times New Roman" w:hAnsi="Times New Roman" w:cs="Times New Roman"/>
          <w:b/>
          <w:bCs/>
          <w:position w:val="15"/>
        </w:rPr>
        <w:t>®</w:t>
      </w:r>
    </w:p>
    <w:p w:rsidR="000D41C9" w:rsidRDefault="007C06E9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tid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)</w:t>
      </w:r>
    </w:p>
    <w:p w:rsidR="000D41C9" w:rsidRPr="006A5885" w:rsidRDefault="000D41C9" w:rsidP="006A5885">
      <w:pPr>
        <w:spacing w:before="120" w:after="120" w:line="240" w:lineRule="atLeast"/>
        <w:ind w:left="119" w:right="266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0D41C9" w:rsidRDefault="007C06E9">
      <w:pPr>
        <w:spacing w:after="0" w:line="339" w:lineRule="exact"/>
        <w:ind w:left="12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NA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0"/>
          <w:szCs w:val="3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30"/>
          <w:szCs w:val="3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0"/>
          <w:szCs w:val="3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NE</w:t>
      </w:r>
    </w:p>
    <w:p w:rsidR="000D41C9" w:rsidRPr="006A5885" w:rsidRDefault="000D41C9" w:rsidP="006A5885">
      <w:pPr>
        <w:spacing w:before="120" w:after="120" w:line="240" w:lineRule="atLeast"/>
        <w:ind w:left="119" w:right="266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0D41C9" w:rsidRPr="006A5885" w:rsidRDefault="007C06E9" w:rsidP="006A5885">
      <w:pPr>
        <w:spacing w:before="120" w:after="120" w:line="240" w:lineRule="atLeast"/>
        <w:ind w:left="119" w:right="266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 w:rsidRPr="006A5885">
        <w:rPr>
          <w:rFonts w:ascii="Times New Roman" w:eastAsia="Times New Roman" w:hAnsi="Times New Roman" w:cs="Times New Roman"/>
          <w:spacing w:val="-2"/>
          <w:sz w:val="24"/>
          <w:szCs w:val="24"/>
        </w:rPr>
        <w:t>Octreotide</w:t>
      </w:r>
      <w:proofErr w:type="spellEnd"/>
    </w:p>
    <w:p w:rsidR="000D41C9" w:rsidRDefault="007C06E9" w:rsidP="006A5885">
      <w:pPr>
        <w:spacing w:before="120" w:after="120" w:line="240" w:lineRule="atLeast"/>
        <w:ind w:left="119" w:right="2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N-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-(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]-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__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</w:p>
    <w:p w:rsidR="000D41C9" w:rsidRPr="006A5885" w:rsidRDefault="000D41C9">
      <w:pPr>
        <w:spacing w:before="17" w:after="0" w:line="28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339" w:lineRule="exact"/>
        <w:ind w:left="12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IP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ON</w:t>
      </w:r>
    </w:p>
    <w:p w:rsidR="000D41C9" w:rsidRPr="006A5885" w:rsidRDefault="000D41C9" w:rsidP="006A5885">
      <w:pPr>
        <w:spacing w:before="17" w:after="0" w:line="28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7C06E9" w:rsidP="006A5885">
      <w:pPr>
        <w:spacing w:before="17" w:after="0" w:line="28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is a modifi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se 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 of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 The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is distribut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within polym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rosph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s.</w:t>
      </w:r>
    </w:p>
    <w:p w:rsidR="000D41C9" w:rsidRPr="006A5885" w:rsidRDefault="000D41C9" w:rsidP="006A5885">
      <w:pPr>
        <w:spacing w:before="17" w:after="0" w:line="28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FC1B85" w:rsidRPr="006A5885" w:rsidRDefault="00FC1B85" w:rsidP="006A5885">
      <w:pPr>
        <w:spacing w:before="17" w:after="0" w:line="28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278130</wp:posOffset>
            </wp:positionV>
            <wp:extent cx="4870450" cy="2428875"/>
            <wp:effectExtent l="19050" t="0" r="6350" b="0"/>
            <wp:wrapTopAndBottom/>
            <wp:docPr id="3" name="Picture 1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06E9"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where x = 1.4 to 2.5</w:t>
      </w:r>
    </w:p>
    <w:p w:rsidR="00FC1B85" w:rsidRPr="006A5885" w:rsidRDefault="00FC1B85" w:rsidP="006A5885">
      <w:pPr>
        <w:spacing w:before="17" w:after="0" w:line="28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A77C2" w:rsidRDefault="007C06E9" w:rsidP="006A5885">
      <w:pPr>
        <w:spacing w:before="17" w:after="0" w:line="28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CAS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r: 79517-01-4. (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e)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MW: 1019.3 (fr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ptid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</w:p>
    <w:p w:rsidR="006A77C2" w:rsidRDefault="006A77C2" w:rsidP="006A5885">
      <w:pPr>
        <w:spacing w:before="17" w:after="0" w:line="28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7C06E9" w:rsidP="006A5885">
      <w:pPr>
        <w:spacing w:before="17" w:after="0" w:line="28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 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ins: 10, 20, or 30 mg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the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polygl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nnitol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. The powd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 is a white to off-white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olour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. The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ins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llose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sodium,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nnitol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for 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is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r,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olourl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solution.</w:t>
      </w:r>
    </w:p>
    <w:p w:rsidR="000D41C9" w:rsidRPr="006A5885" w:rsidRDefault="000D41C9" w:rsidP="006A5885">
      <w:pPr>
        <w:spacing w:before="17" w:after="0" w:line="28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339" w:lineRule="exact"/>
        <w:ind w:left="120" w:right="6684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AR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AC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OLOGY</w:t>
      </w:r>
    </w:p>
    <w:p w:rsidR="000D41C9" w:rsidRPr="006A5885" w:rsidRDefault="000D41C9" w:rsidP="006A5885">
      <w:pPr>
        <w:spacing w:before="17" w:after="0" w:line="28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proofErr w:type="spellEnd"/>
    </w:p>
    <w:p w:rsidR="000D41C9" w:rsidRPr="006A5885" w:rsidRDefault="007C06E9" w:rsidP="006A5885">
      <w:pPr>
        <w:spacing w:before="17" w:after="0" w:line="28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is a synth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tic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ptide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logue of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lly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urring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with 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ar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ologi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ts, but with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bly prolong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dur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tion.  It inhibits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 of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rotonin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the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stro-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ro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-p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tic (GEP)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ptid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s: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strin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tive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ptid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, insulin, glu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gon,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motilin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tic polyp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ptid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of growth hormone (GH). 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like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hnic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blood flow.</w:t>
      </w:r>
    </w:p>
    <w:p w:rsidR="000D41C9" w:rsidRPr="006A5885" w:rsidRDefault="000D41C9">
      <w:pPr>
        <w:spacing w:after="0" w:line="22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7C06E9">
      <w:pPr>
        <w:spacing w:before="29" w:after="0" w:line="279" w:lineRule="auto"/>
        <w:ind w:left="120" w:right="891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ls,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is a more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 inhibitor of GH, glu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insulin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, with 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tivity for GH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glu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gon suppr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ssion.</w:t>
      </w:r>
    </w:p>
    <w:p w:rsidR="000D41C9" w:rsidRPr="006A5885" w:rsidRDefault="000D41C9">
      <w:pPr>
        <w:spacing w:before="3" w:after="0" w:line="12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7C06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lthy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ts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like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shown to inhibit:</w:t>
      </w:r>
    </w:p>
    <w:p w:rsidR="000D41C9" w:rsidRPr="006A5885" w:rsidRDefault="007C06E9">
      <w:pPr>
        <w:tabs>
          <w:tab w:val="left" w:pos="480"/>
        </w:tabs>
        <w:spacing w:before="44" w:after="0" w:line="240" w:lineRule="auto"/>
        <w:ind w:left="12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•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se of GH stimul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by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rginin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insulin-indu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hypogly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mia</w:t>
      </w:r>
      <w:proofErr w:type="spellEnd"/>
    </w:p>
    <w:p w:rsidR="000D41C9" w:rsidRPr="006A5885" w:rsidRDefault="007C06E9">
      <w:pPr>
        <w:tabs>
          <w:tab w:val="left" w:pos="480"/>
        </w:tabs>
        <w:spacing w:before="44" w:after="0" w:line="279" w:lineRule="auto"/>
        <w:ind w:left="480" w:right="616" w:hanging="3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•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postpr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se of insulin, glu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gon,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strin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,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ptid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of the GEP syst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rginin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-stimul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se of insulin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glu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gon</w:t>
      </w:r>
    </w:p>
    <w:p w:rsidR="000D41C9" w:rsidRPr="006A5885" w:rsidRDefault="007C06E9">
      <w:pPr>
        <w:tabs>
          <w:tab w:val="left" w:pos="4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•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thyrotropin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sing hormone (TRH) stimul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se of thyroid stimul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ting hormone</w:t>
      </w:r>
    </w:p>
    <w:p w:rsidR="000D41C9" w:rsidRPr="006A5885" w:rsidRDefault="007C06E9">
      <w:pPr>
        <w:spacing w:before="45" w:after="0" w:line="240" w:lineRule="auto"/>
        <w:ind w:left="48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(TSH)</w:t>
      </w:r>
    </w:p>
    <w:p w:rsidR="000D41C9" w:rsidRPr="006A5885" w:rsidRDefault="000D41C9" w:rsidP="006A588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7C06E9" w:rsidP="006A588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Unlike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inhibits GH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lly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 insulin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dministr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 is not follow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by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bound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hyp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of hormon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(i.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. GH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with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ly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0D41C9" w:rsidRPr="006A5885" w:rsidRDefault="000D41C9" w:rsidP="006A588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7C06E9" w:rsidP="006A588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with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ly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ble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formul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 of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suit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ble for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dministr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ls of 4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ks,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utic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tions thus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ntly 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ring GH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lising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Insulin-like Growth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tor-1/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-C (IGF-1)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tions in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jority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nts.  In most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nts,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dly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symptoms of the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as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rspir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tion,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,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lgia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tunn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syndrom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0D41C9" w:rsidRPr="006A5885" w:rsidRDefault="000D41C9" w:rsidP="006A588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7C06E9" w:rsidP="006A588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 with fun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tumours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of the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stro-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ro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-p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rine syst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m,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with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ontinuous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ontrol of symptoms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to the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rlying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 of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 diff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 typ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of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stro-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ro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-p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tic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tumours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as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follows:</w:t>
      </w:r>
    </w:p>
    <w:p w:rsidR="000D41C9" w:rsidRPr="006A5885" w:rsidRDefault="000D41C9" w:rsidP="006A588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7C06E9">
      <w:pPr>
        <w:spacing w:after="0" w:line="320" w:lineRule="atLeast"/>
        <w:ind w:left="120" w:right="639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Carcinoid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tumours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: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Administr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 of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sult in improv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 of symptoms,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rly of flushing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rrho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. In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s, this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by a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ll in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sma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rotonin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urin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 of 5-hydroxyindole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id.</w:t>
      </w:r>
    </w:p>
    <w:p w:rsidR="000D41C9" w:rsidRPr="006A5885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7C06E9">
      <w:pPr>
        <w:spacing w:before="29" w:after="0" w:line="279" w:lineRule="auto"/>
        <w:ind w:left="120" w:right="195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Vasoactive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intestinal peptide secreting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tumours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(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VIPomas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):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 bio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ristic 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tumours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is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rprodu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 of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tive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ptide (VIP). In 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dministr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 of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sults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 of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tory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rrho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typi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ondition,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 improv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 in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lity of lif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This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by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improv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trolyte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bnorm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.g.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hypok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bling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fluid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trolyte suppl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 to be withdr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wn. In some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omput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tomogr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phy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nning sugg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sts a slowing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st of progr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ssion of the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tumour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tumour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shrink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rly of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tic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s. Clini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improv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 is 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by a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 in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sma VIP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ls,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ll into the 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0D41C9" w:rsidRPr="006A5885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cs</w:t>
      </w:r>
    </w:p>
    <w:p w:rsidR="000D41C9" w:rsidRDefault="007C06E9">
      <w:pPr>
        <w:spacing w:before="45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n:</w:t>
      </w:r>
    </w:p>
    <w:p w:rsidR="000D41C9" w:rsidRPr="006A5885" w:rsidRDefault="007C06E9" w:rsidP="006A77C2">
      <w:pPr>
        <w:spacing w:before="41" w:after="0" w:line="279" w:lineRule="auto"/>
        <w:ind w:left="120" w:right="73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 a single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i.m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. 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 of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LAR, the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k within 1 hour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dministr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a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k not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ing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0.5% of the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AUC, follow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by a progr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ssive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se to low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ls within 24 hours.  Aft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this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k, the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 sub-th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utic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ls for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jority of</w:t>
      </w:r>
      <w:r w:rsidR="006A77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 for the following 7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ys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the 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 of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LAR.  This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k is 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 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ring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ously. 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ry for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signifi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 suppr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ssion of hormone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 build up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 quite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ble from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ys 14 to 42.  Aft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y 42, the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slowly.</w:t>
      </w:r>
    </w:p>
    <w:p w:rsidR="000D41C9" w:rsidRPr="006A5885" w:rsidRDefault="007C06E9">
      <w:pPr>
        <w:spacing w:before="1" w:after="0" w:line="279" w:lineRule="auto"/>
        <w:ind w:left="120" w:right="277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with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ly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u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bout 358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/L, 926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/L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1710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/L for single 10 mg, 20 mg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30 mg dose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ly. 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dy-st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tions,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3 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 4-w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k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re high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by a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tor of 1.6 to 1.8 (wh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y 28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the third 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to the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u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ls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the first 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y 28). During the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,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k-trough flu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 is 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 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 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for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ously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did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te in the body,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monitor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a dur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 of up to 28 monthly 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tions of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LAR.</w:t>
      </w:r>
    </w:p>
    <w:p w:rsidR="000D41C9" w:rsidRPr="006A5885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7C06E9" w:rsidP="006A77C2">
      <w:pPr>
        <w:spacing w:after="0" w:line="279" w:lineRule="auto"/>
        <w:ind w:left="120" w:right="99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with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inoid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tumours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,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n)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dy-st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tions of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multiple 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tions of 10 mg, 20 mg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30 mg of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giv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 4-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k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lso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rly with dose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1231 (894)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/L, 2620 (2270)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/L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</w:t>
      </w:r>
      <w:r w:rsidR="006A77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3928 (3010)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/L,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ly.</w:t>
      </w:r>
    </w:p>
    <w:p w:rsidR="000D41C9" w:rsidRPr="006A5885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7C06E9">
      <w:pPr>
        <w:spacing w:after="0" w:line="279" w:lineRule="auto"/>
        <w:ind w:left="120" w:right="11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Following dos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of 20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30 mg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LAR, the bio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bility of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yst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tomi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rs (m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107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ys)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tive 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me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al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of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ously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shown to be 60%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63%,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ly.</w:t>
      </w:r>
    </w:p>
    <w:p w:rsidR="000D41C9" w:rsidRPr="006A5885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Default="007C06E9">
      <w:pPr>
        <w:spacing w:before="41" w:after="0" w:line="279" w:lineRule="auto"/>
        <w:ind w:left="12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/kg.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65%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41C9" w:rsidRDefault="000D41C9">
      <w:pPr>
        <w:spacing w:before="8" w:after="0" w:line="120" w:lineRule="exact"/>
        <w:rPr>
          <w:sz w:val="12"/>
          <w:szCs w:val="12"/>
        </w:rPr>
      </w:pP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Default="007C06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Pr="006A5885" w:rsidRDefault="007C06E9">
      <w:pPr>
        <w:spacing w:before="41" w:after="0" w:line="279" w:lineRule="auto"/>
        <w:ind w:left="120" w:right="329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ording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ta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with intr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nously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ously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, the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 body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 is 160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mL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/min.</w:t>
      </w:r>
    </w:p>
    <w:p w:rsidR="000D41C9" w:rsidRPr="006A5885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ls</w:t>
      </w:r>
    </w:p>
    <w:p w:rsidR="000D41C9" w:rsidRDefault="007C06E9">
      <w:pPr>
        <w:spacing w:before="45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Default="007C06E9" w:rsidP="006A77C2">
      <w:pPr>
        <w:spacing w:before="41" w:after="0" w:line="279" w:lineRule="auto"/>
        <w:ind w:left="120" w:right="61"/>
        <w:rPr>
          <w:sz w:val="20"/>
          <w:szCs w:val="20"/>
        </w:rPr>
      </w:pP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in 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ls in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lic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nts. 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se studi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s, 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50%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tory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tions of GH (&lt; 2.5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mL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IGF-1 (&lt; 500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mL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).   In two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ir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n-l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nsions, a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of 101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d, in 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a GH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 &lt; 5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mL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on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ous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in dos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of 100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g or 200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g 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e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y. Most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6A77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swit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to 20 mg or 30 mg dos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of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giv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ry 4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ks for up to 27 to</w:t>
      </w:r>
      <w:r w:rsidR="006A77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28 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tions.  A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dos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of 10 mg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a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w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dos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of 40 mg. Growth hormone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IGF-1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ll-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ontroll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with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ey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on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ous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this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ontrol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for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ntire dur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 of the 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ls.</w:t>
      </w: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Pr="006A5885" w:rsidRDefault="007C06E9" w:rsidP="006A77C2">
      <w:pPr>
        <w:spacing w:before="29" w:after="0" w:line="279" w:lineRule="auto"/>
        <w:ind w:left="100" w:right="81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A third 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a 12 month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n-l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study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nroll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151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 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GH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 &lt; 10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mL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 with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ous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(most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ls &lt; 5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mL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).  The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rting dose of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20 mg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ry 4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ks for 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e dos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  <w:r w:rsidR="006A77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10, 20 or 30 mg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ry 4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ks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nding on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e of GH suppr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ssion.  Growth hormone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IGF-1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ontroll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on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on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ous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. For the 122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 who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ll 12 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tions in this 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l, 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GH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of</w:t>
      </w:r>
      <w:r w:rsidR="006A77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2.5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mL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in 66%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iving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LAR. 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ourse of the 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l, 57%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growth hormone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ls of &lt; 2.5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mL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IGF-1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ls.</w:t>
      </w:r>
      <w:r w:rsidR="006A77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Antibodi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to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in some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(up to 25%)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with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. 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ntibody positive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lso 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in 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studi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with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LAR.  The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sults for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 sugg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re no signifi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 diff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ces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or syst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mic tol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bility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ntibody positive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ntibody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tive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ts.</w:t>
      </w:r>
    </w:p>
    <w:p w:rsidR="000D41C9" w:rsidRPr="006A5885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7C06E9" w:rsidP="006A77C2">
      <w:pPr>
        <w:spacing w:after="0" w:line="279" w:lineRule="auto"/>
        <w:ind w:left="100" w:right="293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xplor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tory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se IV studi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stig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a 24-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48-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k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with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in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viously untr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lic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nts.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 in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tumour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volume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20.6% in study B2402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 24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ks (n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46)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29.9%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 48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ks (n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29)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</w:t>
      </w:r>
      <w:r w:rsidR="006A77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24.5%</w:t>
      </w:r>
      <w:r w:rsidR="006A77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 study B2401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 24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ks (n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91)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36.2%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 48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ks (n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84).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nge in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tumour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volume during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ourse of the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stig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by MRI for the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nt-to-tr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eat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tion.</w:t>
      </w:r>
    </w:p>
    <w:p w:rsidR="000D41C9" w:rsidRPr="006A5885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oid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Pr="006A5885" w:rsidRDefault="007C06E9">
      <w:pPr>
        <w:spacing w:before="41" w:after="0" w:line="279" w:lineRule="auto"/>
        <w:ind w:left="100" w:right="165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A six-month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 group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lign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inoid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syndrome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rform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in 93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 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viously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shown to be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sponsive to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ous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.  Sixty-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ndomis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line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, doubl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-blind dos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of 10 mg, 20 mg or 30 mg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ry 28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ys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26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ontinu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d,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unblind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, 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ir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vious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ous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gim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(100 to 300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g 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e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y). 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 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ous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ontrol of the symptoms of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inoid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syndrome (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rrho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, flushing). 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with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,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for suppl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ry dos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of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ous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ble 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in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ontinu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on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ous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, but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 high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in the 10 mg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 28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y group for the first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w months.</w:t>
      </w:r>
    </w:p>
    <w:p w:rsidR="000D41C9" w:rsidRPr="006A5885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7C06E9">
      <w:pPr>
        <w:spacing w:after="0" w:line="279" w:lineRule="auto"/>
        <w:ind w:left="100" w:right="107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with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inoid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syndrome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VIPom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 of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on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tumour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te of growth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 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not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d.</w:t>
      </w:r>
    </w:p>
    <w:p w:rsidR="000D41C9" w:rsidRPr="006A5885" w:rsidRDefault="000D41C9">
      <w:pPr>
        <w:spacing w:before="11" w:after="0" w:line="26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Pr="006A5885" w:rsidRDefault="007C06E9">
      <w:pPr>
        <w:spacing w:before="41" w:after="0" w:line="279" w:lineRule="auto"/>
        <w:ind w:left="100" w:right="5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An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lysis of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se III,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ndomis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, double blind,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bo-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ontroll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study (PROMID)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prolongs TTP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d,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ll-diff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rine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Tumours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of the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midgut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to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bo,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ross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ll 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ffi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lys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tions.</w:t>
      </w:r>
    </w:p>
    <w:p w:rsidR="000D41C9" w:rsidRPr="006A5885" w:rsidRDefault="000D41C9">
      <w:pPr>
        <w:spacing w:after="0" w:line="22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7C06E9">
      <w:pPr>
        <w:spacing w:before="29" w:after="0" w:line="279" w:lineRule="auto"/>
        <w:ind w:left="100" w:right="4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lusions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ould be 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wn from the PROMID study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 import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ndpoint;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ll surviv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l.</w:t>
      </w:r>
    </w:p>
    <w:p w:rsidR="000D41C9" w:rsidRPr="006A5885" w:rsidRDefault="000D41C9">
      <w:pPr>
        <w:spacing w:before="3" w:after="0" w:line="12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7C06E9">
      <w:pPr>
        <w:spacing w:after="0" w:line="279" w:lineRule="auto"/>
        <w:ind w:left="100" w:right="5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85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ndomis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ive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30 mg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ry 4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ks (n = 42) or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bo (n = 43) for 18 months, or until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tumour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ssion or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th.</w:t>
      </w:r>
    </w:p>
    <w:p w:rsidR="000D41C9" w:rsidRPr="006A5885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7C06E9">
      <w:pPr>
        <w:spacing w:after="0" w:line="279" w:lineRule="auto"/>
        <w:ind w:left="100" w:right="52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lusion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ria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: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ïv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;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histologi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lly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onfirm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d;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lly inop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ble 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tic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ll-diff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d; fun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tive or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tive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uro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rine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tumors/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s; with 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ry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tumour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in the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midgut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or unknown origin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to be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midgut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origin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a 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ry within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st,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d.</w:t>
      </w:r>
    </w:p>
    <w:p w:rsidR="000D41C9" w:rsidRPr="006A5885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7C06E9">
      <w:pPr>
        <w:spacing w:after="0" w:line="240" w:lineRule="auto"/>
        <w:ind w:left="100" w:right="141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The 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ndpoint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time to tumor progr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ssion or tumor-r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th (TTP).</w:t>
      </w:r>
    </w:p>
    <w:p w:rsidR="000D41C9" w:rsidRPr="006A5885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7C06E9" w:rsidP="006A77C2">
      <w:pPr>
        <w:spacing w:after="0" w:line="279" w:lineRule="auto"/>
        <w:ind w:left="100" w:right="5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 the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nt-to-tr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lysis 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 (ITT)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ll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ndomis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nts), 26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41 progr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ssions or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tumour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-r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ths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 in the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bo groups,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ly (HR</w:t>
      </w:r>
      <w:r w:rsidR="006A77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= 0.32; 95% CI, 0.19 to 0.55; p-v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0.000015).</w:t>
      </w:r>
    </w:p>
    <w:p w:rsidR="000D41C9" w:rsidRPr="006A5885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6A5885" w:rsidRDefault="007C06E9" w:rsidP="006A77C2">
      <w:pPr>
        <w:spacing w:after="0" w:line="279" w:lineRule="auto"/>
        <w:ind w:left="100" w:right="5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tive ITT (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ITT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lysis 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 in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h 3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nsor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at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ndomis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26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40 progr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ssions or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tumour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-r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ths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re 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in the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bo groups,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ly (HR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0.34; 95% CI, 0.20 to 0.59; p-v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0.000072; Fig</w:t>
      </w:r>
      <w:r w:rsidR="006A77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1).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 time to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tumour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ssion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14.3 months (95% CI, 11.0 to 28.8 months) in the</w:t>
      </w:r>
      <w:r w:rsidR="006A77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group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6.0 months (95% CI, 3.7 to 9.4 months) in the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bo group.</w:t>
      </w:r>
    </w:p>
    <w:p w:rsidR="000D41C9" w:rsidRPr="006A5885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A77C2" w:rsidRDefault="007C06E9" w:rsidP="006A77C2">
      <w:pPr>
        <w:spacing w:after="0" w:line="279" w:lineRule="auto"/>
        <w:ind w:left="100" w:right="5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r-proto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lysis 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tion (PP) in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nsor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study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py, 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tumour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progr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ssion  or 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tumour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-r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d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th 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  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 in  19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 38</w:t>
      </w:r>
      <w:r w:rsidR="006A77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bo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nts,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ly (HR = 0.24; 95% CI, 0.13 to 0.45; p-v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lue</w:t>
      </w:r>
      <w:r w:rsidR="006A77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6A5885">
        <w:rPr>
          <w:rFonts w:ascii="Times New Roman" w:eastAsia="Times New Roman" w:hAnsi="Times New Roman" w:cs="Times New Roman"/>
          <w:spacing w:val="-1"/>
          <w:sz w:val="24"/>
          <w:szCs w:val="24"/>
        </w:rPr>
        <w:t>0.0000036).</w:t>
      </w:r>
    </w:p>
    <w:p w:rsidR="006A77C2" w:rsidRDefault="006A77C2" w:rsidP="006A77C2">
      <w:pPr>
        <w:spacing w:after="0" w:line="279" w:lineRule="auto"/>
        <w:ind w:left="100" w:right="5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 w:rsidP="006A77C2">
      <w:pPr>
        <w:spacing w:after="0" w:line="279" w:lineRule="auto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wi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bo</w:t>
      </w:r>
    </w:p>
    <w:p w:rsidR="000D41C9" w:rsidRDefault="003364D7" w:rsidP="007C06E9">
      <w:pPr>
        <w:spacing w:before="45" w:after="6840" w:line="271" w:lineRule="exact"/>
        <w:ind w:left="102" w:right="-23"/>
        <w:rPr>
          <w:rFonts w:ascii="Times New Roman" w:eastAsia="Times New Roman" w:hAnsi="Times New Roman" w:cs="Times New Roman"/>
          <w:sz w:val="24"/>
          <w:szCs w:val="24"/>
        </w:rPr>
      </w:pPr>
      <w:r w:rsidRPr="003364D7">
        <w:pict>
          <v:group id="_x0000_s1028" style="position:absolute;left:0;text-align:left;margin-left:71.35pt;margin-top:16.2pt;width:467.4pt;height:330.65pt;z-index:-251633152;mso-position-horizontal-relative:page" coordorigin="1427,324" coordsize="9348,66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442;top:324;width:9322;height:6567">
              <v:imagedata r:id="rId8" o:title=""/>
            </v:shape>
            <v:group id="_x0000_s1029" style="position:absolute;left:1440;top:6924;width:9322;height:2" coordorigin="1440,6924" coordsize="9322,2">
              <v:shape id="_x0000_s1030" style="position:absolute;left:1440;top:6924;width:9322;height:2" coordorigin="1440,6924" coordsize="9322,0" path="m1440,6924r9322,e" filled="f" strokeweight="1.3pt">
                <v:path arrowok="t"/>
              </v:shape>
            </v:group>
            <w10:wrap anchorx="page"/>
          </v:group>
        </w:pict>
      </w:r>
      <w:r w:rsidR="007C06E9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(</w:t>
      </w:r>
      <w:r w:rsidR="007C06E9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="007C06E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="007C06E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="007C06E9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s</w:t>
      </w:r>
      <w:r w:rsidR="007C06E9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="007C06E9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u w:val="thick" w:color="000000"/>
        </w:rPr>
        <w:t>r</w:t>
      </w:r>
      <w:r w:rsidR="007C06E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va</w:t>
      </w:r>
      <w:r w:rsidR="007C06E9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="007C06E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ive</w:t>
      </w:r>
      <w:r w:rsidR="007C06E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="007C06E9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IT</w:t>
      </w:r>
      <w:r w:rsidR="007C06E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 w:rsidR="007C06E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p</w:t>
      </w:r>
      <w:r w:rsidR="007C06E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="007C06E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pu</w:t>
      </w:r>
      <w:r w:rsidR="007C06E9"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u w:val="thick" w:color="000000"/>
        </w:rPr>
        <w:t>l</w:t>
      </w:r>
      <w:r w:rsidR="007C06E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="007C06E9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="007C06E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 w:rsidR="007C06E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="007C06E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)</w:t>
      </w:r>
    </w:p>
    <w:p w:rsidR="006A77C2" w:rsidRDefault="006A77C2">
      <w:pP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br w:type="page"/>
      </w:r>
    </w:p>
    <w:p w:rsidR="000D41C9" w:rsidRDefault="007C06E9">
      <w:pPr>
        <w:tabs>
          <w:tab w:val="left" w:pos="154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ns</w:t>
      </w:r>
    </w:p>
    <w:p w:rsidR="000D41C9" w:rsidRDefault="000D41C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1277"/>
        <w:gridCol w:w="1133"/>
        <w:gridCol w:w="1421"/>
        <w:gridCol w:w="1416"/>
        <w:gridCol w:w="3518"/>
      </w:tblGrid>
      <w:tr w:rsidR="000D41C9">
        <w:trPr>
          <w:trHeight w:hRule="exact" w:val="658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41C9" w:rsidRDefault="000D41C9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TT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50" w:lineRule="auto"/>
              <w:ind w:left="100" w:righ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TT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95%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.]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95%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]</w:t>
            </w:r>
          </w:p>
          <w:p w:rsidR="000D41C9" w:rsidRDefault="007C06E9">
            <w:pPr>
              <w:spacing w:before="6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</w:p>
        </w:tc>
      </w:tr>
      <w:tr w:rsidR="000D41C9">
        <w:trPr>
          <w:trHeight w:hRule="exact" w:val="595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0D41C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50" w:lineRule="auto"/>
              <w:ind w:left="100" w:right="13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proofErr w:type="spellEnd"/>
          </w:p>
          <w:p w:rsidR="000D41C9" w:rsidRDefault="007C06E9">
            <w:pPr>
              <w:spacing w:before="11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</w:p>
        </w:tc>
        <w:tc>
          <w:tcPr>
            <w:tcW w:w="3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0D41C9"/>
        </w:tc>
      </w:tr>
      <w:tr w:rsidR="000D41C9">
        <w:trPr>
          <w:trHeight w:hRule="exact" w:val="65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518" w:right="15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32</w:t>
            </w:r>
          </w:p>
          <w:p w:rsidR="000D41C9" w:rsidRDefault="007C06E9">
            <w:pPr>
              <w:spacing w:before="68" w:after="0" w:line="240" w:lineRule="auto"/>
              <w:ind w:left="97" w:right="8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95%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55]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000015</w:t>
            </w:r>
          </w:p>
        </w:tc>
      </w:tr>
      <w:tr w:rsidR="000D41C9">
        <w:trPr>
          <w:trHeight w:hRule="exact" w:val="91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  <w:p w:rsidR="000D41C9" w:rsidRDefault="007C06E9">
            <w:pPr>
              <w:spacing w:before="6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95%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I,</w:t>
            </w:r>
          </w:p>
          <w:p w:rsidR="000D41C9" w:rsidRDefault="007C06E9">
            <w:pPr>
              <w:spacing w:before="11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8]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  <w:p w:rsidR="000D41C9" w:rsidRDefault="007C06E9">
            <w:pPr>
              <w:spacing w:before="6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95%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I,</w:t>
            </w:r>
          </w:p>
          <w:p w:rsidR="000D41C9" w:rsidRDefault="007C06E9">
            <w:pPr>
              <w:spacing w:before="11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4]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518" w:right="15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  <w:p w:rsidR="000D41C9" w:rsidRDefault="007C06E9">
            <w:pPr>
              <w:spacing w:before="68" w:after="0" w:line="240" w:lineRule="auto"/>
              <w:ind w:left="97" w:right="8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95%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59]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000072</w:t>
            </w:r>
          </w:p>
        </w:tc>
      </w:tr>
      <w:tr w:rsidR="000D41C9">
        <w:trPr>
          <w:trHeight w:hRule="exact" w:val="91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PP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NR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518" w:right="15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  <w:p w:rsidR="000D41C9" w:rsidRDefault="007C06E9">
            <w:pPr>
              <w:spacing w:before="68" w:after="0" w:line="240" w:lineRule="auto"/>
              <w:ind w:left="577" w:right="5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95%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45]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</w:p>
          <w:p w:rsidR="000D41C9" w:rsidRDefault="007C06E9">
            <w:pPr>
              <w:spacing w:before="11" w:after="0" w:line="240" w:lineRule="auto"/>
              <w:ind w:left="1182" w:right="11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0000036</w:t>
            </w:r>
          </w:p>
        </w:tc>
      </w:tr>
      <w:tr w:rsidR="000D41C9">
        <w:trPr>
          <w:trHeight w:hRule="exact" w:val="917"/>
        </w:trPr>
        <w:tc>
          <w:tcPr>
            <w:tcW w:w="9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NR=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TT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TT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;</w:t>
            </w:r>
          </w:p>
          <w:p w:rsidR="000D41C9" w:rsidRDefault="007C06E9">
            <w:pPr>
              <w:spacing w:before="11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TT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TT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ol</w:t>
            </w:r>
          </w:p>
          <w:p w:rsidR="000D41C9" w:rsidRDefault="007C06E9">
            <w:pPr>
              <w:spacing w:before="68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</w:tr>
    </w:tbl>
    <w:p w:rsidR="000D41C9" w:rsidRPr="007C06E9" w:rsidRDefault="000D41C9" w:rsidP="007C06E9">
      <w:pPr>
        <w:spacing w:after="0" w:line="279" w:lineRule="auto"/>
        <w:ind w:left="100" w:right="5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7C06E9" w:rsidRDefault="007C06E9" w:rsidP="007C06E9">
      <w:pPr>
        <w:spacing w:after="0" w:line="279" w:lineRule="auto"/>
        <w:ind w:left="100" w:right="5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Subgroup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lys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on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r-proto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lysis 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ect 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 with fun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tive (HR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0.23; 95% CI, 0.09 to 0.57), or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tive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tumours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0.25; 95% CI, 0.10 to 0.59).</w:t>
      </w:r>
    </w:p>
    <w:p w:rsidR="000D41C9" w:rsidRPr="007C06E9" w:rsidRDefault="000D41C9">
      <w:pPr>
        <w:spacing w:after="0" w:line="22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7C06E9" w:rsidRDefault="007C06E9" w:rsidP="006A77C2">
      <w:pPr>
        <w:spacing w:before="29" w:after="0" w:line="240" w:lineRule="auto"/>
        <w:ind w:left="120" w:right="5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 6 months of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nt,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ble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in 66 %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in the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="006A77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LAR group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 37 %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 in the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bo group.</w:t>
      </w:r>
    </w:p>
    <w:p w:rsidR="000D41C9" w:rsidRPr="007C06E9" w:rsidRDefault="000D41C9">
      <w:pPr>
        <w:spacing w:before="7" w:after="0" w:line="16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7C06E9" w:rsidRDefault="000D41C9" w:rsidP="007C06E9">
      <w:pPr>
        <w:spacing w:before="29" w:after="0" w:line="240" w:lineRule="auto"/>
        <w:ind w:left="120" w:right="5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7C06E9" w:rsidRDefault="007C06E9" w:rsidP="007C06E9">
      <w:pPr>
        <w:spacing w:before="29" w:after="0" w:line="240" w:lineRule="auto"/>
        <w:ind w:left="120" w:right="5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Both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 groups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ble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ls of glob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QoL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ssignm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6A77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6 months of follow up.</w:t>
      </w:r>
    </w:p>
    <w:p w:rsidR="000D41C9" w:rsidRPr="007C06E9" w:rsidRDefault="000D41C9" w:rsidP="007C06E9">
      <w:pPr>
        <w:spacing w:before="29" w:after="0" w:line="240" w:lineRule="auto"/>
        <w:ind w:left="120" w:right="5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7C06E9" w:rsidRDefault="007C06E9" w:rsidP="007C06E9">
      <w:pPr>
        <w:spacing w:before="29" w:after="0" w:line="240" w:lineRule="auto"/>
        <w:ind w:left="120" w:right="5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on the signifi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fit of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in this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-pl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lysis the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ruitm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stopp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lf (52%) of its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nroll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(85/162).</w:t>
      </w:r>
    </w:p>
    <w:p w:rsidR="000D41C9" w:rsidRPr="007C06E9" w:rsidRDefault="000D41C9" w:rsidP="007C06E9">
      <w:pPr>
        <w:spacing w:before="29" w:after="0" w:line="240" w:lineRule="auto"/>
        <w:ind w:left="120" w:right="5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7C06E9" w:rsidRDefault="007C06E9" w:rsidP="007C06E9">
      <w:pPr>
        <w:spacing w:before="29" w:after="0" w:line="240" w:lineRule="auto"/>
        <w:ind w:left="120" w:right="5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In this study,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re 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tions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tion of the true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gnitude of time to tumor progr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se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bilis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tion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with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LAR.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progr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ssive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as 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not a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for study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ntry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a signifi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 imb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 the groups in time 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gnosis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h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 7.5 months in the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group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 3.3 months in the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bo group (p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0.01). As the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ly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rge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lysis of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tumour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ssion or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tumour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 in the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lys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tions,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re not 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ly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 the signifi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e of the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sult.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7C06E9" w:rsidRDefault="007C06E9">
      <w:pPr>
        <w:spacing w:after="0" w:line="240" w:lineRule="auto"/>
        <w:ind w:left="120" w:right="683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ty of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in this 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with 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ty profil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339" w:lineRule="exact"/>
        <w:ind w:left="120" w:right="734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CA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NS</w:t>
      </w: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Default="007C06E9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Pr="007C06E9" w:rsidRDefault="007C06E9">
      <w:pPr>
        <w:spacing w:before="41" w:after="0" w:line="279" w:lineRule="auto"/>
        <w:ind w:left="120" w:right="181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For the symptom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ontrol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 of growth hormone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 IGF-1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sma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ls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with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ly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luding those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ontroll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by surg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ry,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dioth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py, or dop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gonist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but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ontroll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on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.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with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lso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in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lic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 unfit or unwilling to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rgo surg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ry, or in the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rim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riod until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dioth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py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fully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0D41C9" w:rsidRPr="007C06E9" w:rsidRDefault="000D41C9">
      <w:pPr>
        <w:spacing w:before="10" w:after="0" w:line="28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Pr="007C06E9" w:rsidRDefault="007C06E9">
      <w:pPr>
        <w:spacing w:before="41" w:after="0" w:line="279" w:lineRule="auto"/>
        <w:ind w:left="120" w:right="13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For the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 of symptoms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with the following fun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tumours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of the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stro-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ro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-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rine syst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m:</w:t>
      </w:r>
    </w:p>
    <w:p w:rsidR="000D41C9" w:rsidRPr="007C06E9" w:rsidRDefault="007C06E9">
      <w:pPr>
        <w:tabs>
          <w:tab w:val="left" w:pos="1020"/>
        </w:tabs>
        <w:spacing w:after="0" w:line="240" w:lineRule="auto"/>
        <w:ind w:left="686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•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inoid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tumours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with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of the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inoid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syndrome</w:t>
      </w:r>
    </w:p>
    <w:p w:rsidR="000D41C9" w:rsidRPr="007C06E9" w:rsidRDefault="007C06E9">
      <w:pPr>
        <w:tabs>
          <w:tab w:val="left" w:pos="1020"/>
        </w:tabs>
        <w:spacing w:before="44" w:after="0" w:line="279" w:lineRule="auto"/>
        <w:ind w:left="1114" w:right="1001" w:hanging="427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•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tive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ptide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ting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tumours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VIPom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)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ontroll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on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ous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with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</w:p>
    <w:p w:rsidR="007C06E9" w:rsidRDefault="007C06E9" w:rsidP="007C06E9">
      <w:pPr>
        <w:spacing w:before="41" w:after="0" w:line="279" w:lineRule="auto"/>
        <w:ind w:left="120" w:right="13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7C06E9" w:rsidRDefault="007C06E9" w:rsidP="007C06E9">
      <w:pPr>
        <w:spacing w:before="41" w:after="0" w:line="279" w:lineRule="auto"/>
        <w:ind w:left="120" w:right="13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tive 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nts.</w:t>
      </w:r>
    </w:p>
    <w:p w:rsidR="000D41C9" w:rsidRPr="007C06E9" w:rsidRDefault="000D41C9" w:rsidP="007C06E9">
      <w:pPr>
        <w:spacing w:before="41" w:after="0" w:line="279" w:lineRule="auto"/>
        <w:ind w:left="120" w:right="13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ut</w:t>
      </w:r>
      <w:proofErr w:type="spellEnd"/>
    </w:p>
    <w:p w:rsidR="000D41C9" w:rsidRPr="007C06E9" w:rsidRDefault="007C06E9" w:rsidP="007C06E9">
      <w:pPr>
        <w:spacing w:before="41" w:after="0" w:line="279" w:lineRule="auto"/>
        <w:ind w:left="120" w:right="13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 with progr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ssion of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ll-diff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uro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rine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tumours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of the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midgut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or 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midgut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origin.</w:t>
      </w: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Default="007C06E9">
      <w:pPr>
        <w:spacing w:before="23" w:after="0" w:line="339" w:lineRule="exact"/>
        <w:ind w:left="10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RA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CA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NS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7C06E9" w:rsidRDefault="007C06E9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Hyp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nsitivity to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ompon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 of the formul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tion.</w:t>
      </w:r>
    </w:p>
    <w:p w:rsidR="000D41C9" w:rsidRPr="007C06E9" w:rsidRDefault="000D41C9">
      <w:pPr>
        <w:spacing w:before="2" w:after="0" w:line="28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339" w:lineRule="exact"/>
        <w:ind w:left="10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CAU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NS</w:t>
      </w:r>
    </w:p>
    <w:p w:rsidR="000D41C9" w:rsidRPr="007C06E9" w:rsidRDefault="000D41C9" w:rsidP="007C06E9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iova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Pr="007C06E9" w:rsidRDefault="007C06E9" w:rsidP="007C06E9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ommon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of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rdia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d. 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w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luding dose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djustm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of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dose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djustm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 of drugs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-blo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 blo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rs,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ontrol fluid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trolyte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y be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ry.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Pr="007C06E9" w:rsidRDefault="007C06E9">
      <w:pPr>
        <w:spacing w:before="41" w:after="0" w:line="279" w:lineRule="auto"/>
        <w:ind w:left="100" w:right="21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 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ls (prim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rily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with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ly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or psori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sis)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 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not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viously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,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 of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ry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63% (27%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llston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s, 24% sludge without ston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s, 12%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ry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 dil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tion).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e of ston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or sludge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 who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for 12 months or long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52%.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 2%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with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for 1 month or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llston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7C06E9" w:rsidRDefault="007C06E9" w:rsidP="006A77C2">
      <w:pPr>
        <w:spacing w:after="0" w:line="279" w:lineRule="auto"/>
        <w:ind w:left="100" w:right="322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The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e in the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 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tion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40 to 60 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rs)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from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ws to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bout 5-20%. Long-t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xposure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with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ly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or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stro-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ro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-p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tic</w:t>
      </w:r>
      <w:r w:rsidR="006A77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tumours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to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sugg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with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not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se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e of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llstone form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to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ous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nt.  Ultr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sonic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tion of the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llbl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 6 to 12 monthly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ls during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py is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d.  If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llston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do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ur,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re 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symptom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; symptom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tic ston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should be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 by dissolution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py with bile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ids or by surg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ry.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Pr="007C06E9" w:rsidRDefault="007C06E9">
      <w:pPr>
        <w:spacing w:before="41" w:after="0" w:line="279" w:lineRule="auto"/>
        <w:ind w:left="100" w:right="195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As GH-s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ting pituit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ry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tumours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y 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using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tion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.g. visu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ts), 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fully monitor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d.  If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 of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tumour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tive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y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Pr="007C06E9" w:rsidRDefault="007C06E9">
      <w:pPr>
        <w:spacing w:before="41" w:after="0" w:line="279" w:lineRule="auto"/>
        <w:ind w:left="100" w:right="82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In the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 of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stro-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ro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-p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rine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tumours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with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ous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, sudd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pe from symptom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ontrol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y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ur infr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ntly, with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pid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urr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e of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re symptoms. 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,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 with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stro-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ro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-p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rine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tumours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with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is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e of a sudd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pe from symptom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ontrol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brupt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urr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e of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re symptoms.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Pr="007C06E9" w:rsidRDefault="007C06E9">
      <w:pPr>
        <w:spacing w:before="41" w:after="0" w:line="279" w:lineRule="auto"/>
        <w:ind w:left="100" w:right="86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 Type I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llitus,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is 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ly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 glu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ose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gul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 insulin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y be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d. In non-di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 type II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with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lly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 insulin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s,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dministr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sult in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 in post-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gly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.  It is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fore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to monitor glu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ose tol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ntidi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tic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nt.</w:t>
      </w:r>
    </w:p>
    <w:p w:rsidR="000D41C9" w:rsidRPr="007C06E9" w:rsidRDefault="000D41C9">
      <w:pPr>
        <w:spacing w:after="0" w:line="22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7C06E9" w:rsidRDefault="007C06E9">
      <w:pPr>
        <w:spacing w:before="29" w:after="0" w:line="279" w:lineRule="auto"/>
        <w:ind w:left="100" w:right="231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hyp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tion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of insulin,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use of its 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tive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y in inhibiting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 of GH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 glu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gon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 of insulin,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use of the short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 dur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 of its inhibitory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tion on insulin,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y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se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 prolong the dur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 of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hypogly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should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ly monitor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Pr="007C06E9" w:rsidRDefault="007C06E9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bsorption of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ry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ts in some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Pr="007C06E9" w:rsidRDefault="007C06E9">
      <w:pPr>
        <w:spacing w:after="0" w:line="269" w:lineRule="auto"/>
        <w:ind w:left="100" w:right="195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min B12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bnorm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hilling’s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sts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 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in some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iving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py. Monitoring of 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min B12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ls 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during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py with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 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ve a history of 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min B12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tion.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oid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n:</w:t>
      </w:r>
    </w:p>
    <w:p w:rsidR="000D41C9" w:rsidRPr="007C06E9" w:rsidRDefault="007C06E9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Thyroid fun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tion should be monitor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iving prolong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with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0D41C9" w:rsidRPr="007C06E9" w:rsidRDefault="000D41C9">
      <w:pPr>
        <w:spacing w:before="2" w:after="0" w:line="17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wi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n:</w:t>
      </w:r>
    </w:p>
    <w:p w:rsidR="000D41C9" w:rsidRPr="007C06E9" w:rsidRDefault="007C06E9" w:rsidP="007C06E9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 fun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 did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 the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xposure (AUC) to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ously.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no dose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djustm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of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ry.</w:t>
      </w:r>
    </w:p>
    <w:p w:rsidR="000D41C9" w:rsidRPr="007C06E9" w:rsidRDefault="000D41C9" w:rsidP="007C06E9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wi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n:</w:t>
      </w:r>
    </w:p>
    <w:p w:rsidR="000D41C9" w:rsidRPr="007C06E9" w:rsidRDefault="007C06E9">
      <w:pPr>
        <w:spacing w:before="41" w:after="0" w:line="279" w:lineRule="auto"/>
        <w:ind w:left="100" w:right="42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 a study with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ously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 intr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nously it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shown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ity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 with 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irrhosis, but not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 with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tty 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.  Due to the wide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utic window of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no dose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djustm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 of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ry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 with 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irrhosis.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y:</w:t>
      </w:r>
    </w:p>
    <w:p w:rsidR="000D41C9" w:rsidRPr="007C06E9" w:rsidRDefault="007C06E9">
      <w:pPr>
        <w:spacing w:before="41" w:after="0" w:line="279" w:lineRule="auto"/>
        <w:ind w:left="100" w:right="46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 a study with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otide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ously no dose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djustm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ry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nts 65 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ge or 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no dose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djustm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nt 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ry in this group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nts with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Pr="007C06E9" w:rsidRDefault="007C06E9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re is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ry 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 with the use of </w:t>
      </w:r>
      <w:proofErr w:type="spellStart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tin</w:t>
      </w:r>
      <w:proofErr w:type="spellEnd"/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LAR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hildr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n.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D41C9" w:rsidRDefault="007C06E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y:</w:t>
      </w:r>
    </w:p>
    <w:p w:rsidR="000D41C9" w:rsidRDefault="007C06E9" w:rsidP="007C06E9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epeat dose toxicity studies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ats of 52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weeks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ation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longe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edominantly in males, sa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comas 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noted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at the subcutaneous injection site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in an acidic vehicle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at a lower incidence with the acidic vehicle alone.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hese did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not occur in a mouse 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cinogenicity study, nor did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hype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plastic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or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neoplastic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lesions occur at the subcutaneous injection site in a 52- week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dog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toxicity study.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he 116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week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 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cinogenicity study also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evealed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ute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ine endomet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ial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adenoca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cinomas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their incidence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eaching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statistical significance at the highest dose of 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mg/kg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per day.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 have been 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ts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tumour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mation at the injection sites in patients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for 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to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yea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 with subcutaneous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.  All 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mation available at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esent indicates that the finding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of injection site sa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comas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ats is species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specific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has no significance for the use of the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in humans.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esence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endomet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itis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coupled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with the absence of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lutea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eduction in mamma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y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oadenomas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,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esence of ute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ugg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Default="007C06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Pr="007C06E9" w:rsidRDefault="007C06E9">
      <w:pPr>
        <w:spacing w:before="41" w:after="0" w:line="279" w:lineRule="auto"/>
        <w:ind w:left="120" w:right="271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oduction studies have been 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ats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abbits at doses 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to 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mg/kg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have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evealed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no evidence of any adve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se effect of subcutaneous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on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tility or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phogenesis. 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Foetal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natal 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owth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dation was seen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ats,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obably due to 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ession of 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owth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mone.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after="0" w:line="279" w:lineRule="auto"/>
        <w:ind w:left="120" w:right="191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no adequate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olled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studies in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egnant women.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n the post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keting expe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ience, data on a limited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number of exposed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egnancies have been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in patients with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omegaly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, howeve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, in half of the cases 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egnancy outcomes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unknown. Most women 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exposed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to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the 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st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imester of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egnancy at doses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anging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om 100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to</w:t>
      </w:r>
    </w:p>
    <w:p w:rsidR="000D41C9" w:rsidRPr="007C06E9" w:rsidRDefault="007C06E9">
      <w:pPr>
        <w:spacing w:before="1" w:after="0" w:line="279" w:lineRule="auto"/>
        <w:ind w:left="120" w:right="319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300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ams/day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. or 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to 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mg/month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n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oximately two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ds of the cases with known outcome, the women elected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to continue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apy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their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egnancies.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n most of the cases with known outcome,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mal newbo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ns 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but also seve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al spontaneous abo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tions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the 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st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imeste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,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 few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induced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tions.</w:t>
      </w:r>
    </w:p>
    <w:p w:rsidR="000D41C9" w:rsidRPr="007C06E9" w:rsidRDefault="000D41C9">
      <w:pPr>
        <w:spacing w:before="11" w:after="0" w:line="26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after="0" w:line="279" w:lineRule="auto"/>
        <w:ind w:left="120" w:right="545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no cases of congenital anomalies or malfo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mations due to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usage in the cases that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egnancy outcomes.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should only be prescribed to pregnant women under compelling circumstances.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 w:rsidP="006A77C2">
      <w:pPr>
        <w:spacing w:after="0" w:line="279" w:lineRule="auto"/>
        <w:ind w:left="120" w:right="615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he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apeutic benefits of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eduction in 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owth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mone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GH) levels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malization of insulin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like 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owth factor 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(I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GF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1) concent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ation in female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omegalic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patients could</w:t>
      </w:r>
      <w:r w:rsidR="006A77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potentially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tility. Female patients of childbea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potential 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be advised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to use adequate cont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aception if necessa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y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eatment with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Default="007C06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Pr="007C06E9" w:rsidRDefault="000D41C9">
      <w:pPr>
        <w:spacing w:before="2" w:after="0" w:line="12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after="0" w:line="246" w:lineRule="auto"/>
        <w:ind w:left="120" w:right="51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 is unknown whether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is exc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eted in human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east milk. Animal studies have shown exc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etion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in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east milk. Patients should not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feed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ing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eatment.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Default="007C06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RAC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ONS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0D41C9" w:rsidRPr="007C06E9" w:rsidRDefault="007C06E9">
      <w:pPr>
        <w:spacing w:before="41" w:after="0" w:line="279" w:lineRule="auto"/>
        <w:ind w:left="120" w:right="245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has been found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educe the intestinal abso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ption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cyclospo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to delay that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cimetidine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 Since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has also been associated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with alte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ations in nut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ient abso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ption, its effect on abso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ption of any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ally administe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ugs 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be 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efully conside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ed.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after="0" w:line="279" w:lineRule="auto"/>
        <w:ind w:left="120" w:right="51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Adjustment of the dosage of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ugs affecting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glucose metabolism, such as insulin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al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hypoglycaemic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agents, may be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initiation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apy in patients with diabetes mellitus.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Default="007C06E9" w:rsidP="007C06E9">
      <w:pPr>
        <w:spacing w:after="0" w:line="279" w:lineRule="auto"/>
        <w:ind w:left="120" w:right="696"/>
        <w:rPr>
          <w:sz w:val="14"/>
          <w:szCs w:val="1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Concomitant administ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ation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omoc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iptine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the bioavailability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omoc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iptine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before="29" w:after="0" w:line="279" w:lineRule="auto"/>
        <w:ind w:left="120" w:right="145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Limited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published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data indicate that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somatostatin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analogues might dec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ease the metabolic clea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ance of compounds known to be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metabolised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by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cytoch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ome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P450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enzymes, which may be due to the 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ession of 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owth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mone. Since it cannot be excluded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that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may have this effect, other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ugs mainly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metabolised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by CYP3A4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which have a 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apeutic index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g.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quinidine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) 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be used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with caution.</w:t>
      </w:r>
    </w:p>
    <w:p w:rsidR="000D41C9" w:rsidRPr="007C06E9" w:rsidRDefault="000D41C9">
      <w:pPr>
        <w:spacing w:before="16" w:after="0" w:line="28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Default="007C06E9">
      <w:pPr>
        <w:spacing w:after="0" w:line="339" w:lineRule="exact"/>
        <w:ind w:left="12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ADV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FF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TS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before="29" w:after="0" w:line="279" w:lineRule="auto"/>
        <w:ind w:left="120" w:right="271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he most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equent adve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eactions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apy include gast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ointestinal diso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s, 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vous system diso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s,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hepatobilia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diso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s,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metabolism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nut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itional diso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after="0" w:line="279" w:lineRule="auto"/>
        <w:ind w:left="120" w:right="176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he most commonly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adve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eactions in clinical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ials with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administ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ation 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hoea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abdominal pain, nausea, flatulence, headache,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cholelithiasis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hype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glycaemia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and constipation. Other commonly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adve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eactions 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 dizziness,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localised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pain,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bilia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sludge, thy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dysfunction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g. dec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thy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stimulating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mone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, dec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otal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4,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dec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, loose stools, impai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glucose tole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ance, vomiting, asthenia, and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hypoglycaemia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after="0" w:line="279" w:lineRule="auto"/>
        <w:ind w:left="120" w:right="377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Local injection site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eactions to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may occu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,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usually mild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of sho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ation.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hey include local pain and, occasionally, swelling,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itation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ash.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after="0" w:line="279" w:lineRule="auto"/>
        <w:ind w:left="120" w:right="46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Although measu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faecal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fat exc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etion may 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ease,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is no evidence to date that long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eatment with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has 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to nut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itional deficiency due to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malabso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ption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instances, gast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ointestinal side effects may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esemble acute intestinal obst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uction, with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essive abdominal distension, seve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epigast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ic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pain, abdominal tende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ness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gua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ding.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after="0" w:line="279" w:lineRule="auto"/>
        <w:ind w:left="120" w:right="131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instances, acute panc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eatitis has been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within the 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st hou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 or days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eatment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esolved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on withd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awal of the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ug.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n addition,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cholelithiasis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induced panc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eatitis has been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for patients on long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m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eatment.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after="0" w:line="279" w:lineRule="auto"/>
        <w:ind w:left="120" w:right="335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n both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omegalic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cinoid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synd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ome patients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hythmia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changes such as QT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olongation, axis shifts, 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ly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epola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isation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, 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voltage, R/S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ansition, 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ly R wave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ession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specific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 wave changes 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obse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ved.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elationship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of these events to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acetate is however not established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because many of these patients have unde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lying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diac diseases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see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CAU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TI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after="0" w:line="279" w:lineRule="auto"/>
        <w:ind w:left="120" w:right="5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Adve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eactions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see table below)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anked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under heading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of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equency, the most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equent 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st, using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the following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convention: 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y common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≥ 1/10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; common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≥ 1/100, &lt; 1/10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; uncommon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≥ 1/1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000, &lt; 1/100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≥ 1/10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000, &lt; 1/1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000) 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&lt; 1/10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, including isolated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ts. Within each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equency 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ouping, adve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eactions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anked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der of dec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easing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iousness.</w:t>
      </w: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Default="007C06E9">
      <w:pPr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</w:p>
    <w:p w:rsidR="000D41C9" w:rsidRDefault="000D41C9">
      <w:pPr>
        <w:spacing w:before="7" w:after="0" w:line="60" w:lineRule="exact"/>
        <w:rPr>
          <w:sz w:val="6"/>
          <w:szCs w:val="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182"/>
      </w:tblGrid>
      <w:tr w:rsidR="000D41C9">
        <w:trPr>
          <w:trHeight w:hRule="exact" w:val="1550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6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0D41C9" w:rsidRDefault="007C06E9">
            <w:pPr>
              <w:tabs>
                <w:tab w:val="left" w:pos="3600"/>
                <w:tab w:val="left" w:pos="4900"/>
                <w:tab w:val="left" w:pos="6140"/>
                <w:tab w:val="left" w:pos="6860"/>
                <w:tab w:val="left" w:pos="7840"/>
              </w:tabs>
              <w:spacing w:before="65" w:after="0" w:line="246" w:lineRule="auto"/>
              <w:ind w:left="3618" w:right="41" w:hanging="3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ce.</w:t>
            </w:r>
          </w:p>
          <w:p w:rsidR="000D41C9" w:rsidRDefault="007C06E9">
            <w:pPr>
              <w:tabs>
                <w:tab w:val="left" w:pos="3600"/>
              </w:tabs>
              <w:spacing w:after="0" w:line="246" w:lineRule="auto"/>
              <w:ind w:left="3618" w:right="41" w:hanging="3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g,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g,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aece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41C9">
        <w:trPr>
          <w:trHeight w:hRule="exact" w:val="1234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6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0D41C9" w:rsidRDefault="007C06E9">
            <w:pPr>
              <w:tabs>
                <w:tab w:val="left" w:pos="3600"/>
              </w:tabs>
              <w:spacing w:before="44" w:after="0" w:line="384" w:lineRule="exact"/>
              <w:ind w:left="100" w:right="44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position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position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24"/>
                <w:szCs w:val="24"/>
              </w:rPr>
              <w:t xml:space="preserve">e. </w:t>
            </w:r>
            <w:r>
              <w:rPr>
                <w:rFonts w:ascii="Times New Roman" w:eastAsia="Times New Roman" w:hAnsi="Times New Roman" w:cs="Times New Roman"/>
                <w:spacing w:val="-2"/>
                <w:position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position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position w:val="-2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position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zz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41C9">
        <w:trPr>
          <w:trHeight w:hRule="exact" w:val="984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6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0D41C9" w:rsidRDefault="007C06E9">
            <w:pPr>
              <w:tabs>
                <w:tab w:val="left" w:pos="3600"/>
              </w:tabs>
              <w:spacing w:before="6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0D41C9" w:rsidRDefault="007C06E9">
            <w:pPr>
              <w:spacing w:before="7" w:after="0" w:line="240" w:lineRule="auto"/>
              <w:ind w:left="36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41C9">
        <w:trPr>
          <w:trHeight w:hRule="exact" w:val="1267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6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0D41C9" w:rsidRDefault="007C06E9">
            <w:pPr>
              <w:tabs>
                <w:tab w:val="left" w:pos="3600"/>
              </w:tabs>
              <w:spacing w:before="6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D41C9" w:rsidRDefault="007C06E9">
            <w:pPr>
              <w:tabs>
                <w:tab w:val="left" w:pos="3600"/>
              </w:tabs>
              <w:spacing w:before="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41C9">
        <w:trPr>
          <w:trHeight w:hRule="exact" w:val="1925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67" w:after="0" w:line="246" w:lineRule="auto"/>
              <w:ind w:left="100" w:right="6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  <w:p w:rsidR="000D41C9" w:rsidRDefault="000D41C9">
            <w:pPr>
              <w:spacing w:after="0" w:line="120" w:lineRule="exact"/>
              <w:rPr>
                <w:sz w:val="12"/>
                <w:szCs w:val="12"/>
              </w:rPr>
            </w:pPr>
          </w:p>
          <w:p w:rsidR="000D41C9" w:rsidRDefault="007C06E9">
            <w:pPr>
              <w:tabs>
                <w:tab w:val="left" w:pos="3600"/>
              </w:tabs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0D41C9" w:rsidRDefault="007C06E9">
            <w:pPr>
              <w:tabs>
                <w:tab w:val="left" w:pos="3600"/>
              </w:tabs>
              <w:spacing w:before="8" w:after="0" w:line="400" w:lineRule="atLeast"/>
              <w:ind w:left="100" w:right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n.</w:t>
            </w:r>
          </w:p>
        </w:tc>
      </w:tr>
      <w:tr w:rsidR="000D41C9">
        <w:trPr>
          <w:trHeight w:hRule="exact" w:val="1042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67" w:after="0" w:line="246" w:lineRule="auto"/>
              <w:ind w:left="100" w:right="67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:rsidR="000D41C9" w:rsidRDefault="007C06E9">
            <w:pPr>
              <w:tabs>
                <w:tab w:val="left" w:pos="3600"/>
              </w:tabs>
              <w:spacing w:before="58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e.</w:t>
            </w:r>
          </w:p>
        </w:tc>
      </w:tr>
      <w:tr w:rsidR="000D41C9">
        <w:trPr>
          <w:trHeight w:hRule="exact" w:val="826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6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0D41C9" w:rsidRDefault="000D41C9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0D41C9" w:rsidRDefault="007C06E9">
            <w:pPr>
              <w:tabs>
                <w:tab w:val="left" w:pos="3600"/>
              </w:tabs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41C9">
        <w:trPr>
          <w:trHeight w:hRule="exact" w:val="984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67" w:after="0" w:line="246" w:lineRule="auto"/>
              <w:ind w:left="100" w:right="60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ue 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rs</w:t>
            </w:r>
          </w:p>
          <w:p w:rsidR="000D41C9" w:rsidRDefault="007C06E9">
            <w:pPr>
              <w:tabs>
                <w:tab w:val="left" w:pos="3600"/>
              </w:tabs>
              <w:spacing w:before="58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a.</w:t>
            </w:r>
          </w:p>
        </w:tc>
      </w:tr>
      <w:tr w:rsidR="000D41C9">
        <w:trPr>
          <w:trHeight w:hRule="exact" w:val="576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rs</w:t>
            </w:r>
          </w:p>
          <w:p w:rsidR="000D41C9" w:rsidRDefault="007C06E9">
            <w:pPr>
              <w:tabs>
                <w:tab w:val="left" w:pos="3600"/>
              </w:tabs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0D41C9">
        <w:trPr>
          <w:trHeight w:hRule="exact" w:val="984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6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rs</w:t>
            </w:r>
          </w:p>
          <w:p w:rsidR="000D41C9" w:rsidRDefault="007C06E9">
            <w:pPr>
              <w:tabs>
                <w:tab w:val="left" w:pos="3600"/>
              </w:tabs>
              <w:spacing w:before="65" w:after="0" w:line="246" w:lineRule="auto"/>
              <w:ind w:left="100" w:right="4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a.</w:t>
            </w:r>
          </w:p>
        </w:tc>
      </w:tr>
    </w:tbl>
    <w:p w:rsidR="000D41C9" w:rsidRDefault="007C06E9">
      <w:pPr>
        <w:spacing w:before="5" w:after="0" w:line="248" w:lineRule="auto"/>
        <w:ind w:left="220" w:right="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z w:val="20"/>
          <w:szCs w:val="20"/>
        </w:rPr>
        <w:t>t 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im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ic 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Default="007C06E9">
      <w:pPr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t-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before="29" w:after="0" w:line="279" w:lineRule="auto"/>
        <w:ind w:left="220" w:right="228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Spontaneously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adve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eactions,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esented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 the table below,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volunta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ily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it is not always possible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eliably establish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equency or a causal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elationship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ug exposu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Default="007C06E9">
      <w:pPr>
        <w:spacing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41"/>
        <w:gridCol w:w="5338"/>
      </w:tblGrid>
      <w:tr w:rsidR="000D41C9">
        <w:trPr>
          <w:trHeight w:hRule="exact" w:val="33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39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41C9">
        <w:trPr>
          <w:trHeight w:hRule="exact" w:val="653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10" w:after="0" w:line="322" w:lineRule="exact"/>
              <w:ind w:left="100" w:right="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ue 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rs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39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41C9">
        <w:trPr>
          <w:trHeight w:hRule="exact" w:val="974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5" w:after="0" w:line="322" w:lineRule="exact"/>
              <w:ind w:left="100" w:right="8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ce.</w:t>
            </w:r>
          </w:p>
        </w:tc>
      </w:tr>
      <w:tr w:rsidR="000D41C9">
        <w:trPr>
          <w:trHeight w:hRule="exact" w:val="33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rs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39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41C9">
        <w:trPr>
          <w:trHeight w:hRule="exact" w:val="653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4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1C9" w:rsidRDefault="007C06E9">
            <w:pPr>
              <w:spacing w:before="5" w:after="0" w:line="322" w:lineRule="exact"/>
              <w:ind w:left="100" w:righ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D41C9" w:rsidRDefault="007C06E9">
      <w:pPr>
        <w:spacing w:before="44" w:after="0" w:line="240" w:lineRule="auto"/>
        <w:ind w:left="2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mali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ami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</w:p>
    <w:p w:rsidR="000D41C9" w:rsidRDefault="000D41C9">
      <w:pPr>
        <w:spacing w:after="0" w:line="140" w:lineRule="exact"/>
        <w:rPr>
          <w:sz w:val="14"/>
          <w:szCs w:val="14"/>
        </w:rPr>
      </w:pP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Default="007C06E9">
      <w:pPr>
        <w:spacing w:after="0" w:line="339" w:lineRule="exact"/>
        <w:ind w:left="22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GE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0"/>
          <w:szCs w:val="3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0"/>
          <w:szCs w:val="3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AD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MI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RA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ON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before="29" w:after="0" w:line="279" w:lineRule="auto"/>
        <w:ind w:left="220" w:right="55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may only be administe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by deep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agluteal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injection.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ach injection is for single use only.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he site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epeat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agluteal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injections 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be alte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nated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between the left and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ight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gluteal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muscle.  Deltoid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injections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to be avoided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because of significant discomfo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 at the injection site when given in that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Default="007C06E9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Default="007C06E9">
      <w:pPr>
        <w:spacing w:before="41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us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ot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</w:t>
      </w:r>
      <w:proofErr w:type="spellEnd"/>
    </w:p>
    <w:p w:rsidR="000D41C9" w:rsidRPr="007C06E9" w:rsidRDefault="007C06E9">
      <w:pPr>
        <w:spacing w:before="45" w:after="0" w:line="279" w:lineRule="auto"/>
        <w:ind w:left="220" w:right="224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n patients who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adequately cont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olled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with the usual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apeutic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ange of subcutaneous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it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ecommended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to 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eatment with the administ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ation of 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at 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week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vals for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months.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eatment with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can be 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the day after the last dose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.  Subsequent dosage adjustment 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be based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on 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um GH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GF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concent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ations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clinical symptoms.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after="0" w:line="279" w:lineRule="auto"/>
        <w:ind w:left="220" w:right="54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n patients in whom clinical symptoms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biochemical 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amete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GH;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GF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1)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not fully cont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olled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concent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ations still above 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mcg/L) within this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month 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iod, the dose may be 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to 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y 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weeks.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after="0" w:line="279" w:lineRule="auto"/>
        <w:ind w:left="220" w:right="4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he monito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of GH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concent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ations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ecommended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for another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months.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f, after 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months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eatment,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esponse is judged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to be inadequate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om clinical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biological points of view,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be discontinued.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 w:rsidP="007C06E9">
      <w:pPr>
        <w:spacing w:after="0" w:line="279" w:lineRule="auto"/>
        <w:ind w:left="220" w:right="17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For patients whose GH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concent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ations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consistently below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mcg/L, whose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GF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um concent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ations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malised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,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in whom most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sible signs/symptoms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omegaly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have disappea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after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months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eatment with 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mg, 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may be administe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y 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weeks.  Howeve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, 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ticula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ly in this 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of patients, it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ecommended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to closely monitor adequate cont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ol of 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um GH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GF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concent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ations, as well as clinical signs/symptoms at this 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dose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after="0" w:line="279" w:lineRule="auto"/>
        <w:ind w:left="120" w:right="256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For patients on a stable dose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LAR, assessment of biochemical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 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be made 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iodically.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Default="007C06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ot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</w:t>
      </w:r>
      <w:proofErr w:type="spellEnd"/>
    </w:p>
    <w:p w:rsidR="000D41C9" w:rsidRPr="007C06E9" w:rsidRDefault="007C06E9">
      <w:pPr>
        <w:spacing w:before="45" w:after="0" w:line="279" w:lineRule="auto"/>
        <w:ind w:left="120" w:right="308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For patients in whom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adiothe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apy or dopamine agonist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eatment is inapp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iate, or ineffective, or in the inte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im 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until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adiothe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apy becomes fully effective, a sho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eatment 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of subcutaneous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ecommended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to assess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esponse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systemic tole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ability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ior to initiating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eatment with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as desc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ibed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above.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Default="007C06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Default="007C06E9">
      <w:pPr>
        <w:spacing w:before="41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us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ot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</w:t>
      </w:r>
      <w:proofErr w:type="spellEnd"/>
    </w:p>
    <w:p w:rsidR="000D41C9" w:rsidRPr="007C06E9" w:rsidRDefault="007C06E9" w:rsidP="007C06E9">
      <w:pPr>
        <w:spacing w:before="45" w:after="0" w:line="279" w:lineRule="auto"/>
        <w:ind w:left="120" w:right="157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For patients whose symptoms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adequately cont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olled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with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it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ecommended to 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eatment with the administ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ation of 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at 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week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vals.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eatment with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be continued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 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eviously effective dosage for 2 weeks after the 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st injection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after="0" w:line="279" w:lineRule="auto"/>
        <w:ind w:left="120" w:right="551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For patients in whom symptoms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biological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well cont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olled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after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months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eatment, the dose may be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educed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to 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eve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y 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weeks.  For patients whose symptoms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only 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tially cont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olled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after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months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eatment, the dose may be 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to 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eve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y 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weeks.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 w:rsidP="007C06E9">
      <w:pPr>
        <w:spacing w:after="0" w:line="279" w:lineRule="auto"/>
        <w:ind w:left="120" w:right="129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For days when symptoms associated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with gast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ente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panc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eatic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tumou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may 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ease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ing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eatment with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LAR, additional administ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ation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ecommended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 the dose used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ior to the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eatment.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his may occur mainly in the 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st 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months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eatment until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apeutic concent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ations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eached.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Default="007C06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ot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</w:t>
      </w:r>
      <w:proofErr w:type="spellEnd"/>
    </w:p>
    <w:p w:rsidR="000D41C9" w:rsidRPr="007C06E9" w:rsidRDefault="007C06E9" w:rsidP="006A77C2">
      <w:pPr>
        <w:spacing w:before="45" w:after="0" w:line="279" w:lineRule="auto"/>
        <w:ind w:left="120" w:right="54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For patients who 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not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eviously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with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it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ecommended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to 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 with the administ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ation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at a dosage of 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mcg)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ee times daily for a sho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 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oximately 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weeks) to assess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esponse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systemic tole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ability of</w:t>
      </w:r>
      <w:r w:rsidR="006A77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eotide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befo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initiating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eatment with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as desc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ibed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above.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Default="007C06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Pr="007C06E9" w:rsidRDefault="007C06E9">
      <w:pPr>
        <w:spacing w:before="41" w:after="0" w:line="279" w:lineRule="auto"/>
        <w:ind w:left="120" w:right="454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ecommended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dose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is 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administe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y 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weeks.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eatment with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for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tumour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cont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ol 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be continued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in the absence of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tumour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ession.</w:t>
      </w:r>
    </w:p>
    <w:p w:rsidR="000D41C9" w:rsidRPr="007C06E9" w:rsidRDefault="000D41C9">
      <w:pPr>
        <w:spacing w:before="8" w:after="0" w:line="12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Default="007C06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Pr="007C06E9" w:rsidRDefault="007C06E9">
      <w:pPr>
        <w:spacing w:before="41" w:after="0" w:line="279" w:lineRule="auto"/>
        <w:ind w:left="120" w:right="179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econstituted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the vehicle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ovided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 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efilled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inge and administe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by deep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agluteal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injection only.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suspension must only be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immediately befo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administ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ation.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only be administe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by a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ained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health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ofessional.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before="29" w:after="0" w:line="279" w:lineRule="auto"/>
        <w:ind w:left="100" w:right="69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the inst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uctions below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efully to ensu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complete satu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ation of the powder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its unifo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 suspension befo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. injection.</w:t>
      </w:r>
    </w:p>
    <w:p w:rsidR="000D41C9" w:rsidRPr="007C06E9" w:rsidRDefault="000D41C9">
      <w:pPr>
        <w:spacing w:after="0" w:line="200" w:lineRule="exac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41C9" w:rsidRPr="007C06E9" w:rsidRDefault="007C06E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1.   Allow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the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vial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vehicle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each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oom tempe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e.</w:t>
      </w:r>
    </w:p>
    <w:p w:rsidR="000D41C9" w:rsidRPr="007C06E9" w:rsidRDefault="007C06E9">
      <w:pPr>
        <w:spacing w:before="45" w:after="0" w:line="279" w:lineRule="auto"/>
        <w:ind w:left="460" w:right="572" w:hanging="36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2.   Remove the cap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om the vial containing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 that the powder is settled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at the bottom of the vial by lightly tapping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the vial.</w:t>
      </w:r>
    </w:p>
    <w:p w:rsidR="000D41C9" w:rsidRPr="007C06E9" w:rsidRDefault="007C06E9">
      <w:pPr>
        <w:spacing w:before="1" w:after="0" w:line="279" w:lineRule="auto"/>
        <w:ind w:left="460" w:right="323" w:hanging="36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3.   Remove the cap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om the vehicle sy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inge.  Attach one of the supplied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needles to the vehicle sy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inge.</w:t>
      </w:r>
    </w:p>
    <w:p w:rsidR="000D41C9" w:rsidRPr="007C06E9" w:rsidRDefault="007C06E9">
      <w:pPr>
        <w:spacing w:before="1" w:after="0" w:line="279" w:lineRule="auto"/>
        <w:ind w:left="460" w:right="338" w:hanging="36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4.   Disinfect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ubber stopper of the vial with an alcohol swab.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 the needle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ough the cent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 of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ubber stopper of the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vial.</w:t>
      </w:r>
    </w:p>
    <w:p w:rsidR="000D41C9" w:rsidRPr="007C06E9" w:rsidRDefault="007C06E9">
      <w:pPr>
        <w:spacing w:before="1" w:after="0" w:line="279" w:lineRule="auto"/>
        <w:ind w:left="460" w:right="160" w:hanging="36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5.   Without distu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bing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the </w:t>
      </w:r>
      <w:proofErr w:type="spellStart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Sandostatin</w:t>
      </w:r>
      <w:proofErr w:type="spellEnd"/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LAR powde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gently inject all the vehicle into the vial by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unning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the vehicle down the inside wall of the vial. Do not inject the vehicle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ectly into the powde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D41C9" w:rsidRPr="007C06E9" w:rsidRDefault="007C06E9">
      <w:pPr>
        <w:spacing w:before="1" w:after="0" w:line="240" w:lineRule="auto"/>
        <w:ind w:left="100" w:right="-2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6.   Withd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the needle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C06E9">
        <w:rPr>
          <w:rFonts w:ascii="Times New Roman" w:eastAsia="Times New Roman" w:hAnsi="Times New Roman" w:cs="Times New Roman"/>
          <w:spacing w:val="2"/>
          <w:sz w:val="24"/>
          <w:szCs w:val="24"/>
        </w:rPr>
        <w:t>om the vial.</w:t>
      </w:r>
    </w:p>
    <w:p w:rsidR="000D41C9" w:rsidRDefault="007C06E9">
      <w:pPr>
        <w:spacing w:before="45" w:after="0" w:line="279" w:lineRule="auto"/>
        <w:ind w:left="460" w:right="1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vial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vial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otto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41C9" w:rsidRDefault="007C06E9">
      <w:pPr>
        <w:spacing w:before="1" w:after="0" w:line="279" w:lineRule="auto"/>
        <w:ind w:left="460" w:right="5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 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 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mil</w:t>
      </w:r>
      <w:r>
        <w:rPr>
          <w:rFonts w:ascii="Times New Roman" w:eastAsia="Times New Roman" w:hAnsi="Times New Roman" w:cs="Times New Roman"/>
          <w:sz w:val="24"/>
          <w:szCs w:val="24"/>
        </w:rPr>
        <w:t>ky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vigo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vial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0D41C9" w:rsidRDefault="007C06E9" w:rsidP="006A77C2">
      <w:pPr>
        <w:spacing w:before="1" w:after="0" w:line="240" w:lineRule="auto"/>
        <w:ind w:left="426" w:right="-20" w:hanging="3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ugh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</w:t>
      </w:r>
      <w:r w:rsidR="006A77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vial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illi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otto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6A77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ill.</w:t>
      </w:r>
    </w:p>
    <w:p w:rsidR="000D41C9" w:rsidRDefault="007C06E9">
      <w:pPr>
        <w:spacing w:before="4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41C9" w:rsidRDefault="007C06E9">
      <w:pPr>
        <w:spacing w:before="45" w:after="0" w:line="279" w:lineRule="auto"/>
        <w:ind w:left="460" w:right="16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limi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0D41C9" w:rsidRDefault="007C06E9">
      <w:pPr>
        <w:spacing w:before="1" w:after="0" w:line="279" w:lineRule="auto"/>
        <w:ind w:left="460" w:right="26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el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41C9" w:rsidRDefault="007C06E9">
      <w:pPr>
        <w:spacing w:before="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0D41C9" w:rsidRDefault="000D41C9">
      <w:pPr>
        <w:spacing w:before="2" w:after="0" w:line="170" w:lineRule="exact"/>
        <w:rPr>
          <w:sz w:val="17"/>
          <w:szCs w:val="17"/>
        </w:rPr>
      </w:pPr>
    </w:p>
    <w:p w:rsidR="000D41C9" w:rsidRDefault="007C06E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y.</w:t>
      </w: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Default="007C06E9">
      <w:pPr>
        <w:spacing w:after="0" w:line="339" w:lineRule="exact"/>
        <w:ind w:left="10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RD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GE</w:t>
      </w: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Default="007C06E9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Default="007C06E9">
      <w:pPr>
        <w:spacing w:before="41" w:after="0" w:line="279" w:lineRule="auto"/>
        <w:ind w:left="100" w:right="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limi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400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/d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250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500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Default="007C06E9">
      <w:pPr>
        <w:spacing w:before="29" w:after="0" w:line="279" w:lineRule="auto"/>
        <w:ind w:left="120" w:righ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limi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g/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Default="007C06E9">
      <w:pPr>
        <w:spacing w:after="0" w:line="279" w:lineRule="auto"/>
        <w:ind w:left="12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g/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g/2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nx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Default="007C06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D41C9" w:rsidRDefault="007C06E9" w:rsidP="006A77C2">
      <w:pPr>
        <w:spacing w:before="41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6A77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Default="007C06E9">
      <w:pPr>
        <w:spacing w:after="0" w:line="339" w:lineRule="exact"/>
        <w:ind w:left="12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ESE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 xml:space="preserve"> AND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0"/>
          <w:szCs w:val="3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STO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RA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GE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0"/>
          <w:szCs w:val="3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NS</w:t>
      </w: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Default="007C06E9">
      <w:pPr>
        <w:spacing w:before="29" w:after="0" w:line="279" w:lineRule="auto"/>
        <w:ind w:left="120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Default="007C06E9" w:rsidP="006A77C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6A77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°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D41C9" w:rsidRDefault="000D41C9">
      <w:pPr>
        <w:spacing w:before="7" w:after="0" w:line="280" w:lineRule="exact"/>
        <w:rPr>
          <w:sz w:val="28"/>
          <w:szCs w:val="28"/>
        </w:rPr>
      </w:pPr>
    </w:p>
    <w:p w:rsidR="000D41C9" w:rsidRDefault="007C06E9">
      <w:pPr>
        <w:spacing w:after="0" w:line="339" w:lineRule="exact"/>
        <w:ind w:left="12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NA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0"/>
          <w:szCs w:val="3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0"/>
          <w:szCs w:val="3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ADDR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ESS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0"/>
          <w:szCs w:val="3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30"/>
          <w:szCs w:val="3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SOR</w:t>
      </w: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Default="007C06E9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0D41C9" w:rsidRDefault="007C06E9">
      <w:pPr>
        <w:spacing w:before="45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004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160</w:t>
      </w:r>
    </w:p>
    <w:p w:rsidR="000D41C9" w:rsidRDefault="007C06E9">
      <w:pPr>
        <w:spacing w:before="45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</w:t>
      </w:r>
    </w:p>
    <w:p w:rsidR="000D41C9" w:rsidRDefault="007C06E9">
      <w:pPr>
        <w:spacing w:before="45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YDE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2113</w:t>
      </w: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Default="007C06E9">
      <w:pPr>
        <w:spacing w:after="0" w:line="339" w:lineRule="exact"/>
        <w:ind w:left="12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SON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0"/>
          <w:szCs w:val="3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DU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0"/>
          <w:szCs w:val="3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30"/>
          <w:szCs w:val="3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0"/>
          <w:szCs w:val="3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E</w:t>
      </w:r>
    </w:p>
    <w:p w:rsidR="000D41C9" w:rsidRDefault="000D41C9">
      <w:pPr>
        <w:spacing w:before="3" w:after="0" w:line="280" w:lineRule="exact"/>
        <w:rPr>
          <w:sz w:val="28"/>
          <w:szCs w:val="28"/>
        </w:rPr>
      </w:pPr>
    </w:p>
    <w:p w:rsidR="000D41C9" w:rsidRDefault="007C06E9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41C9" w:rsidRDefault="000D41C9">
      <w:pPr>
        <w:spacing w:after="0" w:line="200" w:lineRule="exact"/>
        <w:rPr>
          <w:sz w:val="20"/>
          <w:szCs w:val="20"/>
        </w:rPr>
      </w:pPr>
    </w:p>
    <w:p w:rsidR="000D41C9" w:rsidRDefault="007C06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2011</w:t>
      </w:r>
    </w:p>
    <w:p w:rsidR="000D41C9" w:rsidRDefault="007C06E9">
      <w:pPr>
        <w:spacing w:before="44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®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0D41C9" w:rsidRDefault="000D41C9">
      <w:pPr>
        <w:spacing w:before="1" w:after="0" w:line="200" w:lineRule="exact"/>
        <w:rPr>
          <w:sz w:val="20"/>
          <w:szCs w:val="20"/>
        </w:rPr>
      </w:pPr>
    </w:p>
    <w:p w:rsidR="000D41C9" w:rsidRDefault="003364D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3364D7">
        <w:pict>
          <v:group id="_x0000_s1026" style="position:absolute;left:0;text-align:left;margin-left:70.55pt;margin-top:-3.3pt;width:469.45pt;height:.1pt;z-index:-251632128;mso-position-horizontal-relative:page" coordorigin="1411,-66" coordsize="9389,2">
            <v:shape id="_x0000_s1027" style="position:absolute;left:1411;top:-66;width:9389;height:2" coordorigin="1411,-66" coordsize="9389,0" path="m1411,-66r9389,e" filled="f" strokeweight=".82pt">
              <v:path arrowok="t"/>
            </v:shape>
            <w10:wrap anchorx="page"/>
          </v:group>
        </w:pict>
      </w:r>
      <w:r w:rsidR="007C06E9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="007C06E9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="007C06E9">
        <w:rPr>
          <w:rFonts w:ascii="Times New Roman" w:eastAsia="Times New Roman" w:hAnsi="Times New Roman" w:cs="Times New Roman"/>
          <w:sz w:val="24"/>
          <w:szCs w:val="24"/>
        </w:rPr>
        <w:t>r</w:t>
      </w:r>
      <w:r w:rsidR="007C06E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7C06E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7C06E9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7C06E9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C06E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7C06E9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7C06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C06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7C06E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7C06E9">
        <w:rPr>
          <w:rFonts w:ascii="Times New Roman" w:eastAsia="Times New Roman" w:hAnsi="Times New Roman" w:cs="Times New Roman"/>
          <w:sz w:val="24"/>
          <w:szCs w:val="24"/>
        </w:rPr>
        <w:t>U</w:t>
      </w:r>
      <w:r w:rsidR="007C06E9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7C06E9">
        <w:rPr>
          <w:rFonts w:ascii="Times New Roman" w:eastAsia="Times New Roman" w:hAnsi="Times New Roman" w:cs="Times New Roman"/>
          <w:sz w:val="24"/>
          <w:szCs w:val="24"/>
        </w:rPr>
        <w:t>e</w:t>
      </w:r>
      <w:r w:rsidR="007C06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C06E9">
        <w:rPr>
          <w:rFonts w:ascii="Times New Roman" w:eastAsia="Times New Roman" w:hAnsi="Times New Roman" w:cs="Times New Roman"/>
          <w:sz w:val="24"/>
          <w:szCs w:val="24"/>
        </w:rPr>
        <w:t>O</w:t>
      </w:r>
      <w:r w:rsidR="007C06E9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7C06E9"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 w:rsidR="007C06E9"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0D41C9" w:rsidRDefault="007C06E9">
      <w:pPr>
        <w:spacing w:before="7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151211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0D41C9" w:rsidRDefault="007C06E9">
      <w:pPr>
        <w:spacing w:before="7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11.</w:t>
      </w:r>
    </w:p>
    <w:sectPr w:rsidR="000D41C9" w:rsidSect="006A77C2">
      <w:headerReference w:type="default" r:id="rId9"/>
      <w:pgSz w:w="11920" w:h="16840"/>
      <w:pgMar w:top="820" w:right="1020" w:bottom="851" w:left="1320" w:header="59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6E9" w:rsidRDefault="007C06E9" w:rsidP="000D41C9">
      <w:pPr>
        <w:spacing w:after="0" w:line="240" w:lineRule="auto"/>
      </w:pPr>
      <w:r>
        <w:separator/>
      </w:r>
    </w:p>
  </w:endnote>
  <w:endnote w:type="continuationSeparator" w:id="0">
    <w:p w:rsidR="007C06E9" w:rsidRDefault="007C06E9" w:rsidP="000D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6E9" w:rsidRDefault="007C06E9" w:rsidP="000D41C9">
      <w:pPr>
        <w:spacing w:after="0" w:line="240" w:lineRule="auto"/>
      </w:pPr>
      <w:r>
        <w:separator/>
      </w:r>
    </w:p>
  </w:footnote>
  <w:footnote w:type="continuationSeparator" w:id="0">
    <w:p w:rsidR="007C06E9" w:rsidRDefault="007C06E9" w:rsidP="000D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shd w:val="clear" w:color="auto" w:fill="E4F2E0"/>
      <w:tblLook w:val="04A0"/>
    </w:tblPr>
    <w:tblGrid>
      <w:gridCol w:w="8720"/>
    </w:tblGrid>
    <w:tr w:rsidR="007C06E9" w:rsidTr="007C06E9">
      <w:tc>
        <w:tcPr>
          <w:tcW w:w="8720" w:type="dxa"/>
          <w:shd w:val="clear" w:color="auto" w:fill="E4F2E0"/>
        </w:tcPr>
        <w:p w:rsidR="007C06E9" w:rsidRPr="00D10092" w:rsidRDefault="007C06E9" w:rsidP="007C06E9">
          <w:pPr>
            <w:spacing w:before="40" w:after="40"/>
            <w:rPr>
              <w:rFonts w:asciiTheme="majorHAnsi" w:hAnsiTheme="majorHAnsi"/>
              <w:b/>
              <w:sz w:val="20"/>
              <w:szCs w:val="20"/>
            </w:rPr>
          </w:pPr>
          <w:r w:rsidRPr="00D10092">
            <w:rPr>
              <w:rFonts w:asciiTheme="majorHAnsi" w:hAnsiTheme="majorHAnsi"/>
              <w:b/>
              <w:sz w:val="20"/>
              <w:szCs w:val="20"/>
            </w:rPr>
            <w:t xml:space="preserve">Attachment 1: Product information for </w:t>
          </w:r>
          <w:proofErr w:type="spellStart"/>
          <w:r w:rsidRPr="00D10092">
            <w:rPr>
              <w:rFonts w:asciiTheme="majorHAnsi" w:hAnsiTheme="majorHAnsi"/>
              <w:b/>
              <w:sz w:val="20"/>
              <w:szCs w:val="20"/>
            </w:rPr>
            <w:t>AusPAR</w:t>
          </w:r>
          <w:proofErr w:type="spellEnd"/>
          <w:r w:rsidRPr="00D10092">
            <w:rPr>
              <w:rFonts w:asciiTheme="majorHAnsi" w:hAnsiTheme="majorHAnsi"/>
              <w:b/>
              <w:sz w:val="20"/>
              <w:szCs w:val="20"/>
            </w:rPr>
            <w:t xml:space="preserve"> </w:t>
          </w:r>
          <w:proofErr w:type="spellStart"/>
          <w:r w:rsidRPr="00D10092">
            <w:rPr>
              <w:rFonts w:asciiTheme="majorHAnsi" w:hAnsiTheme="majorHAnsi"/>
              <w:b/>
              <w:sz w:val="20"/>
              <w:szCs w:val="20"/>
            </w:rPr>
            <w:t>Sandostatin</w:t>
          </w:r>
          <w:proofErr w:type="spellEnd"/>
          <w:r w:rsidRPr="00D10092">
            <w:rPr>
              <w:rFonts w:asciiTheme="majorHAnsi" w:hAnsiTheme="majorHAnsi"/>
              <w:b/>
              <w:sz w:val="20"/>
              <w:szCs w:val="20"/>
            </w:rPr>
            <w:t xml:space="preserve"> LAR </w:t>
          </w:r>
          <w:proofErr w:type="spellStart"/>
          <w:r w:rsidRPr="00D10092">
            <w:rPr>
              <w:rFonts w:asciiTheme="majorHAnsi" w:hAnsiTheme="majorHAnsi"/>
              <w:b/>
              <w:sz w:val="20"/>
              <w:szCs w:val="20"/>
            </w:rPr>
            <w:t>Octreotide</w:t>
          </w:r>
          <w:proofErr w:type="spellEnd"/>
          <w:r w:rsidRPr="00D10092">
            <w:rPr>
              <w:rFonts w:asciiTheme="majorHAnsi" w:hAnsiTheme="majorHAnsi"/>
              <w:b/>
              <w:sz w:val="20"/>
              <w:szCs w:val="20"/>
            </w:rPr>
            <w:t xml:space="preserve"> Novartis Pharmaceuticals Australia Pty Ltd PM-2010-03092-3-4 Final 14 February 2012. This Product Information was approved at the time this </w:t>
          </w:r>
          <w:proofErr w:type="spellStart"/>
          <w:r w:rsidRPr="00D10092">
            <w:rPr>
              <w:rFonts w:asciiTheme="majorHAnsi" w:hAnsiTheme="majorHAnsi"/>
              <w:b/>
              <w:sz w:val="20"/>
              <w:szCs w:val="20"/>
            </w:rPr>
            <w:t>AusPAR</w:t>
          </w:r>
          <w:proofErr w:type="spellEnd"/>
          <w:r w:rsidRPr="00D10092">
            <w:rPr>
              <w:rFonts w:asciiTheme="majorHAnsi" w:hAnsiTheme="majorHAnsi"/>
              <w:b/>
              <w:sz w:val="20"/>
              <w:szCs w:val="20"/>
            </w:rPr>
            <w:t xml:space="preserve"> was published.</w:t>
          </w:r>
        </w:p>
      </w:tc>
    </w:tr>
  </w:tbl>
  <w:p w:rsidR="007C06E9" w:rsidRDefault="007C06E9">
    <w:pPr>
      <w:spacing w:after="0" w:line="200" w:lineRule="exact"/>
      <w:rPr>
        <w:sz w:val="20"/>
        <w:szCs w:val="20"/>
      </w:rPr>
    </w:pPr>
    <w:r w:rsidRPr="003364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7.3pt;margin-top:28.95pt;width:16pt;height:14pt;z-index:-251658752;mso-position-horizontal-relative:page;mso-position-vertical-relative:page" filled="f" stroked="f">
          <v:textbox inset="0,0,0,0">
            <w:txbxContent>
              <w:p w:rsidR="007C06E9" w:rsidRDefault="007C06E9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6A77C2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D41C9"/>
    <w:rsid w:val="000D41C9"/>
    <w:rsid w:val="003364D7"/>
    <w:rsid w:val="006A5885"/>
    <w:rsid w:val="006A77C2"/>
    <w:rsid w:val="007C06E9"/>
    <w:rsid w:val="00B74B37"/>
    <w:rsid w:val="00BD1AAE"/>
    <w:rsid w:val="00D10092"/>
    <w:rsid w:val="00FC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0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0092"/>
  </w:style>
  <w:style w:type="paragraph" w:styleId="Footer">
    <w:name w:val="footer"/>
    <w:basedOn w:val="Normal"/>
    <w:link w:val="FooterChar"/>
    <w:uiPriority w:val="99"/>
    <w:semiHidden/>
    <w:unhideWhenUsed/>
    <w:rsid w:val="00D10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0092"/>
  </w:style>
  <w:style w:type="paragraph" w:styleId="ListBullet">
    <w:name w:val="List Bullet"/>
    <w:basedOn w:val="Normal"/>
    <w:uiPriority w:val="99"/>
    <w:qFormat/>
    <w:rsid w:val="00D10092"/>
    <w:pPr>
      <w:widowControl/>
      <w:numPr>
        <w:numId w:val="1"/>
      </w:numPr>
      <w:spacing w:before="120" w:after="180" w:line="240" w:lineRule="atLeast"/>
    </w:pPr>
    <w:rPr>
      <w:rFonts w:ascii="Cambria" w:eastAsia="Cambria" w:hAnsi="Cambria" w:cs="Times New Roman"/>
      <w:lang w:val="en-AU"/>
    </w:rPr>
  </w:style>
  <w:style w:type="paragraph" w:styleId="ListBullet2">
    <w:name w:val="List Bullet 2"/>
    <w:basedOn w:val="Normal"/>
    <w:uiPriority w:val="99"/>
    <w:qFormat/>
    <w:rsid w:val="00D10092"/>
    <w:pPr>
      <w:widowControl/>
      <w:numPr>
        <w:ilvl w:val="1"/>
        <w:numId w:val="1"/>
      </w:numPr>
      <w:spacing w:before="120" w:after="180" w:line="240" w:lineRule="atLeast"/>
    </w:pPr>
    <w:rPr>
      <w:rFonts w:ascii="Cambria" w:eastAsia="Cambria" w:hAnsi="Cambria" w:cs="Times New Roman"/>
      <w:lang w:val="en-AU"/>
    </w:rPr>
  </w:style>
  <w:style w:type="paragraph" w:styleId="ListBullet3">
    <w:name w:val="List Bullet 3"/>
    <w:basedOn w:val="Normal"/>
    <w:uiPriority w:val="99"/>
    <w:qFormat/>
    <w:rsid w:val="00D10092"/>
    <w:pPr>
      <w:widowControl/>
      <w:numPr>
        <w:ilvl w:val="2"/>
        <w:numId w:val="1"/>
      </w:numPr>
      <w:spacing w:before="120" w:after="180" w:line="240" w:lineRule="atLeast"/>
    </w:pPr>
    <w:rPr>
      <w:rFonts w:ascii="Cambria" w:eastAsia="Cambria" w:hAnsi="Cambria" w:cs="Times New Roman"/>
      <w:lang w:val="en-AU"/>
    </w:rPr>
  </w:style>
  <w:style w:type="numbering" w:customStyle="1" w:styleId="ListBullets">
    <w:name w:val="ListBullets"/>
    <w:uiPriority w:val="99"/>
    <w:locked/>
    <w:rsid w:val="00D10092"/>
    <w:pPr>
      <w:numPr>
        <w:numId w:val="1"/>
      </w:numPr>
    </w:pPr>
  </w:style>
  <w:style w:type="table" w:styleId="TableGrid">
    <w:name w:val="Table Grid"/>
    <w:basedOn w:val="TableNormal"/>
    <w:uiPriority w:val="59"/>
    <w:rsid w:val="00D10092"/>
    <w:pPr>
      <w:widowControl/>
      <w:spacing w:after="0" w:line="240" w:lineRule="auto"/>
    </w:pPr>
    <w:rPr>
      <w:rFonts w:eastAsia="Cambria"/>
      <w:lang w:val="en-A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5593</Words>
  <Characters>31881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1. Product Information for Octreotide</vt:lpstr>
    </vt:vector>
  </TitlesOfParts>
  <Company>Novartis Pharmaceuticals Australia Pty Ltd</Company>
  <LinksUpToDate>false</LinksUpToDate>
  <CharactersWithSpaces>37400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1. Product Information for Octreotide</dc:title>
  <dc:subject>prescription medicine regulation</dc:subject>
  <dc:creator>Novartis Pharmaceuticals Australia Pty Ltd</dc:creator>
  <cp:keywords>product, information, prescription, medicine, regulation, sadostatin, lar, octreotide, novartis, pharmaceuticals, australia</cp:keywords>
  <cp:lastModifiedBy>dixonj</cp:lastModifiedBy>
  <cp:revision>7</cp:revision>
  <dcterms:created xsi:type="dcterms:W3CDTF">2014-01-16T01:44:00Z</dcterms:created>
  <dcterms:modified xsi:type="dcterms:W3CDTF">2014-01-16T02:45:00Z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2012-02-22T00:00:00Z</vt:filetime>
  </property>
  <property fmtid="{D5CDD505-2E9C-101B-9397-08002B2CF9AE}" pid="3" name="LastSaved">
    <vt:filetime>2014-01-15T00:00:00Z</vt:filetime>
  </property>
</Properties>
</file>